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712456" w14:textId="77777777" w:rsidR="004B11A7" w:rsidRDefault="004B11A7" w:rsidP="004B11A7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4D52758F" wp14:editId="6F74CC88">
            <wp:extent cx="1906270" cy="633095"/>
            <wp:effectExtent l="25400" t="25400" r="11430" b="14605"/>
            <wp:docPr id="1" name="Picture 1" descr="TSD_logo20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63309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18BE191" w14:textId="77777777" w:rsidR="004B11A7" w:rsidRDefault="004B11A7" w:rsidP="004B11A7">
      <w:pPr>
        <w:pStyle w:val="NormalWeb"/>
        <w:spacing w:before="0" w:beforeAutospacing="0" w:after="0" w:afterAutospacing="0"/>
        <w:ind w:left="-180" w:right="-334"/>
      </w:pPr>
    </w:p>
    <w:p w14:paraId="2E5947DA" w14:textId="77777777" w:rsidR="004B11A7" w:rsidRDefault="004B11A7" w:rsidP="004B11A7">
      <w:pPr>
        <w:pStyle w:val="NormalWeb"/>
        <w:spacing w:before="0" w:beforeAutospacing="0" w:after="0" w:afterAutospacing="0"/>
        <w:ind w:left="-180" w:right="-334"/>
      </w:pPr>
    </w:p>
    <w:p w14:paraId="3226374F" w14:textId="77777777" w:rsidR="004B11A7" w:rsidRDefault="004B11A7" w:rsidP="004B11A7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7F24A59E" w14:textId="77777777" w:rsidR="004B11A7" w:rsidRPr="00230F35" w:rsidRDefault="004B11A7" w:rsidP="004B11A7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3BF28906" w14:textId="77777777" w:rsidR="004B11A7" w:rsidRPr="00230F35" w:rsidRDefault="004B11A7" w:rsidP="004B11A7">
      <w:pPr>
        <w:rPr>
          <w:rFonts w:ascii="Arial" w:hAnsi="Arial" w:cs="Arial"/>
          <w:sz w:val="28"/>
          <w:szCs w:val="28"/>
          <w:lang w:val="cy-GB"/>
        </w:rPr>
      </w:pPr>
    </w:p>
    <w:p w14:paraId="627F70F0" w14:textId="77777777" w:rsidR="004B11A7" w:rsidRDefault="004B11A7" w:rsidP="004B11A7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4E1C8526" w14:textId="77777777" w:rsidR="004B11A7" w:rsidRDefault="004B11A7" w:rsidP="004B11A7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28"/>
        <w:gridCol w:w="422"/>
        <w:gridCol w:w="1509"/>
        <w:gridCol w:w="283"/>
        <w:gridCol w:w="1794"/>
      </w:tblGrid>
      <w:tr w:rsidR="004B11A7" w:rsidRPr="00230F35" w14:paraId="4DD1C65B" w14:textId="77777777" w:rsidTr="00CF6900">
        <w:trPr>
          <w:trHeight w:val="614"/>
        </w:trPr>
        <w:tc>
          <w:tcPr>
            <w:tcW w:w="8856" w:type="dxa"/>
            <w:gridSpan w:val="5"/>
          </w:tcPr>
          <w:p w14:paraId="372CD41A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4B11A7" w:rsidRPr="00230F35" w14:paraId="03899A6E" w14:textId="77777777" w:rsidTr="00CF6900">
        <w:trPr>
          <w:trHeight w:val="718"/>
        </w:trPr>
        <w:tc>
          <w:tcPr>
            <w:tcW w:w="8856" w:type="dxa"/>
            <w:gridSpan w:val="5"/>
          </w:tcPr>
          <w:p w14:paraId="03B373E5" w14:textId="77777777" w:rsidR="004B11A7" w:rsidRDefault="004B11A7" w:rsidP="00CF6900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Tareck Ghoneim</w:t>
            </w:r>
          </w:p>
          <w:p w14:paraId="1671BBB6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243AEC57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>
              <w:rPr>
                <w:rFonts w:ascii="Arial" w:hAnsi="Arial" w:cs="Arial"/>
                <w:sz w:val="22"/>
                <w:szCs w:val="22"/>
              </w:rPr>
              <w:t>1813140@student.uwtsd.ac.uk</w:t>
            </w:r>
          </w:p>
        </w:tc>
      </w:tr>
      <w:tr w:rsidR="004B11A7" w:rsidRPr="00230F35" w14:paraId="1128ABC5" w14:textId="77777777" w:rsidTr="00CF6900">
        <w:trPr>
          <w:trHeight w:val="849"/>
        </w:trPr>
        <w:tc>
          <w:tcPr>
            <w:tcW w:w="4788" w:type="dxa"/>
          </w:tcPr>
          <w:p w14:paraId="50F612C0" w14:textId="66F0BB52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</w:rPr>
              <w:t xml:space="preserve"> HPCA7002</w:t>
            </w:r>
          </w:p>
          <w:p w14:paraId="0B3A30B6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526B6B3E" w14:textId="77777777" w:rsidR="004B11A7" w:rsidRDefault="004B11A7" w:rsidP="00CF6900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Essay 1</w:t>
            </w:r>
          </w:p>
          <w:p w14:paraId="7DFDFB0B" w14:textId="77777777" w:rsidR="004B11A7" w:rsidRDefault="004B11A7" w:rsidP="00CF6900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394C6D1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4D9BF01B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  <w:r>
              <w:rPr>
                <w:rFonts w:ascii="Arial" w:hAnsi="Arial" w:cs="Arial"/>
                <w:sz w:val="22"/>
                <w:szCs w:val="22"/>
              </w:rPr>
              <w:t xml:space="preserve"> 1813140</w:t>
            </w:r>
          </w:p>
        </w:tc>
        <w:tc>
          <w:tcPr>
            <w:tcW w:w="1802" w:type="dxa"/>
          </w:tcPr>
          <w:p w14:paraId="72570DC7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10B8808F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4B11A7" w:rsidRPr="00230F35" w14:paraId="02BB8402" w14:textId="77777777" w:rsidTr="00CF6900">
        <w:trPr>
          <w:trHeight w:val="1139"/>
        </w:trPr>
        <w:tc>
          <w:tcPr>
            <w:tcW w:w="8856" w:type="dxa"/>
            <w:gridSpan w:val="5"/>
          </w:tcPr>
          <w:p w14:paraId="6052526C" w14:textId="1ADF6590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Contrast and compare two</w:t>
            </w:r>
            <w:r w:rsidR="00B90983">
              <w:rPr>
                <w:rFonts w:ascii="Arial" w:hAnsi="Arial" w:cs="Arial"/>
                <w:sz w:val="22"/>
                <w:szCs w:val="22"/>
              </w:rPr>
              <w:t xml:space="preserve"> secondary sources. </w:t>
            </w:r>
            <w:bookmarkStart w:id="0" w:name="_GoBack"/>
            <w:bookmarkEnd w:id="0"/>
          </w:p>
          <w:p w14:paraId="5130D95E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5A0FC6B6" w14:textId="77777777" w:rsidR="004B11A7" w:rsidRDefault="004B11A7" w:rsidP="00CF6900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2A470C9C" w14:textId="0FD0645E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1</w:t>
            </w:r>
            <w:r w:rsidRPr="004B11A7">
              <w:rPr>
                <w:rFonts w:ascii="Arial" w:hAnsi="Arial" w:cs="Arial"/>
                <w:sz w:val="22"/>
                <w:szCs w:val="22"/>
                <w:vertAlign w:val="superscript"/>
              </w:rPr>
              <w:t>st</w:t>
            </w:r>
            <w:r>
              <w:rPr>
                <w:rFonts w:ascii="Arial" w:hAnsi="Arial" w:cs="Arial"/>
                <w:sz w:val="22"/>
                <w:szCs w:val="22"/>
              </w:rPr>
              <w:t xml:space="preserve"> June 2020</w:t>
            </w:r>
          </w:p>
        </w:tc>
      </w:tr>
      <w:tr w:rsidR="004B11A7" w:rsidRPr="00230F35" w14:paraId="6E0945BC" w14:textId="77777777" w:rsidTr="00CF6900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6EC3F134" w14:textId="77777777" w:rsidR="004B11A7" w:rsidRPr="00230F35" w:rsidRDefault="004B11A7" w:rsidP="00CF6900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x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13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4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6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4B11A7" w:rsidRPr="00230F35" w14:paraId="323BF2E4" w14:textId="77777777" w:rsidTr="00CF6900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74C53927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4D2E70BF" w14:textId="77777777" w:rsidR="004B11A7" w:rsidRDefault="004B11A7" w:rsidP="00CF6900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</w:t>
            </w:r>
            <w:r>
              <w:rPr>
                <w:rFonts w:ascii="Arial" w:hAnsi="Arial" w:cs="Arial"/>
                <w:sz w:val="22"/>
                <w:szCs w:val="22"/>
              </w:rPr>
              <w:t>Tareck Ghoneim</w:t>
            </w:r>
            <w:r w:rsidRPr="00230F35">
              <w:rPr>
                <w:rFonts w:ascii="Arial" w:hAnsi="Arial" w:cs="Arial"/>
                <w:sz w:val="22"/>
                <w:szCs w:val="22"/>
              </w:rPr>
              <w:t>……………………………………………………</w:t>
            </w:r>
          </w:p>
          <w:p w14:paraId="09A838AA" w14:textId="77777777" w:rsidR="004B11A7" w:rsidRDefault="004B11A7" w:rsidP="00CF690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if you are submitting this form via email, please tick this box </w:t>
            </w:r>
            <w:r>
              <w:rPr>
                <w:rFonts w:ascii="Calibri" w:hAnsi="Calibri" w:cs="Calibri"/>
                <w:b/>
                <w:sz w:val="44"/>
                <w:szCs w:val="44"/>
              </w:rPr>
              <w:t>x</w:t>
            </w:r>
          </w:p>
          <w:p w14:paraId="15928D1B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4B11A7" w:rsidRPr="00230F35" w14:paraId="1DA64064" w14:textId="77777777" w:rsidTr="00CF6900">
        <w:trPr>
          <w:trHeight w:val="3972"/>
        </w:trPr>
        <w:tc>
          <w:tcPr>
            <w:tcW w:w="8856" w:type="dxa"/>
            <w:gridSpan w:val="5"/>
          </w:tcPr>
          <w:p w14:paraId="40E1E381" w14:textId="77777777" w:rsidR="004B11A7" w:rsidRDefault="004B11A7" w:rsidP="00CF6900">
            <w:pPr>
              <w:rPr>
                <w:rFonts w:ascii="Arial" w:hAnsi="Arial"/>
                <w:b/>
              </w:rPr>
            </w:pPr>
          </w:p>
          <w:p w14:paraId="34E19B10" w14:textId="77777777" w:rsidR="004B11A7" w:rsidRPr="00116CE6" w:rsidRDefault="004B11A7" w:rsidP="00CF6900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800"/>
              <w:gridCol w:w="1610"/>
            </w:tblGrid>
            <w:tr w:rsidR="004B11A7" w:rsidRPr="00116CE6" w14:paraId="59808C67" w14:textId="77777777" w:rsidTr="00CF6900">
              <w:tc>
                <w:tcPr>
                  <w:tcW w:w="6970" w:type="dxa"/>
                </w:tcPr>
                <w:p w14:paraId="4E068E6D" w14:textId="77777777" w:rsidR="004B11A7" w:rsidRPr="00116CE6" w:rsidRDefault="004B11A7" w:rsidP="00CF6900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C92CEBA" w14:textId="77777777" w:rsidR="004B11A7" w:rsidRPr="00116CE6" w:rsidRDefault="004B11A7" w:rsidP="00CF6900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57119B52" w14:textId="77777777" w:rsidR="004B11A7" w:rsidRPr="00116CE6" w:rsidRDefault="004B11A7" w:rsidP="00CF6900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4B11A7" w:rsidRPr="00116CE6" w14:paraId="05121214" w14:textId="77777777" w:rsidTr="00CF6900">
              <w:tc>
                <w:tcPr>
                  <w:tcW w:w="6970" w:type="dxa"/>
                </w:tcPr>
                <w:p w14:paraId="33972FAC" w14:textId="77777777" w:rsidR="004B11A7" w:rsidRPr="00116CE6" w:rsidRDefault="004B11A7" w:rsidP="00CF6900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A0CB4AC" w14:textId="77777777" w:rsidR="004B11A7" w:rsidRPr="00116CE6" w:rsidRDefault="004B11A7" w:rsidP="00CF6900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647C067F" w14:textId="77777777" w:rsidR="004B11A7" w:rsidRPr="00116CE6" w:rsidRDefault="004B11A7" w:rsidP="00CF6900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4B11A7" w:rsidRPr="00116CE6" w14:paraId="2E587E22" w14:textId="77777777" w:rsidTr="00CF6900">
              <w:tc>
                <w:tcPr>
                  <w:tcW w:w="6970" w:type="dxa"/>
                </w:tcPr>
                <w:p w14:paraId="214C37E0" w14:textId="77777777" w:rsidR="004B11A7" w:rsidRPr="00116CE6" w:rsidRDefault="004B11A7" w:rsidP="00CF6900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04083F1B" w14:textId="77777777" w:rsidR="004B11A7" w:rsidRPr="00116CE6" w:rsidRDefault="004B11A7" w:rsidP="00CF6900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4B69A129" w14:textId="77777777" w:rsidR="004B11A7" w:rsidRPr="00116CE6" w:rsidRDefault="004B11A7" w:rsidP="00CF6900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4B11A7" w:rsidRPr="00116CE6" w14:paraId="22B4EF0F" w14:textId="77777777" w:rsidTr="00CF6900">
              <w:tc>
                <w:tcPr>
                  <w:tcW w:w="6970" w:type="dxa"/>
                </w:tcPr>
                <w:p w14:paraId="13EBA8D5" w14:textId="77777777" w:rsidR="004B11A7" w:rsidRDefault="004B11A7" w:rsidP="00CF6900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52B8BBFC" w14:textId="77777777" w:rsidR="004B11A7" w:rsidRPr="00022345" w:rsidRDefault="004B11A7" w:rsidP="00CF6900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14108CC3" w14:textId="77777777" w:rsidR="004B11A7" w:rsidRPr="00116CE6" w:rsidRDefault="004B11A7" w:rsidP="00CF6900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59F4E2FD" w14:textId="77777777" w:rsidR="004B11A7" w:rsidRPr="00116CE6" w:rsidRDefault="004B11A7" w:rsidP="00CF6900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1243E28D" w14:textId="77777777" w:rsidR="004B11A7" w:rsidRDefault="004B11A7" w:rsidP="00CF6900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56F55E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100FEF31" w14:textId="77777777" w:rsidR="004B11A7" w:rsidRDefault="004B11A7" w:rsidP="00CF690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E57EEAF" w14:textId="77777777" w:rsidR="004B11A7" w:rsidRDefault="004B11A7" w:rsidP="00CF690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E6C9F25" w14:textId="77777777" w:rsidR="004B11A7" w:rsidRDefault="004B11A7" w:rsidP="00CF690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82213AD" w14:textId="77777777" w:rsidR="004B11A7" w:rsidRDefault="004B11A7" w:rsidP="00CF690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E59A764" w14:textId="77777777" w:rsidR="004B11A7" w:rsidRDefault="004B11A7" w:rsidP="00CF690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0779579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14:paraId="76AE1D3E" w14:textId="77777777" w:rsidR="004B11A7" w:rsidRDefault="004B11A7" w:rsidP="00CF6900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0A4CF02" w14:textId="77777777" w:rsidR="004B11A7" w:rsidRPr="00001C3B" w:rsidRDefault="004B11A7" w:rsidP="00CF6900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B11A7" w:rsidRPr="00230F35" w14:paraId="2ABFFF4E" w14:textId="77777777" w:rsidTr="00CF6900">
        <w:trPr>
          <w:trHeight w:val="492"/>
        </w:trPr>
        <w:tc>
          <w:tcPr>
            <w:tcW w:w="6768" w:type="dxa"/>
            <w:gridSpan w:val="3"/>
          </w:tcPr>
          <w:p w14:paraId="0E010CCE" w14:textId="77777777" w:rsidR="004B11A7" w:rsidRPr="00230F35" w:rsidRDefault="004B11A7" w:rsidP="00CF6900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5954F175" w14:textId="77777777" w:rsidR="004B11A7" w:rsidRPr="00230F35" w:rsidRDefault="004B11A7" w:rsidP="00CF6900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4B11A7" w:rsidRPr="002F467C" w14:paraId="24D73584" w14:textId="77777777" w:rsidTr="00CF6900">
        <w:tc>
          <w:tcPr>
            <w:tcW w:w="8856" w:type="dxa"/>
            <w:gridSpan w:val="5"/>
          </w:tcPr>
          <w:p w14:paraId="22B21919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25798BAE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42F06382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B264F24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27B6D48C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C04C8BD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E95D83F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595BDB4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C9B93E8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7860C3D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C905BA6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918C0D4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5AA5079" w14:textId="77777777" w:rsidR="004B11A7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1DDE20F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8364AD0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5E10706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B11A7" w:rsidRPr="002F467C" w14:paraId="1F8EB0A8" w14:textId="77777777" w:rsidTr="00CF6900">
        <w:trPr>
          <w:trHeight w:val="720"/>
        </w:trPr>
        <w:tc>
          <w:tcPr>
            <w:tcW w:w="5211" w:type="dxa"/>
            <w:gridSpan w:val="2"/>
          </w:tcPr>
          <w:p w14:paraId="6F2CD59A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260B6E2E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4B11A7" w:rsidRPr="002F467C" w14:paraId="1E5D8672" w14:textId="77777777" w:rsidTr="00CF6900">
        <w:trPr>
          <w:trHeight w:val="720"/>
        </w:trPr>
        <w:tc>
          <w:tcPr>
            <w:tcW w:w="8856" w:type="dxa"/>
            <w:gridSpan w:val="5"/>
          </w:tcPr>
          <w:p w14:paraId="401BDD9F" w14:textId="77777777" w:rsidR="004B11A7" w:rsidRPr="00B34964" w:rsidRDefault="004B11A7" w:rsidP="00CF69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0811E645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1BB9FD0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5EEB1A1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1211068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C7F31FB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6AD5FF9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4479B9E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A29ACCE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BD71B59" w14:textId="77777777" w:rsidR="004B11A7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6410E3C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8CBD2A9" w14:textId="77777777" w:rsidR="004B11A7" w:rsidRPr="00230F35" w:rsidRDefault="004B11A7" w:rsidP="00CF6900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B11A7" w:rsidRPr="002F467C" w14:paraId="271F08EF" w14:textId="77777777" w:rsidTr="00CF6900">
        <w:trPr>
          <w:trHeight w:val="720"/>
        </w:trPr>
        <w:tc>
          <w:tcPr>
            <w:tcW w:w="5211" w:type="dxa"/>
            <w:gridSpan w:val="2"/>
          </w:tcPr>
          <w:p w14:paraId="04FB9038" w14:textId="77777777" w:rsidR="004B11A7" w:rsidRPr="00230F35" w:rsidRDefault="004B11A7" w:rsidP="00CF6900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41D86ECA" w14:textId="77777777" w:rsidR="004B11A7" w:rsidRPr="00230F35" w:rsidRDefault="004B11A7" w:rsidP="00CF6900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6CA69296" w14:textId="77777777" w:rsidR="004B11A7" w:rsidRPr="00D67BF8" w:rsidRDefault="004B11A7" w:rsidP="004B11A7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5422B958" w14:textId="63B04281" w:rsidR="00CF6900" w:rsidRDefault="00CF6900"/>
    <w:p w14:paraId="7BF44B77" w14:textId="6600170E" w:rsidR="004B11A7" w:rsidRDefault="004B11A7"/>
    <w:p w14:paraId="2C81539F" w14:textId="7871C4F0" w:rsidR="004B11A7" w:rsidRDefault="004B11A7"/>
    <w:p w14:paraId="3F9D24A6" w14:textId="0A93B8B8" w:rsidR="004B11A7" w:rsidRDefault="004B11A7"/>
    <w:p w14:paraId="537C3A17" w14:textId="4B4507DE" w:rsidR="004B11A7" w:rsidRDefault="004B11A7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Tareck Ghoneim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HPCA7002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 xml:space="preserve">ESSAY 1 </w:t>
      </w:r>
    </w:p>
    <w:p w14:paraId="324BA8E4" w14:textId="1B9AF31F" w:rsidR="004B11A7" w:rsidRDefault="004B11A7">
      <w:pPr>
        <w:rPr>
          <w:rFonts w:asciiTheme="minorHAnsi" w:hAnsiTheme="minorHAnsi" w:cstheme="minorHAnsi"/>
          <w:sz w:val="28"/>
          <w:szCs w:val="28"/>
        </w:rPr>
      </w:pPr>
    </w:p>
    <w:p w14:paraId="226D99E5" w14:textId="43895A9F" w:rsidR="004B11A7" w:rsidRDefault="004B11A7" w:rsidP="004B11A7">
      <w:pPr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A Critical Comparison of Two Secondary Sources </w:t>
      </w:r>
    </w:p>
    <w:p w14:paraId="07666C58" w14:textId="7F5712A1" w:rsidR="004B11A7" w:rsidRDefault="004B11A7" w:rsidP="004B11A7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4A72A033" w14:textId="2A78AC28" w:rsidR="004B11A7" w:rsidRDefault="004B11A7" w:rsidP="004B11A7">
      <w:pPr>
        <w:rPr>
          <w:rFonts w:asciiTheme="minorHAnsi" w:hAnsiTheme="minorHAnsi" w:cstheme="minorHAnsi"/>
          <w:sz w:val="28"/>
          <w:szCs w:val="28"/>
        </w:rPr>
      </w:pPr>
    </w:p>
    <w:p w14:paraId="72713606" w14:textId="5E85E166" w:rsidR="004B11A7" w:rsidRPr="00726228" w:rsidRDefault="004B11A7" w:rsidP="004B11A7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726228">
        <w:rPr>
          <w:rFonts w:asciiTheme="minorHAnsi" w:hAnsiTheme="minorHAnsi" w:cstheme="minorHAnsi"/>
          <w:b/>
          <w:bCs/>
          <w:sz w:val="28"/>
          <w:szCs w:val="28"/>
        </w:rPr>
        <w:t>Intro</w:t>
      </w:r>
      <w:r w:rsidR="00726228" w:rsidRPr="00726228">
        <w:rPr>
          <w:rFonts w:asciiTheme="minorHAnsi" w:hAnsiTheme="minorHAnsi" w:cstheme="minorHAnsi"/>
          <w:b/>
          <w:bCs/>
          <w:sz w:val="28"/>
          <w:szCs w:val="28"/>
        </w:rPr>
        <w:t>duction</w:t>
      </w:r>
    </w:p>
    <w:p w14:paraId="08CA2C31" w14:textId="4F0E10DE" w:rsidR="00967B69" w:rsidRDefault="00967B69" w:rsidP="004B11A7">
      <w:pPr>
        <w:rPr>
          <w:rFonts w:asciiTheme="minorHAnsi" w:hAnsiTheme="minorHAnsi" w:cstheme="minorHAnsi"/>
          <w:sz w:val="28"/>
          <w:szCs w:val="28"/>
        </w:rPr>
      </w:pPr>
    </w:p>
    <w:p w14:paraId="150B731D" w14:textId="656A5BBF" w:rsidR="004B11A7" w:rsidRDefault="00967B69" w:rsidP="004B11A7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This essay compares and contrasts two papers: T.L. Brink, ‘Inconsistency of Belief among Roman Catholic Girls: Concerning Religion, Astrology, Reincarnation.’ Review of Religious Research, 20 (1978), 82-85 and T. Walter &amp; H. Waterhouse, ‘A Very Private</w:t>
      </w:r>
      <w:r w:rsidR="00FE1292">
        <w:rPr>
          <w:rFonts w:asciiTheme="minorHAnsi" w:hAnsiTheme="minorHAnsi" w:cstheme="minorHAnsi"/>
          <w:sz w:val="28"/>
          <w:szCs w:val="28"/>
        </w:rPr>
        <w:t xml:space="preserve"> Belief: Reincarnation in Contemporary England’. Sociology of Religion, 60 (1999), 187-197. Brink is a social scientist and author who resides in </w:t>
      </w:r>
      <w:r w:rsidR="00A51E36">
        <w:rPr>
          <w:rFonts w:asciiTheme="minorHAnsi" w:hAnsiTheme="minorHAnsi" w:cstheme="minorHAnsi"/>
          <w:sz w:val="28"/>
          <w:szCs w:val="28"/>
        </w:rPr>
        <w:t>America. Helen Waterhouse, based in the UK, is a researcher</w:t>
      </w:r>
      <w:r w:rsidR="00726228">
        <w:rPr>
          <w:rFonts w:asciiTheme="minorHAnsi" w:hAnsiTheme="minorHAnsi" w:cstheme="minorHAnsi"/>
          <w:sz w:val="28"/>
          <w:szCs w:val="28"/>
        </w:rPr>
        <w:t xml:space="preserve"> and has a PhD in</w:t>
      </w:r>
      <w:r w:rsidR="00A51E36">
        <w:rPr>
          <w:rFonts w:asciiTheme="minorHAnsi" w:hAnsiTheme="minorHAnsi" w:cstheme="minorHAnsi"/>
          <w:sz w:val="28"/>
          <w:szCs w:val="28"/>
        </w:rPr>
        <w:t xml:space="preserve"> religious </w:t>
      </w:r>
      <w:r w:rsidR="00726228">
        <w:rPr>
          <w:rFonts w:asciiTheme="minorHAnsi" w:hAnsiTheme="minorHAnsi" w:cstheme="minorHAnsi"/>
          <w:sz w:val="28"/>
          <w:szCs w:val="28"/>
        </w:rPr>
        <w:t xml:space="preserve">studies and Tony Walter, a Professor at the University of Bath, also resides in the UK. This essay will compare and contrast both papers namely; 1) Methodology of practises, 2) Position of researchers regards the insider and outsider continuum in relation to their target groups, 3) A Critical Review of both papers. </w:t>
      </w:r>
      <w:r w:rsidR="00375000">
        <w:rPr>
          <w:rFonts w:asciiTheme="minorHAnsi" w:hAnsiTheme="minorHAnsi" w:cstheme="minorHAnsi"/>
          <w:sz w:val="28"/>
          <w:szCs w:val="28"/>
        </w:rPr>
        <w:t>Due to limited word count, for</w:t>
      </w:r>
      <w:r w:rsidR="00726228">
        <w:rPr>
          <w:rFonts w:asciiTheme="minorHAnsi" w:hAnsiTheme="minorHAnsi" w:cstheme="minorHAnsi"/>
          <w:sz w:val="28"/>
          <w:szCs w:val="28"/>
        </w:rPr>
        <w:t xml:space="preserve"> the purposes of this essay</w:t>
      </w:r>
      <w:r w:rsidR="00375000">
        <w:rPr>
          <w:rFonts w:asciiTheme="minorHAnsi" w:hAnsiTheme="minorHAnsi" w:cstheme="minorHAnsi"/>
          <w:sz w:val="28"/>
          <w:szCs w:val="28"/>
        </w:rPr>
        <w:t xml:space="preserve">, </w:t>
      </w:r>
      <w:r w:rsidR="00726228">
        <w:rPr>
          <w:rFonts w:asciiTheme="minorHAnsi" w:hAnsiTheme="minorHAnsi" w:cstheme="minorHAnsi"/>
          <w:sz w:val="28"/>
          <w:szCs w:val="28"/>
        </w:rPr>
        <w:t xml:space="preserve">I will abbreviate </w:t>
      </w:r>
      <w:r w:rsidR="00375000">
        <w:rPr>
          <w:rFonts w:asciiTheme="minorHAnsi" w:hAnsiTheme="minorHAnsi" w:cstheme="minorHAnsi"/>
          <w:sz w:val="28"/>
          <w:szCs w:val="28"/>
        </w:rPr>
        <w:t>Walter &amp; Waterhouse as W&amp;W</w:t>
      </w:r>
    </w:p>
    <w:p w14:paraId="40CDD609" w14:textId="3398EF03" w:rsidR="004B11A7" w:rsidRDefault="004B11A7" w:rsidP="004B11A7">
      <w:pPr>
        <w:rPr>
          <w:rFonts w:asciiTheme="minorHAnsi" w:hAnsiTheme="minorHAnsi" w:cstheme="minorHAnsi"/>
          <w:sz w:val="28"/>
          <w:szCs w:val="28"/>
        </w:rPr>
      </w:pPr>
    </w:p>
    <w:p w14:paraId="0D161478" w14:textId="34CB6AB8" w:rsidR="004B11A7" w:rsidRPr="00D14FB4" w:rsidRDefault="004B11A7" w:rsidP="004B11A7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D14FB4">
        <w:rPr>
          <w:rFonts w:asciiTheme="minorHAnsi" w:hAnsiTheme="minorHAnsi" w:cstheme="minorHAnsi"/>
          <w:b/>
          <w:bCs/>
          <w:sz w:val="28"/>
          <w:szCs w:val="28"/>
        </w:rPr>
        <w:t xml:space="preserve">Methodology </w:t>
      </w:r>
    </w:p>
    <w:p w14:paraId="7AC9D6A1" w14:textId="2C3BCAC3" w:rsidR="004B11A7" w:rsidRDefault="004B11A7" w:rsidP="004B11A7">
      <w:pPr>
        <w:rPr>
          <w:rFonts w:asciiTheme="minorHAnsi" w:hAnsiTheme="minorHAnsi" w:cstheme="minorHAnsi"/>
          <w:sz w:val="28"/>
          <w:szCs w:val="28"/>
        </w:rPr>
      </w:pPr>
    </w:p>
    <w:p w14:paraId="2B4153D6" w14:textId="18B61C4A" w:rsidR="00D14FB4" w:rsidRDefault="008F5BEA" w:rsidP="004B11A7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The methodology adopted by Brink differs from</w:t>
      </w:r>
      <w:r w:rsidR="001422E2">
        <w:rPr>
          <w:rFonts w:asciiTheme="minorHAnsi" w:hAnsiTheme="minorHAnsi" w:cstheme="minorHAnsi"/>
          <w:sz w:val="28"/>
          <w:szCs w:val="28"/>
        </w:rPr>
        <w:t xml:space="preserve"> W&amp;W</w:t>
      </w:r>
      <w:r w:rsidR="00D14FB4">
        <w:rPr>
          <w:rFonts w:asciiTheme="minorHAnsi" w:hAnsiTheme="minorHAnsi" w:cstheme="minorHAnsi"/>
          <w:sz w:val="28"/>
          <w:szCs w:val="28"/>
        </w:rPr>
        <w:t xml:space="preserve">, </w:t>
      </w:r>
      <w:r>
        <w:rPr>
          <w:rFonts w:asciiTheme="minorHAnsi" w:hAnsiTheme="minorHAnsi" w:cstheme="minorHAnsi"/>
          <w:sz w:val="28"/>
          <w:szCs w:val="28"/>
        </w:rPr>
        <w:t>as</w:t>
      </w:r>
      <w:r w:rsidR="00D14FB4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Brink uses quantitative methods for his research, using a questionnaire</w:t>
      </w:r>
      <w:r w:rsidR="00FA528B">
        <w:rPr>
          <w:rFonts w:asciiTheme="minorHAnsi" w:hAnsiTheme="minorHAnsi" w:cstheme="minorHAnsi"/>
          <w:sz w:val="28"/>
          <w:szCs w:val="28"/>
        </w:rPr>
        <w:t xml:space="preserve"> and</w:t>
      </w:r>
      <w:r>
        <w:rPr>
          <w:rFonts w:asciiTheme="minorHAnsi" w:hAnsiTheme="minorHAnsi" w:cstheme="minorHAnsi"/>
          <w:sz w:val="28"/>
          <w:szCs w:val="28"/>
        </w:rPr>
        <w:t xml:space="preserve"> acquiring statistical data for the basis of his investigations.</w:t>
      </w:r>
      <w:r w:rsidR="00051B55">
        <w:rPr>
          <w:rStyle w:val="FootnoteReference"/>
          <w:rFonts w:asciiTheme="minorHAnsi" w:hAnsiTheme="minorHAnsi" w:cstheme="minorHAnsi"/>
          <w:sz w:val="28"/>
          <w:szCs w:val="28"/>
        </w:rPr>
        <w:footnoteReference w:id="1"/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CF2020">
        <w:rPr>
          <w:rFonts w:asciiTheme="minorHAnsi" w:hAnsiTheme="minorHAnsi" w:cstheme="minorHAnsi"/>
          <w:sz w:val="28"/>
          <w:szCs w:val="28"/>
        </w:rPr>
        <w:t xml:space="preserve">By contrast, </w:t>
      </w:r>
      <w:r w:rsidR="00C36041">
        <w:rPr>
          <w:rFonts w:asciiTheme="minorHAnsi" w:hAnsiTheme="minorHAnsi" w:cstheme="minorHAnsi"/>
          <w:sz w:val="28"/>
          <w:szCs w:val="28"/>
        </w:rPr>
        <w:t xml:space="preserve">W&amp;W </w:t>
      </w:r>
      <w:r w:rsidR="00CF2020">
        <w:rPr>
          <w:rFonts w:asciiTheme="minorHAnsi" w:hAnsiTheme="minorHAnsi" w:cstheme="minorHAnsi"/>
          <w:sz w:val="28"/>
          <w:szCs w:val="28"/>
        </w:rPr>
        <w:t>use</w:t>
      </w:r>
      <w:r w:rsidR="00FA528B">
        <w:rPr>
          <w:rFonts w:asciiTheme="minorHAnsi" w:hAnsiTheme="minorHAnsi" w:cstheme="minorHAnsi"/>
          <w:sz w:val="28"/>
          <w:szCs w:val="28"/>
        </w:rPr>
        <w:t>s</w:t>
      </w:r>
      <w:r w:rsidR="00CF2020">
        <w:rPr>
          <w:rFonts w:asciiTheme="minorHAnsi" w:hAnsiTheme="minorHAnsi" w:cstheme="minorHAnsi"/>
          <w:sz w:val="28"/>
          <w:szCs w:val="28"/>
        </w:rPr>
        <w:t xml:space="preserve"> a qualitative approach, </w:t>
      </w:r>
      <w:r w:rsidR="00FA528B">
        <w:rPr>
          <w:rFonts w:asciiTheme="minorHAnsi" w:hAnsiTheme="minorHAnsi" w:cstheme="minorHAnsi"/>
          <w:sz w:val="28"/>
          <w:szCs w:val="28"/>
        </w:rPr>
        <w:t>adopting</w:t>
      </w:r>
      <w:r w:rsidR="00CF2020">
        <w:rPr>
          <w:rFonts w:asciiTheme="minorHAnsi" w:hAnsiTheme="minorHAnsi" w:cstheme="minorHAnsi"/>
          <w:sz w:val="28"/>
          <w:szCs w:val="28"/>
        </w:rPr>
        <w:t xml:space="preserve"> in-depth interviews to interpret data, gaining understanding and </w:t>
      </w:r>
      <w:r w:rsidR="007C1072">
        <w:rPr>
          <w:rFonts w:asciiTheme="minorHAnsi" w:hAnsiTheme="minorHAnsi" w:cstheme="minorHAnsi"/>
          <w:sz w:val="28"/>
          <w:szCs w:val="28"/>
        </w:rPr>
        <w:t>explanations</w:t>
      </w:r>
      <w:r w:rsidR="00CF2020">
        <w:rPr>
          <w:rFonts w:asciiTheme="minorHAnsi" w:hAnsiTheme="minorHAnsi" w:cstheme="minorHAnsi"/>
          <w:sz w:val="28"/>
          <w:szCs w:val="28"/>
        </w:rPr>
        <w:t xml:space="preserve"> of the beliefs of their participants.</w:t>
      </w:r>
      <w:r w:rsidR="007E0F9E">
        <w:rPr>
          <w:rStyle w:val="FootnoteReference"/>
          <w:rFonts w:asciiTheme="minorHAnsi" w:hAnsiTheme="minorHAnsi" w:cstheme="minorHAnsi"/>
          <w:sz w:val="28"/>
          <w:szCs w:val="28"/>
        </w:rPr>
        <w:footnoteReference w:id="2"/>
      </w:r>
      <w:r w:rsidR="00CF2020">
        <w:rPr>
          <w:rFonts w:asciiTheme="minorHAnsi" w:hAnsiTheme="minorHAnsi" w:cstheme="minorHAnsi"/>
          <w:sz w:val="28"/>
          <w:szCs w:val="28"/>
        </w:rPr>
        <w:t xml:space="preserve"> </w:t>
      </w:r>
      <w:r w:rsidR="007C1072">
        <w:rPr>
          <w:rFonts w:asciiTheme="minorHAnsi" w:hAnsiTheme="minorHAnsi" w:cstheme="minorHAnsi"/>
          <w:sz w:val="28"/>
          <w:szCs w:val="28"/>
        </w:rPr>
        <w:t>W&amp;W also include</w:t>
      </w:r>
      <w:r w:rsidR="00A6728F">
        <w:rPr>
          <w:rFonts w:asciiTheme="minorHAnsi" w:hAnsiTheme="minorHAnsi" w:cstheme="minorHAnsi"/>
          <w:sz w:val="28"/>
          <w:szCs w:val="28"/>
        </w:rPr>
        <w:t xml:space="preserve">s </w:t>
      </w:r>
      <w:r w:rsidR="007C1072">
        <w:rPr>
          <w:rFonts w:asciiTheme="minorHAnsi" w:hAnsiTheme="minorHAnsi" w:cstheme="minorHAnsi"/>
          <w:sz w:val="28"/>
          <w:szCs w:val="28"/>
        </w:rPr>
        <w:t xml:space="preserve">documentary evidence </w:t>
      </w:r>
      <w:r w:rsidR="00A6728F">
        <w:rPr>
          <w:rFonts w:asciiTheme="minorHAnsi" w:hAnsiTheme="minorHAnsi" w:cstheme="minorHAnsi"/>
          <w:sz w:val="28"/>
          <w:szCs w:val="28"/>
        </w:rPr>
        <w:t xml:space="preserve">from England, Europe and America, dating from 1947 to 1997, </w:t>
      </w:r>
      <w:r w:rsidR="000B02FC">
        <w:rPr>
          <w:rFonts w:asciiTheme="minorHAnsi" w:hAnsiTheme="minorHAnsi" w:cstheme="minorHAnsi"/>
          <w:sz w:val="28"/>
          <w:szCs w:val="28"/>
        </w:rPr>
        <w:t>to structure their research,</w:t>
      </w:r>
      <w:r w:rsidR="00A6728F">
        <w:rPr>
          <w:rFonts w:asciiTheme="minorHAnsi" w:hAnsiTheme="minorHAnsi" w:cstheme="minorHAnsi"/>
          <w:sz w:val="28"/>
          <w:szCs w:val="28"/>
        </w:rPr>
        <w:t xml:space="preserve"> while Brink only uses data from his questionnaire </w:t>
      </w:r>
      <w:r w:rsidR="000B02FC">
        <w:rPr>
          <w:rFonts w:asciiTheme="minorHAnsi" w:hAnsiTheme="minorHAnsi" w:cstheme="minorHAnsi"/>
          <w:sz w:val="28"/>
          <w:szCs w:val="28"/>
        </w:rPr>
        <w:t>for his hypothesis.</w:t>
      </w:r>
      <w:r w:rsidR="007E0F9E">
        <w:rPr>
          <w:rStyle w:val="FootnoteReference"/>
          <w:rFonts w:asciiTheme="minorHAnsi" w:hAnsiTheme="minorHAnsi" w:cstheme="minorHAnsi"/>
          <w:sz w:val="28"/>
          <w:szCs w:val="28"/>
        </w:rPr>
        <w:footnoteReference w:id="3"/>
      </w:r>
      <w:r w:rsidR="000B02FC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5F3ADB35" w14:textId="77777777" w:rsidR="00375000" w:rsidRDefault="00375000" w:rsidP="004B11A7">
      <w:pPr>
        <w:rPr>
          <w:rFonts w:asciiTheme="minorHAnsi" w:hAnsiTheme="minorHAnsi" w:cstheme="minorHAnsi"/>
          <w:sz w:val="28"/>
          <w:szCs w:val="28"/>
        </w:rPr>
      </w:pPr>
    </w:p>
    <w:p w14:paraId="30BB0504" w14:textId="3123163E" w:rsidR="00332E82" w:rsidRDefault="00332E82" w:rsidP="004B11A7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The subject group used by Brink are </w:t>
      </w:r>
      <w:r w:rsidR="007C1072">
        <w:rPr>
          <w:rFonts w:asciiTheme="minorHAnsi" w:hAnsiTheme="minorHAnsi" w:cstheme="minorHAnsi"/>
          <w:sz w:val="28"/>
          <w:szCs w:val="28"/>
        </w:rPr>
        <w:t>exclusively</w:t>
      </w:r>
      <w:r>
        <w:rPr>
          <w:rFonts w:asciiTheme="minorHAnsi" w:hAnsiTheme="minorHAnsi" w:cstheme="minorHAnsi"/>
          <w:sz w:val="28"/>
          <w:szCs w:val="28"/>
        </w:rPr>
        <w:t xml:space="preserve"> female and the age range is limited </w:t>
      </w:r>
      <w:r w:rsidR="007F658C">
        <w:rPr>
          <w:rFonts w:asciiTheme="minorHAnsi" w:hAnsiTheme="minorHAnsi" w:cstheme="minorHAnsi"/>
          <w:sz w:val="28"/>
          <w:szCs w:val="28"/>
        </w:rPr>
        <w:t xml:space="preserve">to </w:t>
      </w:r>
      <w:r>
        <w:rPr>
          <w:rFonts w:asciiTheme="minorHAnsi" w:hAnsiTheme="minorHAnsi" w:cstheme="minorHAnsi"/>
          <w:sz w:val="28"/>
          <w:szCs w:val="28"/>
        </w:rPr>
        <w:t>junior and high school ages</w:t>
      </w:r>
      <w:r w:rsidR="007F658C">
        <w:rPr>
          <w:rFonts w:asciiTheme="minorHAnsi" w:hAnsiTheme="minorHAnsi" w:cstheme="minorHAnsi"/>
          <w:sz w:val="28"/>
          <w:szCs w:val="28"/>
        </w:rPr>
        <w:t xml:space="preserve">, however </w:t>
      </w:r>
      <w:r w:rsidR="00C36041">
        <w:rPr>
          <w:rFonts w:asciiTheme="minorHAnsi" w:hAnsiTheme="minorHAnsi" w:cstheme="minorHAnsi"/>
          <w:sz w:val="28"/>
          <w:szCs w:val="28"/>
        </w:rPr>
        <w:t xml:space="preserve">W&amp;W </w:t>
      </w:r>
      <w:r w:rsidR="007F658C">
        <w:rPr>
          <w:rFonts w:asciiTheme="minorHAnsi" w:hAnsiTheme="minorHAnsi" w:cstheme="minorHAnsi"/>
          <w:sz w:val="28"/>
          <w:szCs w:val="28"/>
        </w:rPr>
        <w:t xml:space="preserve">participants </w:t>
      </w:r>
      <w:r w:rsidR="00FA528B">
        <w:rPr>
          <w:rFonts w:asciiTheme="minorHAnsi" w:hAnsiTheme="minorHAnsi" w:cstheme="minorHAnsi"/>
          <w:sz w:val="28"/>
          <w:szCs w:val="28"/>
        </w:rPr>
        <w:t>are</w:t>
      </w:r>
      <w:r w:rsidR="00173715">
        <w:rPr>
          <w:rFonts w:asciiTheme="minorHAnsi" w:hAnsiTheme="minorHAnsi" w:cstheme="minorHAnsi"/>
          <w:sz w:val="28"/>
          <w:szCs w:val="28"/>
        </w:rPr>
        <w:t xml:space="preserve"> a </w:t>
      </w:r>
      <w:r w:rsidR="00173715">
        <w:rPr>
          <w:rFonts w:asciiTheme="minorHAnsi" w:hAnsiTheme="minorHAnsi" w:cstheme="minorHAnsi"/>
          <w:sz w:val="28"/>
          <w:szCs w:val="28"/>
        </w:rPr>
        <w:lastRenderedPageBreak/>
        <w:t>mix of male and female</w:t>
      </w:r>
      <w:r w:rsidR="007F658C">
        <w:rPr>
          <w:rFonts w:asciiTheme="minorHAnsi" w:hAnsiTheme="minorHAnsi" w:cstheme="minorHAnsi"/>
          <w:sz w:val="28"/>
          <w:szCs w:val="28"/>
        </w:rPr>
        <w:t>.</w:t>
      </w:r>
      <w:r w:rsidR="00A013DA">
        <w:rPr>
          <w:rStyle w:val="FootnoteReference"/>
          <w:rFonts w:asciiTheme="minorHAnsi" w:hAnsiTheme="minorHAnsi" w:cstheme="minorHAnsi"/>
          <w:sz w:val="28"/>
          <w:szCs w:val="28"/>
        </w:rPr>
        <w:footnoteReference w:id="4"/>
      </w:r>
      <w:r w:rsidR="007F658C">
        <w:rPr>
          <w:rFonts w:asciiTheme="minorHAnsi" w:hAnsiTheme="minorHAnsi" w:cstheme="minorHAnsi"/>
          <w:sz w:val="28"/>
          <w:szCs w:val="28"/>
        </w:rPr>
        <w:t xml:space="preserve"> Brink</w:t>
      </w:r>
      <w:r w:rsidR="000F192B">
        <w:rPr>
          <w:rFonts w:asciiTheme="minorHAnsi" w:hAnsiTheme="minorHAnsi" w:cstheme="minorHAnsi"/>
          <w:sz w:val="28"/>
          <w:szCs w:val="28"/>
        </w:rPr>
        <w:t>’s</w:t>
      </w:r>
      <w:r w:rsidR="007F658C">
        <w:rPr>
          <w:rFonts w:asciiTheme="minorHAnsi" w:hAnsiTheme="minorHAnsi" w:cstheme="minorHAnsi"/>
          <w:sz w:val="28"/>
          <w:szCs w:val="28"/>
        </w:rPr>
        <w:t xml:space="preserve"> </w:t>
      </w:r>
      <w:r w:rsidR="009C0C91">
        <w:rPr>
          <w:rFonts w:asciiTheme="minorHAnsi" w:hAnsiTheme="minorHAnsi" w:cstheme="minorHAnsi"/>
          <w:sz w:val="28"/>
          <w:szCs w:val="28"/>
        </w:rPr>
        <w:t>respondents</w:t>
      </w:r>
      <w:r w:rsidR="007F658C">
        <w:rPr>
          <w:rFonts w:asciiTheme="minorHAnsi" w:hAnsiTheme="minorHAnsi" w:cstheme="minorHAnsi"/>
          <w:sz w:val="28"/>
          <w:szCs w:val="28"/>
        </w:rPr>
        <w:t xml:space="preserve"> </w:t>
      </w:r>
      <w:r w:rsidR="000F192B">
        <w:rPr>
          <w:rFonts w:asciiTheme="minorHAnsi" w:hAnsiTheme="minorHAnsi" w:cstheme="minorHAnsi"/>
          <w:sz w:val="28"/>
          <w:szCs w:val="28"/>
        </w:rPr>
        <w:t>came from one geographical location, similar social class, either from Polish or Italian extraction and all were in attendance at one Catholic school.</w:t>
      </w:r>
      <w:r w:rsidR="00A013DA">
        <w:rPr>
          <w:rStyle w:val="FootnoteReference"/>
          <w:rFonts w:asciiTheme="minorHAnsi" w:hAnsiTheme="minorHAnsi" w:cstheme="minorHAnsi"/>
          <w:sz w:val="28"/>
          <w:szCs w:val="28"/>
        </w:rPr>
        <w:footnoteReference w:id="5"/>
      </w:r>
      <w:r w:rsidR="00173715">
        <w:rPr>
          <w:rFonts w:asciiTheme="minorHAnsi" w:hAnsiTheme="minorHAnsi" w:cstheme="minorHAnsi"/>
          <w:sz w:val="28"/>
          <w:szCs w:val="28"/>
        </w:rPr>
        <w:t xml:space="preserve"> On the other hand, participants interviewed by W&amp;W range from school children of different ages, to adults of differing ages</w:t>
      </w:r>
      <w:r w:rsidR="00C36041">
        <w:rPr>
          <w:rFonts w:asciiTheme="minorHAnsi" w:hAnsiTheme="minorHAnsi" w:cstheme="minorHAnsi"/>
          <w:sz w:val="28"/>
          <w:szCs w:val="28"/>
        </w:rPr>
        <w:t>,</w:t>
      </w:r>
      <w:r w:rsidR="00173715">
        <w:rPr>
          <w:rFonts w:asciiTheme="minorHAnsi" w:hAnsiTheme="minorHAnsi" w:cstheme="minorHAnsi"/>
          <w:sz w:val="28"/>
          <w:szCs w:val="28"/>
        </w:rPr>
        <w:t xml:space="preserve"> </w:t>
      </w:r>
      <w:r w:rsidR="00FA528B">
        <w:rPr>
          <w:rFonts w:asciiTheme="minorHAnsi" w:hAnsiTheme="minorHAnsi" w:cstheme="minorHAnsi"/>
          <w:sz w:val="28"/>
          <w:szCs w:val="28"/>
        </w:rPr>
        <w:t>also with</w:t>
      </w:r>
      <w:r w:rsidR="007C1072">
        <w:rPr>
          <w:rFonts w:asciiTheme="minorHAnsi" w:hAnsiTheme="minorHAnsi" w:cstheme="minorHAnsi"/>
          <w:sz w:val="28"/>
          <w:szCs w:val="28"/>
        </w:rPr>
        <w:t xml:space="preserve"> differing</w:t>
      </w:r>
      <w:r w:rsidR="00173715">
        <w:rPr>
          <w:rFonts w:asciiTheme="minorHAnsi" w:hAnsiTheme="minorHAnsi" w:cstheme="minorHAnsi"/>
          <w:sz w:val="28"/>
          <w:szCs w:val="28"/>
        </w:rPr>
        <w:t xml:space="preserve"> employment </w:t>
      </w:r>
      <w:r w:rsidR="007C1072">
        <w:rPr>
          <w:rFonts w:asciiTheme="minorHAnsi" w:hAnsiTheme="minorHAnsi" w:cstheme="minorHAnsi"/>
          <w:sz w:val="28"/>
          <w:szCs w:val="28"/>
        </w:rPr>
        <w:t>and</w:t>
      </w:r>
      <w:r w:rsidR="00173715">
        <w:rPr>
          <w:rFonts w:asciiTheme="minorHAnsi" w:hAnsiTheme="minorHAnsi" w:cstheme="minorHAnsi"/>
          <w:sz w:val="28"/>
          <w:szCs w:val="28"/>
        </w:rPr>
        <w:t xml:space="preserve"> social status</w:t>
      </w:r>
      <w:r w:rsidR="000B02FC">
        <w:rPr>
          <w:rFonts w:asciiTheme="minorHAnsi" w:hAnsiTheme="minorHAnsi" w:cstheme="minorHAnsi"/>
          <w:sz w:val="28"/>
          <w:szCs w:val="28"/>
        </w:rPr>
        <w:t>.</w:t>
      </w:r>
      <w:r w:rsidR="00A013DA">
        <w:rPr>
          <w:rStyle w:val="FootnoteReference"/>
          <w:rFonts w:asciiTheme="minorHAnsi" w:hAnsiTheme="minorHAnsi" w:cstheme="minorHAnsi"/>
          <w:sz w:val="28"/>
          <w:szCs w:val="28"/>
        </w:rPr>
        <w:footnoteReference w:id="6"/>
      </w:r>
      <w:r w:rsidR="000B02FC">
        <w:rPr>
          <w:rFonts w:asciiTheme="minorHAnsi" w:hAnsiTheme="minorHAnsi" w:cstheme="minorHAnsi"/>
          <w:sz w:val="28"/>
          <w:szCs w:val="28"/>
        </w:rPr>
        <w:t xml:space="preserve"> </w:t>
      </w:r>
      <w:r w:rsidR="00C36041">
        <w:rPr>
          <w:rFonts w:asciiTheme="minorHAnsi" w:hAnsiTheme="minorHAnsi" w:cstheme="minorHAnsi"/>
          <w:sz w:val="28"/>
          <w:szCs w:val="28"/>
        </w:rPr>
        <w:t xml:space="preserve">W&amp;W’s </w:t>
      </w:r>
      <w:r w:rsidR="000B02FC">
        <w:rPr>
          <w:rFonts w:asciiTheme="minorHAnsi" w:hAnsiTheme="minorHAnsi" w:cstheme="minorHAnsi"/>
          <w:sz w:val="28"/>
          <w:szCs w:val="28"/>
        </w:rPr>
        <w:t xml:space="preserve">participants </w:t>
      </w:r>
      <w:r w:rsidR="00C36041">
        <w:rPr>
          <w:rFonts w:asciiTheme="minorHAnsi" w:hAnsiTheme="minorHAnsi" w:cstheme="minorHAnsi"/>
          <w:sz w:val="28"/>
          <w:szCs w:val="28"/>
        </w:rPr>
        <w:t xml:space="preserve">were </w:t>
      </w:r>
      <w:r w:rsidR="000B02FC">
        <w:rPr>
          <w:rFonts w:asciiTheme="minorHAnsi" w:hAnsiTheme="minorHAnsi" w:cstheme="minorHAnsi"/>
          <w:sz w:val="28"/>
          <w:szCs w:val="28"/>
        </w:rPr>
        <w:t>considered</w:t>
      </w:r>
      <w:r w:rsidR="00C36041">
        <w:rPr>
          <w:rFonts w:asciiTheme="minorHAnsi" w:hAnsiTheme="minorHAnsi" w:cstheme="minorHAnsi"/>
          <w:sz w:val="28"/>
          <w:szCs w:val="28"/>
        </w:rPr>
        <w:t xml:space="preserve"> </w:t>
      </w:r>
      <w:r w:rsidR="00FA528B">
        <w:rPr>
          <w:rFonts w:asciiTheme="minorHAnsi" w:hAnsiTheme="minorHAnsi" w:cstheme="minorHAnsi"/>
          <w:sz w:val="28"/>
          <w:szCs w:val="28"/>
        </w:rPr>
        <w:t>comprising</w:t>
      </w:r>
      <w:r w:rsidR="007C1072">
        <w:rPr>
          <w:rFonts w:asciiTheme="minorHAnsi" w:hAnsiTheme="minorHAnsi" w:cstheme="minorHAnsi"/>
          <w:sz w:val="28"/>
          <w:szCs w:val="28"/>
        </w:rPr>
        <w:t xml:space="preserve"> </w:t>
      </w:r>
      <w:r w:rsidR="00173715">
        <w:rPr>
          <w:rFonts w:asciiTheme="minorHAnsi" w:hAnsiTheme="minorHAnsi" w:cstheme="minorHAnsi"/>
          <w:sz w:val="28"/>
          <w:szCs w:val="28"/>
        </w:rPr>
        <w:t>varying religious beliefs,</w:t>
      </w:r>
      <w:r w:rsidR="007C1072">
        <w:rPr>
          <w:rFonts w:asciiTheme="minorHAnsi" w:hAnsiTheme="minorHAnsi" w:cstheme="minorHAnsi"/>
          <w:sz w:val="28"/>
          <w:szCs w:val="28"/>
        </w:rPr>
        <w:t xml:space="preserve"> </w:t>
      </w:r>
      <w:r w:rsidR="00173715">
        <w:rPr>
          <w:rFonts w:asciiTheme="minorHAnsi" w:hAnsiTheme="minorHAnsi" w:cstheme="minorHAnsi"/>
          <w:sz w:val="28"/>
          <w:szCs w:val="28"/>
        </w:rPr>
        <w:t xml:space="preserve">excluding </w:t>
      </w:r>
      <w:r w:rsidR="00C36041">
        <w:rPr>
          <w:rFonts w:asciiTheme="minorHAnsi" w:hAnsiTheme="minorHAnsi" w:cstheme="minorHAnsi"/>
          <w:sz w:val="28"/>
          <w:szCs w:val="28"/>
        </w:rPr>
        <w:t xml:space="preserve">some </w:t>
      </w:r>
      <w:r w:rsidR="007C1072">
        <w:rPr>
          <w:rFonts w:asciiTheme="minorHAnsi" w:hAnsiTheme="minorHAnsi" w:cstheme="minorHAnsi"/>
          <w:sz w:val="28"/>
          <w:szCs w:val="28"/>
        </w:rPr>
        <w:t>specific religious groups</w:t>
      </w:r>
      <w:r w:rsidR="00C36041">
        <w:rPr>
          <w:rFonts w:asciiTheme="minorHAnsi" w:hAnsiTheme="minorHAnsi" w:cstheme="minorHAnsi"/>
          <w:sz w:val="28"/>
          <w:szCs w:val="28"/>
        </w:rPr>
        <w:t>; those</w:t>
      </w:r>
      <w:r w:rsidR="007C1072">
        <w:rPr>
          <w:rFonts w:asciiTheme="minorHAnsi" w:hAnsiTheme="minorHAnsi" w:cstheme="minorHAnsi"/>
          <w:sz w:val="28"/>
          <w:szCs w:val="28"/>
        </w:rPr>
        <w:t xml:space="preserve"> people that might already believe in reincarnation.</w:t>
      </w:r>
      <w:r w:rsidR="00A013DA">
        <w:rPr>
          <w:rStyle w:val="FootnoteReference"/>
          <w:rFonts w:asciiTheme="minorHAnsi" w:hAnsiTheme="minorHAnsi" w:cstheme="minorHAnsi"/>
          <w:sz w:val="28"/>
          <w:szCs w:val="28"/>
        </w:rPr>
        <w:footnoteReference w:id="7"/>
      </w:r>
      <w:r w:rsidR="007C1072">
        <w:rPr>
          <w:rFonts w:asciiTheme="minorHAnsi" w:hAnsiTheme="minorHAnsi" w:cstheme="minorHAnsi"/>
          <w:sz w:val="28"/>
          <w:szCs w:val="28"/>
        </w:rPr>
        <w:t xml:space="preserve">  </w:t>
      </w:r>
      <w:r w:rsidR="000B02FC">
        <w:rPr>
          <w:rFonts w:asciiTheme="minorHAnsi" w:hAnsiTheme="minorHAnsi" w:cstheme="minorHAnsi"/>
          <w:sz w:val="28"/>
          <w:szCs w:val="28"/>
        </w:rPr>
        <w:t xml:space="preserve">The </w:t>
      </w:r>
      <w:r w:rsidR="00A6728F">
        <w:rPr>
          <w:rFonts w:asciiTheme="minorHAnsi" w:hAnsiTheme="minorHAnsi" w:cstheme="minorHAnsi"/>
          <w:sz w:val="28"/>
          <w:szCs w:val="28"/>
        </w:rPr>
        <w:t xml:space="preserve">geographical areas used by W&amp;W extend larger than Brink’s group, </w:t>
      </w:r>
      <w:r w:rsidR="00D63B93">
        <w:rPr>
          <w:rFonts w:asciiTheme="minorHAnsi" w:hAnsiTheme="minorHAnsi" w:cstheme="minorHAnsi"/>
          <w:sz w:val="28"/>
          <w:szCs w:val="28"/>
        </w:rPr>
        <w:t>although</w:t>
      </w:r>
      <w:r w:rsidR="000B02FC">
        <w:rPr>
          <w:rFonts w:asciiTheme="minorHAnsi" w:hAnsiTheme="minorHAnsi" w:cstheme="minorHAnsi"/>
          <w:sz w:val="28"/>
          <w:szCs w:val="28"/>
        </w:rPr>
        <w:t>,</w:t>
      </w:r>
      <w:r w:rsidR="00A6728F">
        <w:rPr>
          <w:rFonts w:asciiTheme="minorHAnsi" w:hAnsiTheme="minorHAnsi" w:cstheme="minorHAnsi"/>
          <w:sz w:val="28"/>
          <w:szCs w:val="28"/>
        </w:rPr>
        <w:t xml:space="preserve"> the</w:t>
      </w:r>
      <w:r w:rsidR="000B02FC">
        <w:rPr>
          <w:rFonts w:asciiTheme="minorHAnsi" w:hAnsiTheme="minorHAnsi" w:cstheme="minorHAnsi"/>
          <w:sz w:val="28"/>
          <w:szCs w:val="28"/>
        </w:rPr>
        <w:t xml:space="preserve"> participants</w:t>
      </w:r>
      <w:r w:rsidR="00A6728F">
        <w:rPr>
          <w:rFonts w:asciiTheme="minorHAnsi" w:hAnsiTheme="minorHAnsi" w:cstheme="minorHAnsi"/>
          <w:sz w:val="28"/>
          <w:szCs w:val="28"/>
        </w:rPr>
        <w:t xml:space="preserve"> </w:t>
      </w:r>
      <w:r w:rsidR="000B02FC">
        <w:rPr>
          <w:rFonts w:asciiTheme="minorHAnsi" w:hAnsiTheme="minorHAnsi" w:cstheme="minorHAnsi"/>
          <w:sz w:val="28"/>
          <w:szCs w:val="28"/>
        </w:rPr>
        <w:t xml:space="preserve">were </w:t>
      </w:r>
      <w:r w:rsidR="00D63B93">
        <w:rPr>
          <w:rFonts w:asciiTheme="minorHAnsi" w:hAnsiTheme="minorHAnsi" w:cstheme="minorHAnsi"/>
          <w:sz w:val="28"/>
          <w:szCs w:val="28"/>
        </w:rPr>
        <w:t>exclusively</w:t>
      </w:r>
      <w:r w:rsidR="00A6728F">
        <w:rPr>
          <w:rFonts w:asciiTheme="minorHAnsi" w:hAnsiTheme="minorHAnsi" w:cstheme="minorHAnsi"/>
          <w:sz w:val="28"/>
          <w:szCs w:val="28"/>
        </w:rPr>
        <w:t xml:space="preserve"> English and limited to the South West of England.</w:t>
      </w:r>
      <w:r w:rsidR="0067746F">
        <w:rPr>
          <w:rStyle w:val="FootnoteReference"/>
          <w:rFonts w:asciiTheme="minorHAnsi" w:hAnsiTheme="minorHAnsi" w:cstheme="minorHAnsi"/>
          <w:sz w:val="28"/>
          <w:szCs w:val="28"/>
        </w:rPr>
        <w:footnoteReference w:id="8"/>
      </w:r>
      <w:r w:rsidR="00A6728F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5CC67F3D" w14:textId="460C3755" w:rsidR="000B02FC" w:rsidRDefault="000B02FC" w:rsidP="004B11A7">
      <w:pPr>
        <w:rPr>
          <w:rFonts w:asciiTheme="minorHAnsi" w:hAnsiTheme="minorHAnsi" w:cstheme="minorHAnsi"/>
          <w:sz w:val="28"/>
          <w:szCs w:val="28"/>
        </w:rPr>
      </w:pPr>
    </w:p>
    <w:p w14:paraId="5DB37F22" w14:textId="33A2D6B9" w:rsidR="000B02FC" w:rsidRDefault="000B02FC" w:rsidP="004B11A7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D63B93">
        <w:rPr>
          <w:rFonts w:asciiTheme="minorHAnsi" w:hAnsiTheme="minorHAnsi" w:cstheme="minorHAnsi"/>
          <w:b/>
          <w:bCs/>
          <w:sz w:val="28"/>
          <w:szCs w:val="28"/>
        </w:rPr>
        <w:t xml:space="preserve">Position of Researchers </w:t>
      </w:r>
    </w:p>
    <w:p w14:paraId="091449DB" w14:textId="6A621772" w:rsidR="00D63B93" w:rsidRDefault="00D63B93" w:rsidP="004B11A7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279945E4" w14:textId="2C1D8158" w:rsidR="00375000" w:rsidRDefault="001422E2" w:rsidP="004B11A7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Brink’s is an outsider in relation to his target group. This is because his target group are school children and would be safeguarded </w:t>
      </w:r>
      <w:r w:rsidR="00FA528B">
        <w:rPr>
          <w:rFonts w:asciiTheme="minorHAnsi" w:hAnsiTheme="minorHAnsi" w:cstheme="minorHAnsi"/>
          <w:sz w:val="28"/>
          <w:szCs w:val="28"/>
        </w:rPr>
        <w:t>as a</w:t>
      </w:r>
      <w:r w:rsidR="00C36041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vulnerable group, therefore Brink would be distant from his subjects and would rely on a gatekeeper, for example a form tutor, to carry out the questionnaire on his behalf.</w:t>
      </w:r>
      <w:r w:rsidR="0067746F">
        <w:rPr>
          <w:rStyle w:val="FootnoteReference"/>
          <w:rFonts w:asciiTheme="minorHAnsi" w:hAnsiTheme="minorHAnsi" w:cstheme="minorHAnsi"/>
          <w:sz w:val="28"/>
          <w:szCs w:val="28"/>
        </w:rPr>
        <w:footnoteReference w:id="9"/>
      </w:r>
      <w:r>
        <w:rPr>
          <w:rFonts w:asciiTheme="minorHAnsi" w:hAnsiTheme="minorHAnsi" w:cstheme="minorHAnsi"/>
          <w:sz w:val="28"/>
          <w:szCs w:val="28"/>
        </w:rPr>
        <w:t xml:space="preserve"> Despite ethical considerations hav</w:t>
      </w:r>
      <w:r w:rsidR="00C36041">
        <w:rPr>
          <w:rFonts w:asciiTheme="minorHAnsi" w:hAnsiTheme="minorHAnsi" w:cstheme="minorHAnsi"/>
          <w:sz w:val="28"/>
          <w:szCs w:val="28"/>
        </w:rPr>
        <w:t>ing</w:t>
      </w:r>
      <w:r>
        <w:rPr>
          <w:rFonts w:asciiTheme="minorHAnsi" w:hAnsiTheme="minorHAnsi" w:cstheme="minorHAnsi"/>
          <w:sz w:val="28"/>
          <w:szCs w:val="28"/>
        </w:rPr>
        <w:t xml:space="preserve"> changed since Brink wrote his paper in 1978, it is likely</w:t>
      </w:r>
      <w:r w:rsidR="00DA7428">
        <w:rPr>
          <w:rFonts w:asciiTheme="minorHAnsi" w:hAnsiTheme="minorHAnsi" w:cstheme="minorHAnsi"/>
          <w:sz w:val="28"/>
          <w:szCs w:val="28"/>
        </w:rPr>
        <w:t xml:space="preserve"> that</w:t>
      </w:r>
      <w:r>
        <w:rPr>
          <w:rFonts w:asciiTheme="minorHAnsi" w:hAnsiTheme="minorHAnsi" w:cstheme="minorHAnsi"/>
          <w:sz w:val="28"/>
          <w:szCs w:val="28"/>
        </w:rPr>
        <w:t xml:space="preserve"> Brink</w:t>
      </w:r>
      <w:r w:rsidR="00DA7428">
        <w:rPr>
          <w:rFonts w:asciiTheme="minorHAnsi" w:hAnsiTheme="minorHAnsi" w:cstheme="minorHAnsi"/>
          <w:sz w:val="28"/>
          <w:szCs w:val="28"/>
        </w:rPr>
        <w:t>’s</w:t>
      </w:r>
      <w:r>
        <w:rPr>
          <w:rFonts w:asciiTheme="minorHAnsi" w:hAnsiTheme="minorHAnsi" w:cstheme="minorHAnsi"/>
          <w:sz w:val="28"/>
          <w:szCs w:val="28"/>
        </w:rPr>
        <w:t xml:space="preserve"> connection with his target group was</w:t>
      </w:r>
      <w:r w:rsidR="00DA7428">
        <w:rPr>
          <w:rFonts w:asciiTheme="minorHAnsi" w:hAnsiTheme="minorHAnsi" w:cstheme="minorHAnsi"/>
          <w:sz w:val="28"/>
          <w:szCs w:val="28"/>
        </w:rPr>
        <w:t xml:space="preserve"> fleeting</w:t>
      </w:r>
      <w:r w:rsidR="00C36041">
        <w:rPr>
          <w:rFonts w:asciiTheme="minorHAnsi" w:hAnsiTheme="minorHAnsi" w:cstheme="minorHAnsi"/>
          <w:sz w:val="28"/>
          <w:szCs w:val="28"/>
        </w:rPr>
        <w:t>,</w:t>
      </w:r>
      <w:r w:rsidR="00DA7428">
        <w:rPr>
          <w:rFonts w:asciiTheme="minorHAnsi" w:hAnsiTheme="minorHAnsi" w:cstheme="minorHAnsi"/>
          <w:sz w:val="28"/>
          <w:szCs w:val="28"/>
        </w:rPr>
        <w:t xml:space="preserve"> or</w:t>
      </w:r>
      <w:r>
        <w:rPr>
          <w:rFonts w:asciiTheme="minorHAnsi" w:hAnsiTheme="minorHAnsi" w:cstheme="minorHAnsi"/>
          <w:sz w:val="28"/>
          <w:szCs w:val="28"/>
        </w:rPr>
        <w:t xml:space="preserve"> non-existent.</w:t>
      </w:r>
      <w:r w:rsidR="00EA05B7">
        <w:rPr>
          <w:rStyle w:val="FootnoteReference"/>
          <w:rFonts w:asciiTheme="minorHAnsi" w:hAnsiTheme="minorHAnsi" w:cstheme="minorHAnsi"/>
          <w:sz w:val="28"/>
          <w:szCs w:val="28"/>
        </w:rPr>
        <w:footnoteReference w:id="10"/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3529AF">
        <w:rPr>
          <w:rFonts w:asciiTheme="minorHAnsi" w:hAnsiTheme="minorHAnsi" w:cstheme="minorHAnsi"/>
          <w:sz w:val="28"/>
          <w:szCs w:val="28"/>
        </w:rPr>
        <w:t>For Brink</w:t>
      </w:r>
      <w:r w:rsidR="00C36041">
        <w:rPr>
          <w:rFonts w:asciiTheme="minorHAnsi" w:hAnsiTheme="minorHAnsi" w:cstheme="minorHAnsi"/>
          <w:sz w:val="28"/>
          <w:szCs w:val="28"/>
        </w:rPr>
        <w:t>,</w:t>
      </w:r>
      <w:r w:rsidR="003529AF">
        <w:rPr>
          <w:rFonts w:asciiTheme="minorHAnsi" w:hAnsiTheme="minorHAnsi" w:cstheme="minorHAnsi"/>
          <w:sz w:val="28"/>
          <w:szCs w:val="28"/>
        </w:rPr>
        <w:t xml:space="preserve"> his conclusions are based on empirical data and adopts a scientific approach, and therefore</w:t>
      </w:r>
      <w:r w:rsidR="00653579">
        <w:rPr>
          <w:rFonts w:asciiTheme="minorHAnsi" w:hAnsiTheme="minorHAnsi" w:cstheme="minorHAnsi"/>
          <w:sz w:val="28"/>
          <w:szCs w:val="28"/>
        </w:rPr>
        <w:t xml:space="preserve"> </w:t>
      </w:r>
      <w:r w:rsidR="00C36041">
        <w:rPr>
          <w:rFonts w:asciiTheme="minorHAnsi" w:hAnsiTheme="minorHAnsi" w:cstheme="minorHAnsi"/>
          <w:sz w:val="28"/>
          <w:szCs w:val="28"/>
        </w:rPr>
        <w:t xml:space="preserve">adopts </w:t>
      </w:r>
      <w:r w:rsidR="00653579">
        <w:rPr>
          <w:rFonts w:asciiTheme="minorHAnsi" w:hAnsiTheme="minorHAnsi" w:cstheme="minorHAnsi"/>
          <w:sz w:val="28"/>
          <w:szCs w:val="28"/>
        </w:rPr>
        <w:t>positivism as the basis for his research.</w:t>
      </w:r>
      <w:r w:rsidR="00EA05B7">
        <w:rPr>
          <w:rStyle w:val="FootnoteReference"/>
          <w:rFonts w:asciiTheme="minorHAnsi" w:hAnsiTheme="minorHAnsi" w:cstheme="minorHAnsi"/>
          <w:sz w:val="28"/>
          <w:szCs w:val="28"/>
        </w:rPr>
        <w:footnoteReference w:id="11"/>
      </w:r>
    </w:p>
    <w:p w14:paraId="2C10415A" w14:textId="77777777" w:rsidR="00375000" w:rsidRDefault="00375000" w:rsidP="004B11A7">
      <w:pPr>
        <w:rPr>
          <w:rFonts w:asciiTheme="minorHAnsi" w:hAnsiTheme="minorHAnsi" w:cstheme="minorHAnsi"/>
          <w:sz w:val="28"/>
          <w:szCs w:val="28"/>
        </w:rPr>
      </w:pPr>
    </w:p>
    <w:p w14:paraId="502A55CB" w14:textId="357FE163" w:rsidR="00D63B93" w:rsidRDefault="00DA7428" w:rsidP="004B11A7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By contrast, </w:t>
      </w:r>
      <w:r w:rsidR="00616CC2">
        <w:rPr>
          <w:rFonts w:asciiTheme="minorHAnsi" w:hAnsiTheme="minorHAnsi" w:cstheme="minorHAnsi"/>
          <w:sz w:val="28"/>
          <w:szCs w:val="28"/>
        </w:rPr>
        <w:t xml:space="preserve">the position of </w:t>
      </w:r>
      <w:r>
        <w:rPr>
          <w:rFonts w:asciiTheme="minorHAnsi" w:hAnsiTheme="minorHAnsi" w:cstheme="minorHAnsi"/>
          <w:sz w:val="28"/>
          <w:szCs w:val="28"/>
        </w:rPr>
        <w:t>W&amp;W</w:t>
      </w:r>
      <w:r w:rsidR="00616CC2">
        <w:rPr>
          <w:rFonts w:asciiTheme="minorHAnsi" w:hAnsiTheme="minorHAnsi" w:cstheme="minorHAnsi"/>
          <w:sz w:val="28"/>
          <w:szCs w:val="28"/>
        </w:rPr>
        <w:t xml:space="preserve"> target group indicates</w:t>
      </w:r>
      <w:r>
        <w:rPr>
          <w:rFonts w:asciiTheme="minorHAnsi" w:hAnsiTheme="minorHAnsi" w:cstheme="minorHAnsi"/>
          <w:sz w:val="28"/>
          <w:szCs w:val="28"/>
        </w:rPr>
        <w:t xml:space="preserve"> an insider perspective, </w:t>
      </w:r>
      <w:r w:rsidR="00093C16">
        <w:rPr>
          <w:rFonts w:asciiTheme="minorHAnsi" w:hAnsiTheme="minorHAnsi" w:cstheme="minorHAnsi"/>
          <w:sz w:val="28"/>
          <w:szCs w:val="28"/>
        </w:rPr>
        <w:t>as the conduct of their research</w:t>
      </w:r>
      <w:r w:rsidR="00C36041">
        <w:rPr>
          <w:rFonts w:asciiTheme="minorHAnsi" w:hAnsiTheme="minorHAnsi" w:cstheme="minorHAnsi"/>
          <w:sz w:val="28"/>
          <w:szCs w:val="28"/>
        </w:rPr>
        <w:t>,</w:t>
      </w:r>
      <w:r w:rsidR="00093C16">
        <w:rPr>
          <w:rFonts w:asciiTheme="minorHAnsi" w:hAnsiTheme="minorHAnsi" w:cstheme="minorHAnsi"/>
          <w:sz w:val="28"/>
          <w:szCs w:val="28"/>
        </w:rPr>
        <w:t xml:space="preserve"> using</w:t>
      </w:r>
      <w:r w:rsidR="00616CC2">
        <w:rPr>
          <w:rFonts w:asciiTheme="minorHAnsi" w:hAnsiTheme="minorHAnsi" w:cstheme="minorHAnsi"/>
          <w:sz w:val="28"/>
          <w:szCs w:val="28"/>
        </w:rPr>
        <w:t xml:space="preserve"> in-depth interviews</w:t>
      </w:r>
      <w:r w:rsidR="00093C16">
        <w:rPr>
          <w:rFonts w:asciiTheme="minorHAnsi" w:hAnsiTheme="minorHAnsi" w:cstheme="minorHAnsi"/>
          <w:sz w:val="28"/>
          <w:szCs w:val="28"/>
        </w:rPr>
        <w:t>,</w:t>
      </w:r>
      <w:r w:rsidR="00616CC2">
        <w:rPr>
          <w:rFonts w:asciiTheme="minorHAnsi" w:hAnsiTheme="minorHAnsi" w:cstheme="minorHAnsi"/>
          <w:sz w:val="28"/>
          <w:szCs w:val="28"/>
        </w:rPr>
        <w:t xml:space="preserve"> </w:t>
      </w:r>
      <w:r w:rsidR="00C36041">
        <w:rPr>
          <w:rFonts w:asciiTheme="minorHAnsi" w:hAnsiTheme="minorHAnsi" w:cstheme="minorHAnsi"/>
          <w:sz w:val="28"/>
          <w:szCs w:val="28"/>
        </w:rPr>
        <w:t>carried out</w:t>
      </w:r>
      <w:r w:rsidR="00616CC2">
        <w:rPr>
          <w:rFonts w:asciiTheme="minorHAnsi" w:hAnsiTheme="minorHAnsi" w:cstheme="minorHAnsi"/>
          <w:sz w:val="28"/>
          <w:szCs w:val="28"/>
        </w:rPr>
        <w:t xml:space="preserve"> by both W&amp;W</w:t>
      </w:r>
      <w:r w:rsidR="00093C16">
        <w:rPr>
          <w:rFonts w:asciiTheme="minorHAnsi" w:hAnsiTheme="minorHAnsi" w:cstheme="minorHAnsi"/>
          <w:sz w:val="28"/>
          <w:szCs w:val="28"/>
        </w:rPr>
        <w:t xml:space="preserve">, </w:t>
      </w:r>
      <w:r w:rsidR="00653579">
        <w:rPr>
          <w:rFonts w:asciiTheme="minorHAnsi" w:hAnsiTheme="minorHAnsi" w:cstheme="minorHAnsi"/>
          <w:sz w:val="28"/>
          <w:szCs w:val="28"/>
        </w:rPr>
        <w:t>enables</w:t>
      </w:r>
      <w:r w:rsidR="00093C16">
        <w:rPr>
          <w:rFonts w:asciiTheme="minorHAnsi" w:hAnsiTheme="minorHAnsi" w:cstheme="minorHAnsi"/>
          <w:sz w:val="28"/>
          <w:szCs w:val="28"/>
        </w:rPr>
        <w:t xml:space="preserve"> closer contact </w:t>
      </w:r>
      <w:r w:rsidR="00616CC2">
        <w:rPr>
          <w:rFonts w:asciiTheme="minorHAnsi" w:hAnsiTheme="minorHAnsi" w:cstheme="minorHAnsi"/>
          <w:sz w:val="28"/>
          <w:szCs w:val="28"/>
        </w:rPr>
        <w:t xml:space="preserve">to their participants </w:t>
      </w:r>
      <w:r w:rsidR="00093C16">
        <w:rPr>
          <w:rFonts w:asciiTheme="minorHAnsi" w:hAnsiTheme="minorHAnsi" w:cstheme="minorHAnsi"/>
          <w:sz w:val="28"/>
          <w:szCs w:val="28"/>
        </w:rPr>
        <w:t>than Brink’s research.</w:t>
      </w:r>
      <w:r w:rsidR="00EA05B7">
        <w:rPr>
          <w:rStyle w:val="FootnoteReference"/>
          <w:rFonts w:asciiTheme="minorHAnsi" w:hAnsiTheme="minorHAnsi" w:cstheme="minorHAnsi"/>
          <w:sz w:val="28"/>
          <w:szCs w:val="28"/>
        </w:rPr>
        <w:footnoteReference w:id="12"/>
      </w:r>
      <w:r w:rsidR="00093C16">
        <w:rPr>
          <w:rFonts w:asciiTheme="minorHAnsi" w:hAnsiTheme="minorHAnsi" w:cstheme="minorHAnsi"/>
          <w:sz w:val="28"/>
          <w:szCs w:val="28"/>
        </w:rPr>
        <w:t xml:space="preserve"> The </w:t>
      </w:r>
      <w:r w:rsidR="00616CC2">
        <w:rPr>
          <w:rFonts w:asciiTheme="minorHAnsi" w:hAnsiTheme="minorHAnsi" w:cstheme="minorHAnsi"/>
          <w:sz w:val="28"/>
          <w:szCs w:val="28"/>
        </w:rPr>
        <w:t xml:space="preserve">depth of </w:t>
      </w:r>
      <w:r w:rsidR="00093C16">
        <w:rPr>
          <w:rFonts w:asciiTheme="minorHAnsi" w:hAnsiTheme="minorHAnsi" w:cstheme="minorHAnsi"/>
          <w:sz w:val="28"/>
          <w:szCs w:val="28"/>
        </w:rPr>
        <w:t>W&amp;W</w:t>
      </w:r>
      <w:r w:rsidR="00C36041">
        <w:rPr>
          <w:rFonts w:asciiTheme="minorHAnsi" w:hAnsiTheme="minorHAnsi" w:cstheme="minorHAnsi"/>
          <w:sz w:val="28"/>
          <w:szCs w:val="28"/>
        </w:rPr>
        <w:t>’s</w:t>
      </w:r>
      <w:r w:rsidR="00616CC2">
        <w:rPr>
          <w:rFonts w:asciiTheme="minorHAnsi" w:hAnsiTheme="minorHAnsi" w:cstheme="minorHAnsi"/>
          <w:sz w:val="28"/>
          <w:szCs w:val="28"/>
        </w:rPr>
        <w:t xml:space="preserve"> </w:t>
      </w:r>
      <w:r w:rsidR="00093C16">
        <w:rPr>
          <w:rFonts w:asciiTheme="minorHAnsi" w:hAnsiTheme="minorHAnsi" w:cstheme="minorHAnsi"/>
          <w:sz w:val="28"/>
          <w:szCs w:val="28"/>
        </w:rPr>
        <w:t>research</w:t>
      </w:r>
      <w:r w:rsidR="00616CC2">
        <w:rPr>
          <w:rFonts w:asciiTheme="minorHAnsi" w:hAnsiTheme="minorHAnsi" w:cstheme="minorHAnsi"/>
          <w:sz w:val="28"/>
          <w:szCs w:val="28"/>
        </w:rPr>
        <w:t xml:space="preserve">, </w:t>
      </w:r>
      <w:r w:rsidR="00653579">
        <w:rPr>
          <w:rFonts w:asciiTheme="minorHAnsi" w:hAnsiTheme="minorHAnsi" w:cstheme="minorHAnsi"/>
          <w:sz w:val="28"/>
          <w:szCs w:val="28"/>
        </w:rPr>
        <w:t>highlighting</w:t>
      </w:r>
      <w:r w:rsidR="00616CC2">
        <w:rPr>
          <w:rFonts w:asciiTheme="minorHAnsi" w:hAnsiTheme="minorHAnsi" w:cstheme="minorHAnsi"/>
          <w:sz w:val="28"/>
          <w:szCs w:val="28"/>
        </w:rPr>
        <w:t xml:space="preserve"> nuance</w:t>
      </w:r>
      <w:r w:rsidR="00093C16">
        <w:rPr>
          <w:rFonts w:asciiTheme="minorHAnsi" w:hAnsiTheme="minorHAnsi" w:cstheme="minorHAnsi"/>
          <w:sz w:val="28"/>
          <w:szCs w:val="28"/>
        </w:rPr>
        <w:t>s</w:t>
      </w:r>
      <w:r w:rsidR="00616CC2">
        <w:rPr>
          <w:rFonts w:asciiTheme="minorHAnsi" w:hAnsiTheme="minorHAnsi" w:cstheme="minorHAnsi"/>
          <w:sz w:val="28"/>
          <w:szCs w:val="28"/>
        </w:rPr>
        <w:t xml:space="preserve"> and </w:t>
      </w:r>
      <w:r w:rsidR="00093C16">
        <w:rPr>
          <w:rFonts w:asciiTheme="minorHAnsi" w:hAnsiTheme="minorHAnsi" w:cstheme="minorHAnsi"/>
          <w:sz w:val="28"/>
          <w:szCs w:val="28"/>
        </w:rPr>
        <w:t>specific comments from</w:t>
      </w:r>
      <w:r w:rsidR="00616CC2">
        <w:rPr>
          <w:rFonts w:asciiTheme="minorHAnsi" w:hAnsiTheme="minorHAnsi" w:cstheme="minorHAnsi"/>
          <w:sz w:val="28"/>
          <w:szCs w:val="28"/>
        </w:rPr>
        <w:t xml:space="preserve"> participants</w:t>
      </w:r>
      <w:r w:rsidR="00C36041">
        <w:rPr>
          <w:rFonts w:asciiTheme="minorHAnsi" w:hAnsiTheme="minorHAnsi" w:cstheme="minorHAnsi"/>
          <w:sz w:val="28"/>
          <w:szCs w:val="28"/>
        </w:rPr>
        <w:t>,</w:t>
      </w:r>
      <w:r w:rsidR="00616CC2">
        <w:rPr>
          <w:rFonts w:asciiTheme="minorHAnsi" w:hAnsiTheme="minorHAnsi" w:cstheme="minorHAnsi"/>
          <w:sz w:val="28"/>
          <w:szCs w:val="28"/>
        </w:rPr>
        <w:t xml:space="preserve"> </w:t>
      </w:r>
      <w:r w:rsidR="003529AF">
        <w:rPr>
          <w:rFonts w:asciiTheme="minorHAnsi" w:hAnsiTheme="minorHAnsi" w:cstheme="minorHAnsi"/>
          <w:sz w:val="28"/>
          <w:szCs w:val="28"/>
        </w:rPr>
        <w:t>suggests an emic perspective</w:t>
      </w:r>
      <w:r w:rsidR="00653579">
        <w:rPr>
          <w:rFonts w:asciiTheme="minorHAnsi" w:hAnsiTheme="minorHAnsi" w:cstheme="minorHAnsi"/>
          <w:sz w:val="28"/>
          <w:szCs w:val="28"/>
        </w:rPr>
        <w:t>, detailing personal opinions and subjective experiences.</w:t>
      </w:r>
      <w:r w:rsidR="00EA05B7">
        <w:rPr>
          <w:rStyle w:val="FootnoteReference"/>
          <w:rFonts w:asciiTheme="minorHAnsi" w:hAnsiTheme="minorHAnsi" w:cstheme="minorHAnsi"/>
          <w:sz w:val="28"/>
          <w:szCs w:val="28"/>
        </w:rPr>
        <w:footnoteReference w:id="13"/>
      </w:r>
      <w:r w:rsidR="00653579">
        <w:rPr>
          <w:rFonts w:asciiTheme="minorHAnsi" w:hAnsiTheme="minorHAnsi" w:cstheme="minorHAnsi"/>
          <w:sz w:val="28"/>
          <w:szCs w:val="28"/>
        </w:rPr>
        <w:t xml:space="preserve"> </w:t>
      </w:r>
      <w:r w:rsidR="007E15C0">
        <w:rPr>
          <w:rFonts w:asciiTheme="minorHAnsi" w:hAnsiTheme="minorHAnsi" w:cstheme="minorHAnsi"/>
          <w:sz w:val="28"/>
          <w:szCs w:val="28"/>
        </w:rPr>
        <w:t>The insider perspective creates a depth</w:t>
      </w:r>
      <w:r w:rsidR="00C36041">
        <w:rPr>
          <w:rFonts w:asciiTheme="minorHAnsi" w:hAnsiTheme="minorHAnsi" w:cstheme="minorHAnsi"/>
          <w:sz w:val="28"/>
          <w:szCs w:val="28"/>
        </w:rPr>
        <w:t>, findings</w:t>
      </w:r>
      <w:r w:rsidR="007E15C0">
        <w:rPr>
          <w:rFonts w:asciiTheme="minorHAnsi" w:hAnsiTheme="minorHAnsi" w:cstheme="minorHAnsi"/>
          <w:sz w:val="28"/>
          <w:szCs w:val="28"/>
        </w:rPr>
        <w:t xml:space="preserve"> that are contextually </w:t>
      </w:r>
      <w:r w:rsidR="00653579">
        <w:rPr>
          <w:rFonts w:asciiTheme="minorHAnsi" w:hAnsiTheme="minorHAnsi" w:cstheme="minorHAnsi"/>
          <w:sz w:val="28"/>
          <w:szCs w:val="28"/>
        </w:rPr>
        <w:t xml:space="preserve">rich </w:t>
      </w:r>
      <w:r w:rsidR="003A41A0">
        <w:rPr>
          <w:rFonts w:asciiTheme="minorHAnsi" w:hAnsiTheme="minorHAnsi" w:cstheme="minorHAnsi"/>
          <w:sz w:val="28"/>
          <w:szCs w:val="28"/>
        </w:rPr>
        <w:t>and</w:t>
      </w:r>
      <w:r w:rsidR="007E15C0">
        <w:rPr>
          <w:rFonts w:asciiTheme="minorHAnsi" w:hAnsiTheme="minorHAnsi" w:cstheme="minorHAnsi"/>
          <w:sz w:val="28"/>
          <w:szCs w:val="28"/>
        </w:rPr>
        <w:t xml:space="preserve"> </w:t>
      </w:r>
      <w:r w:rsidR="003A41A0">
        <w:rPr>
          <w:rFonts w:asciiTheme="minorHAnsi" w:hAnsiTheme="minorHAnsi" w:cstheme="minorHAnsi"/>
          <w:sz w:val="28"/>
          <w:szCs w:val="28"/>
        </w:rPr>
        <w:t xml:space="preserve">open, </w:t>
      </w:r>
      <w:r w:rsidR="003A41A0">
        <w:rPr>
          <w:rFonts w:asciiTheme="minorHAnsi" w:hAnsiTheme="minorHAnsi" w:cstheme="minorHAnsi"/>
          <w:sz w:val="28"/>
          <w:szCs w:val="28"/>
        </w:rPr>
        <w:lastRenderedPageBreak/>
        <w:t xml:space="preserve">rather than Brink’s </w:t>
      </w:r>
      <w:r w:rsidR="007E15C0">
        <w:rPr>
          <w:rFonts w:asciiTheme="minorHAnsi" w:hAnsiTheme="minorHAnsi" w:cstheme="minorHAnsi"/>
          <w:sz w:val="28"/>
          <w:szCs w:val="28"/>
        </w:rPr>
        <w:t>outsider perspective</w:t>
      </w:r>
      <w:r w:rsidR="00C36041">
        <w:rPr>
          <w:rFonts w:asciiTheme="minorHAnsi" w:hAnsiTheme="minorHAnsi" w:cstheme="minorHAnsi"/>
          <w:sz w:val="28"/>
          <w:szCs w:val="28"/>
        </w:rPr>
        <w:t>,</w:t>
      </w:r>
      <w:r w:rsidR="003A41A0">
        <w:rPr>
          <w:rFonts w:asciiTheme="minorHAnsi" w:hAnsiTheme="minorHAnsi" w:cstheme="minorHAnsi"/>
          <w:sz w:val="28"/>
          <w:szCs w:val="28"/>
        </w:rPr>
        <w:t xml:space="preserve"> </w:t>
      </w:r>
      <w:r w:rsidR="007E15C0">
        <w:rPr>
          <w:rFonts w:asciiTheme="minorHAnsi" w:hAnsiTheme="minorHAnsi" w:cstheme="minorHAnsi"/>
          <w:sz w:val="28"/>
          <w:szCs w:val="28"/>
        </w:rPr>
        <w:t>whose findings are</w:t>
      </w:r>
      <w:r w:rsidR="003A41A0">
        <w:rPr>
          <w:rFonts w:asciiTheme="minorHAnsi" w:hAnsiTheme="minorHAnsi" w:cstheme="minorHAnsi"/>
          <w:sz w:val="28"/>
          <w:szCs w:val="28"/>
        </w:rPr>
        <w:t xml:space="preserve"> </w:t>
      </w:r>
      <w:r w:rsidR="00C36041">
        <w:rPr>
          <w:rFonts w:asciiTheme="minorHAnsi" w:hAnsiTheme="minorHAnsi" w:cstheme="minorHAnsi"/>
          <w:sz w:val="28"/>
          <w:szCs w:val="28"/>
        </w:rPr>
        <w:t>limited from human inference and</w:t>
      </w:r>
      <w:r w:rsidR="007E15C0">
        <w:rPr>
          <w:rFonts w:asciiTheme="minorHAnsi" w:hAnsiTheme="minorHAnsi" w:cstheme="minorHAnsi"/>
          <w:sz w:val="28"/>
          <w:szCs w:val="28"/>
        </w:rPr>
        <w:t xml:space="preserve"> </w:t>
      </w:r>
      <w:r w:rsidR="003A41A0">
        <w:rPr>
          <w:rFonts w:asciiTheme="minorHAnsi" w:hAnsiTheme="minorHAnsi" w:cstheme="minorHAnsi"/>
          <w:sz w:val="28"/>
          <w:szCs w:val="28"/>
        </w:rPr>
        <w:t>fixe</w:t>
      </w:r>
      <w:r w:rsidR="007E15C0">
        <w:rPr>
          <w:rFonts w:asciiTheme="minorHAnsi" w:hAnsiTheme="minorHAnsi" w:cstheme="minorHAnsi"/>
          <w:sz w:val="28"/>
          <w:szCs w:val="28"/>
        </w:rPr>
        <w:t>d.</w:t>
      </w:r>
      <w:r w:rsidR="000B10B8">
        <w:rPr>
          <w:rStyle w:val="FootnoteReference"/>
          <w:rFonts w:asciiTheme="minorHAnsi" w:hAnsiTheme="minorHAnsi" w:cstheme="minorHAnsi"/>
          <w:sz w:val="28"/>
          <w:szCs w:val="28"/>
        </w:rPr>
        <w:footnoteReference w:id="14"/>
      </w:r>
      <w:r w:rsidR="003A41A0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5B90ED4C" w14:textId="61EC58B2" w:rsidR="00653579" w:rsidRDefault="00653579" w:rsidP="004B11A7">
      <w:pPr>
        <w:rPr>
          <w:rFonts w:asciiTheme="minorHAnsi" w:hAnsiTheme="minorHAnsi" w:cstheme="minorHAnsi"/>
          <w:sz w:val="28"/>
          <w:szCs w:val="28"/>
        </w:rPr>
      </w:pPr>
    </w:p>
    <w:p w14:paraId="43138792" w14:textId="0926E5FD" w:rsidR="00653579" w:rsidRDefault="00653579" w:rsidP="004B11A7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3A41A0">
        <w:rPr>
          <w:rFonts w:asciiTheme="minorHAnsi" w:hAnsiTheme="minorHAnsi" w:cstheme="minorHAnsi"/>
          <w:b/>
          <w:bCs/>
          <w:sz w:val="28"/>
          <w:szCs w:val="28"/>
        </w:rPr>
        <w:t xml:space="preserve">Literature Review </w:t>
      </w:r>
    </w:p>
    <w:p w14:paraId="3451BFB3" w14:textId="3F3416FC" w:rsidR="003A41A0" w:rsidRDefault="003A41A0" w:rsidP="004B11A7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37F75CAD" w14:textId="0C499973" w:rsidR="00DA4AA2" w:rsidRDefault="00D708D7" w:rsidP="0083069B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Both papers, in their assessment, methodology and conclusions </w:t>
      </w:r>
      <w:r w:rsidR="00CC33CF">
        <w:rPr>
          <w:rFonts w:asciiTheme="minorHAnsi" w:hAnsiTheme="minorHAnsi" w:cstheme="minorHAnsi"/>
          <w:sz w:val="28"/>
          <w:szCs w:val="28"/>
        </w:rPr>
        <w:t xml:space="preserve">are inherently different. </w:t>
      </w:r>
      <w:r w:rsidR="007E15C0">
        <w:rPr>
          <w:rFonts w:asciiTheme="minorHAnsi" w:hAnsiTheme="minorHAnsi" w:cstheme="minorHAnsi"/>
          <w:sz w:val="28"/>
          <w:szCs w:val="28"/>
        </w:rPr>
        <w:t>The main difference</w:t>
      </w:r>
      <w:r>
        <w:rPr>
          <w:rFonts w:asciiTheme="minorHAnsi" w:hAnsiTheme="minorHAnsi" w:cstheme="minorHAnsi"/>
          <w:sz w:val="28"/>
          <w:szCs w:val="28"/>
        </w:rPr>
        <w:t xml:space="preserve"> between both papers is that Brink uses astrology as a key indicator in his analysis to form his conclusions, </w:t>
      </w:r>
      <w:r w:rsidR="00CC33CF">
        <w:rPr>
          <w:rFonts w:asciiTheme="minorHAnsi" w:hAnsiTheme="minorHAnsi" w:cstheme="minorHAnsi"/>
          <w:sz w:val="28"/>
          <w:szCs w:val="28"/>
        </w:rPr>
        <w:t>ho</w:t>
      </w:r>
      <w:r w:rsidR="001F6F3A">
        <w:rPr>
          <w:rFonts w:asciiTheme="minorHAnsi" w:hAnsiTheme="minorHAnsi" w:cstheme="minorHAnsi"/>
          <w:sz w:val="28"/>
          <w:szCs w:val="28"/>
        </w:rPr>
        <w:t>wever</w:t>
      </w:r>
      <w:r>
        <w:rPr>
          <w:rFonts w:asciiTheme="minorHAnsi" w:hAnsiTheme="minorHAnsi" w:cstheme="minorHAnsi"/>
          <w:sz w:val="28"/>
          <w:szCs w:val="28"/>
        </w:rPr>
        <w:t xml:space="preserve"> this is not the case with W&amp;W</w:t>
      </w:r>
      <w:r w:rsidR="00C36041">
        <w:rPr>
          <w:rFonts w:asciiTheme="minorHAnsi" w:hAnsiTheme="minorHAnsi" w:cstheme="minorHAnsi"/>
          <w:sz w:val="28"/>
          <w:szCs w:val="28"/>
        </w:rPr>
        <w:t>’s</w:t>
      </w:r>
      <w:r>
        <w:rPr>
          <w:rFonts w:asciiTheme="minorHAnsi" w:hAnsiTheme="minorHAnsi" w:cstheme="minorHAnsi"/>
          <w:sz w:val="28"/>
          <w:szCs w:val="28"/>
        </w:rPr>
        <w:t xml:space="preserve"> paper.</w:t>
      </w:r>
      <w:r w:rsidR="000B10B8">
        <w:rPr>
          <w:rStyle w:val="FootnoteReference"/>
          <w:rFonts w:asciiTheme="minorHAnsi" w:hAnsiTheme="minorHAnsi" w:cstheme="minorHAnsi"/>
          <w:sz w:val="28"/>
          <w:szCs w:val="28"/>
        </w:rPr>
        <w:footnoteReference w:id="15"/>
      </w:r>
      <w:r>
        <w:rPr>
          <w:rFonts w:asciiTheme="minorHAnsi" w:hAnsiTheme="minorHAnsi" w:cstheme="minorHAnsi"/>
          <w:sz w:val="28"/>
          <w:szCs w:val="28"/>
        </w:rPr>
        <w:t xml:space="preserve"> Part of the target group used by W&amp;W, specifically New Agers, could imply an interest in astrology, however astrology is not mentioned.</w:t>
      </w:r>
      <w:r w:rsidR="00CF6900">
        <w:rPr>
          <w:rStyle w:val="FootnoteReference"/>
          <w:rFonts w:asciiTheme="minorHAnsi" w:hAnsiTheme="minorHAnsi" w:cstheme="minorHAnsi"/>
          <w:sz w:val="28"/>
          <w:szCs w:val="28"/>
        </w:rPr>
        <w:footnoteReference w:id="16"/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DA4AA2">
        <w:rPr>
          <w:rFonts w:asciiTheme="minorHAnsi" w:hAnsiTheme="minorHAnsi" w:cstheme="minorHAnsi"/>
          <w:sz w:val="28"/>
          <w:szCs w:val="28"/>
        </w:rPr>
        <w:t>Data produced regards r</w:t>
      </w:r>
      <w:r w:rsidR="00CC33CF">
        <w:rPr>
          <w:rFonts w:asciiTheme="minorHAnsi" w:hAnsiTheme="minorHAnsi" w:cstheme="minorHAnsi"/>
          <w:sz w:val="28"/>
          <w:szCs w:val="28"/>
        </w:rPr>
        <w:t>eincarnation</w:t>
      </w:r>
      <w:r w:rsidR="00C36041">
        <w:rPr>
          <w:rFonts w:asciiTheme="minorHAnsi" w:hAnsiTheme="minorHAnsi" w:cstheme="minorHAnsi"/>
          <w:sz w:val="28"/>
          <w:szCs w:val="28"/>
        </w:rPr>
        <w:t>,</w:t>
      </w:r>
      <w:r w:rsidR="00CC33CF">
        <w:rPr>
          <w:rFonts w:asciiTheme="minorHAnsi" w:hAnsiTheme="minorHAnsi" w:cstheme="minorHAnsi"/>
          <w:sz w:val="28"/>
          <w:szCs w:val="28"/>
        </w:rPr>
        <w:t xml:space="preserve"> provides the similarity in both papers, however</w:t>
      </w:r>
      <w:r w:rsidR="00C36041">
        <w:rPr>
          <w:rFonts w:asciiTheme="minorHAnsi" w:hAnsiTheme="minorHAnsi" w:cstheme="minorHAnsi"/>
          <w:sz w:val="28"/>
          <w:szCs w:val="28"/>
        </w:rPr>
        <w:t>,</w:t>
      </w:r>
      <w:r w:rsidR="00CC33CF">
        <w:rPr>
          <w:rFonts w:asciiTheme="minorHAnsi" w:hAnsiTheme="minorHAnsi" w:cstheme="minorHAnsi"/>
          <w:sz w:val="28"/>
          <w:szCs w:val="28"/>
        </w:rPr>
        <w:t xml:space="preserve"> the target groups are too different to provide a </w:t>
      </w:r>
      <w:r w:rsidR="00DA4AA2">
        <w:rPr>
          <w:rFonts w:asciiTheme="minorHAnsi" w:hAnsiTheme="minorHAnsi" w:cstheme="minorHAnsi"/>
          <w:sz w:val="28"/>
          <w:szCs w:val="28"/>
        </w:rPr>
        <w:t>significant</w:t>
      </w:r>
      <w:r w:rsidR="00CC33CF">
        <w:rPr>
          <w:rFonts w:asciiTheme="minorHAnsi" w:hAnsiTheme="minorHAnsi" w:cstheme="minorHAnsi"/>
          <w:sz w:val="28"/>
          <w:szCs w:val="28"/>
        </w:rPr>
        <w:t xml:space="preserve"> comparison. Despite a mention of Catholic idea</w:t>
      </w:r>
      <w:r w:rsidR="00DA4AA2">
        <w:rPr>
          <w:rFonts w:asciiTheme="minorHAnsi" w:hAnsiTheme="minorHAnsi" w:cstheme="minorHAnsi"/>
          <w:sz w:val="28"/>
          <w:szCs w:val="28"/>
        </w:rPr>
        <w:t>s</w:t>
      </w:r>
      <w:r w:rsidR="00CC33CF">
        <w:rPr>
          <w:rFonts w:asciiTheme="minorHAnsi" w:hAnsiTheme="minorHAnsi" w:cstheme="minorHAnsi"/>
          <w:sz w:val="28"/>
          <w:szCs w:val="28"/>
        </w:rPr>
        <w:t xml:space="preserve"> of purgatory </w:t>
      </w:r>
      <w:r w:rsidR="001F6F3A">
        <w:rPr>
          <w:rFonts w:asciiTheme="minorHAnsi" w:hAnsiTheme="minorHAnsi" w:cstheme="minorHAnsi"/>
          <w:sz w:val="28"/>
          <w:szCs w:val="28"/>
        </w:rPr>
        <w:t>in W&amp;W</w:t>
      </w:r>
      <w:r w:rsidR="00C36041">
        <w:rPr>
          <w:rFonts w:asciiTheme="minorHAnsi" w:hAnsiTheme="minorHAnsi" w:cstheme="minorHAnsi"/>
          <w:sz w:val="28"/>
          <w:szCs w:val="28"/>
        </w:rPr>
        <w:t>’s</w:t>
      </w:r>
      <w:r w:rsidR="001F6F3A">
        <w:rPr>
          <w:rFonts w:asciiTheme="minorHAnsi" w:hAnsiTheme="minorHAnsi" w:cstheme="minorHAnsi"/>
          <w:sz w:val="28"/>
          <w:szCs w:val="28"/>
        </w:rPr>
        <w:t xml:space="preserve"> findings</w:t>
      </w:r>
      <w:r w:rsidR="00DA4AA2">
        <w:rPr>
          <w:rFonts w:asciiTheme="minorHAnsi" w:hAnsiTheme="minorHAnsi" w:cstheme="minorHAnsi"/>
          <w:sz w:val="28"/>
          <w:szCs w:val="28"/>
        </w:rPr>
        <w:t xml:space="preserve">, it is </w:t>
      </w:r>
      <w:r w:rsidR="00C36041">
        <w:rPr>
          <w:rFonts w:asciiTheme="minorHAnsi" w:hAnsiTheme="minorHAnsi" w:cstheme="minorHAnsi"/>
          <w:sz w:val="28"/>
          <w:szCs w:val="28"/>
        </w:rPr>
        <w:t xml:space="preserve">a </w:t>
      </w:r>
      <w:r w:rsidR="00DA4AA2">
        <w:rPr>
          <w:rFonts w:asciiTheme="minorHAnsi" w:hAnsiTheme="minorHAnsi" w:cstheme="minorHAnsi"/>
          <w:sz w:val="28"/>
          <w:szCs w:val="28"/>
        </w:rPr>
        <w:t>minimal</w:t>
      </w:r>
      <w:r w:rsidR="00C36041">
        <w:rPr>
          <w:rFonts w:asciiTheme="minorHAnsi" w:hAnsiTheme="minorHAnsi" w:cstheme="minorHAnsi"/>
          <w:sz w:val="28"/>
          <w:szCs w:val="28"/>
        </w:rPr>
        <w:t xml:space="preserve"> contribution</w:t>
      </w:r>
      <w:r w:rsidR="001F6F3A">
        <w:rPr>
          <w:rFonts w:asciiTheme="minorHAnsi" w:hAnsiTheme="minorHAnsi" w:cstheme="minorHAnsi"/>
          <w:sz w:val="28"/>
          <w:szCs w:val="28"/>
        </w:rPr>
        <w:t xml:space="preserve"> to their conclusions</w:t>
      </w:r>
      <w:r w:rsidR="0083069B">
        <w:rPr>
          <w:rFonts w:asciiTheme="minorHAnsi" w:hAnsiTheme="minorHAnsi" w:cstheme="minorHAnsi"/>
          <w:sz w:val="28"/>
          <w:szCs w:val="28"/>
        </w:rPr>
        <w:t xml:space="preserve">, </w:t>
      </w:r>
      <w:r w:rsidR="00C36041">
        <w:rPr>
          <w:rFonts w:asciiTheme="minorHAnsi" w:hAnsiTheme="minorHAnsi" w:cstheme="minorHAnsi"/>
          <w:sz w:val="28"/>
          <w:szCs w:val="28"/>
        </w:rPr>
        <w:t>unlike</w:t>
      </w:r>
      <w:r w:rsidR="0083069B">
        <w:rPr>
          <w:rFonts w:asciiTheme="minorHAnsi" w:hAnsiTheme="minorHAnsi" w:cstheme="minorHAnsi"/>
          <w:sz w:val="28"/>
          <w:szCs w:val="28"/>
        </w:rPr>
        <w:t xml:space="preserve"> Brink’s target audience</w:t>
      </w:r>
      <w:r w:rsidR="00C36041">
        <w:rPr>
          <w:rFonts w:asciiTheme="minorHAnsi" w:hAnsiTheme="minorHAnsi" w:cstheme="minorHAnsi"/>
          <w:sz w:val="28"/>
          <w:szCs w:val="28"/>
        </w:rPr>
        <w:t xml:space="preserve"> that</w:t>
      </w:r>
      <w:r w:rsidR="0083069B">
        <w:rPr>
          <w:rFonts w:asciiTheme="minorHAnsi" w:hAnsiTheme="minorHAnsi" w:cstheme="minorHAnsi"/>
          <w:sz w:val="28"/>
          <w:szCs w:val="28"/>
        </w:rPr>
        <w:t xml:space="preserve"> are assumed to be Catholic.</w:t>
      </w:r>
      <w:r w:rsidR="00CF6900">
        <w:rPr>
          <w:rStyle w:val="FootnoteReference"/>
          <w:rFonts w:asciiTheme="minorHAnsi" w:hAnsiTheme="minorHAnsi" w:cstheme="minorHAnsi"/>
          <w:sz w:val="28"/>
          <w:szCs w:val="28"/>
        </w:rPr>
        <w:footnoteReference w:id="17"/>
      </w:r>
      <w:r w:rsidR="0083069B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07626455" w14:textId="3210A1C9" w:rsidR="0083069B" w:rsidRDefault="0083069B" w:rsidP="0083069B">
      <w:pPr>
        <w:rPr>
          <w:rFonts w:asciiTheme="minorHAnsi" w:hAnsiTheme="minorHAnsi" w:cstheme="minorHAnsi"/>
          <w:sz w:val="28"/>
          <w:szCs w:val="28"/>
        </w:rPr>
      </w:pPr>
    </w:p>
    <w:p w14:paraId="5A834F47" w14:textId="75D4193F" w:rsidR="006A761A" w:rsidRDefault="0083069B" w:rsidP="0083069B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This assumption reveals </w:t>
      </w:r>
      <w:r w:rsidR="006A761A">
        <w:rPr>
          <w:rFonts w:asciiTheme="minorHAnsi" w:hAnsiTheme="minorHAnsi" w:cstheme="minorHAnsi"/>
          <w:sz w:val="28"/>
          <w:szCs w:val="28"/>
        </w:rPr>
        <w:t xml:space="preserve">flaws in Brink’s research. There is nothing to suggest that his subjects </w:t>
      </w:r>
      <w:r w:rsidR="009C0C91">
        <w:rPr>
          <w:rFonts w:asciiTheme="minorHAnsi" w:hAnsiTheme="minorHAnsi" w:cstheme="minorHAnsi"/>
          <w:sz w:val="28"/>
          <w:szCs w:val="28"/>
        </w:rPr>
        <w:t>were</w:t>
      </w:r>
      <w:r w:rsidR="006A761A">
        <w:rPr>
          <w:rFonts w:asciiTheme="minorHAnsi" w:hAnsiTheme="minorHAnsi" w:cstheme="minorHAnsi"/>
          <w:sz w:val="28"/>
          <w:szCs w:val="28"/>
        </w:rPr>
        <w:t xml:space="preserve"> all Catholic and the questions themselves reveal ambiguity, as there is no explanation to what astrology means and neither too reincarnation.</w:t>
      </w:r>
      <w:r w:rsidR="00CF6900">
        <w:rPr>
          <w:rStyle w:val="FootnoteReference"/>
          <w:rFonts w:asciiTheme="minorHAnsi" w:hAnsiTheme="minorHAnsi" w:cstheme="minorHAnsi"/>
          <w:sz w:val="28"/>
          <w:szCs w:val="28"/>
        </w:rPr>
        <w:footnoteReference w:id="18"/>
      </w:r>
      <w:r w:rsidR="006A761A">
        <w:rPr>
          <w:rFonts w:asciiTheme="minorHAnsi" w:hAnsiTheme="minorHAnsi" w:cstheme="minorHAnsi"/>
          <w:sz w:val="28"/>
          <w:szCs w:val="28"/>
        </w:rPr>
        <w:t xml:space="preserve"> </w:t>
      </w:r>
      <w:r w:rsidR="00C36041">
        <w:rPr>
          <w:rFonts w:asciiTheme="minorHAnsi" w:hAnsiTheme="minorHAnsi" w:cstheme="minorHAnsi"/>
          <w:sz w:val="28"/>
          <w:szCs w:val="28"/>
        </w:rPr>
        <w:t xml:space="preserve">The last two </w:t>
      </w:r>
      <w:r w:rsidR="006A761A">
        <w:rPr>
          <w:rFonts w:asciiTheme="minorHAnsi" w:hAnsiTheme="minorHAnsi" w:cstheme="minorHAnsi"/>
          <w:sz w:val="28"/>
          <w:szCs w:val="28"/>
        </w:rPr>
        <w:t xml:space="preserve">questions seem out of </w:t>
      </w:r>
      <w:r w:rsidR="00886C46">
        <w:rPr>
          <w:rFonts w:asciiTheme="minorHAnsi" w:hAnsiTheme="minorHAnsi" w:cstheme="minorHAnsi"/>
          <w:sz w:val="28"/>
          <w:szCs w:val="28"/>
        </w:rPr>
        <w:t>context</w:t>
      </w:r>
      <w:r w:rsidR="006A761A">
        <w:rPr>
          <w:rFonts w:asciiTheme="minorHAnsi" w:hAnsiTheme="minorHAnsi" w:cstheme="minorHAnsi"/>
          <w:sz w:val="28"/>
          <w:szCs w:val="28"/>
        </w:rPr>
        <w:t xml:space="preserve"> with </w:t>
      </w:r>
      <w:r w:rsidR="00886C46">
        <w:rPr>
          <w:rFonts w:asciiTheme="minorHAnsi" w:hAnsiTheme="minorHAnsi" w:cstheme="minorHAnsi"/>
          <w:sz w:val="28"/>
          <w:szCs w:val="28"/>
        </w:rPr>
        <w:t>the</w:t>
      </w:r>
      <w:r w:rsidR="006A761A">
        <w:rPr>
          <w:rFonts w:asciiTheme="minorHAnsi" w:hAnsiTheme="minorHAnsi" w:cstheme="minorHAnsi"/>
          <w:sz w:val="28"/>
          <w:szCs w:val="28"/>
        </w:rPr>
        <w:t xml:space="preserve"> questionnaire, as the majority of questions are consistent to religious dogma, and </w:t>
      </w:r>
      <w:r w:rsidR="00886C46">
        <w:rPr>
          <w:rFonts w:asciiTheme="minorHAnsi" w:hAnsiTheme="minorHAnsi" w:cstheme="minorHAnsi"/>
          <w:sz w:val="28"/>
          <w:szCs w:val="28"/>
        </w:rPr>
        <w:t>may have</w:t>
      </w:r>
      <w:r w:rsidR="00FA528B">
        <w:rPr>
          <w:rFonts w:asciiTheme="minorHAnsi" w:hAnsiTheme="minorHAnsi" w:cstheme="minorHAnsi"/>
          <w:sz w:val="28"/>
          <w:szCs w:val="28"/>
        </w:rPr>
        <w:t xml:space="preserve"> made an</w:t>
      </w:r>
      <w:r w:rsidR="00886C46">
        <w:rPr>
          <w:rFonts w:asciiTheme="minorHAnsi" w:hAnsiTheme="minorHAnsi" w:cstheme="minorHAnsi"/>
          <w:sz w:val="28"/>
          <w:szCs w:val="28"/>
        </w:rPr>
        <w:t xml:space="preserve"> impress</w:t>
      </w:r>
      <w:r w:rsidR="00FA528B">
        <w:rPr>
          <w:rFonts w:asciiTheme="minorHAnsi" w:hAnsiTheme="minorHAnsi" w:cstheme="minorHAnsi"/>
          <w:sz w:val="28"/>
          <w:szCs w:val="28"/>
        </w:rPr>
        <w:t>ion on</w:t>
      </w:r>
      <w:r w:rsidR="00886C46">
        <w:rPr>
          <w:rFonts w:asciiTheme="minorHAnsi" w:hAnsiTheme="minorHAnsi" w:cstheme="minorHAnsi"/>
          <w:sz w:val="28"/>
          <w:szCs w:val="28"/>
        </w:rPr>
        <w:t xml:space="preserve"> the </w:t>
      </w:r>
      <w:r w:rsidR="009C0C91">
        <w:rPr>
          <w:rFonts w:asciiTheme="minorHAnsi" w:hAnsiTheme="minorHAnsi" w:cstheme="minorHAnsi"/>
          <w:sz w:val="28"/>
          <w:szCs w:val="28"/>
        </w:rPr>
        <w:t>respondents</w:t>
      </w:r>
      <w:r w:rsidR="00601857">
        <w:rPr>
          <w:rFonts w:asciiTheme="minorHAnsi" w:hAnsiTheme="minorHAnsi" w:cstheme="minorHAnsi"/>
          <w:sz w:val="28"/>
          <w:szCs w:val="28"/>
        </w:rPr>
        <w:t>,</w:t>
      </w:r>
      <w:r w:rsidR="00951F72">
        <w:rPr>
          <w:rFonts w:asciiTheme="minorHAnsi" w:hAnsiTheme="minorHAnsi" w:cstheme="minorHAnsi"/>
          <w:sz w:val="28"/>
          <w:szCs w:val="28"/>
        </w:rPr>
        <w:t xml:space="preserve"> and </w:t>
      </w:r>
      <w:r w:rsidR="00601857">
        <w:rPr>
          <w:rFonts w:asciiTheme="minorHAnsi" w:hAnsiTheme="minorHAnsi" w:cstheme="minorHAnsi"/>
          <w:sz w:val="28"/>
          <w:szCs w:val="28"/>
        </w:rPr>
        <w:t xml:space="preserve">therefore, </w:t>
      </w:r>
      <w:r w:rsidR="00FA528B">
        <w:rPr>
          <w:rFonts w:asciiTheme="minorHAnsi" w:hAnsiTheme="minorHAnsi" w:cstheme="minorHAnsi"/>
          <w:sz w:val="28"/>
          <w:szCs w:val="28"/>
        </w:rPr>
        <w:t>possible</w:t>
      </w:r>
      <w:r w:rsidR="00601857">
        <w:rPr>
          <w:rFonts w:asciiTheme="minorHAnsi" w:hAnsiTheme="minorHAnsi" w:cstheme="minorHAnsi"/>
          <w:sz w:val="28"/>
          <w:szCs w:val="28"/>
        </w:rPr>
        <w:t xml:space="preserve"> answers </w:t>
      </w:r>
      <w:r w:rsidR="00951F72">
        <w:rPr>
          <w:rFonts w:asciiTheme="minorHAnsi" w:hAnsiTheme="minorHAnsi" w:cstheme="minorHAnsi"/>
          <w:sz w:val="28"/>
          <w:szCs w:val="28"/>
        </w:rPr>
        <w:t>leanings towards Catholicism</w:t>
      </w:r>
      <w:r w:rsidR="00601857">
        <w:rPr>
          <w:rFonts w:asciiTheme="minorHAnsi" w:hAnsiTheme="minorHAnsi" w:cstheme="minorHAnsi"/>
          <w:sz w:val="28"/>
          <w:szCs w:val="28"/>
        </w:rPr>
        <w:t xml:space="preserve">, than </w:t>
      </w:r>
      <w:r w:rsidR="00CF6900">
        <w:rPr>
          <w:rFonts w:asciiTheme="minorHAnsi" w:hAnsiTheme="minorHAnsi" w:cstheme="minorHAnsi"/>
          <w:sz w:val="28"/>
          <w:szCs w:val="28"/>
        </w:rPr>
        <w:t xml:space="preserve">perhaps </w:t>
      </w:r>
      <w:r w:rsidR="00601857">
        <w:rPr>
          <w:rFonts w:asciiTheme="minorHAnsi" w:hAnsiTheme="minorHAnsi" w:cstheme="minorHAnsi"/>
          <w:sz w:val="28"/>
          <w:szCs w:val="28"/>
        </w:rPr>
        <w:t>honest answers</w:t>
      </w:r>
      <w:r w:rsidR="00951F72">
        <w:rPr>
          <w:rFonts w:asciiTheme="minorHAnsi" w:hAnsiTheme="minorHAnsi" w:cstheme="minorHAnsi"/>
          <w:sz w:val="28"/>
          <w:szCs w:val="28"/>
        </w:rPr>
        <w:t xml:space="preserve">. The setting of </w:t>
      </w:r>
      <w:r w:rsidR="00601857">
        <w:rPr>
          <w:rFonts w:asciiTheme="minorHAnsi" w:hAnsiTheme="minorHAnsi" w:cstheme="minorHAnsi"/>
          <w:sz w:val="28"/>
          <w:szCs w:val="28"/>
        </w:rPr>
        <w:t>the</w:t>
      </w:r>
      <w:r w:rsidR="00951F72">
        <w:rPr>
          <w:rFonts w:asciiTheme="minorHAnsi" w:hAnsiTheme="minorHAnsi" w:cstheme="minorHAnsi"/>
          <w:sz w:val="28"/>
          <w:szCs w:val="28"/>
        </w:rPr>
        <w:t xml:space="preserve"> school, as well as the gatekeeper,</w:t>
      </w:r>
      <w:r w:rsidR="00601857">
        <w:rPr>
          <w:rFonts w:asciiTheme="minorHAnsi" w:hAnsiTheme="minorHAnsi" w:cstheme="minorHAnsi"/>
          <w:sz w:val="28"/>
          <w:szCs w:val="28"/>
        </w:rPr>
        <w:t xml:space="preserve"> may also influence their answers</w:t>
      </w:r>
      <w:r w:rsidR="00951F72">
        <w:rPr>
          <w:rFonts w:asciiTheme="minorHAnsi" w:hAnsiTheme="minorHAnsi" w:cstheme="minorHAnsi"/>
          <w:sz w:val="28"/>
          <w:szCs w:val="28"/>
        </w:rPr>
        <w:t>.</w:t>
      </w:r>
      <w:r w:rsidR="006A761A">
        <w:rPr>
          <w:rFonts w:asciiTheme="minorHAnsi" w:hAnsiTheme="minorHAnsi" w:cstheme="minorHAnsi"/>
          <w:sz w:val="28"/>
          <w:szCs w:val="28"/>
        </w:rPr>
        <w:t xml:space="preserve"> Brink</w:t>
      </w:r>
      <w:r w:rsidR="00951F72">
        <w:rPr>
          <w:rFonts w:asciiTheme="minorHAnsi" w:hAnsiTheme="minorHAnsi" w:cstheme="minorHAnsi"/>
          <w:sz w:val="28"/>
          <w:szCs w:val="28"/>
        </w:rPr>
        <w:t>’s</w:t>
      </w:r>
      <w:r w:rsidR="006A761A">
        <w:rPr>
          <w:rFonts w:asciiTheme="minorHAnsi" w:hAnsiTheme="minorHAnsi" w:cstheme="minorHAnsi"/>
          <w:sz w:val="28"/>
          <w:szCs w:val="28"/>
        </w:rPr>
        <w:t xml:space="preserve"> hypothesis</w:t>
      </w:r>
      <w:r w:rsidR="00886C46">
        <w:rPr>
          <w:rFonts w:asciiTheme="minorHAnsi" w:hAnsiTheme="minorHAnsi" w:cstheme="minorHAnsi"/>
          <w:sz w:val="28"/>
          <w:szCs w:val="28"/>
        </w:rPr>
        <w:t xml:space="preserve"> and conclusions</w:t>
      </w:r>
      <w:r w:rsidR="006A761A">
        <w:rPr>
          <w:rFonts w:asciiTheme="minorHAnsi" w:hAnsiTheme="minorHAnsi" w:cstheme="minorHAnsi"/>
          <w:sz w:val="28"/>
          <w:szCs w:val="28"/>
        </w:rPr>
        <w:t xml:space="preserve"> </w:t>
      </w:r>
      <w:r w:rsidR="00886C46">
        <w:rPr>
          <w:rFonts w:asciiTheme="minorHAnsi" w:hAnsiTheme="minorHAnsi" w:cstheme="minorHAnsi"/>
          <w:sz w:val="28"/>
          <w:szCs w:val="28"/>
        </w:rPr>
        <w:t>are</w:t>
      </w:r>
      <w:r w:rsidR="006A761A">
        <w:rPr>
          <w:rFonts w:asciiTheme="minorHAnsi" w:hAnsiTheme="minorHAnsi" w:cstheme="minorHAnsi"/>
          <w:sz w:val="28"/>
          <w:szCs w:val="28"/>
        </w:rPr>
        <w:t xml:space="preserve"> </w:t>
      </w:r>
      <w:r w:rsidR="009C0C91">
        <w:rPr>
          <w:rFonts w:asciiTheme="minorHAnsi" w:hAnsiTheme="minorHAnsi" w:cstheme="minorHAnsi"/>
          <w:sz w:val="28"/>
          <w:szCs w:val="28"/>
        </w:rPr>
        <w:t>solely</w:t>
      </w:r>
      <w:r w:rsidR="00886C46">
        <w:rPr>
          <w:rFonts w:asciiTheme="minorHAnsi" w:hAnsiTheme="minorHAnsi" w:cstheme="minorHAnsi"/>
          <w:sz w:val="28"/>
          <w:szCs w:val="28"/>
        </w:rPr>
        <w:t xml:space="preserve"> </w:t>
      </w:r>
      <w:r w:rsidR="006A761A">
        <w:rPr>
          <w:rFonts w:asciiTheme="minorHAnsi" w:hAnsiTheme="minorHAnsi" w:cstheme="minorHAnsi"/>
          <w:sz w:val="28"/>
          <w:szCs w:val="28"/>
        </w:rPr>
        <w:t>based on these results,</w:t>
      </w:r>
      <w:r w:rsidR="00886C46">
        <w:rPr>
          <w:rFonts w:asciiTheme="minorHAnsi" w:hAnsiTheme="minorHAnsi" w:cstheme="minorHAnsi"/>
          <w:sz w:val="28"/>
          <w:szCs w:val="28"/>
        </w:rPr>
        <w:t xml:space="preserve"> </w:t>
      </w:r>
      <w:r w:rsidR="00951F72">
        <w:rPr>
          <w:rFonts w:asciiTheme="minorHAnsi" w:hAnsiTheme="minorHAnsi" w:cstheme="minorHAnsi"/>
          <w:sz w:val="28"/>
          <w:szCs w:val="28"/>
        </w:rPr>
        <w:t>however if the data sample itself is inaccurate, or flawed, to quote Hildred Gee</w:t>
      </w:r>
      <w:r w:rsidR="009C0C91">
        <w:rPr>
          <w:rFonts w:asciiTheme="minorHAnsi" w:hAnsiTheme="minorHAnsi" w:cstheme="minorHAnsi"/>
          <w:sz w:val="28"/>
          <w:szCs w:val="28"/>
        </w:rPr>
        <w:t>rtz</w:t>
      </w:r>
      <w:r w:rsidR="00951F72">
        <w:rPr>
          <w:rFonts w:asciiTheme="minorHAnsi" w:hAnsiTheme="minorHAnsi" w:cstheme="minorHAnsi"/>
          <w:sz w:val="28"/>
          <w:szCs w:val="28"/>
        </w:rPr>
        <w:t>, ‘The Thing itself’ may be incorrect and therefore also his conclusions.</w:t>
      </w:r>
      <w:r w:rsidR="00CF6900">
        <w:rPr>
          <w:rStyle w:val="FootnoteReference"/>
          <w:rFonts w:asciiTheme="minorHAnsi" w:hAnsiTheme="minorHAnsi" w:cstheme="minorHAnsi"/>
          <w:sz w:val="28"/>
          <w:szCs w:val="28"/>
        </w:rPr>
        <w:footnoteReference w:id="19"/>
      </w:r>
      <w:r w:rsidR="00951F72">
        <w:rPr>
          <w:rFonts w:asciiTheme="minorHAnsi" w:hAnsiTheme="minorHAnsi" w:cstheme="minorHAnsi"/>
          <w:sz w:val="28"/>
          <w:szCs w:val="28"/>
        </w:rPr>
        <w:t xml:space="preserve"> </w:t>
      </w:r>
      <w:r w:rsidR="00886C46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1CCAEC6B" w14:textId="77777777" w:rsidR="00886C46" w:rsidRDefault="00886C46" w:rsidP="004B11A7">
      <w:pPr>
        <w:rPr>
          <w:rFonts w:asciiTheme="minorHAnsi" w:hAnsiTheme="minorHAnsi" w:cstheme="minorHAnsi"/>
          <w:sz w:val="28"/>
          <w:szCs w:val="28"/>
        </w:rPr>
      </w:pPr>
    </w:p>
    <w:p w14:paraId="1DDD2075" w14:textId="34151DBA" w:rsidR="00375000" w:rsidRDefault="00DA4AA2" w:rsidP="004B11A7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W&amp;W’s paper has </w:t>
      </w:r>
      <w:r w:rsidR="005363FA">
        <w:rPr>
          <w:rFonts w:asciiTheme="minorHAnsi" w:hAnsiTheme="minorHAnsi" w:cstheme="minorHAnsi"/>
          <w:sz w:val="28"/>
          <w:szCs w:val="28"/>
        </w:rPr>
        <w:t>clearer and more significant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9C0C91">
        <w:rPr>
          <w:rFonts w:asciiTheme="minorHAnsi" w:hAnsiTheme="minorHAnsi" w:cstheme="minorHAnsi"/>
          <w:sz w:val="28"/>
          <w:szCs w:val="28"/>
        </w:rPr>
        <w:t>research-based</w:t>
      </w:r>
      <w:r w:rsidR="0083069B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evidence</w:t>
      </w:r>
      <w:r w:rsidR="005363FA">
        <w:rPr>
          <w:rFonts w:asciiTheme="minorHAnsi" w:hAnsiTheme="minorHAnsi" w:cstheme="minorHAnsi"/>
          <w:sz w:val="28"/>
          <w:szCs w:val="28"/>
        </w:rPr>
        <w:t xml:space="preserve"> due to</w:t>
      </w:r>
      <w:r w:rsidR="0099119F">
        <w:rPr>
          <w:rFonts w:asciiTheme="minorHAnsi" w:hAnsiTheme="minorHAnsi" w:cstheme="minorHAnsi"/>
          <w:sz w:val="28"/>
          <w:szCs w:val="28"/>
        </w:rPr>
        <w:t xml:space="preserve"> their methodology</w:t>
      </w:r>
      <w:r>
        <w:rPr>
          <w:rFonts w:asciiTheme="minorHAnsi" w:hAnsiTheme="minorHAnsi" w:cstheme="minorHAnsi"/>
          <w:sz w:val="28"/>
          <w:szCs w:val="28"/>
        </w:rPr>
        <w:t xml:space="preserve"> and </w:t>
      </w:r>
      <w:r w:rsidR="0083069B">
        <w:rPr>
          <w:rFonts w:asciiTheme="minorHAnsi" w:hAnsiTheme="minorHAnsi" w:cstheme="minorHAnsi"/>
          <w:sz w:val="28"/>
          <w:szCs w:val="28"/>
        </w:rPr>
        <w:t xml:space="preserve">reflexivity than Brink’s, for example, due to the complexity of the term belief, </w:t>
      </w:r>
      <w:r w:rsidR="00601857">
        <w:rPr>
          <w:rFonts w:asciiTheme="minorHAnsi" w:hAnsiTheme="minorHAnsi" w:cstheme="minorHAnsi"/>
          <w:sz w:val="28"/>
          <w:szCs w:val="28"/>
        </w:rPr>
        <w:t>adaption</w:t>
      </w:r>
      <w:r w:rsidR="005363FA">
        <w:rPr>
          <w:rFonts w:asciiTheme="minorHAnsi" w:hAnsiTheme="minorHAnsi" w:cstheme="minorHAnsi"/>
          <w:sz w:val="28"/>
          <w:szCs w:val="28"/>
        </w:rPr>
        <w:t xml:space="preserve"> include</w:t>
      </w:r>
      <w:r w:rsidR="00601857">
        <w:rPr>
          <w:rFonts w:asciiTheme="minorHAnsi" w:hAnsiTheme="minorHAnsi" w:cstheme="minorHAnsi"/>
          <w:sz w:val="28"/>
          <w:szCs w:val="28"/>
        </w:rPr>
        <w:t>d the term to</w:t>
      </w:r>
      <w:r w:rsidR="0083069B">
        <w:rPr>
          <w:rFonts w:asciiTheme="minorHAnsi" w:hAnsiTheme="minorHAnsi" w:cstheme="minorHAnsi"/>
          <w:sz w:val="28"/>
          <w:szCs w:val="28"/>
        </w:rPr>
        <w:t xml:space="preserve"> ‘seriously entertain the idea’ </w:t>
      </w:r>
      <w:r w:rsidR="00886C46">
        <w:rPr>
          <w:rFonts w:asciiTheme="minorHAnsi" w:hAnsiTheme="minorHAnsi" w:cstheme="minorHAnsi"/>
          <w:sz w:val="28"/>
          <w:szCs w:val="28"/>
        </w:rPr>
        <w:t>of reincarnation</w:t>
      </w:r>
      <w:r w:rsidR="00601857">
        <w:rPr>
          <w:rFonts w:asciiTheme="minorHAnsi" w:hAnsiTheme="minorHAnsi" w:cstheme="minorHAnsi"/>
          <w:sz w:val="28"/>
          <w:szCs w:val="28"/>
        </w:rPr>
        <w:t xml:space="preserve"> as part of the analysis</w:t>
      </w:r>
      <w:r w:rsidR="00886C46">
        <w:rPr>
          <w:rFonts w:asciiTheme="minorHAnsi" w:hAnsiTheme="minorHAnsi" w:cstheme="minorHAnsi"/>
          <w:sz w:val="28"/>
          <w:szCs w:val="28"/>
        </w:rPr>
        <w:t>.</w:t>
      </w:r>
      <w:r w:rsidR="007C7251">
        <w:rPr>
          <w:rStyle w:val="FootnoteReference"/>
          <w:rFonts w:asciiTheme="minorHAnsi" w:hAnsiTheme="minorHAnsi" w:cstheme="minorHAnsi"/>
          <w:sz w:val="28"/>
          <w:szCs w:val="28"/>
        </w:rPr>
        <w:footnoteReference w:id="20"/>
      </w:r>
      <w:r w:rsidR="00886C46">
        <w:rPr>
          <w:rFonts w:asciiTheme="minorHAnsi" w:hAnsiTheme="minorHAnsi" w:cstheme="minorHAnsi"/>
          <w:sz w:val="28"/>
          <w:szCs w:val="28"/>
        </w:rPr>
        <w:t xml:space="preserve"> </w:t>
      </w:r>
      <w:r w:rsidR="0083069B">
        <w:rPr>
          <w:rFonts w:asciiTheme="minorHAnsi" w:hAnsiTheme="minorHAnsi" w:cstheme="minorHAnsi"/>
          <w:sz w:val="28"/>
          <w:szCs w:val="28"/>
        </w:rPr>
        <w:t xml:space="preserve"> </w:t>
      </w:r>
      <w:r w:rsidR="00951F72">
        <w:rPr>
          <w:rFonts w:asciiTheme="minorHAnsi" w:hAnsiTheme="minorHAnsi" w:cstheme="minorHAnsi"/>
          <w:sz w:val="28"/>
          <w:szCs w:val="28"/>
        </w:rPr>
        <w:t xml:space="preserve">The inclusion of participant observation, </w:t>
      </w:r>
      <w:r w:rsidR="0099119F">
        <w:rPr>
          <w:rFonts w:asciiTheme="minorHAnsi" w:hAnsiTheme="minorHAnsi" w:cstheme="minorHAnsi"/>
          <w:sz w:val="28"/>
          <w:szCs w:val="28"/>
        </w:rPr>
        <w:t xml:space="preserve">adaptability, </w:t>
      </w:r>
      <w:r w:rsidR="00951F72">
        <w:rPr>
          <w:rFonts w:asciiTheme="minorHAnsi" w:hAnsiTheme="minorHAnsi" w:cstheme="minorHAnsi"/>
          <w:sz w:val="28"/>
          <w:szCs w:val="28"/>
        </w:rPr>
        <w:t xml:space="preserve">theoretical and methodological </w:t>
      </w:r>
      <w:r w:rsidR="00951F72">
        <w:rPr>
          <w:rFonts w:asciiTheme="minorHAnsi" w:hAnsiTheme="minorHAnsi" w:cstheme="minorHAnsi"/>
          <w:sz w:val="28"/>
          <w:szCs w:val="28"/>
        </w:rPr>
        <w:lastRenderedPageBreak/>
        <w:t>openness</w:t>
      </w:r>
      <w:r w:rsidR="0099119F">
        <w:rPr>
          <w:rFonts w:asciiTheme="minorHAnsi" w:hAnsiTheme="minorHAnsi" w:cstheme="minorHAnsi"/>
          <w:sz w:val="28"/>
          <w:szCs w:val="28"/>
        </w:rPr>
        <w:t xml:space="preserve"> suggests no bias in their research</w:t>
      </w:r>
      <w:r w:rsidR="005363FA">
        <w:rPr>
          <w:rFonts w:asciiTheme="minorHAnsi" w:hAnsiTheme="minorHAnsi" w:cstheme="minorHAnsi"/>
          <w:sz w:val="28"/>
          <w:szCs w:val="28"/>
        </w:rPr>
        <w:t>, as well as</w:t>
      </w:r>
      <w:r w:rsidR="0099119F">
        <w:rPr>
          <w:rFonts w:asciiTheme="minorHAnsi" w:hAnsiTheme="minorHAnsi" w:cstheme="minorHAnsi"/>
          <w:sz w:val="28"/>
          <w:szCs w:val="28"/>
        </w:rPr>
        <w:t xml:space="preserve"> good rapport, while Brink’s deductive reasoning, using psychological terms and prior knowledge to reinforce his conclusions, </w:t>
      </w:r>
      <w:r w:rsidR="005363FA">
        <w:rPr>
          <w:rFonts w:asciiTheme="minorHAnsi" w:hAnsiTheme="minorHAnsi" w:cstheme="minorHAnsi"/>
          <w:sz w:val="28"/>
          <w:szCs w:val="28"/>
        </w:rPr>
        <w:t xml:space="preserve">suggest </w:t>
      </w:r>
      <w:r w:rsidR="005363FA" w:rsidRPr="005363FA">
        <w:rPr>
          <w:rFonts w:asciiTheme="minorHAnsi" w:hAnsiTheme="minorHAnsi" w:cstheme="minorHAnsi"/>
          <w:sz w:val="28"/>
          <w:szCs w:val="28"/>
        </w:rPr>
        <w:t>unsubstantiated</w:t>
      </w:r>
      <w:r w:rsidR="005363FA">
        <w:rPr>
          <w:rFonts w:asciiTheme="minorHAnsi" w:hAnsiTheme="minorHAnsi" w:cstheme="minorHAnsi"/>
          <w:sz w:val="28"/>
          <w:szCs w:val="28"/>
        </w:rPr>
        <w:t xml:space="preserve"> inference.</w:t>
      </w:r>
      <w:r w:rsidR="007C7251">
        <w:rPr>
          <w:rStyle w:val="FootnoteReference"/>
          <w:rFonts w:asciiTheme="minorHAnsi" w:hAnsiTheme="minorHAnsi" w:cstheme="minorHAnsi"/>
          <w:sz w:val="28"/>
          <w:szCs w:val="28"/>
        </w:rPr>
        <w:footnoteReference w:id="21"/>
      </w:r>
      <w:r w:rsidR="005363FA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09F0C706" w14:textId="694A9934" w:rsidR="00375000" w:rsidRDefault="00375000" w:rsidP="004B11A7">
      <w:pPr>
        <w:rPr>
          <w:rFonts w:asciiTheme="minorHAnsi" w:hAnsiTheme="minorHAnsi" w:cstheme="minorHAnsi"/>
          <w:sz w:val="28"/>
          <w:szCs w:val="28"/>
        </w:rPr>
      </w:pPr>
    </w:p>
    <w:p w14:paraId="548F2892" w14:textId="7AEF6516" w:rsidR="00DA4AA2" w:rsidRDefault="009C0C91" w:rsidP="004B11A7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W&amp;W’s paper was written twenty years after Brink’s paper, the conclusions elucidated by Brink </w:t>
      </w:r>
      <w:r w:rsidR="00601857">
        <w:rPr>
          <w:rFonts w:asciiTheme="minorHAnsi" w:hAnsiTheme="minorHAnsi" w:cstheme="minorHAnsi"/>
          <w:sz w:val="28"/>
          <w:szCs w:val="28"/>
        </w:rPr>
        <w:t xml:space="preserve">appear less </w:t>
      </w:r>
      <w:r>
        <w:rPr>
          <w:rFonts w:asciiTheme="minorHAnsi" w:hAnsiTheme="minorHAnsi" w:cstheme="minorHAnsi"/>
          <w:sz w:val="28"/>
          <w:szCs w:val="28"/>
        </w:rPr>
        <w:t>credible than W&amp;W</w:t>
      </w:r>
      <w:r w:rsidR="00601857">
        <w:rPr>
          <w:rFonts w:asciiTheme="minorHAnsi" w:hAnsiTheme="minorHAnsi" w:cstheme="minorHAnsi"/>
          <w:sz w:val="28"/>
          <w:szCs w:val="28"/>
        </w:rPr>
        <w:t>’s</w:t>
      </w:r>
      <w:r>
        <w:rPr>
          <w:rFonts w:asciiTheme="minorHAnsi" w:hAnsiTheme="minorHAnsi" w:cstheme="minorHAnsi"/>
          <w:sz w:val="28"/>
          <w:szCs w:val="28"/>
        </w:rPr>
        <w:t>, however the development of social sciences, technology and ethical considerations</w:t>
      </w:r>
      <w:r w:rsidR="00051B55">
        <w:rPr>
          <w:rFonts w:asciiTheme="minorHAnsi" w:hAnsiTheme="minorHAnsi" w:cstheme="minorHAnsi"/>
          <w:sz w:val="28"/>
          <w:szCs w:val="28"/>
        </w:rPr>
        <w:t xml:space="preserve"> </w:t>
      </w:r>
      <w:r w:rsidR="00FA528B">
        <w:rPr>
          <w:rFonts w:asciiTheme="minorHAnsi" w:hAnsiTheme="minorHAnsi" w:cstheme="minorHAnsi"/>
          <w:sz w:val="28"/>
          <w:szCs w:val="28"/>
        </w:rPr>
        <w:t xml:space="preserve">occurred after Brink wrote his paper and </w:t>
      </w:r>
      <w:r w:rsidR="00051B55">
        <w:rPr>
          <w:rFonts w:asciiTheme="minorHAnsi" w:hAnsiTheme="minorHAnsi" w:cstheme="minorHAnsi"/>
          <w:sz w:val="28"/>
          <w:szCs w:val="28"/>
        </w:rPr>
        <w:t>need</w:t>
      </w:r>
      <w:r w:rsidR="00FA528B">
        <w:rPr>
          <w:rFonts w:asciiTheme="minorHAnsi" w:hAnsiTheme="minorHAnsi" w:cstheme="minorHAnsi"/>
          <w:sz w:val="28"/>
          <w:szCs w:val="28"/>
        </w:rPr>
        <w:t>s</w:t>
      </w:r>
      <w:r w:rsidR="00051B55">
        <w:rPr>
          <w:rFonts w:asciiTheme="minorHAnsi" w:hAnsiTheme="minorHAnsi" w:cstheme="minorHAnsi"/>
          <w:sz w:val="28"/>
          <w:szCs w:val="28"/>
        </w:rPr>
        <w:t xml:space="preserve"> to be considered. </w:t>
      </w:r>
    </w:p>
    <w:p w14:paraId="3225A57E" w14:textId="77777777" w:rsidR="009C0C91" w:rsidRDefault="009C0C91" w:rsidP="004B11A7">
      <w:pPr>
        <w:rPr>
          <w:rFonts w:asciiTheme="minorHAnsi" w:hAnsiTheme="minorHAnsi" w:cstheme="minorHAnsi"/>
          <w:sz w:val="28"/>
          <w:szCs w:val="28"/>
        </w:rPr>
      </w:pPr>
    </w:p>
    <w:p w14:paraId="3AE6F189" w14:textId="7EA67736" w:rsidR="00D63B93" w:rsidRPr="00726228" w:rsidRDefault="00726228" w:rsidP="00726228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726228">
        <w:rPr>
          <w:rFonts w:asciiTheme="minorHAnsi" w:hAnsiTheme="minorHAnsi" w:cstheme="minorHAnsi"/>
          <w:b/>
          <w:bCs/>
          <w:sz w:val="28"/>
          <w:szCs w:val="28"/>
        </w:rPr>
        <w:t>Conclusion</w:t>
      </w:r>
    </w:p>
    <w:p w14:paraId="77DC747F" w14:textId="5728BE43" w:rsidR="00D63B93" w:rsidRDefault="00D63B93" w:rsidP="004B11A7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5117F617" w14:textId="328D67CE" w:rsidR="00375000" w:rsidRPr="00375000" w:rsidRDefault="00375000" w:rsidP="004B11A7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Brink uses a </w:t>
      </w:r>
      <w:r w:rsidR="009C0C91">
        <w:rPr>
          <w:rFonts w:asciiTheme="minorHAnsi" w:hAnsiTheme="minorHAnsi" w:cstheme="minorHAnsi"/>
          <w:sz w:val="28"/>
          <w:szCs w:val="28"/>
        </w:rPr>
        <w:t>quantitate</w:t>
      </w:r>
      <w:r>
        <w:rPr>
          <w:rFonts w:asciiTheme="minorHAnsi" w:hAnsiTheme="minorHAnsi" w:cstheme="minorHAnsi"/>
          <w:sz w:val="28"/>
          <w:szCs w:val="28"/>
        </w:rPr>
        <w:t xml:space="preserve"> approach to research as compared to W&amp;W who adopt a </w:t>
      </w:r>
      <w:r w:rsidR="009C0C91">
        <w:rPr>
          <w:rFonts w:asciiTheme="minorHAnsi" w:hAnsiTheme="minorHAnsi" w:cstheme="minorHAnsi"/>
          <w:sz w:val="28"/>
          <w:szCs w:val="28"/>
        </w:rPr>
        <w:t>qualitative</w:t>
      </w:r>
      <w:r>
        <w:rPr>
          <w:rFonts w:asciiTheme="minorHAnsi" w:hAnsiTheme="minorHAnsi" w:cstheme="minorHAnsi"/>
          <w:sz w:val="28"/>
          <w:szCs w:val="28"/>
        </w:rPr>
        <w:t xml:space="preserve"> approach. The findings are significant to both research approaches. Brink represents an outsider perspective as compared to W&amp;W who represent an insider perspective. The main difference in papers is that astrology is excluded as a major indicator in the research of </w:t>
      </w:r>
      <w:r w:rsidR="00FA528B">
        <w:rPr>
          <w:rFonts w:asciiTheme="minorHAnsi" w:hAnsiTheme="minorHAnsi" w:cstheme="minorHAnsi"/>
          <w:sz w:val="28"/>
          <w:szCs w:val="28"/>
        </w:rPr>
        <w:t xml:space="preserve">belief in </w:t>
      </w:r>
      <w:r>
        <w:rPr>
          <w:rFonts w:asciiTheme="minorHAnsi" w:hAnsiTheme="minorHAnsi" w:cstheme="minorHAnsi"/>
          <w:sz w:val="28"/>
          <w:szCs w:val="28"/>
        </w:rPr>
        <w:t xml:space="preserve">reincarnation for W&amp;W, as compared to Brink. </w:t>
      </w:r>
      <w:r w:rsidR="009C0C91">
        <w:rPr>
          <w:rFonts w:asciiTheme="minorHAnsi" w:hAnsiTheme="minorHAnsi" w:cstheme="minorHAnsi"/>
          <w:sz w:val="28"/>
          <w:szCs w:val="28"/>
        </w:rPr>
        <w:t>The</w:t>
      </w:r>
      <w:r>
        <w:rPr>
          <w:rFonts w:asciiTheme="minorHAnsi" w:hAnsiTheme="minorHAnsi" w:cstheme="minorHAnsi"/>
          <w:sz w:val="28"/>
          <w:szCs w:val="28"/>
        </w:rPr>
        <w:t xml:space="preserve"> quality of research </w:t>
      </w:r>
      <w:r w:rsidR="009C0C91">
        <w:rPr>
          <w:rFonts w:asciiTheme="minorHAnsi" w:hAnsiTheme="minorHAnsi" w:cstheme="minorHAnsi"/>
          <w:sz w:val="28"/>
          <w:szCs w:val="28"/>
        </w:rPr>
        <w:t xml:space="preserve">exposed by W&amp;W seems far more credible with less assumptions than Brink’s paper, however the time of inception of both papers has to considered </w:t>
      </w:r>
      <w:r w:rsidR="00051B55">
        <w:rPr>
          <w:rFonts w:asciiTheme="minorHAnsi" w:hAnsiTheme="minorHAnsi" w:cstheme="minorHAnsi"/>
          <w:sz w:val="28"/>
          <w:szCs w:val="28"/>
        </w:rPr>
        <w:t xml:space="preserve">in order to make a fair comparison. </w:t>
      </w:r>
    </w:p>
    <w:p w14:paraId="1DD386CF" w14:textId="56E778A8" w:rsidR="000B02FC" w:rsidRDefault="000B02FC" w:rsidP="004B11A7">
      <w:pPr>
        <w:rPr>
          <w:rFonts w:asciiTheme="minorHAnsi" w:hAnsiTheme="minorHAnsi" w:cstheme="minorHAnsi"/>
          <w:sz w:val="28"/>
          <w:szCs w:val="28"/>
        </w:rPr>
      </w:pPr>
    </w:p>
    <w:p w14:paraId="090CAD7C" w14:textId="77777777" w:rsidR="000B02FC" w:rsidRDefault="000B02FC" w:rsidP="004B11A7">
      <w:pPr>
        <w:rPr>
          <w:rFonts w:asciiTheme="minorHAnsi" w:hAnsiTheme="minorHAnsi" w:cstheme="minorHAnsi"/>
          <w:sz w:val="28"/>
          <w:szCs w:val="28"/>
        </w:rPr>
      </w:pPr>
    </w:p>
    <w:p w14:paraId="4DBC79C6" w14:textId="77777777" w:rsidR="00CF2020" w:rsidRDefault="00CF2020" w:rsidP="004B11A7">
      <w:pPr>
        <w:rPr>
          <w:rFonts w:asciiTheme="minorHAnsi" w:hAnsiTheme="minorHAnsi" w:cstheme="minorHAnsi"/>
          <w:sz w:val="28"/>
          <w:szCs w:val="28"/>
        </w:rPr>
      </w:pPr>
    </w:p>
    <w:p w14:paraId="4357CAC2" w14:textId="77777777" w:rsidR="00D14FB4" w:rsidRDefault="00D14FB4" w:rsidP="004B11A7">
      <w:pPr>
        <w:rPr>
          <w:rFonts w:asciiTheme="minorHAnsi" w:hAnsiTheme="minorHAnsi" w:cstheme="minorHAnsi"/>
          <w:sz w:val="28"/>
          <w:szCs w:val="28"/>
        </w:rPr>
      </w:pPr>
    </w:p>
    <w:p w14:paraId="000B5CCE" w14:textId="046974DA" w:rsidR="004B11A7" w:rsidRPr="004B11A7" w:rsidRDefault="00D14FB4" w:rsidP="004B11A7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</w:p>
    <w:sectPr w:rsidR="004B11A7" w:rsidRPr="004B11A7" w:rsidSect="00CF6900">
      <w:footerReference w:type="default" r:id="rId8"/>
      <w:pgSz w:w="12240" w:h="15840"/>
      <w:pgMar w:top="567" w:right="1797" w:bottom="567" w:left="1797" w:header="567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3376E9" w14:textId="77777777" w:rsidR="003E111D" w:rsidRDefault="003E111D" w:rsidP="00051B55">
      <w:r>
        <w:separator/>
      </w:r>
    </w:p>
  </w:endnote>
  <w:endnote w:type="continuationSeparator" w:id="0">
    <w:p w14:paraId="5A1A2097" w14:textId="77777777" w:rsidR="003E111D" w:rsidRDefault="003E111D" w:rsidP="00051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D77896" w14:textId="77777777" w:rsidR="00CF6900" w:rsidRPr="00337A70" w:rsidRDefault="00CF6900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81DBF3" w14:textId="77777777" w:rsidR="003E111D" w:rsidRDefault="003E111D" w:rsidP="00051B55">
      <w:r>
        <w:separator/>
      </w:r>
    </w:p>
  </w:footnote>
  <w:footnote w:type="continuationSeparator" w:id="0">
    <w:p w14:paraId="6B072D5E" w14:textId="77777777" w:rsidR="003E111D" w:rsidRDefault="003E111D" w:rsidP="00051B55">
      <w:r>
        <w:continuationSeparator/>
      </w:r>
    </w:p>
  </w:footnote>
  <w:footnote w:id="1">
    <w:p w14:paraId="4385C1F9" w14:textId="3971BEF7" w:rsidR="00CF6900" w:rsidRDefault="00CF6900">
      <w:pPr>
        <w:pStyle w:val="FootnoteText"/>
      </w:pPr>
      <w:r>
        <w:rPr>
          <w:rStyle w:val="FootnoteReference"/>
        </w:rPr>
        <w:footnoteRef/>
      </w:r>
      <w:r>
        <w:t xml:space="preserve"> Alan Bryman, ‘</w:t>
      </w:r>
      <w:r w:rsidRPr="007E0F9E">
        <w:rPr>
          <w:i/>
          <w:iCs/>
        </w:rPr>
        <w:t>Quantity and Quality in Social Research’</w:t>
      </w:r>
      <w:r>
        <w:t xml:space="preserve">, London, Routledge (2001), Introduction. p.1; Monique </w:t>
      </w:r>
      <w:proofErr w:type="spellStart"/>
      <w:r>
        <w:t>Hennick</w:t>
      </w:r>
      <w:proofErr w:type="spellEnd"/>
      <w:r>
        <w:t xml:space="preserve">, Inge </w:t>
      </w:r>
      <w:proofErr w:type="spellStart"/>
      <w:r>
        <w:t>Hutter</w:t>
      </w:r>
      <w:proofErr w:type="spellEnd"/>
      <w:r>
        <w:t>, and Ajay Bailey, ‘</w:t>
      </w:r>
      <w:r w:rsidRPr="007E0F9E">
        <w:rPr>
          <w:i/>
          <w:iCs/>
        </w:rPr>
        <w:t>Qualitative Research Methods</w:t>
      </w:r>
      <w:r>
        <w:rPr>
          <w:i/>
          <w:iCs/>
        </w:rPr>
        <w:t>’</w:t>
      </w:r>
      <w:r>
        <w:t xml:space="preserve">, Los Angeles; London, Sage (2011), pp.16 -17. </w:t>
      </w:r>
    </w:p>
  </w:footnote>
  <w:footnote w:id="2">
    <w:p w14:paraId="6624C9E5" w14:textId="3D356CCF" w:rsidR="00CF6900" w:rsidRDefault="00CF6900">
      <w:pPr>
        <w:pStyle w:val="FootnoteText"/>
      </w:pPr>
      <w:r>
        <w:rPr>
          <w:rStyle w:val="FootnoteReference"/>
        </w:rPr>
        <w:footnoteRef/>
      </w:r>
      <w:r>
        <w:t xml:space="preserve"> As above, same references. </w:t>
      </w:r>
    </w:p>
  </w:footnote>
  <w:footnote w:id="3">
    <w:p w14:paraId="0F05B47C" w14:textId="3CD937C2" w:rsidR="00CF6900" w:rsidRDefault="00CF6900">
      <w:pPr>
        <w:pStyle w:val="FootnoteText"/>
      </w:pPr>
      <w:r>
        <w:rPr>
          <w:rStyle w:val="FootnoteReference"/>
        </w:rPr>
        <w:footnoteRef/>
      </w:r>
      <w:r>
        <w:t xml:space="preserve"> T. Walter &amp; H. Waterhouse ‘</w:t>
      </w:r>
      <w:r w:rsidRPr="007E0F9E">
        <w:rPr>
          <w:i/>
          <w:iCs/>
        </w:rPr>
        <w:t>A Very Private Belief: Reincarnation in Contemporary England’</w:t>
      </w:r>
      <w:r>
        <w:t xml:space="preserve">. Sociology of Religion, 60 (1999). p.188; </w:t>
      </w:r>
      <w:proofErr w:type="spellStart"/>
      <w:r>
        <w:t>T.L.Brink</w:t>
      </w:r>
      <w:proofErr w:type="spellEnd"/>
      <w:r>
        <w:t xml:space="preserve">, ‘Inconsistency of Belief among Roman Catholic Girls: Concerning Religion, Astrology, Reincarnation.’ Review of Religious Research, 20 (1978). p.83. </w:t>
      </w:r>
    </w:p>
  </w:footnote>
  <w:footnote w:id="4">
    <w:p w14:paraId="602C7877" w14:textId="4D963C7F" w:rsidR="00CF6900" w:rsidRDefault="00CF6900">
      <w:pPr>
        <w:pStyle w:val="FootnoteText"/>
      </w:pPr>
      <w:r>
        <w:rPr>
          <w:rStyle w:val="FootnoteReference"/>
        </w:rPr>
        <w:footnoteRef/>
      </w:r>
      <w:r>
        <w:t xml:space="preserve"> Brink, </w:t>
      </w:r>
      <w:r w:rsidRPr="0067746F">
        <w:rPr>
          <w:i/>
          <w:iCs/>
        </w:rPr>
        <w:t>‘Inconsistency of Belief among Roman Catholic Girls: Concerning Religion, Astrology, Reincarnation</w:t>
      </w:r>
      <w:r>
        <w:t>’ pp.82-83; Walter &amp; Waterhouse ‘</w:t>
      </w:r>
      <w:r w:rsidRPr="007E0F9E">
        <w:rPr>
          <w:i/>
          <w:iCs/>
        </w:rPr>
        <w:t>A Very Private Belief: Reincarnation in Contemporary England’</w:t>
      </w:r>
      <w:r>
        <w:t xml:space="preserve">. pp.188-189. </w:t>
      </w:r>
    </w:p>
  </w:footnote>
  <w:footnote w:id="5">
    <w:p w14:paraId="02DA3781" w14:textId="502E87BE" w:rsidR="00CF6900" w:rsidRDefault="00CF6900">
      <w:pPr>
        <w:pStyle w:val="FootnoteText"/>
      </w:pPr>
      <w:r>
        <w:rPr>
          <w:rStyle w:val="FootnoteReference"/>
        </w:rPr>
        <w:footnoteRef/>
      </w:r>
      <w:r>
        <w:t xml:space="preserve"> Brink, pp.82-83; Walter &amp; Waterhouse, pp. 188-189. </w:t>
      </w:r>
    </w:p>
  </w:footnote>
  <w:footnote w:id="6">
    <w:p w14:paraId="14F753A6" w14:textId="3F8BBD52" w:rsidR="00CF6900" w:rsidRDefault="00CF6900">
      <w:pPr>
        <w:pStyle w:val="FootnoteText"/>
      </w:pPr>
      <w:r>
        <w:rPr>
          <w:rStyle w:val="FootnoteReference"/>
        </w:rPr>
        <w:footnoteRef/>
      </w:r>
      <w:r>
        <w:t xml:space="preserve"> Brink, pp.82-83; Walter &amp; Waterhouse, pp. 188-189.</w:t>
      </w:r>
    </w:p>
  </w:footnote>
  <w:footnote w:id="7">
    <w:p w14:paraId="3DE4AEC0" w14:textId="71C751AB" w:rsidR="00CF6900" w:rsidRDefault="00CF6900">
      <w:pPr>
        <w:pStyle w:val="FootnoteText"/>
      </w:pPr>
      <w:r>
        <w:rPr>
          <w:rStyle w:val="FootnoteReference"/>
        </w:rPr>
        <w:footnoteRef/>
      </w:r>
      <w:r>
        <w:t xml:space="preserve"> Walter &amp; Waterhouse, p.189.</w:t>
      </w:r>
    </w:p>
  </w:footnote>
  <w:footnote w:id="8">
    <w:p w14:paraId="1E5246C9" w14:textId="782A30F9" w:rsidR="00CF6900" w:rsidRDefault="00CF6900">
      <w:pPr>
        <w:pStyle w:val="FootnoteText"/>
      </w:pPr>
      <w:r>
        <w:rPr>
          <w:rStyle w:val="FootnoteReference"/>
        </w:rPr>
        <w:footnoteRef/>
      </w:r>
      <w:r>
        <w:t xml:space="preserve"> Ibid. p.189.</w:t>
      </w:r>
    </w:p>
  </w:footnote>
  <w:footnote w:id="9">
    <w:p w14:paraId="37677B1F" w14:textId="04C0588B" w:rsidR="00CF6900" w:rsidRPr="0067746F" w:rsidRDefault="00CF6900">
      <w:pPr>
        <w:pStyle w:val="FootnoteText"/>
      </w:pPr>
      <w:r>
        <w:rPr>
          <w:rStyle w:val="FootnoteReference"/>
        </w:rPr>
        <w:footnoteRef/>
      </w:r>
      <w:r>
        <w:t xml:space="preserve"> Bryman, ‘</w:t>
      </w:r>
      <w:r w:rsidRPr="007E0F9E">
        <w:rPr>
          <w:i/>
          <w:iCs/>
        </w:rPr>
        <w:t>Quantity and Quality in Social Research’</w:t>
      </w:r>
      <w:r>
        <w:rPr>
          <w:i/>
          <w:iCs/>
        </w:rPr>
        <w:t xml:space="preserve"> </w:t>
      </w:r>
      <w:r w:rsidRPr="0067746F">
        <w:t>p.</w:t>
      </w:r>
      <w:r>
        <w:t xml:space="preserve">94; </w:t>
      </w:r>
      <w:proofErr w:type="spellStart"/>
      <w:r>
        <w:t>Hennick</w:t>
      </w:r>
      <w:proofErr w:type="spellEnd"/>
      <w:r>
        <w:t xml:space="preserve">, </w:t>
      </w:r>
      <w:proofErr w:type="spellStart"/>
      <w:r>
        <w:t>Hutter</w:t>
      </w:r>
      <w:proofErr w:type="spellEnd"/>
      <w:r>
        <w:t>, and Bailey, ‘</w:t>
      </w:r>
      <w:r w:rsidRPr="007E0F9E">
        <w:rPr>
          <w:i/>
          <w:iCs/>
        </w:rPr>
        <w:t>Qualitative Research Method</w:t>
      </w:r>
      <w:r>
        <w:rPr>
          <w:i/>
          <w:iCs/>
        </w:rPr>
        <w:t xml:space="preserve">’ </w:t>
      </w:r>
      <w:r>
        <w:t>p.16; Judith Bell ‘</w:t>
      </w:r>
      <w:r w:rsidRPr="00EA05B7">
        <w:rPr>
          <w:i/>
          <w:iCs/>
        </w:rPr>
        <w:t>Doing Your Research Project’</w:t>
      </w:r>
      <w:r>
        <w:t xml:space="preserve"> Fifth Edition, Open University Press (2010). pp.47, 50, </w:t>
      </w:r>
    </w:p>
  </w:footnote>
  <w:footnote w:id="10">
    <w:p w14:paraId="65B7E4C8" w14:textId="62491E3E" w:rsidR="00CF6900" w:rsidRPr="00EA05B7" w:rsidRDefault="00CF6900">
      <w:pPr>
        <w:pStyle w:val="FootnoteText"/>
      </w:pPr>
      <w:r>
        <w:rPr>
          <w:rStyle w:val="FootnoteReference"/>
        </w:rPr>
        <w:footnoteRef/>
      </w:r>
      <w:r>
        <w:t xml:space="preserve"> Bryman, ‘</w:t>
      </w:r>
      <w:r w:rsidRPr="007E0F9E">
        <w:rPr>
          <w:i/>
          <w:iCs/>
        </w:rPr>
        <w:t>Quantity and Quality in Social Research</w:t>
      </w:r>
      <w:r>
        <w:rPr>
          <w:i/>
          <w:iCs/>
        </w:rPr>
        <w:t>.</w:t>
      </w:r>
      <w:r w:rsidRPr="007E0F9E">
        <w:rPr>
          <w:i/>
          <w:iCs/>
        </w:rPr>
        <w:t>’</w:t>
      </w:r>
      <w:r>
        <w:rPr>
          <w:i/>
          <w:iCs/>
        </w:rPr>
        <w:t xml:space="preserve"> </w:t>
      </w:r>
      <w:r w:rsidRPr="0067746F">
        <w:t>p.</w:t>
      </w:r>
      <w:r>
        <w:t>95; Judith Bell ‘</w:t>
      </w:r>
      <w:r w:rsidRPr="00EA05B7">
        <w:rPr>
          <w:i/>
          <w:iCs/>
        </w:rPr>
        <w:t>Doing Your Research Project’</w:t>
      </w:r>
      <w:r>
        <w:rPr>
          <w:i/>
          <w:iCs/>
        </w:rPr>
        <w:t xml:space="preserve"> </w:t>
      </w:r>
      <w:r>
        <w:t>p.47.</w:t>
      </w:r>
    </w:p>
  </w:footnote>
  <w:footnote w:id="11">
    <w:p w14:paraId="3314E34A" w14:textId="11A17494" w:rsidR="00CF6900" w:rsidRDefault="00CF69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Hennick</w:t>
      </w:r>
      <w:proofErr w:type="spellEnd"/>
      <w:r>
        <w:t xml:space="preserve">, </w:t>
      </w:r>
      <w:proofErr w:type="spellStart"/>
      <w:r>
        <w:t>Hutter</w:t>
      </w:r>
      <w:proofErr w:type="spellEnd"/>
      <w:r>
        <w:t>, and Bailey. pp.14-16.</w:t>
      </w:r>
    </w:p>
  </w:footnote>
  <w:footnote w:id="12">
    <w:p w14:paraId="68B38C96" w14:textId="2D15137A" w:rsidR="00CF6900" w:rsidRDefault="00CF6900">
      <w:pPr>
        <w:pStyle w:val="FootnoteText"/>
      </w:pPr>
      <w:r>
        <w:rPr>
          <w:rStyle w:val="FootnoteReference"/>
        </w:rPr>
        <w:footnoteRef/>
      </w:r>
      <w:r>
        <w:t xml:space="preserve"> Bryman. </w:t>
      </w:r>
      <w:r w:rsidRPr="0067746F">
        <w:t>p.</w:t>
      </w:r>
      <w:r>
        <w:t xml:space="preserve">94-96; </w:t>
      </w:r>
      <w:proofErr w:type="spellStart"/>
      <w:r>
        <w:t>Hennick</w:t>
      </w:r>
      <w:proofErr w:type="spellEnd"/>
      <w:r>
        <w:t xml:space="preserve">, </w:t>
      </w:r>
      <w:proofErr w:type="spellStart"/>
      <w:r>
        <w:t>Hutter</w:t>
      </w:r>
      <w:proofErr w:type="spellEnd"/>
      <w:r>
        <w:t>, and Bailey. p.18</w:t>
      </w:r>
    </w:p>
  </w:footnote>
  <w:footnote w:id="13">
    <w:p w14:paraId="24E13EBF" w14:textId="1C9905CA" w:rsidR="00CF6900" w:rsidRDefault="00CF6900" w:rsidP="00EA05B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Hennick</w:t>
      </w:r>
      <w:proofErr w:type="spellEnd"/>
      <w:r>
        <w:t xml:space="preserve">, </w:t>
      </w:r>
      <w:proofErr w:type="spellStart"/>
      <w:r>
        <w:t>Hutter</w:t>
      </w:r>
      <w:proofErr w:type="spellEnd"/>
      <w:r>
        <w:t>, and Bailey. p.18</w:t>
      </w:r>
    </w:p>
    <w:p w14:paraId="46B806D7" w14:textId="7030EBAB" w:rsidR="00CF6900" w:rsidRDefault="00CF6900">
      <w:pPr>
        <w:pStyle w:val="FootnoteText"/>
      </w:pPr>
    </w:p>
  </w:footnote>
  <w:footnote w:id="14">
    <w:p w14:paraId="05F665FD" w14:textId="4F86CBFD" w:rsidR="00CF6900" w:rsidRDefault="00CF6900">
      <w:pPr>
        <w:pStyle w:val="FootnoteText"/>
      </w:pPr>
      <w:r>
        <w:rPr>
          <w:rStyle w:val="FootnoteReference"/>
        </w:rPr>
        <w:footnoteRef/>
      </w:r>
      <w:r>
        <w:t xml:space="preserve"> Bryman. </w:t>
      </w:r>
      <w:r w:rsidRPr="0067746F">
        <w:t>p</w:t>
      </w:r>
      <w:r>
        <w:t>p</w:t>
      </w:r>
      <w:r w:rsidRPr="0067746F">
        <w:t>.</w:t>
      </w:r>
      <w:r>
        <w:t xml:space="preserve">94, 99, 103; </w:t>
      </w:r>
      <w:proofErr w:type="spellStart"/>
      <w:r>
        <w:t>Hennick</w:t>
      </w:r>
      <w:proofErr w:type="spellEnd"/>
      <w:r>
        <w:t xml:space="preserve">, </w:t>
      </w:r>
      <w:proofErr w:type="spellStart"/>
      <w:r>
        <w:t>Hutter</w:t>
      </w:r>
      <w:proofErr w:type="spellEnd"/>
      <w:r>
        <w:t>, and Bailey. p.16.</w:t>
      </w:r>
    </w:p>
  </w:footnote>
  <w:footnote w:id="15">
    <w:p w14:paraId="6E12FF00" w14:textId="7B65D281" w:rsidR="00CF6900" w:rsidRDefault="00CF6900">
      <w:pPr>
        <w:pStyle w:val="FootnoteText"/>
      </w:pPr>
      <w:r>
        <w:rPr>
          <w:rStyle w:val="FootnoteReference"/>
        </w:rPr>
        <w:footnoteRef/>
      </w:r>
      <w:r>
        <w:t xml:space="preserve"> Brink, pp.83-84</w:t>
      </w:r>
    </w:p>
  </w:footnote>
  <w:footnote w:id="16">
    <w:p w14:paraId="203A4F3F" w14:textId="58F5A9A4" w:rsidR="00CF6900" w:rsidRDefault="00CF6900">
      <w:pPr>
        <w:pStyle w:val="FootnoteText"/>
      </w:pPr>
      <w:r>
        <w:rPr>
          <w:rStyle w:val="FootnoteReference"/>
        </w:rPr>
        <w:footnoteRef/>
      </w:r>
      <w:r>
        <w:t xml:space="preserve"> Walter &amp; Waterhouse, pp. 189-191</w:t>
      </w:r>
    </w:p>
  </w:footnote>
  <w:footnote w:id="17">
    <w:p w14:paraId="7E908A8B" w14:textId="190CC00B" w:rsidR="00CF6900" w:rsidRDefault="00CF6900">
      <w:pPr>
        <w:pStyle w:val="FootnoteText"/>
      </w:pPr>
      <w:r>
        <w:rPr>
          <w:rStyle w:val="FootnoteReference"/>
        </w:rPr>
        <w:footnoteRef/>
      </w:r>
      <w:r>
        <w:t xml:space="preserve"> Walter &amp; Waterhouse, p. 194</w:t>
      </w:r>
    </w:p>
  </w:footnote>
  <w:footnote w:id="18">
    <w:p w14:paraId="669E597F" w14:textId="539AEFE5" w:rsidR="00CF6900" w:rsidRPr="00CF6900" w:rsidRDefault="00CF6900">
      <w:pPr>
        <w:pStyle w:val="FootnoteText"/>
      </w:pPr>
      <w:r>
        <w:rPr>
          <w:rStyle w:val="FootnoteReference"/>
        </w:rPr>
        <w:footnoteRef/>
      </w:r>
      <w:r>
        <w:t xml:space="preserve"> Judith Bell ‘</w:t>
      </w:r>
      <w:r w:rsidRPr="00EA05B7">
        <w:rPr>
          <w:i/>
          <w:iCs/>
        </w:rPr>
        <w:t>Doing Your Research Project’</w:t>
      </w:r>
      <w:r>
        <w:rPr>
          <w:i/>
          <w:iCs/>
        </w:rPr>
        <w:t xml:space="preserve"> </w:t>
      </w:r>
      <w:r>
        <w:t xml:space="preserve">pp. 142- 145 </w:t>
      </w:r>
    </w:p>
  </w:footnote>
  <w:footnote w:id="19">
    <w:p w14:paraId="05C98127" w14:textId="7C63A778" w:rsidR="00CF6900" w:rsidRDefault="00CF6900">
      <w:pPr>
        <w:pStyle w:val="FootnoteText"/>
      </w:pPr>
      <w:r>
        <w:rPr>
          <w:rStyle w:val="FootnoteReference"/>
        </w:rPr>
        <w:footnoteRef/>
      </w:r>
      <w:r>
        <w:t xml:space="preserve"> Hildred Geertz ‘An Anthropology of Religion and Magic’, The Journal of Interdisciplinary History, Vol. 6, Vol.6, No.1 (1975), pp.</w:t>
      </w:r>
      <w:r w:rsidR="007C7251">
        <w:t xml:space="preserve">88-89. </w:t>
      </w:r>
    </w:p>
  </w:footnote>
  <w:footnote w:id="20">
    <w:p w14:paraId="62F00099" w14:textId="2DEB39CC" w:rsidR="007C7251" w:rsidRDefault="007C72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Walter &amp; Waterhouse, pp. 1</w:t>
      </w:r>
      <w:r>
        <w:t xml:space="preserve">92-193; </w:t>
      </w:r>
      <w:proofErr w:type="spellStart"/>
      <w:r>
        <w:t>Hennick</w:t>
      </w:r>
      <w:proofErr w:type="spellEnd"/>
      <w:r>
        <w:t xml:space="preserve">, </w:t>
      </w:r>
      <w:proofErr w:type="spellStart"/>
      <w:r>
        <w:t>Hutter</w:t>
      </w:r>
      <w:proofErr w:type="spellEnd"/>
      <w:r>
        <w:t>, and Bailey. pp.1</w:t>
      </w:r>
      <w:r>
        <w:t>8-19</w:t>
      </w:r>
      <w:r>
        <w:t>.</w:t>
      </w:r>
    </w:p>
  </w:footnote>
  <w:footnote w:id="21">
    <w:p w14:paraId="026B6957" w14:textId="263F7F06" w:rsidR="007C7251" w:rsidRDefault="007C7251" w:rsidP="007C72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Walter &amp; Waterhouse, pp. 1</w:t>
      </w:r>
      <w:r>
        <w:t xml:space="preserve">93 -196; </w:t>
      </w:r>
      <w:r>
        <w:t>Brink, pp.8</w:t>
      </w:r>
      <w:r>
        <w:t xml:space="preserve">4-85; </w:t>
      </w:r>
      <w:proofErr w:type="spellStart"/>
      <w:r>
        <w:t>Hennick</w:t>
      </w:r>
      <w:proofErr w:type="spellEnd"/>
      <w:r>
        <w:t xml:space="preserve">, </w:t>
      </w:r>
      <w:proofErr w:type="spellStart"/>
      <w:r>
        <w:t>Hutter</w:t>
      </w:r>
      <w:proofErr w:type="spellEnd"/>
      <w:r>
        <w:t>, and Bailey. pp.</w:t>
      </w:r>
      <w:r>
        <w:t xml:space="preserve">19-20; </w:t>
      </w:r>
      <w:r>
        <w:t>Judith Bell</w:t>
      </w:r>
      <w:r>
        <w:t>. p. 161</w:t>
      </w:r>
    </w:p>
    <w:p w14:paraId="29224183" w14:textId="6DB4D2A5" w:rsidR="007C7251" w:rsidRDefault="007C7251">
      <w:pPr>
        <w:pStyle w:val="FootnoteText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1A7"/>
    <w:rsid w:val="00051B55"/>
    <w:rsid w:val="0005350D"/>
    <w:rsid w:val="00057D29"/>
    <w:rsid w:val="00093C16"/>
    <w:rsid w:val="000B02FC"/>
    <w:rsid w:val="000B10B8"/>
    <w:rsid w:val="000F192B"/>
    <w:rsid w:val="001422E2"/>
    <w:rsid w:val="00164CBB"/>
    <w:rsid w:val="00173715"/>
    <w:rsid w:val="0019289F"/>
    <w:rsid w:val="001972CD"/>
    <w:rsid w:val="001F6F3A"/>
    <w:rsid w:val="0020300A"/>
    <w:rsid w:val="002A508D"/>
    <w:rsid w:val="002B1D11"/>
    <w:rsid w:val="00332E82"/>
    <w:rsid w:val="003529AF"/>
    <w:rsid w:val="00370812"/>
    <w:rsid w:val="00375000"/>
    <w:rsid w:val="003A41A0"/>
    <w:rsid w:val="003B5672"/>
    <w:rsid w:val="003D27CC"/>
    <w:rsid w:val="003E111D"/>
    <w:rsid w:val="004B11A7"/>
    <w:rsid w:val="005363FA"/>
    <w:rsid w:val="00601857"/>
    <w:rsid w:val="0061402C"/>
    <w:rsid w:val="00616CC2"/>
    <w:rsid w:val="00653579"/>
    <w:rsid w:val="0067746F"/>
    <w:rsid w:val="006A761A"/>
    <w:rsid w:val="00726228"/>
    <w:rsid w:val="00794668"/>
    <w:rsid w:val="007B0766"/>
    <w:rsid w:val="007C1072"/>
    <w:rsid w:val="007C7251"/>
    <w:rsid w:val="007E0F9E"/>
    <w:rsid w:val="007E15C0"/>
    <w:rsid w:val="007F658C"/>
    <w:rsid w:val="0083069B"/>
    <w:rsid w:val="00886C46"/>
    <w:rsid w:val="008944F4"/>
    <w:rsid w:val="008F5BEA"/>
    <w:rsid w:val="00951F72"/>
    <w:rsid w:val="00967B69"/>
    <w:rsid w:val="0099119F"/>
    <w:rsid w:val="009C0C91"/>
    <w:rsid w:val="00A013DA"/>
    <w:rsid w:val="00A51E36"/>
    <w:rsid w:val="00A6728F"/>
    <w:rsid w:val="00A93DF8"/>
    <w:rsid w:val="00B773B8"/>
    <w:rsid w:val="00B85D54"/>
    <w:rsid w:val="00B90983"/>
    <w:rsid w:val="00BA71EB"/>
    <w:rsid w:val="00C2022C"/>
    <w:rsid w:val="00C36041"/>
    <w:rsid w:val="00C91B87"/>
    <w:rsid w:val="00CB11BA"/>
    <w:rsid w:val="00CC33CF"/>
    <w:rsid w:val="00CF2020"/>
    <w:rsid w:val="00CF6900"/>
    <w:rsid w:val="00D14FB4"/>
    <w:rsid w:val="00D63B93"/>
    <w:rsid w:val="00D708D7"/>
    <w:rsid w:val="00DA1496"/>
    <w:rsid w:val="00DA4AA2"/>
    <w:rsid w:val="00DA7428"/>
    <w:rsid w:val="00DE0F00"/>
    <w:rsid w:val="00DF2869"/>
    <w:rsid w:val="00E347FF"/>
    <w:rsid w:val="00E55A09"/>
    <w:rsid w:val="00E567F2"/>
    <w:rsid w:val="00EA05B7"/>
    <w:rsid w:val="00EA5B8C"/>
    <w:rsid w:val="00FA528B"/>
    <w:rsid w:val="00FE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396ED"/>
  <w15:chartTrackingRefBased/>
  <w15:docId w15:val="{4D812E7B-AFD0-3B41-9FB1-9AF615A25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1A7"/>
    <w:rPr>
      <w:rFonts w:ascii="Times New Roman" w:eastAsia="SimSun" w:hAnsi="Times New Roman" w:cs="Times New Roman"/>
      <w:lang w:eastAsia="zh-CN"/>
    </w:rPr>
  </w:style>
  <w:style w:type="paragraph" w:styleId="Heading3">
    <w:name w:val="heading 3"/>
    <w:basedOn w:val="Normal"/>
    <w:link w:val="Heading3Char"/>
    <w:qFormat/>
    <w:rsid w:val="004B11A7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B11A7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4B11A7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paragraph" w:styleId="Footer">
    <w:name w:val="footer"/>
    <w:basedOn w:val="Normal"/>
    <w:link w:val="FooterChar"/>
    <w:uiPriority w:val="99"/>
    <w:rsid w:val="004B11A7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basedOn w:val="DefaultParagraphFont"/>
    <w:link w:val="Footer"/>
    <w:uiPriority w:val="99"/>
    <w:rsid w:val="004B11A7"/>
    <w:rPr>
      <w:rFonts w:ascii="Times New Roman" w:eastAsia="SimSun" w:hAnsi="Times New Roman" w:cs="Times New Roman"/>
      <w:lang w:val="x-none"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51B5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51B55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FootnoteReference">
    <w:name w:val="footnote reference"/>
    <w:basedOn w:val="DefaultParagraphFont"/>
    <w:uiPriority w:val="99"/>
    <w:semiHidden/>
    <w:unhideWhenUsed/>
    <w:rsid w:val="00051B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4D635B7-8CB3-204F-B60A-FF8AC5874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6</Pages>
  <Words>1262</Words>
  <Characters>7099</Characters>
  <Application>Microsoft Office Word</Application>
  <DocSecurity>0</DocSecurity>
  <Lines>126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Tareck Ghoneim (1813140)</dc:creator>
  <cp:keywords/>
  <dc:description/>
  <cp:lastModifiedBy>Tareck Ghoneim (1813140)</cp:lastModifiedBy>
  <cp:revision>1</cp:revision>
  <dcterms:created xsi:type="dcterms:W3CDTF">2020-06-01T18:30:00Z</dcterms:created>
  <dcterms:modified xsi:type="dcterms:W3CDTF">2020-06-02T03:05:00Z</dcterms:modified>
</cp:coreProperties>
</file>