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B6E2B" w14:textId="1B858B44" w:rsidR="009257EB" w:rsidRPr="002F1D6A" w:rsidRDefault="00DE4013">
      <w:pPr>
        <w:rPr>
          <w:b/>
          <w:bCs/>
          <w:sz w:val="36"/>
          <w:szCs w:val="36"/>
          <w:lang w:val="en-US"/>
        </w:rPr>
      </w:pPr>
      <w:r w:rsidRPr="002F1D6A">
        <w:rPr>
          <w:b/>
          <w:bCs/>
          <w:sz w:val="36"/>
          <w:szCs w:val="36"/>
          <w:lang w:val="en-US"/>
        </w:rPr>
        <w:t>Charitable and Purpose Trusts Questions</w:t>
      </w:r>
      <w:r w:rsidR="00624CA1">
        <w:rPr>
          <w:b/>
          <w:bCs/>
          <w:sz w:val="36"/>
          <w:szCs w:val="36"/>
          <w:lang w:val="en-US"/>
        </w:rPr>
        <w:t xml:space="preserve"> and Answers</w:t>
      </w:r>
      <w:r w:rsidRPr="002F1D6A">
        <w:rPr>
          <w:b/>
          <w:bCs/>
          <w:sz w:val="36"/>
          <w:szCs w:val="36"/>
          <w:lang w:val="en-US"/>
        </w:rPr>
        <w:t>:-</w:t>
      </w:r>
    </w:p>
    <w:p w14:paraId="3B3DF1A0" w14:textId="6D3C6C8B" w:rsidR="00DE4013" w:rsidRDefault="00DE4013" w:rsidP="00DE4013">
      <w:pPr>
        <w:pStyle w:val="ListParagraph"/>
        <w:numPr>
          <w:ilvl w:val="0"/>
          <w:numId w:val="1"/>
        </w:numPr>
        <w:rPr>
          <w:sz w:val="28"/>
          <w:szCs w:val="28"/>
          <w:lang w:val="en-US"/>
        </w:rPr>
      </w:pPr>
      <w:r w:rsidRPr="002F1D6A">
        <w:rPr>
          <w:sz w:val="28"/>
          <w:szCs w:val="28"/>
          <w:lang w:val="en-US"/>
        </w:rPr>
        <w:t>Briefly explain four of the advantages charitable trusts enjoy over private trusts.</w:t>
      </w:r>
    </w:p>
    <w:p w14:paraId="421CFD38" w14:textId="17BEA685" w:rsidR="00624CA1" w:rsidRDefault="00624CA1" w:rsidP="00624CA1">
      <w:pPr>
        <w:pStyle w:val="ListParagraph"/>
        <w:rPr>
          <w:i/>
          <w:iCs/>
          <w:sz w:val="28"/>
          <w:szCs w:val="28"/>
          <w:lang w:val="en-US"/>
        </w:rPr>
      </w:pPr>
      <w:r>
        <w:rPr>
          <w:i/>
          <w:iCs/>
          <w:sz w:val="28"/>
          <w:szCs w:val="28"/>
          <w:lang w:val="en-US"/>
        </w:rPr>
        <w:t>-There is no requirement to have a human beneficiary, that is, the trust can be for a purpose.  This is because the trust can be enforced by the Attorney-General.</w:t>
      </w:r>
    </w:p>
    <w:p w14:paraId="0806ECF3" w14:textId="5FE4E854" w:rsidR="00624CA1" w:rsidRDefault="00624CA1" w:rsidP="00624CA1">
      <w:pPr>
        <w:pStyle w:val="ListParagraph"/>
        <w:rPr>
          <w:i/>
          <w:iCs/>
          <w:sz w:val="28"/>
          <w:szCs w:val="28"/>
          <w:lang w:val="en-US"/>
        </w:rPr>
      </w:pPr>
      <w:r>
        <w:rPr>
          <w:i/>
          <w:iCs/>
          <w:sz w:val="28"/>
          <w:szCs w:val="28"/>
          <w:lang w:val="en-US"/>
        </w:rPr>
        <w:t>- It will not fail for uncertainty of objects, provided that the purpose is charitable.</w:t>
      </w:r>
    </w:p>
    <w:p w14:paraId="6BB1CBFC" w14:textId="3CFCA39C" w:rsidR="00624CA1" w:rsidRDefault="00624CA1" w:rsidP="00624CA1">
      <w:pPr>
        <w:pStyle w:val="ListParagraph"/>
        <w:rPr>
          <w:i/>
          <w:iCs/>
          <w:sz w:val="28"/>
          <w:szCs w:val="28"/>
          <w:lang w:val="en-US"/>
        </w:rPr>
      </w:pPr>
      <w:r>
        <w:rPr>
          <w:i/>
          <w:iCs/>
          <w:sz w:val="28"/>
          <w:szCs w:val="28"/>
          <w:lang w:val="en-US"/>
        </w:rPr>
        <w:t>-The remoteness of vesting rule</w:t>
      </w:r>
      <w:r w:rsidR="003F1D2D">
        <w:rPr>
          <w:i/>
          <w:iCs/>
          <w:sz w:val="28"/>
          <w:szCs w:val="28"/>
          <w:lang w:val="en-US"/>
        </w:rPr>
        <w:t xml:space="preserve"> (part of the rule against perpetuities) does not apply.</w:t>
      </w:r>
    </w:p>
    <w:p w14:paraId="431D6C91" w14:textId="4202800C" w:rsidR="003F1D2D" w:rsidRDefault="003F1D2D" w:rsidP="00624CA1">
      <w:pPr>
        <w:pStyle w:val="ListParagraph"/>
        <w:rPr>
          <w:i/>
          <w:iCs/>
          <w:sz w:val="28"/>
          <w:szCs w:val="28"/>
          <w:lang w:val="en-US"/>
        </w:rPr>
      </w:pPr>
      <w:r>
        <w:rPr>
          <w:i/>
          <w:iCs/>
          <w:sz w:val="28"/>
          <w:szCs w:val="28"/>
          <w:lang w:val="en-US"/>
        </w:rPr>
        <w:t>- Charitable trusts enjoy tax advantages.</w:t>
      </w:r>
    </w:p>
    <w:p w14:paraId="74F7200D" w14:textId="47C1CC96" w:rsidR="003F1D2D" w:rsidRDefault="003F1D2D" w:rsidP="00624CA1">
      <w:pPr>
        <w:pStyle w:val="ListParagraph"/>
        <w:rPr>
          <w:i/>
          <w:iCs/>
          <w:sz w:val="28"/>
          <w:szCs w:val="28"/>
          <w:lang w:val="en-US"/>
        </w:rPr>
      </w:pPr>
      <w:r>
        <w:rPr>
          <w:i/>
          <w:iCs/>
          <w:sz w:val="28"/>
          <w:szCs w:val="28"/>
          <w:lang w:val="en-US"/>
        </w:rPr>
        <w:t>-If the purpose fails, either ab initio, or later, the fund can be applied cy-pres.</w:t>
      </w:r>
    </w:p>
    <w:p w14:paraId="70D2842F" w14:textId="16F565D5" w:rsidR="003F1D2D" w:rsidRDefault="003F1D2D" w:rsidP="00624CA1">
      <w:pPr>
        <w:pStyle w:val="ListParagraph"/>
        <w:rPr>
          <w:i/>
          <w:iCs/>
          <w:sz w:val="28"/>
          <w:szCs w:val="28"/>
          <w:lang w:val="en-US"/>
        </w:rPr>
      </w:pPr>
      <w:r>
        <w:rPr>
          <w:i/>
          <w:iCs/>
          <w:sz w:val="28"/>
          <w:szCs w:val="28"/>
          <w:lang w:val="en-US"/>
        </w:rPr>
        <w:t>-Trustees can act by majority rather than a unanimous decision.</w:t>
      </w:r>
    </w:p>
    <w:p w14:paraId="58BFD683" w14:textId="77777777" w:rsidR="003F1D2D" w:rsidRPr="00624CA1" w:rsidRDefault="003F1D2D" w:rsidP="00624CA1">
      <w:pPr>
        <w:pStyle w:val="ListParagraph"/>
        <w:rPr>
          <w:i/>
          <w:iCs/>
          <w:sz w:val="28"/>
          <w:szCs w:val="28"/>
          <w:lang w:val="en-US"/>
        </w:rPr>
      </w:pPr>
    </w:p>
    <w:p w14:paraId="7A8A8403" w14:textId="77777777" w:rsidR="002F1D6A" w:rsidRPr="002F1D6A" w:rsidRDefault="002F1D6A" w:rsidP="002F1D6A">
      <w:pPr>
        <w:pStyle w:val="ListParagraph"/>
        <w:rPr>
          <w:sz w:val="28"/>
          <w:szCs w:val="28"/>
          <w:lang w:val="en-US"/>
        </w:rPr>
      </w:pPr>
    </w:p>
    <w:p w14:paraId="4964C100" w14:textId="0C901C66" w:rsidR="00DE4013" w:rsidRPr="002F1D6A" w:rsidRDefault="00DE4013" w:rsidP="00DE4013">
      <w:pPr>
        <w:pStyle w:val="ListParagraph"/>
        <w:numPr>
          <w:ilvl w:val="0"/>
          <w:numId w:val="1"/>
        </w:numPr>
        <w:rPr>
          <w:sz w:val="28"/>
          <w:szCs w:val="28"/>
          <w:lang w:val="en-US"/>
        </w:rPr>
      </w:pPr>
      <w:r w:rsidRPr="002F1D6A">
        <w:rPr>
          <w:sz w:val="28"/>
          <w:szCs w:val="28"/>
          <w:lang w:val="en-US"/>
        </w:rPr>
        <w:t>Explain whether the following trusts for purposes would be charitable under CA 2011.</w:t>
      </w:r>
    </w:p>
    <w:p w14:paraId="0F9E2589" w14:textId="5F50673B" w:rsidR="00DE4013" w:rsidRDefault="00DE4013" w:rsidP="00DE4013">
      <w:pPr>
        <w:pStyle w:val="ListParagraph"/>
        <w:numPr>
          <w:ilvl w:val="0"/>
          <w:numId w:val="2"/>
        </w:numPr>
        <w:rPr>
          <w:sz w:val="28"/>
          <w:szCs w:val="28"/>
          <w:lang w:val="en-US"/>
        </w:rPr>
      </w:pPr>
      <w:r w:rsidRPr="002F1D6A">
        <w:rPr>
          <w:sz w:val="28"/>
          <w:szCs w:val="28"/>
          <w:lang w:val="en-US"/>
        </w:rPr>
        <w:t>A trust for the establishment of a museum in Birmingham that is dedicated to the history of nursing.</w:t>
      </w:r>
    </w:p>
    <w:p w14:paraId="2A952DE2" w14:textId="5AFA4D1E" w:rsidR="003F1D2D" w:rsidRPr="003F1D2D" w:rsidRDefault="003F1D2D" w:rsidP="003F1D2D">
      <w:pPr>
        <w:pStyle w:val="ListParagraph"/>
        <w:ind w:left="1080"/>
        <w:rPr>
          <w:i/>
          <w:iCs/>
          <w:sz w:val="28"/>
          <w:szCs w:val="28"/>
          <w:lang w:val="en-US"/>
        </w:rPr>
      </w:pPr>
      <w:r>
        <w:rPr>
          <w:i/>
          <w:iCs/>
          <w:sz w:val="28"/>
          <w:szCs w:val="28"/>
          <w:lang w:val="en-US"/>
        </w:rPr>
        <w:t xml:space="preserve">Is likely to be charitable.  Under s3(1)(b) CA 2011, the advancement of education is a charitable purpose.  This is a wide head of charity and the establishment of museums has been accepted as being an educational purpose.  The exception would be if the museum would not benefit the public, as in </w:t>
      </w:r>
      <w:r>
        <w:rPr>
          <w:b/>
          <w:bCs/>
          <w:i/>
          <w:iCs/>
          <w:sz w:val="28"/>
          <w:szCs w:val="28"/>
          <w:lang w:val="en-US"/>
        </w:rPr>
        <w:t>Re Pinion [1965]</w:t>
      </w:r>
      <w:r>
        <w:rPr>
          <w:i/>
          <w:iCs/>
          <w:sz w:val="28"/>
          <w:szCs w:val="28"/>
          <w:lang w:val="en-US"/>
        </w:rPr>
        <w:t>, but that would not be the case here.</w:t>
      </w:r>
    </w:p>
    <w:p w14:paraId="76EAC9E1" w14:textId="4F6D5DCD" w:rsidR="00DE4013" w:rsidRDefault="00DE4013" w:rsidP="00DE4013">
      <w:pPr>
        <w:pStyle w:val="ListParagraph"/>
        <w:numPr>
          <w:ilvl w:val="0"/>
          <w:numId w:val="2"/>
        </w:numPr>
        <w:rPr>
          <w:sz w:val="28"/>
          <w:szCs w:val="28"/>
          <w:lang w:val="en-US"/>
        </w:rPr>
      </w:pPr>
      <w:r w:rsidRPr="002F1D6A">
        <w:rPr>
          <w:sz w:val="28"/>
          <w:szCs w:val="28"/>
          <w:lang w:val="en-US"/>
        </w:rPr>
        <w:t>A trust to provide emergency food parcels for people living in the north west of England.</w:t>
      </w:r>
    </w:p>
    <w:p w14:paraId="31B45C83" w14:textId="102102E1" w:rsidR="003F1D2D" w:rsidRPr="00BD415F" w:rsidRDefault="00BD415F" w:rsidP="003F1D2D">
      <w:pPr>
        <w:pStyle w:val="ListParagraph"/>
        <w:ind w:left="1080"/>
        <w:rPr>
          <w:i/>
          <w:iCs/>
          <w:sz w:val="28"/>
          <w:szCs w:val="28"/>
          <w:lang w:val="en-US"/>
        </w:rPr>
      </w:pPr>
      <w:r>
        <w:rPr>
          <w:i/>
          <w:iCs/>
          <w:sz w:val="28"/>
          <w:szCs w:val="28"/>
          <w:lang w:val="en-US"/>
        </w:rPr>
        <w:t>Will probably come under s3(1)(A) CA 2011, prevention or relief of poverty.  Poverty covers those who have to go short in life (</w:t>
      </w:r>
      <w:r>
        <w:rPr>
          <w:b/>
          <w:bCs/>
          <w:i/>
          <w:iCs/>
          <w:sz w:val="28"/>
          <w:szCs w:val="28"/>
          <w:lang w:val="en-US"/>
        </w:rPr>
        <w:t xml:space="preserve">Re </w:t>
      </w:r>
      <w:proofErr w:type="spellStart"/>
      <w:r>
        <w:rPr>
          <w:b/>
          <w:bCs/>
          <w:i/>
          <w:iCs/>
          <w:sz w:val="28"/>
          <w:szCs w:val="28"/>
          <w:lang w:val="en-US"/>
        </w:rPr>
        <w:t>Coulthurst</w:t>
      </w:r>
      <w:proofErr w:type="spellEnd"/>
      <w:r>
        <w:rPr>
          <w:i/>
          <w:iCs/>
          <w:sz w:val="28"/>
          <w:szCs w:val="28"/>
          <w:lang w:val="en-US"/>
        </w:rPr>
        <w:t xml:space="preserve"> </w:t>
      </w:r>
      <w:r>
        <w:rPr>
          <w:b/>
          <w:bCs/>
          <w:i/>
          <w:iCs/>
          <w:sz w:val="28"/>
          <w:szCs w:val="28"/>
          <w:lang w:val="en-US"/>
        </w:rPr>
        <w:t>[1951]</w:t>
      </w:r>
      <w:r>
        <w:rPr>
          <w:i/>
          <w:iCs/>
          <w:sz w:val="28"/>
          <w:szCs w:val="28"/>
          <w:lang w:val="en-US"/>
        </w:rPr>
        <w:t xml:space="preserve">). Those who are unable to provide themselves or their families with food can be regarded as going short.  It does not matter that the clause does not refer specifically to relief of poverty, provided that the institution it supports has this as its purpose.  A charitable trust to establish a soup kitchen was allowed in </w:t>
      </w:r>
      <w:r>
        <w:rPr>
          <w:b/>
          <w:bCs/>
          <w:i/>
          <w:iCs/>
          <w:sz w:val="28"/>
          <w:szCs w:val="28"/>
          <w:lang w:val="en-US"/>
        </w:rPr>
        <w:t xml:space="preserve">Biscoe v Jackson [1887] </w:t>
      </w:r>
      <w:r>
        <w:rPr>
          <w:i/>
          <w:iCs/>
          <w:sz w:val="28"/>
          <w:szCs w:val="28"/>
          <w:lang w:val="en-US"/>
        </w:rPr>
        <w:t>and this is similar</w:t>
      </w:r>
      <w:r w:rsidR="003833B2">
        <w:rPr>
          <w:i/>
          <w:iCs/>
          <w:sz w:val="28"/>
          <w:szCs w:val="28"/>
          <w:lang w:val="en-US"/>
        </w:rPr>
        <w:t xml:space="preserve">.  The limitation to the north west of </w:t>
      </w:r>
      <w:r w:rsidR="003833B2">
        <w:rPr>
          <w:i/>
          <w:iCs/>
          <w:sz w:val="28"/>
          <w:szCs w:val="28"/>
          <w:lang w:val="en-US"/>
        </w:rPr>
        <w:lastRenderedPageBreak/>
        <w:t>England does not mean the public benefit test is not satisfied, since the population served by the trust is still large.</w:t>
      </w:r>
    </w:p>
    <w:p w14:paraId="7A18D89C" w14:textId="5D781C85" w:rsidR="00DE4013" w:rsidRDefault="00DE4013" w:rsidP="00DE4013">
      <w:pPr>
        <w:pStyle w:val="ListParagraph"/>
        <w:numPr>
          <w:ilvl w:val="0"/>
          <w:numId w:val="2"/>
        </w:numPr>
        <w:rPr>
          <w:sz w:val="28"/>
          <w:szCs w:val="28"/>
          <w:lang w:val="en-US"/>
        </w:rPr>
      </w:pPr>
      <w:r w:rsidRPr="002F1D6A">
        <w:rPr>
          <w:sz w:val="28"/>
          <w:szCs w:val="28"/>
          <w:lang w:val="en-US"/>
        </w:rPr>
        <w:t>A trust to promote the sport of extreme skateboarding among the general population.</w:t>
      </w:r>
    </w:p>
    <w:p w14:paraId="63EB0FA7" w14:textId="3EF6FB1F" w:rsidR="003833B2" w:rsidRPr="00E114F6" w:rsidRDefault="00E114F6" w:rsidP="003833B2">
      <w:pPr>
        <w:pStyle w:val="ListParagraph"/>
        <w:ind w:left="1080"/>
        <w:rPr>
          <w:i/>
          <w:iCs/>
          <w:sz w:val="28"/>
          <w:szCs w:val="28"/>
          <w:lang w:val="en-US"/>
        </w:rPr>
      </w:pPr>
      <w:r>
        <w:rPr>
          <w:i/>
          <w:iCs/>
          <w:sz w:val="28"/>
          <w:szCs w:val="28"/>
          <w:lang w:val="en-US"/>
        </w:rPr>
        <w:t>S3(1)(g) CA2011 covers trusts for the advancement of amateur sport.  This will therefore be charitable unless the recipients are professional skateboarders and the wording of the trust does not suggest that they are.</w:t>
      </w:r>
    </w:p>
    <w:p w14:paraId="34BF4707" w14:textId="240C98E6" w:rsidR="00DE4013" w:rsidRDefault="00DE4013" w:rsidP="00DE4013">
      <w:pPr>
        <w:pStyle w:val="ListParagraph"/>
        <w:numPr>
          <w:ilvl w:val="0"/>
          <w:numId w:val="2"/>
        </w:numPr>
        <w:rPr>
          <w:sz w:val="28"/>
          <w:szCs w:val="28"/>
          <w:lang w:val="en-US"/>
        </w:rPr>
      </w:pPr>
      <w:r w:rsidRPr="002F1D6A">
        <w:rPr>
          <w:sz w:val="28"/>
          <w:szCs w:val="28"/>
          <w:lang w:val="en-US"/>
        </w:rPr>
        <w:t>A trust to provide college bursaries for the Children of Members of Parliament.</w:t>
      </w:r>
    </w:p>
    <w:p w14:paraId="125271B8" w14:textId="06C3D0A3" w:rsidR="00E114F6" w:rsidRPr="00DE5786" w:rsidRDefault="00E114F6" w:rsidP="00E114F6">
      <w:pPr>
        <w:pStyle w:val="ListParagraph"/>
        <w:ind w:left="1080"/>
        <w:rPr>
          <w:i/>
          <w:iCs/>
          <w:sz w:val="28"/>
          <w:szCs w:val="28"/>
          <w:lang w:val="en-US"/>
        </w:rPr>
      </w:pPr>
      <w:r>
        <w:rPr>
          <w:i/>
          <w:iCs/>
          <w:sz w:val="28"/>
          <w:szCs w:val="28"/>
          <w:lang w:val="en-US"/>
        </w:rPr>
        <w:t>College bursaries would come under the headings of advancement of education or relief of poverty, but this trust does not satisfy the public benefit test.  This is because the beneficiaries are not a section of the public</w:t>
      </w:r>
      <w:r w:rsidR="00DE5786">
        <w:rPr>
          <w:i/>
          <w:iCs/>
          <w:sz w:val="28"/>
          <w:szCs w:val="28"/>
          <w:lang w:val="en-US"/>
        </w:rPr>
        <w:t>; they are linked by the job their mother or father has (</w:t>
      </w:r>
      <w:r w:rsidR="00DE5786">
        <w:rPr>
          <w:b/>
          <w:bCs/>
          <w:i/>
          <w:iCs/>
          <w:sz w:val="28"/>
          <w:szCs w:val="28"/>
          <w:lang w:val="en-US"/>
        </w:rPr>
        <w:t>Oppenheim v Tobacco Securities Trust [1951]</w:t>
      </w:r>
      <w:r w:rsidR="00DE5786">
        <w:rPr>
          <w:i/>
          <w:iCs/>
          <w:sz w:val="28"/>
          <w:szCs w:val="28"/>
          <w:lang w:val="en-US"/>
        </w:rPr>
        <w:t>).</w:t>
      </w:r>
    </w:p>
    <w:p w14:paraId="6211F322" w14:textId="77777777" w:rsidR="002F1D6A" w:rsidRPr="002F1D6A" w:rsidRDefault="002F1D6A" w:rsidP="002F1D6A">
      <w:pPr>
        <w:pStyle w:val="ListParagraph"/>
        <w:ind w:left="1080"/>
        <w:rPr>
          <w:sz w:val="28"/>
          <w:szCs w:val="28"/>
          <w:lang w:val="en-US"/>
        </w:rPr>
      </w:pPr>
    </w:p>
    <w:p w14:paraId="0E88136C" w14:textId="035C6AAA" w:rsidR="00DE4013" w:rsidRPr="002F1D6A" w:rsidRDefault="00DE4013" w:rsidP="00DE4013">
      <w:pPr>
        <w:pStyle w:val="ListParagraph"/>
        <w:numPr>
          <w:ilvl w:val="0"/>
          <w:numId w:val="1"/>
        </w:numPr>
        <w:rPr>
          <w:sz w:val="28"/>
          <w:szCs w:val="28"/>
          <w:lang w:val="en-US"/>
        </w:rPr>
      </w:pPr>
      <w:r w:rsidRPr="002F1D6A">
        <w:rPr>
          <w:sz w:val="28"/>
          <w:szCs w:val="28"/>
          <w:lang w:val="en-US"/>
        </w:rPr>
        <w:t>Would the Cy-</w:t>
      </w:r>
      <w:proofErr w:type="spellStart"/>
      <w:r w:rsidRPr="002F1D6A">
        <w:rPr>
          <w:sz w:val="28"/>
          <w:szCs w:val="28"/>
          <w:lang w:val="en-US"/>
        </w:rPr>
        <w:t>pres</w:t>
      </w:r>
      <w:proofErr w:type="spellEnd"/>
      <w:r w:rsidRPr="002F1D6A">
        <w:rPr>
          <w:sz w:val="28"/>
          <w:szCs w:val="28"/>
          <w:lang w:val="en-US"/>
        </w:rPr>
        <w:t xml:space="preserve"> doctrine apply in the following case?</w:t>
      </w:r>
    </w:p>
    <w:p w14:paraId="2D64C087" w14:textId="7ADA774A" w:rsidR="002F1D6A" w:rsidRPr="002F1D6A" w:rsidRDefault="00DE4013" w:rsidP="002F1D6A">
      <w:pPr>
        <w:pStyle w:val="ListParagraph"/>
        <w:rPr>
          <w:sz w:val="28"/>
          <w:szCs w:val="28"/>
          <w:lang w:val="en-US"/>
        </w:rPr>
      </w:pPr>
      <w:r w:rsidRPr="002F1D6A">
        <w:rPr>
          <w:sz w:val="28"/>
          <w:szCs w:val="28"/>
          <w:lang w:val="en-US"/>
        </w:rPr>
        <w:t xml:space="preserve">Toby left property on trust to be used to build and maintain an elephant exhibit at Chester zoo.  Shortly before </w:t>
      </w:r>
      <w:r w:rsidR="002F1D6A" w:rsidRPr="002F1D6A">
        <w:rPr>
          <w:sz w:val="28"/>
          <w:szCs w:val="28"/>
          <w:lang w:val="en-US"/>
        </w:rPr>
        <w:t>Toby’s death, the government passed an Act forbidding keeping elephants in captivity in England and Wales.</w:t>
      </w:r>
    </w:p>
    <w:p w14:paraId="2A1F4187" w14:textId="6407E24E" w:rsidR="002F1D6A" w:rsidRDefault="00DE5786" w:rsidP="002F1D6A">
      <w:pPr>
        <w:pStyle w:val="ListParagraph"/>
        <w:rPr>
          <w:i/>
          <w:iCs/>
          <w:sz w:val="28"/>
          <w:szCs w:val="28"/>
          <w:lang w:val="en-US"/>
        </w:rPr>
      </w:pPr>
      <w:r>
        <w:rPr>
          <w:i/>
          <w:iCs/>
          <w:sz w:val="28"/>
          <w:szCs w:val="28"/>
          <w:lang w:val="en-US"/>
        </w:rPr>
        <w:t xml:space="preserve">The question is one of initial impossibility.  The trust cannot be carried out because the zoo is not permitted to keep </w:t>
      </w:r>
      <w:proofErr w:type="spellStart"/>
      <w:r>
        <w:rPr>
          <w:i/>
          <w:iCs/>
          <w:sz w:val="28"/>
          <w:szCs w:val="28"/>
          <w:lang w:val="en-US"/>
        </w:rPr>
        <w:t>elephoants</w:t>
      </w:r>
      <w:proofErr w:type="spellEnd"/>
      <w:r>
        <w:rPr>
          <w:i/>
          <w:iCs/>
          <w:sz w:val="28"/>
          <w:szCs w:val="28"/>
          <w:lang w:val="en-US"/>
        </w:rPr>
        <w:t>.  The property can be applied cy-</w:t>
      </w:r>
      <w:proofErr w:type="spellStart"/>
      <w:r>
        <w:rPr>
          <w:i/>
          <w:iCs/>
          <w:sz w:val="28"/>
          <w:szCs w:val="28"/>
          <w:lang w:val="en-US"/>
        </w:rPr>
        <w:t>pres</w:t>
      </w:r>
      <w:proofErr w:type="spellEnd"/>
      <w:r>
        <w:rPr>
          <w:i/>
          <w:iCs/>
          <w:sz w:val="28"/>
          <w:szCs w:val="28"/>
          <w:lang w:val="en-US"/>
        </w:rPr>
        <w:t xml:space="preserve"> if Toby had a general charitable intent.  The issue will be whether his intent was to benefit the zoo generally and provision for the elephants was just the means he chose to do this.  If Toby was a long standing member of the Friends of Chester Zoo, this might support a finding of general charitable intent.</w:t>
      </w:r>
    </w:p>
    <w:p w14:paraId="1D81B0EA" w14:textId="77777777" w:rsidR="00DE5786" w:rsidRPr="00DE5786" w:rsidRDefault="00DE5786" w:rsidP="002F1D6A">
      <w:pPr>
        <w:pStyle w:val="ListParagraph"/>
        <w:rPr>
          <w:i/>
          <w:iCs/>
          <w:sz w:val="28"/>
          <w:szCs w:val="28"/>
          <w:lang w:val="en-US"/>
        </w:rPr>
      </w:pPr>
    </w:p>
    <w:p w14:paraId="0B7CEBC7" w14:textId="136CCE0A" w:rsidR="002F1D6A" w:rsidRDefault="002F1D6A" w:rsidP="002F1D6A">
      <w:pPr>
        <w:pStyle w:val="ListParagraph"/>
        <w:numPr>
          <w:ilvl w:val="0"/>
          <w:numId w:val="1"/>
        </w:numPr>
        <w:rPr>
          <w:sz w:val="28"/>
          <w:szCs w:val="28"/>
          <w:lang w:val="en-US"/>
        </w:rPr>
      </w:pPr>
      <w:r w:rsidRPr="002F1D6A">
        <w:rPr>
          <w:sz w:val="28"/>
          <w:szCs w:val="28"/>
          <w:lang w:val="en-US"/>
        </w:rPr>
        <w:t>What is an unincorporated association and why do problems arise when someone wishes to make a gift to an unincorporated association?</w:t>
      </w:r>
    </w:p>
    <w:p w14:paraId="5028FE9E" w14:textId="38624E31" w:rsidR="00DE5786" w:rsidRDefault="00DE5786" w:rsidP="00DE5786">
      <w:pPr>
        <w:pStyle w:val="ListParagraph"/>
        <w:rPr>
          <w:i/>
          <w:iCs/>
          <w:sz w:val="28"/>
          <w:szCs w:val="28"/>
          <w:lang w:val="en-US"/>
        </w:rPr>
      </w:pPr>
      <w:r>
        <w:rPr>
          <w:i/>
          <w:iCs/>
          <w:sz w:val="28"/>
          <w:szCs w:val="28"/>
          <w:lang w:val="en-US"/>
        </w:rPr>
        <w:t xml:space="preserve">An unincorporated association exists where two or more persons are bound together for one or more common purposes by mutual undertakings, in an </w:t>
      </w:r>
      <w:proofErr w:type="spellStart"/>
      <w:r>
        <w:rPr>
          <w:i/>
          <w:iCs/>
          <w:sz w:val="28"/>
          <w:szCs w:val="28"/>
          <w:lang w:val="en-US"/>
        </w:rPr>
        <w:t>organ</w:t>
      </w:r>
      <w:r w:rsidR="00B45F14">
        <w:rPr>
          <w:i/>
          <w:iCs/>
          <w:sz w:val="28"/>
          <w:szCs w:val="28"/>
          <w:lang w:val="en-US"/>
        </w:rPr>
        <w:t>i</w:t>
      </w:r>
      <w:r>
        <w:rPr>
          <w:i/>
          <w:iCs/>
          <w:sz w:val="28"/>
          <w:szCs w:val="28"/>
          <w:lang w:val="en-US"/>
        </w:rPr>
        <w:t>sation</w:t>
      </w:r>
      <w:proofErr w:type="spellEnd"/>
      <w:r>
        <w:rPr>
          <w:i/>
          <w:iCs/>
          <w:sz w:val="28"/>
          <w:szCs w:val="28"/>
          <w:lang w:val="en-US"/>
        </w:rPr>
        <w:t xml:space="preserve"> governed by rules</w:t>
      </w:r>
      <w:r w:rsidR="00B45F14">
        <w:rPr>
          <w:i/>
          <w:iCs/>
          <w:sz w:val="28"/>
          <w:szCs w:val="28"/>
          <w:lang w:val="en-US"/>
        </w:rPr>
        <w:t xml:space="preserve"> (</w:t>
      </w:r>
      <w:r w:rsidR="00B45F14">
        <w:rPr>
          <w:b/>
          <w:bCs/>
          <w:i/>
          <w:iCs/>
          <w:sz w:val="28"/>
          <w:szCs w:val="28"/>
          <w:lang w:val="en-US"/>
        </w:rPr>
        <w:t>Conservative &amp; Unionist Central Office v Burrell [1982]</w:t>
      </w:r>
      <w:r w:rsidR="00B45F14">
        <w:rPr>
          <w:i/>
          <w:iCs/>
          <w:sz w:val="28"/>
          <w:szCs w:val="28"/>
          <w:lang w:val="en-US"/>
        </w:rPr>
        <w:t xml:space="preserve">). An unincorporated association does not have legal personality and therefore the organization itself </w:t>
      </w:r>
      <w:r w:rsidR="00B45F14">
        <w:rPr>
          <w:i/>
          <w:iCs/>
          <w:sz w:val="28"/>
          <w:szCs w:val="28"/>
          <w:lang w:val="en-US"/>
        </w:rPr>
        <w:lastRenderedPageBreak/>
        <w:t>cannot own property or be the subject of legal rights and duties.  The property of the association will be held by trustees.</w:t>
      </w:r>
    </w:p>
    <w:p w14:paraId="2E5E750F" w14:textId="43FB85EB" w:rsidR="00B45F14" w:rsidRPr="00B45F14" w:rsidRDefault="00B45F14" w:rsidP="00DE5786">
      <w:pPr>
        <w:pStyle w:val="ListParagraph"/>
        <w:rPr>
          <w:i/>
          <w:iCs/>
          <w:sz w:val="28"/>
          <w:szCs w:val="28"/>
          <w:lang w:val="en-US"/>
        </w:rPr>
      </w:pPr>
      <w:r>
        <w:rPr>
          <w:i/>
          <w:iCs/>
          <w:sz w:val="28"/>
          <w:szCs w:val="28"/>
          <w:lang w:val="en-US"/>
        </w:rPr>
        <w:t>If someone wishes to make a gift to promote the purposes of an unincorporated association, the problem is that a trust for non-charitable purpose is not valid.  It is not possible, therefore, for the person making a gift to ensure that the gift is used for the specified purpose.  If the donor of the gift intends the obligation to be enforceable- that is</w:t>
      </w:r>
      <w:r w:rsidR="00472601">
        <w:rPr>
          <w:i/>
          <w:iCs/>
          <w:sz w:val="28"/>
          <w:szCs w:val="28"/>
          <w:lang w:val="en-US"/>
        </w:rPr>
        <w:t>, it is on trust – the trust will fail (</w:t>
      </w:r>
      <w:r w:rsidR="00472601">
        <w:rPr>
          <w:b/>
          <w:bCs/>
          <w:i/>
          <w:iCs/>
          <w:sz w:val="28"/>
          <w:szCs w:val="28"/>
          <w:lang w:val="en-US"/>
        </w:rPr>
        <w:t>Leahy v Attorney-General for New South Wales [1959]</w:t>
      </w:r>
      <w:r w:rsidR="00472601">
        <w:rPr>
          <w:i/>
          <w:iCs/>
          <w:sz w:val="28"/>
          <w:szCs w:val="28"/>
          <w:lang w:val="en-US"/>
        </w:rPr>
        <w:t>).  The gift therefore has to be treated as being a gift to the  members and if they choose to use it in a way contrary to the donors intention, there is nothing that can be done about this.  There will be no problem of course if the association is charitable in nature.</w:t>
      </w:r>
      <w:r>
        <w:rPr>
          <w:i/>
          <w:iCs/>
          <w:sz w:val="28"/>
          <w:szCs w:val="28"/>
          <w:lang w:val="en-US"/>
        </w:rPr>
        <w:t xml:space="preserve"> </w:t>
      </w:r>
    </w:p>
    <w:sectPr w:rsidR="00B45F14" w:rsidRPr="00B45F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35B7F"/>
    <w:multiLevelType w:val="hybridMultilevel"/>
    <w:tmpl w:val="7ACA03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9F303E"/>
    <w:multiLevelType w:val="hybridMultilevel"/>
    <w:tmpl w:val="22D843AE"/>
    <w:lvl w:ilvl="0" w:tplc="AC34E5B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013"/>
    <w:rsid w:val="002F1D6A"/>
    <w:rsid w:val="003833B2"/>
    <w:rsid w:val="003F1D2D"/>
    <w:rsid w:val="00472601"/>
    <w:rsid w:val="00624CA1"/>
    <w:rsid w:val="009257EB"/>
    <w:rsid w:val="00B45F14"/>
    <w:rsid w:val="00BD415F"/>
    <w:rsid w:val="00DE4013"/>
    <w:rsid w:val="00DE5786"/>
    <w:rsid w:val="00E11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866BA"/>
  <w15:chartTrackingRefBased/>
  <w15:docId w15:val="{EFB82748-6A8A-4B0D-B39B-E2259E453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40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707</Words>
  <Characters>4035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2021-11-22T16:35:00Z</dcterms:created>
  <dcterms:modified xsi:type="dcterms:W3CDTF">2021-11-22T16:35:00Z</dcterms:modified>
</cp:coreProperties>
</file>