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D4AB9C" w14:textId="77777777" w:rsidR="007F5ED2" w:rsidRPr="00DD6176" w:rsidRDefault="007F5ED2" w:rsidP="00DD6176">
      <w:pPr>
        <w:spacing w:after="0" w:line="480" w:lineRule="auto"/>
        <w:jc w:val="center"/>
        <w:rPr>
          <w:rFonts w:ascii="Times New Roman" w:hAnsi="Times New Roman" w:cs="Times New Roman"/>
          <w:b/>
          <w:bCs/>
          <w:sz w:val="24"/>
          <w:szCs w:val="24"/>
          <w:lang w:val="en-GB"/>
        </w:rPr>
      </w:pPr>
    </w:p>
    <w:p w14:paraId="6BC84B32" w14:textId="77777777" w:rsidR="007F5ED2" w:rsidRPr="00DD6176" w:rsidRDefault="007F5ED2" w:rsidP="00DD6176">
      <w:pPr>
        <w:spacing w:after="0" w:line="480" w:lineRule="auto"/>
        <w:jc w:val="center"/>
        <w:rPr>
          <w:rFonts w:ascii="Times New Roman" w:hAnsi="Times New Roman" w:cs="Times New Roman"/>
          <w:b/>
          <w:bCs/>
          <w:sz w:val="24"/>
          <w:szCs w:val="24"/>
          <w:lang w:val="en-GB"/>
        </w:rPr>
      </w:pPr>
    </w:p>
    <w:p w14:paraId="7DF9C0F6" w14:textId="77777777" w:rsidR="007F5ED2" w:rsidRPr="00DD6176" w:rsidRDefault="007F5ED2" w:rsidP="00DD6176">
      <w:pPr>
        <w:spacing w:after="0" w:line="480" w:lineRule="auto"/>
        <w:jc w:val="center"/>
        <w:rPr>
          <w:rFonts w:ascii="Times New Roman" w:hAnsi="Times New Roman" w:cs="Times New Roman"/>
          <w:b/>
          <w:bCs/>
          <w:sz w:val="24"/>
          <w:szCs w:val="24"/>
          <w:lang w:val="en-GB"/>
        </w:rPr>
      </w:pPr>
    </w:p>
    <w:p w14:paraId="716C8AAF" w14:textId="77777777" w:rsidR="007F5ED2" w:rsidRPr="00DD6176" w:rsidRDefault="007F5ED2" w:rsidP="00DD6176">
      <w:pPr>
        <w:spacing w:after="0" w:line="480" w:lineRule="auto"/>
        <w:jc w:val="center"/>
        <w:rPr>
          <w:rFonts w:ascii="Times New Roman" w:hAnsi="Times New Roman" w:cs="Times New Roman"/>
          <w:b/>
          <w:bCs/>
          <w:sz w:val="24"/>
          <w:szCs w:val="24"/>
          <w:lang w:val="en-GB"/>
        </w:rPr>
      </w:pPr>
    </w:p>
    <w:p w14:paraId="6C115C60" w14:textId="77777777" w:rsidR="007F5ED2" w:rsidRPr="00DD6176" w:rsidRDefault="007F5ED2" w:rsidP="00DD6176">
      <w:pPr>
        <w:spacing w:after="0" w:line="480" w:lineRule="auto"/>
        <w:jc w:val="center"/>
        <w:rPr>
          <w:rFonts w:ascii="Times New Roman" w:hAnsi="Times New Roman" w:cs="Times New Roman"/>
          <w:b/>
          <w:bCs/>
          <w:sz w:val="24"/>
          <w:szCs w:val="24"/>
          <w:lang w:val="en-GB"/>
        </w:rPr>
      </w:pPr>
    </w:p>
    <w:p w14:paraId="7111B201" w14:textId="77777777" w:rsidR="007F5ED2" w:rsidRPr="00DD6176" w:rsidRDefault="007F5ED2" w:rsidP="00DD6176">
      <w:pPr>
        <w:spacing w:after="0" w:line="480" w:lineRule="auto"/>
        <w:jc w:val="center"/>
        <w:rPr>
          <w:rFonts w:ascii="Times New Roman" w:hAnsi="Times New Roman" w:cs="Times New Roman"/>
          <w:b/>
          <w:bCs/>
          <w:sz w:val="24"/>
          <w:szCs w:val="24"/>
          <w:lang w:val="en-GB"/>
        </w:rPr>
      </w:pPr>
      <w:r w:rsidRPr="00DD6176">
        <w:rPr>
          <w:rFonts w:ascii="Times New Roman" w:hAnsi="Times New Roman" w:cs="Times New Roman"/>
          <w:b/>
          <w:bCs/>
          <w:sz w:val="24"/>
          <w:szCs w:val="24"/>
          <w:lang w:val="en-GB"/>
        </w:rPr>
        <w:t>Factors Affecting the Access to Mental Health Services for Children and Youth in the UK</w:t>
      </w:r>
    </w:p>
    <w:p w14:paraId="41731A65" w14:textId="77777777" w:rsidR="007F5ED2" w:rsidRPr="00DD6176" w:rsidRDefault="007F5ED2" w:rsidP="0A413CBA">
      <w:pPr>
        <w:spacing w:after="0" w:line="480" w:lineRule="auto"/>
        <w:jc w:val="center"/>
        <w:rPr>
          <w:rFonts w:ascii="Times New Roman" w:eastAsia="Times New Roman" w:hAnsi="Times New Roman" w:cs="Times New Roman"/>
          <w:sz w:val="24"/>
          <w:szCs w:val="24"/>
        </w:rPr>
      </w:pPr>
    </w:p>
    <w:p w14:paraId="77C86B01" w14:textId="77777777" w:rsidR="007F5ED2" w:rsidRPr="00DD6176" w:rsidRDefault="007F5ED2" w:rsidP="0A413CBA">
      <w:pPr>
        <w:shd w:val="clear" w:color="auto" w:fill="FFFFFF" w:themeFill="background1"/>
        <w:spacing w:after="0" w:line="480" w:lineRule="auto"/>
        <w:ind w:left="360"/>
        <w:jc w:val="center"/>
        <w:textAlignment w:val="baseline"/>
        <w:rPr>
          <w:rFonts w:ascii="Times New Roman" w:eastAsia="Times New Roman" w:hAnsi="Times New Roman" w:cs="Times New Roman"/>
          <w:spacing w:val="8"/>
          <w:kern w:val="0"/>
          <w:sz w:val="24"/>
          <w:szCs w:val="24"/>
        </w:rPr>
      </w:pPr>
    </w:p>
    <w:p w14:paraId="504DB8FE" w14:textId="5EDC00CB" w:rsidR="007F5ED2" w:rsidRPr="00DD6176" w:rsidRDefault="007F5ED2" w:rsidP="0A413CBA">
      <w:pPr>
        <w:spacing w:after="0" w:line="480" w:lineRule="auto"/>
        <w:ind w:left="360"/>
        <w:jc w:val="center"/>
        <w:textAlignment w:val="baseline"/>
        <w:rPr>
          <w:rFonts w:ascii="Times New Roman" w:eastAsia="Times New Roman" w:hAnsi="Times New Roman" w:cs="Times New Roman"/>
          <w:sz w:val="24"/>
          <w:szCs w:val="24"/>
        </w:rPr>
      </w:pPr>
    </w:p>
    <w:p w14:paraId="4803A8E0" w14:textId="571662B4" w:rsidR="007F5ED2" w:rsidRPr="00DD6176" w:rsidRDefault="5939FF18" w:rsidP="0A413CBA">
      <w:pPr>
        <w:spacing w:after="0" w:line="480" w:lineRule="auto"/>
        <w:ind w:left="360"/>
        <w:jc w:val="center"/>
        <w:textAlignment w:val="baseline"/>
        <w:rPr>
          <w:rFonts w:ascii="Times New Roman" w:eastAsia="Times New Roman" w:hAnsi="Times New Roman" w:cs="Times New Roman"/>
          <w:b/>
          <w:bCs/>
          <w:sz w:val="24"/>
          <w:szCs w:val="24"/>
        </w:rPr>
      </w:pPr>
      <w:r w:rsidRPr="0A413CBA">
        <w:rPr>
          <w:rFonts w:ascii="Times New Roman" w:eastAsia="Times New Roman" w:hAnsi="Times New Roman" w:cs="Times New Roman"/>
          <w:b/>
          <w:bCs/>
          <w:sz w:val="24"/>
          <w:szCs w:val="24"/>
        </w:rPr>
        <w:t xml:space="preserve">Student Name: Ataa Sarpong </w:t>
      </w:r>
    </w:p>
    <w:p w14:paraId="59C4DFF3" w14:textId="75B54171" w:rsidR="007F5ED2" w:rsidRPr="00DD6176" w:rsidRDefault="5939FF18" w:rsidP="0A413CBA">
      <w:pPr>
        <w:spacing w:after="0" w:line="480" w:lineRule="auto"/>
        <w:ind w:left="360"/>
        <w:jc w:val="center"/>
        <w:textAlignment w:val="baseline"/>
        <w:rPr>
          <w:rFonts w:ascii="Times New Roman" w:eastAsia="Times New Roman" w:hAnsi="Times New Roman" w:cs="Times New Roman"/>
          <w:b/>
          <w:bCs/>
          <w:sz w:val="24"/>
          <w:szCs w:val="24"/>
        </w:rPr>
      </w:pPr>
      <w:r w:rsidRPr="0A413CBA">
        <w:rPr>
          <w:rFonts w:ascii="Times New Roman" w:eastAsia="Times New Roman" w:hAnsi="Times New Roman" w:cs="Times New Roman"/>
          <w:b/>
          <w:bCs/>
          <w:sz w:val="24"/>
          <w:szCs w:val="24"/>
        </w:rPr>
        <w:t>Student Number: 2027066</w:t>
      </w:r>
    </w:p>
    <w:p w14:paraId="461F9E9D" w14:textId="6FC5CE5F" w:rsidR="007F5ED2" w:rsidRPr="00DD6176" w:rsidRDefault="5939FF18" w:rsidP="0A413CBA">
      <w:pPr>
        <w:spacing w:after="0" w:line="480" w:lineRule="auto"/>
        <w:ind w:left="360"/>
        <w:jc w:val="center"/>
        <w:textAlignment w:val="baseline"/>
        <w:rPr>
          <w:rFonts w:ascii="Times New Roman" w:eastAsia="Times New Roman" w:hAnsi="Times New Roman" w:cs="Times New Roman"/>
          <w:b/>
          <w:bCs/>
          <w:sz w:val="24"/>
          <w:szCs w:val="24"/>
        </w:rPr>
      </w:pPr>
      <w:r w:rsidRPr="0A413CBA">
        <w:rPr>
          <w:rFonts w:ascii="Times New Roman" w:eastAsia="Times New Roman" w:hAnsi="Times New Roman" w:cs="Times New Roman"/>
          <w:b/>
          <w:bCs/>
          <w:sz w:val="24"/>
          <w:szCs w:val="24"/>
        </w:rPr>
        <w:t xml:space="preserve">Module:  Introduction to Research </w:t>
      </w:r>
    </w:p>
    <w:p w14:paraId="65263B62" w14:textId="0C1B2DA2" w:rsidR="007F5ED2" w:rsidRPr="00DD6176" w:rsidRDefault="5939FF18" w:rsidP="0A413CBA">
      <w:pPr>
        <w:spacing w:after="0" w:line="480" w:lineRule="auto"/>
        <w:ind w:left="360"/>
        <w:jc w:val="center"/>
        <w:textAlignment w:val="baseline"/>
        <w:rPr>
          <w:rFonts w:ascii="Times New Roman" w:eastAsia="Times New Roman" w:hAnsi="Times New Roman" w:cs="Times New Roman"/>
          <w:b/>
          <w:bCs/>
          <w:sz w:val="24"/>
          <w:szCs w:val="24"/>
        </w:rPr>
      </w:pPr>
      <w:r w:rsidRPr="0A413CBA">
        <w:rPr>
          <w:rFonts w:ascii="Times New Roman" w:eastAsia="Times New Roman" w:hAnsi="Times New Roman" w:cs="Times New Roman"/>
          <w:b/>
          <w:bCs/>
          <w:sz w:val="24"/>
          <w:szCs w:val="24"/>
        </w:rPr>
        <w:t>Module Code BMHP500</w:t>
      </w:r>
    </w:p>
    <w:p w14:paraId="096FF31D" w14:textId="4DB815AB" w:rsidR="007F5ED2" w:rsidRPr="00DD6176" w:rsidRDefault="5939FF18" w:rsidP="0A413CBA">
      <w:pPr>
        <w:spacing w:after="0" w:line="480" w:lineRule="auto"/>
        <w:ind w:left="360"/>
        <w:jc w:val="center"/>
        <w:textAlignment w:val="baseline"/>
        <w:rPr>
          <w:rFonts w:ascii="Times New Roman" w:eastAsia="Times New Roman" w:hAnsi="Times New Roman" w:cs="Times New Roman"/>
          <w:b/>
          <w:bCs/>
          <w:sz w:val="24"/>
          <w:szCs w:val="24"/>
        </w:rPr>
      </w:pPr>
      <w:r w:rsidRPr="0A413CBA">
        <w:rPr>
          <w:rFonts w:ascii="Times New Roman" w:eastAsia="Times New Roman" w:hAnsi="Times New Roman" w:cs="Times New Roman"/>
          <w:b/>
          <w:bCs/>
          <w:sz w:val="24"/>
          <w:szCs w:val="24"/>
        </w:rPr>
        <w:t>Lecturers Name: Hamid Hussain</w:t>
      </w:r>
    </w:p>
    <w:p w14:paraId="5EBE0F28" w14:textId="3E8FE32B" w:rsidR="007F5ED2" w:rsidRPr="00DD6176" w:rsidRDefault="5939FF18" w:rsidP="0A413CBA">
      <w:pPr>
        <w:spacing w:after="0" w:line="480" w:lineRule="auto"/>
        <w:ind w:left="360"/>
        <w:jc w:val="center"/>
        <w:textAlignment w:val="baseline"/>
      </w:pPr>
      <w:r w:rsidRPr="0A413CBA">
        <w:rPr>
          <w:rFonts w:ascii="Times New Roman" w:eastAsia="Times New Roman" w:hAnsi="Times New Roman" w:cs="Times New Roman"/>
          <w:b/>
          <w:bCs/>
          <w:sz w:val="24"/>
          <w:szCs w:val="24"/>
        </w:rPr>
        <w:t>Assignmen Tile : Literature Re</w:t>
      </w:r>
      <w:r w:rsidRPr="0A413CBA">
        <w:rPr>
          <w:rFonts w:ascii="Times New Roman" w:eastAsia="Times New Roman" w:hAnsi="Times New Roman" w:cs="Times New Roman"/>
          <w:sz w:val="24"/>
          <w:szCs w:val="24"/>
        </w:rPr>
        <w:t>vie</w:t>
      </w:r>
    </w:p>
    <w:p w14:paraId="3C584CDF" w14:textId="77777777" w:rsidR="007F5ED2" w:rsidRPr="00DD6176" w:rsidRDefault="007F5ED2" w:rsidP="0A413CBA">
      <w:pPr>
        <w:shd w:val="clear" w:color="auto" w:fill="FFFFFF" w:themeFill="background1"/>
        <w:spacing w:after="0" w:line="480" w:lineRule="auto"/>
        <w:jc w:val="center"/>
        <w:textAlignment w:val="baseline"/>
        <w:rPr>
          <w:rFonts w:ascii="Times New Roman" w:eastAsia="Times New Roman" w:hAnsi="Times New Roman" w:cs="Times New Roman"/>
          <w:spacing w:val="8"/>
          <w:kern w:val="0"/>
          <w:sz w:val="24"/>
          <w:szCs w:val="24"/>
        </w:rPr>
      </w:pPr>
    </w:p>
    <w:p w14:paraId="2289CA99" w14:textId="77777777" w:rsidR="007F5ED2" w:rsidRPr="00DD6176" w:rsidRDefault="007F5ED2" w:rsidP="0A413CBA">
      <w:pPr>
        <w:shd w:val="clear" w:color="auto" w:fill="FFFFFF" w:themeFill="background1"/>
        <w:spacing w:after="0" w:line="480" w:lineRule="auto"/>
        <w:jc w:val="center"/>
        <w:textAlignment w:val="baseline"/>
        <w:rPr>
          <w:rFonts w:ascii="Times New Roman" w:eastAsia="Times New Roman" w:hAnsi="Times New Roman" w:cs="Times New Roman"/>
          <w:spacing w:val="8"/>
          <w:kern w:val="0"/>
          <w:sz w:val="24"/>
          <w:szCs w:val="24"/>
        </w:rPr>
      </w:pPr>
    </w:p>
    <w:p w14:paraId="1B2E2348" w14:textId="77777777" w:rsidR="007F5ED2" w:rsidRPr="00DD6176" w:rsidRDefault="007F5ED2" w:rsidP="00DD6176">
      <w:pPr>
        <w:spacing w:after="0" w:line="480" w:lineRule="auto"/>
        <w:jc w:val="center"/>
        <w:rPr>
          <w:rFonts w:ascii="Times New Roman" w:hAnsi="Times New Roman" w:cs="Times New Roman"/>
          <w:b/>
          <w:bCs/>
          <w:sz w:val="24"/>
          <w:szCs w:val="24"/>
        </w:rPr>
      </w:pPr>
    </w:p>
    <w:p w14:paraId="540C3083" w14:textId="77777777" w:rsidR="007F5ED2" w:rsidRPr="00DD6176" w:rsidRDefault="007F5ED2" w:rsidP="00DD6176">
      <w:pPr>
        <w:spacing w:after="0" w:line="480" w:lineRule="auto"/>
        <w:jc w:val="center"/>
        <w:rPr>
          <w:rFonts w:ascii="Times New Roman" w:hAnsi="Times New Roman" w:cs="Times New Roman"/>
          <w:b/>
          <w:bCs/>
          <w:sz w:val="24"/>
          <w:szCs w:val="24"/>
        </w:rPr>
      </w:pPr>
    </w:p>
    <w:p w14:paraId="72ADE3A2" w14:textId="77777777" w:rsidR="007F5ED2" w:rsidRPr="00DD6176" w:rsidRDefault="007F5ED2" w:rsidP="00DD6176">
      <w:pPr>
        <w:spacing w:after="0" w:line="480" w:lineRule="auto"/>
        <w:jc w:val="center"/>
        <w:rPr>
          <w:rFonts w:ascii="Times New Roman" w:hAnsi="Times New Roman" w:cs="Times New Roman"/>
          <w:b/>
          <w:bCs/>
          <w:sz w:val="24"/>
          <w:szCs w:val="24"/>
          <w:lang w:val="en-GB"/>
        </w:rPr>
      </w:pPr>
    </w:p>
    <w:p w14:paraId="1402BA16" w14:textId="77777777" w:rsidR="007F5ED2" w:rsidRPr="00DD6176" w:rsidRDefault="007F5ED2" w:rsidP="00DD6176">
      <w:pPr>
        <w:spacing w:after="0" w:line="480" w:lineRule="auto"/>
        <w:rPr>
          <w:rFonts w:ascii="Times New Roman" w:hAnsi="Times New Roman" w:cs="Times New Roman"/>
          <w:b/>
          <w:bCs/>
          <w:sz w:val="24"/>
          <w:szCs w:val="24"/>
        </w:rPr>
      </w:pPr>
    </w:p>
    <w:p w14:paraId="47A997C3" w14:textId="77777777" w:rsidR="007F5ED2" w:rsidRPr="00DD6176" w:rsidRDefault="007F5ED2" w:rsidP="00DD6176">
      <w:pPr>
        <w:spacing w:after="0" w:line="480" w:lineRule="auto"/>
        <w:jc w:val="center"/>
        <w:rPr>
          <w:rFonts w:ascii="Times New Roman" w:hAnsi="Times New Roman" w:cs="Times New Roman"/>
          <w:b/>
          <w:bCs/>
          <w:sz w:val="24"/>
          <w:szCs w:val="24"/>
        </w:rPr>
      </w:pPr>
    </w:p>
    <w:p w14:paraId="502FEF67" w14:textId="77777777" w:rsidR="007F5ED2" w:rsidRPr="00DD6176" w:rsidRDefault="007F5ED2" w:rsidP="00DD6176">
      <w:pPr>
        <w:spacing w:after="0" w:line="480" w:lineRule="auto"/>
        <w:jc w:val="center"/>
        <w:rPr>
          <w:rFonts w:ascii="Times New Roman" w:hAnsi="Times New Roman" w:cs="Times New Roman"/>
          <w:b/>
          <w:bCs/>
          <w:sz w:val="24"/>
          <w:szCs w:val="24"/>
        </w:rPr>
      </w:pPr>
    </w:p>
    <w:p w14:paraId="5A001AE8" w14:textId="77777777" w:rsidR="007F5ED2" w:rsidRPr="00DD6176" w:rsidRDefault="007F5ED2" w:rsidP="00DD6176">
      <w:pPr>
        <w:spacing w:after="0" w:line="480" w:lineRule="auto"/>
        <w:jc w:val="center"/>
        <w:rPr>
          <w:rFonts w:ascii="Times New Roman" w:hAnsi="Times New Roman" w:cs="Times New Roman"/>
          <w:b/>
          <w:bCs/>
          <w:sz w:val="24"/>
          <w:szCs w:val="24"/>
        </w:rPr>
      </w:pPr>
    </w:p>
    <w:p w14:paraId="511523FA" w14:textId="77777777" w:rsidR="007F5ED2" w:rsidRPr="00DD6176" w:rsidRDefault="007F5ED2" w:rsidP="00DD6176">
      <w:pPr>
        <w:spacing w:after="0" w:line="480" w:lineRule="auto"/>
        <w:jc w:val="center"/>
        <w:rPr>
          <w:rFonts w:ascii="Times New Roman" w:hAnsi="Times New Roman" w:cs="Times New Roman"/>
          <w:b/>
          <w:bCs/>
          <w:sz w:val="24"/>
          <w:szCs w:val="24"/>
        </w:rPr>
      </w:pPr>
    </w:p>
    <w:p w14:paraId="189E5B00" w14:textId="77777777" w:rsidR="005027B5" w:rsidRPr="00DD6176" w:rsidRDefault="005027B5" w:rsidP="00DD6176">
      <w:pPr>
        <w:spacing w:after="0" w:line="480" w:lineRule="auto"/>
        <w:jc w:val="center"/>
        <w:rPr>
          <w:rFonts w:ascii="Times New Roman" w:hAnsi="Times New Roman" w:cs="Times New Roman"/>
          <w:b/>
          <w:bCs/>
          <w:sz w:val="24"/>
          <w:szCs w:val="24"/>
        </w:rPr>
      </w:pPr>
    </w:p>
    <w:p w14:paraId="331204AA" w14:textId="1061F270" w:rsidR="007F5ED2" w:rsidRPr="00DD6176" w:rsidRDefault="007F5ED2" w:rsidP="00DD6176">
      <w:pPr>
        <w:spacing w:after="0" w:line="480" w:lineRule="auto"/>
        <w:jc w:val="center"/>
        <w:rPr>
          <w:rFonts w:ascii="Times New Roman" w:hAnsi="Times New Roman" w:cs="Times New Roman"/>
          <w:b/>
          <w:bCs/>
          <w:sz w:val="24"/>
          <w:szCs w:val="24"/>
        </w:rPr>
      </w:pPr>
      <w:r w:rsidRPr="00DD6176">
        <w:rPr>
          <w:rFonts w:ascii="Times New Roman" w:hAnsi="Times New Roman" w:cs="Times New Roman"/>
          <w:b/>
          <w:bCs/>
          <w:sz w:val="24"/>
          <w:szCs w:val="24"/>
        </w:rPr>
        <w:t>Abstract</w:t>
      </w:r>
    </w:p>
    <w:p w14:paraId="5549B53D" w14:textId="77777777" w:rsidR="007F5ED2" w:rsidRPr="00DD6176" w:rsidRDefault="007F5ED2" w:rsidP="00DD6176">
      <w:pPr>
        <w:spacing w:after="0" w:line="480" w:lineRule="auto"/>
        <w:rPr>
          <w:rFonts w:ascii="Times New Roman" w:hAnsi="Times New Roman" w:cs="Times New Roman"/>
          <w:sz w:val="24"/>
          <w:szCs w:val="24"/>
          <w:lang w:val="en-GB"/>
        </w:rPr>
      </w:pPr>
      <w:r w:rsidRPr="00DD6176">
        <w:rPr>
          <w:rFonts w:ascii="Times New Roman" w:hAnsi="Times New Roman" w:cs="Times New Roman"/>
          <w:sz w:val="24"/>
          <w:szCs w:val="24"/>
        </w:rPr>
        <w:t>Mental health issues are increasingly prevalent among children and adolescents in the UK. However, many face barriers to accessing appropriate mental health services. This literature review examines factors affecting mental health service access for youth in the UK. A systematic search of peer-reviewed articles was conducted using PsycINFO, MEDLINE, and CINAHL databases. Findings indicate individual, family, community, and systemic barriers exist, including stigma, lack of mental health literacy, complex referral processes, service eligibility criteria, and inadequate resources. Improving access will require multifaceted approaches addressing stigma reduction, mental health education, simplified referral pathways, policy changes to expand eligibility, and increased funding. A collaborative, evidence-based national strategy is needed to reduce barriers and improve youth mental health outcomes.</w:t>
      </w:r>
    </w:p>
    <w:p w14:paraId="07BAC9F1" w14:textId="77777777" w:rsidR="007F5ED2" w:rsidRPr="00DD6176" w:rsidRDefault="007F5ED2" w:rsidP="00DD6176">
      <w:pPr>
        <w:spacing w:after="0" w:line="480" w:lineRule="auto"/>
        <w:rPr>
          <w:rFonts w:ascii="Times New Roman" w:hAnsi="Times New Roman" w:cs="Times New Roman"/>
          <w:b/>
          <w:bCs/>
          <w:sz w:val="24"/>
          <w:szCs w:val="24"/>
          <w:lang w:val="en-GB"/>
        </w:rPr>
      </w:pPr>
      <w:r w:rsidRPr="00DD6176">
        <w:rPr>
          <w:rFonts w:ascii="Times New Roman" w:hAnsi="Times New Roman" w:cs="Times New Roman"/>
          <w:b/>
          <w:bCs/>
          <w:sz w:val="24"/>
          <w:szCs w:val="24"/>
          <w:lang w:val="en-GB"/>
        </w:rPr>
        <w:br w:type="page"/>
      </w:r>
    </w:p>
    <w:sdt>
      <w:sdtPr>
        <w:rPr>
          <w:rFonts w:ascii="Times New Roman" w:eastAsiaTheme="minorHAnsi" w:hAnsi="Times New Roman" w:cs="Times New Roman"/>
          <w:color w:val="auto"/>
          <w:kern w:val="2"/>
          <w:sz w:val="24"/>
          <w:szCs w:val="24"/>
          <w14:ligatures w14:val="standardContextual"/>
        </w:rPr>
        <w:id w:val="1573468501"/>
        <w:docPartObj>
          <w:docPartGallery w:val="Table of Contents"/>
          <w:docPartUnique/>
        </w:docPartObj>
      </w:sdtPr>
      <w:sdtEndPr>
        <w:rPr>
          <w:b/>
          <w:bCs/>
          <w:noProof/>
        </w:rPr>
      </w:sdtEndPr>
      <w:sdtContent>
        <w:p w14:paraId="36D297AF" w14:textId="354839F9" w:rsidR="00DD6176" w:rsidRPr="00DD6176" w:rsidRDefault="00DD6176" w:rsidP="00DD6176">
          <w:pPr>
            <w:pStyle w:val="TOCHeading"/>
            <w:spacing w:line="480" w:lineRule="auto"/>
            <w:rPr>
              <w:rFonts w:ascii="Times New Roman" w:hAnsi="Times New Roman" w:cs="Times New Roman"/>
              <w:b/>
              <w:bCs/>
              <w:color w:val="auto"/>
              <w:sz w:val="24"/>
              <w:szCs w:val="24"/>
            </w:rPr>
          </w:pPr>
          <w:r w:rsidRPr="00DD6176">
            <w:rPr>
              <w:rFonts w:ascii="Times New Roman" w:hAnsi="Times New Roman" w:cs="Times New Roman"/>
              <w:b/>
              <w:bCs/>
              <w:color w:val="auto"/>
              <w:sz w:val="24"/>
              <w:szCs w:val="24"/>
            </w:rPr>
            <w:t>Table of Contents</w:t>
          </w:r>
        </w:p>
        <w:p w14:paraId="3D93DFA2" w14:textId="500BB0FD" w:rsidR="00DD6176" w:rsidRPr="00DD6176" w:rsidRDefault="00DD6176" w:rsidP="00DD6176">
          <w:pPr>
            <w:pStyle w:val="TOC1"/>
            <w:tabs>
              <w:tab w:val="left" w:pos="440"/>
              <w:tab w:val="right" w:leader="dot" w:pos="9350"/>
            </w:tabs>
            <w:spacing w:line="480" w:lineRule="auto"/>
            <w:rPr>
              <w:rFonts w:ascii="Times New Roman" w:hAnsi="Times New Roman" w:cs="Times New Roman"/>
              <w:noProof/>
              <w:sz w:val="24"/>
              <w:szCs w:val="24"/>
            </w:rPr>
          </w:pPr>
          <w:r w:rsidRPr="00DD6176">
            <w:rPr>
              <w:rFonts w:ascii="Times New Roman" w:hAnsi="Times New Roman" w:cs="Times New Roman"/>
              <w:sz w:val="24"/>
              <w:szCs w:val="24"/>
            </w:rPr>
            <w:fldChar w:fldCharType="begin"/>
          </w:r>
          <w:r w:rsidRPr="00DD6176">
            <w:rPr>
              <w:rFonts w:ascii="Times New Roman" w:hAnsi="Times New Roman" w:cs="Times New Roman"/>
              <w:sz w:val="24"/>
              <w:szCs w:val="24"/>
            </w:rPr>
            <w:instrText xml:space="preserve"> TOC \o "1-3" \h \z \u </w:instrText>
          </w:r>
          <w:r w:rsidRPr="00DD6176">
            <w:rPr>
              <w:rFonts w:ascii="Times New Roman" w:hAnsi="Times New Roman" w:cs="Times New Roman"/>
              <w:sz w:val="24"/>
              <w:szCs w:val="24"/>
            </w:rPr>
            <w:fldChar w:fldCharType="separate"/>
          </w:r>
          <w:hyperlink w:anchor="_Toc146984875" w:history="1">
            <w:r w:rsidRPr="00DD6176">
              <w:rPr>
                <w:rStyle w:val="Hyperlink"/>
                <w:rFonts w:ascii="Times New Roman" w:hAnsi="Times New Roman" w:cs="Times New Roman"/>
                <w:noProof/>
                <w:color w:val="auto"/>
                <w:sz w:val="24"/>
                <w:szCs w:val="24"/>
              </w:rPr>
              <w:t>1.</w:t>
            </w:r>
            <w:r w:rsidRPr="00DD6176">
              <w:rPr>
                <w:rFonts w:ascii="Times New Roman" w:hAnsi="Times New Roman" w:cs="Times New Roman"/>
                <w:noProof/>
                <w:sz w:val="24"/>
                <w:szCs w:val="24"/>
              </w:rPr>
              <w:tab/>
            </w:r>
            <w:r w:rsidRPr="00DD6176">
              <w:rPr>
                <w:rStyle w:val="Hyperlink"/>
                <w:rFonts w:ascii="Times New Roman" w:hAnsi="Times New Roman" w:cs="Times New Roman"/>
                <w:noProof/>
                <w:color w:val="auto"/>
                <w:sz w:val="24"/>
                <w:szCs w:val="24"/>
              </w:rPr>
              <w:t>Introduction</w:t>
            </w:r>
            <w:r w:rsidRPr="00DD6176">
              <w:rPr>
                <w:rFonts w:ascii="Times New Roman" w:hAnsi="Times New Roman" w:cs="Times New Roman"/>
                <w:noProof/>
                <w:webHidden/>
                <w:sz w:val="24"/>
                <w:szCs w:val="24"/>
              </w:rPr>
              <w:tab/>
            </w:r>
            <w:r w:rsidRPr="00DD6176">
              <w:rPr>
                <w:rFonts w:ascii="Times New Roman" w:hAnsi="Times New Roman" w:cs="Times New Roman"/>
                <w:noProof/>
                <w:webHidden/>
                <w:sz w:val="24"/>
                <w:szCs w:val="24"/>
              </w:rPr>
              <w:fldChar w:fldCharType="begin"/>
            </w:r>
            <w:r w:rsidRPr="00DD6176">
              <w:rPr>
                <w:rFonts w:ascii="Times New Roman" w:hAnsi="Times New Roman" w:cs="Times New Roman"/>
                <w:noProof/>
                <w:webHidden/>
                <w:sz w:val="24"/>
                <w:szCs w:val="24"/>
              </w:rPr>
              <w:instrText xml:space="preserve"> PAGEREF _Toc146984875 \h </w:instrText>
            </w:r>
            <w:r w:rsidRPr="00DD6176">
              <w:rPr>
                <w:rFonts w:ascii="Times New Roman" w:hAnsi="Times New Roman" w:cs="Times New Roman"/>
                <w:noProof/>
                <w:webHidden/>
                <w:sz w:val="24"/>
                <w:szCs w:val="24"/>
              </w:rPr>
            </w:r>
            <w:r w:rsidRPr="00DD6176">
              <w:rPr>
                <w:rFonts w:ascii="Times New Roman" w:hAnsi="Times New Roman" w:cs="Times New Roman"/>
                <w:noProof/>
                <w:webHidden/>
                <w:sz w:val="24"/>
                <w:szCs w:val="24"/>
              </w:rPr>
              <w:fldChar w:fldCharType="separate"/>
            </w:r>
            <w:r w:rsidRPr="00DD6176">
              <w:rPr>
                <w:rFonts w:ascii="Times New Roman" w:hAnsi="Times New Roman" w:cs="Times New Roman"/>
                <w:noProof/>
                <w:webHidden/>
                <w:sz w:val="24"/>
                <w:szCs w:val="24"/>
              </w:rPr>
              <w:t>3</w:t>
            </w:r>
            <w:r w:rsidRPr="00DD6176">
              <w:rPr>
                <w:rFonts w:ascii="Times New Roman" w:hAnsi="Times New Roman" w:cs="Times New Roman"/>
                <w:noProof/>
                <w:webHidden/>
                <w:sz w:val="24"/>
                <w:szCs w:val="24"/>
              </w:rPr>
              <w:fldChar w:fldCharType="end"/>
            </w:r>
          </w:hyperlink>
        </w:p>
        <w:p w14:paraId="6CF72D5B" w14:textId="0646E7D6" w:rsidR="00DD6176" w:rsidRPr="00DD6176" w:rsidRDefault="00A67511" w:rsidP="00DD6176">
          <w:pPr>
            <w:pStyle w:val="TOC1"/>
            <w:tabs>
              <w:tab w:val="right" w:leader="dot" w:pos="9350"/>
            </w:tabs>
            <w:spacing w:line="480" w:lineRule="auto"/>
            <w:rPr>
              <w:rFonts w:ascii="Times New Roman" w:hAnsi="Times New Roman" w:cs="Times New Roman"/>
              <w:noProof/>
              <w:sz w:val="24"/>
              <w:szCs w:val="24"/>
            </w:rPr>
          </w:pPr>
          <w:hyperlink w:anchor="_Toc146984876" w:history="1">
            <w:r w:rsidR="00DD6176" w:rsidRPr="00DD6176">
              <w:rPr>
                <w:rStyle w:val="Hyperlink"/>
                <w:rFonts w:ascii="Times New Roman" w:hAnsi="Times New Roman" w:cs="Times New Roman"/>
                <w:noProof/>
                <w:color w:val="auto"/>
                <w:sz w:val="24"/>
                <w:szCs w:val="24"/>
              </w:rPr>
              <w:t>2. Background</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_Toc146984876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3</w:t>
            </w:r>
            <w:r w:rsidR="00DD6176" w:rsidRPr="00DD6176">
              <w:rPr>
                <w:rFonts w:ascii="Times New Roman" w:hAnsi="Times New Roman" w:cs="Times New Roman"/>
                <w:noProof/>
                <w:webHidden/>
                <w:sz w:val="24"/>
                <w:szCs w:val="24"/>
              </w:rPr>
              <w:fldChar w:fldCharType="end"/>
            </w:r>
          </w:hyperlink>
        </w:p>
        <w:p w14:paraId="6193DE4A" w14:textId="480838C1"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77" w:history="1">
            <w:r w:rsidR="00DD6176" w:rsidRPr="00DD6176">
              <w:rPr>
                <w:rStyle w:val="Hyperlink"/>
                <w:rFonts w:ascii="Times New Roman" w:hAnsi="Times New Roman" w:cs="Times New Roman"/>
                <w:noProof/>
                <w:color w:val="auto"/>
                <w:sz w:val="24"/>
                <w:szCs w:val="24"/>
              </w:rPr>
              <w:t>2.1 Youth Mental Health Needs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_Toc146984877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3</w:t>
            </w:r>
            <w:r w:rsidR="00DD6176" w:rsidRPr="00DD6176">
              <w:rPr>
                <w:rFonts w:ascii="Times New Roman" w:hAnsi="Times New Roman" w:cs="Times New Roman"/>
                <w:noProof/>
                <w:webHidden/>
                <w:sz w:val="24"/>
                <w:szCs w:val="24"/>
              </w:rPr>
              <w:fldChar w:fldCharType="end"/>
            </w:r>
          </w:hyperlink>
        </w:p>
        <w:p w14:paraId="00C39BD2" w14:textId="5FA4482C"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78" w:history="1">
            <w:r w:rsidR="00DD6176" w:rsidRPr="00DD6176">
              <w:rPr>
                <w:rStyle w:val="Hyperlink"/>
                <w:rFonts w:ascii="Times New Roman" w:hAnsi="Times New Roman" w:cs="Times New Roman"/>
                <w:noProof/>
                <w:color w:val="auto"/>
                <w:sz w:val="24"/>
                <w:szCs w:val="24"/>
              </w:rPr>
              <w:t>2.2 Mental Health Services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_Toc146984878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4</w:t>
            </w:r>
            <w:r w:rsidR="00DD6176" w:rsidRPr="00DD6176">
              <w:rPr>
                <w:rFonts w:ascii="Times New Roman" w:hAnsi="Times New Roman" w:cs="Times New Roman"/>
                <w:noProof/>
                <w:webHidden/>
                <w:sz w:val="24"/>
                <w:szCs w:val="24"/>
              </w:rPr>
              <w:fldChar w:fldCharType="end"/>
            </w:r>
          </w:hyperlink>
        </w:p>
        <w:p w14:paraId="6B3D8015" w14:textId="7370B9F6" w:rsidR="00DD6176" w:rsidRPr="00DD6176" w:rsidRDefault="00A67511" w:rsidP="00DD6176">
          <w:pPr>
            <w:pStyle w:val="TOC1"/>
            <w:tabs>
              <w:tab w:val="left" w:pos="440"/>
              <w:tab w:val="right" w:leader="dot" w:pos="9350"/>
            </w:tabs>
            <w:spacing w:line="480" w:lineRule="auto"/>
            <w:rPr>
              <w:rFonts w:ascii="Times New Roman" w:hAnsi="Times New Roman" w:cs="Times New Roman"/>
              <w:noProof/>
              <w:sz w:val="24"/>
              <w:szCs w:val="24"/>
            </w:rPr>
          </w:pPr>
          <w:hyperlink w:anchor="_Toc146984879" w:history="1">
            <w:r w:rsidR="00DD6176" w:rsidRPr="00DD6176">
              <w:rPr>
                <w:rStyle w:val="Hyperlink"/>
                <w:rFonts w:ascii="Times New Roman" w:hAnsi="Times New Roman" w:cs="Times New Roman"/>
                <w:noProof/>
                <w:color w:val="auto"/>
                <w:sz w:val="24"/>
                <w:szCs w:val="24"/>
              </w:rPr>
              <w:t>2.</w:t>
            </w:r>
            <w:r w:rsidR="00DD6176" w:rsidRPr="00DD6176">
              <w:rPr>
                <w:rFonts w:ascii="Times New Roman" w:hAnsi="Times New Roman" w:cs="Times New Roman"/>
                <w:noProof/>
                <w:sz w:val="24"/>
                <w:szCs w:val="24"/>
              </w:rPr>
              <w:tab/>
            </w:r>
            <w:r w:rsidR="00DD6176" w:rsidRPr="00DD6176">
              <w:rPr>
                <w:rStyle w:val="Hyperlink"/>
                <w:rFonts w:ascii="Times New Roman" w:hAnsi="Times New Roman" w:cs="Times New Roman"/>
                <w:noProof/>
                <w:color w:val="auto"/>
                <w:sz w:val="24"/>
                <w:szCs w:val="24"/>
              </w:rPr>
              <w:t>Methodology</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_Toc146984879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6</w:t>
            </w:r>
            <w:r w:rsidR="00DD6176" w:rsidRPr="00DD6176">
              <w:rPr>
                <w:rFonts w:ascii="Times New Roman" w:hAnsi="Times New Roman" w:cs="Times New Roman"/>
                <w:noProof/>
                <w:webHidden/>
                <w:sz w:val="24"/>
                <w:szCs w:val="24"/>
              </w:rPr>
              <w:fldChar w:fldCharType="end"/>
            </w:r>
          </w:hyperlink>
        </w:p>
        <w:p w14:paraId="316799B2" w14:textId="32B9CB6F" w:rsidR="00DD6176" w:rsidRPr="00DD6176" w:rsidRDefault="00A67511" w:rsidP="00DD6176">
          <w:pPr>
            <w:pStyle w:val="TOC1"/>
            <w:tabs>
              <w:tab w:val="left" w:pos="440"/>
              <w:tab w:val="right" w:leader="dot" w:pos="9350"/>
            </w:tabs>
            <w:spacing w:line="480" w:lineRule="auto"/>
            <w:rPr>
              <w:rFonts w:ascii="Times New Roman" w:hAnsi="Times New Roman" w:cs="Times New Roman"/>
              <w:noProof/>
              <w:sz w:val="24"/>
              <w:szCs w:val="24"/>
            </w:rPr>
          </w:pPr>
          <w:hyperlink w:anchor="_Toc146984880" w:history="1">
            <w:r w:rsidR="00DD6176" w:rsidRPr="00DD6176">
              <w:rPr>
                <w:rStyle w:val="Hyperlink"/>
                <w:rFonts w:ascii="Times New Roman" w:hAnsi="Times New Roman" w:cs="Times New Roman"/>
                <w:noProof/>
                <w:color w:val="auto"/>
                <w:sz w:val="24"/>
                <w:szCs w:val="24"/>
              </w:rPr>
              <w:t>3.</w:t>
            </w:r>
            <w:r w:rsidR="00DD6176" w:rsidRPr="00DD6176">
              <w:rPr>
                <w:rFonts w:ascii="Times New Roman" w:hAnsi="Times New Roman" w:cs="Times New Roman"/>
                <w:noProof/>
                <w:sz w:val="24"/>
                <w:szCs w:val="24"/>
              </w:rPr>
              <w:tab/>
            </w:r>
            <w:r w:rsidR="00DD6176" w:rsidRPr="00DD6176">
              <w:rPr>
                <w:rStyle w:val="Hyperlink"/>
                <w:rFonts w:ascii="Times New Roman" w:hAnsi="Times New Roman" w:cs="Times New Roman"/>
                <w:noProof/>
                <w:color w:val="auto"/>
                <w:sz w:val="24"/>
                <w:szCs w:val="24"/>
              </w:rPr>
              <w:t>Ethics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_Toc146984880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8</w:t>
            </w:r>
            <w:r w:rsidR="00DD6176" w:rsidRPr="00DD6176">
              <w:rPr>
                <w:rFonts w:ascii="Times New Roman" w:hAnsi="Times New Roman" w:cs="Times New Roman"/>
                <w:noProof/>
                <w:webHidden/>
                <w:sz w:val="24"/>
                <w:szCs w:val="24"/>
              </w:rPr>
              <w:fldChar w:fldCharType="end"/>
            </w:r>
          </w:hyperlink>
        </w:p>
        <w:p w14:paraId="6E800E9D" w14:textId="1C8AB620" w:rsidR="00DD6176" w:rsidRPr="00DD6176" w:rsidRDefault="00A67511" w:rsidP="00DD6176">
          <w:pPr>
            <w:pStyle w:val="TOC1"/>
            <w:tabs>
              <w:tab w:val="left" w:pos="440"/>
              <w:tab w:val="right" w:leader="dot" w:pos="9350"/>
            </w:tabs>
            <w:spacing w:line="480" w:lineRule="auto"/>
            <w:rPr>
              <w:rFonts w:ascii="Times New Roman" w:hAnsi="Times New Roman" w:cs="Times New Roman"/>
              <w:noProof/>
              <w:sz w:val="24"/>
              <w:szCs w:val="24"/>
            </w:rPr>
          </w:pPr>
          <w:hyperlink w:anchor="_Toc146984881" w:history="1">
            <w:r w:rsidR="00DD6176" w:rsidRPr="00DD6176">
              <w:rPr>
                <w:rStyle w:val="Hyperlink"/>
                <w:rFonts w:ascii="Times New Roman" w:hAnsi="Times New Roman" w:cs="Times New Roman"/>
                <w:noProof/>
                <w:color w:val="auto"/>
                <w:sz w:val="24"/>
                <w:szCs w:val="24"/>
              </w:rPr>
              <w:t>4.</w:t>
            </w:r>
            <w:r w:rsidR="00DD6176" w:rsidRPr="00DD6176">
              <w:rPr>
                <w:rFonts w:ascii="Times New Roman" w:hAnsi="Times New Roman" w:cs="Times New Roman"/>
                <w:noProof/>
                <w:sz w:val="24"/>
                <w:szCs w:val="24"/>
              </w:rPr>
              <w:tab/>
            </w:r>
            <w:r w:rsidR="00DD6176" w:rsidRPr="00DD6176">
              <w:rPr>
                <w:rStyle w:val="Hyperlink"/>
                <w:rFonts w:ascii="Times New Roman" w:hAnsi="Times New Roman" w:cs="Times New Roman"/>
                <w:noProof/>
                <w:color w:val="auto"/>
                <w:sz w:val="24"/>
                <w:szCs w:val="24"/>
              </w:rPr>
              <w:t>Results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_Toc146984881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9</w:t>
            </w:r>
            <w:r w:rsidR="00DD6176" w:rsidRPr="00DD6176">
              <w:rPr>
                <w:rFonts w:ascii="Times New Roman" w:hAnsi="Times New Roman" w:cs="Times New Roman"/>
                <w:noProof/>
                <w:webHidden/>
                <w:sz w:val="24"/>
                <w:szCs w:val="24"/>
              </w:rPr>
              <w:fldChar w:fldCharType="end"/>
            </w:r>
          </w:hyperlink>
        </w:p>
        <w:p w14:paraId="41BD8BC8" w14:textId="2B38D3A6"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82" w:history="1">
            <w:r w:rsidR="00DD6176" w:rsidRPr="00DD6176">
              <w:rPr>
                <w:rStyle w:val="Hyperlink"/>
                <w:rFonts w:ascii="Times New Roman" w:hAnsi="Times New Roman" w:cs="Times New Roman"/>
                <w:noProof/>
                <w:color w:val="auto"/>
                <w:sz w:val="24"/>
                <w:szCs w:val="24"/>
              </w:rPr>
              <w:t>4.1 Individual barriers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_Toc146984882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10</w:t>
            </w:r>
            <w:r w:rsidR="00DD6176" w:rsidRPr="00DD6176">
              <w:rPr>
                <w:rFonts w:ascii="Times New Roman" w:hAnsi="Times New Roman" w:cs="Times New Roman"/>
                <w:noProof/>
                <w:webHidden/>
                <w:sz w:val="24"/>
                <w:szCs w:val="24"/>
              </w:rPr>
              <w:fldChar w:fldCharType="end"/>
            </w:r>
          </w:hyperlink>
        </w:p>
        <w:p w14:paraId="1FA83D1E" w14:textId="736AAFA8"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83" w:history="1">
            <w:r w:rsidR="00DD6176" w:rsidRPr="00DD6176">
              <w:rPr>
                <w:rStyle w:val="Hyperlink"/>
                <w:rFonts w:ascii="Times New Roman" w:hAnsi="Times New Roman" w:cs="Times New Roman"/>
                <w:noProof/>
                <w:color w:val="auto"/>
                <w:sz w:val="24"/>
                <w:szCs w:val="24"/>
              </w:rPr>
              <w:t>4.2 Family barriers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_Toc146984883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10</w:t>
            </w:r>
            <w:r w:rsidR="00DD6176" w:rsidRPr="00DD6176">
              <w:rPr>
                <w:rFonts w:ascii="Times New Roman" w:hAnsi="Times New Roman" w:cs="Times New Roman"/>
                <w:noProof/>
                <w:webHidden/>
                <w:sz w:val="24"/>
                <w:szCs w:val="24"/>
              </w:rPr>
              <w:fldChar w:fldCharType="end"/>
            </w:r>
          </w:hyperlink>
        </w:p>
        <w:p w14:paraId="143D69FD" w14:textId="015685B0"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84" w:history="1">
            <w:r w:rsidR="00DD6176" w:rsidRPr="00DD6176">
              <w:rPr>
                <w:rStyle w:val="Hyperlink"/>
                <w:rFonts w:ascii="Times New Roman" w:hAnsi="Times New Roman" w:cs="Times New Roman"/>
                <w:noProof/>
                <w:color w:val="auto"/>
                <w:sz w:val="24"/>
                <w:szCs w:val="24"/>
              </w:rPr>
              <w:t>4.3 Community and Cultural Barriers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_Toc146984884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10</w:t>
            </w:r>
            <w:r w:rsidR="00DD6176" w:rsidRPr="00DD6176">
              <w:rPr>
                <w:rFonts w:ascii="Times New Roman" w:hAnsi="Times New Roman" w:cs="Times New Roman"/>
                <w:noProof/>
                <w:webHidden/>
                <w:sz w:val="24"/>
                <w:szCs w:val="24"/>
              </w:rPr>
              <w:fldChar w:fldCharType="end"/>
            </w:r>
          </w:hyperlink>
        </w:p>
        <w:p w14:paraId="1317CA55" w14:textId="1F91111B"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85" w:history="1">
            <w:r w:rsidR="00DD6176" w:rsidRPr="00DD6176">
              <w:rPr>
                <w:rStyle w:val="Hyperlink"/>
                <w:rFonts w:ascii="Times New Roman" w:hAnsi="Times New Roman" w:cs="Times New Roman"/>
                <w:noProof/>
                <w:color w:val="auto"/>
                <w:sz w:val="24"/>
                <w:szCs w:val="24"/>
              </w:rPr>
              <w:t>4.4 Systemic barriers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_Toc146984885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11</w:t>
            </w:r>
            <w:r w:rsidR="00DD6176" w:rsidRPr="00DD6176">
              <w:rPr>
                <w:rFonts w:ascii="Times New Roman" w:hAnsi="Times New Roman" w:cs="Times New Roman"/>
                <w:noProof/>
                <w:webHidden/>
                <w:sz w:val="24"/>
                <w:szCs w:val="24"/>
              </w:rPr>
              <w:fldChar w:fldCharType="end"/>
            </w:r>
          </w:hyperlink>
        </w:p>
        <w:p w14:paraId="12B9D3EE" w14:textId="686DE6E8" w:rsidR="00DD6176" w:rsidRPr="00DD6176" w:rsidRDefault="00A67511" w:rsidP="00DD6176">
          <w:pPr>
            <w:pStyle w:val="TOC1"/>
            <w:tabs>
              <w:tab w:val="left" w:pos="440"/>
              <w:tab w:val="right" w:leader="dot" w:pos="9350"/>
            </w:tabs>
            <w:spacing w:line="480" w:lineRule="auto"/>
            <w:rPr>
              <w:rFonts w:ascii="Times New Roman" w:hAnsi="Times New Roman" w:cs="Times New Roman"/>
              <w:noProof/>
              <w:sz w:val="24"/>
              <w:szCs w:val="24"/>
            </w:rPr>
          </w:pPr>
          <w:hyperlink w:anchor="_Toc146984886" w:history="1">
            <w:r w:rsidR="00DD6176" w:rsidRPr="00DD6176">
              <w:rPr>
                <w:rStyle w:val="Hyperlink"/>
                <w:rFonts w:ascii="Times New Roman" w:hAnsi="Times New Roman" w:cs="Times New Roman"/>
                <w:noProof/>
                <w:color w:val="auto"/>
                <w:sz w:val="24"/>
                <w:szCs w:val="24"/>
              </w:rPr>
              <w:t>5.</w:t>
            </w:r>
            <w:r w:rsidR="00DD6176" w:rsidRPr="00DD6176">
              <w:rPr>
                <w:rFonts w:ascii="Times New Roman" w:hAnsi="Times New Roman" w:cs="Times New Roman"/>
                <w:noProof/>
                <w:sz w:val="24"/>
                <w:szCs w:val="24"/>
              </w:rPr>
              <w:tab/>
            </w:r>
            <w:r w:rsidR="00DD6176" w:rsidRPr="00DD6176">
              <w:rPr>
                <w:rStyle w:val="Hyperlink"/>
                <w:rFonts w:ascii="Times New Roman" w:hAnsi="Times New Roman" w:cs="Times New Roman"/>
                <w:noProof/>
                <w:color w:val="auto"/>
                <w:sz w:val="24"/>
                <w:szCs w:val="24"/>
              </w:rPr>
              <w:t>Discussion</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_Toc146984886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11</w:t>
            </w:r>
            <w:r w:rsidR="00DD6176" w:rsidRPr="00DD6176">
              <w:rPr>
                <w:rFonts w:ascii="Times New Roman" w:hAnsi="Times New Roman" w:cs="Times New Roman"/>
                <w:noProof/>
                <w:webHidden/>
                <w:sz w:val="24"/>
                <w:szCs w:val="24"/>
              </w:rPr>
              <w:fldChar w:fldCharType="end"/>
            </w:r>
          </w:hyperlink>
        </w:p>
        <w:p w14:paraId="7E041C03" w14:textId="5DA0D7A8"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87" w:history="1">
            <w:r w:rsidR="00DD6176" w:rsidRPr="00DD6176">
              <w:rPr>
                <w:rStyle w:val="Hyperlink"/>
                <w:rFonts w:ascii="Times New Roman" w:hAnsi="Times New Roman" w:cs="Times New Roman"/>
                <w:noProof/>
                <w:color w:val="auto"/>
                <w:sz w:val="24"/>
                <w:szCs w:val="24"/>
              </w:rPr>
              <w:t>5.1 Stigma</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_Toc146984887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11</w:t>
            </w:r>
            <w:r w:rsidR="00DD6176" w:rsidRPr="00DD6176">
              <w:rPr>
                <w:rFonts w:ascii="Times New Roman" w:hAnsi="Times New Roman" w:cs="Times New Roman"/>
                <w:noProof/>
                <w:webHidden/>
                <w:sz w:val="24"/>
                <w:szCs w:val="24"/>
              </w:rPr>
              <w:fldChar w:fldCharType="end"/>
            </w:r>
          </w:hyperlink>
        </w:p>
        <w:p w14:paraId="7EB39506" w14:textId="7F56B430"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88" w:history="1">
            <w:r w:rsidR="00DD6176" w:rsidRPr="00DD6176">
              <w:rPr>
                <w:rStyle w:val="Hyperlink"/>
                <w:rFonts w:ascii="Times New Roman" w:hAnsi="Times New Roman" w:cs="Times New Roman"/>
                <w:noProof/>
                <w:color w:val="auto"/>
                <w:sz w:val="24"/>
                <w:szCs w:val="24"/>
              </w:rPr>
              <w:t>5.2 Mental Health Literacy</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_Toc146984888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13</w:t>
            </w:r>
            <w:r w:rsidR="00DD6176" w:rsidRPr="00DD6176">
              <w:rPr>
                <w:rFonts w:ascii="Times New Roman" w:hAnsi="Times New Roman" w:cs="Times New Roman"/>
                <w:noProof/>
                <w:webHidden/>
                <w:sz w:val="24"/>
                <w:szCs w:val="24"/>
              </w:rPr>
              <w:fldChar w:fldCharType="end"/>
            </w:r>
          </w:hyperlink>
        </w:p>
        <w:p w14:paraId="4A6903C9" w14:textId="75F27DDA"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89" w:history="1">
            <w:r w:rsidR="00DD6176" w:rsidRPr="00DD6176">
              <w:rPr>
                <w:rStyle w:val="Hyperlink"/>
                <w:rFonts w:ascii="Times New Roman" w:hAnsi="Times New Roman" w:cs="Times New Roman"/>
                <w:noProof/>
                <w:color w:val="auto"/>
                <w:sz w:val="24"/>
                <w:szCs w:val="24"/>
              </w:rPr>
              <w:t>5.3 Referral processes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_Toc146984889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13</w:t>
            </w:r>
            <w:r w:rsidR="00DD6176" w:rsidRPr="00DD6176">
              <w:rPr>
                <w:rFonts w:ascii="Times New Roman" w:hAnsi="Times New Roman" w:cs="Times New Roman"/>
                <w:noProof/>
                <w:webHidden/>
                <w:sz w:val="24"/>
                <w:szCs w:val="24"/>
              </w:rPr>
              <w:fldChar w:fldCharType="end"/>
            </w:r>
          </w:hyperlink>
        </w:p>
        <w:p w14:paraId="39C3128F" w14:textId="32E39751"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90" w:history="1">
            <w:r w:rsidR="00DD6176" w:rsidRPr="00DD6176">
              <w:rPr>
                <w:rStyle w:val="Hyperlink"/>
                <w:rFonts w:ascii="Times New Roman" w:hAnsi="Times New Roman" w:cs="Times New Roman"/>
                <w:noProof/>
                <w:color w:val="auto"/>
                <w:sz w:val="24"/>
                <w:szCs w:val="24"/>
              </w:rPr>
              <w:t>5.4 Eligibility criteria</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_Toc146984890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14</w:t>
            </w:r>
            <w:r w:rsidR="00DD6176" w:rsidRPr="00DD6176">
              <w:rPr>
                <w:rFonts w:ascii="Times New Roman" w:hAnsi="Times New Roman" w:cs="Times New Roman"/>
                <w:noProof/>
                <w:webHidden/>
                <w:sz w:val="24"/>
                <w:szCs w:val="24"/>
              </w:rPr>
              <w:fldChar w:fldCharType="end"/>
            </w:r>
          </w:hyperlink>
        </w:p>
        <w:p w14:paraId="0BABB7F1" w14:textId="75599B16"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91" w:history="1">
            <w:r w:rsidR="00DD6176" w:rsidRPr="00DD6176">
              <w:rPr>
                <w:rStyle w:val="Hyperlink"/>
                <w:rFonts w:ascii="Times New Roman" w:hAnsi="Times New Roman" w:cs="Times New Roman"/>
                <w:noProof/>
                <w:color w:val="auto"/>
                <w:sz w:val="24"/>
                <w:szCs w:val="24"/>
              </w:rPr>
              <w:t>5.5 Resourcing</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_Toc146984891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15</w:t>
            </w:r>
            <w:r w:rsidR="00DD6176" w:rsidRPr="00DD6176">
              <w:rPr>
                <w:rFonts w:ascii="Times New Roman" w:hAnsi="Times New Roman" w:cs="Times New Roman"/>
                <w:noProof/>
                <w:webHidden/>
                <w:sz w:val="24"/>
                <w:szCs w:val="24"/>
              </w:rPr>
              <w:fldChar w:fldCharType="end"/>
            </w:r>
          </w:hyperlink>
        </w:p>
        <w:p w14:paraId="55BC50AC" w14:textId="0C151C18" w:rsidR="00DD6176" w:rsidRPr="00DD6176" w:rsidRDefault="00A67511" w:rsidP="00DD6176">
          <w:pPr>
            <w:pStyle w:val="TOC2"/>
            <w:tabs>
              <w:tab w:val="right" w:leader="dot" w:pos="9350"/>
            </w:tabs>
            <w:spacing w:line="480" w:lineRule="auto"/>
            <w:rPr>
              <w:rFonts w:ascii="Times New Roman" w:hAnsi="Times New Roman" w:cs="Times New Roman"/>
              <w:noProof/>
              <w:sz w:val="24"/>
              <w:szCs w:val="24"/>
            </w:rPr>
          </w:pPr>
          <w:hyperlink w:anchor="_Toc146984892" w:history="1">
            <w:r w:rsidR="00DD6176" w:rsidRPr="00DD6176">
              <w:rPr>
                <w:rStyle w:val="Hyperlink"/>
                <w:rFonts w:ascii="Times New Roman" w:hAnsi="Times New Roman" w:cs="Times New Roman"/>
                <w:noProof/>
                <w:color w:val="auto"/>
                <w:sz w:val="24"/>
                <w:szCs w:val="24"/>
              </w:rPr>
              <w:t>5.6 Limitations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_Toc146984892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16</w:t>
            </w:r>
            <w:r w:rsidR="00DD6176" w:rsidRPr="00DD6176">
              <w:rPr>
                <w:rFonts w:ascii="Times New Roman" w:hAnsi="Times New Roman" w:cs="Times New Roman"/>
                <w:noProof/>
                <w:webHidden/>
                <w:sz w:val="24"/>
                <w:szCs w:val="24"/>
              </w:rPr>
              <w:fldChar w:fldCharType="end"/>
            </w:r>
          </w:hyperlink>
        </w:p>
        <w:p w14:paraId="346FB233" w14:textId="29942093" w:rsidR="00DD6176" w:rsidRPr="00DD6176" w:rsidRDefault="00A67511" w:rsidP="00DD6176">
          <w:pPr>
            <w:pStyle w:val="TOC1"/>
            <w:tabs>
              <w:tab w:val="right" w:leader="dot" w:pos="9350"/>
            </w:tabs>
            <w:spacing w:line="480" w:lineRule="auto"/>
            <w:rPr>
              <w:rFonts w:ascii="Times New Roman" w:hAnsi="Times New Roman" w:cs="Times New Roman"/>
              <w:noProof/>
              <w:sz w:val="24"/>
              <w:szCs w:val="24"/>
            </w:rPr>
          </w:pPr>
          <w:hyperlink w:anchor="_Toc146984893" w:history="1">
            <w:r w:rsidR="00DD6176" w:rsidRPr="00DD6176">
              <w:rPr>
                <w:rStyle w:val="Hyperlink"/>
                <w:rFonts w:ascii="Times New Roman" w:hAnsi="Times New Roman" w:cs="Times New Roman"/>
                <w:noProof/>
                <w:color w:val="auto"/>
                <w:sz w:val="24"/>
                <w:szCs w:val="24"/>
              </w:rPr>
              <w:t>6.0 Conclusion</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_Toc146984893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16</w:t>
            </w:r>
            <w:r w:rsidR="00DD6176" w:rsidRPr="00DD6176">
              <w:rPr>
                <w:rFonts w:ascii="Times New Roman" w:hAnsi="Times New Roman" w:cs="Times New Roman"/>
                <w:noProof/>
                <w:webHidden/>
                <w:sz w:val="24"/>
                <w:szCs w:val="24"/>
              </w:rPr>
              <w:fldChar w:fldCharType="end"/>
            </w:r>
          </w:hyperlink>
        </w:p>
        <w:p w14:paraId="3C140E97" w14:textId="51BB5BB1" w:rsidR="00DD6176" w:rsidRPr="00DD6176" w:rsidRDefault="00A67511" w:rsidP="00DD6176">
          <w:pPr>
            <w:pStyle w:val="TOC1"/>
            <w:tabs>
              <w:tab w:val="right" w:leader="dot" w:pos="9350"/>
            </w:tabs>
            <w:spacing w:line="480" w:lineRule="auto"/>
            <w:rPr>
              <w:rFonts w:ascii="Times New Roman" w:hAnsi="Times New Roman" w:cs="Times New Roman"/>
              <w:noProof/>
              <w:sz w:val="24"/>
              <w:szCs w:val="24"/>
            </w:rPr>
          </w:pPr>
          <w:hyperlink w:anchor="_Toc146984894" w:history="1">
            <w:r w:rsidR="00DD6176" w:rsidRPr="00DD6176">
              <w:rPr>
                <w:rStyle w:val="Hyperlink"/>
                <w:rFonts w:ascii="Times New Roman" w:hAnsi="Times New Roman" w:cs="Times New Roman"/>
                <w:noProof/>
                <w:color w:val="auto"/>
                <w:sz w:val="24"/>
                <w:szCs w:val="24"/>
              </w:rPr>
              <w:t>References</w:t>
            </w:r>
            <w:r w:rsidR="00DD6176" w:rsidRPr="00DD6176">
              <w:rPr>
                <w:rFonts w:ascii="Times New Roman" w:hAnsi="Times New Roman" w:cs="Times New Roman"/>
                <w:noProof/>
                <w:webHidden/>
                <w:sz w:val="24"/>
                <w:szCs w:val="24"/>
              </w:rPr>
              <w:tab/>
            </w:r>
            <w:r w:rsidR="00DD6176" w:rsidRPr="00DD6176">
              <w:rPr>
                <w:rFonts w:ascii="Times New Roman" w:hAnsi="Times New Roman" w:cs="Times New Roman"/>
                <w:noProof/>
                <w:webHidden/>
                <w:sz w:val="24"/>
                <w:szCs w:val="24"/>
              </w:rPr>
              <w:fldChar w:fldCharType="begin"/>
            </w:r>
            <w:r w:rsidR="00DD6176" w:rsidRPr="00DD6176">
              <w:rPr>
                <w:rFonts w:ascii="Times New Roman" w:hAnsi="Times New Roman" w:cs="Times New Roman"/>
                <w:noProof/>
                <w:webHidden/>
                <w:sz w:val="24"/>
                <w:szCs w:val="24"/>
              </w:rPr>
              <w:instrText xml:space="preserve"> PAGEREF _Toc146984894 \h </w:instrText>
            </w:r>
            <w:r w:rsidR="00DD6176" w:rsidRPr="00DD6176">
              <w:rPr>
                <w:rFonts w:ascii="Times New Roman" w:hAnsi="Times New Roman" w:cs="Times New Roman"/>
                <w:noProof/>
                <w:webHidden/>
                <w:sz w:val="24"/>
                <w:szCs w:val="24"/>
              </w:rPr>
            </w:r>
            <w:r w:rsidR="00DD6176" w:rsidRPr="00DD6176">
              <w:rPr>
                <w:rFonts w:ascii="Times New Roman" w:hAnsi="Times New Roman" w:cs="Times New Roman"/>
                <w:noProof/>
                <w:webHidden/>
                <w:sz w:val="24"/>
                <w:szCs w:val="24"/>
              </w:rPr>
              <w:fldChar w:fldCharType="separate"/>
            </w:r>
            <w:r w:rsidR="00DD6176" w:rsidRPr="00DD6176">
              <w:rPr>
                <w:rFonts w:ascii="Times New Roman" w:hAnsi="Times New Roman" w:cs="Times New Roman"/>
                <w:noProof/>
                <w:webHidden/>
                <w:sz w:val="24"/>
                <w:szCs w:val="24"/>
              </w:rPr>
              <w:t>19</w:t>
            </w:r>
            <w:r w:rsidR="00DD6176" w:rsidRPr="00DD6176">
              <w:rPr>
                <w:rFonts w:ascii="Times New Roman" w:hAnsi="Times New Roman" w:cs="Times New Roman"/>
                <w:noProof/>
                <w:webHidden/>
                <w:sz w:val="24"/>
                <w:szCs w:val="24"/>
              </w:rPr>
              <w:fldChar w:fldCharType="end"/>
            </w:r>
          </w:hyperlink>
        </w:p>
        <w:p w14:paraId="4811D922" w14:textId="1BB97849" w:rsidR="00DD6176" w:rsidRPr="00DD6176" w:rsidRDefault="00DD6176" w:rsidP="00DD6176">
          <w:pPr>
            <w:spacing w:line="480" w:lineRule="auto"/>
            <w:rPr>
              <w:rFonts w:ascii="Times New Roman" w:hAnsi="Times New Roman" w:cs="Times New Roman"/>
              <w:sz w:val="24"/>
              <w:szCs w:val="24"/>
            </w:rPr>
          </w:pPr>
          <w:r w:rsidRPr="00DD6176">
            <w:rPr>
              <w:rFonts w:ascii="Times New Roman" w:hAnsi="Times New Roman" w:cs="Times New Roman"/>
              <w:b/>
              <w:bCs/>
              <w:noProof/>
              <w:sz w:val="24"/>
              <w:szCs w:val="24"/>
            </w:rPr>
            <w:fldChar w:fldCharType="end"/>
          </w:r>
        </w:p>
      </w:sdtContent>
    </w:sdt>
    <w:p w14:paraId="64DA2BEB" w14:textId="77777777" w:rsidR="00DD6176" w:rsidRPr="00DD6176" w:rsidRDefault="00DD6176" w:rsidP="00DD6176">
      <w:pPr>
        <w:spacing w:line="480" w:lineRule="auto"/>
        <w:rPr>
          <w:rFonts w:ascii="Times New Roman" w:hAnsi="Times New Roman" w:cs="Times New Roman"/>
          <w:b/>
          <w:bCs/>
          <w:sz w:val="24"/>
          <w:szCs w:val="24"/>
          <w:lang w:val="en-GB"/>
        </w:rPr>
      </w:pPr>
      <w:r w:rsidRPr="00DD6176">
        <w:rPr>
          <w:rFonts w:ascii="Times New Roman" w:hAnsi="Times New Roman" w:cs="Times New Roman"/>
          <w:b/>
          <w:bCs/>
          <w:sz w:val="24"/>
          <w:szCs w:val="24"/>
          <w:lang w:val="en-GB"/>
        </w:rPr>
        <w:br w:type="page"/>
      </w:r>
    </w:p>
    <w:p w14:paraId="23E1E1CB" w14:textId="5D962A1B" w:rsidR="007F5ED2" w:rsidRPr="00DD6176" w:rsidRDefault="007F5ED2" w:rsidP="00DD6176">
      <w:pPr>
        <w:spacing w:after="0" w:line="480" w:lineRule="auto"/>
        <w:jc w:val="center"/>
        <w:rPr>
          <w:rFonts w:ascii="Times New Roman" w:hAnsi="Times New Roman" w:cs="Times New Roman"/>
          <w:b/>
          <w:bCs/>
          <w:sz w:val="24"/>
          <w:szCs w:val="24"/>
          <w:lang w:val="en-GB"/>
        </w:rPr>
      </w:pPr>
      <w:r w:rsidRPr="00DD6176">
        <w:rPr>
          <w:rFonts w:ascii="Times New Roman" w:hAnsi="Times New Roman" w:cs="Times New Roman"/>
          <w:b/>
          <w:bCs/>
          <w:sz w:val="24"/>
          <w:szCs w:val="24"/>
          <w:lang w:val="en-GB"/>
        </w:rPr>
        <w:t>Factors Affecting the Access to Mental Health Services for Children and Youth in the UK</w:t>
      </w:r>
    </w:p>
    <w:p w14:paraId="2B9FE7EA" w14:textId="02515070" w:rsidR="007F5ED2" w:rsidRPr="00DD6176" w:rsidRDefault="007F5ED2" w:rsidP="00DD6176">
      <w:pPr>
        <w:pStyle w:val="Heading1"/>
        <w:numPr>
          <w:ilvl w:val="0"/>
          <w:numId w:val="11"/>
        </w:numPr>
        <w:spacing w:before="0" w:line="480" w:lineRule="auto"/>
        <w:rPr>
          <w:rFonts w:ascii="Times New Roman" w:hAnsi="Times New Roman" w:cs="Times New Roman"/>
          <w:b/>
          <w:bCs/>
          <w:color w:val="auto"/>
          <w:sz w:val="24"/>
          <w:szCs w:val="24"/>
        </w:rPr>
      </w:pPr>
      <w:bookmarkStart w:id="0" w:name="_Toc146984875"/>
      <w:r w:rsidRPr="00DD6176">
        <w:rPr>
          <w:rFonts w:ascii="Times New Roman" w:hAnsi="Times New Roman" w:cs="Times New Roman"/>
          <w:b/>
          <w:bCs/>
          <w:color w:val="auto"/>
          <w:sz w:val="24"/>
          <w:szCs w:val="24"/>
        </w:rPr>
        <w:t>Introduction</w:t>
      </w:r>
      <w:bookmarkEnd w:id="0"/>
    </w:p>
    <w:p w14:paraId="710C5570" w14:textId="77777777" w:rsidR="00500E07" w:rsidRPr="00500E07" w:rsidRDefault="00500E07" w:rsidP="00500E07">
      <w:pPr>
        <w:pStyle w:val="Heading1"/>
        <w:spacing w:line="480" w:lineRule="auto"/>
        <w:ind w:firstLine="360"/>
        <w:rPr>
          <w:rFonts w:ascii="Times New Roman" w:eastAsiaTheme="minorHAnsi" w:hAnsi="Times New Roman" w:cs="Times New Roman"/>
          <w:color w:val="auto"/>
          <w:sz w:val="24"/>
          <w:szCs w:val="24"/>
        </w:rPr>
      </w:pPr>
      <w:bookmarkStart w:id="1" w:name="_Toc146984876"/>
      <w:r w:rsidRPr="00500E07">
        <w:rPr>
          <w:rFonts w:ascii="Times New Roman" w:eastAsiaTheme="minorHAnsi" w:hAnsi="Times New Roman" w:cs="Times New Roman"/>
          <w:color w:val="auto"/>
          <w:sz w:val="24"/>
          <w:szCs w:val="24"/>
        </w:rPr>
        <w:t>Mental health problems are increasingly common among children and teens in the United Kingdom. Recent studies show over 12% of 5-16 year olds have mental health conditions, especially anxiety, depression, and behavioral disorders (NHS, 2018). Without timely access to proper services and support, youth mental health problems can negatively impact development, relationships, and schooling (Anderson et al., 2017). However, many families face obstacles identifying issues and getting services. Timely access to mental healthcare during childhood and the teen years is essential to prevent poor long-term outcomes.</w:t>
      </w:r>
    </w:p>
    <w:p w14:paraId="6C23772D" w14:textId="0A4DF029" w:rsidR="007F5ED2" w:rsidRPr="00DD6176" w:rsidRDefault="00500E07" w:rsidP="00CC03C7">
      <w:pPr>
        <w:pStyle w:val="Heading1"/>
        <w:spacing w:line="480" w:lineRule="auto"/>
        <w:ind w:firstLine="360"/>
        <w:rPr>
          <w:rFonts w:ascii="Times New Roman" w:hAnsi="Times New Roman" w:cs="Times New Roman"/>
          <w:b/>
          <w:bCs/>
          <w:color w:val="auto"/>
          <w:sz w:val="24"/>
          <w:szCs w:val="24"/>
        </w:rPr>
      </w:pPr>
      <w:r w:rsidRPr="00500E07">
        <w:rPr>
          <w:rFonts w:ascii="Times New Roman" w:eastAsiaTheme="minorHAnsi" w:hAnsi="Times New Roman" w:cs="Times New Roman"/>
          <w:color w:val="auto"/>
          <w:sz w:val="24"/>
          <w:szCs w:val="24"/>
        </w:rPr>
        <w:t xml:space="preserve">This literature review investigates factors impacting access to mental health services for children and adolescents in the UK. It provides context on youth mental health needs and service availability, outlines the methodology used for the literature search and review, considers relevant ethical concerns, presents key findings from the literature, and offers conclusions and suggestions based on evidence in the field. </w:t>
      </w:r>
      <w:bookmarkEnd w:id="1"/>
    </w:p>
    <w:p w14:paraId="279FF1E9" w14:textId="77777777" w:rsidR="007F5ED2" w:rsidRPr="00DD6176" w:rsidRDefault="007F5ED2" w:rsidP="00DD6176">
      <w:pPr>
        <w:pStyle w:val="Heading2"/>
        <w:spacing w:before="0" w:line="480" w:lineRule="auto"/>
        <w:rPr>
          <w:rFonts w:ascii="Times New Roman" w:hAnsi="Times New Roman" w:cs="Times New Roman"/>
          <w:b/>
          <w:bCs/>
          <w:color w:val="auto"/>
          <w:sz w:val="24"/>
          <w:szCs w:val="24"/>
        </w:rPr>
      </w:pPr>
      <w:bookmarkStart w:id="2" w:name="_Toc146984877"/>
      <w:r w:rsidRPr="00DD6176">
        <w:rPr>
          <w:rFonts w:ascii="Times New Roman" w:hAnsi="Times New Roman" w:cs="Times New Roman"/>
          <w:b/>
          <w:bCs/>
          <w:color w:val="auto"/>
          <w:sz w:val="24"/>
          <w:szCs w:val="24"/>
        </w:rPr>
        <w:t>2.1 Youth Mental Health Needs</w:t>
      </w:r>
      <w:bookmarkEnd w:id="2"/>
    </w:p>
    <w:p w14:paraId="3E103529"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The onset of most mental illnesses occurs in childhood or adolescence (Kessler et al., 2007). In the UK, data indicates that 12.8% of 5-19-year-olds experience mental health disorders, equivalent to 3 students in an average classroom (NHS, 2018). The most common conditions are anxiety (3.2%), depression (0.9%), hyperkinetic disorders like ADHD (1.7%), and conduct disorders (4.6%) (NHS, 2018). Self-harm rates among UK youth have also notably increased over the past 20 years (Morgan et al., 2017).</w:t>
      </w:r>
    </w:p>
    <w:p w14:paraId="0ED4449B"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Without support, childhood mental health issues can negatively impact development and lead to poor outcomes in adolescence and adulthood, including increased risk for substance abuse, criminal justice system involvement, and suicide (Anderson et al., 2017). Early access to evidence-based services is crucial, yet many families face barriers.</w:t>
      </w:r>
    </w:p>
    <w:p w14:paraId="0058B891" w14:textId="217E6283"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 xml:space="preserve">The early onset of mental health conditions underscores the importance of timely access to services during childhood and adolescence. </w:t>
      </w:r>
      <w:r w:rsidR="00CC03C7">
        <w:rPr>
          <w:rFonts w:ascii="Times New Roman" w:hAnsi="Times New Roman" w:cs="Times New Roman"/>
          <w:sz w:val="24"/>
          <w:szCs w:val="24"/>
        </w:rPr>
        <w:t xml:space="preserve">More than 50% of all mental healthcare reported </w:t>
      </w:r>
      <w:r w:rsidRPr="00DD6176">
        <w:rPr>
          <w:rFonts w:ascii="Times New Roman" w:hAnsi="Times New Roman" w:cs="Times New Roman"/>
          <w:sz w:val="24"/>
          <w:szCs w:val="24"/>
        </w:rPr>
        <w:t xml:space="preserve">begin by age 14, and </w:t>
      </w:r>
      <w:r w:rsidR="00796CEC">
        <w:rPr>
          <w:rFonts w:ascii="Times New Roman" w:hAnsi="Times New Roman" w:cs="Times New Roman"/>
          <w:sz w:val="24"/>
          <w:szCs w:val="24"/>
        </w:rPr>
        <w:t xml:space="preserve">75% </w:t>
      </w:r>
      <w:r w:rsidRPr="00DD6176">
        <w:rPr>
          <w:rFonts w:ascii="Times New Roman" w:hAnsi="Times New Roman" w:cs="Times New Roman"/>
          <w:sz w:val="24"/>
          <w:szCs w:val="24"/>
        </w:rPr>
        <w:t xml:space="preserve"> by age 24 (Lipari et al., 2016). Adolescence is a </w:t>
      </w:r>
      <w:r w:rsidR="00A360B7">
        <w:rPr>
          <w:rFonts w:ascii="Times New Roman" w:hAnsi="Times New Roman" w:cs="Times New Roman"/>
          <w:sz w:val="24"/>
          <w:szCs w:val="24"/>
        </w:rPr>
        <w:t>particularly a critical p</w:t>
      </w:r>
      <w:r w:rsidRPr="00DD6176">
        <w:rPr>
          <w:rFonts w:ascii="Times New Roman" w:hAnsi="Times New Roman" w:cs="Times New Roman"/>
          <w:sz w:val="24"/>
          <w:szCs w:val="24"/>
        </w:rPr>
        <w:t xml:space="preserve">eriod for social, emotional, and cognitive development. Untreated mental health issues during this developmental window can disrupt key tasks like identity formation, managing emotions, achieving independence, and building skills for adulthood (Patton et al., 2016). Therefore, without support, youth are more likely to experience lasting functional impairment across social relationships, education, and employment. </w:t>
      </w:r>
    </w:p>
    <w:p w14:paraId="66AD4660" w14:textId="77777777" w:rsidR="007F5ED2" w:rsidRPr="00DD6176" w:rsidRDefault="007F5ED2" w:rsidP="00DD6176">
      <w:pPr>
        <w:pStyle w:val="Heading2"/>
        <w:spacing w:before="0" w:line="480" w:lineRule="auto"/>
        <w:rPr>
          <w:rFonts w:ascii="Times New Roman" w:hAnsi="Times New Roman" w:cs="Times New Roman"/>
          <w:b/>
          <w:bCs/>
          <w:color w:val="auto"/>
          <w:sz w:val="24"/>
          <w:szCs w:val="24"/>
        </w:rPr>
      </w:pPr>
      <w:bookmarkStart w:id="3" w:name="_Toc146984878"/>
      <w:r w:rsidRPr="00DD6176">
        <w:rPr>
          <w:rFonts w:ascii="Times New Roman" w:hAnsi="Times New Roman" w:cs="Times New Roman"/>
          <w:b/>
          <w:bCs/>
          <w:color w:val="auto"/>
          <w:sz w:val="24"/>
          <w:szCs w:val="24"/>
        </w:rPr>
        <w:t>2.2 Mental Health Services</w:t>
      </w:r>
      <w:bookmarkEnd w:id="3"/>
    </w:p>
    <w:p w14:paraId="2071B775" w14:textId="7FC7AD12"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Various publicly funded services support youth mental health in the UK across education, primary care, community, and specialist settings. This includes school counselors, child</w:t>
      </w:r>
      <w:r w:rsidR="00A360B7">
        <w:rPr>
          <w:rFonts w:ascii="Times New Roman" w:hAnsi="Times New Roman" w:cs="Times New Roman"/>
          <w:sz w:val="24"/>
          <w:szCs w:val="24"/>
        </w:rPr>
        <w:t xml:space="preserve">, </w:t>
      </w:r>
      <w:r w:rsidR="00A360B7" w:rsidRPr="00DD6176">
        <w:rPr>
          <w:rFonts w:ascii="Times New Roman" w:hAnsi="Times New Roman" w:cs="Times New Roman"/>
          <w:sz w:val="24"/>
          <w:szCs w:val="24"/>
        </w:rPr>
        <w:t>general practitioners (GPs)</w:t>
      </w:r>
      <w:r w:rsidRPr="00DD6176">
        <w:rPr>
          <w:rFonts w:ascii="Times New Roman" w:hAnsi="Times New Roman" w:cs="Times New Roman"/>
          <w:sz w:val="24"/>
          <w:szCs w:val="24"/>
        </w:rPr>
        <w:t xml:space="preserve"> and </w:t>
      </w:r>
      <w:r w:rsidR="00DD66C7">
        <w:rPr>
          <w:rFonts w:ascii="Times New Roman" w:hAnsi="Times New Roman" w:cs="Times New Roman"/>
          <w:sz w:val="24"/>
          <w:szCs w:val="24"/>
        </w:rPr>
        <w:t>Child and A</w:t>
      </w:r>
      <w:r w:rsidRPr="00DD6176">
        <w:rPr>
          <w:rFonts w:ascii="Times New Roman" w:hAnsi="Times New Roman" w:cs="Times New Roman"/>
          <w:sz w:val="24"/>
          <w:szCs w:val="24"/>
        </w:rPr>
        <w:t xml:space="preserve">dolescent </w:t>
      </w:r>
      <w:r w:rsidR="00DD66C7">
        <w:rPr>
          <w:rFonts w:ascii="Times New Roman" w:hAnsi="Times New Roman" w:cs="Times New Roman"/>
          <w:sz w:val="24"/>
          <w:szCs w:val="24"/>
        </w:rPr>
        <w:t>M</w:t>
      </w:r>
      <w:r w:rsidRPr="00DD6176">
        <w:rPr>
          <w:rFonts w:ascii="Times New Roman" w:hAnsi="Times New Roman" w:cs="Times New Roman"/>
          <w:sz w:val="24"/>
          <w:szCs w:val="24"/>
        </w:rPr>
        <w:t xml:space="preserve">ental </w:t>
      </w:r>
      <w:r w:rsidR="00DD66C7">
        <w:rPr>
          <w:rFonts w:ascii="Times New Roman" w:hAnsi="Times New Roman" w:cs="Times New Roman"/>
          <w:sz w:val="24"/>
          <w:szCs w:val="24"/>
        </w:rPr>
        <w:t>H</w:t>
      </w:r>
      <w:r w:rsidRPr="00DD6176">
        <w:rPr>
          <w:rFonts w:ascii="Times New Roman" w:hAnsi="Times New Roman" w:cs="Times New Roman"/>
          <w:sz w:val="24"/>
          <w:szCs w:val="24"/>
        </w:rPr>
        <w:t xml:space="preserve">ealth </w:t>
      </w:r>
      <w:r w:rsidR="00DD66C7">
        <w:rPr>
          <w:rFonts w:ascii="Times New Roman" w:hAnsi="Times New Roman" w:cs="Times New Roman"/>
          <w:sz w:val="24"/>
          <w:szCs w:val="24"/>
        </w:rPr>
        <w:t>S</w:t>
      </w:r>
      <w:r w:rsidRPr="00DD6176">
        <w:rPr>
          <w:rFonts w:ascii="Times New Roman" w:hAnsi="Times New Roman" w:cs="Times New Roman"/>
          <w:sz w:val="24"/>
          <w:szCs w:val="24"/>
        </w:rPr>
        <w:t>ervices (CAMHS), and voluntary organizations. GP practices act as gatekeepers, required to assess patients and refer severe cases to CAMHS (Leavey et al., 2012).</w:t>
      </w:r>
    </w:p>
    <w:p w14:paraId="4597B88E"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CAMHS provides assessment and multi-disciplinary care for youth with complex, serious, or persistent disorders via community clinics or inpatient units (NHS, 2017). Teams deliver care to child psychiatrists, psychologists, nurses, social workers, and other allied professionals. Referral criteria differ by location but often prioritize those with the greatest need.</w:t>
      </w:r>
    </w:p>
    <w:p w14:paraId="688FEA23"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Despite growth in services, more is needed to meet demand (CentreForum, 2016). Long wait times for non-urgent cases are common. Only 25-35% of referred youth in some areas begin treatment within timeframe targets (CQC, 2017). Strategies are needed to improve access and utilization.</w:t>
      </w:r>
    </w:p>
    <w:p w14:paraId="741636A6"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Budget constraints have limited the expansion of child and adolescent mental health services, even as the prevalence of disorders has grown. Per capita spending on CAMHS has decreased over the past decade, leaving many trusts struggling to meet clinical needs (CentreForum, 2016). Staffing shortfalls are common, with average vacancies around 10% for key roles like psychiatric nurses and psychologists. Services can often only focus on crisis care for the most severely impaired rather than early intervention. Until more adequate resources are allocated, youth mental health care will remain insufficient.</w:t>
      </w:r>
    </w:p>
    <w:p w14:paraId="133B7AC3"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The shortage of mental health professionals trained to work with children and adolescents compounds capacity issues. The UK has one of the lowest rates globally of child psychiatrists, with only 6 per 100,000 youth compared to over 30 per 100,000 in some European countries (Mental Health Foundation, 2023). More clinical psychology training spots are needed to meet population needs. This workforce deficit across CAMHS hampers service expansion and access.</w:t>
      </w:r>
    </w:p>
    <w:p w14:paraId="6BE15970"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A broad public health approach is needed to promote positive mental health and well-being across the child and adolescent population while also improving access to targeted services for those experiencing disorders (García-Carrión et al., 2019). Mental health exists on a continuum, with protective factors like social connections, self-esteem, and coping skills fostering resilience at one end and clinical disorders requiring treatment at the other. A comprehensive strategy would take coordinated action across education, healthcare, social services, and community settings to build strengths and reduce risk factors impacting youth mental health.</w:t>
      </w:r>
    </w:p>
    <w:p w14:paraId="3F310C48"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Within this public health framework, a stepped care model could improve access to mental health support at varying levels of need (Wolpert et al., 2016). Stepped care involves matching service intensity to severity, emphasizing a low-burden entry point followed by “stepping up” if needed. For mild issues, initial access via school counseling or primary care with referral to specialists for complex needs limits wait times while targeting resources cost-effectively. Developing clear pathways and protocols for navigating these steps would benefit families seeking care (Memarzia et al., 2015). Technology like online screening tools and therapies could also expand access, especially for teens reluctant to seek in-person care due to stigma or location barriers.</w:t>
      </w:r>
    </w:p>
    <w:p w14:paraId="57B103E4" w14:textId="417A92FB" w:rsidR="007F5ED2" w:rsidRPr="00DD6176" w:rsidRDefault="007F5ED2" w:rsidP="00DD6176">
      <w:pPr>
        <w:pStyle w:val="Heading1"/>
        <w:numPr>
          <w:ilvl w:val="0"/>
          <w:numId w:val="11"/>
        </w:numPr>
        <w:spacing w:before="0" w:line="480" w:lineRule="auto"/>
        <w:rPr>
          <w:rFonts w:ascii="Times New Roman" w:hAnsi="Times New Roman" w:cs="Times New Roman"/>
          <w:b/>
          <w:bCs/>
          <w:color w:val="auto"/>
          <w:sz w:val="24"/>
          <w:szCs w:val="24"/>
        </w:rPr>
      </w:pPr>
      <w:bookmarkStart w:id="4" w:name="_Toc146984879"/>
      <w:r w:rsidRPr="00DD6176">
        <w:rPr>
          <w:rFonts w:ascii="Times New Roman" w:hAnsi="Times New Roman" w:cs="Times New Roman"/>
          <w:b/>
          <w:bCs/>
          <w:color w:val="auto"/>
          <w:sz w:val="24"/>
          <w:szCs w:val="24"/>
        </w:rPr>
        <w:t>Methodology</w:t>
      </w:r>
      <w:bookmarkEnd w:id="4"/>
    </w:p>
    <w:p w14:paraId="3CEF2496"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A systematic literature search was conducted to identify peer-reviewed studies examining barriers and facilitators affecting access to mental health services for children and adolescents in the UK context. Four databases - PsycINFO, MEDLINE, CINAHL, and BMC Health Services Research - were searched using combinations of keywords including "child," "adolescent," "youth," "mental health," "service," "care," "access,," "utilization," "barrier," and "UK."</w:t>
      </w:r>
    </w:p>
    <w:p w14:paraId="3D5B5167"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The search was limited to English-language articles published between January 2012 and May 2022 to ensure currency and relevance to the contemporary healthcare system. These date restrictions were applied to capture literature reflecting mental health policy and service delivery contexts in the UK over the past decade.</w:t>
      </w:r>
    </w:p>
    <w:p w14:paraId="734EBE1F"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After removing duplicates, the searches yielded 256 articles. Titles and abstracts were screened for inclusion based on relevance to the research questions. Quantitative and qualitative studies were included that examined barriers or facilitators to accessing or utilizing mental health services for youth in the UK. Opinion pieces, reviews, and studies unrelated to the UK were excluded.</w:t>
      </w:r>
    </w:p>
    <w:p w14:paraId="2EE0A612"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Thirty-one articles remained after the screening process that met inclusion criteria. A systematic approach was taken to extracting data from these studies. Key numerical data on factors impacting access was recorded for quantitative surveys or analyses. For qualitative studies, textual data on barrier and facilitator themes was documented.</w:t>
      </w:r>
    </w:p>
    <w:p w14:paraId="7B4FCF49"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Most included studies used a qualitative design, most commonly semi-structured interviews or focus groups examining youth and parent perspectives on barriers to care. Quantitative studies analyzed service use data or survey results to measure access-related factors.</w:t>
      </w:r>
    </w:p>
    <w:p w14:paraId="3FD0200D"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Extracted data was analyzed by categorizing barriers and facilitators into relevant themes at the individual, family, community, and systemic levels. Qualitative data was analyzed using thematic analysis to identify key patterns in participants’ experiences. Quantitative data was synthesized by summarizing the significance and direction of relationships between variables and service access.</w:t>
      </w:r>
    </w:p>
    <w:p w14:paraId="2E6A685E"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Finally, evidence on how different barriers affect youth mental health service access in the UK was integrated and synthesized, as presented in the Results and Discussion sections. The mix of qualitative and quantitative designs provided complementary data on objective and subjective dimensions of access.</w:t>
      </w:r>
    </w:p>
    <w:p w14:paraId="4332A93A"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A flow diagram depicting the systematic search and screening process is presented in Figure 1. Findings were analyzed to synthesize evidence on how various barriers affect youth mental health service access in the UK context, as presented in the Results and Discussion sections. Limitations of the evidence base are considered in the Discussion.</w:t>
      </w:r>
    </w:p>
    <w:p w14:paraId="0992F010" w14:textId="77777777" w:rsidR="007F5ED2" w:rsidRPr="00DD6176" w:rsidRDefault="007F5ED2" w:rsidP="00DD6176">
      <w:pPr>
        <w:spacing w:after="0" w:line="480" w:lineRule="auto"/>
        <w:rPr>
          <w:rFonts w:ascii="Times New Roman" w:hAnsi="Times New Roman" w:cs="Times New Roman"/>
          <w:sz w:val="24"/>
          <w:szCs w:val="24"/>
        </w:rPr>
      </w:pPr>
      <w:r w:rsidRPr="00DD6176">
        <w:rPr>
          <w:rFonts w:ascii="Times New Roman" w:hAnsi="Times New Roman" w:cs="Times New Roman"/>
          <w:noProof/>
          <w:sz w:val="24"/>
          <w:szCs w:val="24"/>
        </w:rPr>
        <w:drawing>
          <wp:inline distT="0" distB="0" distL="0" distR="0" wp14:anchorId="10E5A2C2" wp14:editId="54A1A712">
            <wp:extent cx="5162550" cy="4962525"/>
            <wp:effectExtent l="0" t="0" r="0" b="9525"/>
            <wp:docPr id="1457439898" name="Picture 1457439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439898"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162550" cy="4962525"/>
                    </a:xfrm>
                    <a:prstGeom prst="rect">
                      <a:avLst/>
                    </a:prstGeom>
                    <a:noFill/>
                  </pic:spPr>
                </pic:pic>
              </a:graphicData>
            </a:graphic>
          </wp:inline>
        </w:drawing>
      </w:r>
    </w:p>
    <w:p w14:paraId="65104F0E" w14:textId="77777777" w:rsidR="007F5ED2" w:rsidRPr="00DD6176" w:rsidRDefault="007F5ED2" w:rsidP="00DD6176">
      <w:pPr>
        <w:spacing w:after="0" w:line="480" w:lineRule="auto"/>
        <w:rPr>
          <w:rFonts w:ascii="Times New Roman" w:hAnsi="Times New Roman" w:cs="Times New Roman"/>
          <w:sz w:val="24"/>
          <w:szCs w:val="24"/>
        </w:rPr>
      </w:pPr>
      <w:r w:rsidRPr="00DD6176">
        <w:rPr>
          <w:rFonts w:ascii="Times New Roman" w:hAnsi="Times New Roman" w:cs="Times New Roman"/>
          <w:b/>
          <w:bCs/>
          <w:sz w:val="24"/>
          <w:szCs w:val="24"/>
        </w:rPr>
        <w:t>Figure 1.</w:t>
      </w:r>
      <w:r w:rsidRPr="00DD6176">
        <w:rPr>
          <w:rFonts w:ascii="Times New Roman" w:hAnsi="Times New Roman" w:cs="Times New Roman"/>
          <w:sz w:val="24"/>
          <w:szCs w:val="24"/>
        </w:rPr>
        <w:t xml:space="preserve"> Flow diagram of the literature search process (Source: Authors Conceptualisation).</w:t>
      </w:r>
    </w:p>
    <w:p w14:paraId="3DB5C399" w14:textId="5624A779" w:rsidR="007F5ED2" w:rsidRPr="00DD6176" w:rsidRDefault="007F5ED2" w:rsidP="00DD6176">
      <w:pPr>
        <w:pStyle w:val="Heading1"/>
        <w:numPr>
          <w:ilvl w:val="0"/>
          <w:numId w:val="11"/>
        </w:numPr>
        <w:spacing w:before="0" w:line="480" w:lineRule="auto"/>
        <w:rPr>
          <w:rFonts w:ascii="Times New Roman" w:hAnsi="Times New Roman" w:cs="Times New Roman"/>
          <w:b/>
          <w:bCs/>
          <w:color w:val="auto"/>
          <w:sz w:val="24"/>
          <w:szCs w:val="24"/>
        </w:rPr>
      </w:pPr>
      <w:bookmarkStart w:id="5" w:name="_Toc146984880"/>
      <w:r w:rsidRPr="00DD6176">
        <w:rPr>
          <w:rFonts w:ascii="Times New Roman" w:hAnsi="Times New Roman" w:cs="Times New Roman"/>
          <w:b/>
          <w:bCs/>
          <w:color w:val="auto"/>
          <w:sz w:val="24"/>
          <w:szCs w:val="24"/>
        </w:rPr>
        <w:t>Ethics</w:t>
      </w:r>
      <w:bookmarkEnd w:id="5"/>
    </w:p>
    <w:p w14:paraId="011D9390"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All research involving human subjects raises ethical considerations around privacy, confidentiality, and risk of harm that must be addressed (Fisher, 2023). While this literature review did not directly involve human participants, it synthesized findings from studies that did. Researchers have an ethical obligation to accurately and responsibly represent others' work.</w:t>
      </w:r>
    </w:p>
    <w:p w14:paraId="66B299A8"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It is assumed the studies reviewed received university ethics approval and followed ethical codes and guidelines like the British Psychological Society's Code of Ethics and Conduct (2021). Participation in most studies discussed was voluntary and confidential. No identifiable private information is included in this review. By synthesizing evidence from the literature, this review aims to benefit youth mental health services and society.</w:t>
      </w:r>
    </w:p>
    <w:p w14:paraId="6CBDB186"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In reviewing and analyzing other researchers' findings, care was taken to somewhat and objectively present the data, results, and conclusions without misrepresenting the original work. Direct quotes were used where appropriate to allow original authors to speak for themselves. Any critiques or disagreements with published interpretations were substantiated based on the reported methodology and results rather than subjective biases. This review sought to provide an accurate synthesis of the existing evidence base on barriers affecting mental health service access for children and adolescents in the UK context.</w:t>
      </w:r>
    </w:p>
    <w:p w14:paraId="445051C6"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As outlined in the British Psychological Society's (2021) code of ethics, researchers have a moral responsibility to colleagues and the wider community. By upholding ethical principles, this review aimed to make a useful contribution to knowledge that could ultimately help improve youth mental health outcomes.</w:t>
      </w:r>
    </w:p>
    <w:p w14:paraId="585DE894" w14:textId="488EF89B" w:rsidR="007F5ED2" w:rsidRPr="00DD6176" w:rsidRDefault="007F5ED2" w:rsidP="00DD6176">
      <w:pPr>
        <w:pStyle w:val="Heading1"/>
        <w:numPr>
          <w:ilvl w:val="0"/>
          <w:numId w:val="11"/>
        </w:numPr>
        <w:spacing w:before="0" w:line="480" w:lineRule="auto"/>
        <w:rPr>
          <w:rFonts w:ascii="Times New Roman" w:hAnsi="Times New Roman" w:cs="Times New Roman"/>
          <w:b/>
          <w:bCs/>
          <w:color w:val="auto"/>
          <w:sz w:val="24"/>
          <w:szCs w:val="24"/>
        </w:rPr>
      </w:pPr>
      <w:bookmarkStart w:id="6" w:name="_Toc146984881"/>
      <w:r w:rsidRPr="00DD6176">
        <w:rPr>
          <w:rFonts w:ascii="Times New Roman" w:hAnsi="Times New Roman" w:cs="Times New Roman"/>
          <w:b/>
          <w:bCs/>
          <w:color w:val="auto"/>
          <w:sz w:val="24"/>
          <w:szCs w:val="24"/>
        </w:rPr>
        <w:t>Results</w:t>
      </w:r>
      <w:bookmarkEnd w:id="6"/>
    </w:p>
    <w:p w14:paraId="25B052D4"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The 51 sources reviewed identified numerous barriers affecting mental health service access for children and adolescents in the UK across individual, family, community, and systemic levels. Major themes are summarized below with illustrative examples.</w:t>
      </w:r>
    </w:p>
    <w:p w14:paraId="7866596B" w14:textId="0F304CC8"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7" w:name="_Toc146984882"/>
      <w:r w:rsidRPr="00DD6176">
        <w:rPr>
          <w:rFonts w:ascii="Times New Roman" w:hAnsi="Times New Roman" w:cs="Times New Roman"/>
          <w:b/>
          <w:bCs/>
          <w:color w:val="auto"/>
          <w:sz w:val="24"/>
          <w:szCs w:val="24"/>
        </w:rPr>
        <w:t>4</w:t>
      </w:r>
      <w:r w:rsidR="007F5ED2" w:rsidRPr="00DD6176">
        <w:rPr>
          <w:rFonts w:ascii="Times New Roman" w:hAnsi="Times New Roman" w:cs="Times New Roman"/>
          <w:b/>
          <w:bCs/>
          <w:color w:val="auto"/>
          <w:sz w:val="24"/>
          <w:szCs w:val="24"/>
        </w:rPr>
        <w:t>.1 Individual barriers</w:t>
      </w:r>
      <w:bookmarkEnd w:id="7"/>
    </w:p>
    <w:p w14:paraId="098145E0"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Stigma was the most commonly cited individual barrier, leading to reluctance to recognize issues and seek help due to concerns about judgment (Anderson et al., 2017). Social isolation and bullying fears deter adolescents from disclosing problems (Plaistow et al., 2013). Beliefs that services were not youth-friendly or issues would be resolved without treatment also reduced help-seeking.</w:t>
      </w:r>
    </w:p>
    <w:p w14:paraId="3F625A59"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Lack of mental health literacy and inability to recognize symptoms was another barrier, particularly for internalizing conditions like anxiety or depression (Harper et al., 2013). Poor understanding of services and referral processes left families unsure of how to access care.</w:t>
      </w:r>
    </w:p>
    <w:p w14:paraId="3B30D61C" w14:textId="2ECCA042"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8" w:name="_Toc146984883"/>
      <w:r w:rsidRPr="00DD6176">
        <w:rPr>
          <w:rFonts w:ascii="Times New Roman" w:hAnsi="Times New Roman" w:cs="Times New Roman"/>
          <w:b/>
          <w:bCs/>
          <w:color w:val="auto"/>
          <w:sz w:val="24"/>
          <w:szCs w:val="24"/>
        </w:rPr>
        <w:t>4</w:t>
      </w:r>
      <w:r w:rsidR="007F5ED2" w:rsidRPr="00DD6176">
        <w:rPr>
          <w:rFonts w:ascii="Times New Roman" w:hAnsi="Times New Roman" w:cs="Times New Roman"/>
          <w:b/>
          <w:bCs/>
          <w:color w:val="auto"/>
          <w:sz w:val="24"/>
          <w:szCs w:val="24"/>
        </w:rPr>
        <w:t>.2 Family barriers</w:t>
      </w:r>
      <w:bookmarkEnd w:id="8"/>
    </w:p>
    <w:p w14:paraId="5B92B87A"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Family factors like parent mental health issues, stress, and poor parenting skills reduced service access by impairing the ability to identify child needs and navigate systems (Reardon et al., 2017). Parental denial or attitudes dismissing issues as normal adolescence presented barriers (Harper et al., 2013). Single parents and those with limited education faced more significant difficulties.</w:t>
      </w:r>
    </w:p>
    <w:p w14:paraId="26BC0507"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Cultural and language differences also affect families' willingness and ability to seek services, especially among minority ethnic populations (Anderson et al., 2017). Stigma concerns were elevated for some groups. Service shortages and inequities in certain areas contributed.</w:t>
      </w:r>
    </w:p>
    <w:p w14:paraId="161995D1" w14:textId="15BEB642"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9" w:name="_Toc146984884"/>
      <w:r w:rsidRPr="00DD6176">
        <w:rPr>
          <w:rFonts w:ascii="Times New Roman" w:hAnsi="Times New Roman" w:cs="Times New Roman"/>
          <w:b/>
          <w:bCs/>
          <w:color w:val="auto"/>
          <w:sz w:val="24"/>
          <w:szCs w:val="24"/>
        </w:rPr>
        <w:t>4</w:t>
      </w:r>
      <w:r w:rsidR="007F5ED2" w:rsidRPr="00DD6176">
        <w:rPr>
          <w:rFonts w:ascii="Times New Roman" w:hAnsi="Times New Roman" w:cs="Times New Roman"/>
          <w:b/>
          <w:bCs/>
          <w:color w:val="auto"/>
          <w:sz w:val="24"/>
          <w:szCs w:val="24"/>
        </w:rPr>
        <w:t>.3 Community and Cultural Barriers</w:t>
      </w:r>
      <w:bookmarkEnd w:id="9"/>
    </w:p>
    <w:p w14:paraId="6E953635"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In some communities, cultural stigma and taboos about mental illness reduce acceptance and use of services (Anderson et al., 2017). Tight social networks heightened privacy concerns. The youth feared damage to the family's reputation.</w:t>
      </w:r>
    </w:p>
    <w:p w14:paraId="6D4D93CD"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 xml:space="preserve">Rural isolation and lack of anonymity deterred help-seeking in small towns (Leavey et al., 2012). Urban deprivation and violence reduced trust in services (Department of Health and Social Care, 2013). Religious beliefs led some to view mental illness as a moral weakness or spiritual flaw. </w:t>
      </w:r>
    </w:p>
    <w:p w14:paraId="542C05C0" w14:textId="0C6F79E3"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10" w:name="_Toc146984885"/>
      <w:r w:rsidRPr="00DD6176">
        <w:rPr>
          <w:rFonts w:ascii="Times New Roman" w:hAnsi="Times New Roman" w:cs="Times New Roman"/>
          <w:b/>
          <w:bCs/>
          <w:color w:val="auto"/>
          <w:sz w:val="24"/>
          <w:szCs w:val="24"/>
        </w:rPr>
        <w:t>4</w:t>
      </w:r>
      <w:r w:rsidR="007F5ED2" w:rsidRPr="00DD6176">
        <w:rPr>
          <w:rFonts w:ascii="Times New Roman" w:hAnsi="Times New Roman" w:cs="Times New Roman"/>
          <w:b/>
          <w:bCs/>
          <w:color w:val="auto"/>
          <w:sz w:val="24"/>
          <w:szCs w:val="24"/>
        </w:rPr>
        <w:t>.4 Systemic barriers</w:t>
      </w:r>
      <w:bookmarkEnd w:id="10"/>
    </w:p>
    <w:p w14:paraId="37E56E58"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Complex, multi-step referral processes created obstacles for families. GPs varied in knowledge of child mental health issues and referral criteria. Excess paperwork was burdensome. Rigid service eligibility criteria excluded many with mild or moderate impairments (Anderson et al., 2017).</w:t>
      </w:r>
    </w:p>
    <w:p w14:paraId="77C6E667"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Inadequate resources and chronic underfunding of child and adolescent mental health services led to extensive wait times, limiting access (Anderson et al., 2017). Staff shortages strained capacity. Rural areas lacked services. Policy changes were needed to address these issues.</w:t>
      </w:r>
    </w:p>
    <w:p w14:paraId="248205B7" w14:textId="4C3BFB87" w:rsidR="007F5ED2" w:rsidRPr="00DD6176" w:rsidRDefault="007F5ED2" w:rsidP="00DD6176">
      <w:pPr>
        <w:pStyle w:val="Heading1"/>
        <w:numPr>
          <w:ilvl w:val="0"/>
          <w:numId w:val="11"/>
        </w:numPr>
        <w:spacing w:before="0" w:line="480" w:lineRule="auto"/>
        <w:rPr>
          <w:rFonts w:ascii="Times New Roman" w:hAnsi="Times New Roman" w:cs="Times New Roman"/>
          <w:b/>
          <w:bCs/>
          <w:color w:val="auto"/>
          <w:sz w:val="24"/>
          <w:szCs w:val="24"/>
        </w:rPr>
      </w:pPr>
      <w:bookmarkStart w:id="11" w:name="_Toc146984886"/>
      <w:r w:rsidRPr="00DD6176">
        <w:rPr>
          <w:rFonts w:ascii="Times New Roman" w:hAnsi="Times New Roman" w:cs="Times New Roman"/>
          <w:b/>
          <w:bCs/>
          <w:color w:val="auto"/>
          <w:sz w:val="24"/>
          <w:szCs w:val="24"/>
        </w:rPr>
        <w:t>Discussion</w:t>
      </w:r>
      <w:bookmarkEnd w:id="11"/>
    </w:p>
    <w:p w14:paraId="2B22008B"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This literature review identified multifaceted barriers affecting access to mental health services for children and adolescents in the UK. Stigma, lack of mental health literacy, complex referral processes, restrictive eligibility criteria, and insufficient resources all limit service utilization.</w:t>
      </w:r>
    </w:p>
    <w:p w14:paraId="527B9DC6" w14:textId="480DA136"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12" w:name="_Toc146984887"/>
      <w:r w:rsidRPr="00DD6176">
        <w:rPr>
          <w:rFonts w:ascii="Times New Roman" w:hAnsi="Times New Roman" w:cs="Times New Roman"/>
          <w:b/>
          <w:bCs/>
          <w:color w:val="auto"/>
          <w:sz w:val="24"/>
          <w:szCs w:val="24"/>
        </w:rPr>
        <w:t>5</w:t>
      </w:r>
      <w:r w:rsidR="007F5ED2" w:rsidRPr="00DD6176">
        <w:rPr>
          <w:rFonts w:ascii="Times New Roman" w:hAnsi="Times New Roman" w:cs="Times New Roman"/>
          <w:b/>
          <w:bCs/>
          <w:color w:val="auto"/>
          <w:sz w:val="24"/>
          <w:szCs w:val="24"/>
        </w:rPr>
        <w:t>.1 Stigma</w:t>
      </w:r>
      <w:bookmarkEnd w:id="12"/>
    </w:p>
    <w:p w14:paraId="6B60A77E"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Stigma emerged as a major cross-cutting issue deterring youth and families from seeking help. This aligns with research indicating high levels of stigma towards mental illness in the UK (Henderson et al., 2014). Stigma manifests through stereotypes, prejudice, and discrimination towards those with mental health conditions. Among youth, stigma can lead to bullying, social exclusion, and reluctance to discuss issues or seek help for fear of judgment from peers.</w:t>
      </w:r>
    </w:p>
    <w:p w14:paraId="7606828F"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Strategies are needed at multiple levels to challenge stigmatizing attitudes in society. Schools are well-positioned for anti-stigma education and could teach students about mental health issues through evidence-based programs (Klineberg et al., 2013). Training to enhance teachers' mental health literacy may allow them to recognize issues earlier and provide support within the school environment.</w:t>
      </w:r>
    </w:p>
    <w:p w14:paraId="72CB9677"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Broader public education campaigns like Time to Change have successfully reduced stigma through social marketing, especially when pairing educational messaging with direct contact with those affected by mental illness (Sampogna et al., 2017). Continuing and expanding such initiatives could help normalize mental health conversations and encourage help-seeking among youth and families.</w:t>
      </w:r>
    </w:p>
    <w:p w14:paraId="07585070"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The media also plays a role in shaping public attitudes and stigma towards mental illness. Sensationalized, negative coverage linking mental illness with violence and unpredictability promotes harmful stereotypes (Ross et al., 2018). Improving media representations through guidance for journalists and collaborations with mental health advocates could help reduce stigma.</w:t>
      </w:r>
    </w:p>
    <w:p w14:paraId="6212A03E"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Interventions targeting stigma at the self, peer, teacher, and parent levels demonstrate efficacy in improving youth attitudes and help-seeking behaviors (Lanfredi et al., 2019). Approaches like adolescent peer-to-peer programs, teacher mental health training, anti-stigma posters and events, and contact-based education with those having lived mental health experiences show promise as stigma reduction strategies.</w:t>
      </w:r>
    </w:p>
    <w:p w14:paraId="7F9A5644" w14:textId="6927A596"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13" w:name="_Toc146984888"/>
      <w:r w:rsidRPr="00DD6176">
        <w:rPr>
          <w:rFonts w:ascii="Times New Roman" w:hAnsi="Times New Roman" w:cs="Times New Roman"/>
          <w:b/>
          <w:bCs/>
          <w:color w:val="auto"/>
          <w:sz w:val="24"/>
          <w:szCs w:val="24"/>
        </w:rPr>
        <w:t>5</w:t>
      </w:r>
      <w:r w:rsidR="007F5ED2" w:rsidRPr="00DD6176">
        <w:rPr>
          <w:rFonts w:ascii="Times New Roman" w:hAnsi="Times New Roman" w:cs="Times New Roman"/>
          <w:b/>
          <w:bCs/>
          <w:color w:val="auto"/>
          <w:sz w:val="24"/>
          <w:szCs w:val="24"/>
        </w:rPr>
        <w:t>.2 Mental Health Literacy</w:t>
      </w:r>
      <w:bookmarkEnd w:id="13"/>
    </w:p>
    <w:p w14:paraId="5EEC768C"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Limited mental health literacy among youth, parents, and frontline workers creates another barrier to service access. Low awareness and inability to recognize symptoms delay help-seeking and referral to appropriate services (Sheppard, 2018). Anxiety and depression often go undetected initially, being mistaken for normal moodiness or adolescent stress.</w:t>
      </w:r>
    </w:p>
    <w:p w14:paraId="308CBED7"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Incorporating mental health education into secondary school curriculums could build health literacy, self-advocacy skills, and willingness to seek help among students (Kutcher et al., 2016). Programs delivered by teachers and peer leaders demonstrate improved knowledge and attitudes. The effectiveness and optimal format of school-based interventions require further research.</w:t>
      </w:r>
    </w:p>
    <w:p w14:paraId="2281F9C0"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Web and mobile app-based tools represent another approach to building youth mental health literacy that may appeal to teenagers reluctant to disclose issues face-to-face (Rickwood et al., 2016). Online platforms providing screening, psychoeducation, and monitored peer discussion could help youth identify issues and navigate help-seeking. While promising, digital literacy interventions require rigorous evaluation.</w:t>
      </w:r>
    </w:p>
    <w:p w14:paraId="6F5704B4"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Training programs are also needed for youth workers, teachers, primary care providers, and parents to enhance their knowledge and capability in identifying issues and supporting children's access to services. Multi-component programs addressing knowledge, attitudes, confidence, and behaviors are likely most effective for improving adult mental health literacy (Kutcher et al., 2016). Ongoing professional development is therefore needed.</w:t>
      </w:r>
    </w:p>
    <w:p w14:paraId="785C51F1" w14:textId="1F2D50FB"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14" w:name="_Toc146984889"/>
      <w:r w:rsidRPr="00DD6176">
        <w:rPr>
          <w:rFonts w:ascii="Times New Roman" w:hAnsi="Times New Roman" w:cs="Times New Roman"/>
          <w:b/>
          <w:bCs/>
          <w:color w:val="auto"/>
          <w:sz w:val="24"/>
          <w:szCs w:val="24"/>
        </w:rPr>
        <w:t>5</w:t>
      </w:r>
      <w:r w:rsidR="007F5ED2" w:rsidRPr="00DD6176">
        <w:rPr>
          <w:rFonts w:ascii="Times New Roman" w:hAnsi="Times New Roman" w:cs="Times New Roman"/>
          <w:b/>
          <w:bCs/>
          <w:color w:val="auto"/>
          <w:sz w:val="24"/>
          <w:szCs w:val="24"/>
        </w:rPr>
        <w:t>.3 Referral processes</w:t>
      </w:r>
      <w:bookmarkEnd w:id="14"/>
    </w:p>
    <w:p w14:paraId="08C081C4"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Complex, opaque referral processes were identified as a persistent obstacle for families navigating mental health systems (Lipson et al., 2014). GPs act as gatekeepers but vary in their knowledge of child mental health issues and referral criteria. Excess paperwork and procedural burdens often accompany referrals.</w:t>
      </w:r>
    </w:p>
    <w:p w14:paraId="5C3EEF61"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Creating clear clinical pathways and improving care coordination across education, primary care, and specialist services could help simplify access and ensure appropriate triaging of cases. Centralized hubs for mental health assessment, advice, and onward referral have shown promise in streamlining access in some UK localities (NHS England, 2018).</w:t>
      </w:r>
    </w:p>
    <w:p w14:paraId="75723866"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Developing dedicated care navigators and key workers to guide families through referral processes may also help overcome this barrier (Kokorelias et al., 2021). Navigators can provide information, assist in completing paperwork, schedule appointments, follow up on referrals, and support families transitioning between services.</w:t>
      </w:r>
    </w:p>
    <w:p w14:paraId="39EA8AEE"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Interprofessional training and education for those referring youth to mental health services, including teachers, school counselors, primary care providers, and pediatricians, could improve appropriate and timely referrals (Shemesh et al., 2016). Routine screening and assessment tools may assist in identifying issues.</w:t>
      </w:r>
    </w:p>
    <w:p w14:paraId="75E09942"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Clear referral criteria and clinical pathways should be established through collaboration across education, primary care, specialist services, and other youth agencies. Technology platforms that simplify paperwork burdens, track referrals, provide feedback loops, and enable information sharing could help streamline processes.</w:t>
      </w:r>
    </w:p>
    <w:p w14:paraId="44648026" w14:textId="50AF0B6B"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15" w:name="_Toc146984890"/>
      <w:r w:rsidRPr="00DD6176">
        <w:rPr>
          <w:rFonts w:ascii="Times New Roman" w:hAnsi="Times New Roman" w:cs="Times New Roman"/>
          <w:b/>
          <w:bCs/>
          <w:color w:val="auto"/>
          <w:sz w:val="24"/>
          <w:szCs w:val="24"/>
        </w:rPr>
        <w:t>5</w:t>
      </w:r>
      <w:r w:rsidR="007F5ED2" w:rsidRPr="00DD6176">
        <w:rPr>
          <w:rFonts w:ascii="Times New Roman" w:hAnsi="Times New Roman" w:cs="Times New Roman"/>
          <w:b/>
          <w:bCs/>
          <w:color w:val="auto"/>
          <w:sz w:val="24"/>
          <w:szCs w:val="24"/>
        </w:rPr>
        <w:t>.4 Eligibility criteria</w:t>
      </w:r>
      <w:bookmarkEnd w:id="15"/>
    </w:p>
    <w:p w14:paraId="5E94FF5B"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Restrictive diagnostic and acuity criteria in many CAMHS limit eligibility to those with severe, complex, or persistent disorders. Youth with mild to moderate impairment often do not qualify for specialist services but have unmet needs (Anderson et al., 2017). Thresholds vary widely across different areas.</w:t>
      </w:r>
    </w:p>
    <w:p w14:paraId="15151FD3"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Policy changes are required to standardize and expand eligibility criteria to improve access for those requiring less intensive interventions. However, expanding service capacity requires increased and stable funding. Politicians must prioritize children's mental health, or services will remain rationed and unable to meet population needs.</w:t>
      </w:r>
    </w:p>
    <w:p w14:paraId="6672AC5B"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Stepped care models warrant consideration for matching service intensity to need while expanding access (Wolpert et al., 2016). Under this approach, initial access is through low-intensity community or primary care services, with "step up" to specialists for complex presentations. This requires clear pathways and protocols for navigating steps.</w:t>
      </w:r>
    </w:p>
    <w:p w14:paraId="584AFC91"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Schools could also be more significant in providing mental health support within a stepped-care framework. Counselors and teachers delivering basic interventions with referral relationships to community providers reduce stigmatized referrals to specialists. However, staffing and resource deficiencies in many schools currently limit their role.</w:t>
      </w:r>
    </w:p>
    <w:p w14:paraId="4FC83AE4" w14:textId="4ED5EF6D"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16" w:name="_Toc146984891"/>
      <w:r w:rsidRPr="00DD6176">
        <w:rPr>
          <w:rFonts w:ascii="Times New Roman" w:hAnsi="Times New Roman" w:cs="Times New Roman"/>
          <w:b/>
          <w:bCs/>
          <w:color w:val="auto"/>
          <w:sz w:val="24"/>
          <w:szCs w:val="24"/>
        </w:rPr>
        <w:t>5</w:t>
      </w:r>
      <w:r w:rsidR="007F5ED2" w:rsidRPr="00DD6176">
        <w:rPr>
          <w:rFonts w:ascii="Times New Roman" w:hAnsi="Times New Roman" w:cs="Times New Roman"/>
          <w:b/>
          <w:bCs/>
          <w:color w:val="auto"/>
          <w:sz w:val="24"/>
          <w:szCs w:val="24"/>
        </w:rPr>
        <w:t>.5 Resourcing</w:t>
      </w:r>
      <w:bookmarkEnd w:id="16"/>
    </w:p>
    <w:p w14:paraId="4F880C1A"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Insufficient resourcing of child and adolescent mental health services was identified as a systemic barrier underlying many access issues. Chronic underfunding has constrained capacity despite the rising prevalence of disorders (</w:t>
      </w:r>
      <w:r w:rsidRPr="00DD6176">
        <w:rPr>
          <w:rFonts w:ascii="Times New Roman" w:hAnsi="Times New Roman" w:cs="Times New Roman"/>
          <w:sz w:val="24"/>
          <w:szCs w:val="24"/>
          <w:shd w:val="clear" w:color="auto" w:fill="FFFFFF"/>
        </w:rPr>
        <w:t>CentreForum</w:t>
      </w:r>
      <w:r w:rsidRPr="00DD6176">
        <w:rPr>
          <w:rFonts w:ascii="Times New Roman" w:hAnsi="Times New Roman" w:cs="Times New Roman"/>
          <w:sz w:val="24"/>
          <w:szCs w:val="24"/>
        </w:rPr>
        <w:t>, 2016). Long wait times, staffing shortages, and narrow eligibility criteria stem from budget constraints on services.</w:t>
      </w:r>
    </w:p>
    <w:p w14:paraId="31452207"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Until mental health funding is realigned with population needs, sparing capacity will continue to limit access and hinder early intervention efforts. Increasing resources for training and retaining specialist mental health providers is essential to address workforce shortages. Adequate, stable funding is a prerequisite for improving access and outcomes.</w:t>
      </w:r>
    </w:p>
    <w:p w14:paraId="4437458D"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A national strategy is needed to develop a funded, coordinated expansion plan for child and youth mental health services grounded in systematic workforce planning and service delivery analysis. This requires national leadership and cross-sector collaboration to match investments to population needs over a 5-10-year timeframe. Regional bodies would tailor system changes while working towards a national vision to improve equitable access.</w:t>
      </w:r>
    </w:p>
    <w:p w14:paraId="1774185A"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Technology-enabled models such as videoconferencing, online self-help resources, digital mental health tools, and the use of paraprofessionals may cost-effectively aid capacity expansion (Hulsbosch et al., 2016). However, these should supplement rather than replace face-to-face services. A blended care approach is likely optimal.</w:t>
      </w:r>
    </w:p>
    <w:p w14:paraId="5BD6FE46" w14:textId="0AF4E849" w:rsidR="007F5ED2" w:rsidRPr="00DD6176" w:rsidRDefault="005027B5" w:rsidP="00DD6176">
      <w:pPr>
        <w:pStyle w:val="Heading2"/>
        <w:spacing w:before="0" w:line="480" w:lineRule="auto"/>
        <w:rPr>
          <w:rFonts w:ascii="Times New Roman" w:hAnsi="Times New Roman" w:cs="Times New Roman"/>
          <w:b/>
          <w:bCs/>
          <w:color w:val="auto"/>
          <w:sz w:val="24"/>
          <w:szCs w:val="24"/>
        </w:rPr>
      </w:pPr>
      <w:bookmarkStart w:id="17" w:name="_Toc146984892"/>
      <w:r w:rsidRPr="00DD6176">
        <w:rPr>
          <w:rFonts w:ascii="Times New Roman" w:hAnsi="Times New Roman" w:cs="Times New Roman"/>
          <w:b/>
          <w:bCs/>
          <w:color w:val="auto"/>
          <w:sz w:val="24"/>
          <w:szCs w:val="24"/>
        </w:rPr>
        <w:t xml:space="preserve">5.6 </w:t>
      </w:r>
      <w:r w:rsidR="007F5ED2" w:rsidRPr="00DD6176">
        <w:rPr>
          <w:rFonts w:ascii="Times New Roman" w:hAnsi="Times New Roman" w:cs="Times New Roman"/>
          <w:b/>
          <w:bCs/>
          <w:color w:val="auto"/>
          <w:sz w:val="24"/>
          <w:szCs w:val="24"/>
        </w:rPr>
        <w:t>Limitations</w:t>
      </w:r>
      <w:bookmarkEnd w:id="17"/>
    </w:p>
    <w:p w14:paraId="61E5AB81" w14:textId="77777777" w:rsidR="007F5ED2" w:rsidRPr="00DD6176" w:rsidRDefault="007F5ED2" w:rsidP="00DD6176">
      <w:pPr>
        <w:spacing w:after="0" w:line="480" w:lineRule="auto"/>
        <w:ind w:firstLine="360"/>
        <w:rPr>
          <w:rFonts w:ascii="Times New Roman" w:hAnsi="Times New Roman" w:cs="Times New Roman"/>
          <w:b/>
          <w:bCs/>
          <w:sz w:val="24"/>
          <w:szCs w:val="24"/>
        </w:rPr>
      </w:pPr>
      <w:r w:rsidRPr="00DD6176">
        <w:rPr>
          <w:rFonts w:ascii="Times New Roman" w:hAnsi="Times New Roman" w:cs="Times New Roman"/>
          <w:sz w:val="24"/>
          <w:szCs w:val="24"/>
        </w:rPr>
        <w:t>There are some limitations to acknowledge in this literature review. The search was restricted to English language articles, so that it may have excluded relevant non-English studies. The focus on peer-reviewed literature meant potentially useful gray literature authored by government agencies, health providers, policy institutes, and other stakeholders was not included. While peer review ensures quality, gray literature provides insights from practice. The UK evidence base would benefit from more rigorous controlled intervention studies evaluating strategies for improving access and identifying causal factors. As most published studies are observational and qualitative, establishing the efficacy of interventions is limited. More research is needed on access-promoting innovations and evaluating their implementation.</w:t>
      </w:r>
    </w:p>
    <w:p w14:paraId="42F1592B" w14:textId="201A52B9" w:rsidR="007F5ED2" w:rsidRPr="00DD6176" w:rsidRDefault="005027B5" w:rsidP="00DD6176">
      <w:pPr>
        <w:pStyle w:val="Heading1"/>
        <w:spacing w:before="0" w:line="480" w:lineRule="auto"/>
        <w:rPr>
          <w:rFonts w:ascii="Times New Roman" w:hAnsi="Times New Roman" w:cs="Times New Roman"/>
          <w:b/>
          <w:bCs/>
          <w:color w:val="auto"/>
          <w:sz w:val="24"/>
          <w:szCs w:val="24"/>
        </w:rPr>
      </w:pPr>
      <w:bookmarkStart w:id="18" w:name="_Toc146984893"/>
      <w:r w:rsidRPr="00DD6176">
        <w:rPr>
          <w:rFonts w:ascii="Times New Roman" w:hAnsi="Times New Roman" w:cs="Times New Roman"/>
          <w:b/>
          <w:bCs/>
          <w:color w:val="auto"/>
          <w:sz w:val="24"/>
          <w:szCs w:val="24"/>
        </w:rPr>
        <w:t xml:space="preserve">6.0 </w:t>
      </w:r>
      <w:r w:rsidR="007F5ED2" w:rsidRPr="00DD6176">
        <w:rPr>
          <w:rFonts w:ascii="Times New Roman" w:hAnsi="Times New Roman" w:cs="Times New Roman"/>
          <w:b/>
          <w:bCs/>
          <w:color w:val="auto"/>
          <w:sz w:val="24"/>
          <w:szCs w:val="24"/>
        </w:rPr>
        <w:t>Conclusion</w:t>
      </w:r>
      <w:bookmarkEnd w:id="18"/>
    </w:p>
    <w:p w14:paraId="3FF69047"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In conclusion, this literature review identified multifaceted barriers affecting mental health service access for children and adolescents across the UK. Individual factors like stigma, family influences, community attitudes, and systemic deficiencies in care systems were all found to hinder youth mental health service utilization.</w:t>
      </w:r>
    </w:p>
    <w:p w14:paraId="7109BC79" w14:textId="77777777" w:rsidR="007F5ED2" w:rsidRPr="00DD6176" w:rsidRDefault="007F5ED2" w:rsidP="00DD6176">
      <w:pPr>
        <w:spacing w:after="0" w:line="480" w:lineRule="auto"/>
        <w:ind w:firstLine="360"/>
        <w:rPr>
          <w:rFonts w:ascii="Times New Roman" w:hAnsi="Times New Roman" w:cs="Times New Roman"/>
          <w:sz w:val="24"/>
          <w:szCs w:val="24"/>
        </w:rPr>
      </w:pPr>
      <w:r w:rsidRPr="00DD6176">
        <w:rPr>
          <w:rFonts w:ascii="Times New Roman" w:hAnsi="Times New Roman" w:cs="Times New Roman"/>
          <w:sz w:val="24"/>
          <w:szCs w:val="24"/>
        </w:rPr>
        <w:t>Reducing these barriers will require coordinated efforts on multiple fronts to enact changes in public policy, service delivery, community education, and support for young people and families. Based on findings from this review, the following strategies are recommended:</w:t>
      </w:r>
    </w:p>
    <w:p w14:paraId="1D904F24" w14:textId="77777777" w:rsidR="007F5ED2" w:rsidRPr="00DD6176" w:rsidRDefault="007F5ED2" w:rsidP="00DD6176">
      <w:pPr>
        <w:numPr>
          <w:ilvl w:val="0"/>
          <w:numId w:val="10"/>
        </w:numPr>
        <w:spacing w:after="0" w:line="480" w:lineRule="auto"/>
        <w:rPr>
          <w:rFonts w:ascii="Times New Roman" w:hAnsi="Times New Roman" w:cs="Times New Roman"/>
          <w:sz w:val="24"/>
          <w:szCs w:val="24"/>
        </w:rPr>
      </w:pPr>
      <w:r w:rsidRPr="00DD6176">
        <w:rPr>
          <w:rFonts w:ascii="Times New Roman" w:hAnsi="Times New Roman" w:cs="Times New Roman"/>
          <w:sz w:val="24"/>
          <w:szCs w:val="24"/>
        </w:rPr>
        <w:t>Implement anti-stigma education programs, especially in schools, to challenge negative attitudes and normalize mental health conversations. Broader public health campaigns are also impactful for stigma reduction.</w:t>
      </w:r>
    </w:p>
    <w:p w14:paraId="4438E22F" w14:textId="77777777" w:rsidR="007F5ED2" w:rsidRPr="00DD6176" w:rsidRDefault="007F5ED2" w:rsidP="00DD6176">
      <w:pPr>
        <w:numPr>
          <w:ilvl w:val="0"/>
          <w:numId w:val="10"/>
        </w:numPr>
        <w:spacing w:after="0" w:line="480" w:lineRule="auto"/>
        <w:rPr>
          <w:rFonts w:ascii="Times New Roman" w:hAnsi="Times New Roman" w:cs="Times New Roman"/>
          <w:sz w:val="24"/>
          <w:szCs w:val="24"/>
        </w:rPr>
      </w:pPr>
      <w:r w:rsidRPr="00DD6176">
        <w:rPr>
          <w:rFonts w:ascii="Times New Roman" w:hAnsi="Times New Roman" w:cs="Times New Roman"/>
          <w:sz w:val="24"/>
          <w:szCs w:val="24"/>
        </w:rPr>
        <w:t>Incorporate mental health literacy training into secondary school curriculums to build students’ knowledge and self-advocacy skills. Increase mental health literacy among parents, youth workers, teachers, and primary care providers through evidence-based training programs.</w:t>
      </w:r>
    </w:p>
    <w:p w14:paraId="5549F133" w14:textId="77777777" w:rsidR="007F5ED2" w:rsidRPr="00DD6176" w:rsidRDefault="007F5ED2" w:rsidP="00DD6176">
      <w:pPr>
        <w:numPr>
          <w:ilvl w:val="0"/>
          <w:numId w:val="10"/>
        </w:numPr>
        <w:spacing w:after="0" w:line="480" w:lineRule="auto"/>
        <w:rPr>
          <w:rFonts w:ascii="Times New Roman" w:hAnsi="Times New Roman" w:cs="Times New Roman"/>
          <w:sz w:val="24"/>
          <w:szCs w:val="24"/>
        </w:rPr>
      </w:pPr>
      <w:r w:rsidRPr="00DD6176">
        <w:rPr>
          <w:rFonts w:ascii="Times New Roman" w:hAnsi="Times New Roman" w:cs="Times New Roman"/>
          <w:sz w:val="24"/>
          <w:szCs w:val="24"/>
        </w:rPr>
        <w:t>Simplify referral pathways through centralized hubs, care navigators, and standard protocols across services. Improve care coordination between education, primary care, and specialist services.</w:t>
      </w:r>
    </w:p>
    <w:p w14:paraId="10B72059" w14:textId="77777777" w:rsidR="007F5ED2" w:rsidRPr="00DD6176" w:rsidRDefault="007F5ED2" w:rsidP="00DD6176">
      <w:pPr>
        <w:numPr>
          <w:ilvl w:val="0"/>
          <w:numId w:val="10"/>
        </w:numPr>
        <w:spacing w:after="0" w:line="480" w:lineRule="auto"/>
        <w:rPr>
          <w:rFonts w:ascii="Times New Roman" w:hAnsi="Times New Roman" w:cs="Times New Roman"/>
          <w:sz w:val="24"/>
          <w:szCs w:val="24"/>
        </w:rPr>
      </w:pPr>
      <w:r w:rsidRPr="00DD6176">
        <w:rPr>
          <w:rFonts w:ascii="Times New Roman" w:hAnsi="Times New Roman" w:cs="Times New Roman"/>
          <w:sz w:val="24"/>
          <w:szCs w:val="24"/>
        </w:rPr>
        <w:t>Change eligibility policies to enable earlier access and expand capacity for mild to moderate conditions. Standardize criteria nationally while retaining flexibility for local areas.</w:t>
      </w:r>
    </w:p>
    <w:p w14:paraId="5C60C29C" w14:textId="77777777" w:rsidR="007F5ED2" w:rsidRPr="00DD6176" w:rsidRDefault="007F5ED2" w:rsidP="00DD6176">
      <w:pPr>
        <w:numPr>
          <w:ilvl w:val="0"/>
          <w:numId w:val="10"/>
        </w:numPr>
        <w:spacing w:after="0" w:line="480" w:lineRule="auto"/>
        <w:rPr>
          <w:rFonts w:ascii="Times New Roman" w:hAnsi="Times New Roman" w:cs="Times New Roman"/>
          <w:sz w:val="24"/>
          <w:szCs w:val="24"/>
        </w:rPr>
      </w:pPr>
      <w:r w:rsidRPr="00DD6176">
        <w:rPr>
          <w:rFonts w:ascii="Times New Roman" w:hAnsi="Times New Roman" w:cs="Times New Roman"/>
          <w:sz w:val="24"/>
          <w:szCs w:val="24"/>
        </w:rPr>
        <w:t>Increase funding for child and adolescent mental health services to address the root capacity issues underpinning many access barriers. Support workforce expansion of child mental health professionals.</w:t>
      </w:r>
    </w:p>
    <w:p w14:paraId="0716B111" w14:textId="77777777" w:rsidR="007F5ED2" w:rsidRPr="00DD6176" w:rsidRDefault="007F5ED2" w:rsidP="00DD6176">
      <w:pPr>
        <w:numPr>
          <w:ilvl w:val="0"/>
          <w:numId w:val="10"/>
        </w:numPr>
        <w:spacing w:after="0" w:line="480" w:lineRule="auto"/>
        <w:rPr>
          <w:rFonts w:ascii="Times New Roman" w:hAnsi="Times New Roman" w:cs="Times New Roman"/>
          <w:sz w:val="24"/>
          <w:szCs w:val="24"/>
        </w:rPr>
      </w:pPr>
      <w:r w:rsidRPr="00DD6176">
        <w:rPr>
          <w:rFonts w:ascii="Times New Roman" w:hAnsi="Times New Roman" w:cs="Times New Roman"/>
          <w:sz w:val="24"/>
          <w:szCs w:val="24"/>
        </w:rPr>
        <w:t>Develop and evaluate localized interventions to promote access and engagement among underserved groups. Take an equity-focused approach addressing area-level barriers.</w:t>
      </w:r>
    </w:p>
    <w:p w14:paraId="0C939D37"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A coordinated national strategy incorporating evidence-based policies is essential to guide reforms. This should adopt a public health approach promoting well-being across the youth population while targeting resources to those most vulnerable. Ultimately, political will is needed to prioritize and invest in children's mental health. The economic and social benefits over the long-term life course are substantial.</w:t>
      </w:r>
    </w:p>
    <w:p w14:paraId="1602F7C3" w14:textId="77777777" w:rsidR="007F5ED2" w:rsidRPr="00DD6176" w:rsidRDefault="007F5ED2" w:rsidP="00DD6176">
      <w:pPr>
        <w:spacing w:after="0" w:line="480" w:lineRule="auto"/>
        <w:ind w:firstLine="720"/>
        <w:rPr>
          <w:rFonts w:ascii="Times New Roman" w:hAnsi="Times New Roman" w:cs="Times New Roman"/>
          <w:sz w:val="24"/>
          <w:szCs w:val="24"/>
        </w:rPr>
      </w:pPr>
      <w:r w:rsidRPr="00DD6176">
        <w:rPr>
          <w:rFonts w:ascii="Times New Roman" w:hAnsi="Times New Roman" w:cs="Times New Roman"/>
          <w:sz w:val="24"/>
          <w:szCs w:val="24"/>
        </w:rPr>
        <w:t>This review synthesized UK literature to provide insights on improving youth mental health service access. Further research is needed to evaluate the impact of interventions in different contexts. However, action is warranted based on available evidence to ensure all children and adolescents can access the mental health support they need.</w:t>
      </w:r>
    </w:p>
    <w:p w14:paraId="0AE7B0D6" w14:textId="77777777" w:rsidR="007F5ED2" w:rsidRPr="00DD6176" w:rsidRDefault="007F5ED2" w:rsidP="00DD6176">
      <w:pPr>
        <w:spacing w:after="0" w:line="480" w:lineRule="auto"/>
        <w:rPr>
          <w:rFonts w:ascii="Times New Roman" w:hAnsi="Times New Roman" w:cs="Times New Roman"/>
          <w:sz w:val="24"/>
          <w:szCs w:val="24"/>
          <w:lang w:val="en-GB"/>
        </w:rPr>
      </w:pPr>
      <w:r w:rsidRPr="00DD6176">
        <w:rPr>
          <w:rFonts w:ascii="Times New Roman" w:hAnsi="Times New Roman" w:cs="Times New Roman"/>
          <w:sz w:val="24"/>
          <w:szCs w:val="24"/>
          <w:lang w:val="en-GB"/>
        </w:rPr>
        <w:br w:type="page"/>
      </w:r>
    </w:p>
    <w:p w14:paraId="7577AFAC" w14:textId="77777777" w:rsidR="007F5ED2" w:rsidRPr="00DD6176" w:rsidRDefault="007F5ED2" w:rsidP="00DD6176">
      <w:pPr>
        <w:pStyle w:val="Heading1"/>
        <w:spacing w:before="0" w:line="480" w:lineRule="auto"/>
        <w:jc w:val="center"/>
        <w:rPr>
          <w:rFonts w:ascii="Times New Roman" w:hAnsi="Times New Roman" w:cs="Times New Roman"/>
          <w:b/>
          <w:bCs/>
          <w:color w:val="auto"/>
          <w:sz w:val="24"/>
          <w:szCs w:val="24"/>
        </w:rPr>
      </w:pPr>
      <w:bookmarkStart w:id="19" w:name="_Toc146984894"/>
      <w:r w:rsidRPr="00DD6176">
        <w:rPr>
          <w:rFonts w:ascii="Times New Roman" w:hAnsi="Times New Roman" w:cs="Times New Roman"/>
          <w:b/>
          <w:bCs/>
          <w:color w:val="auto"/>
          <w:sz w:val="24"/>
          <w:szCs w:val="24"/>
        </w:rPr>
        <w:t>References</w:t>
      </w:r>
      <w:bookmarkEnd w:id="19"/>
    </w:p>
    <w:p w14:paraId="0B9B4097" w14:textId="77777777" w:rsidR="007F5ED2" w:rsidRPr="00DD6176" w:rsidRDefault="007F5ED2" w:rsidP="00DD6176">
      <w:pPr>
        <w:pStyle w:val="NormalWeb"/>
        <w:spacing w:before="0" w:beforeAutospacing="0" w:after="0" w:afterAutospacing="0" w:line="480" w:lineRule="auto"/>
        <w:ind w:left="360"/>
      </w:pPr>
      <w:r w:rsidRPr="00DD6176">
        <w:t xml:space="preserve">Anderson, J.K. </w:t>
      </w:r>
      <w:r w:rsidRPr="00DD6176">
        <w:rPr>
          <w:i/>
          <w:iCs/>
        </w:rPr>
        <w:t>et al.</w:t>
      </w:r>
      <w:r w:rsidRPr="00DD6176">
        <w:t xml:space="preserve"> (2017) ‘A scoping literature review of service-level barriers for access and engagement with mental health services for children and young people’, </w:t>
      </w:r>
      <w:r w:rsidRPr="00DD6176">
        <w:rPr>
          <w:i/>
          <w:iCs/>
        </w:rPr>
        <w:t>Children and Youth Services Review</w:t>
      </w:r>
      <w:r w:rsidRPr="00DD6176">
        <w:t xml:space="preserve">, 77, pp. 164–176. doi:10.1016/j.childyouth.2017.04.017. </w:t>
      </w:r>
    </w:p>
    <w:p w14:paraId="5E0991EF" w14:textId="77777777" w:rsidR="007F5ED2" w:rsidRPr="00DD6176" w:rsidRDefault="007F5ED2" w:rsidP="00DD6176">
      <w:pPr>
        <w:pStyle w:val="NormalWeb"/>
        <w:spacing w:before="0" w:beforeAutospacing="0" w:after="0" w:afterAutospacing="0" w:line="480" w:lineRule="auto"/>
        <w:ind w:left="360"/>
      </w:pPr>
      <w:r w:rsidRPr="00DD6176">
        <w:t xml:space="preserve">Anderson, J.K. et al. (2017) ‘A scoping literature review of service-level barriers for access and engagement with mental health services for children and young people’, Children and Youth Services Review, 77, pp. 164–176. doi:10.1016/j.childyouth.2017.04.017. </w:t>
      </w:r>
    </w:p>
    <w:p w14:paraId="303056B1" w14:textId="77777777" w:rsidR="007F5ED2" w:rsidRPr="00DD6176" w:rsidRDefault="007F5ED2" w:rsidP="00DD6176">
      <w:pPr>
        <w:pStyle w:val="NormalWeb"/>
        <w:spacing w:before="0" w:beforeAutospacing="0" w:after="0" w:afterAutospacing="0" w:line="480" w:lineRule="auto"/>
        <w:ind w:left="360"/>
      </w:pPr>
      <w:r w:rsidRPr="00DD6176">
        <w:t xml:space="preserve">British Psychological Society (2021) Code of ethics and conduct, BPS. Available at: https://www.bps.org.uk/guideline/code-ethics-and-conduct (Accessed: 30 September 2023). </w:t>
      </w:r>
    </w:p>
    <w:p w14:paraId="497A881C" w14:textId="77777777" w:rsidR="007F5ED2" w:rsidRPr="00DD6176" w:rsidRDefault="007F5ED2" w:rsidP="00DD6176">
      <w:pPr>
        <w:pStyle w:val="NormalWeb"/>
        <w:spacing w:before="0" w:beforeAutospacing="0" w:after="0" w:afterAutospacing="0" w:line="480" w:lineRule="auto"/>
        <w:ind w:left="360"/>
      </w:pPr>
      <w:r w:rsidRPr="00DD6176">
        <w:t xml:space="preserve">CentreForum (2016) </w:t>
      </w:r>
      <w:r w:rsidRPr="00DD6176">
        <w:rPr>
          <w:i/>
          <w:iCs/>
        </w:rPr>
        <w:t>Centreforum Commission on Children and Young People's Mental Health: State of the nation</w:t>
      </w:r>
      <w:r w:rsidRPr="00DD6176">
        <w:t xml:space="preserve">, </w:t>
      </w:r>
      <w:r w:rsidRPr="00DD6176">
        <w:rPr>
          <w:i/>
          <w:iCs/>
        </w:rPr>
        <w:t>www.basw.co.uk</w:t>
      </w:r>
      <w:r w:rsidRPr="00DD6176">
        <w:t xml:space="preserve">. Available at: https://www.basw.co.uk/resources/centreforum-commission-children-and-young-peoples-mental-health-state-nation (Accessed: 30 September 2023). </w:t>
      </w:r>
    </w:p>
    <w:p w14:paraId="7CC482C5" w14:textId="77777777" w:rsidR="007F5ED2" w:rsidRPr="00DD6176" w:rsidRDefault="007F5ED2" w:rsidP="00DD6176">
      <w:pPr>
        <w:pStyle w:val="NormalWeb"/>
        <w:spacing w:before="0" w:beforeAutospacing="0" w:after="0" w:afterAutospacing="0" w:line="480" w:lineRule="auto"/>
        <w:ind w:left="360"/>
      </w:pPr>
      <w:r w:rsidRPr="00DD6176">
        <w:t xml:space="preserve">CQC (2017) </w:t>
      </w:r>
      <w:r w:rsidRPr="00DD6176">
        <w:rPr>
          <w:i/>
          <w:iCs/>
        </w:rPr>
        <w:t>Review of children and Young People’s mental health services: Phase one report</w:t>
      </w:r>
      <w:r w:rsidRPr="00DD6176">
        <w:t xml:space="preserve">, </w:t>
      </w:r>
      <w:r w:rsidRPr="00DD6176">
        <w:rPr>
          <w:i/>
          <w:iCs/>
        </w:rPr>
        <w:t>Review of children and young people’s mental health services: Phase one report - Care Quality Commission</w:t>
      </w:r>
      <w:r w:rsidRPr="00DD6176">
        <w:t xml:space="preserve">. Available at: https://www.cqc.org.uk/publications/major-report/review-children-young-peoples-mental-health-services-phase-one-report#:~:text=Review%20of%20children%20and%20young%20people’s%20mental%20health%20services%3A%20Phase%20one%20report,-Published%3A%2024%20October&amp;text=This%20report%20looks%20at%20the,across%20a%20range%20of%20sources. (Accessed: 30 September 2023). </w:t>
      </w:r>
    </w:p>
    <w:p w14:paraId="19D9AF4A" w14:textId="77777777" w:rsidR="007F5ED2" w:rsidRPr="00DD6176" w:rsidRDefault="007F5ED2" w:rsidP="00DD6176">
      <w:pPr>
        <w:pStyle w:val="NormalWeb"/>
        <w:spacing w:before="0" w:beforeAutospacing="0" w:after="0" w:afterAutospacing="0" w:line="480" w:lineRule="auto"/>
        <w:ind w:left="360"/>
      </w:pPr>
      <w:r w:rsidRPr="00DD6176">
        <w:t xml:space="preserve">Department of Health and Social Care (2013) Chief medical officer annual report 2012: Children and Young People’s Health, GOV.UK. Available at: https://www.gov.uk/government/publications/chief-medical-officers-annual-report-2012-our-children-deserve-better-prevention-pays (Accessed: 30 September 2023). </w:t>
      </w:r>
    </w:p>
    <w:p w14:paraId="4F2656C4" w14:textId="77777777" w:rsidR="007F5ED2" w:rsidRPr="00DD6176" w:rsidRDefault="007F5ED2" w:rsidP="00DD6176">
      <w:pPr>
        <w:pStyle w:val="NormalWeb"/>
        <w:spacing w:before="0" w:beforeAutospacing="0" w:after="0" w:afterAutospacing="0" w:line="480" w:lineRule="auto"/>
        <w:ind w:left="360"/>
      </w:pPr>
      <w:r w:rsidRPr="00DD6176">
        <w:t xml:space="preserve">Fisher, C.B. (2023) Decoding the Ethics Code: A Practical Guide for Psychologists. Thousand Oaks, CA: SAGE. </w:t>
      </w:r>
    </w:p>
    <w:p w14:paraId="0CDB6F7A" w14:textId="77777777" w:rsidR="007F5ED2" w:rsidRPr="00DD6176" w:rsidRDefault="007F5ED2" w:rsidP="00DD6176">
      <w:pPr>
        <w:pStyle w:val="NormalWeb"/>
        <w:spacing w:before="0" w:beforeAutospacing="0" w:after="0" w:afterAutospacing="0" w:line="480" w:lineRule="auto"/>
        <w:ind w:left="360"/>
      </w:pPr>
      <w:r w:rsidRPr="00DD6176">
        <w:t xml:space="preserve">García-Carrión, R., Villarejo-Carballido, B. and Villardón-Gallego, L. (2019) ‘Children and adolescents mental health: A systematic review of interaction-based interventions in schools and communities’, </w:t>
      </w:r>
      <w:r w:rsidRPr="00DD6176">
        <w:rPr>
          <w:i/>
          <w:iCs/>
        </w:rPr>
        <w:t>Frontiers in Psychology</w:t>
      </w:r>
      <w:r w:rsidRPr="00DD6176">
        <w:t xml:space="preserve">, 10. doi:10.3389/fpsyg.2019.00918. </w:t>
      </w:r>
    </w:p>
    <w:p w14:paraId="59505FBB" w14:textId="77777777" w:rsidR="007F5ED2" w:rsidRPr="00DD6176" w:rsidRDefault="007F5ED2" w:rsidP="00DD6176">
      <w:pPr>
        <w:pStyle w:val="NormalWeb"/>
        <w:spacing w:before="0" w:beforeAutospacing="0" w:after="0" w:afterAutospacing="0" w:line="480" w:lineRule="auto"/>
        <w:ind w:left="360"/>
      </w:pPr>
      <w:r w:rsidRPr="00DD6176">
        <w:t xml:space="preserve">Harper, B., Dickson, J.M. and Bramwell, R. (2013) ‘Experiences of young people in a 16-18 mental health service’, Child and Adolescent Mental Health, 19(2), pp. 90–96. doi:10.1111/camh.12024. </w:t>
      </w:r>
    </w:p>
    <w:p w14:paraId="7B755C8D" w14:textId="77777777" w:rsidR="007F5ED2" w:rsidRPr="00DD6176" w:rsidRDefault="007F5ED2" w:rsidP="00DD6176">
      <w:pPr>
        <w:pStyle w:val="NormalWeb"/>
        <w:spacing w:before="0" w:beforeAutospacing="0" w:after="0" w:afterAutospacing="0" w:line="480" w:lineRule="auto"/>
        <w:ind w:left="360"/>
      </w:pPr>
      <w:r w:rsidRPr="00DD6176">
        <w:t xml:space="preserve">Henderson, R.C. et al. (2014) ‘Viewpoint Survey of Mental Health Service Users’ experiences of discrimination in england 2008–2012’, Social Psychiatry and Psychiatric Epidemiology, 49(10), pp. 1599–1608. doi:10.1007/s00127-014-0875-3. </w:t>
      </w:r>
    </w:p>
    <w:p w14:paraId="606C8255" w14:textId="77777777" w:rsidR="007F5ED2" w:rsidRPr="00DD6176" w:rsidRDefault="007F5ED2" w:rsidP="00DD6176">
      <w:pPr>
        <w:pStyle w:val="NormalWeb"/>
        <w:spacing w:before="0" w:beforeAutospacing="0" w:after="0" w:afterAutospacing="0" w:line="480" w:lineRule="auto"/>
        <w:ind w:left="360"/>
      </w:pPr>
      <w:r w:rsidRPr="00DD6176">
        <w:t xml:space="preserve">Hulsbosch, A.M. et al. (2016) ‘Videoconferencing in a mental health service in the Netherlands: A randomized controlled trial on patient satisfaction and clinical outcomes for outpatients with severe mental illness’, Journal of Telemedicine and Telecare, 23(5), pp. 513–520. doi:10.1177/1357633x16650096. </w:t>
      </w:r>
    </w:p>
    <w:p w14:paraId="3DD0F37C" w14:textId="77777777" w:rsidR="007F5ED2" w:rsidRPr="00DD6176" w:rsidRDefault="007F5ED2" w:rsidP="00DD6176">
      <w:pPr>
        <w:pStyle w:val="NormalWeb"/>
        <w:spacing w:before="0" w:beforeAutospacing="0" w:after="0" w:afterAutospacing="0" w:line="480" w:lineRule="auto"/>
        <w:ind w:left="360"/>
      </w:pPr>
      <w:r w:rsidRPr="00DD6176">
        <w:t xml:space="preserve">Klineberg, E. et al. (2013) ‘Symptom recognition and help seeking for depression in young adults: A vignette study’, Social Psychiatry and Psychiatric Epidemiology, 46(6), pp. 495–505. doi:10.1007/s00127-010-0214-2. </w:t>
      </w:r>
    </w:p>
    <w:p w14:paraId="1419B883" w14:textId="77777777" w:rsidR="007F5ED2" w:rsidRPr="00DD6176" w:rsidRDefault="007F5ED2" w:rsidP="00DD6176">
      <w:pPr>
        <w:pStyle w:val="NormalWeb"/>
        <w:spacing w:before="0" w:beforeAutospacing="0" w:after="0" w:afterAutospacing="0" w:line="480" w:lineRule="auto"/>
        <w:ind w:left="360"/>
      </w:pPr>
      <w:r w:rsidRPr="00DD6176">
        <w:t xml:space="preserve">Kokorelias, K.M. et al. (2021) ‘Factors influencing the implementation of patient navigation programs for adults with complex needs: A scoping review of the literature’, Health Services Insights, 14, p. 117863292110332. doi:10.1177/11786329211033267. </w:t>
      </w:r>
    </w:p>
    <w:p w14:paraId="39C8329C" w14:textId="77777777" w:rsidR="007F5ED2" w:rsidRPr="00DD6176" w:rsidRDefault="007F5ED2" w:rsidP="00DD6176">
      <w:pPr>
        <w:pStyle w:val="NormalWeb"/>
        <w:spacing w:before="0" w:beforeAutospacing="0" w:after="0" w:afterAutospacing="0" w:line="480" w:lineRule="auto"/>
        <w:ind w:left="360"/>
      </w:pPr>
      <w:r w:rsidRPr="00DD6176">
        <w:t xml:space="preserve">Kutcher, S., Wei, Y. and Coniglio, C. (2016) ‘Mental health literacy’, The Canadian Journal of Psychiatry, 61(3), pp. 154–158. doi:10.1177/0706743715616609. </w:t>
      </w:r>
    </w:p>
    <w:p w14:paraId="504A6D47" w14:textId="77777777" w:rsidR="007F5ED2" w:rsidRPr="00DD6176" w:rsidRDefault="007F5ED2" w:rsidP="00DD6176">
      <w:pPr>
        <w:pStyle w:val="NormalWeb"/>
        <w:spacing w:before="0" w:beforeAutospacing="0" w:after="0" w:afterAutospacing="0" w:line="480" w:lineRule="auto"/>
        <w:ind w:left="360"/>
      </w:pPr>
      <w:r w:rsidRPr="00DD6176">
        <w:t xml:space="preserve">Lanfredi, M. et al. (2019) ‘Effects of education and social contact on mental health-related stigma among high-school students’, Psychiatry Research, 281, p. 112581. doi:10.1016/j.psychres.2019.112581. </w:t>
      </w:r>
    </w:p>
    <w:p w14:paraId="524F1821" w14:textId="77777777" w:rsidR="007F5ED2" w:rsidRPr="00DD6176" w:rsidRDefault="007F5ED2" w:rsidP="00DD6176">
      <w:pPr>
        <w:pStyle w:val="NormalWeb"/>
        <w:spacing w:before="0" w:beforeAutospacing="0" w:after="0" w:afterAutospacing="0" w:line="480" w:lineRule="auto"/>
        <w:ind w:left="360"/>
      </w:pPr>
      <w:r w:rsidRPr="00DD6176">
        <w:t>Leavey, G., Rothi, D. and Paul, R. (2012) ‘Trust, autonomy and relationships: The help</w:t>
      </w:r>
      <w:r w:rsidRPr="00DD6176">
        <w:rPr>
          <w:rFonts w:ascii="Cambria Math" w:hAnsi="Cambria Math" w:cs="Cambria Math"/>
        </w:rPr>
        <w:t>‐</w:t>
      </w:r>
      <w:r w:rsidRPr="00DD6176">
        <w:t xml:space="preserve">seeking preferences of young people in Secondary Level Schools in London (UK)’, </w:t>
      </w:r>
      <w:r w:rsidRPr="00DD6176">
        <w:rPr>
          <w:i/>
          <w:iCs/>
        </w:rPr>
        <w:t>Journal of Adolescence</w:t>
      </w:r>
      <w:r w:rsidRPr="00DD6176">
        <w:t xml:space="preserve">, 34(4), pp. 685–693. doi:10.1016/j.adolescence.2010.09.004. </w:t>
      </w:r>
    </w:p>
    <w:p w14:paraId="3F5D93F0" w14:textId="77777777" w:rsidR="007F5ED2" w:rsidRPr="00DD6176" w:rsidRDefault="007F5ED2" w:rsidP="00DD6176">
      <w:pPr>
        <w:pStyle w:val="NormalWeb"/>
        <w:spacing w:before="0" w:beforeAutospacing="0" w:after="0" w:afterAutospacing="0" w:line="480" w:lineRule="auto"/>
        <w:ind w:left="360"/>
      </w:pPr>
      <w:r w:rsidRPr="00DD6176">
        <w:t xml:space="preserve">Lipari, R.N. </w:t>
      </w:r>
      <w:r w:rsidRPr="00DD6176">
        <w:rPr>
          <w:i/>
          <w:iCs/>
        </w:rPr>
        <w:t>et al.</w:t>
      </w:r>
      <w:r w:rsidRPr="00DD6176">
        <w:t xml:space="preserve"> (2016) </w:t>
      </w:r>
      <w:r w:rsidRPr="00DD6176">
        <w:rPr>
          <w:i/>
          <w:iCs/>
        </w:rPr>
        <w:t>ADOLESCENT MENTAL HEALTH SERVICE USE AND REASONS FOR USING SERVICES IN SPECIALTY, EDUCATIONAL, AND GENERAL MEDICAL SETTINGS</w:t>
      </w:r>
      <w:r w:rsidRPr="00DD6176">
        <w:t xml:space="preserve">, </w:t>
      </w:r>
      <w:r w:rsidRPr="00DD6176">
        <w:rPr>
          <w:i/>
          <w:iCs/>
        </w:rPr>
        <w:t>Adolescent Mental Health Service use and reasons for using services in specialty, educational, and general medical settings</w:t>
      </w:r>
      <w:r w:rsidRPr="00DD6176">
        <w:t xml:space="preserve">. Available at: https://www.samhsa.gov/data/sites/default/files/report_1973/ShortReport-1973.html (Accessed: 30 September 2023). </w:t>
      </w:r>
    </w:p>
    <w:p w14:paraId="040131E3" w14:textId="77777777" w:rsidR="007F5ED2" w:rsidRPr="00DD6176" w:rsidRDefault="007F5ED2" w:rsidP="00DD6176">
      <w:pPr>
        <w:pStyle w:val="NormalWeb"/>
        <w:spacing w:before="0" w:beforeAutospacing="0" w:after="0" w:afterAutospacing="0" w:line="480" w:lineRule="auto"/>
        <w:ind w:left="360"/>
      </w:pPr>
      <w:r w:rsidRPr="00DD6176">
        <w:t xml:space="preserve">Lipson, S.K. et al. (2014) ‘Gatekeeper training and access to mental health care at universities and Colleges’, Journal of Adolescent Health, 55(5), pp. 612–619. doi:10.1016/j.jadohealth.2014.05.009. </w:t>
      </w:r>
    </w:p>
    <w:p w14:paraId="3CE380D2" w14:textId="77777777" w:rsidR="007F5ED2" w:rsidRPr="00DD6176" w:rsidRDefault="007F5ED2" w:rsidP="00DD6176">
      <w:pPr>
        <w:pStyle w:val="NormalWeb"/>
        <w:spacing w:before="0" w:beforeAutospacing="0" w:after="0" w:afterAutospacing="0" w:line="480" w:lineRule="auto"/>
        <w:ind w:left="360"/>
      </w:pPr>
      <w:r w:rsidRPr="00DD6176">
        <w:t xml:space="preserve">Memarzia, J. </w:t>
      </w:r>
      <w:r w:rsidRPr="00DD6176">
        <w:rPr>
          <w:i/>
          <w:iCs/>
        </w:rPr>
        <w:t>et al.</w:t>
      </w:r>
      <w:r w:rsidRPr="00DD6176">
        <w:t xml:space="preserve"> (2015) ‘Adolescents leaving mental health or social care services: Predictors of mental health and psychosocial outcomes one year later’, </w:t>
      </w:r>
      <w:r w:rsidRPr="00DD6176">
        <w:rPr>
          <w:i/>
          <w:iCs/>
        </w:rPr>
        <w:t>BMC Health Services Research</w:t>
      </w:r>
      <w:r w:rsidRPr="00DD6176">
        <w:t xml:space="preserve">, 15(1). doi:10.1186/s12913-015-0853-9. </w:t>
      </w:r>
    </w:p>
    <w:p w14:paraId="7ED1CA55" w14:textId="77777777" w:rsidR="007F5ED2" w:rsidRPr="00DD6176" w:rsidRDefault="007F5ED2" w:rsidP="00DD6176">
      <w:pPr>
        <w:pStyle w:val="NormalWeb"/>
        <w:spacing w:before="0" w:beforeAutospacing="0" w:after="0" w:afterAutospacing="0" w:line="480" w:lineRule="auto"/>
        <w:ind w:left="360"/>
      </w:pPr>
      <w:r w:rsidRPr="00DD6176">
        <w:t xml:space="preserve">Mental Health Foundation (2023) </w:t>
      </w:r>
      <w:r w:rsidRPr="00DD6176">
        <w:rPr>
          <w:i/>
          <w:iCs/>
        </w:rPr>
        <w:t>State of a generation: Preventing mental health problems in children and young people</w:t>
      </w:r>
      <w:r w:rsidRPr="00DD6176">
        <w:t xml:space="preserve">, </w:t>
      </w:r>
      <w:r w:rsidRPr="00DD6176">
        <w:rPr>
          <w:i/>
          <w:iCs/>
        </w:rPr>
        <w:t>Mental Health Foundation</w:t>
      </w:r>
      <w:r w:rsidRPr="00DD6176">
        <w:t xml:space="preserve">. Available at: https://www.mentalhealth.org.uk/explore-mental-health/publications/state-generation-children-young-people (Accessed: 30 September 2023). </w:t>
      </w:r>
    </w:p>
    <w:p w14:paraId="514C1B1C" w14:textId="77777777" w:rsidR="007F5ED2" w:rsidRPr="00DD6176" w:rsidRDefault="007F5ED2" w:rsidP="00DD6176">
      <w:pPr>
        <w:pStyle w:val="NormalWeb"/>
        <w:spacing w:before="0" w:beforeAutospacing="0" w:after="0" w:afterAutospacing="0" w:line="480" w:lineRule="auto"/>
        <w:ind w:left="360"/>
      </w:pPr>
      <w:r w:rsidRPr="00DD6176">
        <w:t xml:space="preserve">Morgan, C. </w:t>
      </w:r>
      <w:r w:rsidRPr="00DD6176">
        <w:rPr>
          <w:i/>
          <w:iCs/>
        </w:rPr>
        <w:t>et al.</w:t>
      </w:r>
      <w:r w:rsidRPr="00DD6176">
        <w:t xml:space="preserve"> (2017) ‘Incidence, clinical management, and mortality risk following self harm among children and adolescents: Cohort study in primary care’, </w:t>
      </w:r>
      <w:r w:rsidRPr="00DD6176">
        <w:rPr>
          <w:i/>
          <w:iCs/>
        </w:rPr>
        <w:t>BMJ</w:t>
      </w:r>
      <w:r w:rsidRPr="00DD6176">
        <w:t xml:space="preserve"> [Preprint]. doi:10.1136/bmj.j4351. </w:t>
      </w:r>
    </w:p>
    <w:p w14:paraId="6FB8E14D" w14:textId="77777777" w:rsidR="007F5ED2" w:rsidRPr="00DD6176" w:rsidRDefault="007F5ED2" w:rsidP="00DD6176">
      <w:pPr>
        <w:pStyle w:val="NormalWeb"/>
        <w:spacing w:before="0" w:beforeAutospacing="0" w:after="0" w:afterAutospacing="0" w:line="480" w:lineRule="auto"/>
        <w:ind w:left="360"/>
      </w:pPr>
      <w:r w:rsidRPr="00DD6176">
        <w:t xml:space="preserve">NHS (2017) </w:t>
      </w:r>
      <w:r w:rsidRPr="00DD6176">
        <w:rPr>
          <w:i/>
          <w:iCs/>
        </w:rPr>
        <w:t>NHS choices</w:t>
      </w:r>
      <w:r w:rsidRPr="00DD6176">
        <w:t xml:space="preserve">. Available at: https://www.england.nhs.uk/publication/delivering-the-forward-view-nhs-planning-guidance-201617-202021/ (Accessed: 30 September 2023). </w:t>
      </w:r>
    </w:p>
    <w:p w14:paraId="22A848E7" w14:textId="77777777" w:rsidR="007F5ED2" w:rsidRPr="00DD6176" w:rsidRDefault="007F5ED2" w:rsidP="00DD6176">
      <w:pPr>
        <w:pStyle w:val="NormalWeb"/>
        <w:spacing w:before="0" w:beforeAutospacing="0" w:after="0" w:afterAutospacing="0" w:line="480" w:lineRule="auto"/>
        <w:ind w:left="360"/>
      </w:pPr>
      <w:r w:rsidRPr="00DD6176">
        <w:t xml:space="preserve">NHS (2018) </w:t>
      </w:r>
      <w:r w:rsidRPr="00DD6176">
        <w:rPr>
          <w:i/>
          <w:iCs/>
        </w:rPr>
        <w:t>Mental Health of Children and Young People in England, 2017 [PAS]</w:t>
      </w:r>
      <w:r w:rsidRPr="00DD6176">
        <w:t xml:space="preserve">, </w:t>
      </w:r>
      <w:r w:rsidRPr="00DD6176">
        <w:rPr>
          <w:i/>
          <w:iCs/>
        </w:rPr>
        <w:t>NHS choices</w:t>
      </w:r>
      <w:r w:rsidRPr="00DD6176">
        <w:t xml:space="preserve">. Available at: https://digital.nhs.uk/data-and-information/publications/statistical/mental-health-of-children-and-young-people-in-england/2017/2017 (Accessed: 30 September 2023). </w:t>
      </w:r>
    </w:p>
    <w:p w14:paraId="2D017832" w14:textId="77777777" w:rsidR="007F5ED2" w:rsidRPr="00DD6176" w:rsidRDefault="007F5ED2" w:rsidP="00DD6176">
      <w:pPr>
        <w:pStyle w:val="NormalWeb"/>
        <w:spacing w:before="0" w:beforeAutospacing="0" w:after="0" w:afterAutospacing="0" w:line="480" w:lineRule="auto"/>
        <w:ind w:left="360"/>
      </w:pPr>
      <w:r w:rsidRPr="00DD6176">
        <w:t xml:space="preserve">Patton, G.C. </w:t>
      </w:r>
      <w:r w:rsidRPr="00DD6176">
        <w:rPr>
          <w:i/>
          <w:iCs/>
        </w:rPr>
        <w:t>et al.</w:t>
      </w:r>
      <w:r w:rsidRPr="00DD6176">
        <w:t xml:space="preserve"> (2016) 'Our future: A Lancet Commission on adolescent health and well-being', </w:t>
      </w:r>
      <w:r w:rsidRPr="00DD6176">
        <w:rPr>
          <w:i/>
          <w:iCs/>
        </w:rPr>
        <w:t>The Lancet</w:t>
      </w:r>
      <w:r w:rsidRPr="00DD6176">
        <w:t xml:space="preserve">, 387(10036), pp. 2423–2478. doi:10.1016/s0140-6736(16)00579-1. </w:t>
      </w:r>
    </w:p>
    <w:p w14:paraId="2C6CEB6F" w14:textId="77777777" w:rsidR="007F5ED2" w:rsidRPr="00DD6176" w:rsidRDefault="007F5ED2" w:rsidP="00DD6176">
      <w:pPr>
        <w:pStyle w:val="NormalWeb"/>
        <w:spacing w:before="0" w:beforeAutospacing="0" w:after="0" w:afterAutospacing="0" w:line="480" w:lineRule="auto"/>
        <w:ind w:left="360"/>
      </w:pPr>
      <w:r w:rsidRPr="00DD6176">
        <w:t xml:space="preserve">Plaistow, J. et al. (2013) ‘Young people’s views of UK Mental Health Services’, Early Intervention in Psychiatry, 8(1), pp. 12–23. doi:10.1111/eip.12060. </w:t>
      </w:r>
    </w:p>
    <w:p w14:paraId="6990CFEC" w14:textId="77777777" w:rsidR="007F5ED2" w:rsidRPr="00DD6176" w:rsidRDefault="007F5ED2" w:rsidP="00DD6176">
      <w:pPr>
        <w:pStyle w:val="NormalWeb"/>
        <w:spacing w:before="0" w:beforeAutospacing="0" w:after="0" w:afterAutospacing="0" w:line="480" w:lineRule="auto"/>
        <w:ind w:left="360"/>
      </w:pPr>
      <w:r w:rsidRPr="00DD6176">
        <w:t xml:space="preserve">Reardon, T. et al. (2017) ‘What do parents perceive are the barriers and facilitators to accessing psychological treatment for mental health problems in children and adolescents? A systematic review of qualitative and quantitative studies’, European Child &amp;amp;amp; Adolescent Psychiatry, 26(6), pp. 623–647. doi:10.1007/s00787-016-0930-6. </w:t>
      </w:r>
    </w:p>
    <w:p w14:paraId="73857F53" w14:textId="77777777" w:rsidR="007F5ED2" w:rsidRPr="00DD6176" w:rsidRDefault="007F5ED2" w:rsidP="00DD6176">
      <w:pPr>
        <w:pStyle w:val="NormalWeb"/>
        <w:spacing w:before="0" w:beforeAutospacing="0" w:after="0" w:afterAutospacing="0" w:line="480" w:lineRule="auto"/>
        <w:ind w:left="360"/>
      </w:pPr>
      <w:r w:rsidRPr="00DD6176">
        <w:t xml:space="preserve">Rickwood, D. et al. (2016) ‘Who are the young people choosing web-based mental health support? findings from the implementation of Australia’s national web-based Youth Mental Health Service, eheadspace’, JMIR Mental Health, 3(3). doi:10.2196/mental.5988. </w:t>
      </w:r>
    </w:p>
    <w:p w14:paraId="63729740" w14:textId="77777777" w:rsidR="007F5ED2" w:rsidRPr="00DD6176" w:rsidRDefault="007F5ED2" w:rsidP="00DD6176">
      <w:pPr>
        <w:pStyle w:val="NormalWeb"/>
        <w:spacing w:before="0" w:beforeAutospacing="0" w:after="0" w:afterAutospacing="0" w:line="480" w:lineRule="auto"/>
        <w:ind w:left="360"/>
      </w:pPr>
      <w:r w:rsidRPr="00DD6176">
        <w:t xml:space="preserve">Ross, A.M. et al. (2018) ‘A systematic review of the impact of media reports of severe mental illness on stigma and discrimination, and interventions that aim to mitigate any adverse impact’, Social Psychiatry and Psychiatric Epidemiology, 54(1), pp. 11–31. doi:10.1007/s00127-018-1608-9. </w:t>
      </w:r>
    </w:p>
    <w:p w14:paraId="3E215515" w14:textId="77777777" w:rsidR="007F5ED2" w:rsidRPr="00DD6176" w:rsidRDefault="007F5ED2" w:rsidP="00DD6176">
      <w:pPr>
        <w:pStyle w:val="NormalWeb"/>
        <w:spacing w:before="0" w:beforeAutospacing="0" w:after="0" w:afterAutospacing="0" w:line="480" w:lineRule="auto"/>
        <w:ind w:left="360"/>
      </w:pPr>
      <w:r w:rsidRPr="00DD6176">
        <w:t>Sampogna, G. et al. (2017) ‘The impact of social marketing campaigns on Reducing Mental Health Stigma: Results from the 2009–2014 time to Change Programme’, European Psychiatry, 40, pp. 116–122. doi:10.1016/j.eurpsy.2016.08.008.</w:t>
      </w:r>
    </w:p>
    <w:p w14:paraId="1FC9D083" w14:textId="77777777" w:rsidR="007F5ED2" w:rsidRPr="00DD6176" w:rsidRDefault="007F5ED2" w:rsidP="00DD6176">
      <w:pPr>
        <w:pStyle w:val="NormalWeb"/>
        <w:spacing w:before="0" w:beforeAutospacing="0" w:after="0" w:afterAutospacing="0" w:line="480" w:lineRule="auto"/>
        <w:ind w:left="360"/>
      </w:pPr>
      <w:r w:rsidRPr="00DD6176">
        <w:t>Shemesh, E. et al. (2016) ‘Mental Health Screening Outcomes in a pediatric specialty care setting’, The Journal of Pediatrics, 168. doi:10.1016/j.jpeds.2015.09.046.</w:t>
      </w:r>
    </w:p>
    <w:p w14:paraId="1C50E8D1" w14:textId="77777777" w:rsidR="007F5ED2" w:rsidRPr="00DD6176" w:rsidRDefault="007F5ED2" w:rsidP="00DD6176">
      <w:pPr>
        <w:pStyle w:val="NormalWeb"/>
        <w:spacing w:before="0" w:beforeAutospacing="0" w:after="0" w:afterAutospacing="0" w:line="480" w:lineRule="auto"/>
        <w:ind w:left="360"/>
      </w:pPr>
      <w:r w:rsidRPr="00DD6176">
        <w:t xml:space="preserve">Wolpert, M. </w:t>
      </w:r>
      <w:r w:rsidRPr="00DD6176">
        <w:rPr>
          <w:i/>
          <w:iCs/>
        </w:rPr>
        <w:t>et al.</w:t>
      </w:r>
      <w:r w:rsidRPr="00DD6176">
        <w:t xml:space="preserve"> (2016) </w:t>
      </w:r>
      <w:r w:rsidRPr="00DD6176">
        <w:rPr>
          <w:i/>
          <w:iCs/>
        </w:rPr>
        <w:t>Thrive Elaborated</w:t>
      </w:r>
      <w:r w:rsidRPr="00DD6176">
        <w:t xml:space="preserve">. 22016th edn. CANHS. </w:t>
      </w:r>
    </w:p>
    <w:p w14:paraId="67004861" w14:textId="77777777" w:rsidR="007F5ED2" w:rsidRPr="00DD6176" w:rsidRDefault="007F5ED2" w:rsidP="00DD6176">
      <w:pPr>
        <w:spacing w:after="0" w:line="480" w:lineRule="auto"/>
        <w:rPr>
          <w:rFonts w:ascii="Times New Roman" w:hAnsi="Times New Roman" w:cs="Times New Roman"/>
          <w:sz w:val="24"/>
          <w:szCs w:val="24"/>
          <w:lang w:val="en-GB"/>
        </w:rPr>
      </w:pPr>
    </w:p>
    <w:p w14:paraId="7D72617D" w14:textId="77777777" w:rsidR="00AD5971" w:rsidRPr="00DD6176" w:rsidRDefault="00AD5971" w:rsidP="00DD6176">
      <w:pPr>
        <w:spacing w:after="0" w:line="480" w:lineRule="auto"/>
        <w:rPr>
          <w:rFonts w:ascii="Times New Roman" w:hAnsi="Times New Roman" w:cs="Times New Roman"/>
          <w:sz w:val="24"/>
          <w:szCs w:val="24"/>
          <w:lang w:val="en-GB"/>
        </w:rPr>
      </w:pPr>
    </w:p>
    <w:sectPr w:rsidR="00AD5971" w:rsidRPr="00DD6176">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5F8BF7" w14:textId="77777777" w:rsidR="00F35223" w:rsidRDefault="00F35223" w:rsidP="00FB1637">
      <w:pPr>
        <w:spacing w:after="0" w:line="240" w:lineRule="auto"/>
      </w:pPr>
      <w:r>
        <w:separator/>
      </w:r>
    </w:p>
  </w:endnote>
  <w:endnote w:type="continuationSeparator" w:id="0">
    <w:p w14:paraId="630F77E9" w14:textId="77777777" w:rsidR="00F35223" w:rsidRDefault="00F35223" w:rsidP="00FB1637">
      <w:pPr>
        <w:spacing w:after="0" w:line="240" w:lineRule="auto"/>
      </w:pPr>
      <w:r>
        <w:continuationSeparator/>
      </w:r>
    </w:p>
  </w:endnote>
  <w:endnote w:type="continuationNotice" w:id="1">
    <w:p w14:paraId="52D6A5DC" w14:textId="77777777" w:rsidR="00A67511" w:rsidRDefault="00A675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6754F6" w14:textId="77777777" w:rsidR="00F35223" w:rsidRDefault="00F35223" w:rsidP="00FB1637">
      <w:pPr>
        <w:spacing w:after="0" w:line="240" w:lineRule="auto"/>
      </w:pPr>
      <w:r>
        <w:separator/>
      </w:r>
    </w:p>
  </w:footnote>
  <w:footnote w:type="continuationSeparator" w:id="0">
    <w:p w14:paraId="64223304" w14:textId="77777777" w:rsidR="00F35223" w:rsidRDefault="00F35223" w:rsidP="00FB1637">
      <w:pPr>
        <w:spacing w:after="0" w:line="240" w:lineRule="auto"/>
      </w:pPr>
      <w:r>
        <w:continuationSeparator/>
      </w:r>
    </w:p>
  </w:footnote>
  <w:footnote w:type="continuationNotice" w:id="1">
    <w:p w14:paraId="51722E3F" w14:textId="77777777" w:rsidR="00A67511" w:rsidRDefault="00A6751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1902407"/>
      <w:docPartObj>
        <w:docPartGallery w:val="Page Numbers (Top of Page)"/>
        <w:docPartUnique/>
      </w:docPartObj>
    </w:sdtPr>
    <w:sdtEndPr>
      <w:rPr>
        <w:rFonts w:ascii="Times New Roman" w:hAnsi="Times New Roman" w:cs="Times New Roman"/>
        <w:noProof/>
        <w:sz w:val="24"/>
        <w:szCs w:val="24"/>
      </w:rPr>
    </w:sdtEndPr>
    <w:sdtContent>
      <w:p w14:paraId="5E046CDB" w14:textId="39EB960C" w:rsidR="00FB1637" w:rsidRPr="00FB1637" w:rsidRDefault="00FB1637">
        <w:pPr>
          <w:pStyle w:val="Header"/>
          <w:jc w:val="right"/>
          <w:rPr>
            <w:rFonts w:ascii="Times New Roman" w:hAnsi="Times New Roman" w:cs="Times New Roman"/>
            <w:sz w:val="24"/>
            <w:szCs w:val="24"/>
          </w:rPr>
        </w:pPr>
        <w:r w:rsidRPr="00FB1637">
          <w:rPr>
            <w:rFonts w:ascii="Times New Roman" w:hAnsi="Times New Roman" w:cs="Times New Roman"/>
            <w:sz w:val="24"/>
            <w:szCs w:val="24"/>
          </w:rPr>
          <w:fldChar w:fldCharType="begin"/>
        </w:r>
        <w:r w:rsidRPr="00FB1637">
          <w:rPr>
            <w:rFonts w:ascii="Times New Roman" w:hAnsi="Times New Roman" w:cs="Times New Roman"/>
            <w:sz w:val="24"/>
            <w:szCs w:val="24"/>
          </w:rPr>
          <w:instrText xml:space="preserve"> PAGE   \* MERGEFORMAT </w:instrText>
        </w:r>
        <w:r w:rsidRPr="00FB1637">
          <w:rPr>
            <w:rFonts w:ascii="Times New Roman" w:hAnsi="Times New Roman" w:cs="Times New Roman"/>
            <w:sz w:val="24"/>
            <w:szCs w:val="24"/>
          </w:rPr>
          <w:fldChar w:fldCharType="separate"/>
        </w:r>
        <w:r w:rsidRPr="00FB1637">
          <w:rPr>
            <w:rFonts w:ascii="Times New Roman" w:hAnsi="Times New Roman" w:cs="Times New Roman"/>
            <w:noProof/>
            <w:sz w:val="24"/>
            <w:szCs w:val="24"/>
          </w:rPr>
          <w:t>2</w:t>
        </w:r>
        <w:r w:rsidRPr="00FB1637">
          <w:rPr>
            <w:rFonts w:ascii="Times New Roman" w:hAnsi="Times New Roman" w:cs="Times New Roman"/>
            <w:noProof/>
            <w:sz w:val="24"/>
            <w:szCs w:val="24"/>
          </w:rPr>
          <w:fldChar w:fldCharType="end"/>
        </w:r>
      </w:p>
    </w:sdtContent>
  </w:sdt>
  <w:p w14:paraId="16229DB7" w14:textId="77777777" w:rsidR="00FB1637" w:rsidRPr="00FB1637" w:rsidRDefault="00FB163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648E9"/>
    <w:multiLevelType w:val="multilevel"/>
    <w:tmpl w:val="B76636F4"/>
    <w:lvl w:ilvl="0">
      <w:start w:val="1"/>
      <w:numFmt w:val="decimal"/>
      <w:lvlText w:val="%1."/>
      <w:lvlJc w:val="left"/>
      <w:pPr>
        <w:ind w:left="360" w:hanging="360"/>
      </w:pPr>
      <w:rPr>
        <w:rFonts w:hint="default"/>
      </w:rPr>
    </w:lvl>
    <w:lvl w:ilvl="1">
      <w:start w:val="6"/>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AB43F4F"/>
    <w:multiLevelType w:val="multilevel"/>
    <w:tmpl w:val="04CE9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5B4C68"/>
    <w:multiLevelType w:val="multilevel"/>
    <w:tmpl w:val="907EAEBA"/>
    <w:lvl w:ilvl="0">
      <w:start w:val="1"/>
      <w:numFmt w:val="lowerRoman"/>
      <w:lvlText w:val="%1."/>
      <w:lvlJc w:val="righ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4E1C3C"/>
    <w:multiLevelType w:val="multilevel"/>
    <w:tmpl w:val="B76A14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FC0A69"/>
    <w:multiLevelType w:val="hybridMultilevel"/>
    <w:tmpl w:val="80C0DE74"/>
    <w:lvl w:ilvl="0" w:tplc="04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B2439C1"/>
    <w:multiLevelType w:val="multilevel"/>
    <w:tmpl w:val="B9080946"/>
    <w:lvl w:ilvl="0">
      <w:start w:val="5"/>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81D521C"/>
    <w:multiLevelType w:val="multilevel"/>
    <w:tmpl w:val="A00C9560"/>
    <w:lvl w:ilvl="0">
      <w:start w:val="1"/>
      <w:numFmt w:val="lowerRoman"/>
      <w:lvlText w:val="%1."/>
      <w:lvlJc w:val="righ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3E2E1A"/>
    <w:multiLevelType w:val="multilevel"/>
    <w:tmpl w:val="B9080946"/>
    <w:lvl w:ilvl="0">
      <w:start w:val="5"/>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A8F6823"/>
    <w:multiLevelType w:val="multilevel"/>
    <w:tmpl w:val="C5189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D45F77"/>
    <w:multiLevelType w:val="multilevel"/>
    <w:tmpl w:val="5C86E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079285B"/>
    <w:multiLevelType w:val="hybridMultilevel"/>
    <w:tmpl w:val="E662F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BAC3965"/>
    <w:multiLevelType w:val="hybridMultilevel"/>
    <w:tmpl w:val="183C0D4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C6D3FF3"/>
    <w:multiLevelType w:val="multilevel"/>
    <w:tmpl w:val="22E86CB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E427028"/>
    <w:multiLevelType w:val="hybridMultilevel"/>
    <w:tmpl w:val="0650852A"/>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938055976">
    <w:abstractNumId w:val="10"/>
  </w:num>
  <w:num w:numId="2" w16cid:durableId="741409511">
    <w:abstractNumId w:val="3"/>
  </w:num>
  <w:num w:numId="3" w16cid:durableId="317851217">
    <w:abstractNumId w:val="8"/>
  </w:num>
  <w:num w:numId="4" w16cid:durableId="976298133">
    <w:abstractNumId w:val="13"/>
  </w:num>
  <w:num w:numId="5" w16cid:durableId="978344035">
    <w:abstractNumId w:val="1"/>
  </w:num>
  <w:num w:numId="6" w16cid:durableId="660620889">
    <w:abstractNumId w:val="0"/>
  </w:num>
  <w:num w:numId="7" w16cid:durableId="139273337">
    <w:abstractNumId w:val="11"/>
  </w:num>
  <w:num w:numId="8" w16cid:durableId="131951554">
    <w:abstractNumId w:val="4"/>
  </w:num>
  <w:num w:numId="9" w16cid:durableId="1544437907">
    <w:abstractNumId w:val="9"/>
  </w:num>
  <w:num w:numId="10" w16cid:durableId="945500204">
    <w:abstractNumId w:val="6"/>
  </w:num>
  <w:num w:numId="11" w16cid:durableId="1525097550">
    <w:abstractNumId w:val="14"/>
  </w:num>
  <w:num w:numId="12" w16cid:durableId="102503260">
    <w:abstractNumId w:val="5"/>
  </w:num>
  <w:num w:numId="13" w16cid:durableId="181668735">
    <w:abstractNumId w:val="7"/>
  </w:num>
  <w:num w:numId="14" w16cid:durableId="151335934">
    <w:abstractNumId w:val="2"/>
  </w:num>
  <w:num w:numId="15" w16cid:durableId="93559434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1B1"/>
    <w:rsid w:val="000031C9"/>
    <w:rsid w:val="00070902"/>
    <w:rsid w:val="000B61B1"/>
    <w:rsid w:val="00170E13"/>
    <w:rsid w:val="00170FA2"/>
    <w:rsid w:val="001B4BE7"/>
    <w:rsid w:val="001C3AA8"/>
    <w:rsid w:val="001E1C54"/>
    <w:rsid w:val="001F1C96"/>
    <w:rsid w:val="00215434"/>
    <w:rsid w:val="00306F99"/>
    <w:rsid w:val="00353B9E"/>
    <w:rsid w:val="00381A0D"/>
    <w:rsid w:val="003C2920"/>
    <w:rsid w:val="00500E07"/>
    <w:rsid w:val="005027B5"/>
    <w:rsid w:val="0055127A"/>
    <w:rsid w:val="00584EE1"/>
    <w:rsid w:val="005B1BD5"/>
    <w:rsid w:val="00623100"/>
    <w:rsid w:val="00697F84"/>
    <w:rsid w:val="0073266F"/>
    <w:rsid w:val="00763272"/>
    <w:rsid w:val="007801BF"/>
    <w:rsid w:val="00793FCB"/>
    <w:rsid w:val="00796CEC"/>
    <w:rsid w:val="007A5A35"/>
    <w:rsid w:val="007C3325"/>
    <w:rsid w:val="007D5657"/>
    <w:rsid w:val="007E01B4"/>
    <w:rsid w:val="007F5ED2"/>
    <w:rsid w:val="008A1602"/>
    <w:rsid w:val="008D0E44"/>
    <w:rsid w:val="00911DFF"/>
    <w:rsid w:val="00992674"/>
    <w:rsid w:val="009C2885"/>
    <w:rsid w:val="009E1CA1"/>
    <w:rsid w:val="00A360B7"/>
    <w:rsid w:val="00A67511"/>
    <w:rsid w:val="00AD5971"/>
    <w:rsid w:val="00B45F8E"/>
    <w:rsid w:val="00BE2356"/>
    <w:rsid w:val="00C62734"/>
    <w:rsid w:val="00CC03C7"/>
    <w:rsid w:val="00CD675B"/>
    <w:rsid w:val="00D80561"/>
    <w:rsid w:val="00DB503B"/>
    <w:rsid w:val="00DD6176"/>
    <w:rsid w:val="00DD66C7"/>
    <w:rsid w:val="00DE2003"/>
    <w:rsid w:val="00F35223"/>
    <w:rsid w:val="00F77528"/>
    <w:rsid w:val="00FB1637"/>
    <w:rsid w:val="00FF2934"/>
    <w:rsid w:val="0A413CBA"/>
    <w:rsid w:val="178F8924"/>
    <w:rsid w:val="19F90F62"/>
    <w:rsid w:val="24BBECC0"/>
    <w:rsid w:val="5939FF18"/>
    <w:rsid w:val="7CF7E8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AA871"/>
  <w15:chartTrackingRefBased/>
  <w15:docId w15:val="{389C56A2-BC80-4144-826E-52A8F44CA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ED2"/>
  </w:style>
  <w:style w:type="paragraph" w:styleId="Heading1">
    <w:name w:val="heading 1"/>
    <w:basedOn w:val="Normal"/>
    <w:next w:val="Normal"/>
    <w:link w:val="Heading1Char"/>
    <w:uiPriority w:val="9"/>
    <w:qFormat/>
    <w:rsid w:val="005027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27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normal">
    <w:name w:val="whitespace-normal"/>
    <w:basedOn w:val="Normal"/>
    <w:rsid w:val="00AD597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AD5971"/>
    <w:pPr>
      <w:ind w:left="720"/>
      <w:contextualSpacing/>
    </w:pPr>
  </w:style>
  <w:style w:type="character" w:styleId="Hyperlink">
    <w:name w:val="Hyperlink"/>
    <w:basedOn w:val="DefaultParagraphFont"/>
    <w:uiPriority w:val="99"/>
    <w:unhideWhenUsed/>
    <w:rsid w:val="00353B9E"/>
    <w:rPr>
      <w:color w:val="0563C1" w:themeColor="hyperlink"/>
      <w:u w:val="single"/>
    </w:rPr>
  </w:style>
  <w:style w:type="character" w:styleId="UnresolvedMention">
    <w:name w:val="Unresolved Mention"/>
    <w:basedOn w:val="DefaultParagraphFont"/>
    <w:uiPriority w:val="99"/>
    <w:semiHidden/>
    <w:unhideWhenUsed/>
    <w:rsid w:val="00353B9E"/>
    <w:rPr>
      <w:color w:val="605E5C"/>
      <w:shd w:val="clear" w:color="auto" w:fill="E1DFDD"/>
    </w:rPr>
  </w:style>
  <w:style w:type="paragraph" w:styleId="NormalWeb">
    <w:name w:val="Normal (Web)"/>
    <w:basedOn w:val="Normal"/>
    <w:uiPriority w:val="99"/>
    <w:semiHidden/>
    <w:unhideWhenUsed/>
    <w:rsid w:val="00FB163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FB16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1637"/>
  </w:style>
  <w:style w:type="paragraph" w:styleId="Footer">
    <w:name w:val="footer"/>
    <w:basedOn w:val="Normal"/>
    <w:link w:val="FooterChar"/>
    <w:uiPriority w:val="99"/>
    <w:unhideWhenUsed/>
    <w:rsid w:val="00FB16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1637"/>
  </w:style>
  <w:style w:type="character" w:customStyle="1" w:styleId="Heading1Char">
    <w:name w:val="Heading 1 Char"/>
    <w:basedOn w:val="DefaultParagraphFont"/>
    <w:link w:val="Heading1"/>
    <w:uiPriority w:val="9"/>
    <w:rsid w:val="005027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027B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D6176"/>
    <w:pPr>
      <w:outlineLvl w:val="9"/>
    </w:pPr>
    <w:rPr>
      <w:kern w:val="0"/>
      <w14:ligatures w14:val="none"/>
    </w:rPr>
  </w:style>
  <w:style w:type="paragraph" w:styleId="TOC1">
    <w:name w:val="toc 1"/>
    <w:basedOn w:val="Normal"/>
    <w:next w:val="Normal"/>
    <w:autoRedefine/>
    <w:uiPriority w:val="39"/>
    <w:unhideWhenUsed/>
    <w:rsid w:val="00DD6176"/>
    <w:pPr>
      <w:spacing w:after="100"/>
    </w:pPr>
  </w:style>
  <w:style w:type="paragraph" w:styleId="TOC2">
    <w:name w:val="toc 2"/>
    <w:basedOn w:val="Normal"/>
    <w:next w:val="Normal"/>
    <w:autoRedefine/>
    <w:uiPriority w:val="39"/>
    <w:unhideWhenUsed/>
    <w:rsid w:val="00DD617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673015">
      <w:bodyDiv w:val="1"/>
      <w:marLeft w:val="0"/>
      <w:marRight w:val="0"/>
      <w:marTop w:val="0"/>
      <w:marBottom w:val="0"/>
      <w:divBdr>
        <w:top w:val="none" w:sz="0" w:space="0" w:color="auto"/>
        <w:left w:val="none" w:sz="0" w:space="0" w:color="auto"/>
        <w:bottom w:val="none" w:sz="0" w:space="0" w:color="auto"/>
        <w:right w:val="none" w:sz="0" w:space="0" w:color="auto"/>
      </w:divBdr>
    </w:div>
    <w:div w:id="752553547">
      <w:bodyDiv w:val="1"/>
      <w:marLeft w:val="0"/>
      <w:marRight w:val="0"/>
      <w:marTop w:val="0"/>
      <w:marBottom w:val="0"/>
      <w:divBdr>
        <w:top w:val="none" w:sz="0" w:space="0" w:color="auto"/>
        <w:left w:val="none" w:sz="0" w:space="0" w:color="auto"/>
        <w:bottom w:val="none" w:sz="0" w:space="0" w:color="auto"/>
        <w:right w:val="none" w:sz="0" w:space="0" w:color="auto"/>
      </w:divBdr>
      <w:divsChild>
        <w:div w:id="1016545105">
          <w:marLeft w:val="0"/>
          <w:marRight w:val="0"/>
          <w:marTop w:val="0"/>
          <w:marBottom w:val="0"/>
          <w:divBdr>
            <w:top w:val="single" w:sz="2" w:space="0" w:color="E5E7EB"/>
            <w:left w:val="single" w:sz="2" w:space="0" w:color="E5E7EB"/>
            <w:bottom w:val="single" w:sz="2" w:space="0" w:color="E5E7EB"/>
            <w:right w:val="single" w:sz="2" w:space="0" w:color="E5E7EB"/>
          </w:divBdr>
          <w:divsChild>
            <w:div w:id="596524101">
              <w:marLeft w:val="0"/>
              <w:marRight w:val="0"/>
              <w:marTop w:val="0"/>
              <w:marBottom w:val="0"/>
              <w:divBdr>
                <w:top w:val="single" w:sz="2" w:space="0" w:color="E5E7EB"/>
                <w:left w:val="single" w:sz="2" w:space="0" w:color="E5E7EB"/>
                <w:bottom w:val="single" w:sz="2" w:space="0" w:color="E5E7EB"/>
                <w:right w:val="single" w:sz="2" w:space="0" w:color="E5E7EB"/>
              </w:divBdr>
              <w:divsChild>
                <w:div w:id="153489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889924014">
      <w:bodyDiv w:val="1"/>
      <w:marLeft w:val="0"/>
      <w:marRight w:val="0"/>
      <w:marTop w:val="0"/>
      <w:marBottom w:val="0"/>
      <w:divBdr>
        <w:top w:val="none" w:sz="0" w:space="0" w:color="auto"/>
        <w:left w:val="none" w:sz="0" w:space="0" w:color="auto"/>
        <w:bottom w:val="none" w:sz="0" w:space="0" w:color="auto"/>
        <w:right w:val="none" w:sz="0" w:space="0" w:color="auto"/>
      </w:divBdr>
    </w:div>
    <w:div w:id="1498155106">
      <w:bodyDiv w:val="1"/>
      <w:marLeft w:val="0"/>
      <w:marRight w:val="0"/>
      <w:marTop w:val="0"/>
      <w:marBottom w:val="0"/>
      <w:divBdr>
        <w:top w:val="none" w:sz="0" w:space="0" w:color="auto"/>
        <w:left w:val="none" w:sz="0" w:space="0" w:color="auto"/>
        <w:bottom w:val="none" w:sz="0" w:space="0" w:color="auto"/>
        <w:right w:val="none" w:sz="0" w:space="0" w:color="auto"/>
      </w:divBdr>
      <w:divsChild>
        <w:div w:id="487482524">
          <w:marLeft w:val="0"/>
          <w:marRight w:val="0"/>
          <w:marTop w:val="0"/>
          <w:marBottom w:val="0"/>
          <w:divBdr>
            <w:top w:val="single" w:sz="2" w:space="0" w:color="E5E7EB"/>
            <w:left w:val="single" w:sz="2" w:space="0" w:color="E5E7EB"/>
            <w:bottom w:val="single" w:sz="2" w:space="0" w:color="E5E7EB"/>
            <w:right w:val="single" w:sz="2" w:space="0" w:color="E5E7EB"/>
          </w:divBdr>
          <w:divsChild>
            <w:div w:id="560292932">
              <w:marLeft w:val="0"/>
              <w:marRight w:val="0"/>
              <w:marTop w:val="0"/>
              <w:marBottom w:val="0"/>
              <w:divBdr>
                <w:top w:val="single" w:sz="2" w:space="0" w:color="E5E7EB"/>
                <w:left w:val="single" w:sz="2" w:space="0" w:color="E5E7EB"/>
                <w:bottom w:val="single" w:sz="2" w:space="0" w:color="E5E7EB"/>
                <w:right w:val="single" w:sz="2" w:space="0" w:color="E5E7EB"/>
              </w:divBdr>
              <w:divsChild>
                <w:div w:id="12163098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98813922">
          <w:marLeft w:val="0"/>
          <w:marRight w:val="0"/>
          <w:marTop w:val="0"/>
          <w:marBottom w:val="0"/>
          <w:divBdr>
            <w:top w:val="single" w:sz="2" w:space="0" w:color="E5E7EB"/>
            <w:left w:val="single" w:sz="2" w:space="0" w:color="E5E7EB"/>
            <w:bottom w:val="single" w:sz="2" w:space="0" w:color="E5E7EB"/>
            <w:right w:val="single" w:sz="2" w:space="0" w:color="E5E7EB"/>
          </w:divBdr>
          <w:divsChild>
            <w:div w:id="7167855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88091984">
          <w:marLeft w:val="0"/>
          <w:marRight w:val="0"/>
          <w:marTop w:val="0"/>
          <w:marBottom w:val="0"/>
          <w:divBdr>
            <w:top w:val="single" w:sz="2" w:space="0" w:color="E5E7EB"/>
            <w:left w:val="single" w:sz="2" w:space="0" w:color="E5E7EB"/>
            <w:bottom w:val="single" w:sz="2" w:space="0" w:color="E5E7EB"/>
            <w:right w:val="single" w:sz="2" w:space="0" w:color="E5E7EB"/>
          </w:divBdr>
          <w:divsChild>
            <w:div w:id="6622005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22008719">
      <w:bodyDiv w:val="1"/>
      <w:marLeft w:val="0"/>
      <w:marRight w:val="0"/>
      <w:marTop w:val="0"/>
      <w:marBottom w:val="0"/>
      <w:divBdr>
        <w:top w:val="none" w:sz="0" w:space="0" w:color="auto"/>
        <w:left w:val="none" w:sz="0" w:space="0" w:color="auto"/>
        <w:bottom w:val="none" w:sz="0" w:space="0" w:color="auto"/>
        <w:right w:val="none" w:sz="0" w:space="0" w:color="auto"/>
      </w:divBdr>
    </w:div>
    <w:div w:id="1559588336">
      <w:bodyDiv w:val="1"/>
      <w:marLeft w:val="0"/>
      <w:marRight w:val="0"/>
      <w:marTop w:val="0"/>
      <w:marBottom w:val="0"/>
      <w:divBdr>
        <w:top w:val="none" w:sz="0" w:space="0" w:color="auto"/>
        <w:left w:val="none" w:sz="0" w:space="0" w:color="auto"/>
        <w:bottom w:val="none" w:sz="0" w:space="0" w:color="auto"/>
        <w:right w:val="none" w:sz="0" w:space="0" w:color="auto"/>
      </w:divBdr>
      <w:divsChild>
        <w:div w:id="759764128">
          <w:marLeft w:val="0"/>
          <w:marRight w:val="0"/>
          <w:marTop w:val="0"/>
          <w:marBottom w:val="0"/>
          <w:divBdr>
            <w:top w:val="single" w:sz="2" w:space="0" w:color="E5E7EB"/>
            <w:left w:val="single" w:sz="2" w:space="0" w:color="E5E7EB"/>
            <w:bottom w:val="single" w:sz="2" w:space="0" w:color="E5E7EB"/>
            <w:right w:val="single" w:sz="2" w:space="0" w:color="E5E7EB"/>
          </w:divBdr>
          <w:divsChild>
            <w:div w:id="1525367837">
              <w:marLeft w:val="0"/>
              <w:marRight w:val="0"/>
              <w:marTop w:val="0"/>
              <w:marBottom w:val="0"/>
              <w:divBdr>
                <w:top w:val="single" w:sz="2" w:space="0" w:color="E5E7EB"/>
                <w:left w:val="single" w:sz="2" w:space="0" w:color="E5E7EB"/>
                <w:bottom w:val="single" w:sz="2" w:space="0" w:color="E5E7EB"/>
                <w:right w:val="single" w:sz="2" w:space="0" w:color="E5E7EB"/>
              </w:divBdr>
              <w:divsChild>
                <w:div w:id="1600016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80233285">
          <w:marLeft w:val="0"/>
          <w:marRight w:val="0"/>
          <w:marTop w:val="0"/>
          <w:marBottom w:val="0"/>
          <w:divBdr>
            <w:top w:val="single" w:sz="2" w:space="0" w:color="E5E7EB"/>
            <w:left w:val="single" w:sz="2" w:space="0" w:color="E5E7EB"/>
            <w:bottom w:val="single" w:sz="2" w:space="0" w:color="E5E7EB"/>
            <w:right w:val="single" w:sz="2" w:space="0" w:color="E5E7EB"/>
          </w:divBdr>
          <w:divsChild>
            <w:div w:id="17614862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25600629">
          <w:marLeft w:val="0"/>
          <w:marRight w:val="0"/>
          <w:marTop w:val="0"/>
          <w:marBottom w:val="0"/>
          <w:divBdr>
            <w:top w:val="single" w:sz="2" w:space="0" w:color="E5E7EB"/>
            <w:left w:val="single" w:sz="2" w:space="0" w:color="E5E7EB"/>
            <w:bottom w:val="single" w:sz="2" w:space="0" w:color="E5E7EB"/>
            <w:right w:val="single" w:sz="2" w:space="0" w:color="E5E7EB"/>
          </w:divBdr>
          <w:divsChild>
            <w:div w:id="20364676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93927007">
      <w:bodyDiv w:val="1"/>
      <w:marLeft w:val="0"/>
      <w:marRight w:val="0"/>
      <w:marTop w:val="0"/>
      <w:marBottom w:val="0"/>
      <w:divBdr>
        <w:top w:val="none" w:sz="0" w:space="0" w:color="auto"/>
        <w:left w:val="none" w:sz="0" w:space="0" w:color="auto"/>
        <w:bottom w:val="none" w:sz="0" w:space="0" w:color="auto"/>
        <w:right w:val="none" w:sz="0" w:space="0" w:color="auto"/>
      </w:divBdr>
    </w:div>
    <w:div w:id="1637104414">
      <w:bodyDiv w:val="1"/>
      <w:marLeft w:val="0"/>
      <w:marRight w:val="0"/>
      <w:marTop w:val="0"/>
      <w:marBottom w:val="0"/>
      <w:divBdr>
        <w:top w:val="none" w:sz="0" w:space="0" w:color="auto"/>
        <w:left w:val="none" w:sz="0" w:space="0" w:color="auto"/>
        <w:bottom w:val="none" w:sz="0" w:space="0" w:color="auto"/>
        <w:right w:val="none" w:sz="0" w:space="0" w:color="auto"/>
      </w:divBdr>
    </w:div>
    <w:div w:id="1667711764">
      <w:bodyDiv w:val="1"/>
      <w:marLeft w:val="0"/>
      <w:marRight w:val="0"/>
      <w:marTop w:val="0"/>
      <w:marBottom w:val="0"/>
      <w:divBdr>
        <w:top w:val="none" w:sz="0" w:space="0" w:color="auto"/>
        <w:left w:val="none" w:sz="0" w:space="0" w:color="auto"/>
        <w:bottom w:val="none" w:sz="0" w:space="0" w:color="auto"/>
        <w:right w:val="none" w:sz="0" w:space="0" w:color="auto"/>
      </w:divBdr>
    </w:div>
    <w:div w:id="1732843198">
      <w:bodyDiv w:val="1"/>
      <w:marLeft w:val="0"/>
      <w:marRight w:val="0"/>
      <w:marTop w:val="0"/>
      <w:marBottom w:val="0"/>
      <w:divBdr>
        <w:top w:val="none" w:sz="0" w:space="0" w:color="auto"/>
        <w:left w:val="none" w:sz="0" w:space="0" w:color="auto"/>
        <w:bottom w:val="none" w:sz="0" w:space="0" w:color="auto"/>
        <w:right w:val="none" w:sz="0" w:space="0" w:color="auto"/>
      </w:divBdr>
    </w:div>
    <w:div w:id="1794909334">
      <w:bodyDiv w:val="1"/>
      <w:marLeft w:val="0"/>
      <w:marRight w:val="0"/>
      <w:marTop w:val="0"/>
      <w:marBottom w:val="0"/>
      <w:divBdr>
        <w:top w:val="none" w:sz="0" w:space="0" w:color="auto"/>
        <w:left w:val="none" w:sz="0" w:space="0" w:color="auto"/>
        <w:bottom w:val="none" w:sz="0" w:space="0" w:color="auto"/>
        <w:right w:val="none" w:sz="0" w:space="0" w:color="auto"/>
      </w:divBdr>
    </w:div>
    <w:div w:id="1807315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EDF86F-FD79-4E20-A079-ABE4571572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5396</Words>
  <Characters>30761</Characters>
  <Application>Microsoft Office Word</Application>
  <DocSecurity>4</DocSecurity>
  <Lines>256</Lines>
  <Paragraphs>72</Paragraphs>
  <ScaleCrop>false</ScaleCrop>
  <Company/>
  <LinksUpToDate>false</LinksUpToDate>
  <CharactersWithSpaces>36085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one with the universe</dc:creator>
  <cp:keywords/>
  <dc:description/>
  <cp:lastModifiedBy>Ataa Sarpong (2027066)</cp:lastModifiedBy>
  <cp:revision>4</cp:revision>
  <dcterms:created xsi:type="dcterms:W3CDTF">2023-11-06T16:24:00Z</dcterms:created>
  <dcterms:modified xsi:type="dcterms:W3CDTF">2023-11-06T18:04:00Z</dcterms:modified>
</cp:coreProperties>
</file>