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57F3140" w:rsidR="7908378C" w:rsidRDefault="7908378C" w:rsidP="33572C6E">
            <w:pPr>
              <w:ind w:right="237"/>
              <w:rPr>
                <w:b/>
                <w:bCs/>
                <w:color w:val="auto"/>
                <w:sz w:val="32"/>
                <w:szCs w:val="32"/>
              </w:rPr>
            </w:pPr>
            <w:r w:rsidRPr="33572C6E">
              <w:rPr>
                <w:b/>
                <w:bCs/>
                <w:color w:val="auto"/>
                <w:sz w:val="32"/>
                <w:szCs w:val="32"/>
              </w:rPr>
              <w:t xml:space="preserve">Learner name: </w:t>
            </w:r>
            <w:r w:rsidR="00DF0597">
              <w:rPr>
                <w:b/>
                <w:bCs/>
                <w:color w:val="auto"/>
                <w:sz w:val="32"/>
                <w:szCs w:val="32"/>
              </w:rPr>
              <w:t>Evan Meadows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0309E046" w:rsidR="7908378C" w:rsidRDefault="00DF0597" w:rsidP="33572C6E">
            <w:pPr>
              <w:ind w:right="237"/>
              <w:rPr>
                <w:b/>
                <w:bCs/>
                <w:color w:val="auto"/>
                <w:sz w:val="32"/>
                <w:szCs w:val="32"/>
              </w:rPr>
            </w:pPr>
            <w:r>
              <w:rPr>
                <w:b/>
                <w:bCs/>
                <w:color w:val="auto"/>
                <w:sz w:val="32"/>
                <w:szCs w:val="32"/>
              </w:rPr>
              <w:t>2029406</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753A51"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5F4CCD4A" w14:textId="3166DFC0" w:rsidR="000325D9" w:rsidRPr="00DF0597" w:rsidRDefault="000325D9" w:rsidP="00DF0597">
      <w:pPr>
        <w:overflowPunct/>
        <w:autoSpaceDE/>
        <w:autoSpaceDN/>
        <w:adjustRightInd/>
        <w:ind w:right="237"/>
        <w:textAlignment w:val="auto"/>
        <w:rPr>
          <w:b/>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lastRenderedPageBreak/>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52A28CC9" w:rsidR="007C1D94" w:rsidRPr="00E676F7" w:rsidRDefault="007C1D94" w:rsidP="00340E9A">
      <w:pPr>
        <w:ind w:right="237"/>
        <w:rPr>
          <w:b/>
          <w:sz w:val="24"/>
          <w:szCs w:val="24"/>
        </w:rPr>
      </w:pP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6F74A7BB" w14:textId="2F3327A1" w:rsidR="00446F80" w:rsidRPr="0071499F" w:rsidRDefault="00446F80" w:rsidP="00AB13E0">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1C5E834A" w14:textId="77777777" w:rsidR="003565AD" w:rsidRDefault="003565AD" w:rsidP="5B843AF0">
      <w:pPr>
        <w:ind w:right="237"/>
        <w:jc w:val="center"/>
        <w:rPr>
          <w:rFonts w:eastAsia="Arial"/>
          <w:b/>
          <w:bCs/>
          <w:color w:val="000000" w:themeColor="text1"/>
          <w:sz w:val="24"/>
          <w:szCs w:val="24"/>
        </w:rPr>
      </w:pPr>
    </w:p>
    <w:p w14:paraId="45AC6C53" w14:textId="77777777" w:rsidR="003565AD" w:rsidRDefault="003565AD" w:rsidP="5B843AF0">
      <w:pPr>
        <w:ind w:right="237"/>
        <w:jc w:val="center"/>
        <w:rPr>
          <w:rFonts w:eastAsia="Arial"/>
          <w:b/>
          <w:bCs/>
          <w:color w:val="000000" w:themeColor="text1"/>
          <w:sz w:val="24"/>
          <w:szCs w:val="24"/>
        </w:rPr>
      </w:pPr>
    </w:p>
    <w:p w14:paraId="499164B8" w14:textId="77777777" w:rsidR="003565AD" w:rsidRDefault="003565AD" w:rsidP="5B843AF0">
      <w:pPr>
        <w:ind w:right="237"/>
        <w:jc w:val="center"/>
        <w:rPr>
          <w:rFonts w:eastAsia="Arial"/>
          <w:b/>
          <w:bCs/>
          <w:color w:val="000000" w:themeColor="text1"/>
          <w:sz w:val="24"/>
          <w:szCs w:val="24"/>
        </w:rPr>
      </w:pPr>
    </w:p>
    <w:p w14:paraId="2FD6D6DF" w14:textId="77777777" w:rsidR="003565AD" w:rsidRDefault="003565AD" w:rsidP="5B843AF0">
      <w:pPr>
        <w:ind w:right="237"/>
        <w:jc w:val="center"/>
        <w:rPr>
          <w:rFonts w:eastAsia="Arial"/>
          <w:b/>
          <w:bCs/>
          <w:color w:val="000000" w:themeColor="text1"/>
          <w:sz w:val="24"/>
          <w:szCs w:val="24"/>
        </w:rPr>
      </w:pPr>
    </w:p>
    <w:p w14:paraId="2AB8454C" w14:textId="77777777" w:rsidR="003565AD" w:rsidRDefault="003565AD" w:rsidP="5B843AF0">
      <w:pPr>
        <w:ind w:right="237"/>
        <w:jc w:val="center"/>
        <w:rPr>
          <w:rFonts w:eastAsia="Arial"/>
          <w:b/>
          <w:bCs/>
          <w:color w:val="000000" w:themeColor="text1"/>
          <w:sz w:val="24"/>
          <w:szCs w:val="24"/>
        </w:rPr>
      </w:pPr>
    </w:p>
    <w:p w14:paraId="1A072111" w14:textId="77777777" w:rsidR="003565AD" w:rsidRDefault="003565AD" w:rsidP="5B843AF0">
      <w:pPr>
        <w:ind w:right="237"/>
        <w:jc w:val="center"/>
        <w:rPr>
          <w:rFonts w:eastAsia="Arial"/>
          <w:b/>
          <w:bCs/>
          <w:color w:val="000000" w:themeColor="text1"/>
          <w:sz w:val="24"/>
          <w:szCs w:val="24"/>
        </w:rPr>
      </w:pPr>
    </w:p>
    <w:p w14:paraId="0863BD4A" w14:textId="77777777" w:rsidR="003565AD" w:rsidRDefault="003565AD" w:rsidP="5B843AF0">
      <w:pPr>
        <w:ind w:right="237"/>
        <w:jc w:val="center"/>
        <w:rPr>
          <w:rFonts w:eastAsia="Arial"/>
          <w:b/>
          <w:bCs/>
          <w:color w:val="000000" w:themeColor="text1"/>
          <w:sz w:val="24"/>
          <w:szCs w:val="24"/>
        </w:rPr>
      </w:pPr>
    </w:p>
    <w:p w14:paraId="0C948C45" w14:textId="1E8C5348"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r w:rsidR="00641F00" w:rsidRPr="00E676F7" w14:paraId="65A769E6" w14:textId="77777777" w:rsidTr="5CE196A1">
        <w:tc>
          <w:tcPr>
            <w:tcW w:w="10188" w:type="dxa"/>
            <w:shd w:val="clear" w:color="auto" w:fill="auto"/>
          </w:tcPr>
          <w:p w14:paraId="0D8FEDEE" w14:textId="77777777" w:rsidR="00641F00" w:rsidRPr="00E676F7" w:rsidRDefault="00641F00" w:rsidP="00C614CF">
            <w:pPr>
              <w:ind w:right="237"/>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3D255FC5" w14:textId="77777777" w:rsidR="00082A28" w:rsidRPr="00082A28" w:rsidRDefault="00082A28" w:rsidP="00082A28">
      <w:pPr>
        <w:pStyle w:val="NoSpacing"/>
        <w:spacing w:line="360" w:lineRule="auto"/>
        <w:rPr>
          <w:rFonts w:asciiTheme="minorHAnsi" w:hAnsiTheme="minorHAnsi" w:cstheme="minorHAnsi"/>
          <w:color w:val="auto"/>
          <w:sz w:val="24"/>
          <w:szCs w:val="24"/>
        </w:rPr>
      </w:pPr>
      <w:r w:rsidRPr="00082A28">
        <w:rPr>
          <w:rFonts w:asciiTheme="minorHAnsi" w:hAnsiTheme="minorHAnsi" w:cstheme="minorHAnsi"/>
          <w:sz w:val="24"/>
          <w:szCs w:val="24"/>
        </w:rPr>
        <w:t xml:space="preserve">I have had numerous dealings with victims of both crime and anti-social behaviour. It is important to remember that everybody is different with different needs, which should be supported throughout any contact and investigation. Some groups are inherently vulnerable, such as children or people suffering mental health issues (UK Government, 2015), so when dealing with an offence with a child victim or perpetrator who fall into this category, consideration should be made to support them throughout the investigation. </w:t>
      </w:r>
    </w:p>
    <w:p w14:paraId="5DD7DD75"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t> </w:t>
      </w:r>
    </w:p>
    <w:p w14:paraId="3D57C9FD"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t xml:space="preserve">An example of an incident in which I played a significant role with a victim of crime was an assault on a child by another child while they were playing together during the summer holidays, and which was reported by a third party. The third party reported having seen the child being attacked with a stick, before being pushed to the floor and his head bouncing off the floor. The reporting person said that </w:t>
      </w:r>
      <w:proofErr w:type="gramStart"/>
      <w:r w:rsidRPr="00082A28">
        <w:rPr>
          <w:rFonts w:asciiTheme="minorHAnsi" w:hAnsiTheme="minorHAnsi" w:cstheme="minorHAnsi"/>
          <w:sz w:val="24"/>
          <w:szCs w:val="24"/>
        </w:rPr>
        <w:t>both of the involved</w:t>
      </w:r>
      <w:proofErr w:type="gramEnd"/>
      <w:r w:rsidRPr="00082A28">
        <w:rPr>
          <w:rFonts w:asciiTheme="minorHAnsi" w:hAnsiTheme="minorHAnsi" w:cstheme="minorHAnsi"/>
          <w:sz w:val="24"/>
          <w:szCs w:val="24"/>
        </w:rPr>
        <w:t xml:space="preserve"> parties were children, and that the perpetrator was slightly older than the victim. The reporting person did not know either of the children but escorted the victim home. The third party then informed the police control room including address when reporting the incident. As the initial responding </w:t>
      </w:r>
      <w:r w:rsidRPr="00082A28">
        <w:rPr>
          <w:rFonts w:asciiTheme="minorHAnsi" w:hAnsiTheme="minorHAnsi" w:cstheme="minorHAnsi"/>
          <w:sz w:val="24"/>
          <w:szCs w:val="24"/>
        </w:rPr>
        <w:lastRenderedPageBreak/>
        <w:t xml:space="preserve">officer, I was responsible for making the first contact with the victim and his mother, and for gathering enough information to submit a Public Protection Notification (PPN), a form which shares the findings of the police with partner agencies such as the council, </w:t>
      </w:r>
      <w:proofErr w:type="gramStart"/>
      <w:r w:rsidRPr="00082A28">
        <w:rPr>
          <w:rFonts w:asciiTheme="minorHAnsi" w:hAnsiTheme="minorHAnsi" w:cstheme="minorHAnsi"/>
          <w:sz w:val="24"/>
          <w:szCs w:val="24"/>
        </w:rPr>
        <w:t>schools</w:t>
      </w:r>
      <w:proofErr w:type="gramEnd"/>
      <w:r w:rsidRPr="00082A28">
        <w:rPr>
          <w:rFonts w:asciiTheme="minorHAnsi" w:hAnsiTheme="minorHAnsi" w:cstheme="minorHAnsi"/>
          <w:sz w:val="24"/>
          <w:szCs w:val="24"/>
        </w:rPr>
        <w:t xml:space="preserve"> and social services in order to ensure that the victim is correctly safeguarded. In this case, the victim had a single mother who was raising two children under the age of ten. Due to the incident, a six-year-old being out alone and having been assaulted, it could be deemed that additional support would be needed for the victim and mother, this would be gained through a PPN which was submitted to relevant partners to ascertain if additional support was needed. It was clear that, although the incident was unexpected, that the mother did not wish to have the other boy arrested due to his age, he was thirteen and thus over the age of criminal responsibility (Crime and Disorder Act, 1998), however he was still a </w:t>
      </w:r>
      <w:proofErr w:type="gramStart"/>
      <w:r w:rsidRPr="00082A28">
        <w:rPr>
          <w:rFonts w:asciiTheme="minorHAnsi" w:hAnsiTheme="minorHAnsi" w:cstheme="minorHAnsi"/>
          <w:sz w:val="24"/>
          <w:szCs w:val="24"/>
        </w:rPr>
        <w:t>juvenile</w:t>
      </w:r>
      <w:proofErr w:type="gramEnd"/>
      <w:r w:rsidRPr="00082A28">
        <w:rPr>
          <w:rFonts w:asciiTheme="minorHAnsi" w:hAnsiTheme="minorHAnsi" w:cstheme="minorHAnsi"/>
          <w:sz w:val="24"/>
          <w:szCs w:val="24"/>
        </w:rPr>
        <w:t xml:space="preserve"> and she did not wish for him to be prosecuted.</w:t>
      </w:r>
    </w:p>
    <w:p w14:paraId="6BECCBBE"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t> </w:t>
      </w:r>
    </w:p>
    <w:p w14:paraId="76513A3F"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t>Alternative means of dealing with the matter were discussed with the victim’s mother including restorative justice or words of advice. She decided that restorative justice would be the most appropriate as there was some type of formal action, with the resolution being recorded against the boy’s name.</w:t>
      </w:r>
    </w:p>
    <w:p w14:paraId="25347767"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t> </w:t>
      </w:r>
    </w:p>
    <w:p w14:paraId="68D56F46"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t>Children are defined as being ‘a child as a human being below the age of 18’ (UN Convention on the Rights of the Child (UNCRC)) (United Nations, 1989). Legislation which would apply in such a case as this includes the age of criminal responsibility in England and Wales (Crime and Disorder Act, 1998), being 10. Meaning that children under the age of 10 cannot be arrested or charged with a crime, but children aged between 10-17 can be arrested and taken to youth court if they commit an offence. Children under 10 can be given a:</w:t>
      </w:r>
    </w:p>
    <w:p w14:paraId="5F1ACDDC"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eastAsia="Symbol" w:hAnsiTheme="minorHAnsi" w:cstheme="minorHAnsi"/>
          <w:sz w:val="24"/>
          <w:szCs w:val="24"/>
        </w:rPr>
        <w:t xml:space="preserve">·      </w:t>
      </w:r>
      <w:r w:rsidRPr="00082A28">
        <w:rPr>
          <w:rFonts w:asciiTheme="minorHAnsi" w:hAnsiTheme="minorHAnsi" w:cstheme="minorHAnsi"/>
          <w:sz w:val="24"/>
          <w:szCs w:val="24"/>
        </w:rPr>
        <w:t>Local Child Curfew – which enable police to ban children from being in a public place between 9pm and 6am, unless accompanied by an adult and is in place for up to 90 days</w:t>
      </w:r>
    </w:p>
    <w:p w14:paraId="22584D50"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eastAsia="Symbol" w:hAnsiTheme="minorHAnsi" w:cstheme="minorHAnsi"/>
          <w:sz w:val="24"/>
          <w:szCs w:val="24"/>
        </w:rPr>
        <w:t xml:space="preserve">·      </w:t>
      </w:r>
      <w:r w:rsidRPr="00082A28">
        <w:rPr>
          <w:rFonts w:asciiTheme="minorHAnsi" w:hAnsiTheme="minorHAnsi" w:cstheme="minorHAnsi"/>
          <w:sz w:val="24"/>
          <w:szCs w:val="24"/>
        </w:rPr>
        <w:t>Child Safety Order – if a child breaks the curfew this is the next step, which places them under the supervision of a youth offending team and lasts up to 3 months.</w:t>
      </w:r>
    </w:p>
    <w:p w14:paraId="309AA81E"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t>Officers must consider the age of a child when deciding whether any of the Police and Criminal Evidence Act (PACE), 1984, Code G statutory grounds apply.</w:t>
      </w:r>
    </w:p>
    <w:p w14:paraId="38304743"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color w:val="FF0000"/>
          <w:sz w:val="24"/>
          <w:szCs w:val="24"/>
        </w:rPr>
        <w:t> </w:t>
      </w:r>
    </w:p>
    <w:p w14:paraId="2F2AB04E"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lastRenderedPageBreak/>
        <w:t>Due to both parties being legally children, an appropriate adult needed to be identified for each child. The definition of the role is ‘to safeguard the rights, entitlements and welfare of juveniles and vulnerable persons whom the provisions of this and any Code of Practice apply’ (Police and Criminal Evidence Act (PACE), 1984). It also defines who can be an appropriate adult, but they must be able to provide effective support, with a parent/guardian considered in the first instance. Police and Criminal Evidence Act (PACE), 1984, Code C Guidance Note 1B states that a person (including a parent/guardian) cannot be an appropriate adult if:</w:t>
      </w:r>
    </w:p>
    <w:p w14:paraId="13BA6772"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eastAsia="Symbol" w:hAnsiTheme="minorHAnsi" w:cstheme="minorHAnsi"/>
          <w:sz w:val="24"/>
          <w:szCs w:val="24"/>
        </w:rPr>
        <w:t xml:space="preserve">·      </w:t>
      </w:r>
      <w:r w:rsidRPr="00082A28">
        <w:rPr>
          <w:rFonts w:asciiTheme="minorHAnsi" w:hAnsiTheme="minorHAnsi" w:cstheme="minorHAnsi"/>
          <w:sz w:val="24"/>
          <w:szCs w:val="24"/>
        </w:rPr>
        <w:t>They are suspected of involvement in the offence</w:t>
      </w:r>
    </w:p>
    <w:p w14:paraId="711F4259"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eastAsia="Symbol" w:hAnsiTheme="minorHAnsi" w:cstheme="minorHAnsi"/>
          <w:sz w:val="24"/>
          <w:szCs w:val="24"/>
        </w:rPr>
        <w:t xml:space="preserve">·      </w:t>
      </w:r>
      <w:r w:rsidRPr="00082A28">
        <w:rPr>
          <w:rFonts w:asciiTheme="minorHAnsi" w:hAnsiTheme="minorHAnsi" w:cstheme="minorHAnsi"/>
          <w:sz w:val="24"/>
          <w:szCs w:val="24"/>
        </w:rPr>
        <w:t>They are the victim</w:t>
      </w:r>
    </w:p>
    <w:p w14:paraId="57414A8A"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eastAsia="Symbol" w:hAnsiTheme="minorHAnsi" w:cstheme="minorHAnsi"/>
          <w:sz w:val="24"/>
          <w:szCs w:val="24"/>
        </w:rPr>
        <w:t xml:space="preserve">·      </w:t>
      </w:r>
      <w:r w:rsidRPr="00082A28">
        <w:rPr>
          <w:rFonts w:asciiTheme="minorHAnsi" w:hAnsiTheme="minorHAnsi" w:cstheme="minorHAnsi"/>
          <w:sz w:val="24"/>
          <w:szCs w:val="24"/>
        </w:rPr>
        <w:t>They are a witness</w:t>
      </w:r>
    </w:p>
    <w:p w14:paraId="7ED573DC"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eastAsia="Symbol" w:hAnsiTheme="minorHAnsi" w:cstheme="minorHAnsi"/>
          <w:sz w:val="24"/>
          <w:szCs w:val="24"/>
        </w:rPr>
        <w:t xml:space="preserve">·      </w:t>
      </w:r>
      <w:r w:rsidRPr="00082A28">
        <w:rPr>
          <w:rFonts w:asciiTheme="minorHAnsi" w:hAnsiTheme="minorHAnsi" w:cstheme="minorHAnsi"/>
          <w:sz w:val="24"/>
          <w:szCs w:val="24"/>
        </w:rPr>
        <w:t>They are involved in the investigation</w:t>
      </w:r>
    </w:p>
    <w:p w14:paraId="5DCAB60E"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eastAsia="Symbol" w:hAnsiTheme="minorHAnsi" w:cstheme="minorHAnsi"/>
          <w:sz w:val="24"/>
          <w:szCs w:val="24"/>
        </w:rPr>
        <w:t xml:space="preserve">·      </w:t>
      </w:r>
      <w:r w:rsidRPr="00082A28">
        <w:rPr>
          <w:rFonts w:asciiTheme="minorHAnsi" w:hAnsiTheme="minorHAnsi" w:cstheme="minorHAnsi"/>
          <w:sz w:val="24"/>
          <w:szCs w:val="24"/>
        </w:rPr>
        <w:t>They have received admissions prior to acting as appropriate adult</w:t>
      </w:r>
    </w:p>
    <w:p w14:paraId="44B73018"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eastAsia="Symbol" w:hAnsiTheme="minorHAnsi" w:cstheme="minorHAnsi"/>
          <w:sz w:val="24"/>
          <w:szCs w:val="24"/>
        </w:rPr>
        <w:t xml:space="preserve">·      </w:t>
      </w:r>
      <w:r w:rsidRPr="00082A28">
        <w:rPr>
          <w:rFonts w:asciiTheme="minorHAnsi" w:hAnsiTheme="minorHAnsi" w:cstheme="minorHAnsi"/>
          <w:sz w:val="24"/>
          <w:szCs w:val="24"/>
        </w:rPr>
        <w:t>The children/young person expressly objects their presence (but not in all cases)</w:t>
      </w:r>
    </w:p>
    <w:p w14:paraId="42BCEFF8"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t xml:space="preserve">Appropriate adults were introduced following the Maxwell </w:t>
      </w:r>
      <w:proofErr w:type="spellStart"/>
      <w:r w:rsidRPr="00082A28">
        <w:rPr>
          <w:rFonts w:asciiTheme="minorHAnsi" w:hAnsiTheme="minorHAnsi" w:cstheme="minorHAnsi"/>
          <w:sz w:val="24"/>
          <w:szCs w:val="24"/>
        </w:rPr>
        <w:t>Confait</w:t>
      </w:r>
      <w:proofErr w:type="spellEnd"/>
      <w:r w:rsidRPr="00082A28">
        <w:rPr>
          <w:rFonts w:asciiTheme="minorHAnsi" w:hAnsiTheme="minorHAnsi" w:cstheme="minorHAnsi"/>
          <w:sz w:val="24"/>
          <w:szCs w:val="24"/>
        </w:rPr>
        <w:t xml:space="preserve"> murder case in 1972, which led Parliament to pass Police and Criminal Evidence Act (PACE), 1984. The intention was to reduce the risk of a miscarriage of justice because of evidence being obtained from vulnerable suspects, leading to unsafe and unjust conditions (National Appropriate Adult Network, 2022). In this case, I used each boy’s mother as they had not seen what had happened nor had been involved in any way. </w:t>
      </w:r>
    </w:p>
    <w:p w14:paraId="654EE278"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t> </w:t>
      </w:r>
    </w:p>
    <w:p w14:paraId="1E530C95"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t xml:space="preserve">Vulnerability is defined by the College of Policing using the ‘THRIVE Model’ (2021). THRIVE is a model which considers, Threat, Harm, Risk, Investigation, Vulnerability and Engagement, allows the case to be assessed on an individual level, considering each element to ensure that the police response to an incident is conducted at an appropriate scale, and an individual focus. Taking vulnerability into account while responding to incidents means that officers can prepare in advance for the </w:t>
      </w:r>
      <w:proofErr w:type="gramStart"/>
      <w:r w:rsidRPr="00082A28">
        <w:rPr>
          <w:rFonts w:asciiTheme="minorHAnsi" w:hAnsiTheme="minorHAnsi" w:cstheme="minorHAnsi"/>
          <w:sz w:val="24"/>
          <w:szCs w:val="24"/>
        </w:rPr>
        <w:t>individuals</w:t>
      </w:r>
      <w:proofErr w:type="gramEnd"/>
      <w:r w:rsidRPr="00082A28">
        <w:rPr>
          <w:rFonts w:asciiTheme="minorHAnsi" w:hAnsiTheme="minorHAnsi" w:cstheme="minorHAnsi"/>
          <w:sz w:val="24"/>
          <w:szCs w:val="24"/>
        </w:rPr>
        <w:t xml:space="preserve"> circumstances, adjusting approaches before they arrive on scene. Therefore, I applied this before I attended, and before speaking to the victim and suspect I considered their ages and the need to identify appropriate adults. By using the ‘THRIVE Model’, I could ensure that I could meet the victim and their appropriate adult’s needs in how I proceeded with the investigation, with options available. </w:t>
      </w:r>
    </w:p>
    <w:p w14:paraId="731674AF"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color w:val="FF0000"/>
          <w:sz w:val="24"/>
          <w:szCs w:val="24"/>
        </w:rPr>
        <w:t> </w:t>
      </w:r>
    </w:p>
    <w:p w14:paraId="3F87657F"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lastRenderedPageBreak/>
        <w:t>Restorative justice ‘gives victims the chance to meet or communicate with their offender to explain the real impact of the crime – it empowers the victims by giving them a voice’ (Restorative Justice Council, 2015). While it can be used for most crimes there are offences for example sexual offences, hate crimes and domestic violence where there are challenges.</w:t>
      </w:r>
    </w:p>
    <w:p w14:paraId="484D7FCB"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eastAsia="Symbol" w:hAnsiTheme="minorHAnsi" w:cstheme="minorHAnsi"/>
          <w:sz w:val="24"/>
          <w:szCs w:val="24"/>
        </w:rPr>
        <w:t xml:space="preserve">·      </w:t>
      </w:r>
      <w:r w:rsidRPr="00082A28">
        <w:rPr>
          <w:rFonts w:asciiTheme="minorHAnsi" w:hAnsiTheme="minorHAnsi" w:cstheme="minorHAnsi"/>
          <w:sz w:val="24"/>
          <w:szCs w:val="24"/>
        </w:rPr>
        <w:t>14% reduction in the rate of reoffending (a key measurement for Youth Offending Teams (YOT))</w:t>
      </w:r>
    </w:p>
    <w:p w14:paraId="602C7399"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eastAsia="Symbol" w:hAnsiTheme="minorHAnsi" w:cstheme="minorHAnsi"/>
          <w:sz w:val="24"/>
          <w:szCs w:val="24"/>
        </w:rPr>
        <w:t xml:space="preserve">·      </w:t>
      </w:r>
      <w:r w:rsidRPr="00082A28">
        <w:rPr>
          <w:rFonts w:asciiTheme="minorHAnsi" w:hAnsiTheme="minorHAnsi" w:cstheme="minorHAnsi"/>
          <w:sz w:val="24"/>
          <w:szCs w:val="24"/>
        </w:rPr>
        <w:t xml:space="preserve">85% of victims were satisfied with the process of meeting their offender face to face, </w:t>
      </w:r>
    </w:p>
    <w:p w14:paraId="245BA128"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t>Conditions need to be met for restorative justice to be used including an identifiable victim/offender, acceptance of responsibility and all parties must agree. Restorative justice can take the form of:</w:t>
      </w:r>
    </w:p>
    <w:p w14:paraId="6A423693"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eastAsia="Symbol" w:hAnsiTheme="minorHAnsi" w:cstheme="minorHAnsi"/>
          <w:sz w:val="24"/>
          <w:szCs w:val="24"/>
        </w:rPr>
        <w:t xml:space="preserve">·      </w:t>
      </w:r>
      <w:r w:rsidRPr="00082A28">
        <w:rPr>
          <w:rFonts w:asciiTheme="minorHAnsi" w:hAnsiTheme="minorHAnsi" w:cstheme="minorHAnsi"/>
          <w:sz w:val="24"/>
          <w:szCs w:val="24"/>
        </w:rPr>
        <w:t>Victim/offender conference – face to face meeting with a trained facilitator</w:t>
      </w:r>
    </w:p>
    <w:p w14:paraId="09348457"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eastAsia="Symbol" w:hAnsiTheme="minorHAnsi" w:cstheme="minorHAnsi"/>
          <w:sz w:val="24"/>
          <w:szCs w:val="24"/>
        </w:rPr>
        <w:t xml:space="preserve">·      </w:t>
      </w:r>
      <w:r w:rsidRPr="00082A28">
        <w:rPr>
          <w:rFonts w:asciiTheme="minorHAnsi" w:hAnsiTheme="minorHAnsi" w:cstheme="minorHAnsi"/>
          <w:sz w:val="24"/>
          <w:szCs w:val="24"/>
        </w:rPr>
        <w:t xml:space="preserve">Community conference – as above and involves members of the community affected. </w:t>
      </w:r>
    </w:p>
    <w:p w14:paraId="3EC5B667"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eastAsia="Symbol" w:hAnsiTheme="minorHAnsi" w:cstheme="minorHAnsi"/>
          <w:sz w:val="24"/>
          <w:szCs w:val="24"/>
        </w:rPr>
        <w:t xml:space="preserve">·      </w:t>
      </w:r>
      <w:r w:rsidRPr="00082A28">
        <w:rPr>
          <w:rFonts w:asciiTheme="minorHAnsi" w:hAnsiTheme="minorHAnsi" w:cstheme="minorHAnsi"/>
          <w:sz w:val="24"/>
          <w:szCs w:val="24"/>
        </w:rPr>
        <w:t>Indirect communication – also referred to as shuttle restoration where messages are passed between parties who do not meet.</w:t>
      </w:r>
    </w:p>
    <w:p w14:paraId="41F35B1E"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t> </w:t>
      </w:r>
    </w:p>
    <w:p w14:paraId="2FFB759A"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t>South Wales Police uses indirect communication in restorative justice as a method of obtaining a positive outcome without arresting or interviewing someone for an offence. If the perpetrator admits the offence they are accused of, then they are asked to sign</w:t>
      </w:r>
      <w:r w:rsidRPr="00082A28">
        <w:rPr>
          <w:rFonts w:asciiTheme="minorHAnsi" w:hAnsiTheme="minorHAnsi" w:cstheme="minorHAnsi"/>
          <w:i/>
          <w:iCs/>
          <w:color w:val="FF0000"/>
          <w:sz w:val="24"/>
          <w:szCs w:val="24"/>
        </w:rPr>
        <w:t xml:space="preserve"> </w:t>
      </w:r>
      <w:r w:rsidRPr="00082A28">
        <w:rPr>
          <w:rFonts w:asciiTheme="minorHAnsi" w:hAnsiTheme="minorHAnsi" w:cstheme="minorHAnsi"/>
          <w:sz w:val="24"/>
          <w:szCs w:val="24"/>
        </w:rPr>
        <w:t>an official apology to the victim. The victim then signs to say they have accepted the apology. In South Wales Police, this is done through an app on officer’s phones where the form can be filled out by the officer using the appropriate language, explained to the victim/suspect and then the victim/suspect can sign it as a confirmation. The process can only be used once per offence type or victim, if the perpetrator was found to have committed the same offence to a different victim, or a different offence to the same victim, this process would no longer be applicable.</w:t>
      </w:r>
    </w:p>
    <w:p w14:paraId="5CDB5768"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t> </w:t>
      </w:r>
    </w:p>
    <w:p w14:paraId="65B50F0A"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t>There is a risk, even using an appropriate adult, that the perpetrator would not grasp the gravity of the situation. This could lead to a repeated behaviour, due to lack of understanding, not fully appreciating the wrongness of actions or believing the consequences are less due to their age. It acts as an official warning on record. Any further commission of offences can be dealt with more seriously, and if the gravity is explained to the child perpetrator in a way that they fully understand, then they are less likely to re-</w:t>
      </w:r>
      <w:r w:rsidRPr="00082A28">
        <w:rPr>
          <w:rFonts w:asciiTheme="minorHAnsi" w:hAnsiTheme="minorHAnsi" w:cstheme="minorHAnsi"/>
          <w:sz w:val="24"/>
          <w:szCs w:val="24"/>
        </w:rPr>
        <w:lastRenderedPageBreak/>
        <w:t xml:space="preserve">offend (note statistics above). In addition, YOT can use parenting orders for juveniles which encourage parents to be more aware of the whereabouts and activities of their children. The advantage is that it is a positive approach to crime, to which all those involved </w:t>
      </w:r>
      <w:proofErr w:type="gramStart"/>
      <w:r w:rsidRPr="00082A28">
        <w:rPr>
          <w:rFonts w:asciiTheme="minorHAnsi" w:hAnsiTheme="minorHAnsi" w:cstheme="minorHAnsi"/>
          <w:sz w:val="24"/>
          <w:szCs w:val="24"/>
        </w:rPr>
        <w:t>have to</w:t>
      </w:r>
      <w:proofErr w:type="gramEnd"/>
      <w:r w:rsidRPr="00082A28">
        <w:rPr>
          <w:rFonts w:asciiTheme="minorHAnsi" w:hAnsiTheme="minorHAnsi" w:cstheme="minorHAnsi"/>
          <w:sz w:val="24"/>
          <w:szCs w:val="24"/>
        </w:rPr>
        <w:t xml:space="preserve"> agree with, and which does not criminalise a juvenile. </w:t>
      </w:r>
    </w:p>
    <w:p w14:paraId="6E0EDFCD"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t> </w:t>
      </w:r>
    </w:p>
    <w:p w14:paraId="4BACAE43"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t xml:space="preserve">The Code of Ethics (College of Policing, 2014) sets out a clear structure for the expected behaviour and conduct of police officers across the UK, this means that whenever police officers respond to </w:t>
      </w:r>
      <w:proofErr w:type="gramStart"/>
      <w:r w:rsidRPr="00082A28">
        <w:rPr>
          <w:rFonts w:asciiTheme="minorHAnsi" w:hAnsiTheme="minorHAnsi" w:cstheme="minorHAnsi"/>
          <w:sz w:val="24"/>
          <w:szCs w:val="24"/>
        </w:rPr>
        <w:t>calls</w:t>
      </w:r>
      <w:proofErr w:type="gramEnd"/>
      <w:r w:rsidRPr="00082A28">
        <w:rPr>
          <w:rFonts w:asciiTheme="minorHAnsi" w:hAnsiTheme="minorHAnsi" w:cstheme="minorHAnsi"/>
          <w:sz w:val="24"/>
          <w:szCs w:val="24"/>
        </w:rPr>
        <w:t xml:space="preserve"> they should do so in a professional manner. The Code of Ethics was set out </w:t>
      </w:r>
      <w:proofErr w:type="gramStart"/>
      <w:r w:rsidRPr="00082A28">
        <w:rPr>
          <w:rFonts w:asciiTheme="minorHAnsi" w:hAnsiTheme="minorHAnsi" w:cstheme="minorHAnsi"/>
          <w:sz w:val="24"/>
          <w:szCs w:val="24"/>
        </w:rPr>
        <w:t>in order to</w:t>
      </w:r>
      <w:proofErr w:type="gramEnd"/>
      <w:r w:rsidRPr="00082A28">
        <w:rPr>
          <w:rFonts w:asciiTheme="minorHAnsi" w:hAnsiTheme="minorHAnsi" w:cstheme="minorHAnsi"/>
          <w:sz w:val="24"/>
          <w:szCs w:val="24"/>
        </w:rPr>
        <w:t xml:space="preserve"> ‘obtain full professional status for policing’ (College of Policing, 2014). The Code builds on the principles of policing outlined by Sir Robert Peel in 1829 and seeks to modernise these principles and ensure their relevance </w:t>
      </w:r>
      <w:proofErr w:type="gramStart"/>
      <w:r w:rsidRPr="00082A28">
        <w:rPr>
          <w:rFonts w:asciiTheme="minorHAnsi" w:hAnsiTheme="minorHAnsi" w:cstheme="minorHAnsi"/>
          <w:sz w:val="24"/>
          <w:szCs w:val="24"/>
        </w:rPr>
        <w:t>in today’s society</w:t>
      </w:r>
      <w:proofErr w:type="gramEnd"/>
      <w:r w:rsidRPr="00082A28">
        <w:rPr>
          <w:rFonts w:asciiTheme="minorHAnsi" w:hAnsiTheme="minorHAnsi" w:cstheme="minorHAnsi"/>
          <w:sz w:val="24"/>
          <w:szCs w:val="24"/>
        </w:rPr>
        <w:t>:</w:t>
      </w:r>
    </w:p>
    <w:p w14:paraId="3AA624AB"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eastAsia="Symbol" w:hAnsiTheme="minorHAnsi" w:cstheme="minorHAnsi"/>
          <w:sz w:val="24"/>
          <w:szCs w:val="24"/>
        </w:rPr>
        <w:t xml:space="preserve">·      </w:t>
      </w:r>
      <w:r w:rsidRPr="00082A28">
        <w:rPr>
          <w:rFonts w:asciiTheme="minorHAnsi" w:hAnsiTheme="minorHAnsi" w:cstheme="minorHAnsi"/>
          <w:sz w:val="24"/>
          <w:szCs w:val="24"/>
        </w:rPr>
        <w:t>Honesty and Integrity</w:t>
      </w:r>
    </w:p>
    <w:p w14:paraId="12D99648"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eastAsia="Symbol" w:hAnsiTheme="minorHAnsi" w:cstheme="minorHAnsi"/>
          <w:sz w:val="24"/>
          <w:szCs w:val="24"/>
        </w:rPr>
        <w:t xml:space="preserve">·      </w:t>
      </w:r>
      <w:r w:rsidRPr="00082A28">
        <w:rPr>
          <w:rFonts w:asciiTheme="minorHAnsi" w:hAnsiTheme="minorHAnsi" w:cstheme="minorHAnsi"/>
          <w:sz w:val="24"/>
          <w:szCs w:val="24"/>
        </w:rPr>
        <w:t>Authority, Respect and Courtesy</w:t>
      </w:r>
    </w:p>
    <w:p w14:paraId="4066F9AF"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eastAsia="Symbol" w:hAnsiTheme="minorHAnsi" w:cstheme="minorHAnsi"/>
          <w:sz w:val="24"/>
          <w:szCs w:val="24"/>
        </w:rPr>
        <w:t xml:space="preserve">·      </w:t>
      </w:r>
      <w:r w:rsidRPr="00082A28">
        <w:rPr>
          <w:rFonts w:asciiTheme="minorHAnsi" w:hAnsiTheme="minorHAnsi" w:cstheme="minorHAnsi"/>
          <w:sz w:val="24"/>
          <w:szCs w:val="24"/>
        </w:rPr>
        <w:t>Equality and Diversity</w:t>
      </w:r>
    </w:p>
    <w:p w14:paraId="49858AE3"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eastAsia="Symbol" w:hAnsiTheme="minorHAnsi" w:cstheme="minorHAnsi"/>
          <w:sz w:val="24"/>
          <w:szCs w:val="24"/>
        </w:rPr>
        <w:t xml:space="preserve">·      </w:t>
      </w:r>
      <w:r w:rsidRPr="00082A28">
        <w:rPr>
          <w:rFonts w:asciiTheme="minorHAnsi" w:hAnsiTheme="minorHAnsi" w:cstheme="minorHAnsi"/>
          <w:sz w:val="24"/>
          <w:szCs w:val="24"/>
        </w:rPr>
        <w:t>Use of Force</w:t>
      </w:r>
    </w:p>
    <w:p w14:paraId="232DF7EA"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eastAsia="Symbol" w:hAnsiTheme="minorHAnsi" w:cstheme="minorHAnsi"/>
          <w:sz w:val="24"/>
          <w:szCs w:val="24"/>
        </w:rPr>
        <w:t xml:space="preserve">·      </w:t>
      </w:r>
      <w:r w:rsidRPr="00082A28">
        <w:rPr>
          <w:rFonts w:asciiTheme="minorHAnsi" w:hAnsiTheme="minorHAnsi" w:cstheme="minorHAnsi"/>
          <w:sz w:val="24"/>
          <w:szCs w:val="24"/>
        </w:rPr>
        <w:t>Orders and Instructions</w:t>
      </w:r>
    </w:p>
    <w:p w14:paraId="358C907E"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eastAsia="Symbol" w:hAnsiTheme="minorHAnsi" w:cstheme="minorHAnsi"/>
          <w:sz w:val="24"/>
          <w:szCs w:val="24"/>
        </w:rPr>
        <w:t xml:space="preserve">·      </w:t>
      </w:r>
      <w:r w:rsidRPr="00082A28">
        <w:rPr>
          <w:rFonts w:asciiTheme="minorHAnsi" w:hAnsiTheme="minorHAnsi" w:cstheme="minorHAnsi"/>
          <w:sz w:val="24"/>
          <w:szCs w:val="24"/>
        </w:rPr>
        <w:t>Duties and Responsibilities</w:t>
      </w:r>
    </w:p>
    <w:p w14:paraId="6C900C5C"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eastAsia="Symbol" w:hAnsiTheme="minorHAnsi" w:cstheme="minorHAnsi"/>
          <w:sz w:val="24"/>
          <w:szCs w:val="24"/>
        </w:rPr>
        <w:t xml:space="preserve">·      </w:t>
      </w:r>
      <w:r w:rsidRPr="00082A28">
        <w:rPr>
          <w:rFonts w:asciiTheme="minorHAnsi" w:hAnsiTheme="minorHAnsi" w:cstheme="minorHAnsi"/>
          <w:sz w:val="24"/>
          <w:szCs w:val="24"/>
        </w:rPr>
        <w:t>Confidentiality</w:t>
      </w:r>
    </w:p>
    <w:p w14:paraId="6D371669"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eastAsia="Symbol" w:hAnsiTheme="minorHAnsi" w:cstheme="minorHAnsi"/>
          <w:sz w:val="24"/>
          <w:szCs w:val="24"/>
        </w:rPr>
        <w:t xml:space="preserve">·      </w:t>
      </w:r>
      <w:r w:rsidRPr="00082A28">
        <w:rPr>
          <w:rFonts w:asciiTheme="minorHAnsi" w:hAnsiTheme="minorHAnsi" w:cstheme="minorHAnsi"/>
          <w:sz w:val="24"/>
          <w:szCs w:val="24"/>
        </w:rPr>
        <w:t>Fitness for Work</w:t>
      </w:r>
    </w:p>
    <w:p w14:paraId="7563B70C"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eastAsia="Symbol" w:hAnsiTheme="minorHAnsi" w:cstheme="minorHAnsi"/>
          <w:sz w:val="24"/>
          <w:szCs w:val="24"/>
        </w:rPr>
        <w:t xml:space="preserve">·      </w:t>
      </w:r>
      <w:r w:rsidRPr="00082A28">
        <w:rPr>
          <w:rFonts w:asciiTheme="minorHAnsi" w:hAnsiTheme="minorHAnsi" w:cstheme="minorHAnsi"/>
          <w:sz w:val="24"/>
          <w:szCs w:val="24"/>
        </w:rPr>
        <w:t>Conduct</w:t>
      </w:r>
    </w:p>
    <w:p w14:paraId="0D723FC6"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eastAsia="Symbol" w:hAnsiTheme="minorHAnsi" w:cstheme="minorHAnsi"/>
          <w:sz w:val="24"/>
          <w:szCs w:val="24"/>
        </w:rPr>
        <w:t xml:space="preserve">·      </w:t>
      </w:r>
      <w:r w:rsidRPr="00082A28">
        <w:rPr>
          <w:rFonts w:asciiTheme="minorHAnsi" w:hAnsiTheme="minorHAnsi" w:cstheme="minorHAnsi"/>
          <w:sz w:val="24"/>
          <w:szCs w:val="24"/>
        </w:rPr>
        <w:t>Challenging and Reporting Improper Behaviour</w:t>
      </w:r>
    </w:p>
    <w:p w14:paraId="73053E82"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t>The third element of equality and diversity requires that officers will not act in an unfair manner, and they will ensure that they consider equality in the way they deal with incidents. Police officers should consider the full circumstances of any case before them so they can ensure that they are dealing with it in a fair and competent manner.</w:t>
      </w:r>
    </w:p>
    <w:p w14:paraId="2B3BE82E"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t> </w:t>
      </w:r>
    </w:p>
    <w:p w14:paraId="3446F65E"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t xml:space="preserve">Evidence Based Policing (College of Policing, 2019) is utilised by police services and is ‘an approach that involves police officers and staff working with academics, </w:t>
      </w:r>
      <w:proofErr w:type="gramStart"/>
      <w:r w:rsidRPr="00082A28">
        <w:rPr>
          <w:rFonts w:asciiTheme="minorHAnsi" w:hAnsiTheme="minorHAnsi" w:cstheme="minorHAnsi"/>
          <w:sz w:val="24"/>
          <w:szCs w:val="24"/>
        </w:rPr>
        <w:t>partners</w:t>
      </w:r>
      <w:proofErr w:type="gramEnd"/>
      <w:r w:rsidRPr="00082A28">
        <w:rPr>
          <w:rFonts w:asciiTheme="minorHAnsi" w:hAnsiTheme="minorHAnsi" w:cstheme="minorHAnsi"/>
          <w:sz w:val="24"/>
          <w:szCs w:val="24"/>
        </w:rPr>
        <w:t xml:space="preserve"> and colleagues to create, review and use the best available evidence to inform and challenge policing policies, practices and decisions’ (College of Policing, 2019). This requires police making decisions while ensuring that the evidence has come from the right sources and is of </w:t>
      </w:r>
      <w:r w:rsidRPr="00082A28">
        <w:rPr>
          <w:rFonts w:asciiTheme="minorHAnsi" w:hAnsiTheme="minorHAnsi" w:cstheme="minorHAnsi"/>
          <w:sz w:val="24"/>
          <w:szCs w:val="24"/>
        </w:rPr>
        <w:lastRenderedPageBreak/>
        <w:t>a good enough quality to be sufficient in making more complex decisions. (</w:t>
      </w:r>
      <w:proofErr w:type="spellStart"/>
      <w:r w:rsidRPr="00082A28">
        <w:rPr>
          <w:rFonts w:asciiTheme="minorHAnsi" w:hAnsiTheme="minorHAnsi" w:cstheme="minorHAnsi"/>
          <w:sz w:val="24"/>
          <w:szCs w:val="24"/>
        </w:rPr>
        <w:t>Barends</w:t>
      </w:r>
      <w:proofErr w:type="spellEnd"/>
      <w:r w:rsidRPr="00082A28">
        <w:rPr>
          <w:rFonts w:asciiTheme="minorHAnsi" w:hAnsiTheme="minorHAnsi" w:cstheme="minorHAnsi"/>
          <w:sz w:val="24"/>
          <w:szCs w:val="24"/>
        </w:rPr>
        <w:t xml:space="preserve"> et. Al., 2014).</w:t>
      </w:r>
    </w:p>
    <w:p w14:paraId="21663CD5"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color w:val="FF0000"/>
          <w:sz w:val="24"/>
          <w:szCs w:val="24"/>
        </w:rPr>
        <w:t> </w:t>
      </w:r>
    </w:p>
    <w:p w14:paraId="6A387232"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t>Restorative justice allowed the case to be explained to the suspect with the support of his appropriate adult and the seriousness of the situation explained in a way which the suspect was more likely to understand. In line with THRIVE, this means that each individual circumstance of the case was considered before a decision was made, and the evidence based policing model was also followed, applying a solution that was suitable and acceptable to all.</w:t>
      </w:r>
    </w:p>
    <w:p w14:paraId="1281D88F"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t> </w:t>
      </w:r>
    </w:p>
    <w:p w14:paraId="1A5DAB1C"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t>Restorative justice as a method was the subject of a seven-year research programme funded by the Ministry of Justice, referenced above (Restorative Justice Council, 2015). In addition to the statistics included above, it found that:</w:t>
      </w:r>
    </w:p>
    <w:p w14:paraId="167A1DC0"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eastAsia="Symbol" w:hAnsiTheme="minorHAnsi" w:cstheme="minorHAnsi"/>
          <w:sz w:val="24"/>
          <w:szCs w:val="24"/>
        </w:rPr>
        <w:t xml:space="preserve">·      </w:t>
      </w:r>
      <w:r w:rsidRPr="00082A28">
        <w:rPr>
          <w:rFonts w:asciiTheme="minorHAnsi" w:hAnsiTheme="minorHAnsi" w:cstheme="minorHAnsi"/>
          <w:sz w:val="24"/>
          <w:szCs w:val="24"/>
        </w:rPr>
        <w:t xml:space="preserve">70% of victims chose to take part in </w:t>
      </w:r>
      <w:proofErr w:type="gramStart"/>
      <w:r w:rsidRPr="00082A28">
        <w:rPr>
          <w:rFonts w:asciiTheme="minorHAnsi" w:hAnsiTheme="minorHAnsi" w:cstheme="minorHAnsi"/>
          <w:sz w:val="24"/>
          <w:szCs w:val="24"/>
        </w:rPr>
        <w:t>face to face</w:t>
      </w:r>
      <w:proofErr w:type="gramEnd"/>
      <w:r w:rsidRPr="00082A28">
        <w:rPr>
          <w:rFonts w:asciiTheme="minorHAnsi" w:hAnsiTheme="minorHAnsi" w:cstheme="minorHAnsi"/>
          <w:sz w:val="24"/>
          <w:szCs w:val="24"/>
        </w:rPr>
        <w:t xml:space="preserve"> meeting, led to 85% satisfaction rates </w:t>
      </w:r>
    </w:p>
    <w:p w14:paraId="65D41AA6"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eastAsia="Symbol" w:hAnsiTheme="minorHAnsi" w:cstheme="minorHAnsi"/>
          <w:sz w:val="24"/>
          <w:szCs w:val="24"/>
        </w:rPr>
        <w:t xml:space="preserve">·      </w:t>
      </w:r>
      <w:r w:rsidRPr="00082A28">
        <w:rPr>
          <w:rFonts w:asciiTheme="minorHAnsi" w:hAnsiTheme="minorHAnsi" w:cstheme="minorHAnsi"/>
          <w:sz w:val="24"/>
          <w:szCs w:val="24"/>
        </w:rPr>
        <w:t>78% would recommend the approach, only 5% would not</w:t>
      </w:r>
    </w:p>
    <w:p w14:paraId="150F5296"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eastAsia="Symbol" w:hAnsiTheme="minorHAnsi" w:cstheme="minorHAnsi"/>
          <w:sz w:val="24"/>
          <w:szCs w:val="24"/>
        </w:rPr>
        <w:t xml:space="preserve">·      </w:t>
      </w:r>
      <w:r w:rsidRPr="00082A28">
        <w:rPr>
          <w:rFonts w:asciiTheme="minorHAnsi" w:hAnsiTheme="minorHAnsi" w:cstheme="minorHAnsi"/>
          <w:sz w:val="24"/>
          <w:szCs w:val="24"/>
        </w:rPr>
        <w:t>For every £1 spent on restorative justice £8 is saved through a reduction in reoffending.</w:t>
      </w:r>
    </w:p>
    <w:p w14:paraId="07DFF6C6"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t>As demonstrated above, restorative justice has been shown to be successful in terms of crime reduction, victim satisfaction and reduction in public spending.</w:t>
      </w:r>
    </w:p>
    <w:p w14:paraId="360AB8D6"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color w:val="FF0000"/>
          <w:sz w:val="24"/>
          <w:szCs w:val="24"/>
        </w:rPr>
        <w:t> </w:t>
      </w:r>
    </w:p>
    <w:p w14:paraId="5461B857"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t>When the perpetrator is under 10, there are fewer options available due to them being below the age of criminal responsibility. By seeking restorative justice, police officers do not blight the life chances of a child by criminalising them at too young an age.</w:t>
      </w:r>
    </w:p>
    <w:p w14:paraId="43E9D033"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t> </w:t>
      </w:r>
    </w:p>
    <w:p w14:paraId="7BE51242"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t xml:space="preserve">In terms of arrests for youth offending, public order offences were down 11% and violence against the person down 10% (2020-2021), with the number of </w:t>
      </w:r>
      <w:proofErr w:type="gramStart"/>
      <w:r w:rsidRPr="00082A28">
        <w:rPr>
          <w:rFonts w:asciiTheme="minorHAnsi" w:hAnsiTheme="minorHAnsi" w:cstheme="minorHAnsi"/>
          <w:sz w:val="24"/>
          <w:szCs w:val="24"/>
        </w:rPr>
        <w:t>first time</w:t>
      </w:r>
      <w:proofErr w:type="gramEnd"/>
      <w:r w:rsidRPr="00082A28">
        <w:rPr>
          <w:rFonts w:asciiTheme="minorHAnsi" w:hAnsiTheme="minorHAnsi" w:cstheme="minorHAnsi"/>
          <w:sz w:val="24"/>
          <w:szCs w:val="24"/>
        </w:rPr>
        <w:t xml:space="preserve"> entrants aged 10-17 </w:t>
      </w:r>
      <w:proofErr w:type="spellStart"/>
      <w:r w:rsidRPr="00082A28">
        <w:rPr>
          <w:rFonts w:asciiTheme="minorHAnsi" w:hAnsiTheme="minorHAnsi" w:cstheme="minorHAnsi"/>
          <w:sz w:val="24"/>
          <w:szCs w:val="24"/>
        </w:rPr>
        <w:t>yrs</w:t>
      </w:r>
      <w:proofErr w:type="spellEnd"/>
      <w:r w:rsidRPr="00082A28">
        <w:rPr>
          <w:rFonts w:asciiTheme="minorHAnsi" w:hAnsiTheme="minorHAnsi" w:cstheme="minorHAnsi"/>
          <w:sz w:val="24"/>
          <w:szCs w:val="24"/>
        </w:rPr>
        <w:t xml:space="preserve"> to the youth justice system falling by 81% from March 2011 (46,000) to around 8,800 March 2021. 15,800 children received a caution in year ending March 2021, an 82% decrease </w:t>
      </w:r>
      <w:proofErr w:type="gramStart"/>
      <w:r w:rsidRPr="00082A28">
        <w:rPr>
          <w:rFonts w:asciiTheme="minorHAnsi" w:hAnsiTheme="minorHAnsi" w:cstheme="minorHAnsi"/>
          <w:sz w:val="24"/>
          <w:szCs w:val="24"/>
        </w:rPr>
        <w:t>on</w:t>
      </w:r>
      <w:proofErr w:type="gramEnd"/>
      <w:r w:rsidRPr="00082A28">
        <w:rPr>
          <w:rFonts w:asciiTheme="minorHAnsi" w:hAnsiTheme="minorHAnsi" w:cstheme="minorHAnsi"/>
          <w:sz w:val="24"/>
          <w:szCs w:val="24"/>
        </w:rPr>
        <w:t xml:space="preserve"> 2011. 18% of these were in the 10-14 age group. Children cautioned or sentenced had an average of 1.6 previous cautions or sentences, a decrease from 2.4 ten years ago (Ministry of Justice, 2022). This shows that the introduction of more means by which to deal with crime, other than simply arresting in the first instance, has had a positive influence on the number of children being criminalised.</w:t>
      </w:r>
    </w:p>
    <w:p w14:paraId="1DFA7719"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color w:val="FF0000"/>
          <w:sz w:val="24"/>
          <w:szCs w:val="24"/>
        </w:rPr>
        <w:lastRenderedPageBreak/>
        <w:t> </w:t>
      </w:r>
    </w:p>
    <w:p w14:paraId="2CB7BD25" w14:textId="77777777" w:rsidR="00082A28" w:rsidRPr="00082A28" w:rsidRDefault="00082A28" w:rsidP="00082A28">
      <w:pPr>
        <w:pStyle w:val="NoSpacing"/>
        <w:spacing w:line="360" w:lineRule="auto"/>
        <w:rPr>
          <w:rFonts w:asciiTheme="minorHAnsi" w:hAnsiTheme="minorHAnsi" w:cstheme="minorHAnsi"/>
          <w:sz w:val="24"/>
          <w:szCs w:val="24"/>
        </w:rPr>
      </w:pPr>
      <w:r w:rsidRPr="00082A28">
        <w:rPr>
          <w:rFonts w:asciiTheme="minorHAnsi" w:hAnsiTheme="minorHAnsi" w:cstheme="minorHAnsi"/>
          <w:sz w:val="24"/>
          <w:szCs w:val="24"/>
        </w:rPr>
        <w:t>Overall, while dealing with victims of crime or anti-social behaviour, police in the UK are likely to come across vulnerability on a near daily basis, with ‘up to 20% of police time responding to people with mental health problems’ (Home Office, 2013). Police officers respond to calls with an aspect of vulnerability and need to adjust their methods accordingly. There are several outcomes available to police officers and not all positive outcomes need to involve criminalising or arresting individuals. There are many ways to take vulnerability and risk into account when dealing with both the victims and suspects in anti-social behaviour or criminal matters, and some are more appropriate than others when encountering vulnerabilities such as age, health conditions or mental health issues. Police officers need to weigh up all factors before reaching a decision for the welfare of everyone involved and to ensure that victims are receiving the best care possible.</w:t>
      </w:r>
    </w:p>
    <w:p w14:paraId="1FDFFDB9" w14:textId="77777777" w:rsidR="00082A28" w:rsidRDefault="00082A28" w:rsidP="00082A28">
      <w:pPr>
        <w:spacing w:before="100" w:beforeAutospacing="1" w:after="100" w:afterAutospacing="1"/>
      </w:pPr>
      <w:r>
        <w:rPr>
          <w:color w:val="000000" w:themeColor="text1"/>
        </w:rPr>
        <w:t> </w:t>
      </w:r>
    </w:p>
    <w:p w14:paraId="6F156E68" w14:textId="6473A393" w:rsidR="00082A28" w:rsidRPr="00082A28" w:rsidRDefault="00082A28" w:rsidP="00082A28">
      <w:pPr>
        <w:spacing w:before="100" w:beforeAutospacing="1" w:after="100" w:afterAutospacing="1"/>
        <w:rPr>
          <w:b/>
          <w:bCs/>
        </w:rPr>
      </w:pPr>
      <w:r w:rsidRPr="00082A28">
        <w:rPr>
          <w:b/>
          <w:bCs/>
          <w:color w:val="000000" w:themeColor="text1"/>
        </w:rPr>
        <w:t>2190</w:t>
      </w:r>
      <w:r w:rsidRPr="00082A28">
        <w:rPr>
          <w:b/>
          <w:bCs/>
          <w:color w:val="000000" w:themeColor="text1"/>
        </w:rPr>
        <w:t xml:space="preserve"> Words</w:t>
      </w:r>
    </w:p>
    <w:p w14:paraId="5A14BEB8" w14:textId="69952D76" w:rsidR="5B843AF0" w:rsidRPr="00E676F7" w:rsidRDefault="5B843AF0" w:rsidP="00082A28">
      <w:pPr>
        <w:ind w:right="237"/>
        <w:rPr>
          <w:b/>
          <w:bCs/>
          <w:sz w:val="24"/>
          <w:szCs w:val="24"/>
        </w:rPr>
      </w:pPr>
    </w:p>
    <w:p w14:paraId="2598748B" w14:textId="317DB806" w:rsidR="69F7424F" w:rsidRDefault="00E676F7" w:rsidP="003A101F">
      <w:pPr>
        <w:overflowPunct/>
        <w:autoSpaceDE/>
        <w:autoSpaceDN/>
        <w:adjustRightInd/>
        <w:textAlignment w:val="auto"/>
        <w:rPr>
          <w:b/>
          <w:bCs/>
          <w:sz w:val="24"/>
          <w:szCs w:val="24"/>
        </w:rPr>
      </w:pPr>
      <w:r w:rsidRPr="5CE196A1">
        <w:rPr>
          <w:b/>
          <w:bCs/>
          <w:sz w:val="24"/>
          <w:szCs w:val="24"/>
        </w:rPr>
        <w:br w:type="page"/>
      </w:r>
    </w:p>
    <w:p w14:paraId="6B0989EF" w14:textId="2ACC7CF3" w:rsidR="00025650" w:rsidRPr="00E676F7" w:rsidRDefault="5B843AF0" w:rsidP="5B843AF0">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3A8A1016" w14:textId="0D63309B" w:rsidR="0FF883D4" w:rsidRPr="003A101F"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74C72E6"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1AE08AFE" w:rsidR="005C76DE" w:rsidRPr="00E676F7" w:rsidRDefault="00DF0597" w:rsidP="5CE196A1">
      <w:pPr>
        <w:ind w:right="237"/>
        <w:jc w:val="both"/>
        <w:rPr>
          <w:b/>
          <w:bCs/>
          <w:sz w:val="24"/>
          <w:szCs w:val="24"/>
        </w:rPr>
      </w:pPr>
      <w:r>
        <w:rPr>
          <w:b/>
          <w:bCs/>
          <w:sz w:val="24"/>
          <w:szCs w:val="24"/>
        </w:rPr>
        <w:t xml:space="preserve"> </w:t>
      </w:r>
      <w:r w:rsidR="005C76DE" w:rsidRPr="5CE196A1">
        <w:rPr>
          <w:b/>
          <w:bCs/>
          <w:sz w:val="24"/>
          <w:szCs w:val="24"/>
        </w:rPr>
        <w:t>ANSWER:</w:t>
      </w:r>
    </w:p>
    <w:p w14:paraId="1E05796E" w14:textId="77777777" w:rsidR="005C76DE" w:rsidRPr="00E676F7" w:rsidRDefault="005C76DE" w:rsidP="005C76DE">
      <w:pPr>
        <w:ind w:right="237"/>
        <w:jc w:val="both"/>
        <w:rPr>
          <w:sz w:val="24"/>
          <w:szCs w:val="24"/>
        </w:rPr>
      </w:pPr>
    </w:p>
    <w:p w14:paraId="77185B9A" w14:textId="5DE3C839" w:rsidR="00025650" w:rsidRPr="00E676F7" w:rsidRDefault="00025650" w:rsidP="0FF883D4">
      <w:pPr>
        <w:ind w:right="237"/>
        <w:jc w:val="both"/>
        <w:rPr>
          <w:color w:val="000000" w:themeColor="text1"/>
          <w:sz w:val="24"/>
          <w:szCs w:val="24"/>
        </w:rPr>
      </w:pPr>
    </w:p>
    <w:p w14:paraId="34930B0D"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The Domestic Abuse Act 2021 defines domestic abuse as any incident or pattern of incidents between those aged 16 years and over who:</w:t>
      </w:r>
    </w:p>
    <w:p w14:paraId="081BC6C5"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lastRenderedPageBreak/>
        <w:t xml:space="preserve">•          Are a partner </w:t>
      </w:r>
    </w:p>
    <w:p w14:paraId="2CA52D43"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          Are an ex-partner</w:t>
      </w:r>
    </w:p>
    <w:p w14:paraId="57C637EF"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          Are a relative</w:t>
      </w:r>
    </w:p>
    <w:p w14:paraId="6A5CA86F"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          Have, or there has been a time when they each have had, a parental relationship in relation to the same child</w:t>
      </w:r>
    </w:p>
    <w:p w14:paraId="7FB697A4"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 </w:t>
      </w:r>
    </w:p>
    <w:p w14:paraId="1AE46F4F"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The Act also outlines the following behaviours as abuse:</w:t>
      </w:r>
    </w:p>
    <w:p w14:paraId="488EDF93"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          Physical or sexual abuse</w:t>
      </w:r>
    </w:p>
    <w:p w14:paraId="2C23D4E2"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          Violent or threatening behaviour</w:t>
      </w:r>
    </w:p>
    <w:p w14:paraId="75AAAAB4"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          Controlling or coercive behaviour</w:t>
      </w:r>
    </w:p>
    <w:p w14:paraId="2F63BBF8"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          Economic abuse</w:t>
      </w:r>
    </w:p>
    <w:p w14:paraId="202EE73F"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          Psychological, emotional, or other abuse</w:t>
      </w:r>
    </w:p>
    <w:p w14:paraId="426A20AC"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The Act recognises that children under the age of 18 years who see, or hear, or experience the effects of the abuse, are a victim of the domestic abuse if they are related or have a parental relationship to the adult victim or perpetrators of the abuse.</w:t>
      </w:r>
    </w:p>
    <w:p w14:paraId="7C743694"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FF0000"/>
          <w:sz w:val="22"/>
          <w:szCs w:val="22"/>
        </w:rPr>
        <w:t> </w:t>
      </w:r>
    </w:p>
    <w:p w14:paraId="115ED2A4"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 xml:space="preserve">According to the Crime Survey for England and Wales (CSEW) year ending March 2022: </w:t>
      </w:r>
    </w:p>
    <w:p w14:paraId="7DC38F41" w14:textId="77777777" w:rsidR="00082A28" w:rsidRPr="00082A28" w:rsidRDefault="00082A28" w:rsidP="00082A28">
      <w:pPr>
        <w:overflowPunct/>
        <w:autoSpaceDE/>
        <w:autoSpaceDN/>
        <w:adjustRightInd/>
        <w:spacing w:before="100" w:beforeAutospacing="1" w:after="100" w:afterAutospacing="1"/>
        <w:ind w:hanging="360"/>
        <w:textAlignment w:val="auto"/>
        <w:rPr>
          <w:rFonts w:ascii="Calibri" w:eastAsia="Calibri" w:hAnsi="Calibri" w:cs="Calibri"/>
          <w:color w:val="auto"/>
          <w:sz w:val="22"/>
          <w:szCs w:val="22"/>
        </w:rPr>
      </w:pPr>
      <w:r w:rsidRPr="00082A28">
        <w:rPr>
          <w:rFonts w:ascii="Symbol" w:eastAsia="Symbol" w:hAnsi="Symbol" w:cs="Symbol"/>
          <w:color w:val="auto"/>
          <w:sz w:val="22"/>
          <w:szCs w:val="22"/>
        </w:rPr>
        <w:t>·</w:t>
      </w:r>
      <w:r w:rsidRPr="00082A28">
        <w:rPr>
          <w:rFonts w:ascii="Times New Roman" w:eastAsia="Symbol" w:hAnsi="Times New Roman" w:cs="Times New Roman"/>
          <w:color w:val="auto"/>
          <w:sz w:val="14"/>
          <w:szCs w:val="14"/>
        </w:rPr>
        <w:t xml:space="preserve">      </w:t>
      </w:r>
      <w:r w:rsidRPr="00082A28">
        <w:rPr>
          <w:rFonts w:ascii="Calibri" w:eastAsia="Calibri" w:hAnsi="Calibri" w:cs="Calibri"/>
          <w:color w:val="auto"/>
          <w:sz w:val="22"/>
          <w:szCs w:val="22"/>
        </w:rPr>
        <w:t>An estimated 6.9% of women (1.7 million) and 3.0% of men (699,000) experienced domestics abuse in 21/22</w:t>
      </w:r>
    </w:p>
    <w:p w14:paraId="525B9ADC" w14:textId="77777777" w:rsidR="00082A28" w:rsidRPr="00082A28" w:rsidRDefault="00082A28" w:rsidP="00082A28">
      <w:pPr>
        <w:overflowPunct/>
        <w:autoSpaceDE/>
        <w:autoSpaceDN/>
        <w:adjustRightInd/>
        <w:spacing w:before="100" w:beforeAutospacing="1" w:after="100" w:afterAutospacing="1"/>
        <w:ind w:hanging="360"/>
        <w:textAlignment w:val="auto"/>
        <w:rPr>
          <w:rFonts w:ascii="Calibri" w:eastAsia="Calibri" w:hAnsi="Calibri" w:cs="Calibri"/>
          <w:color w:val="auto"/>
          <w:sz w:val="22"/>
          <w:szCs w:val="22"/>
        </w:rPr>
      </w:pPr>
      <w:r w:rsidRPr="00082A28">
        <w:rPr>
          <w:rFonts w:ascii="Symbol" w:eastAsia="Symbol" w:hAnsi="Symbol" w:cs="Symbol"/>
          <w:color w:val="auto"/>
          <w:sz w:val="22"/>
          <w:szCs w:val="22"/>
        </w:rPr>
        <w:t>·</w:t>
      </w:r>
      <w:r w:rsidRPr="00082A28">
        <w:rPr>
          <w:rFonts w:ascii="Times New Roman" w:eastAsia="Symbol" w:hAnsi="Times New Roman" w:cs="Times New Roman"/>
          <w:color w:val="auto"/>
          <w:sz w:val="14"/>
          <w:szCs w:val="14"/>
        </w:rPr>
        <w:t xml:space="preserve">      </w:t>
      </w:r>
      <w:r w:rsidRPr="00082A28">
        <w:rPr>
          <w:rFonts w:ascii="Calibri" w:eastAsia="Calibri" w:hAnsi="Calibri" w:cs="Calibri"/>
          <w:color w:val="auto"/>
          <w:sz w:val="22"/>
          <w:szCs w:val="22"/>
        </w:rPr>
        <w:t>A higher proportion of adults aged 20 to 24 years were victims of any domestic abuse compared with adults aged 55 years and over</w:t>
      </w:r>
    </w:p>
    <w:p w14:paraId="1F50D9A4" w14:textId="77777777" w:rsidR="00082A28" w:rsidRPr="00082A28" w:rsidRDefault="00082A28" w:rsidP="00082A28">
      <w:pPr>
        <w:overflowPunct/>
        <w:autoSpaceDE/>
        <w:autoSpaceDN/>
        <w:adjustRightInd/>
        <w:spacing w:before="100" w:beforeAutospacing="1" w:after="100" w:afterAutospacing="1"/>
        <w:ind w:hanging="360"/>
        <w:textAlignment w:val="auto"/>
        <w:rPr>
          <w:rFonts w:ascii="Calibri" w:eastAsia="Calibri" w:hAnsi="Calibri" w:cs="Calibri"/>
          <w:color w:val="auto"/>
          <w:sz w:val="22"/>
          <w:szCs w:val="22"/>
        </w:rPr>
      </w:pPr>
      <w:r w:rsidRPr="00082A28">
        <w:rPr>
          <w:rFonts w:ascii="Symbol" w:eastAsia="Symbol" w:hAnsi="Symbol" w:cs="Symbol"/>
          <w:color w:val="auto"/>
          <w:sz w:val="22"/>
          <w:szCs w:val="22"/>
        </w:rPr>
        <w:t>·</w:t>
      </w:r>
      <w:r w:rsidRPr="00082A28">
        <w:rPr>
          <w:rFonts w:ascii="Times New Roman" w:eastAsia="Symbol" w:hAnsi="Times New Roman" w:cs="Times New Roman"/>
          <w:color w:val="auto"/>
          <w:sz w:val="14"/>
          <w:szCs w:val="14"/>
        </w:rPr>
        <w:t xml:space="preserve">      </w:t>
      </w:r>
      <w:r w:rsidRPr="00082A28">
        <w:rPr>
          <w:rFonts w:ascii="Calibri" w:eastAsia="Calibri" w:hAnsi="Calibri" w:cs="Calibri"/>
          <w:color w:val="auto"/>
          <w:sz w:val="22"/>
          <w:szCs w:val="22"/>
        </w:rPr>
        <w:t xml:space="preserve">A higher percentage of adults with a disability experienced domestic abuse than those without </w:t>
      </w:r>
    </w:p>
    <w:p w14:paraId="7BBA3BBF" w14:textId="77777777" w:rsidR="00082A28" w:rsidRPr="00082A28" w:rsidRDefault="00082A28" w:rsidP="00082A28">
      <w:pPr>
        <w:overflowPunct/>
        <w:autoSpaceDE/>
        <w:autoSpaceDN/>
        <w:adjustRightInd/>
        <w:spacing w:before="100" w:beforeAutospacing="1" w:after="100" w:afterAutospacing="1"/>
        <w:ind w:hanging="360"/>
        <w:textAlignment w:val="auto"/>
        <w:rPr>
          <w:rFonts w:ascii="Calibri" w:eastAsia="Calibri" w:hAnsi="Calibri" w:cs="Calibri"/>
          <w:color w:val="auto"/>
          <w:sz w:val="22"/>
          <w:szCs w:val="22"/>
        </w:rPr>
      </w:pPr>
      <w:r w:rsidRPr="00082A28">
        <w:rPr>
          <w:rFonts w:ascii="Symbol" w:eastAsia="Symbol" w:hAnsi="Symbol" w:cs="Symbol"/>
          <w:color w:val="auto"/>
          <w:sz w:val="22"/>
          <w:szCs w:val="22"/>
        </w:rPr>
        <w:t>·</w:t>
      </w:r>
      <w:r w:rsidRPr="00082A28">
        <w:rPr>
          <w:rFonts w:ascii="Times New Roman" w:eastAsia="Symbol" w:hAnsi="Times New Roman" w:cs="Times New Roman"/>
          <w:color w:val="auto"/>
          <w:sz w:val="14"/>
          <w:szCs w:val="14"/>
        </w:rPr>
        <w:t xml:space="preserve">      </w:t>
      </w:r>
      <w:r w:rsidRPr="00082A28">
        <w:rPr>
          <w:rFonts w:ascii="Calibri" w:eastAsia="Calibri" w:hAnsi="Calibri" w:cs="Calibri"/>
          <w:color w:val="auto"/>
          <w:sz w:val="22"/>
          <w:szCs w:val="22"/>
        </w:rPr>
        <w:t>A higher proportion of adults who lived in single-parent households experiences domestic abuse in the last year than those living in no-</w:t>
      </w:r>
      <w:proofErr w:type="gramStart"/>
      <w:r w:rsidRPr="00082A28">
        <w:rPr>
          <w:rFonts w:ascii="Calibri" w:eastAsia="Calibri" w:hAnsi="Calibri" w:cs="Calibri"/>
          <w:color w:val="auto"/>
          <w:sz w:val="22"/>
          <w:szCs w:val="22"/>
        </w:rPr>
        <w:t>children</w:t>
      </w:r>
      <w:proofErr w:type="gramEnd"/>
      <w:r w:rsidRPr="00082A28">
        <w:rPr>
          <w:rFonts w:ascii="Calibri" w:eastAsia="Calibri" w:hAnsi="Calibri" w:cs="Calibri"/>
          <w:color w:val="auto"/>
          <w:sz w:val="22"/>
          <w:szCs w:val="22"/>
        </w:rPr>
        <w:t xml:space="preserve"> households or households with adults and children</w:t>
      </w:r>
    </w:p>
    <w:p w14:paraId="3293000E" w14:textId="77777777" w:rsidR="00082A28" w:rsidRPr="00082A28" w:rsidRDefault="00082A28" w:rsidP="00082A28">
      <w:pPr>
        <w:overflowPunct/>
        <w:autoSpaceDE/>
        <w:autoSpaceDN/>
        <w:adjustRightInd/>
        <w:spacing w:before="100" w:beforeAutospacing="1" w:after="100" w:afterAutospacing="1"/>
        <w:ind w:hanging="360"/>
        <w:textAlignment w:val="auto"/>
        <w:rPr>
          <w:rFonts w:ascii="Calibri" w:eastAsia="Calibri" w:hAnsi="Calibri" w:cs="Calibri"/>
          <w:color w:val="auto"/>
          <w:sz w:val="22"/>
          <w:szCs w:val="22"/>
        </w:rPr>
      </w:pPr>
      <w:r w:rsidRPr="00082A28">
        <w:rPr>
          <w:rFonts w:ascii="Symbol" w:eastAsia="Symbol" w:hAnsi="Symbol" w:cs="Symbol"/>
          <w:color w:val="auto"/>
          <w:sz w:val="22"/>
          <w:szCs w:val="22"/>
        </w:rPr>
        <w:t>·</w:t>
      </w:r>
      <w:r w:rsidRPr="00082A28">
        <w:rPr>
          <w:rFonts w:ascii="Times New Roman" w:eastAsia="Symbol" w:hAnsi="Times New Roman" w:cs="Times New Roman"/>
          <w:color w:val="auto"/>
          <w:sz w:val="14"/>
          <w:szCs w:val="14"/>
        </w:rPr>
        <w:t xml:space="preserve">      </w:t>
      </w:r>
      <w:r w:rsidRPr="00082A28">
        <w:rPr>
          <w:rFonts w:ascii="Calibri" w:eastAsia="Calibri" w:hAnsi="Calibri" w:cs="Calibri"/>
          <w:color w:val="auto"/>
          <w:sz w:val="22"/>
          <w:szCs w:val="22"/>
        </w:rPr>
        <w:t>In the year ending March 2022 the victim was female in 74.1% domestic abuse related crimes</w:t>
      </w:r>
    </w:p>
    <w:p w14:paraId="4C75E1B1" w14:textId="77777777" w:rsidR="00082A28" w:rsidRPr="00082A28" w:rsidRDefault="00082A28" w:rsidP="00082A28">
      <w:pPr>
        <w:overflowPunct/>
        <w:autoSpaceDE/>
        <w:autoSpaceDN/>
        <w:adjustRightInd/>
        <w:spacing w:before="100" w:beforeAutospacing="1" w:after="100" w:afterAutospacing="1"/>
        <w:ind w:hanging="360"/>
        <w:textAlignment w:val="auto"/>
        <w:rPr>
          <w:rFonts w:ascii="Calibri" w:eastAsia="Calibri" w:hAnsi="Calibri" w:cs="Calibri"/>
          <w:color w:val="auto"/>
          <w:sz w:val="22"/>
          <w:szCs w:val="22"/>
        </w:rPr>
      </w:pPr>
      <w:r w:rsidRPr="00082A28">
        <w:rPr>
          <w:rFonts w:ascii="Symbol" w:eastAsia="Symbol" w:hAnsi="Symbol" w:cs="Symbol"/>
          <w:color w:val="auto"/>
          <w:sz w:val="22"/>
          <w:szCs w:val="22"/>
        </w:rPr>
        <w:t>·</w:t>
      </w:r>
      <w:r w:rsidRPr="00082A28">
        <w:rPr>
          <w:rFonts w:ascii="Times New Roman" w:eastAsia="Symbol" w:hAnsi="Times New Roman" w:cs="Times New Roman"/>
          <w:color w:val="auto"/>
          <w:sz w:val="14"/>
          <w:szCs w:val="14"/>
        </w:rPr>
        <w:t xml:space="preserve">      </w:t>
      </w:r>
      <w:r w:rsidRPr="00082A28">
        <w:rPr>
          <w:rFonts w:ascii="Calibri" w:eastAsia="Calibri" w:hAnsi="Calibri" w:cs="Calibri"/>
          <w:color w:val="auto"/>
          <w:sz w:val="22"/>
          <w:szCs w:val="22"/>
        </w:rPr>
        <w:t>People of mixed ethnicity were more likely to experience domestic abuse than people of black or Asian ethnicity</w:t>
      </w:r>
    </w:p>
    <w:p w14:paraId="61601D83" w14:textId="77777777" w:rsidR="00082A28" w:rsidRPr="00082A28" w:rsidRDefault="00082A28" w:rsidP="00082A28">
      <w:pPr>
        <w:overflowPunct/>
        <w:autoSpaceDE/>
        <w:autoSpaceDN/>
        <w:adjustRightInd/>
        <w:spacing w:before="100" w:beforeAutospacing="1" w:after="100" w:afterAutospacing="1"/>
        <w:ind w:hanging="360"/>
        <w:textAlignment w:val="auto"/>
        <w:rPr>
          <w:rFonts w:ascii="Calibri" w:eastAsia="Calibri" w:hAnsi="Calibri" w:cs="Calibri"/>
          <w:color w:val="auto"/>
          <w:sz w:val="22"/>
          <w:szCs w:val="22"/>
        </w:rPr>
      </w:pPr>
      <w:r w:rsidRPr="00082A28">
        <w:rPr>
          <w:rFonts w:ascii="Symbol" w:eastAsia="Symbol" w:hAnsi="Symbol" w:cs="Symbol"/>
          <w:color w:val="auto"/>
          <w:sz w:val="22"/>
          <w:szCs w:val="22"/>
        </w:rPr>
        <w:t>·</w:t>
      </w:r>
      <w:r w:rsidRPr="00082A28">
        <w:rPr>
          <w:rFonts w:ascii="Times New Roman" w:eastAsia="Symbol" w:hAnsi="Times New Roman" w:cs="Times New Roman"/>
          <w:color w:val="auto"/>
          <w:sz w:val="14"/>
          <w:szCs w:val="14"/>
        </w:rPr>
        <w:t xml:space="preserve">      </w:t>
      </w:r>
      <w:r w:rsidRPr="00082A28">
        <w:rPr>
          <w:rFonts w:ascii="Calibri" w:eastAsia="Calibri" w:hAnsi="Calibri" w:cs="Calibri"/>
          <w:color w:val="auto"/>
          <w:sz w:val="22"/>
          <w:szCs w:val="22"/>
        </w:rPr>
        <w:t>Those with a disability were more likely to have experienced domestic abuse than those who were not</w:t>
      </w:r>
    </w:p>
    <w:p w14:paraId="3F591F1B"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00B050"/>
          <w:sz w:val="22"/>
          <w:szCs w:val="22"/>
        </w:rPr>
        <w:t> </w:t>
      </w:r>
    </w:p>
    <w:tbl>
      <w:tblPr>
        <w:tblStyle w:val="TableGrid1"/>
        <w:tblW w:w="0" w:type="auto"/>
        <w:tblInd w:w="0" w:type="dxa"/>
        <w:tblLook w:val="04A0" w:firstRow="1" w:lastRow="0" w:firstColumn="1" w:lastColumn="0" w:noHBand="0" w:noVBand="1"/>
      </w:tblPr>
      <w:tblGrid>
        <w:gridCol w:w="2252"/>
        <w:gridCol w:w="2252"/>
        <w:gridCol w:w="2253"/>
        <w:gridCol w:w="2253"/>
      </w:tblGrid>
      <w:tr w:rsidR="00082A28" w:rsidRPr="00082A28" w14:paraId="00FEE18A" w14:textId="77777777" w:rsidTr="00082A28">
        <w:tc>
          <w:tcPr>
            <w:tcW w:w="2252" w:type="dxa"/>
            <w:tcBorders>
              <w:top w:val="single" w:sz="4" w:space="0" w:color="auto"/>
              <w:left w:val="single" w:sz="4" w:space="0" w:color="auto"/>
              <w:bottom w:val="single" w:sz="4" w:space="0" w:color="auto"/>
              <w:right w:val="single" w:sz="4" w:space="0" w:color="auto"/>
            </w:tcBorders>
            <w:hideMark/>
          </w:tcPr>
          <w:p w14:paraId="590B1397"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b/>
                <w:bCs/>
                <w:color w:val="auto"/>
              </w:rPr>
              <w:t>Volume</w:t>
            </w:r>
          </w:p>
        </w:tc>
        <w:tc>
          <w:tcPr>
            <w:tcW w:w="2252" w:type="dxa"/>
            <w:tcBorders>
              <w:top w:val="single" w:sz="4" w:space="0" w:color="auto"/>
              <w:left w:val="single" w:sz="4" w:space="0" w:color="auto"/>
              <w:bottom w:val="single" w:sz="4" w:space="0" w:color="auto"/>
              <w:right w:val="single" w:sz="4" w:space="0" w:color="auto"/>
            </w:tcBorders>
            <w:hideMark/>
          </w:tcPr>
          <w:p w14:paraId="18FB7E52"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b/>
                <w:bCs/>
                <w:color w:val="auto"/>
              </w:rPr>
              <w:t>12 months to Aug 2013</w:t>
            </w:r>
          </w:p>
        </w:tc>
        <w:tc>
          <w:tcPr>
            <w:tcW w:w="2253" w:type="dxa"/>
            <w:tcBorders>
              <w:top w:val="single" w:sz="4" w:space="0" w:color="auto"/>
              <w:left w:val="single" w:sz="4" w:space="0" w:color="auto"/>
              <w:bottom w:val="single" w:sz="4" w:space="0" w:color="auto"/>
              <w:right w:val="single" w:sz="4" w:space="0" w:color="auto"/>
            </w:tcBorders>
            <w:hideMark/>
          </w:tcPr>
          <w:p w14:paraId="0329C9F0"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b/>
                <w:bCs/>
                <w:color w:val="auto"/>
              </w:rPr>
              <w:t>12 months to Mar 2015</w:t>
            </w:r>
          </w:p>
        </w:tc>
        <w:tc>
          <w:tcPr>
            <w:tcW w:w="2253" w:type="dxa"/>
            <w:tcBorders>
              <w:top w:val="single" w:sz="4" w:space="0" w:color="auto"/>
              <w:left w:val="single" w:sz="4" w:space="0" w:color="auto"/>
              <w:bottom w:val="single" w:sz="4" w:space="0" w:color="auto"/>
              <w:right w:val="single" w:sz="4" w:space="0" w:color="auto"/>
            </w:tcBorders>
            <w:hideMark/>
          </w:tcPr>
          <w:p w14:paraId="7534ADDD"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b/>
                <w:bCs/>
                <w:color w:val="auto"/>
              </w:rPr>
              <w:t>Change</w:t>
            </w:r>
          </w:p>
        </w:tc>
      </w:tr>
      <w:tr w:rsidR="00082A28" w:rsidRPr="00082A28" w14:paraId="7FAAB30F" w14:textId="77777777" w:rsidTr="00082A28">
        <w:tc>
          <w:tcPr>
            <w:tcW w:w="2252" w:type="dxa"/>
            <w:tcBorders>
              <w:top w:val="single" w:sz="4" w:space="0" w:color="auto"/>
              <w:left w:val="single" w:sz="4" w:space="0" w:color="auto"/>
              <w:bottom w:val="single" w:sz="4" w:space="0" w:color="auto"/>
              <w:right w:val="single" w:sz="4" w:space="0" w:color="auto"/>
            </w:tcBorders>
            <w:hideMark/>
          </w:tcPr>
          <w:p w14:paraId="4D1F250D"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lastRenderedPageBreak/>
              <w:t>Calls to police for domestics abuse related incidents</w:t>
            </w:r>
          </w:p>
        </w:tc>
        <w:tc>
          <w:tcPr>
            <w:tcW w:w="2252" w:type="dxa"/>
            <w:tcBorders>
              <w:top w:val="single" w:sz="4" w:space="0" w:color="auto"/>
              <w:left w:val="single" w:sz="4" w:space="0" w:color="auto"/>
              <w:bottom w:val="single" w:sz="4" w:space="0" w:color="auto"/>
              <w:right w:val="single" w:sz="4" w:space="0" w:color="auto"/>
            </w:tcBorders>
            <w:hideMark/>
          </w:tcPr>
          <w:p w14:paraId="3EDD4D39"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1,010,000</w:t>
            </w:r>
          </w:p>
        </w:tc>
        <w:tc>
          <w:tcPr>
            <w:tcW w:w="2253" w:type="dxa"/>
            <w:tcBorders>
              <w:top w:val="single" w:sz="4" w:space="0" w:color="auto"/>
              <w:left w:val="single" w:sz="4" w:space="0" w:color="auto"/>
              <w:bottom w:val="single" w:sz="4" w:space="0" w:color="auto"/>
              <w:right w:val="single" w:sz="4" w:space="0" w:color="auto"/>
            </w:tcBorders>
            <w:hideMark/>
          </w:tcPr>
          <w:p w14:paraId="4AE85F6B"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909,000</w:t>
            </w:r>
          </w:p>
        </w:tc>
        <w:tc>
          <w:tcPr>
            <w:tcW w:w="2253" w:type="dxa"/>
            <w:tcBorders>
              <w:top w:val="single" w:sz="4" w:space="0" w:color="auto"/>
              <w:left w:val="single" w:sz="4" w:space="0" w:color="auto"/>
              <w:bottom w:val="single" w:sz="4" w:space="0" w:color="auto"/>
              <w:right w:val="single" w:sz="4" w:space="0" w:color="auto"/>
            </w:tcBorders>
            <w:hideMark/>
          </w:tcPr>
          <w:p w14:paraId="4FA1724C"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Down 10%</w:t>
            </w:r>
          </w:p>
        </w:tc>
      </w:tr>
      <w:tr w:rsidR="00082A28" w:rsidRPr="00082A28" w14:paraId="3DB2582D" w14:textId="77777777" w:rsidTr="00082A28">
        <w:tc>
          <w:tcPr>
            <w:tcW w:w="2252" w:type="dxa"/>
            <w:tcBorders>
              <w:top w:val="single" w:sz="4" w:space="0" w:color="auto"/>
              <w:left w:val="single" w:sz="4" w:space="0" w:color="auto"/>
              <w:bottom w:val="single" w:sz="4" w:space="0" w:color="auto"/>
              <w:right w:val="single" w:sz="4" w:space="0" w:color="auto"/>
            </w:tcBorders>
            <w:hideMark/>
          </w:tcPr>
          <w:p w14:paraId="52A44467"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Domestic abuse related crimes</w:t>
            </w:r>
          </w:p>
        </w:tc>
        <w:tc>
          <w:tcPr>
            <w:tcW w:w="2252" w:type="dxa"/>
            <w:tcBorders>
              <w:top w:val="single" w:sz="4" w:space="0" w:color="auto"/>
              <w:left w:val="single" w:sz="4" w:space="0" w:color="auto"/>
              <w:bottom w:val="single" w:sz="4" w:space="0" w:color="auto"/>
              <w:right w:val="single" w:sz="4" w:space="0" w:color="auto"/>
            </w:tcBorders>
            <w:hideMark/>
          </w:tcPr>
          <w:p w14:paraId="02E10A4C"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269,700</w:t>
            </w:r>
          </w:p>
        </w:tc>
        <w:tc>
          <w:tcPr>
            <w:tcW w:w="2253" w:type="dxa"/>
            <w:tcBorders>
              <w:top w:val="single" w:sz="4" w:space="0" w:color="auto"/>
              <w:left w:val="single" w:sz="4" w:space="0" w:color="auto"/>
              <w:bottom w:val="single" w:sz="4" w:space="0" w:color="auto"/>
              <w:right w:val="single" w:sz="4" w:space="0" w:color="auto"/>
            </w:tcBorders>
            <w:hideMark/>
          </w:tcPr>
          <w:p w14:paraId="0E54C826"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353,100</w:t>
            </w:r>
          </w:p>
        </w:tc>
        <w:tc>
          <w:tcPr>
            <w:tcW w:w="2253" w:type="dxa"/>
            <w:tcBorders>
              <w:top w:val="single" w:sz="4" w:space="0" w:color="auto"/>
              <w:left w:val="single" w:sz="4" w:space="0" w:color="auto"/>
              <w:bottom w:val="single" w:sz="4" w:space="0" w:color="auto"/>
              <w:right w:val="single" w:sz="4" w:space="0" w:color="auto"/>
            </w:tcBorders>
            <w:hideMark/>
          </w:tcPr>
          <w:p w14:paraId="658F18AB"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Up 31%</w:t>
            </w:r>
          </w:p>
        </w:tc>
      </w:tr>
      <w:tr w:rsidR="00082A28" w:rsidRPr="00082A28" w14:paraId="6D3891EB" w14:textId="77777777" w:rsidTr="00082A28">
        <w:tc>
          <w:tcPr>
            <w:tcW w:w="2252" w:type="dxa"/>
            <w:tcBorders>
              <w:top w:val="single" w:sz="4" w:space="0" w:color="auto"/>
              <w:left w:val="single" w:sz="4" w:space="0" w:color="auto"/>
              <w:bottom w:val="single" w:sz="4" w:space="0" w:color="auto"/>
              <w:right w:val="single" w:sz="4" w:space="0" w:color="auto"/>
            </w:tcBorders>
            <w:hideMark/>
          </w:tcPr>
          <w:p w14:paraId="7DED7A14"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Domestic abuse related sexual offences</w:t>
            </w:r>
          </w:p>
        </w:tc>
        <w:tc>
          <w:tcPr>
            <w:tcW w:w="2252" w:type="dxa"/>
            <w:tcBorders>
              <w:top w:val="single" w:sz="4" w:space="0" w:color="auto"/>
              <w:left w:val="single" w:sz="4" w:space="0" w:color="auto"/>
              <w:bottom w:val="single" w:sz="4" w:space="0" w:color="auto"/>
              <w:right w:val="single" w:sz="4" w:space="0" w:color="auto"/>
            </w:tcBorders>
            <w:hideMark/>
          </w:tcPr>
          <w:p w14:paraId="1A715943"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6,4000</w:t>
            </w:r>
          </w:p>
        </w:tc>
        <w:tc>
          <w:tcPr>
            <w:tcW w:w="2253" w:type="dxa"/>
            <w:tcBorders>
              <w:top w:val="single" w:sz="4" w:space="0" w:color="auto"/>
              <w:left w:val="single" w:sz="4" w:space="0" w:color="auto"/>
              <w:bottom w:val="single" w:sz="4" w:space="0" w:color="auto"/>
              <w:right w:val="single" w:sz="4" w:space="0" w:color="auto"/>
            </w:tcBorders>
            <w:hideMark/>
          </w:tcPr>
          <w:p w14:paraId="097A2CE5"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11,200</w:t>
            </w:r>
          </w:p>
        </w:tc>
        <w:tc>
          <w:tcPr>
            <w:tcW w:w="2253" w:type="dxa"/>
            <w:tcBorders>
              <w:top w:val="single" w:sz="4" w:space="0" w:color="auto"/>
              <w:left w:val="single" w:sz="4" w:space="0" w:color="auto"/>
              <w:bottom w:val="single" w:sz="4" w:space="0" w:color="auto"/>
              <w:right w:val="single" w:sz="4" w:space="0" w:color="auto"/>
            </w:tcBorders>
            <w:hideMark/>
          </w:tcPr>
          <w:p w14:paraId="2F190098"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Up 74%</w:t>
            </w:r>
          </w:p>
        </w:tc>
      </w:tr>
      <w:tr w:rsidR="00082A28" w:rsidRPr="00082A28" w14:paraId="379148CB" w14:textId="77777777" w:rsidTr="00082A28">
        <w:tc>
          <w:tcPr>
            <w:tcW w:w="2252" w:type="dxa"/>
            <w:tcBorders>
              <w:top w:val="single" w:sz="4" w:space="0" w:color="auto"/>
              <w:left w:val="single" w:sz="4" w:space="0" w:color="auto"/>
              <w:bottom w:val="single" w:sz="4" w:space="0" w:color="auto"/>
              <w:right w:val="single" w:sz="4" w:space="0" w:color="auto"/>
            </w:tcBorders>
            <w:hideMark/>
          </w:tcPr>
          <w:p w14:paraId="2E42E83F"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Domestic abuse related assault with injury crimes</w:t>
            </w:r>
          </w:p>
        </w:tc>
        <w:tc>
          <w:tcPr>
            <w:tcW w:w="2252" w:type="dxa"/>
            <w:tcBorders>
              <w:top w:val="single" w:sz="4" w:space="0" w:color="auto"/>
              <w:left w:val="single" w:sz="4" w:space="0" w:color="auto"/>
              <w:bottom w:val="single" w:sz="4" w:space="0" w:color="auto"/>
              <w:right w:val="single" w:sz="4" w:space="0" w:color="auto"/>
            </w:tcBorders>
            <w:hideMark/>
          </w:tcPr>
          <w:p w14:paraId="57D486BC"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96,000</w:t>
            </w:r>
          </w:p>
        </w:tc>
        <w:tc>
          <w:tcPr>
            <w:tcW w:w="2253" w:type="dxa"/>
            <w:tcBorders>
              <w:top w:val="single" w:sz="4" w:space="0" w:color="auto"/>
              <w:left w:val="single" w:sz="4" w:space="0" w:color="auto"/>
              <w:bottom w:val="single" w:sz="4" w:space="0" w:color="auto"/>
              <w:right w:val="single" w:sz="4" w:space="0" w:color="auto"/>
            </w:tcBorders>
            <w:hideMark/>
          </w:tcPr>
          <w:p w14:paraId="0F41CFF0"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115,900</w:t>
            </w:r>
          </w:p>
        </w:tc>
        <w:tc>
          <w:tcPr>
            <w:tcW w:w="2253" w:type="dxa"/>
            <w:tcBorders>
              <w:top w:val="single" w:sz="4" w:space="0" w:color="auto"/>
              <w:left w:val="single" w:sz="4" w:space="0" w:color="auto"/>
              <w:bottom w:val="single" w:sz="4" w:space="0" w:color="auto"/>
              <w:right w:val="single" w:sz="4" w:space="0" w:color="auto"/>
            </w:tcBorders>
            <w:hideMark/>
          </w:tcPr>
          <w:p w14:paraId="6AD2E468"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Up 21%</w:t>
            </w:r>
          </w:p>
        </w:tc>
      </w:tr>
      <w:tr w:rsidR="00082A28" w:rsidRPr="00082A28" w14:paraId="55253BB1" w14:textId="77777777" w:rsidTr="00082A28">
        <w:tc>
          <w:tcPr>
            <w:tcW w:w="2252" w:type="dxa"/>
            <w:tcBorders>
              <w:top w:val="single" w:sz="4" w:space="0" w:color="auto"/>
              <w:left w:val="single" w:sz="4" w:space="0" w:color="auto"/>
              <w:bottom w:val="single" w:sz="4" w:space="0" w:color="auto"/>
              <w:right w:val="single" w:sz="4" w:space="0" w:color="auto"/>
            </w:tcBorders>
            <w:hideMark/>
          </w:tcPr>
          <w:p w14:paraId="5BA25382"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Domestic abuse related harassment crimes</w:t>
            </w:r>
          </w:p>
        </w:tc>
        <w:tc>
          <w:tcPr>
            <w:tcW w:w="2252" w:type="dxa"/>
            <w:tcBorders>
              <w:top w:val="single" w:sz="4" w:space="0" w:color="auto"/>
              <w:left w:val="single" w:sz="4" w:space="0" w:color="auto"/>
              <w:bottom w:val="single" w:sz="4" w:space="0" w:color="auto"/>
              <w:right w:val="single" w:sz="4" w:space="0" w:color="auto"/>
            </w:tcBorders>
            <w:hideMark/>
          </w:tcPr>
          <w:p w14:paraId="7D6A922A"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27,300</w:t>
            </w:r>
          </w:p>
        </w:tc>
        <w:tc>
          <w:tcPr>
            <w:tcW w:w="2253" w:type="dxa"/>
            <w:tcBorders>
              <w:top w:val="single" w:sz="4" w:space="0" w:color="auto"/>
              <w:left w:val="single" w:sz="4" w:space="0" w:color="auto"/>
              <w:bottom w:val="single" w:sz="4" w:space="0" w:color="auto"/>
              <w:right w:val="single" w:sz="4" w:space="0" w:color="auto"/>
            </w:tcBorders>
            <w:hideMark/>
          </w:tcPr>
          <w:p w14:paraId="7C7663B1"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41,500</w:t>
            </w:r>
          </w:p>
        </w:tc>
        <w:tc>
          <w:tcPr>
            <w:tcW w:w="2253" w:type="dxa"/>
            <w:tcBorders>
              <w:top w:val="single" w:sz="4" w:space="0" w:color="auto"/>
              <w:left w:val="single" w:sz="4" w:space="0" w:color="auto"/>
              <w:bottom w:val="single" w:sz="4" w:space="0" w:color="auto"/>
              <w:right w:val="single" w:sz="4" w:space="0" w:color="auto"/>
            </w:tcBorders>
            <w:hideMark/>
          </w:tcPr>
          <w:p w14:paraId="64DB890A"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Up 52%</w:t>
            </w:r>
          </w:p>
        </w:tc>
      </w:tr>
    </w:tbl>
    <w:p w14:paraId="106FE732"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 </w:t>
      </w:r>
    </w:p>
    <w:p w14:paraId="3005203D"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Despite calls decreasing in 2015 compared to 2013, domestic related crimes and offences continue to increase. Looking at the rate per 1,000 In England and Wales in the table below, we can see a continued upward trend from 2020 to 2022 and can see that Wales is at the England/Wales rates. Therefore, evidencing the increase in the level of domestic abuse work undertaken by South Wales police.</w:t>
      </w:r>
    </w:p>
    <w:p w14:paraId="4FB28B0B"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 </w:t>
      </w:r>
    </w:p>
    <w:tbl>
      <w:tblPr>
        <w:tblStyle w:val="TableGrid1"/>
        <w:tblW w:w="0" w:type="auto"/>
        <w:tblInd w:w="0" w:type="dxa"/>
        <w:tblLook w:val="04A0" w:firstRow="1" w:lastRow="0" w:firstColumn="1" w:lastColumn="0" w:noHBand="0" w:noVBand="1"/>
      </w:tblPr>
      <w:tblGrid>
        <w:gridCol w:w="3003"/>
        <w:gridCol w:w="3003"/>
        <w:gridCol w:w="3004"/>
      </w:tblGrid>
      <w:tr w:rsidR="00082A28" w:rsidRPr="00082A28" w14:paraId="41C47458" w14:textId="77777777" w:rsidTr="00082A28">
        <w:tc>
          <w:tcPr>
            <w:tcW w:w="3003" w:type="dxa"/>
            <w:tcBorders>
              <w:top w:val="single" w:sz="4" w:space="0" w:color="auto"/>
              <w:left w:val="single" w:sz="4" w:space="0" w:color="auto"/>
              <w:bottom w:val="single" w:sz="4" w:space="0" w:color="auto"/>
              <w:right w:val="single" w:sz="4" w:space="0" w:color="auto"/>
            </w:tcBorders>
            <w:hideMark/>
          </w:tcPr>
          <w:p w14:paraId="0F8CF865"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 </w:t>
            </w:r>
          </w:p>
        </w:tc>
        <w:tc>
          <w:tcPr>
            <w:tcW w:w="3003" w:type="dxa"/>
            <w:tcBorders>
              <w:top w:val="single" w:sz="4" w:space="0" w:color="auto"/>
              <w:left w:val="single" w:sz="4" w:space="0" w:color="auto"/>
              <w:bottom w:val="single" w:sz="4" w:space="0" w:color="auto"/>
              <w:right w:val="single" w:sz="4" w:space="0" w:color="auto"/>
            </w:tcBorders>
            <w:hideMark/>
          </w:tcPr>
          <w:p w14:paraId="2E21F48A"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b/>
                <w:bCs/>
                <w:color w:val="auto"/>
              </w:rPr>
              <w:t>England and Wales</w:t>
            </w:r>
          </w:p>
        </w:tc>
        <w:tc>
          <w:tcPr>
            <w:tcW w:w="3004" w:type="dxa"/>
            <w:tcBorders>
              <w:top w:val="single" w:sz="4" w:space="0" w:color="auto"/>
              <w:left w:val="single" w:sz="4" w:space="0" w:color="auto"/>
              <w:bottom w:val="single" w:sz="4" w:space="0" w:color="auto"/>
              <w:right w:val="single" w:sz="4" w:space="0" w:color="auto"/>
            </w:tcBorders>
            <w:hideMark/>
          </w:tcPr>
          <w:p w14:paraId="67AF0E4C"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b/>
                <w:bCs/>
                <w:color w:val="auto"/>
              </w:rPr>
              <w:t>Wales</w:t>
            </w:r>
          </w:p>
        </w:tc>
      </w:tr>
      <w:tr w:rsidR="00082A28" w:rsidRPr="00082A28" w14:paraId="2B212249" w14:textId="77777777" w:rsidTr="00082A28">
        <w:tc>
          <w:tcPr>
            <w:tcW w:w="3003" w:type="dxa"/>
            <w:tcBorders>
              <w:top w:val="single" w:sz="4" w:space="0" w:color="auto"/>
              <w:left w:val="single" w:sz="4" w:space="0" w:color="auto"/>
              <w:bottom w:val="single" w:sz="4" w:space="0" w:color="auto"/>
              <w:right w:val="single" w:sz="4" w:space="0" w:color="auto"/>
            </w:tcBorders>
            <w:hideMark/>
          </w:tcPr>
          <w:p w14:paraId="28B01BAD"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Violence against the person domestic abuse related offences</w:t>
            </w:r>
          </w:p>
        </w:tc>
        <w:tc>
          <w:tcPr>
            <w:tcW w:w="3003" w:type="dxa"/>
            <w:tcBorders>
              <w:top w:val="single" w:sz="4" w:space="0" w:color="auto"/>
              <w:left w:val="single" w:sz="4" w:space="0" w:color="auto"/>
              <w:bottom w:val="single" w:sz="4" w:space="0" w:color="auto"/>
              <w:right w:val="single" w:sz="4" w:space="0" w:color="auto"/>
            </w:tcBorders>
            <w:hideMark/>
          </w:tcPr>
          <w:p w14:paraId="07228F2C"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12.1 10.5 rate per 1,000 population</w:t>
            </w:r>
          </w:p>
          <w:p w14:paraId="53DB3DDC"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w:t>
            </w:r>
            <w:r w:rsidRPr="00082A28">
              <w:rPr>
                <w:rFonts w:ascii="Calibri" w:eastAsia="Calibri" w:hAnsi="Calibri" w:cs="Calibri"/>
                <w:i/>
                <w:iCs/>
                <w:color w:val="auto"/>
              </w:rPr>
              <w:t>10.5 rate per 1,000 population, March 2020</w:t>
            </w:r>
            <w:r w:rsidRPr="00082A28">
              <w:rPr>
                <w:rFonts w:ascii="Calibri" w:eastAsia="Calibri" w:hAnsi="Calibri" w:cs="Calibri"/>
                <w:color w:val="auto"/>
              </w:rPr>
              <w:t>)</w:t>
            </w:r>
          </w:p>
        </w:tc>
        <w:tc>
          <w:tcPr>
            <w:tcW w:w="3004" w:type="dxa"/>
            <w:tcBorders>
              <w:top w:val="single" w:sz="4" w:space="0" w:color="auto"/>
              <w:left w:val="single" w:sz="4" w:space="0" w:color="auto"/>
              <w:bottom w:val="single" w:sz="4" w:space="0" w:color="auto"/>
              <w:right w:val="single" w:sz="4" w:space="0" w:color="auto"/>
            </w:tcBorders>
            <w:hideMark/>
          </w:tcPr>
          <w:p w14:paraId="1CE10793"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12.1 rate per 1,000 population</w:t>
            </w:r>
          </w:p>
          <w:p w14:paraId="7FEC6665"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w:t>
            </w:r>
            <w:r w:rsidRPr="00082A28">
              <w:rPr>
                <w:rFonts w:ascii="Calibri" w:eastAsia="Calibri" w:hAnsi="Calibri" w:cs="Calibri"/>
                <w:i/>
                <w:iCs/>
                <w:color w:val="auto"/>
              </w:rPr>
              <w:t>10.7 rate per 1,000 population, March 2020</w:t>
            </w:r>
            <w:r w:rsidRPr="00082A28">
              <w:rPr>
                <w:rFonts w:ascii="Calibri" w:eastAsia="Calibri" w:hAnsi="Calibri" w:cs="Calibri"/>
                <w:color w:val="auto"/>
              </w:rPr>
              <w:t>)</w:t>
            </w:r>
          </w:p>
        </w:tc>
      </w:tr>
      <w:tr w:rsidR="00082A28" w:rsidRPr="00082A28" w14:paraId="7BF5807D" w14:textId="77777777" w:rsidTr="00082A28">
        <w:tc>
          <w:tcPr>
            <w:tcW w:w="3003" w:type="dxa"/>
            <w:tcBorders>
              <w:top w:val="single" w:sz="4" w:space="0" w:color="auto"/>
              <w:left w:val="single" w:sz="4" w:space="0" w:color="auto"/>
              <w:bottom w:val="single" w:sz="4" w:space="0" w:color="auto"/>
              <w:right w:val="single" w:sz="4" w:space="0" w:color="auto"/>
            </w:tcBorders>
            <w:hideMark/>
          </w:tcPr>
          <w:p w14:paraId="312D0C15"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All domestics abuse-related offences</w:t>
            </w:r>
          </w:p>
        </w:tc>
        <w:tc>
          <w:tcPr>
            <w:tcW w:w="3003" w:type="dxa"/>
            <w:tcBorders>
              <w:top w:val="single" w:sz="4" w:space="0" w:color="auto"/>
              <w:left w:val="single" w:sz="4" w:space="0" w:color="auto"/>
              <w:bottom w:val="single" w:sz="4" w:space="0" w:color="auto"/>
              <w:right w:val="single" w:sz="4" w:space="0" w:color="auto"/>
            </w:tcBorders>
            <w:hideMark/>
          </w:tcPr>
          <w:p w14:paraId="283558FF"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15.3 rate per 1,000 population</w:t>
            </w:r>
          </w:p>
          <w:p w14:paraId="21A40089"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w:t>
            </w:r>
            <w:r w:rsidRPr="00082A28">
              <w:rPr>
                <w:rFonts w:ascii="Calibri" w:eastAsia="Calibri" w:hAnsi="Calibri" w:cs="Calibri"/>
                <w:i/>
                <w:iCs/>
                <w:color w:val="auto"/>
              </w:rPr>
              <w:t>13.4 rate per 1,000 population, March 2020</w:t>
            </w:r>
            <w:r w:rsidRPr="00082A28">
              <w:rPr>
                <w:rFonts w:ascii="Calibri" w:eastAsia="Calibri" w:hAnsi="Calibri" w:cs="Calibri"/>
                <w:color w:val="auto"/>
              </w:rPr>
              <w:t>)</w:t>
            </w:r>
          </w:p>
        </w:tc>
        <w:tc>
          <w:tcPr>
            <w:tcW w:w="3004" w:type="dxa"/>
            <w:tcBorders>
              <w:top w:val="single" w:sz="4" w:space="0" w:color="auto"/>
              <w:left w:val="single" w:sz="4" w:space="0" w:color="auto"/>
              <w:bottom w:val="single" w:sz="4" w:space="0" w:color="auto"/>
              <w:right w:val="single" w:sz="4" w:space="0" w:color="auto"/>
            </w:tcBorders>
            <w:hideMark/>
          </w:tcPr>
          <w:p w14:paraId="2BB54FB4"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15.2 rate per 1,000 population</w:t>
            </w:r>
          </w:p>
          <w:p w14:paraId="65BF6E40"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rPr>
            </w:pPr>
            <w:r w:rsidRPr="00082A28">
              <w:rPr>
                <w:rFonts w:ascii="Calibri" w:eastAsia="Calibri" w:hAnsi="Calibri" w:cs="Calibri"/>
                <w:color w:val="auto"/>
              </w:rPr>
              <w:t>(</w:t>
            </w:r>
            <w:r w:rsidRPr="00082A28">
              <w:rPr>
                <w:rFonts w:ascii="Calibri" w:eastAsia="Calibri" w:hAnsi="Calibri" w:cs="Calibri"/>
                <w:i/>
                <w:iCs/>
                <w:color w:val="auto"/>
              </w:rPr>
              <w:t>13.5 rate per 1,000 population, March 2020</w:t>
            </w:r>
            <w:r w:rsidRPr="00082A28">
              <w:rPr>
                <w:rFonts w:ascii="Calibri" w:eastAsia="Calibri" w:hAnsi="Calibri" w:cs="Calibri"/>
                <w:color w:val="auto"/>
              </w:rPr>
              <w:t>)</w:t>
            </w:r>
          </w:p>
        </w:tc>
      </w:tr>
    </w:tbl>
    <w:p w14:paraId="144F2330"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 xml:space="preserve">(Data taken from Domestic abuse victim characteristics, England and Wales: year ending March 2022, </w:t>
      </w:r>
      <w:hyperlink r:id="rId15" w:history="1">
        <w:r w:rsidRPr="00082A28">
          <w:rPr>
            <w:rFonts w:ascii="Calibri" w:eastAsia="Calibri" w:hAnsi="Calibri" w:cs="Calibri"/>
            <w:color w:val="0000FF"/>
            <w:sz w:val="22"/>
            <w:szCs w:val="22"/>
            <w:u w:val="single"/>
          </w:rPr>
          <w:t>ONS.Gov.uk</w:t>
        </w:r>
      </w:hyperlink>
      <w:r w:rsidRPr="00082A28">
        <w:rPr>
          <w:rFonts w:ascii="Calibri" w:eastAsia="Calibri" w:hAnsi="Calibri" w:cs="Calibri"/>
          <w:color w:val="auto"/>
          <w:sz w:val="22"/>
          <w:szCs w:val="22"/>
        </w:rPr>
        <w:t>)</w:t>
      </w:r>
    </w:p>
    <w:p w14:paraId="3B05B1F1"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 </w:t>
      </w:r>
    </w:p>
    <w:p w14:paraId="64884BA8"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 xml:space="preserve">The initial attendance at any call relating to domestic abuse is always naturally a challenging </w:t>
      </w:r>
      <w:proofErr w:type="gramStart"/>
      <w:r w:rsidRPr="00082A28">
        <w:rPr>
          <w:rFonts w:ascii="Calibri" w:eastAsia="Calibri" w:hAnsi="Calibri" w:cs="Calibri"/>
          <w:color w:val="auto"/>
          <w:sz w:val="22"/>
          <w:szCs w:val="22"/>
        </w:rPr>
        <w:t>experience, and</w:t>
      </w:r>
      <w:proofErr w:type="gramEnd"/>
      <w:r w:rsidRPr="00082A28">
        <w:rPr>
          <w:rFonts w:ascii="Calibri" w:eastAsia="Calibri" w:hAnsi="Calibri" w:cs="Calibri"/>
          <w:color w:val="auto"/>
          <w:sz w:val="22"/>
          <w:szCs w:val="22"/>
        </w:rPr>
        <w:t xml:space="preserve"> can be among the most challenging to deal with. I have, in the short period of my police career to date, attended several domestic abuse related calls. One such incident was of a more complex nature due to the attitudes and behaviours of both parties, along with the allegations </w:t>
      </w:r>
      <w:r w:rsidRPr="00082A28">
        <w:rPr>
          <w:rFonts w:ascii="Calibri" w:eastAsia="Calibri" w:hAnsi="Calibri" w:cs="Calibri"/>
          <w:color w:val="auto"/>
          <w:sz w:val="22"/>
          <w:szCs w:val="22"/>
        </w:rPr>
        <w:lastRenderedPageBreak/>
        <w:t xml:space="preserve">that had been made. On that occasion, my colleague and I had been told, via radio messages from the control room that the male partner had picked up the female and removed her from the house. He had then thrown her to the floor </w:t>
      </w:r>
      <w:r w:rsidRPr="00082A28">
        <w:rPr>
          <w:rFonts w:ascii="Calibri" w:eastAsia="Calibri" w:hAnsi="Calibri" w:cs="Calibri"/>
          <w:sz w:val="22"/>
          <w:szCs w:val="22"/>
        </w:rPr>
        <w:t>outside the address</w:t>
      </w:r>
      <w:r w:rsidRPr="00082A28">
        <w:rPr>
          <w:rFonts w:ascii="Calibri" w:eastAsia="Calibri" w:hAnsi="Calibri" w:cs="Calibri"/>
          <w:color w:val="FF0000"/>
          <w:sz w:val="22"/>
          <w:szCs w:val="22"/>
        </w:rPr>
        <w:t xml:space="preserve"> </w:t>
      </w:r>
      <w:r w:rsidRPr="00082A28">
        <w:rPr>
          <w:rFonts w:ascii="Calibri" w:eastAsia="Calibri" w:hAnsi="Calibri" w:cs="Calibri"/>
          <w:color w:val="auto"/>
          <w:sz w:val="22"/>
          <w:szCs w:val="22"/>
        </w:rPr>
        <w:t>before threatening to strike her. However, the situation was made more complex as we were told that the female had then stabbed the male in the arm after getting up from the floor. Upon attendance, both parties had separated themselves and were standing at opposite ends of the road from one another. I spoke to the female, while my colleague spoke to the male. The female then provided further information that further complicated the matter. The couple had young children who needed child-care, they were not present during the incident as they were at school, however they needed picking up within half an hour of the incident due to the end of school day. Due to the allegations that both parties had assaulted one another there was the possibility of arresting both, however due to the children requiring child-care,</w:t>
      </w:r>
      <w:r w:rsidRPr="00082A28">
        <w:rPr>
          <w:rFonts w:ascii="Calibri" w:eastAsia="Calibri" w:hAnsi="Calibri" w:cs="Calibri"/>
          <w:color w:val="FF0000"/>
          <w:sz w:val="22"/>
          <w:szCs w:val="22"/>
        </w:rPr>
        <w:t xml:space="preserve"> </w:t>
      </w:r>
      <w:r w:rsidRPr="00082A28">
        <w:rPr>
          <w:rFonts w:ascii="Calibri" w:eastAsia="Calibri" w:hAnsi="Calibri" w:cs="Calibri"/>
          <w:color w:val="auto"/>
          <w:sz w:val="22"/>
          <w:szCs w:val="22"/>
        </w:rPr>
        <w:t xml:space="preserve">only the male was arrested. </w:t>
      </w:r>
      <w:r w:rsidRPr="00082A28">
        <w:rPr>
          <w:rFonts w:ascii="Calibri" w:eastAsia="Calibri" w:hAnsi="Calibri" w:cs="Calibri"/>
          <w:sz w:val="22"/>
          <w:szCs w:val="22"/>
        </w:rPr>
        <w:t xml:space="preserve">The rationale being that he initiated the assault, and that the female claimed that she had stabbed </w:t>
      </w:r>
      <w:r w:rsidRPr="00082A28">
        <w:rPr>
          <w:rFonts w:ascii="Calibri" w:eastAsia="Calibri" w:hAnsi="Calibri" w:cs="Calibri"/>
          <w:color w:val="auto"/>
          <w:sz w:val="22"/>
          <w:szCs w:val="22"/>
        </w:rPr>
        <w:t>in the arm in self-defence after grabbing hold of something from the floor where he had thrown her down. Also, the female needed to collect the children from school, as there was no one else to collect them.</w:t>
      </w:r>
    </w:p>
    <w:p w14:paraId="5BCB5574"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 </w:t>
      </w:r>
    </w:p>
    <w:p w14:paraId="229A32C9"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The challenges of the situation were:</w:t>
      </w:r>
    </w:p>
    <w:p w14:paraId="109B153A" w14:textId="77777777" w:rsidR="00082A28" w:rsidRPr="00082A28" w:rsidRDefault="00082A28" w:rsidP="00082A28">
      <w:pPr>
        <w:overflowPunct/>
        <w:autoSpaceDE/>
        <w:autoSpaceDN/>
        <w:adjustRightInd/>
        <w:spacing w:before="100" w:beforeAutospacing="1" w:after="100" w:afterAutospacing="1"/>
        <w:ind w:left="360" w:hanging="360"/>
        <w:contextualSpacing/>
        <w:textAlignment w:val="auto"/>
        <w:rPr>
          <w:rFonts w:ascii="Calibri" w:eastAsia="Calibri" w:hAnsi="Calibri" w:cs="Calibri"/>
          <w:color w:val="auto"/>
          <w:sz w:val="22"/>
          <w:szCs w:val="22"/>
        </w:rPr>
      </w:pPr>
      <w:r w:rsidRPr="00082A28">
        <w:rPr>
          <w:rFonts w:ascii="Symbol" w:eastAsia="Symbol" w:hAnsi="Symbol" w:cs="Symbol"/>
          <w:color w:val="auto"/>
          <w:sz w:val="22"/>
          <w:szCs w:val="22"/>
        </w:rPr>
        <w:t>·</w:t>
      </w:r>
      <w:r w:rsidRPr="00082A28">
        <w:rPr>
          <w:rFonts w:ascii="Times New Roman" w:eastAsia="Symbol" w:hAnsi="Times New Roman" w:cs="Times New Roman"/>
          <w:color w:val="auto"/>
          <w:sz w:val="14"/>
          <w:szCs w:val="14"/>
        </w:rPr>
        <w:t xml:space="preserve">      </w:t>
      </w:r>
      <w:r w:rsidRPr="00082A28">
        <w:rPr>
          <w:rFonts w:ascii="Calibri" w:eastAsia="Calibri" w:hAnsi="Calibri" w:cs="Calibri"/>
          <w:b/>
          <w:bCs/>
          <w:color w:val="auto"/>
          <w:sz w:val="22"/>
          <w:szCs w:val="22"/>
        </w:rPr>
        <w:t>The lack of complaint from the victim</w:t>
      </w:r>
      <w:r w:rsidRPr="00082A28">
        <w:rPr>
          <w:rFonts w:ascii="Calibri" w:eastAsia="Calibri" w:hAnsi="Calibri" w:cs="Calibri"/>
          <w:color w:val="auto"/>
          <w:sz w:val="22"/>
          <w:szCs w:val="22"/>
        </w:rPr>
        <w:t xml:space="preserve">. The victim was unwilling to make a complaint and press charges against her partner for the assault, she did not want her partner and father of her children to be arrested and get into trouble. According to Women’s Aid (2020) women, or other victims are unlikely to leave situations of domestic abuse because of </w:t>
      </w:r>
      <w:proofErr w:type="gramStart"/>
      <w:r w:rsidRPr="00082A28">
        <w:rPr>
          <w:rFonts w:ascii="Calibri" w:eastAsia="Calibri" w:hAnsi="Calibri" w:cs="Calibri"/>
          <w:color w:val="auto"/>
          <w:sz w:val="22"/>
          <w:szCs w:val="22"/>
        </w:rPr>
        <w:t>a number of</w:t>
      </w:r>
      <w:proofErr w:type="gramEnd"/>
      <w:r w:rsidRPr="00082A28">
        <w:rPr>
          <w:rFonts w:ascii="Calibri" w:eastAsia="Calibri" w:hAnsi="Calibri" w:cs="Calibri"/>
          <w:color w:val="auto"/>
          <w:sz w:val="22"/>
          <w:szCs w:val="22"/>
        </w:rPr>
        <w:t xml:space="preserve"> factors, one of these being fear of making the situation worse. It is thought that the victim knows their current partner and how to act </w:t>
      </w:r>
      <w:proofErr w:type="gramStart"/>
      <w:r w:rsidRPr="00082A28">
        <w:rPr>
          <w:rFonts w:ascii="Calibri" w:eastAsia="Calibri" w:hAnsi="Calibri" w:cs="Calibri"/>
          <w:color w:val="auto"/>
          <w:sz w:val="22"/>
          <w:szCs w:val="22"/>
        </w:rPr>
        <w:t>in order to</w:t>
      </w:r>
      <w:proofErr w:type="gramEnd"/>
      <w:r w:rsidRPr="00082A28">
        <w:rPr>
          <w:rFonts w:ascii="Calibri" w:eastAsia="Calibri" w:hAnsi="Calibri" w:cs="Calibri"/>
          <w:color w:val="auto"/>
          <w:sz w:val="22"/>
          <w:szCs w:val="22"/>
        </w:rPr>
        <w:t xml:space="preserve"> keep the situation manageable. Leaving could lead to further violence from the partner, or even being killed. Women’s Aid report that 41% of women who were killed by their partner did so after leaving them. This makes it harder for victims to make complaints, statements or want their partners arrested if there is a possibility that the situation will worsen. Embarrassment is another factor for victims choosing not to complain, and fear of being judged by their peers. Our strategy in dealing with this was to use positive action and remove the male perpetrator from the home to prevent any further escalation of the behaviour and to allow both parties breathing space, even if no further action was then taken regarding the assault, the idea being that neither party could instigate another fight as they had been separated from one another.</w:t>
      </w:r>
    </w:p>
    <w:p w14:paraId="2889FB22" w14:textId="77777777" w:rsidR="00082A28" w:rsidRPr="00082A28" w:rsidRDefault="00082A28" w:rsidP="00082A28">
      <w:pPr>
        <w:overflowPunct/>
        <w:autoSpaceDE/>
        <w:autoSpaceDN/>
        <w:adjustRightInd/>
        <w:spacing w:before="100" w:beforeAutospacing="1" w:after="100" w:afterAutospacing="1"/>
        <w:ind w:left="360" w:hanging="360"/>
        <w:contextualSpacing/>
        <w:textAlignment w:val="auto"/>
        <w:rPr>
          <w:rFonts w:ascii="Calibri" w:eastAsia="Calibri" w:hAnsi="Calibri" w:cs="Calibri"/>
          <w:color w:val="auto"/>
          <w:sz w:val="22"/>
          <w:szCs w:val="22"/>
        </w:rPr>
      </w:pPr>
      <w:r w:rsidRPr="00082A28">
        <w:rPr>
          <w:rFonts w:ascii="Symbol" w:eastAsia="Symbol" w:hAnsi="Symbol" w:cs="Symbol"/>
          <w:color w:val="auto"/>
          <w:sz w:val="22"/>
          <w:szCs w:val="22"/>
        </w:rPr>
        <w:t>·</w:t>
      </w:r>
      <w:r w:rsidRPr="00082A28">
        <w:rPr>
          <w:rFonts w:ascii="Times New Roman" w:eastAsia="Symbol" w:hAnsi="Times New Roman" w:cs="Times New Roman"/>
          <w:color w:val="auto"/>
          <w:sz w:val="14"/>
          <w:szCs w:val="14"/>
        </w:rPr>
        <w:t xml:space="preserve">      </w:t>
      </w:r>
      <w:r w:rsidRPr="00082A28">
        <w:rPr>
          <w:rFonts w:ascii="Calibri" w:eastAsia="Calibri" w:hAnsi="Calibri" w:cs="Calibri"/>
          <w:b/>
          <w:bCs/>
          <w:color w:val="auto"/>
          <w:sz w:val="22"/>
          <w:szCs w:val="22"/>
        </w:rPr>
        <w:t>The presence of children who would require child-care</w:t>
      </w:r>
      <w:r w:rsidRPr="00082A28">
        <w:rPr>
          <w:rFonts w:ascii="Calibri" w:eastAsia="Calibri" w:hAnsi="Calibri" w:cs="Calibri"/>
          <w:color w:val="auto"/>
          <w:sz w:val="22"/>
          <w:szCs w:val="22"/>
        </w:rPr>
        <w:t xml:space="preserve">. Our strategy for ensuring that the children were safeguarded was through other officers conducting a welfare check on the children to confirm if they knew of any long-term </w:t>
      </w:r>
      <w:proofErr w:type="gramStart"/>
      <w:r w:rsidRPr="00082A28">
        <w:rPr>
          <w:rFonts w:ascii="Calibri" w:eastAsia="Calibri" w:hAnsi="Calibri" w:cs="Calibri"/>
          <w:color w:val="auto"/>
          <w:sz w:val="22"/>
          <w:szCs w:val="22"/>
        </w:rPr>
        <w:t>issues, and</w:t>
      </w:r>
      <w:proofErr w:type="gramEnd"/>
      <w:r w:rsidRPr="00082A28">
        <w:rPr>
          <w:rFonts w:ascii="Calibri" w:eastAsia="Calibri" w:hAnsi="Calibri" w:cs="Calibri"/>
          <w:color w:val="auto"/>
          <w:sz w:val="22"/>
          <w:szCs w:val="22"/>
        </w:rPr>
        <w:t xml:space="preserve"> submitting a public protection notification in order to ensure that relevant partner agencies were informed of the incident so that they could offer any help or assistance as required.</w:t>
      </w:r>
    </w:p>
    <w:p w14:paraId="50740F82" w14:textId="77777777" w:rsidR="00082A28" w:rsidRPr="00082A28" w:rsidRDefault="00082A28" w:rsidP="00082A28">
      <w:pPr>
        <w:overflowPunct/>
        <w:autoSpaceDE/>
        <w:autoSpaceDN/>
        <w:adjustRightInd/>
        <w:spacing w:before="100" w:beforeAutospacing="1" w:after="100" w:afterAutospacing="1"/>
        <w:ind w:left="360" w:hanging="360"/>
        <w:contextualSpacing/>
        <w:textAlignment w:val="auto"/>
        <w:rPr>
          <w:rFonts w:ascii="Calibri" w:eastAsia="Calibri" w:hAnsi="Calibri" w:cs="Calibri"/>
          <w:color w:val="auto"/>
          <w:sz w:val="22"/>
          <w:szCs w:val="22"/>
        </w:rPr>
      </w:pPr>
      <w:r w:rsidRPr="00082A28">
        <w:rPr>
          <w:rFonts w:ascii="Symbol" w:eastAsia="Symbol" w:hAnsi="Symbol" w:cs="Symbol"/>
          <w:color w:val="auto"/>
          <w:sz w:val="22"/>
          <w:szCs w:val="22"/>
        </w:rPr>
        <w:t>·</w:t>
      </w:r>
      <w:r w:rsidRPr="00082A28">
        <w:rPr>
          <w:rFonts w:ascii="Times New Roman" w:eastAsia="Symbol" w:hAnsi="Times New Roman" w:cs="Times New Roman"/>
          <w:color w:val="auto"/>
          <w:sz w:val="14"/>
          <w:szCs w:val="14"/>
        </w:rPr>
        <w:t xml:space="preserve">      </w:t>
      </w:r>
      <w:r w:rsidRPr="00082A28">
        <w:rPr>
          <w:rFonts w:ascii="Calibri" w:eastAsia="Calibri" w:hAnsi="Calibri" w:cs="Calibri"/>
          <w:b/>
          <w:bCs/>
          <w:color w:val="auto"/>
          <w:sz w:val="22"/>
          <w:szCs w:val="22"/>
        </w:rPr>
        <w:t>The final challenge was the fact that the female victim had also inflicted injury</w:t>
      </w:r>
      <w:r w:rsidRPr="00082A28">
        <w:rPr>
          <w:rFonts w:ascii="Calibri" w:eastAsia="Calibri" w:hAnsi="Calibri" w:cs="Calibri"/>
          <w:color w:val="auto"/>
          <w:sz w:val="22"/>
          <w:szCs w:val="22"/>
        </w:rPr>
        <w:t>. She volunteered this information immediately and said that it was done in self-defence. After liaising with my supervisor, it was decided that should the male wish to make a counter complaint then the injury caused by the female could be investigated slow time, through the means of a Voluntary Attendance interview. In this case, however, there was no forthcoming counter complaint from the male.</w:t>
      </w:r>
    </w:p>
    <w:p w14:paraId="0F83C4FF"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FF0000"/>
          <w:sz w:val="22"/>
          <w:szCs w:val="22"/>
        </w:rPr>
        <w:t> </w:t>
      </w:r>
    </w:p>
    <w:p w14:paraId="4D292B26"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 xml:space="preserve">Other challenges in a domestic abuse response can relate to attitudes to those making calls. According to R. Mann (2000) there is an issue where police are hesitant to deal with domestic abuse when to related to report calls to the same couple, about the same perpetrator or same victim and new partner. This could lead to contextual or stereotyping bias in the police </w:t>
      </w:r>
      <w:proofErr w:type="gramStart"/>
      <w:r w:rsidRPr="00082A28">
        <w:rPr>
          <w:rFonts w:ascii="Calibri" w:eastAsia="Calibri" w:hAnsi="Calibri" w:cs="Calibri"/>
          <w:color w:val="auto"/>
          <w:sz w:val="22"/>
          <w:szCs w:val="22"/>
        </w:rPr>
        <w:t>approach, and</w:t>
      </w:r>
      <w:proofErr w:type="gramEnd"/>
      <w:r w:rsidRPr="00082A28">
        <w:rPr>
          <w:rFonts w:ascii="Calibri" w:eastAsia="Calibri" w:hAnsi="Calibri" w:cs="Calibri"/>
          <w:color w:val="auto"/>
          <w:sz w:val="22"/>
          <w:szCs w:val="22"/>
        </w:rPr>
        <w:t xml:space="preserve"> calls not </w:t>
      </w:r>
      <w:r w:rsidRPr="00082A28">
        <w:rPr>
          <w:rFonts w:ascii="Calibri" w:eastAsia="Calibri" w:hAnsi="Calibri" w:cs="Calibri"/>
          <w:color w:val="auto"/>
          <w:sz w:val="22"/>
          <w:szCs w:val="22"/>
        </w:rPr>
        <w:lastRenderedPageBreak/>
        <w:t>being taken seriously. Some officers may find it difficult to believe when families of repeat victims are unwilling to have the victim back, ‘you made your bed, lie in it, you’re not coming home with me’ (Mann 2020).</w:t>
      </w:r>
    </w:p>
    <w:p w14:paraId="3F6939B4"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 </w:t>
      </w:r>
    </w:p>
    <w:p w14:paraId="42D7939E"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 xml:space="preserve">Another issue with many domestic abuse calls is that the victim or perpetrator may refuse officer entry to their property, perhaps due to fear of repercussions. In such cases, there are powers of entry afforded to officers </w:t>
      </w:r>
      <w:proofErr w:type="gramStart"/>
      <w:r w:rsidRPr="00082A28">
        <w:rPr>
          <w:rFonts w:ascii="Calibri" w:eastAsia="Calibri" w:hAnsi="Calibri" w:cs="Calibri"/>
          <w:color w:val="auto"/>
          <w:sz w:val="22"/>
          <w:szCs w:val="22"/>
        </w:rPr>
        <w:t>in order to</w:t>
      </w:r>
      <w:proofErr w:type="gramEnd"/>
      <w:r w:rsidRPr="00082A28">
        <w:rPr>
          <w:rFonts w:ascii="Calibri" w:eastAsia="Calibri" w:hAnsi="Calibri" w:cs="Calibri"/>
          <w:color w:val="auto"/>
          <w:sz w:val="22"/>
          <w:szCs w:val="22"/>
        </w:rPr>
        <w:t xml:space="preserve"> preserve life or limb. Section 17(e) of the Police and Criminal Evidence act 1984 (PACE) allows officers entry to ensure the safety of all persons within the property.</w:t>
      </w:r>
    </w:p>
    <w:p w14:paraId="6346FD72"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 </w:t>
      </w:r>
    </w:p>
    <w:p w14:paraId="3575F194"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 xml:space="preserve">Societal challenges also exist. In the Crime Survey for England and Wales (ONS 2017) </w:t>
      </w:r>
      <w:proofErr w:type="gramStart"/>
      <w:r w:rsidRPr="00082A28">
        <w:rPr>
          <w:rFonts w:ascii="Calibri" w:eastAsia="Calibri" w:hAnsi="Calibri" w:cs="Calibri"/>
          <w:color w:val="auto"/>
          <w:sz w:val="22"/>
          <w:szCs w:val="22"/>
        </w:rPr>
        <w:t>the majority of</w:t>
      </w:r>
      <w:proofErr w:type="gramEnd"/>
      <w:r w:rsidRPr="00082A28">
        <w:rPr>
          <w:rFonts w:ascii="Calibri" w:eastAsia="Calibri" w:hAnsi="Calibri" w:cs="Calibri"/>
          <w:color w:val="auto"/>
          <w:sz w:val="22"/>
          <w:szCs w:val="22"/>
        </w:rPr>
        <w:t xml:space="preserve"> adults responding to the survey thought it was always unacceptable to hit or slap a partner. However, some respondents thought it was always, </w:t>
      </w:r>
      <w:proofErr w:type="gramStart"/>
      <w:r w:rsidRPr="00082A28">
        <w:rPr>
          <w:rFonts w:ascii="Calibri" w:eastAsia="Calibri" w:hAnsi="Calibri" w:cs="Calibri"/>
          <w:color w:val="auto"/>
          <w:sz w:val="22"/>
          <w:szCs w:val="22"/>
        </w:rPr>
        <w:t>mostly</w:t>
      </w:r>
      <w:proofErr w:type="gramEnd"/>
      <w:r w:rsidRPr="00082A28">
        <w:rPr>
          <w:rFonts w:ascii="Calibri" w:eastAsia="Calibri" w:hAnsi="Calibri" w:cs="Calibri"/>
          <w:color w:val="auto"/>
          <w:sz w:val="22"/>
          <w:szCs w:val="22"/>
        </w:rPr>
        <w:t xml:space="preserve"> or sometimes acceptable to hit or slap a partner in response to:</w:t>
      </w:r>
    </w:p>
    <w:p w14:paraId="08C19B94" w14:textId="77777777" w:rsidR="00082A28" w:rsidRPr="00082A28" w:rsidRDefault="00082A28" w:rsidP="00082A28">
      <w:pPr>
        <w:overflowPunct/>
        <w:autoSpaceDE/>
        <w:autoSpaceDN/>
        <w:adjustRightInd/>
        <w:spacing w:before="100" w:beforeAutospacing="1" w:after="100" w:afterAutospacing="1"/>
        <w:ind w:hanging="360"/>
        <w:textAlignment w:val="auto"/>
        <w:rPr>
          <w:rFonts w:ascii="Calibri" w:eastAsia="Calibri" w:hAnsi="Calibri" w:cs="Calibri"/>
          <w:color w:val="auto"/>
          <w:sz w:val="22"/>
          <w:szCs w:val="22"/>
        </w:rPr>
      </w:pPr>
      <w:r w:rsidRPr="00082A28">
        <w:rPr>
          <w:rFonts w:ascii="Symbol" w:eastAsia="Symbol" w:hAnsi="Symbol" w:cs="Symbol"/>
          <w:color w:val="auto"/>
          <w:sz w:val="22"/>
          <w:szCs w:val="22"/>
        </w:rPr>
        <w:t>·</w:t>
      </w:r>
      <w:r w:rsidRPr="00082A28">
        <w:rPr>
          <w:rFonts w:ascii="Times New Roman" w:eastAsia="Symbol" w:hAnsi="Times New Roman" w:cs="Times New Roman"/>
          <w:color w:val="auto"/>
          <w:sz w:val="14"/>
          <w:szCs w:val="14"/>
        </w:rPr>
        <w:t xml:space="preserve">      </w:t>
      </w:r>
      <w:r w:rsidRPr="00082A28">
        <w:rPr>
          <w:rFonts w:ascii="Calibri" w:eastAsia="Calibri" w:hAnsi="Calibri" w:cs="Calibri"/>
          <w:color w:val="auto"/>
          <w:sz w:val="22"/>
          <w:szCs w:val="22"/>
        </w:rPr>
        <w:t>Having an affair or cheating on them – 7.1%</w:t>
      </w:r>
    </w:p>
    <w:p w14:paraId="067A23F5" w14:textId="77777777" w:rsidR="00082A28" w:rsidRPr="00082A28" w:rsidRDefault="00082A28" w:rsidP="00082A28">
      <w:pPr>
        <w:overflowPunct/>
        <w:autoSpaceDE/>
        <w:autoSpaceDN/>
        <w:adjustRightInd/>
        <w:spacing w:before="100" w:beforeAutospacing="1" w:after="100" w:afterAutospacing="1"/>
        <w:ind w:hanging="360"/>
        <w:textAlignment w:val="auto"/>
        <w:rPr>
          <w:rFonts w:ascii="Calibri" w:eastAsia="Calibri" w:hAnsi="Calibri" w:cs="Calibri"/>
          <w:color w:val="auto"/>
          <w:sz w:val="22"/>
          <w:szCs w:val="22"/>
        </w:rPr>
      </w:pPr>
      <w:r w:rsidRPr="00082A28">
        <w:rPr>
          <w:rFonts w:ascii="Symbol" w:eastAsia="Symbol" w:hAnsi="Symbol" w:cs="Symbol"/>
          <w:color w:val="auto"/>
          <w:sz w:val="22"/>
          <w:szCs w:val="22"/>
        </w:rPr>
        <w:t>·</w:t>
      </w:r>
      <w:r w:rsidRPr="00082A28">
        <w:rPr>
          <w:rFonts w:ascii="Times New Roman" w:eastAsia="Symbol" w:hAnsi="Times New Roman" w:cs="Times New Roman"/>
          <w:color w:val="auto"/>
          <w:sz w:val="14"/>
          <w:szCs w:val="14"/>
        </w:rPr>
        <w:t xml:space="preserve">      </w:t>
      </w:r>
      <w:r w:rsidRPr="00082A28">
        <w:rPr>
          <w:rFonts w:ascii="Calibri" w:eastAsia="Calibri" w:hAnsi="Calibri" w:cs="Calibri"/>
          <w:color w:val="auto"/>
          <w:sz w:val="22"/>
          <w:szCs w:val="22"/>
        </w:rPr>
        <w:t>Flirting with other people (2%)</w:t>
      </w:r>
    </w:p>
    <w:p w14:paraId="16C22168" w14:textId="77777777" w:rsidR="00082A28" w:rsidRPr="00082A28" w:rsidRDefault="00082A28" w:rsidP="00082A28">
      <w:pPr>
        <w:overflowPunct/>
        <w:autoSpaceDE/>
        <w:autoSpaceDN/>
        <w:adjustRightInd/>
        <w:spacing w:before="100" w:beforeAutospacing="1" w:after="100" w:afterAutospacing="1"/>
        <w:ind w:hanging="360"/>
        <w:textAlignment w:val="auto"/>
        <w:rPr>
          <w:rFonts w:ascii="Calibri" w:eastAsia="Calibri" w:hAnsi="Calibri" w:cs="Calibri"/>
          <w:color w:val="auto"/>
          <w:sz w:val="22"/>
          <w:szCs w:val="22"/>
        </w:rPr>
      </w:pPr>
      <w:r w:rsidRPr="00082A28">
        <w:rPr>
          <w:rFonts w:ascii="Symbol" w:eastAsia="Symbol" w:hAnsi="Symbol" w:cs="Symbol"/>
          <w:color w:val="auto"/>
          <w:sz w:val="22"/>
          <w:szCs w:val="22"/>
        </w:rPr>
        <w:t>·</w:t>
      </w:r>
      <w:r w:rsidRPr="00082A28">
        <w:rPr>
          <w:rFonts w:ascii="Times New Roman" w:eastAsia="Symbol" w:hAnsi="Times New Roman" w:cs="Times New Roman"/>
          <w:color w:val="auto"/>
          <w:sz w:val="14"/>
          <w:szCs w:val="14"/>
        </w:rPr>
        <w:t xml:space="preserve">      </w:t>
      </w:r>
      <w:r w:rsidRPr="00082A28">
        <w:rPr>
          <w:rFonts w:ascii="Calibri" w:eastAsia="Calibri" w:hAnsi="Calibri" w:cs="Calibri"/>
          <w:color w:val="auto"/>
          <w:sz w:val="22"/>
          <w:szCs w:val="22"/>
        </w:rPr>
        <w:t xml:space="preserve">Constantly nagging or moaning (1.5%) </w:t>
      </w:r>
    </w:p>
    <w:p w14:paraId="30885D7C"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FF0000"/>
          <w:sz w:val="22"/>
          <w:szCs w:val="22"/>
        </w:rPr>
        <w:t> </w:t>
      </w:r>
    </w:p>
    <w:p w14:paraId="7A773B8E"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 xml:space="preserve">The College of Policing (2022) describes domestic abuse as being like an iceberg. A lot more under the surface that is initially reported to the police, as well as more than meets the eye </w:t>
      </w:r>
      <w:proofErr w:type="gramStart"/>
      <w:r w:rsidRPr="00082A28">
        <w:rPr>
          <w:rFonts w:ascii="Calibri" w:eastAsia="Calibri" w:hAnsi="Calibri" w:cs="Calibri"/>
          <w:color w:val="auto"/>
          <w:sz w:val="22"/>
          <w:szCs w:val="22"/>
        </w:rPr>
        <w:t>in a given</w:t>
      </w:r>
      <w:proofErr w:type="gramEnd"/>
      <w:r w:rsidRPr="00082A28">
        <w:rPr>
          <w:rFonts w:ascii="Calibri" w:eastAsia="Calibri" w:hAnsi="Calibri" w:cs="Calibri"/>
          <w:color w:val="auto"/>
          <w:sz w:val="22"/>
          <w:szCs w:val="22"/>
        </w:rPr>
        <w:t xml:space="preserve"> incident</w:t>
      </w:r>
      <w:r w:rsidRPr="00082A28">
        <w:rPr>
          <w:rFonts w:ascii="Calibri" w:eastAsia="Calibri" w:hAnsi="Calibri" w:cs="Calibri"/>
          <w:color w:val="FF0000"/>
          <w:sz w:val="22"/>
          <w:szCs w:val="22"/>
        </w:rPr>
        <w:t xml:space="preserve">. </w:t>
      </w:r>
      <w:r w:rsidRPr="00082A28">
        <w:rPr>
          <w:rFonts w:ascii="Calibri" w:eastAsia="Calibri" w:hAnsi="Calibri" w:cs="Calibri"/>
          <w:color w:val="auto"/>
          <w:sz w:val="22"/>
          <w:szCs w:val="22"/>
        </w:rPr>
        <w:t>It can also include:</w:t>
      </w:r>
    </w:p>
    <w:p w14:paraId="4B34AACD"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b/>
          <w:bCs/>
          <w:color w:val="auto"/>
          <w:sz w:val="22"/>
          <w:szCs w:val="22"/>
        </w:rPr>
        <w:t>Controlling behaviours</w:t>
      </w:r>
      <w:r w:rsidRPr="00082A28">
        <w:rPr>
          <w:rFonts w:ascii="Calibri" w:eastAsia="Calibri" w:hAnsi="Calibri" w:cs="Calibri"/>
          <w:color w:val="auto"/>
          <w:sz w:val="22"/>
          <w:szCs w:val="22"/>
        </w:rPr>
        <w:t xml:space="preserve"> is a range of actions designed to make a person subordinate and/or dependant by isolating them from sources of support, exploiting their resources and capacity for personal gain, depriving them of the means needed for independence, resistance and escape and regulating their everyday behaviour.</w:t>
      </w:r>
    </w:p>
    <w:p w14:paraId="3E8949D2"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b/>
          <w:bCs/>
          <w:color w:val="auto"/>
          <w:sz w:val="22"/>
          <w:szCs w:val="22"/>
        </w:rPr>
        <w:t>Coercive behaviour</w:t>
      </w:r>
      <w:r w:rsidRPr="00082A28">
        <w:rPr>
          <w:rFonts w:ascii="Calibri" w:eastAsia="Calibri" w:hAnsi="Calibri" w:cs="Calibri"/>
          <w:color w:val="auto"/>
          <w:sz w:val="22"/>
          <w:szCs w:val="22"/>
        </w:rPr>
        <w:t xml:space="preserve"> is an act of pattern of acts of assault, threats, humiliations and intimidations or other abuse that is used to harm, punish, or frighten their victim.</w:t>
      </w:r>
    </w:p>
    <w:p w14:paraId="33E1E4D7"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b/>
          <w:bCs/>
          <w:color w:val="auto"/>
          <w:sz w:val="22"/>
          <w:szCs w:val="22"/>
        </w:rPr>
        <w:t>Domestic abuse</w:t>
      </w:r>
      <w:r w:rsidRPr="00082A28">
        <w:rPr>
          <w:rFonts w:ascii="Calibri" w:eastAsia="Calibri" w:hAnsi="Calibri" w:cs="Calibri"/>
          <w:color w:val="auto"/>
          <w:sz w:val="22"/>
          <w:szCs w:val="22"/>
        </w:rPr>
        <w:t xml:space="preserve"> covers a wide range of violence an abuse and involves different perpetrators. The definition includes intimate partner violence, child abuse, elder abuse, sibling abuse, child to partner abuse, so-called ‘crimes of honour’ female genital mutilation, forced marriage and other violent acts within the family.</w:t>
      </w:r>
    </w:p>
    <w:p w14:paraId="7C14E6FD"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 xml:space="preserve">(HMIC, 2015) </w:t>
      </w:r>
    </w:p>
    <w:p w14:paraId="48EE84C6"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00B050"/>
          <w:sz w:val="22"/>
          <w:szCs w:val="22"/>
        </w:rPr>
        <w:t> </w:t>
      </w:r>
    </w:p>
    <w:p w14:paraId="01688C5B"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In 2013 the government recognised the difficulties in responding to incidences of domestic abuse from a law enforcement perspective. This included providing alternative means to dealing with domestic abuse and the introduction of The Domestic Violence Disclosure Scheme commonly known as Clare’s Law. This allows women to request information from the police and from other agencies to ascertain if their new partner has any violent history towards former partners which has been reported to the police. This allows them to make informed choices.</w:t>
      </w:r>
    </w:p>
    <w:p w14:paraId="22DD2C2B"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lastRenderedPageBreak/>
        <w:t> </w:t>
      </w:r>
    </w:p>
    <w:p w14:paraId="19F42E70"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 xml:space="preserve">The police work closely with other agencies such as health services, education providers, probation, local </w:t>
      </w:r>
      <w:proofErr w:type="gramStart"/>
      <w:r w:rsidRPr="00082A28">
        <w:rPr>
          <w:rFonts w:ascii="Calibri" w:eastAsia="Calibri" w:hAnsi="Calibri" w:cs="Calibri"/>
          <w:color w:val="auto"/>
          <w:sz w:val="22"/>
          <w:szCs w:val="22"/>
        </w:rPr>
        <w:t>authorities</w:t>
      </w:r>
      <w:proofErr w:type="gramEnd"/>
      <w:r w:rsidRPr="00082A28">
        <w:rPr>
          <w:rFonts w:ascii="Calibri" w:eastAsia="Calibri" w:hAnsi="Calibri" w:cs="Calibri"/>
          <w:color w:val="auto"/>
          <w:sz w:val="22"/>
          <w:szCs w:val="22"/>
        </w:rPr>
        <w:t xml:space="preserve"> and charities. This is done through the means on Public Protection Notifications (PPNs), a form which allows the police to submit any relevant information from an incident to relevant partner agencies. This allows certain questions to be asked, thus rating the level of risk to any persons involved in the incident and ensuring that all involved can be safeguarded. However, in the above incident, the DASH (Domestic Abuse Stalking and Harassment) risk assessment of 25 questions was refused by the victim and she did not want the PPN to be shared with partner agencies. This may still be shared, however, if the level is risk is deemed too high by attending officers. If the children had been present during the incident, for example, then the PPN and officer’s assessment can still be shared to ensure that the children could be protected further. An example of multi-agency working includes MARAC (Multi-Agency Risk Assessment Conference) meetings which can be instigated by any frontline agency who undertakes a risk assessment with a victim. By referring victims to these agencies using PPNs, the police can assist in providing lasting support for these victims and attempt to break the cycle of domestic abuse, rather than just as an initial response.</w:t>
      </w:r>
    </w:p>
    <w:p w14:paraId="47A6423C"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FF0000"/>
          <w:sz w:val="22"/>
          <w:szCs w:val="22"/>
        </w:rPr>
        <w:t> </w:t>
      </w:r>
    </w:p>
    <w:p w14:paraId="5047DB30" w14:textId="50C37E22"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sz w:val="22"/>
          <w:szCs w:val="22"/>
        </w:rPr>
        <w:t>In instances of domestic violence, the police can also issue Domestic Violence Protection Notices (DVPNs) in cases where the suspect or perpetrator has not been charged. These can be issued by police after attending officers believe that there has been domestic violence and safeguarding measures are required to protect relevant parties. DVPNs must be authorised by an authorising officer of rank Superintendent or above, the DVPN will then implement conditions such as non-molestation of the victim and prohibited locations for the suspect to visit for 48 hours. A Magistrate’s Court will then hold a hearing for the application for a Domestic Violence Protection Order (DVPO), it is then for the court to decide whether to issue a DVPO based on the evidence presented to it. A DVPO can then extend the conditions for 14-28 days to protect the victim and for the continued non-molestation.</w:t>
      </w:r>
      <w:r w:rsidR="00814019">
        <w:rPr>
          <w:rFonts w:ascii="Calibri" w:eastAsia="Calibri" w:hAnsi="Calibri" w:cs="Calibri"/>
          <w:sz w:val="22"/>
          <w:szCs w:val="22"/>
        </w:rPr>
        <w:t xml:space="preserve"> </w:t>
      </w:r>
      <w:r w:rsidR="00814019">
        <w:rPr>
          <w:color w:val="000000" w:themeColor="text1"/>
          <w:sz w:val="22"/>
          <w:szCs w:val="22"/>
        </w:rPr>
        <w:t>(College of Policing, 2015).</w:t>
      </w:r>
    </w:p>
    <w:p w14:paraId="6FB0AB6F"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FF0000"/>
          <w:sz w:val="22"/>
          <w:szCs w:val="22"/>
        </w:rPr>
        <w:t> </w:t>
      </w:r>
    </w:p>
    <w:p w14:paraId="67ADA9D9"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 xml:space="preserve">Overall, there are multiple challenges facing police officers responding to calls of domestic abuse, but these can to a degree, be overcome by using the different methods available. Officers can take positive action to separate the parties, arresting based on disclosure without a complaint, officers can put DVPNs and later apply for DVPOS, and can seek assistance from </w:t>
      </w:r>
      <w:proofErr w:type="gramStart"/>
      <w:r w:rsidRPr="00082A28">
        <w:rPr>
          <w:rFonts w:ascii="Calibri" w:eastAsia="Calibri" w:hAnsi="Calibri" w:cs="Calibri"/>
          <w:color w:val="auto"/>
          <w:sz w:val="22"/>
          <w:szCs w:val="22"/>
        </w:rPr>
        <w:t>a number of</w:t>
      </w:r>
      <w:proofErr w:type="gramEnd"/>
      <w:r w:rsidRPr="00082A28">
        <w:rPr>
          <w:rFonts w:ascii="Calibri" w:eastAsia="Calibri" w:hAnsi="Calibri" w:cs="Calibri"/>
          <w:color w:val="auto"/>
          <w:sz w:val="22"/>
          <w:szCs w:val="22"/>
        </w:rPr>
        <w:t xml:space="preserve"> partner agencies who will put in suitable levels of support to safeguard victims and their families. A victim and perpetrators refusal to engage can make identifying the issue more difficult, especially if the victim refuses to provide a statement of complaint or to pursue the matter further. Legislation has also developed to cover former gaps such as coercive control becoming an </w:t>
      </w:r>
      <w:proofErr w:type="gramStart"/>
      <w:r w:rsidRPr="00082A28">
        <w:rPr>
          <w:rFonts w:ascii="Calibri" w:eastAsia="Calibri" w:hAnsi="Calibri" w:cs="Calibri"/>
          <w:color w:val="auto"/>
          <w:sz w:val="22"/>
          <w:szCs w:val="22"/>
        </w:rPr>
        <w:t>offence in its own right</w:t>
      </w:r>
      <w:proofErr w:type="gramEnd"/>
      <w:r w:rsidRPr="00082A28">
        <w:rPr>
          <w:rFonts w:ascii="Calibri" w:eastAsia="Calibri" w:hAnsi="Calibri" w:cs="Calibri"/>
          <w:color w:val="auto"/>
          <w:sz w:val="22"/>
          <w:szCs w:val="22"/>
        </w:rPr>
        <w:t xml:space="preserve"> (Serious Crime Act, 2015). Due to the complex nature of the incidents, there are number of methods for dealing with them </w:t>
      </w:r>
      <w:proofErr w:type="gramStart"/>
      <w:r w:rsidRPr="00082A28">
        <w:rPr>
          <w:rFonts w:ascii="Calibri" w:eastAsia="Calibri" w:hAnsi="Calibri" w:cs="Calibri"/>
          <w:color w:val="auto"/>
          <w:sz w:val="22"/>
          <w:szCs w:val="22"/>
        </w:rPr>
        <w:t>in order to</w:t>
      </w:r>
      <w:proofErr w:type="gramEnd"/>
      <w:r w:rsidRPr="00082A28">
        <w:rPr>
          <w:rFonts w:ascii="Calibri" w:eastAsia="Calibri" w:hAnsi="Calibri" w:cs="Calibri"/>
          <w:color w:val="auto"/>
          <w:sz w:val="22"/>
          <w:szCs w:val="22"/>
        </w:rPr>
        <w:t xml:space="preserve"> protect victims of domestic abuse.</w:t>
      </w:r>
    </w:p>
    <w:p w14:paraId="0C59D2A9" w14:textId="77777777"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color w:val="auto"/>
          <w:sz w:val="22"/>
          <w:szCs w:val="22"/>
        </w:rPr>
      </w:pPr>
      <w:r w:rsidRPr="00082A28">
        <w:rPr>
          <w:rFonts w:ascii="Calibri" w:eastAsia="Calibri" w:hAnsi="Calibri" w:cs="Calibri"/>
          <w:color w:val="auto"/>
          <w:sz w:val="22"/>
          <w:szCs w:val="22"/>
        </w:rPr>
        <w:t> </w:t>
      </w:r>
    </w:p>
    <w:p w14:paraId="6CF3554A" w14:textId="75772904" w:rsidR="00082A28" w:rsidRPr="00082A28" w:rsidRDefault="00082A28" w:rsidP="00082A28">
      <w:pPr>
        <w:overflowPunct/>
        <w:autoSpaceDE/>
        <w:autoSpaceDN/>
        <w:adjustRightInd/>
        <w:spacing w:before="100" w:beforeAutospacing="1" w:after="100" w:afterAutospacing="1"/>
        <w:textAlignment w:val="auto"/>
        <w:rPr>
          <w:rFonts w:ascii="Calibri" w:eastAsia="Calibri" w:hAnsi="Calibri" w:cs="Calibri"/>
          <w:b/>
          <w:bCs/>
          <w:color w:val="auto"/>
          <w:sz w:val="22"/>
          <w:szCs w:val="22"/>
        </w:rPr>
      </w:pPr>
      <w:r w:rsidRPr="00082A28">
        <w:rPr>
          <w:rFonts w:ascii="Calibri" w:eastAsia="Calibri" w:hAnsi="Calibri" w:cs="Calibri"/>
          <w:b/>
          <w:bCs/>
          <w:color w:val="auto"/>
          <w:sz w:val="22"/>
          <w:szCs w:val="22"/>
        </w:rPr>
        <w:t>219</w:t>
      </w:r>
      <w:r w:rsidR="00814019">
        <w:rPr>
          <w:rFonts w:ascii="Calibri" w:eastAsia="Calibri" w:hAnsi="Calibri" w:cs="Calibri"/>
          <w:b/>
          <w:bCs/>
          <w:color w:val="auto"/>
          <w:sz w:val="22"/>
          <w:szCs w:val="22"/>
        </w:rPr>
        <w:t>9</w:t>
      </w:r>
      <w:r w:rsidRPr="00082A28">
        <w:rPr>
          <w:rFonts w:ascii="Calibri" w:eastAsia="Calibri" w:hAnsi="Calibri" w:cs="Calibri"/>
          <w:b/>
          <w:bCs/>
          <w:color w:val="auto"/>
          <w:sz w:val="22"/>
          <w:szCs w:val="22"/>
        </w:rPr>
        <w:t xml:space="preserve"> Words</w:t>
      </w:r>
    </w:p>
    <w:p w14:paraId="2E902B8F" w14:textId="04D4B231" w:rsidR="00025650" w:rsidRPr="00E676F7" w:rsidRDefault="00025650" w:rsidP="0FF883D4">
      <w:pPr>
        <w:ind w:right="237"/>
        <w:jc w:val="both"/>
        <w:rPr>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66D27FA2" w14:textId="2E573F43" w:rsidR="0FF883D4" w:rsidRDefault="0FF883D4" w:rsidP="0FF883D4">
      <w:pPr>
        <w:ind w:right="237"/>
        <w:jc w:val="both"/>
        <w:rPr>
          <w:color w:val="000000" w:themeColor="text1"/>
          <w:sz w:val="24"/>
          <w:szCs w:val="24"/>
        </w:rPr>
      </w:pPr>
    </w:p>
    <w:p w14:paraId="1C6E93E6" w14:textId="547AA299" w:rsidR="00025650" w:rsidRPr="00E676F7" w:rsidRDefault="00025650" w:rsidP="00340E9A">
      <w:pPr>
        <w:ind w:right="237"/>
      </w:pPr>
    </w:p>
    <w:p w14:paraId="76B6FAAC" w14:textId="6FD00BAD" w:rsidR="0FF883D4" w:rsidRDefault="0FF883D4" w:rsidP="0FF883D4">
      <w:pPr>
        <w:ind w:left="2880" w:right="225" w:firstLine="720"/>
        <w:rPr>
          <w:b/>
          <w:bCs/>
          <w:sz w:val="24"/>
          <w:szCs w:val="24"/>
          <w:lang w:eastAsia="zh-TW"/>
        </w:rPr>
      </w:pPr>
    </w:p>
    <w:p w14:paraId="2B22C76A" w14:textId="77777777" w:rsidR="005C5382" w:rsidRDefault="005C5382" w:rsidP="5CE196A1">
      <w:pPr>
        <w:rPr>
          <w:rFonts w:eastAsia="Arial"/>
          <w:b/>
          <w:bCs/>
          <w:color w:val="000000" w:themeColor="text1"/>
          <w:sz w:val="24"/>
          <w:szCs w:val="24"/>
        </w:rPr>
      </w:pPr>
    </w:p>
    <w:p w14:paraId="3C301891" w14:textId="77777777" w:rsidR="005C5382" w:rsidRDefault="005C5382" w:rsidP="5CE196A1">
      <w:pPr>
        <w:rPr>
          <w:rFonts w:eastAsia="Arial"/>
          <w:b/>
          <w:bCs/>
          <w:color w:val="000000" w:themeColor="text1"/>
          <w:sz w:val="24"/>
          <w:szCs w:val="24"/>
        </w:rPr>
      </w:pPr>
    </w:p>
    <w:p w14:paraId="41E44F7E" w14:textId="77777777" w:rsidR="005C5382" w:rsidRDefault="005C5382" w:rsidP="5CE196A1">
      <w:pPr>
        <w:rPr>
          <w:rFonts w:eastAsia="Arial"/>
          <w:b/>
          <w:bCs/>
          <w:color w:val="000000" w:themeColor="text1"/>
          <w:sz w:val="24"/>
          <w:szCs w:val="24"/>
        </w:rPr>
      </w:pPr>
    </w:p>
    <w:p w14:paraId="63FA31A0" w14:textId="274801C6" w:rsidR="005C5382" w:rsidRDefault="005C5382" w:rsidP="5CE196A1">
      <w:pPr>
        <w:rPr>
          <w:rFonts w:eastAsia="Arial"/>
          <w:b/>
          <w:bCs/>
          <w:color w:val="000000" w:themeColor="text1"/>
          <w:sz w:val="24"/>
          <w:szCs w:val="24"/>
        </w:rPr>
      </w:pPr>
    </w:p>
    <w:p w14:paraId="337675EC" w14:textId="1078C2B4" w:rsidR="005C5382" w:rsidRDefault="005C5382" w:rsidP="5CE196A1">
      <w:pPr>
        <w:rPr>
          <w:rFonts w:eastAsia="Arial"/>
          <w:b/>
          <w:bCs/>
          <w:color w:val="000000" w:themeColor="text1"/>
          <w:sz w:val="24"/>
          <w:szCs w:val="24"/>
        </w:rPr>
      </w:pPr>
      <w:r>
        <w:rPr>
          <w:rFonts w:eastAsia="Arial"/>
          <w:b/>
          <w:bCs/>
          <w:noProof/>
          <w:color w:val="000000" w:themeColor="text1"/>
          <w:sz w:val="24"/>
          <w:szCs w:val="24"/>
        </w:rPr>
        <mc:AlternateContent>
          <mc:Choice Requires="wpi">
            <w:drawing>
              <wp:anchor distT="0" distB="0" distL="114300" distR="114300" simplePos="0" relativeHeight="251665408" behindDoc="0" locked="0" layoutInCell="1" allowOverlap="1" wp14:anchorId="7FF98683" wp14:editId="3A7C7AAA">
                <wp:simplePos x="0" y="0"/>
                <wp:positionH relativeFrom="column">
                  <wp:posOffset>2091690</wp:posOffset>
                </wp:positionH>
                <wp:positionV relativeFrom="paragraph">
                  <wp:posOffset>-160020</wp:posOffset>
                </wp:positionV>
                <wp:extent cx="2455825" cy="495360"/>
                <wp:effectExtent l="38100" t="38100" r="0" b="57150"/>
                <wp:wrapNone/>
                <wp:docPr id="8" name="Ink 8"/>
                <wp:cNvGraphicFramePr/>
                <a:graphic xmlns:a="http://schemas.openxmlformats.org/drawingml/2006/main">
                  <a:graphicData uri="http://schemas.microsoft.com/office/word/2010/wordprocessingInk">
                    <w14:contentPart bwMode="auto" r:id="rId16">
                      <w14:nvContentPartPr>
                        <w14:cNvContentPartPr/>
                      </w14:nvContentPartPr>
                      <w14:xfrm>
                        <a:off x="0" y="0"/>
                        <a:ext cx="2455825" cy="495360"/>
                      </w14:xfrm>
                    </w14:contentPart>
                  </a:graphicData>
                </a:graphic>
              </wp:anchor>
            </w:drawing>
          </mc:Choice>
          <mc:Fallback>
            <w:pict>
              <v:shapetype w14:anchorId="3645555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164pt;margin-top:-13.3pt;width:194.75pt;height:40.4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">
                <v:imagedata r:id="rId17" o:title=""/>
              </v:shape>
            </w:pict>
          </mc:Fallback>
        </mc:AlternateContent>
      </w:r>
    </w:p>
    <w:p w14:paraId="1ADEFAE5" w14:textId="104EA0AB"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F6648E7" w:rsidR="0FF883D4" w:rsidRDefault="5CE196A1" w:rsidP="5CE196A1">
      <w:r w:rsidRPr="5CE196A1">
        <w:rPr>
          <w:rFonts w:eastAsia="Arial"/>
          <w:b/>
          <w:bCs/>
          <w:color w:val="000000" w:themeColor="text1"/>
          <w:sz w:val="24"/>
          <w:szCs w:val="24"/>
        </w:rPr>
        <w:t xml:space="preserve">Signed: </w:t>
      </w:r>
      <w:r w:rsidR="008D7B6C">
        <w:rPr>
          <w:rFonts w:eastAsia="Arial"/>
          <w:b/>
          <w:bCs/>
          <w:color w:val="000000" w:themeColor="text1"/>
          <w:sz w:val="24"/>
          <w:szCs w:val="24"/>
        </w:rPr>
        <w:t>Evan Meadows</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756E6F8" w:rsidR="0FF883D4" w:rsidRDefault="00281627" w:rsidP="5CE196A1">
      <w:pPr>
        <w:ind w:left="2880" w:right="225" w:firstLine="720"/>
        <w:rPr>
          <w:b/>
          <w:bCs/>
          <w:sz w:val="24"/>
          <w:szCs w:val="24"/>
          <w:lang w:eastAsia="zh-TW"/>
        </w:rPr>
        <w:sectPr w:rsidR="0FF883D4" w:rsidSect="0022001B">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docGrid w:linePitch="272"/>
        </w:sectPr>
      </w:pPr>
      <w:r>
        <w:rPr>
          <w:b/>
          <w:bCs/>
          <w:sz w:val="24"/>
          <w:szCs w:val="24"/>
          <w:lang w:eastAsia="zh-TW"/>
        </w:rPr>
        <w:t>20/10/2022</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2C90D025"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w:t>
      </w:r>
    </w:p>
    <w:p w14:paraId="26580AB3" w14:textId="7CFC816E" w:rsidR="00814019" w:rsidRDefault="00814019" w:rsidP="00DF0597">
      <w:pPr>
        <w:pStyle w:val="NoSpacing"/>
        <w:rPr>
          <w:rFonts w:asciiTheme="minorHAnsi" w:hAnsiTheme="minorHAnsi" w:cstheme="minorHAnsi"/>
          <w:sz w:val="22"/>
          <w:szCs w:val="22"/>
          <w:shd w:val="clear" w:color="auto" w:fill="FFFFFF"/>
        </w:rPr>
      </w:pPr>
      <w:r w:rsidRPr="00814019">
        <w:rPr>
          <w:rFonts w:asciiTheme="minorHAnsi" w:hAnsiTheme="minorHAnsi" w:cstheme="minorHAnsi"/>
          <w:sz w:val="22"/>
          <w:szCs w:val="22"/>
          <w:shd w:val="clear" w:color="auto" w:fill="FFFFFF"/>
        </w:rPr>
        <w:t xml:space="preserve">Bath, C. (2022) About Appropriate Adults, </w:t>
      </w:r>
      <w:proofErr w:type="gramStart"/>
      <w:r w:rsidRPr="00814019">
        <w:rPr>
          <w:rFonts w:asciiTheme="minorHAnsi" w:hAnsiTheme="minorHAnsi" w:cstheme="minorHAnsi"/>
          <w:sz w:val="22"/>
          <w:szCs w:val="22"/>
          <w:shd w:val="clear" w:color="auto" w:fill="FFFFFF"/>
        </w:rPr>
        <w:t>About</w:t>
      </w:r>
      <w:proofErr w:type="gramEnd"/>
      <w:r w:rsidRPr="00814019">
        <w:rPr>
          <w:rFonts w:asciiTheme="minorHAnsi" w:hAnsiTheme="minorHAnsi" w:cstheme="minorHAnsi"/>
          <w:sz w:val="22"/>
          <w:szCs w:val="22"/>
          <w:shd w:val="clear" w:color="auto" w:fill="FFFFFF"/>
        </w:rPr>
        <w:t xml:space="preserve"> appropriate adults. Available at: https://appropriateadult.org.uk/information/what-is-an-appropriate-adult#:~:text=The%20Police%20and%20Criminal%20Evidence%20Act%201984%2C%20Code,they%20consider%20that%20they%20are%20not%3B%20More%20items (Accessed: </w:t>
      </w:r>
      <w:r>
        <w:rPr>
          <w:rFonts w:asciiTheme="minorHAnsi" w:hAnsiTheme="minorHAnsi" w:cstheme="minorHAnsi"/>
          <w:sz w:val="22"/>
          <w:szCs w:val="22"/>
          <w:shd w:val="clear" w:color="auto" w:fill="FFFFFF"/>
        </w:rPr>
        <w:t>November 29</w:t>
      </w:r>
      <w:r w:rsidRPr="00814019">
        <w:rPr>
          <w:rFonts w:asciiTheme="minorHAnsi" w:hAnsiTheme="minorHAnsi" w:cstheme="minorHAnsi"/>
          <w:sz w:val="22"/>
          <w:szCs w:val="22"/>
          <w:shd w:val="clear" w:color="auto" w:fill="FFFFFF"/>
        </w:rPr>
        <w:t>, 2022).</w:t>
      </w:r>
    </w:p>
    <w:p w14:paraId="67436A23" w14:textId="77777777" w:rsidR="00814019" w:rsidRDefault="00814019" w:rsidP="00DF0597">
      <w:pPr>
        <w:pStyle w:val="NoSpacing"/>
        <w:rPr>
          <w:rFonts w:asciiTheme="minorHAnsi" w:hAnsiTheme="minorHAnsi" w:cstheme="minorHAnsi"/>
          <w:sz w:val="22"/>
          <w:szCs w:val="22"/>
          <w:shd w:val="clear" w:color="auto" w:fill="FFFFFF"/>
        </w:rPr>
      </w:pPr>
    </w:p>
    <w:p w14:paraId="49692A6A" w14:textId="1A9F2B0E" w:rsidR="00DF0597" w:rsidRPr="000D38AC" w:rsidRDefault="00DF0597" w:rsidP="00DF0597">
      <w:pPr>
        <w:pStyle w:val="NoSpacing"/>
        <w:rPr>
          <w:rFonts w:asciiTheme="minorHAnsi" w:hAnsiTheme="minorHAnsi" w:cstheme="minorHAnsi"/>
          <w:sz w:val="22"/>
          <w:szCs w:val="22"/>
          <w:shd w:val="clear" w:color="auto" w:fill="FFFFFF"/>
        </w:rPr>
      </w:pPr>
      <w:r w:rsidRPr="000D38AC">
        <w:rPr>
          <w:rFonts w:asciiTheme="minorHAnsi" w:hAnsiTheme="minorHAnsi" w:cstheme="minorHAnsi"/>
          <w:sz w:val="22"/>
          <w:szCs w:val="22"/>
          <w:shd w:val="clear" w:color="auto" w:fill="FFFFFF"/>
        </w:rPr>
        <w:t>Clare's Law. 2014. </w:t>
      </w:r>
      <w:r w:rsidRPr="000D38AC">
        <w:rPr>
          <w:rFonts w:asciiTheme="minorHAnsi" w:hAnsiTheme="minorHAnsi" w:cstheme="minorHAnsi"/>
          <w:i/>
          <w:iCs/>
          <w:sz w:val="22"/>
          <w:szCs w:val="22"/>
          <w:shd w:val="clear" w:color="auto" w:fill="FFFFFF"/>
        </w:rPr>
        <w:t>What is Clare's Law? - Clare's Law</w:t>
      </w:r>
      <w:r w:rsidRPr="000D38AC">
        <w:rPr>
          <w:rFonts w:asciiTheme="minorHAnsi" w:hAnsiTheme="minorHAnsi" w:cstheme="minorHAnsi"/>
          <w:sz w:val="22"/>
          <w:szCs w:val="22"/>
          <w:shd w:val="clear" w:color="auto" w:fill="FFFFFF"/>
        </w:rPr>
        <w:t xml:space="preserve">. [online] Available at: </w:t>
      </w:r>
      <w:hyperlink r:id="rId24" w:history="1">
        <w:r w:rsidRPr="000D38AC">
          <w:rPr>
            <w:rStyle w:val="Hyperlink"/>
            <w:rFonts w:asciiTheme="minorHAnsi" w:hAnsiTheme="minorHAnsi" w:cstheme="minorHAnsi"/>
            <w:sz w:val="22"/>
            <w:szCs w:val="22"/>
            <w:shd w:val="clear" w:color="auto" w:fill="FFFFFF"/>
          </w:rPr>
          <w:t>https://clares-law.com/what-is-clares-law/</w:t>
        </w:r>
      </w:hyperlink>
      <w:r w:rsidRPr="000D38AC">
        <w:rPr>
          <w:rFonts w:asciiTheme="minorHAnsi" w:hAnsiTheme="minorHAnsi" w:cstheme="minorHAnsi"/>
          <w:sz w:val="22"/>
          <w:szCs w:val="22"/>
          <w:shd w:val="clear" w:color="auto" w:fill="FFFFFF"/>
        </w:rPr>
        <w:t xml:space="preserve">  [Accessed 21 September 2022].</w:t>
      </w:r>
    </w:p>
    <w:p w14:paraId="6DD64DA6" w14:textId="516DCB6B" w:rsidR="007118BD" w:rsidRPr="000D38AC" w:rsidRDefault="007118BD" w:rsidP="00DF0597">
      <w:pPr>
        <w:pStyle w:val="NoSpacing"/>
        <w:rPr>
          <w:rFonts w:asciiTheme="minorHAnsi" w:hAnsiTheme="minorHAnsi" w:cstheme="minorHAnsi"/>
          <w:sz w:val="22"/>
          <w:szCs w:val="22"/>
          <w:shd w:val="clear" w:color="auto" w:fill="FFFFFF"/>
        </w:rPr>
      </w:pPr>
    </w:p>
    <w:p w14:paraId="7C21BA49" w14:textId="2FA2062F" w:rsidR="007118BD" w:rsidRPr="000D38AC" w:rsidRDefault="007118BD" w:rsidP="00DF0597">
      <w:pPr>
        <w:pStyle w:val="NoSpacing"/>
        <w:rPr>
          <w:rFonts w:asciiTheme="minorHAnsi" w:hAnsiTheme="minorHAnsi" w:cstheme="minorHAnsi"/>
          <w:sz w:val="22"/>
          <w:szCs w:val="22"/>
          <w:shd w:val="clear" w:color="auto" w:fill="FFFFFF"/>
        </w:rPr>
      </w:pPr>
      <w:r w:rsidRPr="000D38AC">
        <w:rPr>
          <w:rFonts w:asciiTheme="minorHAnsi" w:hAnsiTheme="minorHAnsi" w:cstheme="minorHAnsi"/>
          <w:sz w:val="22"/>
          <w:szCs w:val="22"/>
          <w:shd w:val="clear" w:color="auto" w:fill="FFFFFF"/>
        </w:rPr>
        <w:t>College of Policing. 2015. </w:t>
      </w:r>
      <w:r w:rsidRPr="000D38AC">
        <w:rPr>
          <w:rFonts w:asciiTheme="minorHAnsi" w:hAnsiTheme="minorHAnsi" w:cstheme="minorHAnsi"/>
          <w:i/>
          <w:iCs/>
          <w:sz w:val="22"/>
          <w:szCs w:val="22"/>
          <w:shd w:val="clear" w:color="auto" w:fill="FFFFFF"/>
        </w:rPr>
        <w:t>Using domestic violence protection notices and domestic violence protection orders to make victims safer | College of Policing</w:t>
      </w:r>
      <w:r w:rsidRPr="000D38AC">
        <w:rPr>
          <w:rFonts w:asciiTheme="minorHAnsi" w:hAnsiTheme="minorHAnsi" w:cstheme="minorHAnsi"/>
          <w:sz w:val="22"/>
          <w:szCs w:val="22"/>
          <w:shd w:val="clear" w:color="auto" w:fill="FFFFFF"/>
        </w:rPr>
        <w:t xml:space="preserve">. [online] Available at: </w:t>
      </w:r>
      <w:hyperlink r:id="rId25" w:history="1">
        <w:r w:rsidRPr="000D38AC">
          <w:rPr>
            <w:rStyle w:val="Hyperlink"/>
            <w:rFonts w:asciiTheme="minorHAnsi" w:hAnsiTheme="minorHAnsi" w:cstheme="minorHAnsi"/>
            <w:sz w:val="22"/>
            <w:szCs w:val="22"/>
            <w:shd w:val="clear" w:color="auto" w:fill="FFFFFF"/>
          </w:rPr>
          <w:t>https://www.college.police.uk/app/major-investigation-and-public-protection/domestic-abuse/using-domestic-violence-protection-notices-and-domestic-violence-protection-orders-make-victims-safer</w:t>
        </w:r>
      </w:hyperlink>
      <w:r w:rsidRPr="000D38AC">
        <w:rPr>
          <w:rFonts w:asciiTheme="minorHAnsi" w:hAnsiTheme="minorHAnsi" w:cstheme="minorHAnsi"/>
          <w:sz w:val="22"/>
          <w:szCs w:val="22"/>
          <w:shd w:val="clear" w:color="auto" w:fill="FFFFFF"/>
        </w:rPr>
        <w:t xml:space="preserve">  [Accessed 21 September 2022]. </w:t>
      </w:r>
    </w:p>
    <w:p w14:paraId="53ADA908" w14:textId="25E13023" w:rsidR="00DF0597" w:rsidRPr="000D38AC" w:rsidRDefault="00DF0597" w:rsidP="00DF0597">
      <w:pPr>
        <w:pStyle w:val="NoSpacing"/>
        <w:rPr>
          <w:rFonts w:asciiTheme="minorHAnsi" w:hAnsiTheme="minorHAnsi" w:cstheme="minorHAnsi"/>
          <w:sz w:val="22"/>
          <w:szCs w:val="22"/>
          <w:shd w:val="clear" w:color="auto" w:fill="FFFFFF"/>
        </w:rPr>
      </w:pPr>
    </w:p>
    <w:p w14:paraId="1307279A" w14:textId="19E93592" w:rsidR="00654B75" w:rsidRPr="000D38AC" w:rsidRDefault="00654B75" w:rsidP="00654B75">
      <w:pPr>
        <w:pStyle w:val="NoSpacing"/>
        <w:rPr>
          <w:rFonts w:asciiTheme="minorHAnsi" w:hAnsiTheme="minorHAnsi" w:cstheme="minorHAnsi"/>
          <w:sz w:val="22"/>
          <w:szCs w:val="22"/>
          <w:shd w:val="clear" w:color="auto" w:fill="FFFFFF"/>
        </w:rPr>
      </w:pPr>
      <w:r w:rsidRPr="000D38AC">
        <w:rPr>
          <w:rFonts w:asciiTheme="minorHAnsi" w:hAnsiTheme="minorHAnsi" w:cstheme="minorHAnsi"/>
          <w:sz w:val="22"/>
          <w:szCs w:val="22"/>
          <w:shd w:val="clear" w:color="auto" w:fill="FFFFFF"/>
        </w:rPr>
        <w:t>College of Policing (2014) Code of Ethics, College of Policing. Available at: https://www.college.police.uk/ethics/code-of-ethics [Accessed: October 19, 2022].</w:t>
      </w:r>
    </w:p>
    <w:p w14:paraId="22B8DFA2" w14:textId="77777777" w:rsidR="00654B75" w:rsidRPr="000D38AC" w:rsidRDefault="00654B75" w:rsidP="00654B75">
      <w:pPr>
        <w:pStyle w:val="NoSpacing"/>
        <w:rPr>
          <w:rFonts w:asciiTheme="minorHAnsi" w:hAnsiTheme="minorHAnsi" w:cstheme="minorHAnsi"/>
          <w:sz w:val="22"/>
          <w:szCs w:val="22"/>
          <w:shd w:val="clear" w:color="auto" w:fill="FFFFFF"/>
        </w:rPr>
      </w:pPr>
    </w:p>
    <w:p w14:paraId="4B006D5B" w14:textId="1486FECA" w:rsidR="00654B75" w:rsidRPr="000D38AC" w:rsidRDefault="00654B75" w:rsidP="00654B75">
      <w:pPr>
        <w:pStyle w:val="NoSpacing"/>
        <w:rPr>
          <w:rFonts w:asciiTheme="minorHAnsi" w:hAnsiTheme="minorHAnsi" w:cstheme="minorHAnsi"/>
          <w:sz w:val="22"/>
          <w:szCs w:val="22"/>
          <w:shd w:val="clear" w:color="auto" w:fill="FFFFFF"/>
        </w:rPr>
      </w:pPr>
      <w:r w:rsidRPr="000D38AC">
        <w:rPr>
          <w:rFonts w:asciiTheme="minorHAnsi" w:hAnsiTheme="minorHAnsi" w:cstheme="minorHAnsi"/>
          <w:sz w:val="22"/>
          <w:szCs w:val="22"/>
          <w:shd w:val="clear" w:color="auto" w:fill="FFFFFF"/>
        </w:rPr>
        <w:t>College of Policing. 2022. Evidence-based policing | College of Policing. [online] Available at: &lt;https://www.college.police.uk/research/evidence-based-policing-EBP&gt; [Accessed 21 September 2022].</w:t>
      </w:r>
    </w:p>
    <w:p w14:paraId="682A740E" w14:textId="77777777" w:rsidR="00654B75" w:rsidRPr="000D38AC" w:rsidRDefault="00654B75" w:rsidP="00DF0597">
      <w:pPr>
        <w:pStyle w:val="NoSpacing"/>
        <w:rPr>
          <w:rFonts w:asciiTheme="minorHAnsi" w:hAnsiTheme="minorHAnsi" w:cstheme="minorHAnsi"/>
          <w:sz w:val="22"/>
          <w:szCs w:val="22"/>
          <w:shd w:val="clear" w:color="auto" w:fill="FFFFFF"/>
        </w:rPr>
      </w:pPr>
    </w:p>
    <w:p w14:paraId="4A8DD6EF" w14:textId="628CEEAF" w:rsidR="00DF0597" w:rsidRPr="000D38AC" w:rsidRDefault="00DF0597" w:rsidP="00DF0597">
      <w:pPr>
        <w:pStyle w:val="NoSpacing"/>
        <w:rPr>
          <w:rFonts w:asciiTheme="minorHAnsi" w:hAnsiTheme="minorHAnsi" w:cstheme="minorHAnsi"/>
          <w:sz w:val="22"/>
          <w:szCs w:val="22"/>
          <w:shd w:val="clear" w:color="auto" w:fill="FFFFFF"/>
        </w:rPr>
      </w:pPr>
      <w:r w:rsidRPr="000D38AC">
        <w:rPr>
          <w:rFonts w:asciiTheme="minorHAnsi" w:hAnsiTheme="minorHAnsi" w:cstheme="minorHAnsi"/>
          <w:sz w:val="22"/>
          <w:szCs w:val="22"/>
          <w:shd w:val="clear" w:color="auto" w:fill="FFFFFF"/>
        </w:rPr>
        <w:t>College of Policing. 2018. </w:t>
      </w:r>
      <w:r w:rsidRPr="000D38AC">
        <w:rPr>
          <w:rFonts w:asciiTheme="minorHAnsi" w:hAnsiTheme="minorHAnsi" w:cstheme="minorHAnsi"/>
          <w:i/>
          <w:iCs/>
          <w:sz w:val="22"/>
          <w:szCs w:val="22"/>
          <w:shd w:val="clear" w:color="auto" w:fill="FFFFFF"/>
        </w:rPr>
        <w:t>Arrest and other positive approaches | College of Policing</w:t>
      </w:r>
      <w:r w:rsidRPr="000D38AC">
        <w:rPr>
          <w:rFonts w:asciiTheme="minorHAnsi" w:hAnsiTheme="minorHAnsi" w:cstheme="minorHAnsi"/>
          <w:sz w:val="22"/>
          <w:szCs w:val="22"/>
          <w:shd w:val="clear" w:color="auto" w:fill="FFFFFF"/>
        </w:rPr>
        <w:t xml:space="preserve">. [online] Available at: </w:t>
      </w:r>
      <w:hyperlink r:id="rId26" w:history="1">
        <w:r w:rsidRPr="000D38AC">
          <w:rPr>
            <w:rStyle w:val="Hyperlink"/>
            <w:rFonts w:asciiTheme="minorHAnsi" w:hAnsiTheme="minorHAnsi" w:cstheme="minorHAnsi"/>
            <w:sz w:val="22"/>
            <w:szCs w:val="22"/>
            <w:shd w:val="clear" w:color="auto" w:fill="FFFFFF"/>
          </w:rPr>
          <w:t>https://www.college.police.uk/app/major-investigation-and-public-protection/domestic-abuse/arrest-and-other-positive-approaches</w:t>
        </w:r>
      </w:hyperlink>
      <w:r w:rsidRPr="000D38AC">
        <w:rPr>
          <w:rFonts w:asciiTheme="minorHAnsi" w:hAnsiTheme="minorHAnsi" w:cstheme="minorHAnsi"/>
          <w:sz w:val="22"/>
          <w:szCs w:val="22"/>
          <w:shd w:val="clear" w:color="auto" w:fill="FFFFFF"/>
        </w:rPr>
        <w:t xml:space="preserve">  [Accessed 21 September 2022].</w:t>
      </w:r>
    </w:p>
    <w:p w14:paraId="202C45D0" w14:textId="6DD5CA27" w:rsidR="00DF0597" w:rsidRPr="000D38AC" w:rsidRDefault="00DF0597" w:rsidP="00DF0597">
      <w:pPr>
        <w:pStyle w:val="NoSpacing"/>
        <w:rPr>
          <w:rFonts w:asciiTheme="minorHAnsi" w:hAnsiTheme="minorHAnsi" w:cstheme="minorHAnsi"/>
          <w:sz w:val="22"/>
          <w:szCs w:val="22"/>
          <w:shd w:val="clear" w:color="auto" w:fill="FFFFFF"/>
        </w:rPr>
      </w:pPr>
    </w:p>
    <w:p w14:paraId="3DB92936" w14:textId="2F97BE36" w:rsidR="000D38AC" w:rsidRPr="000D38AC" w:rsidRDefault="000D38AC" w:rsidP="00DF0597">
      <w:pPr>
        <w:pStyle w:val="NoSpacing"/>
        <w:rPr>
          <w:rFonts w:asciiTheme="minorHAnsi" w:hAnsiTheme="minorHAnsi" w:cstheme="minorHAnsi"/>
          <w:sz w:val="22"/>
          <w:szCs w:val="22"/>
          <w:shd w:val="clear" w:color="auto" w:fill="FFFFFF"/>
        </w:rPr>
      </w:pPr>
      <w:r w:rsidRPr="000D38AC">
        <w:rPr>
          <w:rFonts w:asciiTheme="minorHAnsi" w:hAnsiTheme="minorHAnsi" w:cstheme="minorHAnsi"/>
          <w:sz w:val="22"/>
          <w:szCs w:val="22"/>
          <w:shd w:val="clear" w:color="auto" w:fill="FFFFFF"/>
        </w:rPr>
        <w:t>College of Policing (2021) Introduction to vulnerability-related risk, College of Policing. Available at: https://www.college.police.uk/guidance/vulnerability-related-risks/introduction-vulnerability-related-risk (Accessed: October 20, 2022).</w:t>
      </w:r>
    </w:p>
    <w:p w14:paraId="4F458B3E" w14:textId="77777777" w:rsidR="000D38AC" w:rsidRPr="000D38AC" w:rsidRDefault="000D38AC" w:rsidP="00DF0597">
      <w:pPr>
        <w:pStyle w:val="NoSpacing"/>
        <w:rPr>
          <w:rFonts w:asciiTheme="minorHAnsi" w:hAnsiTheme="minorHAnsi" w:cstheme="minorHAnsi"/>
          <w:sz w:val="22"/>
          <w:szCs w:val="22"/>
          <w:shd w:val="clear" w:color="auto" w:fill="FFFFFF"/>
        </w:rPr>
      </w:pPr>
    </w:p>
    <w:p w14:paraId="6A7DB949" w14:textId="0533F230" w:rsidR="00DF0597" w:rsidRDefault="00DF0597" w:rsidP="00DF0597">
      <w:pPr>
        <w:pStyle w:val="NoSpacing"/>
        <w:rPr>
          <w:rFonts w:asciiTheme="minorHAnsi" w:hAnsiTheme="minorHAnsi" w:cstheme="minorHAnsi"/>
          <w:sz w:val="22"/>
          <w:szCs w:val="22"/>
          <w:shd w:val="clear" w:color="auto" w:fill="FFFFFF"/>
        </w:rPr>
      </w:pPr>
      <w:r w:rsidRPr="000D38AC">
        <w:rPr>
          <w:rFonts w:asciiTheme="minorHAnsi" w:hAnsiTheme="minorHAnsi" w:cstheme="minorHAnsi"/>
          <w:sz w:val="22"/>
          <w:szCs w:val="22"/>
          <w:shd w:val="clear" w:color="auto" w:fill="FFFFFF"/>
        </w:rPr>
        <w:t>College of Policing. 2022. </w:t>
      </w:r>
      <w:r w:rsidRPr="000D38AC">
        <w:rPr>
          <w:rFonts w:asciiTheme="minorHAnsi" w:hAnsiTheme="minorHAnsi" w:cstheme="minorHAnsi"/>
          <w:i/>
          <w:iCs/>
          <w:sz w:val="22"/>
          <w:szCs w:val="22"/>
          <w:shd w:val="clear" w:color="auto" w:fill="FFFFFF"/>
        </w:rPr>
        <w:t>First response | College of Policing</w:t>
      </w:r>
      <w:r w:rsidRPr="000D38AC">
        <w:rPr>
          <w:rFonts w:asciiTheme="minorHAnsi" w:hAnsiTheme="minorHAnsi" w:cstheme="minorHAnsi"/>
          <w:sz w:val="22"/>
          <w:szCs w:val="22"/>
          <w:shd w:val="clear" w:color="auto" w:fill="FFFFFF"/>
        </w:rPr>
        <w:t xml:space="preserve">. [online] Available at: </w:t>
      </w:r>
      <w:hyperlink r:id="rId27" w:history="1">
        <w:r w:rsidRPr="000D38AC">
          <w:rPr>
            <w:rStyle w:val="Hyperlink"/>
            <w:rFonts w:asciiTheme="minorHAnsi" w:hAnsiTheme="minorHAnsi" w:cstheme="minorHAnsi"/>
            <w:sz w:val="22"/>
            <w:szCs w:val="22"/>
            <w:shd w:val="clear" w:color="auto" w:fill="FFFFFF"/>
          </w:rPr>
          <w:t>https://www.college.police.uk/app/major-investigation-and-public-protection/domestic-abuse/first-response</w:t>
        </w:r>
      </w:hyperlink>
      <w:r w:rsidRPr="000D38AC">
        <w:rPr>
          <w:rFonts w:asciiTheme="minorHAnsi" w:hAnsiTheme="minorHAnsi" w:cstheme="minorHAnsi"/>
          <w:sz w:val="22"/>
          <w:szCs w:val="22"/>
          <w:shd w:val="clear" w:color="auto" w:fill="FFFFFF"/>
        </w:rPr>
        <w:t xml:space="preserve">  [Accessed 21 September 2022].</w:t>
      </w:r>
    </w:p>
    <w:p w14:paraId="34DECD44" w14:textId="62757B86" w:rsidR="00814019" w:rsidRDefault="00814019" w:rsidP="00DF0597">
      <w:pPr>
        <w:pStyle w:val="NoSpacing"/>
        <w:rPr>
          <w:rFonts w:asciiTheme="minorHAnsi" w:hAnsiTheme="minorHAnsi" w:cstheme="minorHAnsi"/>
          <w:sz w:val="22"/>
          <w:szCs w:val="22"/>
          <w:shd w:val="clear" w:color="auto" w:fill="FFFFFF"/>
        </w:rPr>
      </w:pPr>
    </w:p>
    <w:p w14:paraId="5010AB01" w14:textId="608907AB" w:rsidR="00814019" w:rsidRPr="000D38AC" w:rsidRDefault="00814019" w:rsidP="00DF0597">
      <w:pPr>
        <w:pStyle w:val="NoSpacing"/>
        <w:rPr>
          <w:rFonts w:asciiTheme="minorHAnsi" w:hAnsiTheme="minorHAnsi" w:cstheme="minorHAnsi"/>
          <w:sz w:val="22"/>
          <w:szCs w:val="22"/>
          <w:shd w:val="clear" w:color="auto" w:fill="FFFFFF"/>
        </w:rPr>
      </w:pPr>
      <w:r w:rsidRPr="00814019">
        <w:rPr>
          <w:rFonts w:asciiTheme="minorHAnsi" w:hAnsiTheme="minorHAnsi" w:cstheme="minorHAnsi"/>
          <w:sz w:val="22"/>
          <w:szCs w:val="22"/>
          <w:shd w:val="clear" w:color="auto" w:fill="FFFFFF"/>
        </w:rPr>
        <w:t xml:space="preserve">Collins, J. (2015) Restorative justice in youth offending teams. Available at: https://restorativejustice.org.uk/sites/default/files/resources/files/kn1b_info_packs%20(2)%20yot_0.pdf (Accessed: </w:t>
      </w:r>
      <w:r>
        <w:rPr>
          <w:rFonts w:asciiTheme="minorHAnsi" w:hAnsiTheme="minorHAnsi" w:cstheme="minorHAnsi"/>
          <w:sz w:val="22"/>
          <w:szCs w:val="22"/>
          <w:shd w:val="clear" w:color="auto" w:fill="FFFFFF"/>
        </w:rPr>
        <w:t>November 29</w:t>
      </w:r>
      <w:r w:rsidRPr="00814019">
        <w:rPr>
          <w:rFonts w:asciiTheme="minorHAnsi" w:hAnsiTheme="minorHAnsi" w:cstheme="minorHAnsi"/>
          <w:sz w:val="22"/>
          <w:szCs w:val="22"/>
          <w:shd w:val="clear" w:color="auto" w:fill="FFFFFF"/>
        </w:rPr>
        <w:t>, 2022).</w:t>
      </w:r>
    </w:p>
    <w:p w14:paraId="07401777" w14:textId="40D0EF52" w:rsidR="000B1FE4" w:rsidRPr="000D38AC" w:rsidRDefault="000B1FE4" w:rsidP="00DF0597">
      <w:pPr>
        <w:pStyle w:val="NoSpacing"/>
        <w:rPr>
          <w:rFonts w:asciiTheme="minorHAnsi" w:hAnsiTheme="minorHAnsi" w:cstheme="minorHAnsi"/>
          <w:sz w:val="22"/>
          <w:szCs w:val="22"/>
          <w:shd w:val="clear" w:color="auto" w:fill="FFFFFF"/>
        </w:rPr>
      </w:pPr>
    </w:p>
    <w:p w14:paraId="2A79F462" w14:textId="00BC3517" w:rsidR="000B1FE4" w:rsidRDefault="000B1FE4" w:rsidP="00DF0597">
      <w:pPr>
        <w:pStyle w:val="NoSpacing"/>
        <w:rPr>
          <w:rFonts w:asciiTheme="minorHAnsi" w:hAnsiTheme="minorHAnsi" w:cstheme="minorHAnsi"/>
          <w:sz w:val="22"/>
          <w:szCs w:val="22"/>
          <w:shd w:val="clear" w:color="auto" w:fill="FFFFFF"/>
        </w:rPr>
      </w:pPr>
      <w:r w:rsidRPr="000D38AC">
        <w:rPr>
          <w:rFonts w:asciiTheme="minorHAnsi" w:hAnsiTheme="minorHAnsi" w:cstheme="minorHAnsi"/>
          <w:sz w:val="22"/>
          <w:szCs w:val="22"/>
          <w:shd w:val="clear" w:color="auto" w:fill="FFFFFF"/>
        </w:rPr>
        <w:t>Cps.gov.uk. 2019. </w:t>
      </w:r>
      <w:r w:rsidRPr="000D38AC">
        <w:rPr>
          <w:rFonts w:asciiTheme="minorHAnsi" w:hAnsiTheme="minorHAnsi" w:cstheme="minorHAnsi"/>
          <w:i/>
          <w:iCs/>
          <w:sz w:val="22"/>
          <w:szCs w:val="22"/>
          <w:shd w:val="clear" w:color="auto" w:fill="FFFFFF"/>
        </w:rPr>
        <w:t>Restorative Justice | The Crown Prosecution Service</w:t>
      </w:r>
      <w:r w:rsidRPr="000D38AC">
        <w:rPr>
          <w:rFonts w:asciiTheme="minorHAnsi" w:hAnsiTheme="minorHAnsi" w:cstheme="minorHAnsi"/>
          <w:sz w:val="22"/>
          <w:szCs w:val="22"/>
          <w:shd w:val="clear" w:color="auto" w:fill="FFFFFF"/>
        </w:rPr>
        <w:t>. [online] Available at: &lt;https://www.cps.gov.uk/legal-guidance/restorative-justice&gt; [Accessed 11 October 2022].</w:t>
      </w:r>
    </w:p>
    <w:p w14:paraId="4F4D5E4A" w14:textId="662719CB" w:rsidR="00814019" w:rsidRDefault="00814019" w:rsidP="00DF0597">
      <w:pPr>
        <w:pStyle w:val="NoSpacing"/>
        <w:rPr>
          <w:rFonts w:asciiTheme="minorHAnsi" w:hAnsiTheme="minorHAnsi" w:cstheme="minorHAnsi"/>
          <w:sz w:val="22"/>
          <w:szCs w:val="22"/>
          <w:shd w:val="clear" w:color="auto" w:fill="FFFFFF"/>
        </w:rPr>
      </w:pPr>
    </w:p>
    <w:p w14:paraId="05156F0B" w14:textId="25B13494" w:rsidR="00814019" w:rsidRDefault="00814019" w:rsidP="00DF0597">
      <w:pPr>
        <w:pStyle w:val="NoSpacing"/>
        <w:rPr>
          <w:rFonts w:asciiTheme="minorHAnsi" w:hAnsiTheme="minorHAnsi" w:cstheme="minorHAnsi"/>
          <w:sz w:val="22"/>
          <w:szCs w:val="22"/>
          <w:shd w:val="clear" w:color="auto" w:fill="FFFFFF"/>
        </w:rPr>
      </w:pPr>
      <w:r w:rsidRPr="00814019">
        <w:rPr>
          <w:rFonts w:asciiTheme="minorHAnsi" w:hAnsiTheme="minorHAnsi" w:cstheme="minorHAnsi"/>
          <w:sz w:val="22"/>
          <w:szCs w:val="22"/>
          <w:shd w:val="clear" w:color="auto" w:fill="FFFFFF"/>
        </w:rPr>
        <w:t xml:space="preserve">Flatley, J. (2017) Crime in England and Wales: Year Ending Mar 2017, Crime in </w:t>
      </w:r>
      <w:proofErr w:type="gramStart"/>
      <w:r w:rsidRPr="00814019">
        <w:rPr>
          <w:rFonts w:asciiTheme="minorHAnsi" w:hAnsiTheme="minorHAnsi" w:cstheme="minorHAnsi"/>
          <w:sz w:val="22"/>
          <w:szCs w:val="22"/>
          <w:shd w:val="clear" w:color="auto" w:fill="FFFFFF"/>
        </w:rPr>
        <w:t>England</w:t>
      </w:r>
      <w:proofErr w:type="gramEnd"/>
      <w:r w:rsidRPr="00814019">
        <w:rPr>
          <w:rFonts w:asciiTheme="minorHAnsi" w:hAnsiTheme="minorHAnsi" w:cstheme="minorHAnsi"/>
          <w:sz w:val="22"/>
          <w:szCs w:val="22"/>
          <w:shd w:val="clear" w:color="auto" w:fill="FFFFFF"/>
        </w:rPr>
        <w:t xml:space="preserve"> and Wales - Office for National Statistics. Office for National Statistics. Available at: </w:t>
      </w:r>
      <w:r w:rsidRPr="00814019">
        <w:rPr>
          <w:rFonts w:asciiTheme="minorHAnsi" w:hAnsiTheme="minorHAnsi" w:cstheme="minorHAnsi"/>
          <w:sz w:val="22"/>
          <w:szCs w:val="22"/>
          <w:shd w:val="clear" w:color="auto" w:fill="FFFFFF"/>
        </w:rPr>
        <w:lastRenderedPageBreak/>
        <w:t>https://www.ons.gov.uk/peoplepopulationandcommunity/crimeandjustice/bulletins/crimeinenglandandwales/yearendingmar2017 (Accessed: November 29, 2022).</w:t>
      </w:r>
    </w:p>
    <w:p w14:paraId="1A3AE384" w14:textId="6036F8F2" w:rsidR="00814019" w:rsidRDefault="00814019" w:rsidP="00DF0597">
      <w:pPr>
        <w:pStyle w:val="NoSpacing"/>
        <w:rPr>
          <w:rFonts w:asciiTheme="minorHAnsi" w:hAnsiTheme="minorHAnsi" w:cstheme="minorHAnsi"/>
          <w:sz w:val="22"/>
          <w:szCs w:val="22"/>
          <w:shd w:val="clear" w:color="auto" w:fill="FFFFFF"/>
        </w:rPr>
      </w:pPr>
    </w:p>
    <w:p w14:paraId="37F94C62" w14:textId="56CD3E66" w:rsidR="00814019" w:rsidRPr="000D38AC" w:rsidRDefault="00814019" w:rsidP="00DF0597">
      <w:pPr>
        <w:pStyle w:val="NoSpacing"/>
        <w:rPr>
          <w:rFonts w:asciiTheme="minorHAnsi" w:hAnsiTheme="minorHAnsi" w:cstheme="minorHAnsi"/>
          <w:sz w:val="22"/>
          <w:szCs w:val="22"/>
          <w:shd w:val="clear" w:color="auto" w:fill="FFFFFF"/>
        </w:rPr>
      </w:pPr>
      <w:r w:rsidRPr="00814019">
        <w:rPr>
          <w:rFonts w:asciiTheme="minorHAnsi" w:hAnsiTheme="minorHAnsi" w:cstheme="minorHAnsi"/>
          <w:sz w:val="22"/>
          <w:szCs w:val="22"/>
          <w:shd w:val="clear" w:color="auto" w:fill="FFFFFF"/>
        </w:rPr>
        <w:t xml:space="preserve">General Assembly (1989) Convention on the rights of the child, OHCHR. Available at: https://www.ohchr.org/en/instruments-mechanisms/instruments/convention-rights-child (Accessed: </w:t>
      </w:r>
      <w:r>
        <w:rPr>
          <w:rFonts w:asciiTheme="minorHAnsi" w:hAnsiTheme="minorHAnsi" w:cstheme="minorHAnsi"/>
          <w:sz w:val="22"/>
          <w:szCs w:val="22"/>
          <w:shd w:val="clear" w:color="auto" w:fill="FFFFFF"/>
        </w:rPr>
        <w:t>November 29</w:t>
      </w:r>
      <w:r w:rsidRPr="00814019">
        <w:rPr>
          <w:rFonts w:asciiTheme="minorHAnsi" w:hAnsiTheme="minorHAnsi" w:cstheme="minorHAnsi"/>
          <w:sz w:val="22"/>
          <w:szCs w:val="22"/>
          <w:shd w:val="clear" w:color="auto" w:fill="FFFFFF"/>
        </w:rPr>
        <w:t>, 2022).</w:t>
      </w:r>
    </w:p>
    <w:p w14:paraId="44505D97" w14:textId="5A2348A3" w:rsidR="00D02DBF" w:rsidRPr="000D38AC" w:rsidRDefault="00D02DBF" w:rsidP="00DF0597">
      <w:pPr>
        <w:pStyle w:val="NoSpacing"/>
        <w:rPr>
          <w:rFonts w:asciiTheme="minorHAnsi" w:hAnsiTheme="minorHAnsi" w:cstheme="minorHAnsi"/>
          <w:sz w:val="22"/>
          <w:szCs w:val="22"/>
          <w:shd w:val="clear" w:color="auto" w:fill="FFFFFF"/>
        </w:rPr>
      </w:pPr>
    </w:p>
    <w:p w14:paraId="16A68CCE" w14:textId="274B3649" w:rsidR="00D02DBF" w:rsidRDefault="00D02DBF" w:rsidP="00DF0597">
      <w:pPr>
        <w:pStyle w:val="NoSpacing"/>
        <w:rPr>
          <w:rFonts w:asciiTheme="minorHAnsi" w:hAnsiTheme="minorHAnsi" w:cstheme="minorHAnsi"/>
          <w:sz w:val="22"/>
          <w:szCs w:val="22"/>
          <w:shd w:val="clear" w:color="auto" w:fill="FFFFFF"/>
        </w:rPr>
      </w:pPr>
      <w:r w:rsidRPr="000D38AC">
        <w:rPr>
          <w:rFonts w:asciiTheme="minorHAnsi" w:hAnsiTheme="minorHAnsi" w:cstheme="minorHAnsi"/>
          <w:sz w:val="22"/>
          <w:szCs w:val="22"/>
          <w:shd w:val="clear" w:color="auto" w:fill="FFFFFF"/>
        </w:rPr>
        <w:t>Guide for appropriate adults. 2011. [online] Available at: &lt;https://assets.publishing.service.gov.uk/government/uploads/system/uploads/attachment_data/file/117682/appropriate-adults-guide.pdf&gt; [Accessed 11 October 2022].</w:t>
      </w:r>
    </w:p>
    <w:p w14:paraId="0B6E61D8" w14:textId="24AC4E59" w:rsidR="00814019" w:rsidRDefault="00814019" w:rsidP="00DF0597">
      <w:pPr>
        <w:pStyle w:val="NoSpacing"/>
        <w:rPr>
          <w:rFonts w:asciiTheme="minorHAnsi" w:hAnsiTheme="minorHAnsi" w:cstheme="minorHAnsi"/>
          <w:sz w:val="22"/>
          <w:szCs w:val="22"/>
          <w:shd w:val="clear" w:color="auto" w:fill="FFFFFF"/>
        </w:rPr>
      </w:pPr>
    </w:p>
    <w:p w14:paraId="01466CA0" w14:textId="4FA601AA" w:rsidR="00814019" w:rsidRDefault="00814019" w:rsidP="00DF0597">
      <w:pPr>
        <w:pStyle w:val="NoSpacing"/>
        <w:rPr>
          <w:rFonts w:asciiTheme="minorHAnsi" w:hAnsiTheme="minorHAnsi" w:cstheme="minorHAnsi"/>
          <w:sz w:val="22"/>
          <w:szCs w:val="22"/>
          <w:shd w:val="clear" w:color="auto" w:fill="FFFFFF"/>
        </w:rPr>
      </w:pPr>
      <w:r w:rsidRPr="00814019">
        <w:rPr>
          <w:rFonts w:asciiTheme="minorHAnsi" w:hAnsiTheme="minorHAnsi" w:cstheme="minorHAnsi"/>
          <w:sz w:val="22"/>
          <w:szCs w:val="22"/>
          <w:shd w:val="clear" w:color="auto" w:fill="FFFFFF"/>
        </w:rPr>
        <w:t>Her Majesty's Government (2021) Domestic abuse act 2021, Legislation.gov.uk. Queen's Printer of Acts of Parliament. Available at: https://www.legislation.gov.uk/ukpga/2021/17/contents/enacted (Accessed: November 29, 2022).</w:t>
      </w:r>
    </w:p>
    <w:p w14:paraId="5FF0FFDC" w14:textId="3B949249" w:rsidR="00814019" w:rsidRDefault="00814019" w:rsidP="00DF0597">
      <w:pPr>
        <w:pStyle w:val="NoSpacing"/>
        <w:rPr>
          <w:rFonts w:asciiTheme="minorHAnsi" w:hAnsiTheme="minorHAnsi" w:cstheme="minorHAnsi"/>
          <w:sz w:val="22"/>
          <w:szCs w:val="22"/>
          <w:shd w:val="clear" w:color="auto" w:fill="FFFFFF"/>
        </w:rPr>
      </w:pPr>
    </w:p>
    <w:p w14:paraId="4DBCBB8F" w14:textId="267A7925" w:rsidR="00814019" w:rsidRDefault="00814019" w:rsidP="00DF0597">
      <w:pPr>
        <w:pStyle w:val="NoSpacing"/>
        <w:rPr>
          <w:rFonts w:asciiTheme="minorHAnsi" w:hAnsiTheme="minorHAnsi" w:cstheme="minorHAnsi"/>
          <w:sz w:val="22"/>
          <w:szCs w:val="22"/>
          <w:shd w:val="clear" w:color="auto" w:fill="FFFFFF"/>
        </w:rPr>
      </w:pPr>
      <w:r w:rsidRPr="00814019">
        <w:rPr>
          <w:rFonts w:asciiTheme="minorHAnsi" w:hAnsiTheme="minorHAnsi" w:cstheme="minorHAnsi"/>
          <w:sz w:val="22"/>
          <w:szCs w:val="22"/>
          <w:shd w:val="clear" w:color="auto" w:fill="FFFFFF"/>
        </w:rPr>
        <w:t xml:space="preserve">Home Office (2013) Supporting vulnerable people who encounter the police - gov.uk, Supporting vulnerable people who encounter the police:  A strategic guide for police forces and their partners. Available at: https://assets.publishing.service.gov.uk/government/uploads/system/uploads/attachment_data/file/405397/6.379_Supporting_guidance_web_doc_v3.pdf (Accessed: </w:t>
      </w:r>
      <w:r>
        <w:rPr>
          <w:rFonts w:asciiTheme="minorHAnsi" w:hAnsiTheme="minorHAnsi" w:cstheme="minorHAnsi"/>
          <w:sz w:val="22"/>
          <w:szCs w:val="22"/>
          <w:shd w:val="clear" w:color="auto" w:fill="FFFFFF"/>
        </w:rPr>
        <w:t>November 29</w:t>
      </w:r>
      <w:r w:rsidRPr="00814019">
        <w:rPr>
          <w:rFonts w:asciiTheme="minorHAnsi" w:hAnsiTheme="minorHAnsi" w:cstheme="minorHAnsi"/>
          <w:sz w:val="22"/>
          <w:szCs w:val="22"/>
          <w:shd w:val="clear" w:color="auto" w:fill="FFFFFF"/>
        </w:rPr>
        <w:t>, 2022).</w:t>
      </w:r>
    </w:p>
    <w:p w14:paraId="09CD6221" w14:textId="273A3341" w:rsidR="00814019" w:rsidRDefault="00814019" w:rsidP="00DF0597">
      <w:pPr>
        <w:pStyle w:val="NoSpacing"/>
        <w:rPr>
          <w:rFonts w:asciiTheme="minorHAnsi" w:hAnsiTheme="minorHAnsi" w:cstheme="minorHAnsi"/>
          <w:sz w:val="22"/>
          <w:szCs w:val="22"/>
          <w:shd w:val="clear" w:color="auto" w:fill="FFFFFF"/>
        </w:rPr>
      </w:pPr>
    </w:p>
    <w:p w14:paraId="7ECCFEFB" w14:textId="6EB6C617" w:rsidR="00814019" w:rsidRPr="000D38AC" w:rsidRDefault="00814019" w:rsidP="00DF0597">
      <w:pPr>
        <w:pStyle w:val="NoSpacing"/>
        <w:rPr>
          <w:rFonts w:asciiTheme="minorHAnsi" w:hAnsiTheme="minorHAnsi" w:cstheme="minorHAnsi"/>
          <w:sz w:val="22"/>
          <w:szCs w:val="22"/>
          <w:shd w:val="clear" w:color="auto" w:fill="FFFFFF"/>
        </w:rPr>
      </w:pPr>
      <w:r w:rsidRPr="00814019">
        <w:rPr>
          <w:rFonts w:asciiTheme="minorHAnsi" w:hAnsiTheme="minorHAnsi" w:cstheme="minorHAnsi"/>
          <w:sz w:val="22"/>
          <w:szCs w:val="22"/>
          <w:shd w:val="clear" w:color="auto" w:fill="FFFFFF"/>
        </w:rPr>
        <w:t xml:space="preserve">Justice Inspectorate (2015) Everyone’s business: Improving the police response to domestic abuse, Increasingly </w:t>
      </w:r>
      <w:proofErr w:type="gramStart"/>
      <w:r w:rsidRPr="00814019">
        <w:rPr>
          <w:rFonts w:asciiTheme="minorHAnsi" w:hAnsiTheme="minorHAnsi" w:cstheme="minorHAnsi"/>
          <w:sz w:val="22"/>
          <w:szCs w:val="22"/>
          <w:shd w:val="clear" w:color="auto" w:fill="FFFFFF"/>
        </w:rPr>
        <w:t>everyone's  business</w:t>
      </w:r>
      <w:proofErr w:type="gramEnd"/>
      <w:r w:rsidRPr="00814019">
        <w:rPr>
          <w:rFonts w:asciiTheme="minorHAnsi" w:hAnsiTheme="minorHAnsi" w:cstheme="minorHAnsi"/>
          <w:sz w:val="22"/>
          <w:szCs w:val="22"/>
          <w:shd w:val="clear" w:color="auto" w:fill="FFFFFF"/>
        </w:rPr>
        <w:t>: A progress report on  the police response to  domestic abuse. Available at: https://www.justiceinspectorates.gov.uk/hmicfrs/publications/improving-the-police-response-to-domestic-abuse/ (Accessed: November 29, 2022).</w:t>
      </w:r>
    </w:p>
    <w:p w14:paraId="322789B8" w14:textId="77777777" w:rsidR="00DF0597" w:rsidRPr="000D38AC" w:rsidRDefault="00DF0597" w:rsidP="00DF0597">
      <w:pPr>
        <w:pStyle w:val="NoSpacing"/>
        <w:rPr>
          <w:rFonts w:asciiTheme="minorHAnsi" w:hAnsiTheme="minorHAnsi" w:cstheme="minorHAnsi"/>
          <w:sz w:val="22"/>
          <w:szCs w:val="22"/>
          <w:shd w:val="clear" w:color="auto" w:fill="FFFFFF"/>
        </w:rPr>
      </w:pPr>
    </w:p>
    <w:p w14:paraId="742ADA8D" w14:textId="548E69AD" w:rsidR="00DF0597" w:rsidRPr="000D38AC" w:rsidRDefault="00DF0597" w:rsidP="00DF0597">
      <w:pPr>
        <w:pStyle w:val="NoSpacing"/>
        <w:rPr>
          <w:rFonts w:asciiTheme="minorHAnsi" w:hAnsiTheme="minorHAnsi" w:cstheme="minorHAnsi"/>
          <w:color w:val="auto"/>
          <w:sz w:val="22"/>
          <w:szCs w:val="22"/>
        </w:rPr>
      </w:pPr>
      <w:r w:rsidRPr="000D38AC">
        <w:rPr>
          <w:rFonts w:asciiTheme="minorHAnsi" w:hAnsiTheme="minorHAnsi" w:cstheme="minorHAnsi"/>
          <w:color w:val="auto"/>
          <w:sz w:val="22"/>
          <w:szCs w:val="22"/>
        </w:rPr>
        <w:t xml:space="preserve">Mann, Ruth M. “Law Enforcement, Legal, and Medical Intervenors.” </w:t>
      </w:r>
      <w:r w:rsidRPr="000D38AC">
        <w:rPr>
          <w:rFonts w:asciiTheme="minorHAnsi" w:hAnsiTheme="minorHAnsi" w:cstheme="minorHAnsi"/>
          <w:i/>
          <w:iCs/>
          <w:color w:val="auto"/>
          <w:sz w:val="22"/>
          <w:szCs w:val="22"/>
        </w:rPr>
        <w:t xml:space="preserve">Who Owns Domestic </w:t>
      </w:r>
      <w:proofErr w:type="gramStart"/>
      <w:r w:rsidRPr="000D38AC">
        <w:rPr>
          <w:rFonts w:asciiTheme="minorHAnsi" w:hAnsiTheme="minorHAnsi" w:cstheme="minorHAnsi"/>
          <w:i/>
          <w:iCs/>
          <w:color w:val="auto"/>
          <w:sz w:val="22"/>
          <w:szCs w:val="22"/>
        </w:rPr>
        <w:t>Abuse?:</w:t>
      </w:r>
      <w:proofErr w:type="gramEnd"/>
      <w:r w:rsidRPr="000D38AC">
        <w:rPr>
          <w:rFonts w:asciiTheme="minorHAnsi" w:hAnsiTheme="minorHAnsi" w:cstheme="minorHAnsi"/>
          <w:i/>
          <w:iCs/>
          <w:color w:val="auto"/>
          <w:sz w:val="22"/>
          <w:szCs w:val="22"/>
        </w:rPr>
        <w:t xml:space="preserve"> The Local Politics of a Social Problem</w:t>
      </w:r>
      <w:r w:rsidRPr="000D38AC">
        <w:rPr>
          <w:rFonts w:asciiTheme="minorHAnsi" w:hAnsiTheme="minorHAnsi" w:cstheme="minorHAnsi"/>
          <w:color w:val="auto"/>
          <w:sz w:val="22"/>
          <w:szCs w:val="22"/>
        </w:rPr>
        <w:t xml:space="preserve">, University of Toronto Press, 2000, pp. 113–32. </w:t>
      </w:r>
      <w:r w:rsidRPr="000D38AC">
        <w:rPr>
          <w:rFonts w:asciiTheme="minorHAnsi" w:hAnsiTheme="minorHAnsi" w:cstheme="minorHAnsi"/>
          <w:i/>
          <w:iCs/>
          <w:color w:val="auto"/>
          <w:sz w:val="22"/>
          <w:szCs w:val="22"/>
        </w:rPr>
        <w:t>JSTOR</w:t>
      </w:r>
      <w:r w:rsidRPr="000D38AC">
        <w:rPr>
          <w:rFonts w:asciiTheme="minorHAnsi" w:hAnsiTheme="minorHAnsi" w:cstheme="minorHAnsi"/>
          <w:color w:val="auto"/>
          <w:sz w:val="22"/>
          <w:szCs w:val="22"/>
        </w:rPr>
        <w:t xml:space="preserve">, </w:t>
      </w:r>
      <w:hyperlink r:id="rId28" w:history="1">
        <w:r w:rsidRPr="000D38AC">
          <w:rPr>
            <w:rStyle w:val="Hyperlink"/>
            <w:rFonts w:asciiTheme="minorHAnsi" w:hAnsiTheme="minorHAnsi" w:cstheme="minorHAnsi"/>
            <w:sz w:val="22"/>
            <w:szCs w:val="22"/>
          </w:rPr>
          <w:t>http://www.jstor.org/stable/10.3138/9781442683402.11. Accessed 21 Sep. 2022</w:t>
        </w:r>
      </w:hyperlink>
      <w:r w:rsidRPr="000D38AC">
        <w:rPr>
          <w:rFonts w:asciiTheme="minorHAnsi" w:hAnsiTheme="minorHAnsi" w:cstheme="minorHAnsi"/>
          <w:color w:val="auto"/>
          <w:sz w:val="22"/>
          <w:szCs w:val="22"/>
        </w:rPr>
        <w:t>.</w:t>
      </w:r>
    </w:p>
    <w:p w14:paraId="7678FEA4" w14:textId="1ACDCFE4" w:rsidR="00DF0597" w:rsidRPr="000D38AC" w:rsidRDefault="00DF0597" w:rsidP="00DF0597">
      <w:pPr>
        <w:pStyle w:val="NoSpacing"/>
        <w:rPr>
          <w:rFonts w:asciiTheme="minorHAnsi" w:hAnsiTheme="minorHAnsi" w:cstheme="minorHAnsi"/>
          <w:color w:val="auto"/>
          <w:sz w:val="22"/>
          <w:szCs w:val="22"/>
        </w:rPr>
      </w:pPr>
    </w:p>
    <w:p w14:paraId="64AD3079" w14:textId="60B508E3" w:rsidR="00DF0597" w:rsidRDefault="00DF0597" w:rsidP="00DF0597">
      <w:pPr>
        <w:pStyle w:val="NoSpacing"/>
        <w:rPr>
          <w:rFonts w:asciiTheme="minorHAnsi" w:hAnsiTheme="minorHAnsi" w:cstheme="minorHAnsi"/>
          <w:sz w:val="22"/>
          <w:szCs w:val="22"/>
          <w:shd w:val="clear" w:color="auto" w:fill="FFFFFF"/>
        </w:rPr>
      </w:pPr>
      <w:r w:rsidRPr="000D38AC">
        <w:rPr>
          <w:rFonts w:asciiTheme="minorHAnsi" w:hAnsiTheme="minorHAnsi" w:cstheme="minorHAnsi"/>
          <w:sz w:val="22"/>
          <w:szCs w:val="22"/>
          <w:shd w:val="clear" w:color="auto" w:fill="FFFFFF"/>
        </w:rPr>
        <w:t>May, T., 2013. </w:t>
      </w:r>
      <w:r w:rsidRPr="000D38AC">
        <w:rPr>
          <w:rFonts w:asciiTheme="minorHAnsi" w:hAnsiTheme="minorHAnsi" w:cstheme="minorHAnsi"/>
          <w:i/>
          <w:iCs/>
          <w:sz w:val="22"/>
          <w:szCs w:val="22"/>
          <w:shd w:val="clear" w:color="auto" w:fill="FFFFFF"/>
        </w:rPr>
        <w:t>Major review of police response to domestic violence</w:t>
      </w:r>
      <w:r w:rsidRPr="000D38AC">
        <w:rPr>
          <w:rFonts w:asciiTheme="minorHAnsi" w:hAnsiTheme="minorHAnsi" w:cstheme="minorHAnsi"/>
          <w:sz w:val="22"/>
          <w:szCs w:val="22"/>
          <w:shd w:val="clear" w:color="auto" w:fill="FFFFFF"/>
        </w:rPr>
        <w:t xml:space="preserve">. [online] GOV.UK. Available at: </w:t>
      </w:r>
      <w:hyperlink r:id="rId29" w:history="1">
        <w:r w:rsidRPr="000D38AC">
          <w:rPr>
            <w:rStyle w:val="Hyperlink"/>
            <w:rFonts w:asciiTheme="minorHAnsi" w:hAnsiTheme="minorHAnsi" w:cstheme="minorHAnsi"/>
            <w:sz w:val="22"/>
            <w:szCs w:val="22"/>
            <w:shd w:val="clear" w:color="auto" w:fill="FFFFFF"/>
          </w:rPr>
          <w:t>https://www.gov.uk/government/news/major-review-of-police-response-to-domestic-violence</w:t>
        </w:r>
      </w:hyperlink>
      <w:r w:rsidRPr="000D38AC">
        <w:rPr>
          <w:rFonts w:asciiTheme="minorHAnsi" w:hAnsiTheme="minorHAnsi" w:cstheme="minorHAnsi"/>
          <w:sz w:val="22"/>
          <w:szCs w:val="22"/>
          <w:shd w:val="clear" w:color="auto" w:fill="FFFFFF"/>
        </w:rPr>
        <w:t xml:space="preserve"> [Accessed 21 September 2022].</w:t>
      </w:r>
    </w:p>
    <w:p w14:paraId="1C22E208" w14:textId="01460029" w:rsidR="00814019" w:rsidRDefault="00814019" w:rsidP="00DF0597">
      <w:pPr>
        <w:pStyle w:val="NoSpacing"/>
        <w:rPr>
          <w:rFonts w:asciiTheme="minorHAnsi" w:hAnsiTheme="minorHAnsi" w:cstheme="minorHAnsi"/>
          <w:sz w:val="22"/>
          <w:szCs w:val="22"/>
          <w:shd w:val="clear" w:color="auto" w:fill="FFFFFF"/>
        </w:rPr>
      </w:pPr>
    </w:p>
    <w:p w14:paraId="7580E1A9" w14:textId="32BCFAD7" w:rsidR="00814019" w:rsidRPr="000D38AC" w:rsidRDefault="00814019" w:rsidP="00DF0597">
      <w:pPr>
        <w:pStyle w:val="NoSpacing"/>
        <w:rPr>
          <w:rFonts w:asciiTheme="minorHAnsi" w:hAnsiTheme="minorHAnsi" w:cstheme="minorHAnsi"/>
          <w:sz w:val="22"/>
          <w:szCs w:val="22"/>
          <w:shd w:val="clear" w:color="auto" w:fill="FFFFFF"/>
        </w:rPr>
      </w:pPr>
      <w:r w:rsidRPr="00814019">
        <w:rPr>
          <w:rFonts w:asciiTheme="minorHAnsi" w:hAnsiTheme="minorHAnsi" w:cstheme="minorHAnsi"/>
          <w:sz w:val="22"/>
          <w:szCs w:val="22"/>
          <w:shd w:val="clear" w:color="auto" w:fill="FFFFFF"/>
        </w:rPr>
        <w:t xml:space="preserve">Restorative Justice </w:t>
      </w:r>
      <w:r>
        <w:rPr>
          <w:rFonts w:asciiTheme="minorHAnsi" w:hAnsiTheme="minorHAnsi" w:cstheme="minorHAnsi"/>
          <w:sz w:val="22"/>
          <w:szCs w:val="22"/>
          <w:shd w:val="clear" w:color="auto" w:fill="FFFFFF"/>
        </w:rPr>
        <w:t>Council</w:t>
      </w:r>
      <w:r w:rsidRPr="00814019">
        <w:rPr>
          <w:rFonts w:asciiTheme="minorHAnsi" w:hAnsiTheme="minorHAnsi" w:cstheme="minorHAnsi"/>
          <w:sz w:val="22"/>
          <w:szCs w:val="22"/>
          <w:shd w:val="clear" w:color="auto" w:fill="FFFFFF"/>
        </w:rPr>
        <w:t xml:space="preserve"> (2016) About restorative justice, </w:t>
      </w:r>
      <w:proofErr w:type="gramStart"/>
      <w:r w:rsidRPr="00814019">
        <w:rPr>
          <w:rFonts w:asciiTheme="minorHAnsi" w:hAnsiTheme="minorHAnsi" w:cstheme="minorHAnsi"/>
          <w:sz w:val="22"/>
          <w:szCs w:val="22"/>
          <w:shd w:val="clear" w:color="auto" w:fill="FFFFFF"/>
        </w:rPr>
        <w:t>Do</w:t>
      </w:r>
      <w:proofErr w:type="gramEnd"/>
      <w:r w:rsidRPr="00814019">
        <w:rPr>
          <w:rFonts w:asciiTheme="minorHAnsi" w:hAnsiTheme="minorHAnsi" w:cstheme="minorHAnsi"/>
          <w:sz w:val="22"/>
          <w:szCs w:val="22"/>
          <w:shd w:val="clear" w:color="auto" w:fill="FFFFFF"/>
        </w:rPr>
        <w:t xml:space="preserve"> you need restorative justice? | Restorative Justice Council. Available at: https://restorativejustice.org.uk/about-restorative-justice (Accessed: </w:t>
      </w:r>
      <w:r>
        <w:rPr>
          <w:rFonts w:asciiTheme="minorHAnsi" w:hAnsiTheme="minorHAnsi" w:cstheme="minorHAnsi"/>
          <w:sz w:val="22"/>
          <w:szCs w:val="22"/>
          <w:shd w:val="clear" w:color="auto" w:fill="FFFFFF"/>
        </w:rPr>
        <w:t>November 29</w:t>
      </w:r>
      <w:r w:rsidRPr="00814019">
        <w:rPr>
          <w:rFonts w:asciiTheme="minorHAnsi" w:hAnsiTheme="minorHAnsi" w:cstheme="minorHAnsi"/>
          <w:sz w:val="22"/>
          <w:szCs w:val="22"/>
          <w:shd w:val="clear" w:color="auto" w:fill="FFFFFF"/>
        </w:rPr>
        <w:t>, 2022).</w:t>
      </w:r>
    </w:p>
    <w:p w14:paraId="16A8622B" w14:textId="54CAC10B" w:rsidR="00386179" w:rsidRPr="000D38AC" w:rsidRDefault="00386179" w:rsidP="00DF0597">
      <w:pPr>
        <w:pStyle w:val="NoSpacing"/>
        <w:rPr>
          <w:rFonts w:asciiTheme="minorHAnsi" w:hAnsiTheme="minorHAnsi" w:cstheme="minorHAnsi"/>
          <w:sz w:val="22"/>
          <w:szCs w:val="22"/>
          <w:shd w:val="clear" w:color="auto" w:fill="FFFFFF"/>
        </w:rPr>
      </w:pPr>
    </w:p>
    <w:p w14:paraId="015CB065" w14:textId="74DA61AE" w:rsidR="00386179" w:rsidRDefault="00386179" w:rsidP="00DF0597">
      <w:pPr>
        <w:pStyle w:val="NoSpacing"/>
        <w:rPr>
          <w:rFonts w:asciiTheme="minorHAnsi" w:hAnsiTheme="minorHAnsi" w:cstheme="minorHAnsi"/>
          <w:sz w:val="22"/>
          <w:szCs w:val="22"/>
          <w:shd w:val="clear" w:color="auto" w:fill="FFFFFF"/>
        </w:rPr>
      </w:pPr>
      <w:r w:rsidRPr="000D38AC">
        <w:rPr>
          <w:rFonts w:asciiTheme="minorHAnsi" w:hAnsiTheme="minorHAnsi" w:cstheme="minorHAnsi"/>
          <w:sz w:val="22"/>
          <w:szCs w:val="22"/>
          <w:shd w:val="clear" w:color="auto" w:fill="FFFFFF"/>
        </w:rPr>
        <w:t xml:space="preserve">Smith, </w:t>
      </w:r>
      <w:proofErr w:type="spellStart"/>
      <w:r w:rsidRPr="000D38AC">
        <w:rPr>
          <w:rFonts w:asciiTheme="minorHAnsi" w:hAnsiTheme="minorHAnsi" w:cstheme="minorHAnsi"/>
          <w:sz w:val="22"/>
          <w:szCs w:val="22"/>
          <w:shd w:val="clear" w:color="auto" w:fill="FFFFFF"/>
        </w:rPr>
        <w:t>Dr.</w:t>
      </w:r>
      <w:proofErr w:type="spellEnd"/>
      <w:r w:rsidRPr="000D38AC">
        <w:rPr>
          <w:rFonts w:asciiTheme="minorHAnsi" w:hAnsiTheme="minorHAnsi" w:cstheme="minorHAnsi"/>
          <w:sz w:val="22"/>
          <w:szCs w:val="22"/>
          <w:shd w:val="clear" w:color="auto" w:fill="FFFFFF"/>
        </w:rPr>
        <w:t xml:space="preserve"> K. and Shaw, </w:t>
      </w:r>
      <w:proofErr w:type="spellStart"/>
      <w:r w:rsidRPr="000D38AC">
        <w:rPr>
          <w:rFonts w:asciiTheme="minorHAnsi" w:hAnsiTheme="minorHAnsi" w:cstheme="minorHAnsi"/>
          <w:sz w:val="22"/>
          <w:szCs w:val="22"/>
          <w:shd w:val="clear" w:color="auto" w:fill="FFFFFF"/>
        </w:rPr>
        <w:t>Dr.</w:t>
      </w:r>
      <w:proofErr w:type="spellEnd"/>
      <w:r w:rsidRPr="000D38AC">
        <w:rPr>
          <w:rFonts w:asciiTheme="minorHAnsi" w:hAnsiTheme="minorHAnsi" w:cstheme="minorHAnsi"/>
          <w:sz w:val="22"/>
          <w:szCs w:val="22"/>
          <w:shd w:val="clear" w:color="auto" w:fill="FFFFFF"/>
        </w:rPr>
        <w:t xml:space="preserve"> G., 2022. [online] Achieving Best Evidence in Criminal Proceedings: Guidance on Interviewing Victims and Witnesses, and Guidance on Using Special Measures. Available at: &lt;https://assets.publishing.service.gov.uk/government/uploads/system/uploads/attachment_data/file/1051269/achieving-best-evidence-criminal-proceedings.pdf&gt; [Accessed 11 October 2022].</w:t>
      </w:r>
    </w:p>
    <w:p w14:paraId="78E254C2" w14:textId="1DDA7CC2" w:rsidR="00814019" w:rsidRDefault="00814019" w:rsidP="00DF0597">
      <w:pPr>
        <w:pStyle w:val="NoSpacing"/>
        <w:rPr>
          <w:rFonts w:asciiTheme="minorHAnsi" w:hAnsiTheme="minorHAnsi" w:cstheme="minorHAnsi"/>
          <w:sz w:val="22"/>
          <w:szCs w:val="22"/>
          <w:shd w:val="clear" w:color="auto" w:fill="FFFFFF"/>
        </w:rPr>
      </w:pPr>
    </w:p>
    <w:p w14:paraId="61F0CFB4" w14:textId="56911739" w:rsidR="00814019" w:rsidRDefault="00814019" w:rsidP="00DF0597">
      <w:pPr>
        <w:pStyle w:val="NoSpacing"/>
        <w:rPr>
          <w:rFonts w:asciiTheme="minorHAnsi" w:hAnsiTheme="minorHAnsi" w:cstheme="minorHAnsi"/>
          <w:sz w:val="22"/>
          <w:szCs w:val="22"/>
          <w:shd w:val="clear" w:color="auto" w:fill="FFFFFF"/>
        </w:rPr>
      </w:pPr>
      <w:r w:rsidRPr="00814019">
        <w:rPr>
          <w:rFonts w:asciiTheme="minorHAnsi" w:hAnsiTheme="minorHAnsi" w:cstheme="minorHAnsi"/>
          <w:sz w:val="22"/>
          <w:szCs w:val="22"/>
          <w:shd w:val="clear" w:color="auto" w:fill="FFFFFF"/>
        </w:rPr>
        <w:t xml:space="preserve">Stripe, N. (2020) Crime in England and Wales: Year Ending March 2020, Crime in </w:t>
      </w:r>
      <w:proofErr w:type="gramStart"/>
      <w:r w:rsidRPr="00814019">
        <w:rPr>
          <w:rFonts w:asciiTheme="minorHAnsi" w:hAnsiTheme="minorHAnsi" w:cstheme="minorHAnsi"/>
          <w:sz w:val="22"/>
          <w:szCs w:val="22"/>
          <w:shd w:val="clear" w:color="auto" w:fill="FFFFFF"/>
        </w:rPr>
        <w:t>England</w:t>
      </w:r>
      <w:proofErr w:type="gramEnd"/>
      <w:r w:rsidRPr="00814019">
        <w:rPr>
          <w:rFonts w:asciiTheme="minorHAnsi" w:hAnsiTheme="minorHAnsi" w:cstheme="minorHAnsi"/>
          <w:sz w:val="22"/>
          <w:szCs w:val="22"/>
          <w:shd w:val="clear" w:color="auto" w:fill="FFFFFF"/>
        </w:rPr>
        <w:t xml:space="preserve"> and Wales - Office for National Statistics. Office for National Statistics. Available at: https://www.ons.gov.uk/peoplepopulationandcommunity/crimeandjustice/bulletins/crimeinenglandandwales/yearendingmarch2020 (Accessed: November 29, 2022).</w:t>
      </w:r>
    </w:p>
    <w:p w14:paraId="1734D162" w14:textId="60515C37" w:rsidR="00814019" w:rsidRDefault="00814019" w:rsidP="00DF0597">
      <w:pPr>
        <w:pStyle w:val="NoSpacing"/>
        <w:rPr>
          <w:rFonts w:asciiTheme="minorHAnsi" w:hAnsiTheme="minorHAnsi" w:cstheme="minorHAnsi"/>
          <w:sz w:val="22"/>
          <w:szCs w:val="22"/>
          <w:shd w:val="clear" w:color="auto" w:fill="FFFFFF"/>
        </w:rPr>
      </w:pPr>
    </w:p>
    <w:p w14:paraId="2C4B8BFD" w14:textId="494997A3" w:rsidR="00814019" w:rsidRPr="000D38AC" w:rsidRDefault="00814019" w:rsidP="00DF0597">
      <w:pPr>
        <w:pStyle w:val="NoSpacing"/>
        <w:rPr>
          <w:rFonts w:asciiTheme="minorHAnsi" w:hAnsiTheme="minorHAnsi" w:cstheme="minorHAnsi"/>
          <w:sz w:val="22"/>
          <w:szCs w:val="22"/>
          <w:shd w:val="clear" w:color="auto" w:fill="FFFFFF"/>
        </w:rPr>
      </w:pPr>
      <w:r w:rsidRPr="00814019">
        <w:rPr>
          <w:rFonts w:asciiTheme="minorHAnsi" w:hAnsiTheme="minorHAnsi" w:cstheme="minorHAnsi"/>
          <w:sz w:val="22"/>
          <w:szCs w:val="22"/>
          <w:shd w:val="clear" w:color="auto" w:fill="FFFFFF"/>
        </w:rPr>
        <w:t xml:space="preserve">Stripe, N. (2020) Domestic abuse victim characteristics, </w:t>
      </w:r>
      <w:proofErr w:type="gramStart"/>
      <w:r w:rsidRPr="00814019">
        <w:rPr>
          <w:rFonts w:asciiTheme="minorHAnsi" w:hAnsiTheme="minorHAnsi" w:cstheme="minorHAnsi"/>
          <w:sz w:val="22"/>
          <w:szCs w:val="22"/>
          <w:shd w:val="clear" w:color="auto" w:fill="FFFFFF"/>
        </w:rPr>
        <w:t>England</w:t>
      </w:r>
      <w:proofErr w:type="gramEnd"/>
      <w:r w:rsidRPr="00814019">
        <w:rPr>
          <w:rFonts w:asciiTheme="minorHAnsi" w:hAnsiTheme="minorHAnsi" w:cstheme="minorHAnsi"/>
          <w:sz w:val="22"/>
          <w:szCs w:val="22"/>
          <w:shd w:val="clear" w:color="auto" w:fill="FFFFFF"/>
        </w:rPr>
        <w:t xml:space="preserve"> and Wales: Year Ending March 2020, Domestic abuse victim characteristics, England and Wales - Office for National Statistics. Office for </w:t>
      </w:r>
      <w:r w:rsidRPr="00814019">
        <w:rPr>
          <w:rFonts w:asciiTheme="minorHAnsi" w:hAnsiTheme="minorHAnsi" w:cstheme="minorHAnsi"/>
          <w:sz w:val="22"/>
          <w:szCs w:val="22"/>
          <w:shd w:val="clear" w:color="auto" w:fill="FFFFFF"/>
        </w:rPr>
        <w:lastRenderedPageBreak/>
        <w:t>National Statistics. Available at: https://cy.ons.gov.uk/peoplepopulationandcommunity/crimeandjustice/articles/domesticabusevictimcharacteristicsenglandandwales/yearendingmarch2020#:~:text=According%20to%20the%20Crime%20Survey%20for%20England%20and,year%20than%20women%20aged%2025%20years%20and%20over (Accessed: November 29, 2022).</w:t>
      </w:r>
    </w:p>
    <w:p w14:paraId="582FA72C" w14:textId="68365B4A" w:rsidR="003B78E1" w:rsidRPr="000D38AC" w:rsidRDefault="003B78E1" w:rsidP="00DF0597">
      <w:pPr>
        <w:pStyle w:val="NoSpacing"/>
        <w:rPr>
          <w:rFonts w:asciiTheme="minorHAnsi" w:hAnsiTheme="minorHAnsi" w:cstheme="minorHAnsi"/>
          <w:sz w:val="22"/>
          <w:szCs w:val="22"/>
          <w:shd w:val="clear" w:color="auto" w:fill="FFFFFF"/>
        </w:rPr>
      </w:pPr>
    </w:p>
    <w:p w14:paraId="08590785" w14:textId="47EBE731" w:rsidR="00CA7725" w:rsidRPr="000D38AC" w:rsidRDefault="00CA7725" w:rsidP="00DF0597">
      <w:pPr>
        <w:pStyle w:val="NoSpacing"/>
        <w:rPr>
          <w:rFonts w:asciiTheme="minorHAnsi" w:hAnsiTheme="minorHAnsi" w:cstheme="minorHAnsi"/>
          <w:sz w:val="22"/>
          <w:szCs w:val="22"/>
          <w:shd w:val="clear" w:color="auto" w:fill="FFFFFF"/>
        </w:rPr>
      </w:pPr>
      <w:r w:rsidRPr="000D38AC">
        <w:rPr>
          <w:rFonts w:asciiTheme="minorHAnsi" w:hAnsiTheme="minorHAnsi" w:cstheme="minorHAnsi"/>
          <w:sz w:val="22"/>
          <w:szCs w:val="22"/>
          <w:shd w:val="clear" w:color="auto" w:fill="FFFFFF"/>
        </w:rPr>
        <w:t xml:space="preserve">UK Government, 2015. [online] Available at: </w:t>
      </w:r>
      <w:hyperlink r:id="rId30" w:history="1">
        <w:r w:rsidRPr="000D38AC">
          <w:rPr>
            <w:rStyle w:val="Hyperlink"/>
            <w:rFonts w:asciiTheme="minorHAnsi" w:hAnsiTheme="minorHAnsi" w:cstheme="minorHAnsi"/>
            <w:sz w:val="22"/>
            <w:szCs w:val="22"/>
            <w:shd w:val="clear" w:color="auto" w:fill="FFFFFF"/>
          </w:rPr>
          <w:t>https://www.legislation.gov.uk/ukpga/2015/9/section/76/enacted</w:t>
        </w:r>
      </w:hyperlink>
      <w:r w:rsidRPr="000D38AC">
        <w:rPr>
          <w:rFonts w:asciiTheme="minorHAnsi" w:hAnsiTheme="minorHAnsi" w:cstheme="minorHAnsi"/>
          <w:sz w:val="22"/>
          <w:szCs w:val="22"/>
          <w:shd w:val="clear" w:color="auto" w:fill="FFFFFF"/>
        </w:rPr>
        <w:t xml:space="preserve">  [Accessed 21 September 2022].</w:t>
      </w:r>
    </w:p>
    <w:p w14:paraId="401114EC" w14:textId="77777777" w:rsidR="00BF3D13" w:rsidRPr="000D38AC" w:rsidRDefault="00BF3D13" w:rsidP="00DF0597">
      <w:pPr>
        <w:pStyle w:val="NoSpacing"/>
        <w:rPr>
          <w:rFonts w:asciiTheme="minorHAnsi" w:hAnsiTheme="minorHAnsi" w:cstheme="minorHAnsi"/>
          <w:sz w:val="22"/>
          <w:szCs w:val="22"/>
          <w:shd w:val="clear" w:color="auto" w:fill="FFFFFF"/>
        </w:rPr>
      </w:pPr>
    </w:p>
    <w:p w14:paraId="53C95BBB" w14:textId="07E21B67" w:rsidR="00E56B08" w:rsidRPr="000D38AC" w:rsidRDefault="00BF3D13" w:rsidP="00DF0597">
      <w:pPr>
        <w:pStyle w:val="NoSpacing"/>
        <w:rPr>
          <w:rFonts w:asciiTheme="minorHAnsi" w:hAnsiTheme="minorHAnsi" w:cstheme="minorHAnsi"/>
          <w:sz w:val="22"/>
          <w:szCs w:val="22"/>
          <w:shd w:val="clear" w:color="auto" w:fill="FFFFFF"/>
        </w:rPr>
      </w:pPr>
      <w:r w:rsidRPr="000D38AC">
        <w:rPr>
          <w:rFonts w:asciiTheme="minorHAnsi" w:hAnsiTheme="minorHAnsi" w:cstheme="minorHAnsi"/>
          <w:sz w:val="22"/>
          <w:szCs w:val="22"/>
          <w:shd w:val="clear" w:color="auto" w:fill="FFFFFF"/>
        </w:rPr>
        <w:t xml:space="preserve">UK Government, 2105 </w:t>
      </w:r>
      <w:r w:rsidR="002A4324" w:rsidRPr="000D38AC">
        <w:rPr>
          <w:rFonts w:asciiTheme="minorHAnsi" w:hAnsiTheme="minorHAnsi" w:cstheme="minorHAnsi"/>
          <w:sz w:val="22"/>
          <w:szCs w:val="22"/>
          <w:shd w:val="clear" w:color="auto" w:fill="FFFFFF"/>
        </w:rPr>
        <w:t xml:space="preserve">[online] </w:t>
      </w:r>
      <w:r w:rsidR="00E56B08" w:rsidRPr="000D38AC">
        <w:rPr>
          <w:rFonts w:asciiTheme="minorHAnsi" w:hAnsiTheme="minorHAnsi" w:cstheme="minorHAnsi"/>
          <w:sz w:val="22"/>
          <w:szCs w:val="22"/>
          <w:shd w:val="clear" w:color="auto" w:fill="FFFFFF"/>
        </w:rPr>
        <w:t>Vulnerable Groups and Inequalities Task and Finish group Report. Available at: &lt;https://assets.publishing.service.gov.uk/government/uploads/system/uploads/attachment_data/file/414326/Vulnerable_Groups_and_Inequalities.pdf&gt; [Accessed 21 September 2022].</w:t>
      </w:r>
    </w:p>
    <w:p w14:paraId="4D22EEC2" w14:textId="77777777" w:rsidR="00CA7725" w:rsidRPr="000D38AC" w:rsidRDefault="00CA7725" w:rsidP="00DF0597">
      <w:pPr>
        <w:pStyle w:val="NoSpacing"/>
        <w:rPr>
          <w:rFonts w:asciiTheme="minorHAnsi" w:hAnsiTheme="minorHAnsi" w:cstheme="minorHAnsi"/>
          <w:sz w:val="22"/>
          <w:szCs w:val="22"/>
          <w:shd w:val="clear" w:color="auto" w:fill="FFFFFF"/>
        </w:rPr>
      </w:pPr>
    </w:p>
    <w:p w14:paraId="57926984" w14:textId="39F2AB5C" w:rsidR="003B78E1" w:rsidRPr="000D38AC" w:rsidRDefault="003B78E1" w:rsidP="00DF0597">
      <w:pPr>
        <w:pStyle w:val="NoSpacing"/>
        <w:rPr>
          <w:rFonts w:asciiTheme="minorHAnsi" w:hAnsiTheme="minorHAnsi" w:cstheme="minorHAnsi"/>
          <w:color w:val="auto"/>
          <w:sz w:val="22"/>
          <w:szCs w:val="22"/>
        </w:rPr>
      </w:pPr>
      <w:r w:rsidRPr="000D38AC">
        <w:rPr>
          <w:rFonts w:asciiTheme="minorHAnsi" w:hAnsiTheme="minorHAnsi" w:cstheme="minorHAnsi"/>
          <w:sz w:val="22"/>
          <w:szCs w:val="22"/>
          <w:shd w:val="clear" w:color="auto" w:fill="FFFFFF"/>
        </w:rPr>
        <w:t>Waite, M., 2007. </w:t>
      </w:r>
      <w:r w:rsidRPr="000D38AC">
        <w:rPr>
          <w:rFonts w:asciiTheme="minorHAnsi" w:hAnsiTheme="minorHAnsi" w:cstheme="minorHAnsi"/>
          <w:i/>
          <w:iCs/>
          <w:sz w:val="22"/>
          <w:szCs w:val="22"/>
          <w:shd w:val="clear" w:color="auto" w:fill="FFFFFF"/>
        </w:rPr>
        <w:t>Oxford dictionary and thesaurus</w:t>
      </w:r>
      <w:r w:rsidRPr="000D38AC">
        <w:rPr>
          <w:rFonts w:asciiTheme="minorHAnsi" w:hAnsiTheme="minorHAnsi" w:cstheme="minorHAnsi"/>
          <w:sz w:val="22"/>
          <w:szCs w:val="22"/>
          <w:shd w:val="clear" w:color="auto" w:fill="FFFFFF"/>
        </w:rPr>
        <w:t>. Oxford: Oxford University Press.</w:t>
      </w:r>
      <w:r w:rsidR="00A7585B" w:rsidRPr="000D38AC">
        <w:rPr>
          <w:rFonts w:asciiTheme="minorHAnsi" w:hAnsiTheme="minorHAnsi" w:cstheme="minorHAnsi"/>
          <w:sz w:val="22"/>
          <w:szCs w:val="22"/>
          <w:shd w:val="clear" w:color="auto" w:fill="FFFFFF"/>
        </w:rPr>
        <w:t xml:space="preserve"> Pp. </w:t>
      </w:r>
      <w:r w:rsidR="003130FB" w:rsidRPr="000D38AC">
        <w:rPr>
          <w:rFonts w:asciiTheme="minorHAnsi" w:hAnsiTheme="minorHAnsi" w:cstheme="minorHAnsi"/>
          <w:sz w:val="22"/>
          <w:szCs w:val="22"/>
          <w:shd w:val="clear" w:color="auto" w:fill="FFFFFF"/>
        </w:rPr>
        <w:t>1158</w:t>
      </w:r>
    </w:p>
    <w:p w14:paraId="5FF50C84" w14:textId="77777777" w:rsidR="00DF0597" w:rsidRPr="000D38AC" w:rsidRDefault="00DF0597" w:rsidP="00DF0597">
      <w:pPr>
        <w:pStyle w:val="NoSpacing"/>
        <w:rPr>
          <w:rFonts w:asciiTheme="minorHAnsi" w:hAnsiTheme="minorHAnsi" w:cstheme="minorHAnsi"/>
          <w:color w:val="auto"/>
          <w:sz w:val="22"/>
          <w:szCs w:val="22"/>
        </w:rPr>
      </w:pPr>
    </w:p>
    <w:p w14:paraId="20B2C4B0" w14:textId="678EA5BA" w:rsidR="00DF0597" w:rsidRPr="000D38AC" w:rsidRDefault="00DF0597" w:rsidP="00DF0597">
      <w:pPr>
        <w:pStyle w:val="NoSpacing"/>
        <w:rPr>
          <w:rFonts w:asciiTheme="minorHAnsi" w:hAnsiTheme="minorHAnsi" w:cstheme="minorHAnsi"/>
          <w:sz w:val="22"/>
          <w:szCs w:val="22"/>
          <w:shd w:val="clear" w:color="auto" w:fill="FFFFFF"/>
        </w:rPr>
      </w:pPr>
      <w:r w:rsidRPr="000D38AC">
        <w:rPr>
          <w:rFonts w:asciiTheme="minorHAnsi" w:hAnsiTheme="minorHAnsi" w:cstheme="minorHAnsi"/>
          <w:sz w:val="22"/>
          <w:szCs w:val="22"/>
          <w:shd w:val="clear" w:color="auto" w:fill="FFFFFF"/>
        </w:rPr>
        <w:t>Women’s Aid. 2022. </w:t>
      </w:r>
      <w:r w:rsidRPr="000D38AC">
        <w:rPr>
          <w:rFonts w:asciiTheme="minorHAnsi" w:hAnsiTheme="minorHAnsi" w:cstheme="minorHAnsi"/>
          <w:i/>
          <w:iCs/>
          <w:sz w:val="22"/>
          <w:szCs w:val="22"/>
          <w:shd w:val="clear" w:color="auto" w:fill="FFFFFF"/>
        </w:rPr>
        <w:t>Why don't women leave? - Women’s Aid</w:t>
      </w:r>
      <w:r w:rsidRPr="000D38AC">
        <w:rPr>
          <w:rFonts w:asciiTheme="minorHAnsi" w:hAnsiTheme="minorHAnsi" w:cstheme="minorHAnsi"/>
          <w:sz w:val="22"/>
          <w:szCs w:val="22"/>
          <w:shd w:val="clear" w:color="auto" w:fill="FFFFFF"/>
        </w:rPr>
        <w:t xml:space="preserve">. [online] Available at: </w:t>
      </w:r>
      <w:hyperlink r:id="rId31" w:history="1">
        <w:r w:rsidRPr="000D38AC">
          <w:rPr>
            <w:rStyle w:val="Hyperlink"/>
            <w:rFonts w:asciiTheme="minorHAnsi" w:hAnsiTheme="minorHAnsi" w:cstheme="minorHAnsi"/>
            <w:sz w:val="22"/>
            <w:szCs w:val="22"/>
            <w:shd w:val="clear" w:color="auto" w:fill="FFFFFF"/>
          </w:rPr>
          <w:t>https://www.womensaid.org.uk/information-support/what-is-domestic-abuse/women-leave/</w:t>
        </w:r>
      </w:hyperlink>
      <w:r w:rsidRPr="000D38AC">
        <w:rPr>
          <w:rFonts w:asciiTheme="minorHAnsi" w:hAnsiTheme="minorHAnsi" w:cstheme="minorHAnsi"/>
          <w:sz w:val="22"/>
          <w:szCs w:val="22"/>
          <w:shd w:val="clear" w:color="auto" w:fill="FFFFFF"/>
        </w:rPr>
        <w:t xml:space="preserve">  [Accessed 21 September 2022].</w:t>
      </w:r>
    </w:p>
    <w:p w14:paraId="6678B0B4" w14:textId="3F1FC4F4" w:rsidR="006C5A40" w:rsidRPr="000D38AC" w:rsidRDefault="006C5A40" w:rsidP="00DF0597">
      <w:pPr>
        <w:pStyle w:val="NoSpacing"/>
        <w:rPr>
          <w:rFonts w:asciiTheme="minorHAnsi" w:hAnsiTheme="minorHAnsi" w:cstheme="minorHAnsi"/>
          <w:sz w:val="22"/>
          <w:szCs w:val="22"/>
          <w:shd w:val="clear" w:color="auto" w:fill="FFFFFF"/>
        </w:rPr>
      </w:pPr>
    </w:p>
    <w:p w14:paraId="40D39D22" w14:textId="438641A1" w:rsidR="006C5A40" w:rsidRDefault="006C5A40" w:rsidP="00DF0597">
      <w:pPr>
        <w:pStyle w:val="NoSpacing"/>
        <w:rPr>
          <w:rFonts w:asciiTheme="minorHAnsi" w:hAnsiTheme="minorHAnsi" w:cstheme="minorHAnsi"/>
          <w:sz w:val="22"/>
          <w:szCs w:val="22"/>
          <w:shd w:val="clear" w:color="auto" w:fill="FFFFFF"/>
        </w:rPr>
      </w:pPr>
      <w:r w:rsidRPr="000D38AC">
        <w:rPr>
          <w:rFonts w:asciiTheme="minorHAnsi" w:hAnsiTheme="minorHAnsi" w:cstheme="minorHAnsi"/>
          <w:sz w:val="22"/>
          <w:szCs w:val="22"/>
          <w:shd w:val="clear" w:color="auto" w:fill="FFFFFF"/>
        </w:rPr>
        <w:t>Women’s Aid. 2022. </w:t>
      </w:r>
      <w:r w:rsidRPr="000D38AC">
        <w:rPr>
          <w:rFonts w:asciiTheme="minorHAnsi" w:hAnsiTheme="minorHAnsi" w:cstheme="minorHAnsi"/>
          <w:i/>
          <w:iCs/>
          <w:sz w:val="22"/>
          <w:szCs w:val="22"/>
          <w:shd w:val="clear" w:color="auto" w:fill="FFFFFF"/>
        </w:rPr>
        <w:t>Police and the CPS - Women’s Aid</w:t>
      </w:r>
      <w:r w:rsidRPr="000D38AC">
        <w:rPr>
          <w:rFonts w:asciiTheme="minorHAnsi" w:hAnsiTheme="minorHAnsi" w:cstheme="minorHAnsi"/>
          <w:sz w:val="22"/>
          <w:szCs w:val="22"/>
          <w:shd w:val="clear" w:color="auto" w:fill="FFFFFF"/>
        </w:rPr>
        <w:t xml:space="preserve">. [online] Available at: </w:t>
      </w:r>
      <w:hyperlink r:id="rId32" w:history="1">
        <w:r w:rsidR="00A36BFF" w:rsidRPr="000D38AC">
          <w:rPr>
            <w:rStyle w:val="Hyperlink"/>
            <w:rFonts w:asciiTheme="minorHAnsi" w:hAnsiTheme="minorHAnsi" w:cstheme="minorHAnsi"/>
            <w:sz w:val="22"/>
            <w:szCs w:val="22"/>
            <w:shd w:val="clear" w:color="auto" w:fill="FFFFFF"/>
          </w:rPr>
          <w:t>https://www.womensaid.org.uk/information-support/the-survivors-handbook/police-and-the-cps/</w:t>
        </w:r>
      </w:hyperlink>
      <w:r w:rsidR="00A36BFF" w:rsidRPr="000D38AC">
        <w:rPr>
          <w:rFonts w:asciiTheme="minorHAnsi" w:hAnsiTheme="minorHAnsi" w:cstheme="minorHAnsi"/>
          <w:sz w:val="22"/>
          <w:szCs w:val="22"/>
          <w:shd w:val="clear" w:color="auto" w:fill="FFFFFF"/>
        </w:rPr>
        <w:t xml:space="preserve"> </w:t>
      </w:r>
      <w:r w:rsidRPr="000D38AC">
        <w:rPr>
          <w:rFonts w:asciiTheme="minorHAnsi" w:hAnsiTheme="minorHAnsi" w:cstheme="minorHAnsi"/>
          <w:sz w:val="22"/>
          <w:szCs w:val="22"/>
          <w:shd w:val="clear" w:color="auto" w:fill="FFFFFF"/>
        </w:rPr>
        <w:t xml:space="preserve"> [Accessed 21 September 2022].</w:t>
      </w:r>
    </w:p>
    <w:p w14:paraId="10909861" w14:textId="16328161" w:rsidR="00814019" w:rsidRDefault="00814019" w:rsidP="00DF0597">
      <w:pPr>
        <w:pStyle w:val="NoSpacing"/>
        <w:rPr>
          <w:rFonts w:asciiTheme="minorHAnsi" w:hAnsiTheme="minorHAnsi" w:cstheme="minorHAnsi"/>
          <w:sz w:val="22"/>
          <w:szCs w:val="22"/>
          <w:shd w:val="clear" w:color="auto" w:fill="FFFFFF"/>
        </w:rPr>
      </w:pPr>
    </w:p>
    <w:p w14:paraId="2A9A2C4C" w14:textId="0187ECB9" w:rsidR="00814019" w:rsidRPr="000D38AC" w:rsidRDefault="00814019" w:rsidP="00DF0597">
      <w:pPr>
        <w:pStyle w:val="NoSpacing"/>
        <w:rPr>
          <w:rFonts w:asciiTheme="minorHAnsi" w:hAnsiTheme="minorHAnsi" w:cstheme="minorHAnsi"/>
          <w:sz w:val="22"/>
          <w:szCs w:val="22"/>
        </w:rPr>
      </w:pPr>
      <w:r w:rsidRPr="00814019">
        <w:rPr>
          <w:rFonts w:asciiTheme="minorHAnsi" w:hAnsiTheme="minorHAnsi" w:cstheme="minorHAnsi"/>
          <w:sz w:val="22"/>
          <w:szCs w:val="22"/>
        </w:rPr>
        <w:t>Youth Justice Board (2022) Youth Justice Statistics 2020/21. Ministry of Justice. Available at: https://assets.publishing.service.gov.uk/government/uploads/system/uploads/attachment_data/file/1054236/Youth_Justice_Statistics_2020-21.pdf (Accessed: November 29, 2022).</w:t>
      </w:r>
    </w:p>
    <w:sectPr w:rsidR="00814019" w:rsidRPr="000D38A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A9C297" w14:textId="77777777" w:rsidR="00852374" w:rsidRDefault="00852374">
      <w:r>
        <w:separator/>
      </w:r>
    </w:p>
  </w:endnote>
  <w:endnote w:type="continuationSeparator" w:id="0">
    <w:p w14:paraId="4803C0DB" w14:textId="77777777" w:rsidR="00852374" w:rsidRDefault="008523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F78817" w14:textId="77777777" w:rsidR="00DF0597" w:rsidRDefault="00DF05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F6BDDE" w14:textId="77777777" w:rsidR="00DF0597" w:rsidRDefault="00DF05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838596" w14:textId="77777777" w:rsidR="00852374" w:rsidRDefault="00852374">
      <w:r>
        <w:separator/>
      </w:r>
    </w:p>
  </w:footnote>
  <w:footnote w:type="continuationSeparator" w:id="0">
    <w:p w14:paraId="42615516" w14:textId="77777777" w:rsidR="00852374" w:rsidRDefault="008523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6D6F8A" w14:textId="77777777" w:rsidR="00DF0597" w:rsidRDefault="00DF05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B768C3" w14:textId="77777777" w:rsidR="00DF0597" w:rsidRDefault="00DF059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57FE62" w14:textId="77777777" w:rsidR="00DF0597" w:rsidRDefault="00DF0597">
    <w:pPr>
      <w:pStyle w:val="Header"/>
    </w:pPr>
  </w:p>
</w:hdr>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BE25910"/>
    <w:lvl w:ilvl="0" w:tplc="54CECBB8">
      <w:start w:val="1"/>
      <w:numFmt w:val="decimal"/>
      <w:lvlText w:val="%1."/>
      <w:lvlJc w:val="left"/>
      <w:pPr>
        <w:ind w:left="720" w:hanging="360"/>
      </w:pPr>
    </w:lvl>
    <w:lvl w:ilvl="1" w:tplc="D624B030">
      <w:start w:val="1"/>
      <w:numFmt w:val="lowerLetter"/>
      <w:lvlText w:val="%2."/>
      <w:lvlJc w:val="left"/>
      <w:pPr>
        <w:ind w:left="1440" w:hanging="360"/>
      </w:pPr>
    </w:lvl>
    <w:lvl w:ilvl="2" w:tplc="A7947A7A">
      <w:start w:val="1"/>
      <w:numFmt w:val="lowerRoman"/>
      <w:lvlText w:val="%3."/>
      <w:lvlJc w:val="right"/>
      <w:pPr>
        <w:ind w:left="2160" w:hanging="180"/>
      </w:pPr>
    </w:lvl>
    <w:lvl w:ilvl="3" w:tplc="132CD1FC">
      <w:start w:val="1"/>
      <w:numFmt w:val="decimal"/>
      <w:lvlText w:val="%4."/>
      <w:lvlJc w:val="left"/>
      <w:pPr>
        <w:ind w:left="2880" w:hanging="360"/>
      </w:pPr>
    </w:lvl>
    <w:lvl w:ilvl="4" w:tplc="4B0C7CBC">
      <w:start w:val="1"/>
      <w:numFmt w:val="lowerLetter"/>
      <w:lvlText w:val="%5."/>
      <w:lvlJc w:val="left"/>
      <w:pPr>
        <w:ind w:left="3600" w:hanging="360"/>
      </w:pPr>
    </w:lvl>
    <w:lvl w:ilvl="5" w:tplc="95CC4730">
      <w:start w:val="1"/>
      <w:numFmt w:val="lowerRoman"/>
      <w:lvlText w:val="%6."/>
      <w:lvlJc w:val="right"/>
      <w:pPr>
        <w:ind w:left="4320" w:hanging="180"/>
      </w:pPr>
    </w:lvl>
    <w:lvl w:ilvl="6" w:tplc="836C5624">
      <w:start w:val="1"/>
      <w:numFmt w:val="decimal"/>
      <w:lvlText w:val="%7."/>
      <w:lvlJc w:val="left"/>
      <w:pPr>
        <w:ind w:left="5040" w:hanging="360"/>
      </w:pPr>
    </w:lvl>
    <w:lvl w:ilvl="7" w:tplc="1B6448F2">
      <w:start w:val="1"/>
      <w:numFmt w:val="lowerLetter"/>
      <w:lvlText w:val="%8."/>
      <w:lvlJc w:val="left"/>
      <w:pPr>
        <w:ind w:left="5760" w:hanging="360"/>
      </w:pPr>
    </w:lvl>
    <w:lvl w:ilvl="8" w:tplc="C40ECCE6">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CB23494"/>
    <w:lvl w:ilvl="0" w:tplc="A00EDC3A">
      <w:start w:val="1"/>
      <w:numFmt w:val="decimal"/>
      <w:lvlText w:val="%1."/>
      <w:lvlJc w:val="left"/>
      <w:pPr>
        <w:ind w:left="720" w:hanging="360"/>
      </w:pPr>
    </w:lvl>
    <w:lvl w:ilvl="1" w:tplc="3CA4B442">
      <w:start w:val="1"/>
      <w:numFmt w:val="decimal"/>
      <w:lvlText w:val="%2."/>
      <w:lvlJc w:val="left"/>
      <w:pPr>
        <w:ind w:left="1440" w:hanging="360"/>
      </w:pPr>
    </w:lvl>
    <w:lvl w:ilvl="2" w:tplc="C9E84176">
      <w:start w:val="1"/>
      <w:numFmt w:val="lowerRoman"/>
      <w:lvlText w:val="%3."/>
      <w:lvlJc w:val="right"/>
      <w:pPr>
        <w:ind w:left="2160" w:hanging="180"/>
      </w:pPr>
    </w:lvl>
    <w:lvl w:ilvl="3" w:tplc="BACCAFD2">
      <w:start w:val="1"/>
      <w:numFmt w:val="decimal"/>
      <w:lvlText w:val="%4."/>
      <w:lvlJc w:val="left"/>
      <w:pPr>
        <w:ind w:left="2880" w:hanging="360"/>
      </w:pPr>
    </w:lvl>
    <w:lvl w:ilvl="4" w:tplc="C1A8E19C">
      <w:start w:val="1"/>
      <w:numFmt w:val="lowerLetter"/>
      <w:lvlText w:val="%5."/>
      <w:lvlJc w:val="left"/>
      <w:pPr>
        <w:ind w:left="3600" w:hanging="360"/>
      </w:pPr>
    </w:lvl>
    <w:lvl w:ilvl="5" w:tplc="D2A6C174">
      <w:start w:val="1"/>
      <w:numFmt w:val="lowerRoman"/>
      <w:lvlText w:val="%6."/>
      <w:lvlJc w:val="right"/>
      <w:pPr>
        <w:ind w:left="4320" w:hanging="180"/>
      </w:pPr>
    </w:lvl>
    <w:lvl w:ilvl="6" w:tplc="331C3980">
      <w:start w:val="1"/>
      <w:numFmt w:val="decimal"/>
      <w:lvlText w:val="%7."/>
      <w:lvlJc w:val="left"/>
      <w:pPr>
        <w:ind w:left="5040" w:hanging="360"/>
      </w:pPr>
    </w:lvl>
    <w:lvl w:ilvl="7" w:tplc="445E5DC8">
      <w:start w:val="1"/>
      <w:numFmt w:val="lowerLetter"/>
      <w:lvlText w:val="%8."/>
      <w:lvlJc w:val="left"/>
      <w:pPr>
        <w:ind w:left="5760" w:hanging="360"/>
      </w:pPr>
    </w:lvl>
    <w:lvl w:ilvl="8" w:tplc="5A5E39FC">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7"/>
  </w:num>
  <w:num w:numId="2">
    <w:abstractNumId w:val="10"/>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4"/>
  </w:num>
  <w:num w:numId="6">
    <w:abstractNumId w:val="46"/>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7"/>
  </w:num>
  <w:num w:numId="14">
    <w:abstractNumId w:val="16"/>
  </w:num>
  <w:num w:numId="15">
    <w:abstractNumId w:val="26"/>
  </w:num>
  <w:num w:numId="16">
    <w:abstractNumId w:val="7"/>
  </w:num>
  <w:num w:numId="17">
    <w:abstractNumId w:val="25"/>
  </w:num>
  <w:num w:numId="18">
    <w:abstractNumId w:val="15"/>
  </w:num>
  <w:num w:numId="19">
    <w:abstractNumId w:val="13"/>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0"/>
  </w:num>
  <w:num w:numId="28">
    <w:abstractNumId w:val="35"/>
  </w:num>
  <w:num w:numId="29">
    <w:abstractNumId w:val="39"/>
  </w:num>
  <w:num w:numId="30">
    <w:abstractNumId w:val="20"/>
  </w:num>
  <w:num w:numId="31">
    <w:abstractNumId w:val="42"/>
  </w:num>
  <w:num w:numId="32">
    <w:abstractNumId w:val="31"/>
  </w:num>
  <w:num w:numId="33">
    <w:abstractNumId w:val="12"/>
  </w:num>
  <w:num w:numId="34">
    <w:abstractNumId w:val="43"/>
  </w:num>
  <w:num w:numId="35">
    <w:abstractNumId w:val="38"/>
  </w:num>
  <w:num w:numId="36">
    <w:abstractNumId w:val="4"/>
  </w:num>
  <w:num w:numId="37">
    <w:abstractNumId w:val="45"/>
  </w:num>
  <w:num w:numId="38">
    <w:abstractNumId w:val="41"/>
  </w:num>
  <w:num w:numId="39">
    <w:abstractNumId w:val="36"/>
  </w:num>
  <w:num w:numId="40">
    <w:abstractNumId w:val="37"/>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75B18"/>
    <w:rsid w:val="00080E58"/>
    <w:rsid w:val="00082A2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1FE4"/>
    <w:rsid w:val="000C378F"/>
    <w:rsid w:val="000C6892"/>
    <w:rsid w:val="000C6FFE"/>
    <w:rsid w:val="000D0BB6"/>
    <w:rsid w:val="000D38AC"/>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36509"/>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81627"/>
    <w:rsid w:val="00291ADD"/>
    <w:rsid w:val="00294868"/>
    <w:rsid w:val="00295CA1"/>
    <w:rsid w:val="002A291A"/>
    <w:rsid w:val="002A4324"/>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0FB"/>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565AD"/>
    <w:rsid w:val="00365DF9"/>
    <w:rsid w:val="0036668D"/>
    <w:rsid w:val="00372DB4"/>
    <w:rsid w:val="0037490C"/>
    <w:rsid w:val="00375AF5"/>
    <w:rsid w:val="003761BD"/>
    <w:rsid w:val="003769F6"/>
    <w:rsid w:val="00385414"/>
    <w:rsid w:val="00386179"/>
    <w:rsid w:val="00390074"/>
    <w:rsid w:val="00394CE5"/>
    <w:rsid w:val="00394EC2"/>
    <w:rsid w:val="0039762B"/>
    <w:rsid w:val="003A0C37"/>
    <w:rsid w:val="003A101F"/>
    <w:rsid w:val="003A1B6B"/>
    <w:rsid w:val="003A2F82"/>
    <w:rsid w:val="003A46C0"/>
    <w:rsid w:val="003A600E"/>
    <w:rsid w:val="003A6513"/>
    <w:rsid w:val="003B16C7"/>
    <w:rsid w:val="003B78E1"/>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516"/>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1758"/>
    <w:rsid w:val="00546187"/>
    <w:rsid w:val="005463F1"/>
    <w:rsid w:val="00552D6D"/>
    <w:rsid w:val="00557D77"/>
    <w:rsid w:val="00562EAA"/>
    <w:rsid w:val="00563B58"/>
    <w:rsid w:val="005640C4"/>
    <w:rsid w:val="00564C53"/>
    <w:rsid w:val="0056684C"/>
    <w:rsid w:val="00574A0C"/>
    <w:rsid w:val="00576BE3"/>
    <w:rsid w:val="00576E4C"/>
    <w:rsid w:val="0057780F"/>
    <w:rsid w:val="00581E0A"/>
    <w:rsid w:val="00582870"/>
    <w:rsid w:val="00586D89"/>
    <w:rsid w:val="005916B8"/>
    <w:rsid w:val="00593D00"/>
    <w:rsid w:val="005A1B4C"/>
    <w:rsid w:val="005A1BA3"/>
    <w:rsid w:val="005A545C"/>
    <w:rsid w:val="005C1567"/>
    <w:rsid w:val="005C5382"/>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1F00"/>
    <w:rsid w:val="006447DE"/>
    <w:rsid w:val="0065276E"/>
    <w:rsid w:val="00654329"/>
    <w:rsid w:val="00654B75"/>
    <w:rsid w:val="00654CEC"/>
    <w:rsid w:val="00655507"/>
    <w:rsid w:val="006712A7"/>
    <w:rsid w:val="006733CC"/>
    <w:rsid w:val="00674FC2"/>
    <w:rsid w:val="00677E42"/>
    <w:rsid w:val="00682334"/>
    <w:rsid w:val="00684B16"/>
    <w:rsid w:val="00694C00"/>
    <w:rsid w:val="00696F65"/>
    <w:rsid w:val="006A7A6D"/>
    <w:rsid w:val="006B5E67"/>
    <w:rsid w:val="006C2EB5"/>
    <w:rsid w:val="006C5A40"/>
    <w:rsid w:val="006D18A3"/>
    <w:rsid w:val="006D5970"/>
    <w:rsid w:val="006E481E"/>
    <w:rsid w:val="006E795F"/>
    <w:rsid w:val="00700249"/>
    <w:rsid w:val="0070604C"/>
    <w:rsid w:val="007069CD"/>
    <w:rsid w:val="00710D69"/>
    <w:rsid w:val="007110E6"/>
    <w:rsid w:val="007118BD"/>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4019"/>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2374"/>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181"/>
    <w:rsid w:val="008C2FFB"/>
    <w:rsid w:val="008C6EEA"/>
    <w:rsid w:val="008D5813"/>
    <w:rsid w:val="008D634E"/>
    <w:rsid w:val="008D778A"/>
    <w:rsid w:val="008D7B6C"/>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36BFF"/>
    <w:rsid w:val="00A40ED6"/>
    <w:rsid w:val="00A470EE"/>
    <w:rsid w:val="00A47621"/>
    <w:rsid w:val="00A479CD"/>
    <w:rsid w:val="00A50CFC"/>
    <w:rsid w:val="00A54D67"/>
    <w:rsid w:val="00A55A3F"/>
    <w:rsid w:val="00A56BC4"/>
    <w:rsid w:val="00A652F6"/>
    <w:rsid w:val="00A732EA"/>
    <w:rsid w:val="00A7489E"/>
    <w:rsid w:val="00A7585B"/>
    <w:rsid w:val="00A8015F"/>
    <w:rsid w:val="00A80BD2"/>
    <w:rsid w:val="00A85039"/>
    <w:rsid w:val="00A851F7"/>
    <w:rsid w:val="00A906AA"/>
    <w:rsid w:val="00A94C5E"/>
    <w:rsid w:val="00AA241A"/>
    <w:rsid w:val="00AA252C"/>
    <w:rsid w:val="00AA666E"/>
    <w:rsid w:val="00AB13E0"/>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222F"/>
    <w:rsid w:val="00BF3D13"/>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725"/>
    <w:rsid w:val="00CA7F4F"/>
    <w:rsid w:val="00CB258E"/>
    <w:rsid w:val="00CB3C8F"/>
    <w:rsid w:val="00CB75CE"/>
    <w:rsid w:val="00CC02F1"/>
    <w:rsid w:val="00CC11A6"/>
    <w:rsid w:val="00CC135E"/>
    <w:rsid w:val="00CD5D3F"/>
    <w:rsid w:val="00CF1E90"/>
    <w:rsid w:val="00CF3DB3"/>
    <w:rsid w:val="00D02DBF"/>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DF0597"/>
    <w:rsid w:val="00E03B6D"/>
    <w:rsid w:val="00E0649E"/>
    <w:rsid w:val="00E17160"/>
    <w:rsid w:val="00E35BEC"/>
    <w:rsid w:val="00E50821"/>
    <w:rsid w:val="00E50EF8"/>
    <w:rsid w:val="00E51F91"/>
    <w:rsid w:val="00E56B08"/>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EF695A"/>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Spacing">
    <w:name w:val="No Spacing"/>
    <w:uiPriority w:val="1"/>
    <w:qFormat/>
    <w:rsid w:val="00DF0597"/>
    <w:pPr>
      <w:overflowPunct w:val="0"/>
      <w:autoSpaceDE w:val="0"/>
      <w:autoSpaceDN w:val="0"/>
      <w:adjustRightInd w:val="0"/>
      <w:textAlignment w:val="baseline"/>
    </w:pPr>
    <w:rPr>
      <w:rFonts w:ascii="Arial" w:hAnsi="Arial" w:cs="Arial"/>
      <w:color w:val="000000"/>
      <w:lang w:eastAsia="en-GB"/>
    </w:rPr>
  </w:style>
  <w:style w:type="character" w:styleId="UnresolvedMention">
    <w:name w:val="Unresolved Mention"/>
    <w:basedOn w:val="DefaultParagraphFont"/>
    <w:uiPriority w:val="99"/>
    <w:semiHidden/>
    <w:unhideWhenUsed/>
    <w:rsid w:val="00DF0597"/>
    <w:rPr>
      <w:color w:val="605E5C"/>
      <w:shd w:val="clear" w:color="auto" w:fill="E1DFDD"/>
    </w:rPr>
  </w:style>
  <w:style w:type="table" w:customStyle="1" w:styleId="TableGrid1">
    <w:name w:val="Table Grid1"/>
    <w:basedOn w:val="TableNormal"/>
    <w:next w:val="TableGrid"/>
    <w:uiPriority w:val="39"/>
    <w:rsid w:val="00082A28"/>
    <w:rPr>
      <w:rFonts w:ascii="Calibri" w:hAnsi="Calibri" w:cs="Calibri"/>
      <w:sz w:val="24"/>
      <w:szCs w:val="24"/>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763308">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504246511">
      <w:bodyDiv w:val="1"/>
      <w:marLeft w:val="0"/>
      <w:marRight w:val="0"/>
      <w:marTop w:val="0"/>
      <w:marBottom w:val="0"/>
      <w:divBdr>
        <w:top w:val="none" w:sz="0" w:space="0" w:color="auto"/>
        <w:left w:val="none" w:sz="0" w:space="0" w:color="auto"/>
        <w:bottom w:val="none" w:sz="0" w:space="0" w:color="auto"/>
        <w:right w:val="none" w:sz="0" w:space="0" w:color="auto"/>
      </w:divBdr>
    </w:div>
    <w:div w:id="812061239">
      <w:bodyDiv w:val="1"/>
      <w:marLeft w:val="0"/>
      <w:marRight w:val="0"/>
      <w:marTop w:val="0"/>
      <w:marBottom w:val="0"/>
      <w:divBdr>
        <w:top w:val="none" w:sz="0" w:space="0" w:color="auto"/>
        <w:left w:val="none" w:sz="0" w:space="0" w:color="auto"/>
        <w:bottom w:val="none" w:sz="0" w:space="0" w:color="auto"/>
        <w:right w:val="none" w:sz="0" w:space="0" w:color="auto"/>
      </w:divBdr>
    </w:div>
    <w:div w:id="1001591456">
      <w:bodyDiv w:val="1"/>
      <w:marLeft w:val="0"/>
      <w:marRight w:val="0"/>
      <w:marTop w:val="0"/>
      <w:marBottom w:val="0"/>
      <w:divBdr>
        <w:top w:val="none" w:sz="0" w:space="0" w:color="auto"/>
        <w:left w:val="none" w:sz="0" w:space="0" w:color="auto"/>
        <w:bottom w:val="none" w:sz="0" w:space="0" w:color="auto"/>
        <w:right w:val="none" w:sz="0" w:space="0" w:color="auto"/>
      </w:divBdr>
      <w:divsChild>
        <w:div w:id="905841773">
          <w:marLeft w:val="0"/>
          <w:marRight w:val="0"/>
          <w:marTop w:val="0"/>
          <w:marBottom w:val="0"/>
          <w:divBdr>
            <w:top w:val="none" w:sz="0" w:space="0" w:color="auto"/>
            <w:left w:val="none" w:sz="0" w:space="0" w:color="auto"/>
            <w:bottom w:val="none" w:sz="0" w:space="0" w:color="auto"/>
            <w:right w:val="none" w:sz="0" w:space="0" w:color="auto"/>
          </w:divBdr>
          <w:divsChild>
            <w:div w:id="668215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5748693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1.xml"/><Relationship Id="rId26" Type="http://schemas.openxmlformats.org/officeDocument/2006/relationships/hyperlink" Target="https://www.college.police.uk/app/major-investigation-and-public-protection/domestic-abuse/arrest-and-other-positive-approaches" TargetMode="External"/><Relationship Id="rId3" Type="http://schemas.openxmlformats.org/officeDocument/2006/relationships/customXml" Target="../customXml/item3.xml"/><Relationship Id="rId21" Type="http://schemas.openxmlformats.org/officeDocument/2006/relationships/footer" Target="footer2.xm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2.png"/><Relationship Id="rId25" Type="http://schemas.openxmlformats.org/officeDocument/2006/relationships/hyperlink" Target="https://www.college.police.uk/app/major-investigation-and-public-protection/domestic-abuse/using-domestic-violence-protection-notices-and-domestic-violence-protection-orders-make-victims-safer"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footer" Target="footer1.xml"/><Relationship Id="rId29" Type="http://schemas.openxmlformats.org/officeDocument/2006/relationships/hyperlink" Target="https://www.gov.uk/government/news/major-review-of-police-response-to-domestic-viole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clares-law.com/what-is-clares-law/" TargetMode="External"/><Relationship Id="rId32" Type="http://schemas.openxmlformats.org/officeDocument/2006/relationships/hyperlink" Target="https://www.womensaid.org.uk/information-support/the-survivors-handbook/police-and-the-cps/" TargetMode="External"/><Relationship Id="rId5" Type="http://schemas.openxmlformats.org/officeDocument/2006/relationships/numbering" Target="numbering.xml"/><Relationship Id="rId15" Type="http://schemas.openxmlformats.org/officeDocument/2006/relationships/hyperlink" Target="https://gbr01.safelinks.protection.outlook.com/?url=http%3A%2F%2Fons.gov.uk%2F&amp;data=05%7C01%7Cevan.meadows1%40south-wales.police.uk%7C1151796e314f406a48d108dad47aa88e%7C270c2f4dfd0c4f0892a9e5bdd8a87e09%7C0%7C0%7C638055920553317831%7CUnknown%7CTWFpbGZsb3d8eyJWIjoiMC4wLjAwMDAiLCJQIjoiV2luMzIiLCJBTiI6Ik1haWwiLCJXVCI6Mn0%3D%7C3000%7C%7C%7C&amp;sdata=1xR%2FWruX4%2FW3JJfqyWDutJNfSr3c0qqANIhCqxKgqsI%3D&amp;reserved=0" TargetMode="External"/><Relationship Id="rId23" Type="http://schemas.openxmlformats.org/officeDocument/2006/relationships/footer" Target="footer3.xml"/><Relationship Id="rId28" Type="http://schemas.openxmlformats.org/officeDocument/2006/relationships/hyperlink" Target="http://www.jstor.org/stable/10.3138/9781442683402.11.%20Accessed%2021%20Sep.%202022" TargetMode="External"/><Relationship Id="rId10" Type="http://schemas.openxmlformats.org/officeDocument/2006/relationships/endnotes" Target="endnotes.xml"/><Relationship Id="rId19" Type="http://schemas.openxmlformats.org/officeDocument/2006/relationships/header" Target="header2.xml"/><Relationship Id="rId31" Type="http://schemas.openxmlformats.org/officeDocument/2006/relationships/hyperlink" Target="https://www.womensaid.org.uk/information-support/what-is-domestic-abuse/women-leav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eader" Target="header3.xml"/><Relationship Id="rId27" Type="http://schemas.openxmlformats.org/officeDocument/2006/relationships/hyperlink" Target="https://www.college.police.uk/app/major-investigation-and-public-protection/domestic-abuse/first-response" TargetMode="External"/><Relationship Id="rId30" Type="http://schemas.openxmlformats.org/officeDocument/2006/relationships/hyperlink" Target="https://www.legislation.gov.uk/ukpga/2015/9/section/76/enacted" TargetMode="External"/><Relationship Id="rId35" Type="http://schemas.microsoft.com/office/2020/10/relationships/intelligence" Target="intelligence2.xml"/><Relationship Id="rId8" Type="http://schemas.openxmlformats.org/officeDocument/2006/relationships/webSettings" Target="web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0-20T19:31:06.202"/>
    </inkml:context>
    <inkml:brush xml:id="br0">
      <inkml:brushProperty name="width" value="0.05" units="cm"/>
      <inkml:brushProperty name="height" value="0.05" units="cm"/>
    </inkml:brush>
  </inkml:definitions>
  <inkml:trace contextRef="#ctx0" brushRef="#br0">195 477 6249 0 0,'0'0'65'0'0,"0"0"-1"0"0,1 0 1 0 0,-1 0-1 0 0,0 0 1 0 0,0 0-1 0 0,0 0 0 0 0,1 0 1 0 0,-1 0-1 0 0,0 0 1 0 0,0 0-1 0 0,0 0 1 0 0,1 0-1 0 0,-1 0 0 0 0,0 0 1 0 0,0 0-1 0 0,0 0 1 0 0,1 0-1 0 0,-1 0 1 0 0,0 0-1 0 0,0 0 0 0 0,0 0 1 0 0,1 0-1 0 0,-1 0 1 0 0,0 1-1 0 0,0-1 1 0 0,0 0-1 0 0,0 0 0 0 0,1 0 1 0 0,-1 0-1 0 0,0 0 1 0 0,0 0-1 0 0,0 1 1 0 0,0-1-1 0 0,0 0 1 0 0,0 0-1 0 0,1 0 0 0 0,-1 1 1 0 0,0-1-1 0 0,0 0 1 0 0,0 0-1 0 0,0 0 1 0 0,0 1-1 0 0,4 15 482 0 0,-2 18-631 0 0,-5-20 231 0 0,0 0 1 0 0,-1 0 0 0 0,0-1-1 0 0,-1 1 1 0 0,-10 18 0 0 0,-41 64 1073 0 0,17-31-448 0 0,20-31-269 0 0,-19 50-1 0 0,34-72-464 0 0,-1 1 1 0 0,2-1-1 0 0,0 1 0 0 0,0 0 0 0 0,1-1 1 0 0,1 1-1 0 0,0 26 0 0 0,2-32-40 0 0,1 0 0 0 0,-1 0 0 0 0,1 0 0 0 0,1-1 0 0 0,-1 1 0 0 0,1-1 0 0 0,0 1 0 0 0,8 11 0 0 0,-4-8-10 0 0,0 0 0 0 0,1 0 1 0 0,0-1-1 0 0,12 10 0 0 0,3-1-11 0 0,1 0 0 0 0,0-2 0 0 0,1-1 0 0 0,0-1 0 0 0,2-1 0 0 0,-1-1 0 0 0,1-2-1 0 0,42 11 1 0 0,-40-14-250 0 0,1-1 0 0 0,0-1 0 0 0,0-2-1 0 0,0-1 1 0 0,1-1 0 0 0,-1-1-1 0 0,0-2 1 0 0,33-7 0 0 0,-27 0-250 0 0,-5-4-136 0 0</inkml:trace>
  <inkml:trace contextRef="#ctx0" brushRef="#br0" timeOffset="453.06">237 384 9282 0 0,'9'-13'3544'0'0,"-8"12"-3514"0"0,0-1-1 0 0,0 0 1 0 0,1 1 0 0 0,-1-1-1 0 0,0 1 1 0 0,0 0-1 0 0,1-1 1 0 0,-1 1-1 0 0,1 0 1 0 0,-1 0-1 0 0,1 0 1 0 0,-1 0 0 0 0,4-2-1 0 0,66-19-884 0 0,-13 5-517 0 0,-35 8 1244 0 0,0 1-1 0 0,1 2 1 0 0,0 0-1 0 0,0 2 1 0 0,1 0 0 0 0,30 0-1 0 0,121 15-3216 0 0,-157-11 2193 0 0</inkml:trace>
  <inkml:trace contextRef="#ctx0" brushRef="#br0" timeOffset="906.12">23 873 8402 0 0,'1'-1'179'0'0,"-1"0"1"0"0,1 0 0 0 0,-1 1-1 0 0,1-1 1 0 0,-1 0 0 0 0,1 0-1 0 0,-1 1 1 0 0,1-1 0 0 0,0 1-1 0 0,-1-1 1 0 0,1 0 0 0 0,0 1-1 0 0,0-1 1 0 0,-1 1 0 0 0,1-1-1 0 0,0 1 1 0 0,0 0 0 0 0,0-1-1 0 0,0 1 1 0 0,0 0 0 0 0,1-1-1 0 0,26-6-913 0 0,-22 6 1025 0 0,49-13-678 0 0,70-7 1 0 0,-102 19 92 0 0,1 1 1 0 0,-1 0-1 0 0,0 2 1 0 0,1 1-1 0 0,41 9 1 0 0,-63-11 241 0 0,14 5-732 0 0,0-1 0 0 0,0-1-1 0 0,1-1 1 0 0,-1 0 0 0 0,1-1 0 0 0,28-2-1 0 0,-26-4-113 0 0</inkml:trace>
  <inkml:trace contextRef="#ctx0" brushRef="#br0" timeOffset="1374.8">688 409 8610 0 0,'-9'-8'3290'0'0,"0"0"-1220"0"0,16 22-2269 0 0,25 44-2812 0 0,50 122 0 0 0,-61-118 3597 0 0,-2 0 0 0 0,12 70 0 0 0,-26-103-45 0 0,4 17 168 0 0,-2 0 0 0 0,2 60 0 0 0,-9-103-764 0 0,0 0 0 0 0,0 0 0 0 0,-1-1 0 0 0,1 1 1 0 0,-1 0-1 0 0,0 0 0 0 0,-1 5 0 0 0,2-8 46 0 0,0 0-1 0 0,0 0 0 0 0,0 0 1 0 0,0 0-1 0 0,0 0 1 0 0,0 1-1 0 0,0-1 1 0 0,-1 0-1 0 0,1 0 0 0 0,0 0 1 0 0,0 0-1 0 0,0 0 1 0 0,0 0-1 0 0,0 0 1 0 0,0 0-1 0 0,0 0 0 0 0,0 0 1 0 0,0 0-1 0 0,0 1 1 0 0,0-1-1 0 0,0 0 1 0 0,0 0-1 0 0,0 0 0 0 0,-1 0 1 0 0,1 0-1 0 0,0 0 1 0 0,0 0-1 0 0,0 0 1 0 0,0 0-1 0 0,0 0 0 0 0,0 0 1 0 0,0 0-1 0 0,0 0 1 0 0,-1 0-1 0 0,1 0 1 0 0,0 0-1 0 0,0 0 0 0 0,0 0 1 0 0,0 0-1 0 0,0 0 1 0 0,0 0-1 0 0,0 0 0 0 0,0 0 1 0 0,0 0-1 0 0,-1 0 1 0 0,1 0-1 0 0,0 0 1 0 0,0 0-1 0 0,0 0 0 0 0,0 0 1 0 0,0 0-1 0 0,0-1 1 0 0,0 1-1 0 0,0 0 1 0 0,0 0-1 0 0,0 0 0 0 0,0 0 1 0 0,-1 0-1 0 0,-1-15-353 0 0,1-19 314 0 0,3 1 1 0 0,6-44 0 0 0,-1 21 115 0 0,34-266 615 0 0,-33 274-523 0 0,1 1 1 0 0,25-72-1 0 0,-28 104-159 0 0,0 0 1 0 0,0 1-1 0 0,2 0 1 0 0,-1 0-1 0 0,2 0 1 0 0,0 1-1 0 0,0 1 1 0 0,1-1-1 0 0,1 2 1 0 0,0-1-1 0 0,22-16 1 0 0,-27 24-16 0 0,1 0 0 0 0,-1 0 1 0 0,1 1-1 0 0,0 0 0 0 0,0 0 0 0 0,0 1 1 0 0,0 0-1 0 0,0 0 0 0 0,1 0 0 0 0,-1 1 1 0 0,1 0-1 0 0,-1 1 0 0 0,1 0 0 0 0,-1 0 1 0 0,1 0-1 0 0,-1 1 0 0 0,1 0 0 0 0,-1 1 1 0 0,0-1-1 0 0,13 6 0 0 0,-14-5 8 0 0,-1 1-1 0 0,1 0 0 0 0,0 0 1 0 0,-1 0-1 0 0,1 1 1 0 0,-1 0-1 0 0,0 0 0 0 0,0 1 1 0 0,-1-1-1 0 0,1 1 1 0 0,-1 0-1 0 0,0 0 0 0 0,0 0 1 0 0,-1 1-1 0 0,1-1 1 0 0,-1 1-1 0 0,-1 0 0 0 0,1 0 1 0 0,-1 0-1 0 0,0 0 1 0 0,0 1-1 0 0,-1-1 0 0 0,2 13 1 0 0,-3-14 4 0 0,0 0 1 0 0,0 0-1 0 0,-1 1 1 0 0,1-1-1 0 0,-1 0 0 0 0,0 0 1 0 0,-1 0-1 0 0,1 0 1 0 0,-1-1-1 0 0,0 1 1 0 0,0 0-1 0 0,-5 6 0 0 0,-3 4 12 0 0,-1 0-1 0 0,-15 15 1 0 0,15-18 4 0 0,-13 14 53 0 0,-2-1 1 0 0,-1-1-1 0 0,-1-1 0 0 0,-1-2 0 0 0,-1-1 1 0 0,-1-1-1 0 0,0-1 0 0 0,-38 14 0 0 0,61-29-201 0 0,0 0-1 0 0,0 0 0 0 0,0-1 1 0 0,0-1-1 0 0,0 1 0 0 0,0-1 1 0 0,-1-1-1 0 0,1 0 0 0 0,0 0 1 0 0,0 0-1 0 0,-1-1 0 0 0,-13-3 0 0 0,3-2-645 0 0,1 0-1 0 0,0-1 1 0 0,0-1-1 0 0,-20-12 0 0 0,16 7-462 0 0</inkml:trace>
  <inkml:trace contextRef="#ctx0" brushRef="#br0" timeOffset="1702.89">1583 306 2336 0 0,'-14'9'225'0'0,"-2"0"-690"0"0,0 2 409 0 0,1-1-392 0 0,1-2-136 0 0</inkml:trace>
  <inkml:trace contextRef="#ctx0" brushRef="#br0" timeOffset="2624.64">1379 332 5937 0 0,'-1'-7'4709'0'0,"1"24"-4305"0"0,1 0-417 0 0,0-1-141 0 0,-1 1 0 0 0,0-1 0 0 0,-1 1 0 0 0,-3 18 1 0 0,-38 287-233 0 0,42-315 447 0 0,0-1 1 0 0,0 1-1 0 0,0 0 0 0 0,1-1 1 0 0,0 1-1 0 0,1 0 1 0 0,2 7-1 0 0,-4-13-54 0 0,0 0 0 0 0,1 1 0 0 0,-1-1 0 0 0,0 0 0 0 0,1 0 0 0 0,-1 1 0 0 0,1-1 0 0 0,0 0 0 0 0,-1 0 0 0 0,1 0 0 0 0,0 0 0 0 0,0 0 0 0 0,0 0 0 0 0,0 0 0 0 0,0 0 0 0 0,0 0 0 0 0,0-1 0 0 0,0 1 0 0 0,0 0 0 0 0,0-1 0 0 0,0 1 0 0 0,0 0 0 0 0,0-1 0 0 0,1 0 0 0 0,-1 1-1 0 0,0-1 1 0 0,0 0 0 0 0,1 1 0 0 0,-1-1 0 0 0,0 0 0 0 0,1 0 0 0 0,-1 0 0 0 0,0 0 0 0 0,0 0 0 0 0,1 0 0 0 0,-1-1 0 0 0,0 1 0 0 0,0 0 0 0 0,1-1 0 0 0,-1 1 0 0 0,2-2 0 0 0,3-1 15 0 0,1 0 0 0 0,-1-1 0 0 0,0 0 0 0 0,0-1 0 0 0,0 1 0 0 0,-1-1 0 0 0,0 0 0 0 0,9-11 0 0 0,0-3 43 0 0,16-29 1 0 0,-6 9 12 0 0,145-240 310 0 0,-99 166-195 0 0,43-62 340 0 0,-90 141-377 0 0,-10 15 8 0 0,21-25 1 0 0,-30 39-131 0 0,0 1-1 0 0,0-1 1 0 0,1 1-1 0 0,0 1 1 0 0,0-1 0 0 0,0 0-1 0 0,0 1 1 0 0,0 0-1 0 0,1 0 1 0 0,6-1-1 0 0,-11 3-30 0 0,0 1-1 0 0,1-1 0 0 0,-1 1 0 0 0,1 0 0 0 0,-1 0 0 0 0,0-1 0 0 0,1 1 0 0 0,-1 0 0 0 0,0 0 0 0 0,1 0 0 0 0,-1 1 0 0 0,1-1 0 0 0,-1 0 0 0 0,0 0 0 0 0,1 1 0 0 0,-1-1 0 0 0,0 1 0 0 0,1-1 0 0 0,-1 1 1 0 0,0 0-1 0 0,0-1 0 0 0,0 1 0 0 0,0 0 0 0 0,0 0 0 0 0,1 0 0 0 0,-1 0 0 0 0,-1 0 0 0 0,1 0 0 0 0,0 0 0 0 0,0 0 0 0 0,0 0 0 0 0,-1 1 0 0 0,1-1 0 0 0,0 0 0 0 0,-1 0 0 0 0,1 2 0 0 0,2 5-9 0 0,-1 0 0 0 0,0 0 0 0 0,0 0 0 0 0,1 14 0 0 0,-3-21 6 0 0,3 57-23 0 0,-4 0-1 0 0,-13 110 0 0 0,7-107 33 0 0,0 11 52 0 0,-2 0 364 0 0,2 140-1 0 0,7-205-387 0 0,1-1 1 0 0,-1 1-1 0 0,1-1 0 0 0,1 0 1 0 0,-1 1-1 0 0,1-1 1 0 0,0 0-1 0 0,1 0 1 0 0,0 0-1 0 0,0 0 1 0 0,5 8-1 0 0,-6-12-31 0 0,0 0-1 0 0,0 0 1 0 0,0 0-1 0 0,0-1 1 0 0,0 1-1 0 0,0-1 1 0 0,0 1-1 0 0,0-1 1 0 0,1 0-1 0 0,-1 0 1 0 0,0 0-1 0 0,1 0 1 0 0,-1 0-1 0 0,1 0 1 0 0,-1-1-1 0 0,1 0 1 0 0,-1 1-1 0 0,1-1 1 0 0,-1 0-1 0 0,1 0 1 0 0,0 0-1 0 0,-1 0 1 0 0,1-1-1 0 0,-1 1 1 0 0,1-1 0 0 0,-1 1-1 0 0,1-1 1 0 0,-1 0-1 0 0,0 0 1 0 0,4-2-1 0 0,4-2-3 0 0,-1 0 0 0 0,1-1 0 0 0,-1 0 0 0 0,0-1 0 0 0,0 0 0 0 0,11-11 0 0 0,42-52-23 0 0,85-133-13 0 0,-70 94 85 0 0,-68 95-27 0 0,1 0-1 0 0,0 1 1 0 0,1 1 0 0 0,1 0-1 0 0,25-21 1 0 0,-36 32-21 0 0,-1 1-1 0 0,1-1 1 0 0,0 1 0 0 0,0-1-1 0 0,0 1 1 0 0,0 0-1 0 0,-1-1 1 0 0,1 1 0 0 0,0 0-1 0 0,0-1 1 0 0,0 1 0 0 0,0 0-1 0 0,0 0 1 0 0,0 0-1 0 0,0 0 1 0 0,0 0 0 0 0,0 0-1 0 0,0 0 1 0 0,0 0 0 0 0,0 0-1 0 0,0 1 1 0 0,0-1-1 0 0,0 0 1 0 0,1 1 0 0 0,-1 0-1 0 0,0 0 0 0 0,0 0 0 0 0,0 0 0 0 0,0 0 0 0 0,0 1 0 0 0,0-1 0 0 0,-1 0 0 0 0,1 0 0 0 0,0 0 0 0 0,-1 1 0 0 0,1-1 0 0 0,-1 0 0 0 0,1 1 0 0 0,0 1 0 0 0,0 5-3 0 0,0-1 0 0 0,0 1 0 0 0,-1-1 0 0 0,0 15-1 0 0,-9 48-70 0 0,-27 110 0 0 0,-34 68 3 0 0,-3 6 584 0 0,73-253-505 0 0,-6 32 194 0 0,6-33-196 0 0,0 1-1 0 0,0 0 0 0 0,0-1 1 0 0,-1 1-1 0 0,1 0 1 0 0,0-1-1 0 0,0 1 0 0 0,0 0 1 0 0,0 0-1 0 0,0-1 0 0 0,0 1 1 0 0,1 0-1 0 0,-1-1 0 0 0,0 1 1 0 0,0 0-1 0 0,0-1 1 0 0,1 1-1 0 0,-1-1 0 0 0,0 1 1 0 0,1 0-1 0 0,-1-1 0 0 0,0 1 1 0 0,1-1-1 0 0,-1 1 1 0 0,1-1-1 0 0,-1 1 0 0 0,1-1 1 0 0,-1 1-1 0 0,1-1 0 0 0,-1 1 1 0 0,1-1-1 0 0,-1 0 0 0 0,1 1 1 0 0,0-1-1 0 0,-1 0 1 0 0,2 1-1 0 0,1-2-12 0 0,0-1 1 0 0,0 1-1 0 0,-1-1 1 0 0,1 0-1 0 0,-1 0 1 0 0,1 0-1 0 0,-1 0 1 0 0,1 0-1 0 0,-1 0 1 0 0,0-1-1 0 0,2-3 1 0 0,4-2-24 0 0,41-46-59 0 0,-47 53 92 0 0,-1 0 0 0 0,1 1 0 0 0,-1-1-1 0 0,1 0 1 0 0,-1 0 0 0 0,1 1 0 0 0,0-1-1 0 0,-1 1 1 0 0,1-1 0 0 0,0 1 0 0 0,0 0-1 0 0,-1-1 1 0 0,1 1 0 0 0,0 0 0 0 0,0 0-1 0 0,-1 1 1 0 0,1-1 0 0 0,0 0 0 0 0,0 0-1 0 0,-1 1 1 0 0,1-1 0 0 0,0 1 0 0 0,-1 0-1 0 0,1-1 1 0 0,0 1 0 0 0,1 1 0 0 0,-1-1 2 0 0,0 0 0 0 0,0 0 0 0 0,1 0-1 0 0,-1 0 1 0 0,0-1 0 0 0,1 1 0 0 0,-1-1 0 0 0,0 0 0 0 0,1 1 0 0 0,-1-1 0 0 0,0 0 0 0 0,1 0 0 0 0,-1-1 0 0 0,3 0 0 0 0,12-7-2 0 0,-1-1 1 0 0,0 0-1 0 0,-1-1 1 0 0,0-1-1 0 0,23-23 1 0 0,19-11-24 0 0,-30 24 2 0 0,32-20 6 0 0,-53 37 2 0 0,0 1 1 0 0,1 0-1 0 0,0 0 1 0 0,-1 0-1 0 0,1 1 1 0 0,0 0-1 0 0,11-1 1 0 0,-17 2 4 0 0,0 1-1 0 0,0 0 1 0 0,0 0 0 0 0,0 0 0 0 0,0 0-1 0 0,0 0 1 0 0,0 1 0 0 0,0-1 0 0 0,0 0 0 0 0,0 0-1 0 0,0 1 1 0 0,0-1 0 0 0,-1 0 0 0 0,1 1-1 0 0,0-1 1 0 0,0 1 0 0 0,0-1 0 0 0,-1 1-1 0 0,1-1 1 0 0,0 1 0 0 0,0 0 0 0 0,-1-1-1 0 0,1 1 1 0 0,0 1 0 0 0,1 0-5 0 0,-1 1 0 0 0,0-1 1 0 0,0 0-1 0 0,0 1 0 0 0,0-1 1 0 0,-1 1-1 0 0,1-1 0 0 0,-1 1 0 0 0,1 3 1 0 0,-1 6-20 0 0,0 0 1 0 0,-1 0-1 0 0,-2 12 0 0 0,3-21 23 0 0,-4 28-15 0 0,-14 153 666 0 0,18-177-560 0 0,0-1 0 0 0,0 1 0 0 0,1-1 0 0 0,0 1 0 0 0,0-1 0 0 0,1 0 0 0 0,-1 1 0 0 0,1-1 0 0 0,1 0 0 0 0,-1 0 0 0 0,1 0 0 0 0,6 9 0 0 0,-6-11-42 0 0,0-1 0 0 0,0 1 0 0 0,1-1 0 0 0,0 1 0 0 0,-1-1 0 0 0,1 0 1 0 0,0 0-1 0 0,0-1 0 0 0,1 1 0 0 0,-1-1 0 0 0,1 0 0 0 0,-1 0 0 0 0,1-1 0 0 0,-1 1 0 0 0,1-1 0 0 0,0 0 0 0 0,9 1 0 0 0,11 0-27 0 0,0-2-1 0 0,0 0 1 0 0,0-2-1 0 0,0-1 1 0 0,41-10-1 0 0,122-44-57 0 0,-163 48 35 0 0,177-57 94 0 0,3 8 0 0 0,398-57-1 0 0,206 46 633 0 0,3 34-2437 0 0,-239 29-1979 0 0,-386 6 1702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6264</Words>
  <Characters>38458</Characters>
  <Application>Microsoft Office Word</Application>
  <DocSecurity>0</DocSecurity>
  <Lines>320</Lines>
  <Paragraphs>89</Paragraphs>
  <ScaleCrop>false</ScaleCrop>
  <Company>Powys County Council</Company>
  <LinksUpToDate>false</LinksUpToDate>
  <CharactersWithSpaces>44633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Meadows,Evan swp6956</cp:lastModifiedBy>
  <cp:revision>2</cp:revision>
  <cp:lastPrinted>2014-08-26T08:55:00Z</cp:lastPrinted>
  <dcterms:created xsi:type="dcterms:W3CDTF">2022-12-03T18:24:00Z</dcterms:created>
  <dcterms:modified xsi:type="dcterms:W3CDTF">2022-12-03T18:24:00Z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2022-09-21T19:49:34Z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ccf54c38-4656-4122-9116-1cd711c525ec</vt:lpwstr>
  </property>
  <property fmtid="{D5CDD505-2E9C-101B-9397-08002B2CF9AE}" pid="9" name="MSIP_Label_66cf8fe5-b7b7-4df7-b38d-1c61ac2f6639_ContentBits">
    <vt:lpwstr>0</vt:lpwstr>
  </property>
</Properties>
</file>