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42C99" w14:textId="131FC052" w:rsidR="007625B8" w:rsidRDefault="007625B8" w:rsidP="007625B8">
      <w:pPr>
        <w:jc w:val="center"/>
        <w:rPr>
          <w:b/>
          <w:bCs/>
          <w:color w:val="000000"/>
          <w:sz w:val="48"/>
          <w:szCs w:val="48"/>
        </w:rPr>
      </w:pPr>
      <w:r>
        <w:rPr>
          <w:b/>
          <w:bCs/>
          <w:noProof/>
          <w:color w:val="000000"/>
          <w:sz w:val="48"/>
          <w:szCs w:val="48"/>
        </w:rPr>
        <w:drawing>
          <wp:inline distT="0" distB="0" distL="0" distR="0" wp14:anchorId="4421BF4A" wp14:editId="41745C03">
            <wp:extent cx="2453640" cy="2143125"/>
            <wp:effectExtent l="0" t="0" r="3810" b="9525"/>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2453640" cy="2143125"/>
                    </a:xfrm>
                    <a:prstGeom prst="rect">
                      <a:avLst/>
                    </a:prstGeom>
                  </pic:spPr>
                </pic:pic>
              </a:graphicData>
            </a:graphic>
          </wp:inline>
        </w:drawing>
      </w:r>
    </w:p>
    <w:p w14:paraId="51D3799B" w14:textId="047DE5C3" w:rsidR="00E01B8C" w:rsidRPr="007625B8" w:rsidRDefault="00E01B8C" w:rsidP="007625B8">
      <w:pPr>
        <w:jc w:val="center"/>
        <w:rPr>
          <w:b/>
          <w:bCs/>
          <w:color w:val="000000"/>
          <w:sz w:val="48"/>
          <w:szCs w:val="48"/>
        </w:rPr>
      </w:pPr>
      <w:r w:rsidRPr="007625B8">
        <w:rPr>
          <w:b/>
          <w:bCs/>
          <w:color w:val="000000"/>
          <w:sz w:val="48"/>
          <w:szCs w:val="48"/>
        </w:rPr>
        <w:t>Community Engagement</w:t>
      </w:r>
    </w:p>
    <w:p w14:paraId="7787D3DB" w14:textId="1D371309" w:rsidR="00E01B8C" w:rsidRPr="007625B8" w:rsidRDefault="00E01B8C" w:rsidP="0013209A">
      <w:pPr>
        <w:jc w:val="center"/>
        <w:rPr>
          <w:b/>
          <w:bCs/>
          <w:color w:val="000000"/>
          <w:sz w:val="48"/>
          <w:szCs w:val="48"/>
        </w:rPr>
      </w:pPr>
      <w:r w:rsidRPr="007625B8">
        <w:rPr>
          <w:b/>
          <w:bCs/>
          <w:color w:val="000000"/>
          <w:sz w:val="48"/>
          <w:szCs w:val="48"/>
        </w:rPr>
        <w:t>Module code: LCBB4002</w:t>
      </w:r>
    </w:p>
    <w:p w14:paraId="4AC3ECE8" w14:textId="77777777" w:rsidR="007625B8" w:rsidRDefault="00E01B8C" w:rsidP="007625B8">
      <w:pPr>
        <w:jc w:val="center"/>
        <w:rPr>
          <w:b/>
          <w:bCs/>
          <w:color w:val="000000"/>
          <w:sz w:val="48"/>
          <w:szCs w:val="48"/>
        </w:rPr>
      </w:pPr>
      <w:r w:rsidRPr="007625B8">
        <w:rPr>
          <w:b/>
          <w:bCs/>
          <w:color w:val="000000"/>
          <w:sz w:val="48"/>
          <w:szCs w:val="48"/>
        </w:rPr>
        <w:t xml:space="preserve">Assignment Title: </w:t>
      </w:r>
    </w:p>
    <w:p w14:paraId="38D79B8B" w14:textId="77777777" w:rsidR="0053556F" w:rsidRDefault="00E01B8C" w:rsidP="007625B8">
      <w:pPr>
        <w:jc w:val="center"/>
        <w:rPr>
          <w:b/>
          <w:bCs/>
          <w:color w:val="000000"/>
          <w:sz w:val="48"/>
          <w:szCs w:val="48"/>
        </w:rPr>
      </w:pPr>
      <w:r w:rsidRPr="007625B8">
        <w:rPr>
          <w:b/>
          <w:bCs/>
          <w:color w:val="000000"/>
          <w:sz w:val="48"/>
          <w:szCs w:val="48"/>
        </w:rPr>
        <w:t xml:space="preserve">Assessment 2 </w:t>
      </w:r>
    </w:p>
    <w:p w14:paraId="520A8793" w14:textId="4276E6C8" w:rsidR="00E01B8C" w:rsidRPr="007625B8" w:rsidRDefault="00E01B8C" w:rsidP="0053556F">
      <w:pPr>
        <w:jc w:val="center"/>
        <w:rPr>
          <w:b/>
          <w:bCs/>
          <w:color w:val="000000"/>
          <w:sz w:val="48"/>
          <w:szCs w:val="48"/>
        </w:rPr>
      </w:pPr>
      <w:r w:rsidRPr="007625B8">
        <w:rPr>
          <w:b/>
          <w:bCs/>
          <w:color w:val="000000"/>
          <w:sz w:val="48"/>
          <w:szCs w:val="48"/>
        </w:rPr>
        <w:t>Community Engagement</w:t>
      </w:r>
    </w:p>
    <w:p w14:paraId="78FFE81E" w14:textId="381C5301" w:rsidR="00E01B8C" w:rsidRDefault="00E01B8C" w:rsidP="007625B8">
      <w:pPr>
        <w:jc w:val="center"/>
        <w:rPr>
          <w:b/>
          <w:bCs/>
          <w:sz w:val="48"/>
          <w:szCs w:val="48"/>
        </w:rPr>
      </w:pPr>
      <w:r w:rsidRPr="007625B8">
        <w:rPr>
          <w:b/>
          <w:bCs/>
          <w:sz w:val="48"/>
          <w:szCs w:val="48"/>
        </w:rPr>
        <w:t>Student ID:</w:t>
      </w:r>
      <w:r w:rsidR="0053556F">
        <w:rPr>
          <w:b/>
          <w:bCs/>
          <w:sz w:val="48"/>
          <w:szCs w:val="48"/>
        </w:rPr>
        <w:t>2112679</w:t>
      </w:r>
    </w:p>
    <w:p w14:paraId="31A91452" w14:textId="36E06F1B" w:rsidR="0053556F" w:rsidRDefault="0053556F" w:rsidP="007625B8">
      <w:pPr>
        <w:jc w:val="center"/>
        <w:rPr>
          <w:b/>
          <w:bCs/>
          <w:sz w:val="48"/>
          <w:szCs w:val="48"/>
        </w:rPr>
      </w:pPr>
      <w:r>
        <w:rPr>
          <w:b/>
          <w:bCs/>
          <w:sz w:val="48"/>
          <w:szCs w:val="48"/>
        </w:rPr>
        <w:t>Cristina Anton</w:t>
      </w:r>
    </w:p>
    <w:p w14:paraId="5B132C22" w14:textId="1F8EE565" w:rsidR="0053556F" w:rsidRPr="0013209A" w:rsidRDefault="0053556F" w:rsidP="007625B8">
      <w:pPr>
        <w:jc w:val="center"/>
        <w:rPr>
          <w:b/>
          <w:bCs/>
          <w:i/>
          <w:iCs/>
          <w:sz w:val="52"/>
          <w:szCs w:val="52"/>
        </w:rPr>
      </w:pPr>
      <w:r w:rsidRPr="0013209A">
        <w:rPr>
          <w:b/>
          <w:bCs/>
          <w:i/>
          <w:iCs/>
          <w:sz w:val="52"/>
          <w:szCs w:val="52"/>
        </w:rPr>
        <w:t>Lecturer: Dr. Faizu Edu</w:t>
      </w:r>
    </w:p>
    <w:p w14:paraId="0000000C" w14:textId="27FAAFDD" w:rsidR="0053556F" w:rsidRDefault="0053556F" w:rsidP="00E01B8C">
      <w:pPr>
        <w:sectPr w:rsidR="0053556F" w:rsidSect="007625B8">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1"/>
          <w:cols w:space="720"/>
        </w:sectPr>
      </w:pPr>
    </w:p>
    <w:p w14:paraId="03A4DFB8" w14:textId="77777777" w:rsidR="0053556F" w:rsidRDefault="0053556F" w:rsidP="00E01B8C">
      <w:pPr>
        <w:keepNext/>
        <w:keepLines/>
        <w:pBdr>
          <w:top w:val="nil"/>
          <w:left w:val="nil"/>
          <w:bottom w:val="nil"/>
          <w:right w:val="nil"/>
          <w:between w:val="nil"/>
        </w:pBdr>
        <w:spacing w:before="240" w:after="0"/>
        <w:rPr>
          <w:b/>
          <w:color w:val="000000"/>
          <w:sz w:val="32"/>
          <w:szCs w:val="32"/>
          <w:u w:val="single"/>
        </w:rPr>
      </w:pPr>
    </w:p>
    <w:p w14:paraId="67B651A9" w14:textId="77777777" w:rsidR="0053556F" w:rsidRDefault="0053556F" w:rsidP="00E01B8C">
      <w:pPr>
        <w:keepNext/>
        <w:keepLines/>
        <w:pBdr>
          <w:top w:val="nil"/>
          <w:left w:val="nil"/>
          <w:bottom w:val="nil"/>
          <w:right w:val="nil"/>
          <w:between w:val="nil"/>
        </w:pBdr>
        <w:spacing w:before="240" w:after="0"/>
        <w:rPr>
          <w:b/>
          <w:color w:val="000000"/>
          <w:sz w:val="32"/>
          <w:szCs w:val="32"/>
          <w:u w:val="single"/>
        </w:rPr>
      </w:pPr>
    </w:p>
    <w:p w14:paraId="1B2A0F3D" w14:textId="77777777" w:rsidR="0053556F" w:rsidRDefault="0053556F" w:rsidP="00E01B8C">
      <w:pPr>
        <w:keepNext/>
        <w:keepLines/>
        <w:pBdr>
          <w:top w:val="nil"/>
          <w:left w:val="nil"/>
          <w:bottom w:val="nil"/>
          <w:right w:val="nil"/>
          <w:between w:val="nil"/>
        </w:pBdr>
        <w:spacing w:before="240" w:after="0"/>
        <w:rPr>
          <w:b/>
          <w:color w:val="000000"/>
          <w:sz w:val="32"/>
          <w:szCs w:val="32"/>
          <w:u w:val="single"/>
        </w:rPr>
      </w:pPr>
    </w:p>
    <w:p w14:paraId="412E4B5D" w14:textId="77777777" w:rsidR="0053556F" w:rsidRDefault="0053556F" w:rsidP="00E01B8C">
      <w:pPr>
        <w:keepNext/>
        <w:keepLines/>
        <w:pBdr>
          <w:top w:val="nil"/>
          <w:left w:val="nil"/>
          <w:bottom w:val="nil"/>
          <w:right w:val="nil"/>
          <w:between w:val="nil"/>
        </w:pBdr>
        <w:spacing w:before="240" w:after="0"/>
        <w:rPr>
          <w:b/>
          <w:color w:val="000000"/>
          <w:sz w:val="32"/>
          <w:szCs w:val="32"/>
          <w:u w:val="single"/>
        </w:rPr>
      </w:pPr>
    </w:p>
    <w:p w14:paraId="0000000E" w14:textId="28505B19" w:rsidR="007E271C" w:rsidRDefault="00B77B73" w:rsidP="00E01B8C">
      <w:pPr>
        <w:keepNext/>
        <w:keepLines/>
        <w:pBdr>
          <w:top w:val="nil"/>
          <w:left w:val="nil"/>
          <w:bottom w:val="nil"/>
          <w:right w:val="nil"/>
          <w:between w:val="nil"/>
        </w:pBdr>
        <w:spacing w:before="240" w:after="0"/>
        <w:rPr>
          <w:b/>
          <w:color w:val="000000"/>
          <w:sz w:val="32"/>
          <w:szCs w:val="32"/>
          <w:u w:val="single"/>
        </w:rPr>
      </w:pPr>
      <w:r>
        <w:rPr>
          <w:b/>
          <w:color w:val="000000"/>
          <w:sz w:val="32"/>
          <w:szCs w:val="32"/>
          <w:u w:val="single"/>
        </w:rPr>
        <w:t>Table of Contents</w:t>
      </w:r>
      <w:r w:rsidR="003D4FD3">
        <w:rPr>
          <w:b/>
          <w:color w:val="000000"/>
          <w:sz w:val="32"/>
          <w:szCs w:val="32"/>
          <w:u w:val="single"/>
        </w:rPr>
        <w:t>:</w:t>
      </w:r>
    </w:p>
    <w:sdt>
      <w:sdtPr>
        <w:id w:val="994300428"/>
        <w:docPartObj>
          <w:docPartGallery w:val="Table of Contents"/>
          <w:docPartUnique/>
        </w:docPartObj>
      </w:sdtPr>
      <w:sdtEndPr/>
      <w:sdtContent>
        <w:p w14:paraId="238380F8" w14:textId="0E69D3B4" w:rsidR="00E01B8C" w:rsidRDefault="00B77B73">
          <w:pPr>
            <w:pStyle w:val="TOC1"/>
            <w:tabs>
              <w:tab w:val="right" w:pos="9350"/>
            </w:tabs>
            <w:rPr>
              <w:noProof/>
            </w:rPr>
          </w:pPr>
          <w:r>
            <w:fldChar w:fldCharType="begin"/>
          </w:r>
          <w:r>
            <w:instrText xml:space="preserve"> TOC \h \u \z </w:instrText>
          </w:r>
          <w:r>
            <w:fldChar w:fldCharType="separate"/>
          </w:r>
          <w:hyperlink w:anchor="_Toc100367525" w:history="1">
            <w:r w:rsidR="00E01B8C" w:rsidRPr="00080ED6">
              <w:rPr>
                <w:rStyle w:val="Hyperlink"/>
                <w:noProof/>
              </w:rPr>
              <w:t>Introduction</w:t>
            </w:r>
            <w:r w:rsidR="00E01B8C">
              <w:rPr>
                <w:noProof/>
                <w:webHidden/>
              </w:rPr>
              <w:tab/>
            </w:r>
            <w:r w:rsidR="00A62E72">
              <w:rPr>
                <w:noProof/>
                <w:webHidden/>
              </w:rPr>
              <w:t>……………………………………………………………………………………….</w:t>
            </w:r>
            <w:r w:rsidR="00E01B8C">
              <w:rPr>
                <w:noProof/>
                <w:webHidden/>
              </w:rPr>
              <w:fldChar w:fldCharType="begin"/>
            </w:r>
            <w:r w:rsidR="00E01B8C">
              <w:rPr>
                <w:noProof/>
                <w:webHidden/>
              </w:rPr>
              <w:instrText xml:space="preserve"> PAGEREF _Toc100367525 \h </w:instrText>
            </w:r>
            <w:r w:rsidR="00E01B8C">
              <w:rPr>
                <w:noProof/>
                <w:webHidden/>
              </w:rPr>
            </w:r>
            <w:r w:rsidR="00E01B8C">
              <w:rPr>
                <w:noProof/>
                <w:webHidden/>
              </w:rPr>
              <w:fldChar w:fldCharType="separate"/>
            </w:r>
            <w:r w:rsidR="0013209A">
              <w:rPr>
                <w:noProof/>
                <w:webHidden/>
              </w:rPr>
              <w:t>2</w:t>
            </w:r>
            <w:r w:rsidR="00E01B8C">
              <w:rPr>
                <w:noProof/>
                <w:webHidden/>
              </w:rPr>
              <w:fldChar w:fldCharType="end"/>
            </w:r>
          </w:hyperlink>
        </w:p>
        <w:p w14:paraId="29013C3E" w14:textId="36BEB33C" w:rsidR="00A62E72" w:rsidRPr="00A62E72" w:rsidRDefault="00A62E72" w:rsidP="00A62E72">
          <w:pPr>
            <w:rPr>
              <w:rFonts w:eastAsiaTheme="minorEastAsia"/>
              <w:noProof/>
            </w:rPr>
          </w:pPr>
          <w:r>
            <w:rPr>
              <w:rFonts w:eastAsiaTheme="minorEastAsia"/>
              <w:noProof/>
            </w:rPr>
            <w:t>The Theories explained……………………………………………………………………………2</w:t>
          </w:r>
        </w:p>
        <w:p w14:paraId="06F7648B" w14:textId="593FF3BD" w:rsidR="00E01B8C" w:rsidRDefault="0021258F" w:rsidP="00A62E72">
          <w:pPr>
            <w:pStyle w:val="TOC2"/>
            <w:tabs>
              <w:tab w:val="right" w:pos="9350"/>
            </w:tabs>
            <w:ind w:left="0"/>
            <w:rPr>
              <w:rFonts w:asciiTheme="minorHAnsi" w:eastAsiaTheme="minorEastAsia" w:hAnsiTheme="minorHAnsi" w:cstheme="minorBidi"/>
              <w:noProof/>
              <w:sz w:val="22"/>
              <w:szCs w:val="22"/>
            </w:rPr>
          </w:pPr>
          <w:hyperlink w:anchor="_Toc100367526" w:history="1">
            <w:r w:rsidR="00E01B8C" w:rsidRPr="00080ED6">
              <w:rPr>
                <w:rStyle w:val="Hyperlink"/>
                <w:bCs/>
                <w:noProof/>
              </w:rPr>
              <w:t>Comparison between two practices</w:t>
            </w:r>
            <w:r w:rsidR="00E01B8C">
              <w:rPr>
                <w:noProof/>
                <w:webHidden/>
              </w:rPr>
              <w:tab/>
            </w:r>
            <w:r w:rsidR="007625B8">
              <w:rPr>
                <w:noProof/>
                <w:webHidden/>
              </w:rPr>
              <w:t>………………………………………………………………</w:t>
            </w:r>
            <w:r w:rsidR="00E01B8C">
              <w:rPr>
                <w:noProof/>
                <w:webHidden/>
              </w:rPr>
              <w:fldChar w:fldCharType="begin"/>
            </w:r>
            <w:r w:rsidR="00E01B8C">
              <w:rPr>
                <w:noProof/>
                <w:webHidden/>
              </w:rPr>
              <w:instrText xml:space="preserve"> PAGEREF _Toc100367526 \h </w:instrText>
            </w:r>
            <w:r w:rsidR="00E01B8C">
              <w:rPr>
                <w:noProof/>
                <w:webHidden/>
              </w:rPr>
            </w:r>
            <w:r w:rsidR="00E01B8C">
              <w:rPr>
                <w:noProof/>
                <w:webHidden/>
              </w:rPr>
              <w:fldChar w:fldCharType="separate"/>
            </w:r>
            <w:r w:rsidR="0013209A">
              <w:rPr>
                <w:noProof/>
                <w:webHidden/>
              </w:rPr>
              <w:t>3</w:t>
            </w:r>
            <w:r w:rsidR="00E01B8C">
              <w:rPr>
                <w:noProof/>
                <w:webHidden/>
              </w:rPr>
              <w:fldChar w:fldCharType="end"/>
            </w:r>
          </w:hyperlink>
        </w:p>
        <w:p w14:paraId="5BD8CFAF" w14:textId="254CAD28" w:rsidR="00E01B8C" w:rsidRDefault="0021258F" w:rsidP="00A62E72">
          <w:pPr>
            <w:pStyle w:val="TOC2"/>
            <w:tabs>
              <w:tab w:val="right" w:pos="9350"/>
            </w:tabs>
            <w:ind w:left="0"/>
            <w:rPr>
              <w:rFonts w:asciiTheme="minorHAnsi" w:eastAsiaTheme="minorEastAsia" w:hAnsiTheme="minorHAnsi" w:cstheme="minorBidi"/>
              <w:noProof/>
              <w:sz w:val="22"/>
              <w:szCs w:val="22"/>
            </w:rPr>
          </w:pPr>
          <w:hyperlink w:anchor="_Toc100367527" w:history="1">
            <w:r w:rsidR="00E01B8C" w:rsidRPr="00080ED6">
              <w:rPr>
                <w:rStyle w:val="Hyperlink"/>
                <w:noProof/>
              </w:rPr>
              <w:t xml:space="preserve">What </w:t>
            </w:r>
            <w:r w:rsidR="0013209A">
              <w:rPr>
                <w:rStyle w:val="Hyperlink"/>
                <w:noProof/>
              </w:rPr>
              <w:t>different approaches could apply</w:t>
            </w:r>
            <w:r w:rsidR="00E01B8C" w:rsidRPr="00080ED6">
              <w:rPr>
                <w:rStyle w:val="Hyperlink"/>
                <w:noProof/>
              </w:rPr>
              <w:t xml:space="preserve"> and why?</w:t>
            </w:r>
            <w:r w:rsidR="00E01B8C">
              <w:rPr>
                <w:noProof/>
                <w:webHidden/>
              </w:rPr>
              <w:tab/>
            </w:r>
            <w:r w:rsidR="007625B8">
              <w:rPr>
                <w:noProof/>
                <w:webHidden/>
              </w:rPr>
              <w:t>………………………………………………...</w:t>
            </w:r>
            <w:r w:rsidR="00E01B8C">
              <w:rPr>
                <w:noProof/>
                <w:webHidden/>
              </w:rPr>
              <w:fldChar w:fldCharType="begin"/>
            </w:r>
            <w:r w:rsidR="00E01B8C">
              <w:rPr>
                <w:noProof/>
                <w:webHidden/>
              </w:rPr>
              <w:instrText xml:space="preserve"> PAGEREF _Toc100367527 \h </w:instrText>
            </w:r>
            <w:r w:rsidR="00E01B8C">
              <w:rPr>
                <w:noProof/>
                <w:webHidden/>
              </w:rPr>
            </w:r>
            <w:r w:rsidR="00E01B8C">
              <w:rPr>
                <w:noProof/>
                <w:webHidden/>
              </w:rPr>
              <w:fldChar w:fldCharType="separate"/>
            </w:r>
            <w:r w:rsidR="0013209A">
              <w:rPr>
                <w:noProof/>
                <w:webHidden/>
              </w:rPr>
              <w:t>5</w:t>
            </w:r>
            <w:r w:rsidR="00E01B8C">
              <w:rPr>
                <w:noProof/>
                <w:webHidden/>
              </w:rPr>
              <w:fldChar w:fldCharType="end"/>
            </w:r>
          </w:hyperlink>
        </w:p>
        <w:p w14:paraId="27A44657" w14:textId="086F6A3D" w:rsidR="00E01B8C" w:rsidRDefault="0021258F" w:rsidP="00A62E72">
          <w:pPr>
            <w:pStyle w:val="TOC2"/>
            <w:tabs>
              <w:tab w:val="right" w:pos="9350"/>
            </w:tabs>
            <w:ind w:left="0"/>
            <w:rPr>
              <w:rFonts w:asciiTheme="minorHAnsi" w:eastAsiaTheme="minorEastAsia" w:hAnsiTheme="minorHAnsi" w:cstheme="minorBidi"/>
              <w:noProof/>
              <w:sz w:val="22"/>
              <w:szCs w:val="22"/>
            </w:rPr>
          </w:pPr>
          <w:hyperlink w:anchor="_Toc100367528" w:history="1">
            <w:r w:rsidR="00E01B8C" w:rsidRPr="00080ED6">
              <w:rPr>
                <w:rStyle w:val="Hyperlink"/>
                <w:noProof/>
              </w:rPr>
              <w:t>The importance of active consultation, effective communication, stakeholders’ participation, and inclusion in community engagement.</w:t>
            </w:r>
            <w:r w:rsidR="00E01B8C">
              <w:rPr>
                <w:noProof/>
                <w:webHidden/>
              </w:rPr>
              <w:tab/>
            </w:r>
            <w:r w:rsidR="007625B8">
              <w:rPr>
                <w:noProof/>
                <w:webHidden/>
              </w:rPr>
              <w:t>…………………………………………………………….</w:t>
            </w:r>
            <w:r w:rsidR="00E01B8C">
              <w:rPr>
                <w:noProof/>
                <w:webHidden/>
              </w:rPr>
              <w:fldChar w:fldCharType="begin"/>
            </w:r>
            <w:r w:rsidR="00E01B8C">
              <w:rPr>
                <w:noProof/>
                <w:webHidden/>
              </w:rPr>
              <w:instrText xml:space="preserve"> PAGEREF _Toc100367528 \h </w:instrText>
            </w:r>
            <w:r w:rsidR="00E01B8C">
              <w:rPr>
                <w:noProof/>
                <w:webHidden/>
              </w:rPr>
            </w:r>
            <w:r w:rsidR="00E01B8C">
              <w:rPr>
                <w:noProof/>
                <w:webHidden/>
              </w:rPr>
              <w:fldChar w:fldCharType="separate"/>
            </w:r>
            <w:r w:rsidR="0013209A">
              <w:rPr>
                <w:noProof/>
                <w:webHidden/>
              </w:rPr>
              <w:t>6</w:t>
            </w:r>
            <w:r w:rsidR="00E01B8C">
              <w:rPr>
                <w:noProof/>
                <w:webHidden/>
              </w:rPr>
              <w:fldChar w:fldCharType="end"/>
            </w:r>
          </w:hyperlink>
        </w:p>
        <w:p w14:paraId="642B424F" w14:textId="574BD1B4" w:rsidR="00E01B8C" w:rsidRDefault="0021258F">
          <w:pPr>
            <w:pStyle w:val="TOC1"/>
            <w:tabs>
              <w:tab w:val="right" w:pos="9350"/>
            </w:tabs>
            <w:rPr>
              <w:rFonts w:asciiTheme="minorHAnsi" w:eastAsiaTheme="minorEastAsia" w:hAnsiTheme="minorHAnsi" w:cstheme="minorBidi"/>
              <w:noProof/>
              <w:sz w:val="22"/>
              <w:szCs w:val="22"/>
            </w:rPr>
          </w:pPr>
          <w:hyperlink w:anchor="_Toc100367529" w:history="1">
            <w:r w:rsidR="00E01B8C" w:rsidRPr="00080ED6">
              <w:rPr>
                <w:rStyle w:val="Hyperlink"/>
                <w:noProof/>
              </w:rPr>
              <w:t>Conclusion</w:t>
            </w:r>
            <w:r w:rsidR="00E01B8C">
              <w:rPr>
                <w:noProof/>
                <w:webHidden/>
              </w:rPr>
              <w:tab/>
            </w:r>
            <w:r w:rsidR="007625B8">
              <w:rPr>
                <w:noProof/>
                <w:webHidden/>
              </w:rPr>
              <w:t>…..……………………………………………………………………………………</w:t>
            </w:r>
            <w:r w:rsidR="00E01B8C">
              <w:rPr>
                <w:noProof/>
                <w:webHidden/>
              </w:rPr>
              <w:fldChar w:fldCharType="begin"/>
            </w:r>
            <w:r w:rsidR="00E01B8C">
              <w:rPr>
                <w:noProof/>
                <w:webHidden/>
              </w:rPr>
              <w:instrText xml:space="preserve"> PAGEREF _Toc100367529 \h </w:instrText>
            </w:r>
            <w:r w:rsidR="00E01B8C">
              <w:rPr>
                <w:noProof/>
                <w:webHidden/>
              </w:rPr>
            </w:r>
            <w:r w:rsidR="00E01B8C">
              <w:rPr>
                <w:noProof/>
                <w:webHidden/>
              </w:rPr>
              <w:fldChar w:fldCharType="separate"/>
            </w:r>
            <w:r w:rsidR="0013209A">
              <w:rPr>
                <w:noProof/>
                <w:webHidden/>
              </w:rPr>
              <w:t>8</w:t>
            </w:r>
            <w:r w:rsidR="00E01B8C">
              <w:rPr>
                <w:noProof/>
                <w:webHidden/>
              </w:rPr>
              <w:fldChar w:fldCharType="end"/>
            </w:r>
          </w:hyperlink>
        </w:p>
        <w:p w14:paraId="6A9BAE35" w14:textId="3E3F0576" w:rsidR="00E01B8C" w:rsidRDefault="0021258F">
          <w:pPr>
            <w:pStyle w:val="TOC1"/>
            <w:tabs>
              <w:tab w:val="right" w:pos="9350"/>
            </w:tabs>
            <w:rPr>
              <w:rFonts w:asciiTheme="minorHAnsi" w:eastAsiaTheme="minorEastAsia" w:hAnsiTheme="minorHAnsi" w:cstheme="minorBidi"/>
              <w:noProof/>
              <w:sz w:val="22"/>
              <w:szCs w:val="22"/>
            </w:rPr>
          </w:pPr>
          <w:hyperlink w:anchor="_Toc100367530" w:history="1">
            <w:r w:rsidR="00E01B8C" w:rsidRPr="00080ED6">
              <w:rPr>
                <w:rStyle w:val="Hyperlink"/>
                <w:noProof/>
              </w:rPr>
              <w:t>Reference</w:t>
            </w:r>
            <w:r w:rsidR="00A62E72">
              <w:rPr>
                <w:rStyle w:val="Hyperlink"/>
                <w:noProof/>
              </w:rPr>
              <w:t>s</w:t>
            </w:r>
            <w:r w:rsidR="00E01B8C">
              <w:rPr>
                <w:noProof/>
                <w:webHidden/>
              </w:rPr>
              <w:tab/>
            </w:r>
            <w:r w:rsidR="007625B8">
              <w:rPr>
                <w:noProof/>
                <w:webHidden/>
              </w:rPr>
              <w:t>………………………………………………………………………………………...</w:t>
            </w:r>
            <w:r w:rsidR="00E01B8C">
              <w:rPr>
                <w:noProof/>
                <w:webHidden/>
              </w:rPr>
              <w:fldChar w:fldCharType="begin"/>
            </w:r>
            <w:r w:rsidR="00E01B8C">
              <w:rPr>
                <w:noProof/>
                <w:webHidden/>
              </w:rPr>
              <w:instrText xml:space="preserve"> PAGEREF _Toc100367530 \h </w:instrText>
            </w:r>
            <w:r w:rsidR="00E01B8C">
              <w:rPr>
                <w:noProof/>
                <w:webHidden/>
              </w:rPr>
            </w:r>
            <w:r w:rsidR="00E01B8C">
              <w:rPr>
                <w:noProof/>
                <w:webHidden/>
              </w:rPr>
              <w:fldChar w:fldCharType="separate"/>
            </w:r>
            <w:r w:rsidR="0013209A">
              <w:rPr>
                <w:noProof/>
                <w:webHidden/>
              </w:rPr>
              <w:t>9</w:t>
            </w:r>
            <w:r w:rsidR="00E01B8C">
              <w:rPr>
                <w:noProof/>
                <w:webHidden/>
              </w:rPr>
              <w:fldChar w:fldCharType="end"/>
            </w:r>
          </w:hyperlink>
        </w:p>
        <w:p w14:paraId="00000016" w14:textId="71771B77" w:rsidR="007E271C" w:rsidRDefault="00B77B73" w:rsidP="00E01B8C">
          <w:r>
            <w:fldChar w:fldCharType="end"/>
          </w:r>
        </w:p>
      </w:sdtContent>
    </w:sdt>
    <w:p w14:paraId="00000017" w14:textId="77777777" w:rsidR="007E271C" w:rsidRDefault="007E271C" w:rsidP="00E01B8C"/>
    <w:p w14:paraId="00000018" w14:textId="77777777" w:rsidR="007E271C" w:rsidRDefault="007E271C" w:rsidP="00E01B8C"/>
    <w:p w14:paraId="00000019" w14:textId="77777777" w:rsidR="007E271C" w:rsidRDefault="007E271C" w:rsidP="00E01B8C"/>
    <w:p w14:paraId="0000001A" w14:textId="77777777" w:rsidR="007E271C" w:rsidRDefault="007E271C" w:rsidP="00E01B8C"/>
    <w:p w14:paraId="0000001B" w14:textId="77777777" w:rsidR="007E271C" w:rsidRDefault="007E271C" w:rsidP="00E01B8C"/>
    <w:p w14:paraId="0000001C" w14:textId="77777777" w:rsidR="007E271C" w:rsidRDefault="007E271C" w:rsidP="00E01B8C"/>
    <w:p w14:paraId="0000001D" w14:textId="77777777" w:rsidR="007E271C" w:rsidRDefault="007E271C" w:rsidP="00E01B8C"/>
    <w:p w14:paraId="0000001E" w14:textId="77777777" w:rsidR="007E271C" w:rsidRDefault="007E271C" w:rsidP="00E01B8C"/>
    <w:p w14:paraId="0000001F" w14:textId="77777777" w:rsidR="007E271C" w:rsidRDefault="007E271C" w:rsidP="00E01B8C">
      <w:pPr>
        <w:sectPr w:rsidR="007E271C" w:rsidSect="007625B8">
          <w:footerReference w:type="default" r:id="rId10"/>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1"/>
          <w:cols w:space="720"/>
        </w:sectPr>
      </w:pPr>
    </w:p>
    <w:p w14:paraId="3BA4A85C" w14:textId="77777777" w:rsidR="0053556F" w:rsidRDefault="0053556F" w:rsidP="0053556F">
      <w:pPr>
        <w:pStyle w:val="Heading1"/>
        <w:ind w:left="785"/>
        <w:rPr>
          <w:sz w:val="36"/>
          <w:szCs w:val="36"/>
        </w:rPr>
      </w:pPr>
      <w:bookmarkStart w:id="0" w:name="_Toc100367525"/>
    </w:p>
    <w:p w14:paraId="05930073" w14:textId="280DFCB6" w:rsidR="00A62E72" w:rsidRPr="007625B8" w:rsidRDefault="00B77B73" w:rsidP="007625B8">
      <w:pPr>
        <w:pStyle w:val="Heading1"/>
        <w:numPr>
          <w:ilvl w:val="0"/>
          <w:numId w:val="2"/>
        </w:numPr>
        <w:rPr>
          <w:sz w:val="36"/>
          <w:szCs w:val="36"/>
        </w:rPr>
      </w:pPr>
      <w:r w:rsidRPr="00A62E72">
        <w:rPr>
          <w:sz w:val="36"/>
          <w:szCs w:val="36"/>
        </w:rPr>
        <w:t>Introduction</w:t>
      </w:r>
      <w:bookmarkEnd w:id="0"/>
    </w:p>
    <w:p w14:paraId="0B4027DE" w14:textId="52B470CD" w:rsidR="00A62E72" w:rsidRDefault="00A62E72" w:rsidP="00A62E72">
      <w:pPr>
        <w:spacing w:after="0"/>
        <w:rPr>
          <w:sz w:val="28"/>
          <w:szCs w:val="28"/>
        </w:rPr>
      </w:pPr>
      <w:r w:rsidRPr="00A62E72">
        <w:rPr>
          <w:sz w:val="28"/>
          <w:szCs w:val="28"/>
        </w:rPr>
        <w:t xml:space="preserve">For this project, I opted to study and report on the Trussell Trust Food Bank's community engagement project that I led. That is the firm for which I presently work, and I chose to focus my job on it because I intended to learn more about it and better understand specific factual details. The Trussell Trust Food Bank has performed well throughout the emergence of the COVID-19 epidemic by offering a robust and agile service to the individuals who are struggling to survive in the United Kingdom due to a severe lack of food resources. </w:t>
      </w:r>
      <w:r w:rsidR="00D00062" w:rsidRPr="00A62E72">
        <w:rPr>
          <w:sz w:val="28"/>
          <w:szCs w:val="28"/>
        </w:rPr>
        <w:t>Since</w:t>
      </w:r>
      <w:r w:rsidRPr="00A62E72">
        <w:rPr>
          <w:sz w:val="28"/>
          <w:szCs w:val="28"/>
        </w:rPr>
        <w:t xml:space="preserve"> the breakout of COVID-19 began, many individuals have lost their jobs and been forced to live in poverty to preserve their social lives. In this regard, to </w:t>
      </w:r>
      <w:r w:rsidR="00866833" w:rsidRPr="00A62E72">
        <w:rPr>
          <w:sz w:val="28"/>
          <w:szCs w:val="28"/>
        </w:rPr>
        <w:t>meet the requirements of those individuals better adequately</w:t>
      </w:r>
      <w:r w:rsidRPr="00A62E72">
        <w:rPr>
          <w:sz w:val="28"/>
          <w:szCs w:val="28"/>
        </w:rPr>
        <w:t>, I have organised a social initiative to give three days of food aid package delivery to individuals in crisis. Because of its extensive network structure, I have been able to spread the word about its services throughout the nation using this medium. In this regard, the research conducted for this paper will provide an individual's self-perception of the topic of community engagement.</w:t>
      </w:r>
    </w:p>
    <w:p w14:paraId="168AEDA6" w14:textId="77777777" w:rsidR="00A62E72" w:rsidRDefault="00A62E72" w:rsidP="00A62E72">
      <w:pPr>
        <w:spacing w:after="0"/>
        <w:rPr>
          <w:sz w:val="28"/>
          <w:szCs w:val="28"/>
        </w:rPr>
      </w:pPr>
    </w:p>
    <w:p w14:paraId="4CF56CA1" w14:textId="511A4D88" w:rsidR="00A62E72" w:rsidRPr="0053556F" w:rsidRDefault="00A62E72" w:rsidP="0053556F">
      <w:pPr>
        <w:pStyle w:val="ListParagraph"/>
        <w:numPr>
          <w:ilvl w:val="0"/>
          <w:numId w:val="2"/>
        </w:numPr>
        <w:spacing w:after="0"/>
        <w:rPr>
          <w:b/>
          <w:bCs/>
          <w:sz w:val="36"/>
          <w:szCs w:val="36"/>
          <w:u w:val="single"/>
        </w:rPr>
      </w:pPr>
      <w:r w:rsidRPr="00A62E72">
        <w:rPr>
          <w:b/>
          <w:bCs/>
          <w:sz w:val="36"/>
          <w:szCs w:val="36"/>
          <w:u w:val="single"/>
        </w:rPr>
        <w:t>The Theories explained</w:t>
      </w:r>
    </w:p>
    <w:p w14:paraId="297B8028" w14:textId="29B6F564" w:rsidR="00A94124" w:rsidRPr="0053556F" w:rsidRDefault="00A94124" w:rsidP="00A94124">
      <w:pPr>
        <w:rPr>
          <w:sz w:val="28"/>
          <w:szCs w:val="28"/>
        </w:rPr>
      </w:pPr>
      <w:r w:rsidRPr="0053556F">
        <w:rPr>
          <w:sz w:val="28"/>
          <w:szCs w:val="28"/>
        </w:rPr>
        <w:t xml:space="preserve">Before I begin by explaining my perspective on it, I want to explain specific theories that will lead me and the procedures that must </w:t>
      </w:r>
      <w:r w:rsidR="00D00062">
        <w:rPr>
          <w:sz w:val="28"/>
          <w:szCs w:val="28"/>
        </w:rPr>
        <w:t>apply</w:t>
      </w:r>
      <w:r w:rsidRPr="0053556F">
        <w:rPr>
          <w:sz w:val="28"/>
          <w:szCs w:val="28"/>
        </w:rPr>
        <w:t xml:space="preserve"> to complete it.</w:t>
      </w:r>
    </w:p>
    <w:p w14:paraId="01F055E7" w14:textId="0136ACBE" w:rsidR="00A94124" w:rsidRPr="0053556F" w:rsidRDefault="00A94124" w:rsidP="00A94124">
      <w:pPr>
        <w:rPr>
          <w:sz w:val="28"/>
          <w:szCs w:val="28"/>
        </w:rPr>
      </w:pPr>
      <w:r w:rsidRPr="0053556F">
        <w:rPr>
          <w:sz w:val="28"/>
          <w:szCs w:val="28"/>
        </w:rPr>
        <w:t xml:space="preserve">As a result, </w:t>
      </w:r>
      <w:r w:rsidR="00D00062" w:rsidRPr="0053556F">
        <w:rPr>
          <w:sz w:val="28"/>
          <w:szCs w:val="28"/>
        </w:rPr>
        <w:t>it</w:t>
      </w:r>
      <w:r w:rsidRPr="0053556F">
        <w:rPr>
          <w:sz w:val="28"/>
          <w:szCs w:val="28"/>
        </w:rPr>
        <w:t xml:space="preserve"> is fair to remark on and provide Gibbs' reflective cycle, the most well-known model of reflectional composition, as it takes people through </w:t>
      </w:r>
      <w:r w:rsidR="00D00062" w:rsidRPr="0053556F">
        <w:rPr>
          <w:sz w:val="28"/>
          <w:szCs w:val="28"/>
        </w:rPr>
        <w:t>distinct phases</w:t>
      </w:r>
      <w:r w:rsidRPr="0053556F">
        <w:rPr>
          <w:sz w:val="28"/>
          <w:szCs w:val="28"/>
        </w:rPr>
        <w:t xml:space="preserve"> and makes them conscious of their perspective while participating in a particular endeavour.</w:t>
      </w:r>
    </w:p>
    <w:p w14:paraId="7C1C2A73" w14:textId="77777777" w:rsidR="00A94124" w:rsidRPr="0053556F" w:rsidRDefault="00A94124" w:rsidP="00A94124">
      <w:pPr>
        <w:rPr>
          <w:sz w:val="28"/>
          <w:szCs w:val="28"/>
        </w:rPr>
      </w:pPr>
      <w:r w:rsidRPr="0053556F">
        <w:rPr>
          <w:sz w:val="28"/>
          <w:szCs w:val="28"/>
        </w:rPr>
        <w:lastRenderedPageBreak/>
        <w:t>Graham Gibbs established his concept in 1988. It offers a structure for assessing events and reflecting on and thinking regarding what happened and what had happened throughout those encounters.</w:t>
      </w:r>
    </w:p>
    <w:p w14:paraId="5B9952F3" w14:textId="61EB3200" w:rsidR="0053556F" w:rsidRDefault="00A94124" w:rsidP="00A94124">
      <w:pPr>
        <w:rPr>
          <w:sz w:val="28"/>
          <w:szCs w:val="28"/>
        </w:rPr>
      </w:pPr>
      <w:r w:rsidRPr="0053556F">
        <w:rPr>
          <w:sz w:val="28"/>
          <w:szCs w:val="28"/>
        </w:rPr>
        <w:t xml:space="preserve">This cycle consists of six phases or steps, beginning with a narrative of what occurred, followed by emotions about the event, </w:t>
      </w:r>
      <w:r w:rsidR="00D00062" w:rsidRPr="0053556F">
        <w:rPr>
          <w:sz w:val="28"/>
          <w:szCs w:val="28"/>
        </w:rPr>
        <w:t>assessment,</w:t>
      </w:r>
      <w:r w:rsidRPr="0053556F">
        <w:rPr>
          <w:sz w:val="28"/>
          <w:szCs w:val="28"/>
        </w:rPr>
        <w:t xml:space="preserve"> and appraisal, and </w:t>
      </w:r>
      <w:r w:rsidR="00D00062" w:rsidRPr="0053556F">
        <w:rPr>
          <w:sz w:val="28"/>
          <w:szCs w:val="28"/>
        </w:rPr>
        <w:t>a</w:t>
      </w:r>
      <w:r w:rsidRPr="0053556F">
        <w:rPr>
          <w:sz w:val="28"/>
          <w:szCs w:val="28"/>
        </w:rPr>
        <w:t xml:space="preserve"> conclusion plus an activity plan for any adjustments that should be implemented the forward if the circumstance should recur. Following the notion, personal sentiments influence the circumstance and how one decides to comment on it. As far as it breaks down the reflection pieces into investigation and evaluation of occurrences, the approach relies on Boud's theory. It demonstrates a clear relationship between learning obtained via practice and the idea of reflection. Because it seems not grounded in any serious evaluation. Even if the model represents a further deconstruction of Boud's theory, it gives only a </w:t>
      </w:r>
      <w:r w:rsidR="00D00062" w:rsidRPr="0053556F">
        <w:rPr>
          <w:sz w:val="28"/>
          <w:szCs w:val="28"/>
        </w:rPr>
        <w:t>superficial</w:t>
      </w:r>
      <w:r w:rsidRPr="0053556F">
        <w:rPr>
          <w:sz w:val="28"/>
          <w:szCs w:val="28"/>
        </w:rPr>
        <w:t xml:space="preserve"> reflection on the subject matter.</w:t>
      </w:r>
    </w:p>
    <w:p w14:paraId="16EA1141" w14:textId="77777777" w:rsidR="003D4FD3" w:rsidRPr="0053556F" w:rsidRDefault="003D4FD3" w:rsidP="00A94124">
      <w:pPr>
        <w:rPr>
          <w:sz w:val="28"/>
          <w:szCs w:val="28"/>
        </w:rPr>
      </w:pPr>
    </w:p>
    <w:p w14:paraId="00000028" w14:textId="796CE531" w:rsidR="007E271C" w:rsidRDefault="00B77B73" w:rsidP="00A62E72">
      <w:pPr>
        <w:pStyle w:val="Heading2"/>
        <w:numPr>
          <w:ilvl w:val="0"/>
          <w:numId w:val="2"/>
        </w:numPr>
        <w:rPr>
          <w:sz w:val="36"/>
          <w:szCs w:val="36"/>
          <w:u w:val="single"/>
        </w:rPr>
      </w:pPr>
      <w:bookmarkStart w:id="1" w:name="_Toc100367526"/>
      <w:r w:rsidRPr="00A62E72">
        <w:rPr>
          <w:sz w:val="36"/>
          <w:szCs w:val="36"/>
          <w:u w:val="single"/>
        </w:rPr>
        <w:t>Comparison between two practices</w:t>
      </w:r>
      <w:bookmarkEnd w:id="1"/>
    </w:p>
    <w:p w14:paraId="453F22C6" w14:textId="4CB51368" w:rsidR="00A94124" w:rsidRPr="0053556F" w:rsidRDefault="00A94124" w:rsidP="00A94124">
      <w:pPr>
        <w:rPr>
          <w:sz w:val="28"/>
          <w:szCs w:val="28"/>
        </w:rPr>
      </w:pPr>
      <w:r w:rsidRPr="0053556F">
        <w:rPr>
          <w:sz w:val="28"/>
          <w:szCs w:val="28"/>
        </w:rPr>
        <w:t xml:space="preserve">The first practice discussed in assignment one was based on Global Orphan Care, an orphanage working to provide support to the orphan people in society. Their approach was to use different social media to engage their community. Using training and development facilities was another approach by the organisation (Kianto et al., 2017p.11-20). Throughout the efforts displayed to put together the project, the proper concept of community engagement has been explained and demonstrated. The objection may gain a wide variety of benefits via this project's aid in this investigation. As a result of the article's thorough investigation into and evaluation of orphanages' different eras, the article also provides a suitable </w:t>
      </w:r>
      <w:r w:rsidRPr="0053556F">
        <w:rPr>
          <w:sz w:val="28"/>
          <w:szCs w:val="28"/>
        </w:rPr>
        <w:lastRenderedPageBreak/>
        <w:t>explanation of different sets of difficulties that should be examined. Studies also suggest that in need to cope with the difficulties and intricacy, diverse social media tactics should be effectively used and adopt a forward-looking strategy for addressing issues. Social organisations need to consider adopting relevant and adaptive proposals</w:t>
      </w:r>
      <w:r>
        <w:t xml:space="preserve"> </w:t>
      </w:r>
      <w:r w:rsidRPr="0053556F">
        <w:rPr>
          <w:sz w:val="28"/>
          <w:szCs w:val="28"/>
        </w:rPr>
        <w:t xml:space="preserve">to gain a competitive advantage whenever they manage ties with connections. This is the main point of the </w:t>
      </w:r>
      <w:r w:rsidR="00D00062" w:rsidRPr="0053556F">
        <w:rPr>
          <w:sz w:val="28"/>
          <w:szCs w:val="28"/>
        </w:rPr>
        <w:t>entire article</w:t>
      </w:r>
      <w:r w:rsidRPr="0053556F">
        <w:rPr>
          <w:sz w:val="28"/>
          <w:szCs w:val="28"/>
        </w:rPr>
        <w:t xml:space="preserve"> (Torrington et al., 2020, p.128).</w:t>
      </w:r>
    </w:p>
    <w:p w14:paraId="1F3D7A50" w14:textId="05EB1324" w:rsidR="00A94124" w:rsidRPr="0053556F" w:rsidRDefault="00A94124" w:rsidP="00A94124">
      <w:pPr>
        <w:rPr>
          <w:sz w:val="28"/>
          <w:szCs w:val="28"/>
        </w:rPr>
      </w:pPr>
      <w:r w:rsidRPr="0053556F">
        <w:rPr>
          <w:sz w:val="28"/>
          <w:szCs w:val="28"/>
        </w:rPr>
        <w:t xml:space="preserve">As part of the Trussell Trust Food Company's operational processes, I have offered appropriate advantages to the organisation's connections and other organisational stakeholders to connect them with the organisation's corporate governance and business processes. By creating a new hashtag for three days emergency supplies packet, I have been able to </w:t>
      </w:r>
      <w:r w:rsidR="00D00062" w:rsidRPr="0053556F">
        <w:rPr>
          <w:sz w:val="28"/>
          <w:szCs w:val="28"/>
        </w:rPr>
        <w:t>improve</w:t>
      </w:r>
      <w:r w:rsidRPr="0053556F">
        <w:rPr>
          <w:sz w:val="28"/>
          <w:szCs w:val="28"/>
        </w:rPr>
        <w:t xml:space="preserve"> the plight of individuals in the most vulnerable and worst circumstances of survival throughout this worldwide epidemic. In this regard, I should be more powerful to become more engaged with organisational activity to deliver significant assistance to the people who need help all over the United Kingdom (Shaukat et al., 2015.p.329-338). Per the Trussell Trust Food Bank's organisational statistics, such a non-profit organisation works with 1200 food pantry centres to reach assistance to far more than 28000 workers, as per their website. </w:t>
      </w:r>
    </w:p>
    <w:p w14:paraId="4F32B74A" w14:textId="41EAA413" w:rsidR="003D4FD3" w:rsidRDefault="00A94124" w:rsidP="003D4FD3">
      <w:pPr>
        <w:rPr>
          <w:sz w:val="28"/>
          <w:szCs w:val="28"/>
        </w:rPr>
      </w:pPr>
      <w:r w:rsidRPr="0053556F">
        <w:rPr>
          <w:sz w:val="28"/>
          <w:szCs w:val="28"/>
        </w:rPr>
        <w:t>I am making a significant contribution to accomplishing my powers and tasks by leveraging the prospective assistance of the organisation's wide variety of alternative chain systems and network schemes, which can help the organisation enhance its professional and economic employment practices (Welch and Saltmarsh, 2013,</w:t>
      </w:r>
      <w:r w:rsidR="00866833">
        <w:rPr>
          <w:sz w:val="28"/>
          <w:szCs w:val="28"/>
        </w:rPr>
        <w:t xml:space="preserve"> </w:t>
      </w:r>
      <w:r w:rsidRPr="0053556F">
        <w:rPr>
          <w:sz w:val="28"/>
          <w:szCs w:val="28"/>
        </w:rPr>
        <w:t>p.25-56).</w:t>
      </w:r>
      <w:r w:rsidR="003D4FD3">
        <w:rPr>
          <w:sz w:val="28"/>
          <w:szCs w:val="28"/>
        </w:rPr>
        <w:t xml:space="preserve"> </w:t>
      </w:r>
      <w:r w:rsidRPr="0053556F">
        <w:rPr>
          <w:sz w:val="28"/>
          <w:szCs w:val="28"/>
        </w:rPr>
        <w:t xml:space="preserve">I believe that the organisation has already been able to significantly enhance today's competitive process by delivering immediate assistance even throughout this worldwide pandemic, based on the statistics and data collected from 2015 to 2020. </w:t>
      </w:r>
      <w:r w:rsidRPr="0053556F">
        <w:rPr>
          <w:sz w:val="28"/>
          <w:szCs w:val="28"/>
        </w:rPr>
        <w:lastRenderedPageBreak/>
        <w:t xml:space="preserve">Specifically, I believe the organisation should expand its operation and networking system to additional areas of the globe to assist those in need more effectively. According to the organisation, the Trussell Trust Food Bank has seen considerable growth in the sum of 1.9 million, representing a 74 </w:t>
      </w:r>
      <w:r w:rsidR="00786442">
        <w:rPr>
          <w:sz w:val="28"/>
          <w:szCs w:val="28"/>
        </w:rPr>
        <w:t>percent</w:t>
      </w:r>
      <w:r w:rsidRPr="0053556F">
        <w:rPr>
          <w:sz w:val="28"/>
          <w:szCs w:val="28"/>
        </w:rPr>
        <w:t xml:space="preserve"> increase in its overall social work activities. Following the organisation's rapid expansion, I became more interested in engaging with the organisation's social work activities, which I learned about via adequate information about the organisation's administration and instruction from the organisation's leaders. I believe that this will significantly impact the organisation's business processes, particularly in engaging community people in the organisation's activities (Mullins, 2016, p.139). On either hand, from my perspective, the organisation must provide a welcoming environment to those in need, allowing The Trussell Trust Food Bank to understand better its fundamental elements, which will enable the organisation to meet the diverse community needs more effectively.</w:t>
      </w:r>
      <w:bookmarkStart w:id="2" w:name="_Toc100367527"/>
    </w:p>
    <w:p w14:paraId="096C3A77" w14:textId="77777777" w:rsidR="003D4FD3" w:rsidRDefault="003D4FD3" w:rsidP="003D4FD3">
      <w:pPr>
        <w:rPr>
          <w:sz w:val="28"/>
          <w:szCs w:val="28"/>
        </w:rPr>
      </w:pPr>
    </w:p>
    <w:p w14:paraId="2A909F0B" w14:textId="77777777" w:rsidR="003D4FD3" w:rsidRPr="003D4FD3" w:rsidRDefault="00D00062" w:rsidP="00D00062">
      <w:pPr>
        <w:pStyle w:val="ListParagraph"/>
        <w:numPr>
          <w:ilvl w:val="0"/>
          <w:numId w:val="2"/>
        </w:numPr>
        <w:rPr>
          <w:b/>
          <w:sz w:val="28"/>
          <w:szCs w:val="28"/>
        </w:rPr>
      </w:pPr>
      <w:r w:rsidRPr="003D4FD3">
        <w:rPr>
          <w:b/>
          <w:color w:val="0E101A"/>
          <w:sz w:val="36"/>
          <w:szCs w:val="36"/>
          <w:lang w:val="en-GB" w:eastAsia="en-GB"/>
        </w:rPr>
        <w:t xml:space="preserve"> </w:t>
      </w:r>
      <w:r w:rsidRPr="003D4FD3">
        <w:rPr>
          <w:b/>
          <w:color w:val="0E101A"/>
          <w:sz w:val="36"/>
          <w:szCs w:val="36"/>
          <w:u w:val="single"/>
          <w:lang w:val="en-GB" w:eastAsia="en-GB"/>
        </w:rPr>
        <w:t>What different approaches could apply and why?</w:t>
      </w:r>
      <w:bookmarkEnd w:id="2"/>
    </w:p>
    <w:p w14:paraId="36F70C97" w14:textId="4C049F7A" w:rsidR="00A94124" w:rsidRDefault="00A94124" w:rsidP="00A62E72">
      <w:pPr>
        <w:rPr>
          <w:sz w:val="28"/>
          <w:szCs w:val="28"/>
        </w:rPr>
      </w:pPr>
      <w:r w:rsidRPr="003D4FD3">
        <w:rPr>
          <w:bCs/>
          <w:sz w:val="28"/>
          <w:szCs w:val="28"/>
        </w:rPr>
        <w:t xml:space="preserve">I believe that </w:t>
      </w:r>
      <w:r w:rsidR="003D4FD3" w:rsidRPr="003D4FD3">
        <w:rPr>
          <w:bCs/>
          <w:sz w:val="28"/>
          <w:szCs w:val="28"/>
        </w:rPr>
        <w:t>to</w:t>
      </w:r>
      <w:r w:rsidRPr="003D4FD3">
        <w:rPr>
          <w:bCs/>
          <w:sz w:val="28"/>
          <w:szCs w:val="28"/>
        </w:rPr>
        <w:t xml:space="preserve"> improve employee work procedures, the organisation must offer workers enough training and expertise </w:t>
      </w:r>
      <w:r w:rsidR="003D4FD3" w:rsidRPr="003D4FD3">
        <w:rPr>
          <w:bCs/>
          <w:sz w:val="28"/>
          <w:szCs w:val="28"/>
        </w:rPr>
        <w:t>to</w:t>
      </w:r>
      <w:r w:rsidRPr="003D4FD3">
        <w:rPr>
          <w:bCs/>
          <w:sz w:val="28"/>
          <w:szCs w:val="28"/>
        </w:rPr>
        <w:t xml:space="preserve"> create them more adept and informed in their duties. Furthermore, the organisation must apply various methods and strategic planning processes to enhance its personnel's abilities and practicability. In this way, staff will be better equipped to deal with any circumstance that arises in the future. On the other extreme, the organisation requires personnel who are more productive and possess the ability to think creatively. Because of this, I must improve my efficiency to foster innovation throughout the organisation (Aday et al., 2015, p.147-154). The firm should be ready to bring a significant amount of creativity to its </w:t>
      </w:r>
      <w:r w:rsidRPr="003D4FD3">
        <w:rPr>
          <w:bCs/>
          <w:sz w:val="28"/>
          <w:szCs w:val="28"/>
        </w:rPr>
        <w:lastRenderedPageBreak/>
        <w:t xml:space="preserve">current operating processes. A further need for The Trussell Trust Food Bank is that he creates techniques to help employees maximise their social skills by giving them </w:t>
      </w:r>
      <w:r w:rsidR="00D00062" w:rsidRPr="003D4FD3">
        <w:rPr>
          <w:bCs/>
          <w:sz w:val="28"/>
          <w:szCs w:val="28"/>
        </w:rPr>
        <w:t>firsthand</w:t>
      </w:r>
      <w:r w:rsidRPr="003D4FD3">
        <w:rPr>
          <w:bCs/>
          <w:sz w:val="28"/>
          <w:szCs w:val="28"/>
        </w:rPr>
        <w:t xml:space="preserve"> knowledge </w:t>
      </w:r>
      <w:r w:rsidR="003D4FD3" w:rsidRPr="003D4FD3">
        <w:rPr>
          <w:bCs/>
          <w:sz w:val="28"/>
          <w:szCs w:val="28"/>
        </w:rPr>
        <w:t>of</w:t>
      </w:r>
      <w:r w:rsidRPr="003D4FD3">
        <w:rPr>
          <w:bCs/>
          <w:sz w:val="28"/>
          <w:szCs w:val="28"/>
        </w:rPr>
        <w:t xml:space="preserve"> their jobs before they begin working </w:t>
      </w:r>
      <w:r w:rsidR="003D4FD3" w:rsidRPr="003D4FD3">
        <w:rPr>
          <w:bCs/>
          <w:sz w:val="28"/>
          <w:szCs w:val="28"/>
        </w:rPr>
        <w:t>there.</w:t>
      </w:r>
      <w:r w:rsidR="003D4FD3" w:rsidRPr="0053556F">
        <w:rPr>
          <w:sz w:val="28"/>
          <w:szCs w:val="28"/>
        </w:rPr>
        <w:t xml:space="preserve"> When</w:t>
      </w:r>
      <w:r w:rsidRPr="0053556F">
        <w:rPr>
          <w:sz w:val="28"/>
          <w:szCs w:val="28"/>
        </w:rPr>
        <w:t xml:space="preserve"> working for a non-profit organisation, I must improve my communication skills to establish a strong link with the organisation and the surrounding community. Additionally, by honing my language skills, I would be capable of acquiring concrete insight into the problems of the impoverished by conversing with parts of the public effectively. In addition to this, I must improve my organisational abilities to </w:t>
      </w:r>
      <w:r w:rsidR="00D00062" w:rsidRPr="0053556F">
        <w:rPr>
          <w:sz w:val="28"/>
          <w:szCs w:val="28"/>
        </w:rPr>
        <w:t>manage</w:t>
      </w:r>
      <w:r w:rsidRPr="0053556F">
        <w:rPr>
          <w:sz w:val="28"/>
          <w:szCs w:val="28"/>
        </w:rPr>
        <w:t xml:space="preserve"> the high load of many types of tasks required throughout my work practices. In addition, I must improve my abilities to establish and maintain successful working relationships with members of the community and with the organisation. Consequently, I can supply them with differentiated services that suit their core requirements since they can readily communicate their issues and wants with me due to this arrangement. In a similar vein, The Trussell Trust Food Bank has placed a significant emphasis on the development of interpersonal among its personnel. Furthermore, I must improve my ability to be adaptable to provide my assistance at any moment whenever people require satisfying their hunger.</w:t>
      </w:r>
    </w:p>
    <w:p w14:paraId="5171C60E" w14:textId="77777777" w:rsidR="003D4FD3" w:rsidRPr="003D4FD3" w:rsidRDefault="003D4FD3" w:rsidP="00A62E72">
      <w:pPr>
        <w:rPr>
          <w:b/>
          <w:sz w:val="28"/>
          <w:szCs w:val="28"/>
        </w:rPr>
      </w:pPr>
    </w:p>
    <w:p w14:paraId="79C2D05D" w14:textId="0F2631EC" w:rsidR="0039274B" w:rsidRPr="00E72BCA" w:rsidRDefault="00B77B73" w:rsidP="0039274B">
      <w:pPr>
        <w:pStyle w:val="Heading2"/>
        <w:numPr>
          <w:ilvl w:val="0"/>
          <w:numId w:val="2"/>
        </w:numPr>
        <w:rPr>
          <w:sz w:val="36"/>
          <w:szCs w:val="36"/>
          <w:u w:val="single"/>
        </w:rPr>
      </w:pPr>
      <w:bookmarkStart w:id="3" w:name="_Toc100367528"/>
      <w:r w:rsidRPr="00A62E72">
        <w:rPr>
          <w:sz w:val="36"/>
          <w:szCs w:val="36"/>
          <w:u w:val="single"/>
        </w:rPr>
        <w:t>The importance of active consultation,</w:t>
      </w:r>
      <w:r w:rsidR="00E72BCA">
        <w:rPr>
          <w:sz w:val="36"/>
          <w:szCs w:val="36"/>
          <w:u w:val="single"/>
        </w:rPr>
        <w:t xml:space="preserve"> </w:t>
      </w:r>
      <w:r w:rsidRPr="00A62E72">
        <w:rPr>
          <w:sz w:val="36"/>
          <w:szCs w:val="36"/>
          <w:u w:val="single"/>
        </w:rPr>
        <w:t>effective communication, stakeholders’</w:t>
      </w:r>
      <w:r w:rsidR="00E72BCA">
        <w:rPr>
          <w:sz w:val="36"/>
          <w:szCs w:val="36"/>
          <w:u w:val="single"/>
        </w:rPr>
        <w:t xml:space="preserve"> </w:t>
      </w:r>
      <w:r w:rsidRPr="00A62E72">
        <w:rPr>
          <w:sz w:val="36"/>
          <w:szCs w:val="36"/>
          <w:u w:val="single"/>
        </w:rPr>
        <w:t>participation, and inclusion in community engagement.</w:t>
      </w:r>
      <w:bookmarkEnd w:id="3"/>
    </w:p>
    <w:p w14:paraId="088435D2" w14:textId="3A0ECCB5" w:rsidR="00A94124" w:rsidRPr="0053556F" w:rsidRDefault="00A94124" w:rsidP="00A94124">
      <w:pPr>
        <w:rPr>
          <w:sz w:val="28"/>
          <w:szCs w:val="28"/>
        </w:rPr>
      </w:pPr>
      <w:r w:rsidRPr="0053556F">
        <w:rPr>
          <w:sz w:val="28"/>
          <w:szCs w:val="28"/>
        </w:rPr>
        <w:t xml:space="preserve">Involvement with community stakeholders may be beneficial to a company's bottom line. A firm's decision-making process, validity, and profitability may all benefit from employee involvement, which could be achieved in </w:t>
      </w:r>
      <w:r w:rsidR="00D00062" w:rsidRPr="0053556F">
        <w:rPr>
          <w:sz w:val="28"/>
          <w:szCs w:val="28"/>
        </w:rPr>
        <w:t>numerous ways</w:t>
      </w:r>
      <w:r w:rsidRPr="0053556F">
        <w:rPr>
          <w:sz w:val="28"/>
          <w:szCs w:val="28"/>
        </w:rPr>
        <w:t>, including using local expertise, decreasing</w:t>
      </w:r>
      <w:r>
        <w:t xml:space="preserve"> </w:t>
      </w:r>
      <w:r w:rsidRPr="0053556F">
        <w:rPr>
          <w:sz w:val="28"/>
          <w:szCs w:val="28"/>
        </w:rPr>
        <w:t xml:space="preserve">disagreement, increasing the number of applicants, </w:t>
      </w:r>
      <w:r w:rsidRPr="0053556F">
        <w:rPr>
          <w:sz w:val="28"/>
          <w:szCs w:val="28"/>
        </w:rPr>
        <w:lastRenderedPageBreak/>
        <w:t>and avoiding expensive delays. So far, dealing with too many stakeholders represents one of the most challenging characteristics whilst transacting a business. Increasing efficiency and enhancing projects may both be achieved via the use of cooperation and collaboration. Stakeholder management is critical to community programs and social expenditure methods (Hespanhol et al., 2015, p.29-37).</w:t>
      </w:r>
    </w:p>
    <w:p w14:paraId="531175AE" w14:textId="5E19D7D9" w:rsidR="00A94124" w:rsidRPr="0053556F" w:rsidRDefault="00A94124" w:rsidP="00A94124">
      <w:pPr>
        <w:rPr>
          <w:sz w:val="28"/>
          <w:szCs w:val="28"/>
        </w:rPr>
      </w:pPr>
      <w:r w:rsidRPr="0053556F">
        <w:rPr>
          <w:sz w:val="28"/>
          <w:szCs w:val="28"/>
        </w:rPr>
        <w:t xml:space="preserve">In general, individuals </w:t>
      </w:r>
      <w:r w:rsidR="00D00062" w:rsidRPr="0053556F">
        <w:rPr>
          <w:sz w:val="28"/>
          <w:szCs w:val="28"/>
        </w:rPr>
        <w:t>partake</w:t>
      </w:r>
      <w:r w:rsidRPr="0053556F">
        <w:rPr>
          <w:sz w:val="28"/>
          <w:szCs w:val="28"/>
        </w:rPr>
        <w:t xml:space="preserve"> more actively and efficiently in community development when they feel engaged and if they think that their voices are heard and understood clearly. A community's involvement in a communications plan allows them to take responsibility for the effort of growth rather than see themselves as receivers. For the community to fulfil its objectives and progress toward success and growth, individuals at all levels must be willing to communicate effectively with one another. Effective communication removes the chance of distorted or misunderstood information, reducing the risk of a power struggle. When a disagreement does emerge, </w:t>
      </w:r>
      <w:r w:rsidR="00D00062" w:rsidRPr="0053556F">
        <w:rPr>
          <w:sz w:val="28"/>
          <w:szCs w:val="28"/>
        </w:rPr>
        <w:t>polite conversation</w:t>
      </w:r>
      <w:r w:rsidRPr="0053556F">
        <w:rPr>
          <w:sz w:val="28"/>
          <w:szCs w:val="28"/>
        </w:rPr>
        <w:t xml:space="preserve"> is essential to finding a solution that everyone can agree upon.</w:t>
      </w:r>
    </w:p>
    <w:p w14:paraId="205D2164" w14:textId="39629054" w:rsidR="00A62E72" w:rsidRPr="0053556F" w:rsidRDefault="00A94124" w:rsidP="00A94124">
      <w:pPr>
        <w:rPr>
          <w:sz w:val="28"/>
          <w:szCs w:val="28"/>
        </w:rPr>
      </w:pPr>
      <w:r w:rsidRPr="0053556F">
        <w:rPr>
          <w:sz w:val="28"/>
          <w:szCs w:val="28"/>
        </w:rPr>
        <w:t xml:space="preserve">Many obstacles stand in the way of disabled folks' attempts to integrate within their surrounding communities fully. One's participation in social initiatives is </w:t>
      </w:r>
      <w:r w:rsidR="00D00062" w:rsidRPr="0053556F">
        <w:rPr>
          <w:sz w:val="28"/>
          <w:szCs w:val="28"/>
        </w:rPr>
        <w:t>insignificant</w:t>
      </w:r>
      <w:r w:rsidRPr="0053556F">
        <w:rPr>
          <w:sz w:val="28"/>
          <w:szCs w:val="28"/>
        </w:rPr>
        <w:t xml:space="preserve">, which implies that those who do not have the advantage to demonstrate their strengths, form genuine relationships with others, gain public perception and </w:t>
      </w:r>
      <w:r w:rsidR="003D4FD3">
        <w:rPr>
          <w:sz w:val="28"/>
          <w:szCs w:val="28"/>
        </w:rPr>
        <w:t>acknowledgment</w:t>
      </w:r>
      <w:r w:rsidRPr="0053556F">
        <w:rPr>
          <w:sz w:val="28"/>
          <w:szCs w:val="28"/>
        </w:rPr>
        <w:t xml:space="preserve"> from everyone else, or simply have joy. They are also less likely to possess new capabilities or simply have fun. </w:t>
      </w:r>
      <w:r w:rsidR="003D4FD3">
        <w:rPr>
          <w:sz w:val="28"/>
          <w:szCs w:val="28"/>
        </w:rPr>
        <w:t>To</w:t>
      </w:r>
      <w:r w:rsidRPr="0053556F">
        <w:rPr>
          <w:sz w:val="28"/>
          <w:szCs w:val="28"/>
        </w:rPr>
        <w:t xml:space="preserve"> include individuals with difficulties in each and everyday actions very as participating in church, buying groceries, snacking at a restaurant, as well as other social engagements, it is necessary to demonstrate close relationships, pursue familiar tastes, and grow common values with those who do not have cognitive deficits. I benefit from the stimulation and human interaction that community involvement provides for our </w:t>
      </w:r>
      <w:r w:rsidRPr="0053556F">
        <w:rPr>
          <w:sz w:val="28"/>
          <w:szCs w:val="28"/>
        </w:rPr>
        <w:lastRenderedPageBreak/>
        <w:t>loved ones as a family. It is a way to improve one's everyday life and prospects for the job. It is a way to build a crucial community that may lessen the effect of Medicaid budget cutbacks.</w:t>
      </w:r>
    </w:p>
    <w:p w14:paraId="00000038" w14:textId="77777777" w:rsidR="007E271C" w:rsidRPr="0053556F" w:rsidRDefault="007E271C" w:rsidP="00E01B8C">
      <w:pPr>
        <w:rPr>
          <w:sz w:val="28"/>
          <w:szCs w:val="28"/>
        </w:rPr>
      </w:pPr>
    </w:p>
    <w:p w14:paraId="00000039" w14:textId="08FA9341" w:rsidR="007E271C" w:rsidRDefault="00B77B73" w:rsidP="00A62E72">
      <w:pPr>
        <w:pStyle w:val="Heading1"/>
        <w:numPr>
          <w:ilvl w:val="0"/>
          <w:numId w:val="2"/>
        </w:numPr>
        <w:rPr>
          <w:sz w:val="36"/>
          <w:szCs w:val="36"/>
        </w:rPr>
      </w:pPr>
      <w:bookmarkStart w:id="4" w:name="_Toc100367529"/>
      <w:r w:rsidRPr="00A62E72">
        <w:rPr>
          <w:sz w:val="36"/>
          <w:szCs w:val="36"/>
        </w:rPr>
        <w:t>Conclusion</w:t>
      </w:r>
      <w:bookmarkEnd w:id="4"/>
    </w:p>
    <w:p w14:paraId="0000003B" w14:textId="71B1622C" w:rsidR="007E271C" w:rsidRPr="009A4BB8" w:rsidRDefault="009A4BB8" w:rsidP="0039274B">
      <w:pPr>
        <w:spacing w:after="0"/>
        <w:rPr>
          <w:sz w:val="28"/>
          <w:szCs w:val="28"/>
        </w:rPr>
      </w:pPr>
      <w:r w:rsidRPr="009A4BB8">
        <w:rPr>
          <w:sz w:val="28"/>
          <w:szCs w:val="28"/>
        </w:rPr>
        <w:t xml:space="preserve">The democratic principle that everybody touched by a community problem must have a role in decision-making has been at the heart of community engagement. The potential of public engagement also carries the hope that choices affecting service delivery, </w:t>
      </w:r>
      <w:r w:rsidR="00596125">
        <w:rPr>
          <w:sz w:val="28"/>
          <w:szCs w:val="28"/>
        </w:rPr>
        <w:t xml:space="preserve">and </w:t>
      </w:r>
      <w:r w:rsidRPr="009A4BB8">
        <w:rPr>
          <w:sz w:val="28"/>
          <w:szCs w:val="28"/>
        </w:rPr>
        <w:t xml:space="preserve">future aspirations, and </w:t>
      </w:r>
      <w:r w:rsidR="00C47570">
        <w:rPr>
          <w:sz w:val="28"/>
          <w:szCs w:val="28"/>
        </w:rPr>
        <w:t xml:space="preserve">this method may impact the viability of </w:t>
      </w:r>
      <w:r w:rsidRPr="009A4BB8">
        <w:rPr>
          <w:sz w:val="28"/>
          <w:szCs w:val="28"/>
        </w:rPr>
        <w:t xml:space="preserve">local </w:t>
      </w:r>
      <w:r w:rsidR="00C47570">
        <w:rPr>
          <w:sz w:val="28"/>
          <w:szCs w:val="28"/>
        </w:rPr>
        <w:t>communities</w:t>
      </w:r>
      <w:r w:rsidRPr="009A4BB8">
        <w:rPr>
          <w:sz w:val="28"/>
          <w:szCs w:val="28"/>
        </w:rPr>
        <w:t xml:space="preserve">. This report is a follow-up to Assignment 1 of this module, which is the subject of this report. These two community engagement </w:t>
      </w:r>
      <w:r w:rsidR="00615918">
        <w:rPr>
          <w:sz w:val="28"/>
          <w:szCs w:val="28"/>
        </w:rPr>
        <w:t>projects are co</w:t>
      </w:r>
      <w:r w:rsidR="00F606A0">
        <w:rPr>
          <w:sz w:val="28"/>
          <w:szCs w:val="28"/>
        </w:rPr>
        <w:t>nnected simultaneously</w:t>
      </w:r>
      <w:r w:rsidR="00F54D54">
        <w:rPr>
          <w:sz w:val="28"/>
          <w:szCs w:val="28"/>
        </w:rPr>
        <w:t xml:space="preserve"> and scrutinized.</w:t>
      </w:r>
      <w:r w:rsidR="007A2D6C">
        <w:rPr>
          <w:sz w:val="28"/>
          <w:szCs w:val="28"/>
        </w:rPr>
        <w:t xml:space="preserve"> </w:t>
      </w:r>
      <w:r w:rsidRPr="009A4BB8">
        <w:rPr>
          <w:sz w:val="28"/>
          <w:szCs w:val="28"/>
        </w:rPr>
        <w:t>On the other hand, it does provide an insightful approach to how the community engagement process may be improved. The community engagement practitioner must identify and find out the problems and risks involved and employ the expertise and support of the most well-equipped stakeholders. Critical aspects of community engagement</w:t>
      </w:r>
      <w:r w:rsidR="007A2D6C">
        <w:rPr>
          <w:sz w:val="28"/>
          <w:szCs w:val="28"/>
        </w:rPr>
        <w:t xml:space="preserve"> are</w:t>
      </w:r>
      <w:r w:rsidR="003939A6">
        <w:rPr>
          <w:sz w:val="28"/>
          <w:szCs w:val="28"/>
        </w:rPr>
        <w:t xml:space="preserve"> discussed</w:t>
      </w:r>
      <w:r w:rsidRPr="009A4BB8">
        <w:rPr>
          <w:sz w:val="28"/>
          <w:szCs w:val="28"/>
        </w:rPr>
        <w:t xml:space="preserve"> in th</w:t>
      </w:r>
      <w:r w:rsidR="003939A6">
        <w:rPr>
          <w:sz w:val="28"/>
          <w:szCs w:val="28"/>
        </w:rPr>
        <w:t>is reflectio</w:t>
      </w:r>
      <w:r w:rsidR="008A6110">
        <w:rPr>
          <w:sz w:val="28"/>
          <w:szCs w:val="28"/>
        </w:rPr>
        <w:t>n</w:t>
      </w:r>
      <w:r w:rsidRPr="009A4BB8">
        <w:rPr>
          <w:sz w:val="28"/>
          <w:szCs w:val="28"/>
        </w:rPr>
        <w:t xml:space="preserve"> paper. Community engagement can be the result of productive and fulfilling work involving all the stakeholders. However, it can, and it can also be a challenging, complicated</w:t>
      </w:r>
      <w:r w:rsidR="003939A6">
        <w:rPr>
          <w:sz w:val="28"/>
          <w:szCs w:val="28"/>
        </w:rPr>
        <w:t>,</w:t>
      </w:r>
      <w:r w:rsidRPr="009A4BB8">
        <w:rPr>
          <w:sz w:val="28"/>
          <w:szCs w:val="28"/>
        </w:rPr>
        <w:t xml:space="preserve"> and at times increasingly frustrating process for anyone involved in it. </w:t>
      </w:r>
      <w:r w:rsidR="00E72BCA" w:rsidRPr="009A4BB8">
        <w:rPr>
          <w:sz w:val="28"/>
          <w:szCs w:val="28"/>
        </w:rPr>
        <w:t>Therefore,</w:t>
      </w:r>
      <w:r w:rsidRPr="009A4BB8">
        <w:rPr>
          <w:sz w:val="28"/>
          <w:szCs w:val="28"/>
        </w:rPr>
        <w:t xml:space="preserve"> it is subject to constant constructive consultations and open dialogues so there will be a positive influence and efficient outcomes in response to the projects' priorities.</w:t>
      </w:r>
      <w:r w:rsidR="00B77B73" w:rsidRPr="009A4BB8">
        <w:rPr>
          <w:sz w:val="28"/>
          <w:szCs w:val="28"/>
        </w:rPr>
        <w:br w:type="page"/>
      </w:r>
    </w:p>
    <w:p w14:paraId="0000003C" w14:textId="5013C54A" w:rsidR="007E271C" w:rsidRDefault="00B77B73" w:rsidP="00A62E72">
      <w:pPr>
        <w:pStyle w:val="Heading1"/>
        <w:numPr>
          <w:ilvl w:val="0"/>
          <w:numId w:val="2"/>
        </w:numPr>
        <w:rPr>
          <w:sz w:val="36"/>
          <w:szCs w:val="36"/>
        </w:rPr>
      </w:pPr>
      <w:bookmarkStart w:id="5" w:name="_Toc100367530"/>
      <w:r w:rsidRPr="00A62E72">
        <w:rPr>
          <w:sz w:val="36"/>
          <w:szCs w:val="36"/>
        </w:rPr>
        <w:lastRenderedPageBreak/>
        <w:t>Reference</w:t>
      </w:r>
      <w:bookmarkEnd w:id="5"/>
      <w:r w:rsidR="007625B8">
        <w:rPr>
          <w:sz w:val="36"/>
          <w:szCs w:val="36"/>
        </w:rPr>
        <w:t>s:</w:t>
      </w:r>
    </w:p>
    <w:p w14:paraId="57BE82B7" w14:textId="4E5F1909" w:rsidR="007625B8" w:rsidRPr="007625B8" w:rsidRDefault="007625B8" w:rsidP="007625B8">
      <w:pPr>
        <w:pStyle w:val="ListParagraph"/>
        <w:numPr>
          <w:ilvl w:val="0"/>
          <w:numId w:val="4"/>
        </w:numPr>
        <w:spacing w:after="0" w:line="240" w:lineRule="auto"/>
        <w:jc w:val="left"/>
        <w:rPr>
          <w:color w:val="0E101A"/>
          <w:lang w:val="en-GB" w:eastAsia="en-GB"/>
        </w:rPr>
      </w:pPr>
      <w:r w:rsidRPr="007625B8">
        <w:rPr>
          <w:color w:val="0E101A"/>
          <w:lang w:val="en-GB" w:eastAsia="en-GB"/>
        </w:rPr>
        <w:t xml:space="preserve"> Aday Jr, D.P., Weeks, J.K., Sherman, C.E., Marty, </w:t>
      </w:r>
      <w:r w:rsidR="00D00062" w:rsidRPr="007625B8">
        <w:rPr>
          <w:color w:val="0E101A"/>
          <w:lang w:val="en-GB" w:eastAsia="en-GB"/>
        </w:rPr>
        <w:t>R.A.,</w:t>
      </w:r>
      <w:r w:rsidRPr="007625B8">
        <w:rPr>
          <w:color w:val="0E101A"/>
          <w:lang w:val="en-GB" w:eastAsia="en-GB"/>
        </w:rPr>
        <w:t xml:space="preserve"> and Silverstein, R.L., 2015. </w:t>
      </w:r>
      <w:r w:rsidRPr="00866833">
        <w:rPr>
          <w:i/>
          <w:iCs/>
          <w:color w:val="0E101A"/>
          <w:lang w:val="en-GB" w:eastAsia="en-GB"/>
        </w:rPr>
        <w:t>Developing conceptual and methodological foundations in community engagement. Journal of Community Engagement and Scholarship</w:t>
      </w:r>
      <w:r w:rsidRPr="007625B8">
        <w:rPr>
          <w:color w:val="0E101A"/>
          <w:lang w:val="en-GB" w:eastAsia="en-GB"/>
        </w:rPr>
        <w:t>, 8(1).</w:t>
      </w:r>
    </w:p>
    <w:p w14:paraId="42A99D51" w14:textId="380B88AA" w:rsidR="007625B8" w:rsidRPr="007625B8" w:rsidRDefault="007625B8" w:rsidP="007625B8">
      <w:pPr>
        <w:numPr>
          <w:ilvl w:val="0"/>
          <w:numId w:val="4"/>
        </w:numPr>
        <w:spacing w:after="0" w:line="240" w:lineRule="auto"/>
        <w:jc w:val="left"/>
        <w:rPr>
          <w:color w:val="0E101A"/>
          <w:lang w:val="en-GB" w:eastAsia="en-GB"/>
        </w:rPr>
      </w:pPr>
      <w:r w:rsidRPr="007625B8">
        <w:rPr>
          <w:color w:val="0E101A"/>
          <w:lang w:val="en-GB" w:eastAsia="en-GB"/>
        </w:rPr>
        <w:t xml:space="preserve">Hespanhol, L., Tomitsch, M., McArthur, I., Fredericks, J., Schroeter, R. and Foth, M., 2015, June. </w:t>
      </w:r>
      <w:r w:rsidRPr="007625B8">
        <w:rPr>
          <w:i/>
          <w:iCs/>
          <w:color w:val="0E101A"/>
          <w:lang w:val="en-GB" w:eastAsia="en-GB"/>
        </w:rPr>
        <w:t>Vote as you go: blending interfaces for community engagement into the urban space</w:t>
      </w:r>
      <w:r w:rsidRPr="007625B8">
        <w:rPr>
          <w:color w:val="0E101A"/>
          <w:lang w:val="en-GB" w:eastAsia="en-GB"/>
        </w:rPr>
        <w:t>, in Proceedings of the 7th International Conference on Communities and Technologies.</w:t>
      </w:r>
    </w:p>
    <w:p w14:paraId="0005096B" w14:textId="5A108BA0" w:rsidR="007625B8" w:rsidRPr="007625B8" w:rsidRDefault="007625B8" w:rsidP="007625B8">
      <w:pPr>
        <w:numPr>
          <w:ilvl w:val="0"/>
          <w:numId w:val="4"/>
        </w:numPr>
        <w:spacing w:after="0" w:line="240" w:lineRule="auto"/>
        <w:jc w:val="left"/>
        <w:rPr>
          <w:color w:val="0E101A"/>
          <w:lang w:val="en-GB" w:eastAsia="en-GB"/>
        </w:rPr>
      </w:pPr>
      <w:r w:rsidRPr="007625B8">
        <w:rPr>
          <w:color w:val="0E101A"/>
          <w:lang w:val="en-GB" w:eastAsia="en-GB"/>
        </w:rPr>
        <w:t xml:space="preserve">Mullins, L., 2016. </w:t>
      </w:r>
      <w:r w:rsidRPr="007625B8">
        <w:rPr>
          <w:i/>
          <w:iCs/>
          <w:color w:val="0E101A"/>
          <w:lang w:val="en-GB" w:eastAsia="en-GB"/>
        </w:rPr>
        <w:t>Management and Organisational Behaviour</w:t>
      </w:r>
      <w:r w:rsidR="00866833">
        <w:rPr>
          <w:i/>
          <w:iCs/>
          <w:color w:val="0E101A"/>
          <w:lang w:val="en-GB" w:eastAsia="en-GB"/>
        </w:rPr>
        <w:t>,</w:t>
      </w:r>
      <w:r w:rsidRPr="007625B8">
        <w:rPr>
          <w:i/>
          <w:iCs/>
          <w:color w:val="0E101A"/>
          <w:lang w:val="en-GB" w:eastAsia="en-GB"/>
        </w:rPr>
        <w:t xml:space="preserve"> </w:t>
      </w:r>
      <w:r w:rsidRPr="007625B8">
        <w:rPr>
          <w:color w:val="0E101A"/>
          <w:lang w:val="en-GB" w:eastAsia="en-GB"/>
        </w:rPr>
        <w:t>PDF eBook 11th edition. Pearson Higher Ed.</w:t>
      </w:r>
    </w:p>
    <w:p w14:paraId="5C46EAF1" w14:textId="675A7E3D" w:rsidR="007625B8" w:rsidRPr="007625B8" w:rsidRDefault="007625B8" w:rsidP="007625B8">
      <w:pPr>
        <w:numPr>
          <w:ilvl w:val="0"/>
          <w:numId w:val="4"/>
        </w:numPr>
        <w:spacing w:after="0" w:line="240" w:lineRule="auto"/>
        <w:jc w:val="left"/>
        <w:rPr>
          <w:color w:val="0E101A"/>
          <w:lang w:val="en-GB" w:eastAsia="en-GB"/>
        </w:rPr>
      </w:pPr>
      <w:r w:rsidRPr="007625B8">
        <w:rPr>
          <w:color w:val="0E101A"/>
          <w:lang w:val="en-GB" w:eastAsia="en-GB"/>
        </w:rPr>
        <w:t xml:space="preserve">Kianto, A., Sáenz, J. and Aramburu, N., 2017. </w:t>
      </w:r>
      <w:r w:rsidRPr="007625B8">
        <w:rPr>
          <w:i/>
          <w:iCs/>
          <w:color w:val="0E101A"/>
          <w:lang w:val="en-GB" w:eastAsia="en-GB"/>
        </w:rPr>
        <w:t>Knowledge-based human resource management practices, intellectual capital</w:t>
      </w:r>
      <w:r w:rsidR="003D4FD3">
        <w:rPr>
          <w:i/>
          <w:iCs/>
          <w:color w:val="0E101A"/>
          <w:lang w:val="en-GB" w:eastAsia="en-GB"/>
        </w:rPr>
        <w:t>,</w:t>
      </w:r>
      <w:r w:rsidRPr="007625B8">
        <w:rPr>
          <w:i/>
          <w:iCs/>
          <w:color w:val="0E101A"/>
          <w:lang w:val="en-GB" w:eastAsia="en-GB"/>
        </w:rPr>
        <w:t xml:space="preserve"> and innovation</w:t>
      </w:r>
      <w:r w:rsidRPr="007625B8">
        <w:rPr>
          <w:color w:val="0E101A"/>
          <w:lang w:val="en-GB" w:eastAsia="en-GB"/>
        </w:rPr>
        <w:t>. Journal of Business Research.</w:t>
      </w:r>
    </w:p>
    <w:p w14:paraId="27B00BAD" w14:textId="77777777" w:rsidR="007625B8" w:rsidRPr="007625B8" w:rsidRDefault="007625B8" w:rsidP="007625B8">
      <w:pPr>
        <w:numPr>
          <w:ilvl w:val="0"/>
          <w:numId w:val="4"/>
        </w:numPr>
        <w:spacing w:after="0" w:line="240" w:lineRule="auto"/>
        <w:jc w:val="left"/>
        <w:rPr>
          <w:color w:val="0E101A"/>
          <w:lang w:val="en-GB" w:eastAsia="en-GB"/>
        </w:rPr>
      </w:pPr>
      <w:r w:rsidRPr="007625B8">
        <w:rPr>
          <w:color w:val="0E101A"/>
          <w:lang w:val="en-GB" w:eastAsia="en-GB"/>
        </w:rPr>
        <w:t xml:space="preserve">Reed, S.M. and Bogardus, A.M., 2012. </w:t>
      </w:r>
      <w:r w:rsidRPr="007625B8">
        <w:rPr>
          <w:i/>
          <w:iCs/>
          <w:color w:val="0E101A"/>
          <w:lang w:val="en-GB" w:eastAsia="en-GB"/>
        </w:rPr>
        <w:t>PHR/SPHR professional in human resources certification study guide</w:t>
      </w:r>
      <w:r w:rsidRPr="007625B8">
        <w:rPr>
          <w:color w:val="0E101A"/>
          <w:lang w:val="en-GB" w:eastAsia="en-GB"/>
        </w:rPr>
        <w:t>. John Wiley &amp; Sons.</w:t>
      </w:r>
    </w:p>
    <w:p w14:paraId="27BCB14F" w14:textId="14C1502B" w:rsidR="007625B8" w:rsidRPr="007625B8" w:rsidRDefault="007625B8" w:rsidP="007625B8">
      <w:pPr>
        <w:numPr>
          <w:ilvl w:val="0"/>
          <w:numId w:val="4"/>
        </w:numPr>
        <w:spacing w:after="0" w:line="240" w:lineRule="auto"/>
        <w:jc w:val="left"/>
        <w:rPr>
          <w:color w:val="0E101A"/>
          <w:lang w:val="en-GB" w:eastAsia="en-GB"/>
        </w:rPr>
      </w:pPr>
      <w:r w:rsidRPr="007625B8">
        <w:rPr>
          <w:color w:val="0E101A"/>
          <w:lang w:val="en-GB" w:eastAsia="en-GB"/>
        </w:rPr>
        <w:t xml:space="preserve">Shaukat, H., Ashraf, N. and Ghafoor, S., 2015. </w:t>
      </w:r>
      <w:r w:rsidRPr="007625B8">
        <w:rPr>
          <w:i/>
          <w:iCs/>
          <w:color w:val="0E101A"/>
          <w:lang w:val="en-GB" w:eastAsia="en-GB"/>
        </w:rPr>
        <w:t>Impact of human resource management practices on employee's performance.</w:t>
      </w:r>
      <w:r w:rsidRPr="007625B8">
        <w:rPr>
          <w:color w:val="0E101A"/>
          <w:lang w:val="en-GB" w:eastAsia="en-GB"/>
        </w:rPr>
        <w:t xml:space="preserve"> </w:t>
      </w:r>
      <w:r w:rsidR="00866833" w:rsidRPr="007625B8">
        <w:rPr>
          <w:color w:val="0E101A"/>
          <w:lang w:val="en-GB" w:eastAsia="en-GB"/>
        </w:rPr>
        <w:t>Middle East</w:t>
      </w:r>
      <w:r w:rsidRPr="007625B8">
        <w:rPr>
          <w:color w:val="0E101A"/>
          <w:lang w:val="en-GB" w:eastAsia="en-GB"/>
        </w:rPr>
        <w:t xml:space="preserve"> Journal of Scientific Research, 23(2).</w:t>
      </w:r>
    </w:p>
    <w:p w14:paraId="0CEAE5CA" w14:textId="7BF33D01" w:rsidR="007625B8" w:rsidRPr="007625B8" w:rsidRDefault="007625B8" w:rsidP="007625B8">
      <w:pPr>
        <w:numPr>
          <w:ilvl w:val="0"/>
          <w:numId w:val="4"/>
        </w:numPr>
        <w:spacing w:after="0" w:line="240" w:lineRule="auto"/>
        <w:jc w:val="left"/>
        <w:rPr>
          <w:color w:val="0E101A"/>
          <w:lang w:val="en-GB" w:eastAsia="en-GB"/>
        </w:rPr>
      </w:pPr>
      <w:r w:rsidRPr="007625B8">
        <w:rPr>
          <w:color w:val="0E101A"/>
          <w:lang w:val="en-GB" w:eastAsia="en-GB"/>
        </w:rPr>
        <w:t>Torrington, D., Hall, L., Atkinson, C.</w:t>
      </w:r>
      <w:r w:rsidR="003D4FD3">
        <w:rPr>
          <w:color w:val="0E101A"/>
          <w:lang w:val="en-GB" w:eastAsia="en-GB"/>
        </w:rPr>
        <w:t>,</w:t>
      </w:r>
      <w:r w:rsidRPr="007625B8">
        <w:rPr>
          <w:color w:val="0E101A"/>
          <w:lang w:val="en-GB" w:eastAsia="en-GB"/>
        </w:rPr>
        <w:t xml:space="preserve"> and Taylor, S., 2020</w:t>
      </w:r>
      <w:r w:rsidRPr="007625B8">
        <w:rPr>
          <w:i/>
          <w:iCs/>
          <w:color w:val="0E101A"/>
          <w:lang w:val="en-GB" w:eastAsia="en-GB"/>
        </w:rPr>
        <w:t>. Human resource management</w:t>
      </w:r>
      <w:r w:rsidRPr="007625B8">
        <w:rPr>
          <w:color w:val="0E101A"/>
          <w:lang w:val="en-GB" w:eastAsia="en-GB"/>
        </w:rPr>
        <w:t>. Pearson UK.</w:t>
      </w:r>
    </w:p>
    <w:p w14:paraId="2A7E31CD" w14:textId="7E4F36DC" w:rsidR="007625B8" w:rsidRPr="007625B8" w:rsidRDefault="007625B8" w:rsidP="007625B8">
      <w:pPr>
        <w:numPr>
          <w:ilvl w:val="0"/>
          <w:numId w:val="4"/>
        </w:numPr>
        <w:spacing w:after="0" w:line="240" w:lineRule="auto"/>
        <w:jc w:val="left"/>
        <w:rPr>
          <w:color w:val="0E101A"/>
          <w:lang w:val="en-GB" w:eastAsia="en-GB"/>
        </w:rPr>
      </w:pPr>
      <w:r w:rsidRPr="007625B8">
        <w:rPr>
          <w:color w:val="0E101A"/>
          <w:lang w:val="en-GB" w:eastAsia="en-GB"/>
        </w:rPr>
        <w:t xml:space="preserve">Welch, M. and Saltmarsh, J., 2013. </w:t>
      </w:r>
      <w:r w:rsidRPr="007625B8">
        <w:rPr>
          <w:i/>
          <w:iCs/>
          <w:color w:val="0E101A"/>
          <w:lang w:val="en-GB" w:eastAsia="en-GB"/>
        </w:rPr>
        <w:t xml:space="preserve">Current practice and infrastructures for campus </w:t>
      </w:r>
      <w:proofErr w:type="spellStart"/>
      <w:r w:rsidR="008A6110">
        <w:rPr>
          <w:i/>
          <w:iCs/>
          <w:color w:val="0E101A"/>
          <w:lang w:val="en-GB" w:eastAsia="en-GB"/>
        </w:rPr>
        <w:t>centers</w:t>
      </w:r>
      <w:proofErr w:type="spellEnd"/>
      <w:r w:rsidRPr="007625B8">
        <w:rPr>
          <w:i/>
          <w:iCs/>
          <w:color w:val="0E101A"/>
          <w:lang w:val="en-GB" w:eastAsia="en-GB"/>
        </w:rPr>
        <w:t xml:space="preserve"> of community engagement.</w:t>
      </w:r>
      <w:r w:rsidRPr="007625B8">
        <w:rPr>
          <w:color w:val="0E101A"/>
          <w:lang w:val="en-GB" w:eastAsia="en-GB"/>
        </w:rPr>
        <w:t xml:space="preserve"> Journal of Higher Education Outreach and Engagement, 17(4).</w:t>
      </w:r>
    </w:p>
    <w:p w14:paraId="464960E3" w14:textId="77777777" w:rsidR="007625B8" w:rsidRPr="007625B8" w:rsidRDefault="007625B8" w:rsidP="007625B8">
      <w:pPr>
        <w:spacing w:after="0" w:line="240" w:lineRule="auto"/>
        <w:jc w:val="left"/>
        <w:rPr>
          <w:color w:val="0E101A"/>
          <w:lang w:val="en-GB" w:eastAsia="en-GB"/>
        </w:rPr>
      </w:pPr>
    </w:p>
    <w:p w14:paraId="218480C0" w14:textId="77777777" w:rsidR="007625B8" w:rsidRPr="007625B8" w:rsidRDefault="007625B8" w:rsidP="007625B8"/>
    <w:sectPr w:rsidR="007625B8" w:rsidRPr="007625B8" w:rsidSect="007625B8">
      <w:footerReference w:type="default" r:id="rId11"/>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DE118" w14:textId="77777777" w:rsidR="0021258F" w:rsidRDefault="0021258F">
      <w:pPr>
        <w:spacing w:after="0" w:line="240" w:lineRule="auto"/>
      </w:pPr>
      <w:r>
        <w:separator/>
      </w:r>
    </w:p>
  </w:endnote>
  <w:endnote w:type="continuationSeparator" w:id="0">
    <w:p w14:paraId="33C715A8" w14:textId="77777777" w:rsidR="0021258F" w:rsidRDefault="00212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E" w14:textId="79E46FA8" w:rsidR="007E271C" w:rsidRDefault="00B77B73">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01B8C">
      <w:rPr>
        <w:noProof/>
        <w:color w:val="000000"/>
      </w:rPr>
      <w:t>1</w:t>
    </w:r>
    <w:r>
      <w:rPr>
        <w:color w:val="000000"/>
      </w:rPr>
      <w:fldChar w:fldCharType="end"/>
    </w:r>
  </w:p>
  <w:p w14:paraId="0000004F" w14:textId="77777777" w:rsidR="007E271C" w:rsidRDefault="007E271C">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745080"/>
      <w:docPartObj>
        <w:docPartGallery w:val="Page Numbers (Bottom of Page)"/>
        <w:docPartUnique/>
      </w:docPartObj>
    </w:sdtPr>
    <w:sdtEndPr>
      <w:rPr>
        <w:noProof/>
      </w:rPr>
    </w:sdtEndPr>
    <w:sdtContent>
      <w:p w14:paraId="36C02712" w14:textId="2F446C28" w:rsidR="00E01B8C" w:rsidRDefault="00E01B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4D" w14:textId="77777777" w:rsidR="007E271C" w:rsidRDefault="007E271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F2E8F" w14:textId="77777777" w:rsidR="0021258F" w:rsidRDefault="0021258F">
      <w:pPr>
        <w:spacing w:after="0" w:line="240" w:lineRule="auto"/>
      </w:pPr>
      <w:r>
        <w:separator/>
      </w:r>
    </w:p>
  </w:footnote>
  <w:footnote w:type="continuationSeparator" w:id="0">
    <w:p w14:paraId="09AFE70F" w14:textId="77777777" w:rsidR="0021258F" w:rsidRDefault="002125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80F69"/>
    <w:multiLevelType w:val="hybridMultilevel"/>
    <w:tmpl w:val="8D42A500"/>
    <w:lvl w:ilvl="0" w:tplc="0BA0490A">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6B600063"/>
    <w:multiLevelType w:val="hybridMultilevel"/>
    <w:tmpl w:val="69A43556"/>
    <w:lvl w:ilvl="0" w:tplc="0A7ED1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B66327"/>
    <w:multiLevelType w:val="multilevel"/>
    <w:tmpl w:val="57B0587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78C02C41"/>
    <w:multiLevelType w:val="hybridMultilevel"/>
    <w:tmpl w:val="E4D686D0"/>
    <w:lvl w:ilvl="0" w:tplc="FC2CE1F4">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16cid:durableId="545993647">
    <w:abstractNumId w:val="1"/>
  </w:num>
  <w:num w:numId="2" w16cid:durableId="697855973">
    <w:abstractNumId w:val="0"/>
  </w:num>
  <w:num w:numId="3" w16cid:durableId="1003167368">
    <w:abstractNumId w:val="2"/>
  </w:num>
  <w:num w:numId="4" w16cid:durableId="17175119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71C"/>
    <w:rsid w:val="0013209A"/>
    <w:rsid w:val="001B79A2"/>
    <w:rsid w:val="0021258F"/>
    <w:rsid w:val="0039274B"/>
    <w:rsid w:val="003939A6"/>
    <w:rsid w:val="003D4FD3"/>
    <w:rsid w:val="0053556F"/>
    <w:rsid w:val="00563EF2"/>
    <w:rsid w:val="00596125"/>
    <w:rsid w:val="00615918"/>
    <w:rsid w:val="007625B8"/>
    <w:rsid w:val="00786442"/>
    <w:rsid w:val="007A2D6C"/>
    <w:rsid w:val="007E271C"/>
    <w:rsid w:val="00821A6E"/>
    <w:rsid w:val="00866833"/>
    <w:rsid w:val="008A6110"/>
    <w:rsid w:val="009A4BB8"/>
    <w:rsid w:val="00A62E72"/>
    <w:rsid w:val="00A94124"/>
    <w:rsid w:val="00B77B73"/>
    <w:rsid w:val="00BD14B1"/>
    <w:rsid w:val="00C47570"/>
    <w:rsid w:val="00C714E9"/>
    <w:rsid w:val="00D00062"/>
    <w:rsid w:val="00E01B8C"/>
    <w:rsid w:val="00E0285A"/>
    <w:rsid w:val="00E72BCA"/>
    <w:rsid w:val="00F2263A"/>
    <w:rsid w:val="00F54D54"/>
    <w:rsid w:val="00F60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9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B2C"/>
  </w:style>
  <w:style w:type="paragraph" w:styleId="Heading1">
    <w:name w:val="heading 1"/>
    <w:basedOn w:val="Normal"/>
    <w:next w:val="Normal"/>
    <w:link w:val="Heading1Char"/>
    <w:uiPriority w:val="9"/>
    <w:qFormat/>
    <w:rsid w:val="00F51FE8"/>
    <w:pPr>
      <w:keepNext/>
      <w:keepLines/>
      <w:spacing w:before="240" w:after="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F51FE8"/>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F51FE8"/>
    <w:pPr>
      <w:keepNext/>
      <w:keepLines/>
      <w:spacing w:before="40" w:after="0"/>
      <w:outlineLvl w:val="2"/>
    </w:pPr>
    <w:rPr>
      <w:rFonts w:eastAsiaTheme="majorEastAsia" w:cstheme="majorBidi"/>
      <w:b/>
      <w:color w:val="000000" w:themeColor="text1"/>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20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751"/>
  </w:style>
  <w:style w:type="paragraph" w:styleId="Footer">
    <w:name w:val="footer"/>
    <w:basedOn w:val="Normal"/>
    <w:link w:val="FooterChar"/>
    <w:uiPriority w:val="99"/>
    <w:unhideWhenUsed/>
    <w:qFormat/>
    <w:rsid w:val="00620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751"/>
  </w:style>
  <w:style w:type="character" w:customStyle="1" w:styleId="Heading1Char">
    <w:name w:val="Heading 1 Char"/>
    <w:basedOn w:val="DefaultParagraphFont"/>
    <w:link w:val="Heading1"/>
    <w:uiPriority w:val="9"/>
    <w:rsid w:val="00F51FE8"/>
    <w:rPr>
      <w:rFonts w:eastAsiaTheme="majorEastAsia" w:cstheme="majorBidi"/>
      <w:b/>
      <w:color w:val="000000" w:themeColor="text1"/>
      <w:sz w:val="32"/>
      <w:szCs w:val="32"/>
      <w:u w:val="single"/>
    </w:rPr>
  </w:style>
  <w:style w:type="character" w:customStyle="1" w:styleId="Heading2Char">
    <w:name w:val="Heading 2 Char"/>
    <w:basedOn w:val="DefaultParagraphFont"/>
    <w:link w:val="Heading2"/>
    <w:uiPriority w:val="9"/>
    <w:rsid w:val="00F51FE8"/>
    <w:rPr>
      <w:rFonts w:eastAsiaTheme="majorEastAsia" w:cstheme="majorBidi"/>
      <w:b/>
      <w:color w:val="000000" w:themeColor="text1"/>
      <w:sz w:val="28"/>
      <w:szCs w:val="26"/>
    </w:rPr>
  </w:style>
  <w:style w:type="paragraph" w:styleId="TOCHeading">
    <w:name w:val="TOC Heading"/>
    <w:basedOn w:val="Heading1"/>
    <w:next w:val="Normal"/>
    <w:uiPriority w:val="39"/>
    <w:unhideWhenUsed/>
    <w:qFormat/>
    <w:rsid w:val="00D17DF1"/>
    <w:pPr>
      <w:spacing w:line="259" w:lineRule="auto"/>
      <w:jc w:val="left"/>
      <w:outlineLvl w:val="9"/>
    </w:pPr>
  </w:style>
  <w:style w:type="paragraph" w:styleId="TOC1">
    <w:name w:val="toc 1"/>
    <w:basedOn w:val="Normal"/>
    <w:next w:val="Normal"/>
    <w:autoRedefine/>
    <w:uiPriority w:val="39"/>
    <w:unhideWhenUsed/>
    <w:rsid w:val="00D17DF1"/>
    <w:pPr>
      <w:spacing w:after="100"/>
    </w:pPr>
  </w:style>
  <w:style w:type="paragraph" w:styleId="TOC2">
    <w:name w:val="toc 2"/>
    <w:basedOn w:val="Normal"/>
    <w:next w:val="Normal"/>
    <w:autoRedefine/>
    <w:uiPriority w:val="39"/>
    <w:unhideWhenUsed/>
    <w:rsid w:val="00D17DF1"/>
    <w:pPr>
      <w:spacing w:after="100"/>
      <w:ind w:left="240"/>
    </w:pPr>
  </w:style>
  <w:style w:type="character" w:styleId="Hyperlink">
    <w:name w:val="Hyperlink"/>
    <w:basedOn w:val="DefaultParagraphFont"/>
    <w:uiPriority w:val="99"/>
    <w:unhideWhenUsed/>
    <w:rsid w:val="00D17DF1"/>
    <w:rPr>
      <w:color w:val="0563C1" w:themeColor="hyperlink"/>
      <w:u w:val="single"/>
    </w:rPr>
  </w:style>
  <w:style w:type="paragraph" w:styleId="NoSpacing">
    <w:name w:val="No Spacing"/>
    <w:uiPriority w:val="1"/>
    <w:qFormat/>
    <w:rsid w:val="008D2A78"/>
    <w:pPr>
      <w:spacing w:after="0" w:line="240" w:lineRule="auto"/>
    </w:pPr>
  </w:style>
  <w:style w:type="paragraph" w:styleId="Caption">
    <w:name w:val="caption"/>
    <w:basedOn w:val="Normal"/>
    <w:next w:val="Normal"/>
    <w:uiPriority w:val="35"/>
    <w:unhideWhenUsed/>
    <w:qFormat/>
    <w:rsid w:val="001E277F"/>
    <w:pPr>
      <w:spacing w:after="200" w:line="240" w:lineRule="auto"/>
    </w:pPr>
    <w:rPr>
      <w:i/>
      <w:iCs/>
      <w:color w:val="44546A" w:themeColor="text2"/>
      <w:sz w:val="18"/>
      <w:szCs w:val="18"/>
    </w:rPr>
  </w:style>
  <w:style w:type="paragraph" w:styleId="ListParagraph">
    <w:name w:val="List Paragraph"/>
    <w:basedOn w:val="Normal"/>
    <w:uiPriority w:val="34"/>
    <w:qFormat/>
    <w:rsid w:val="001E277F"/>
    <w:pPr>
      <w:ind w:left="720"/>
      <w:contextualSpacing/>
    </w:pPr>
  </w:style>
  <w:style w:type="table" w:styleId="TableGrid">
    <w:name w:val="Table Grid"/>
    <w:basedOn w:val="TableNormal"/>
    <w:uiPriority w:val="39"/>
    <w:rsid w:val="00E42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83375"/>
    <w:pPr>
      <w:spacing w:after="0"/>
    </w:pPr>
  </w:style>
  <w:style w:type="character" w:customStyle="1" w:styleId="Heading3Char">
    <w:name w:val="Heading 3 Char"/>
    <w:basedOn w:val="DefaultParagraphFont"/>
    <w:link w:val="Heading3"/>
    <w:uiPriority w:val="9"/>
    <w:rsid w:val="00F51FE8"/>
    <w:rPr>
      <w:rFonts w:eastAsiaTheme="majorEastAsia" w:cstheme="majorBidi"/>
      <w:b/>
      <w:color w:val="000000" w:themeColor="text1"/>
      <w:szCs w:val="24"/>
      <w:u w:val="single"/>
    </w:rPr>
  </w:style>
  <w:style w:type="paragraph" w:styleId="TOC3">
    <w:name w:val="toc 3"/>
    <w:basedOn w:val="Normal"/>
    <w:next w:val="Normal"/>
    <w:autoRedefine/>
    <w:uiPriority w:val="39"/>
    <w:unhideWhenUsed/>
    <w:rsid w:val="00F51FE8"/>
    <w:pPr>
      <w:spacing w:after="100"/>
      <w:ind w:left="480"/>
    </w:pPr>
  </w:style>
  <w:style w:type="paragraph" w:styleId="BalloonText">
    <w:name w:val="Balloon Text"/>
    <w:basedOn w:val="Normal"/>
    <w:link w:val="BalloonTextChar"/>
    <w:uiPriority w:val="99"/>
    <w:semiHidden/>
    <w:unhideWhenUsed/>
    <w:rsid w:val="00506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DB2"/>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7625B8"/>
    <w:pPr>
      <w:spacing w:before="100" w:beforeAutospacing="1" w:after="100" w:afterAutospacing="1" w:line="240" w:lineRule="auto"/>
      <w:jc w:val="left"/>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6408">
      <w:bodyDiv w:val="1"/>
      <w:marLeft w:val="0"/>
      <w:marRight w:val="0"/>
      <w:marTop w:val="0"/>
      <w:marBottom w:val="0"/>
      <w:divBdr>
        <w:top w:val="none" w:sz="0" w:space="0" w:color="auto"/>
        <w:left w:val="none" w:sz="0" w:space="0" w:color="auto"/>
        <w:bottom w:val="none" w:sz="0" w:space="0" w:color="auto"/>
        <w:right w:val="none" w:sz="0" w:space="0" w:color="auto"/>
      </w:divBdr>
    </w:div>
    <w:div w:id="843203700">
      <w:bodyDiv w:val="1"/>
      <w:marLeft w:val="0"/>
      <w:marRight w:val="0"/>
      <w:marTop w:val="0"/>
      <w:marBottom w:val="0"/>
      <w:divBdr>
        <w:top w:val="none" w:sz="0" w:space="0" w:color="auto"/>
        <w:left w:val="none" w:sz="0" w:space="0" w:color="auto"/>
        <w:bottom w:val="none" w:sz="0" w:space="0" w:color="auto"/>
        <w:right w:val="none" w:sz="0" w:space="0" w:color="auto"/>
      </w:divBdr>
    </w:div>
    <w:div w:id="860049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6sRBcb+OizDp38tD/qZs4t5rvYA==">AMUW2mXoDbQpzMk1WX7UU8grKHCLmAt5tZMorPQTQn6wPnLMEvL71obS/5Av4txKrgr6L6xl/UR8U+GBOsZc8FA4mybzD9O39/wI1CMpZNYdX7yqB6AF6PMvDGYUwXn131JUhWCmUkjxIZSnNNp3ieLko08OoCElCkWJ2LpwQDESyUG757JXbKC5hcz1N7XZYI147Fv4ott6</go:docsCustomData>
</go:gDocsCustomXmlDataStorage>
</file>

<file path=customXml/itemProps1.xml><?xml version="1.0" encoding="utf-8"?>
<ds:datastoreItem xmlns:ds="http://schemas.openxmlformats.org/officeDocument/2006/customXml" ds:itemID="{5421A74B-F4CE-4EB4-AC74-CC484428A57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2244</Words>
  <Characters>12793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2022-05-18T22:36:00Z</dcterms:created>
  <dcterms:modified xsi:type="dcterms:W3CDTF">2022-05-19T18:21:00Z</dcterms:modified>
</cp:coreProperties>
</file>