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jpg" ContentType="image/jpe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2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2.xml" ContentType="application/vnd.openxmlformats-officedocument.wordprocessingml.header+xml"/>
  <Override PartName="/word/footer3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header33.xml" ContentType="application/vnd.openxmlformats-officedocument.wordprocessingml.header+xml"/>
  <Override PartName="/word/footnotes.xml" ContentType="application/vnd.openxmlformats-officedocument.wordprocessingml.footnotes+xml"/>
  <Override PartName="/word/footer22.xml" ContentType="application/vnd.openxmlformats-officedocument.wordprocessingml.footer+xml"/>
  <Override PartName="/word/webSettings.xml" ContentType="application/vnd.openxmlformats-officedocument.wordprocessingml.webSettings+xml"/>
  <Override PartName="/word/footer13.xml" ContentType="application/vnd.openxmlformats-officedocument.wordprocessingml.footer+xml"/>
  <Override PartName="/word/theme/theme11.xml" ContentType="application/vnd.openxmlformats-officedocument.theme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441033" w:rsidP="0B45B263" w:rsidRDefault="00171E9D" w14:paraId="321903A0" wp14:textId="1A5E576D">
      <w:pPr>
        <w:pStyle w:val="Title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02BD7279" w14:textId="1DB347E2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F4E44A5" w:rsidP="0B45B263" w:rsidRDefault="6F4E44A5" w14:paraId="1F65C272" w14:textId="15603492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6F4E4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BUSINESS REPORT - COMPARISON OF </w:t>
      </w:r>
    </w:p>
    <w:p w:rsidR="6F4E44A5" w:rsidP="0B45B263" w:rsidRDefault="6F4E44A5" w14:paraId="14C1E0E0" w14:textId="544A6370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6F4E4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TWO HOSPITALITY ORGANISATIONS</w:t>
      </w:r>
    </w:p>
    <w:p w:rsidR="0B45B263" w:rsidP="0B45B263" w:rsidRDefault="0B45B263" w14:paraId="32A103EF" w14:textId="56B30940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0B45B263" w:rsidP="0B45B263" w:rsidRDefault="0B45B263" w14:paraId="288B5E55" w14:textId="5A614166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F4E44A5" w:rsidP="0B45B263" w:rsidRDefault="6F4E44A5" w14:paraId="44282FB3" w14:textId="451EFCA7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6F4E4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(Comparison of Mandarin Oriental Hotel Group and </w:t>
      </w:r>
    </w:p>
    <w:p w:rsidR="6F4E44A5" w:rsidP="0B45B263" w:rsidRDefault="6F4E44A5" w14:paraId="2EACD3B9" w14:textId="04B6C286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6F4E4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Premier Inn)</w:t>
      </w:r>
    </w:p>
    <w:p w:rsidR="0B45B263" w:rsidP="0B45B263" w:rsidRDefault="0B45B263" w14:paraId="41F817B5" w14:textId="69BF5534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0B45B263" w:rsidP="0B45B263" w:rsidRDefault="0B45B263" w14:paraId="5D052988" w14:textId="26728C40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F4E44A5" w:rsidP="0B45B263" w:rsidRDefault="6F4E44A5" w14:paraId="22D13241" w14:textId="4880BE0E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6F4E4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Name: Madalina Ghera</w:t>
      </w:r>
    </w:p>
    <w:p w:rsidR="2D3F8758" w:rsidP="0B45B263" w:rsidRDefault="2D3F8758" w14:paraId="1E9D0761" w14:textId="7DC0E382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2D3F8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Student Id:2128167</w:t>
      </w:r>
    </w:p>
    <w:p w:rsidR="0B45B263" w:rsidP="0B45B263" w:rsidRDefault="0B45B263" w14:paraId="5F01EBFE" w14:textId="32E58166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0B45B263" w:rsidP="0B45B263" w:rsidRDefault="0B45B263" w14:paraId="35796239" w14:textId="3A6499D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6F4E44A5" w:rsidP="0B45B263" w:rsidRDefault="6F4E44A5" w14:paraId="71C36379" w14:textId="5D0A0250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6F4E4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Lecturer Name: Tristan Hawkins</w:t>
      </w:r>
    </w:p>
    <w:p w:rsidR="53DF3780" w:rsidP="0B45B263" w:rsidRDefault="53DF3780" w14:paraId="51141AAD" w14:textId="4551EE97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B45B263" w:rsidR="53DF37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BMIH5002</w:t>
      </w:r>
    </w:p>
    <w:p w:rsidR="0B45B263" w:rsidP="0B45B263" w:rsidRDefault="0B45B263" w14:paraId="3F456CA5" w14:textId="1667D527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0B45B263" w:rsidP="0B45B263" w:rsidRDefault="0B45B263" w14:paraId="52990F7A" w14:textId="2EF8FB42">
      <w:pPr>
        <w:pStyle w:val="Title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76EB5F8E" w14:textId="300C58C0">
      <w:pPr>
        <w:pStyle w:val="Title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0CE39F5D" w14:textId="586FC458">
      <w:pPr>
        <w:pStyle w:val="Title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4ED19097" w14:textId="3D19DCFF">
      <w:pPr>
        <w:pStyle w:val="Title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7D5BAD3D" w:rsidP="0B45B263" w:rsidRDefault="7D5BAD3D" w14:paraId="6AF830BC" w14:textId="3BB45974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Table of Contents</w:t>
      </w:r>
    </w:p>
    <w:p w:rsidR="0B45B263" w:rsidP="0B45B263" w:rsidRDefault="0B45B263" w14:paraId="08C7F41C" w14:textId="2A88FFF4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5BAD3D" w:rsidP="0B45B263" w:rsidRDefault="7D5BAD3D" w14:paraId="6138E87B" w14:textId="2E8BB5D4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Introduction........................................................................................................................</w:t>
      </w:r>
      <w:r w:rsidRPr="0B45B263" w:rsidR="39D812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.......3</w:t>
      </w:r>
    </w:p>
    <w:p w:rsidR="7D5BAD3D" w:rsidP="0B45B263" w:rsidRDefault="7D5BAD3D" w14:paraId="1E4B1987" w14:textId="1140AB81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Background of the Hotels..............................................................................................................</w:t>
      </w:r>
      <w:r w:rsidRPr="0B45B263" w:rsidR="46F602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</w:p>
    <w:p w:rsidR="7D5BAD3D" w:rsidP="0B45B263" w:rsidRDefault="7D5BAD3D" w14:paraId="7C2E5F35" w14:textId="1F46E38D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Points of Comparison..................................................................................................................</w:t>
      </w:r>
      <w:r w:rsidRPr="0B45B263" w:rsidR="3A174D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7D5BAD3D" w:rsidP="0B45B263" w:rsidRDefault="7D5BAD3D" w14:paraId="4D683ABC" w14:textId="7BAE74DA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Comparative Results............................................................................................................</w:t>
      </w:r>
      <w:r w:rsidRPr="0B45B263" w:rsidR="3FC33A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</w:p>
    <w:p w:rsidR="7D5BAD3D" w:rsidP="0B45B263" w:rsidRDefault="7D5BAD3D" w14:paraId="06DE713A" w14:textId="4FD0A3E8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Recommendations......................................................................................................................8</w:t>
      </w:r>
    </w:p>
    <w:p w:rsidR="7D5BAD3D" w:rsidP="0B45B263" w:rsidRDefault="7D5BAD3D" w14:paraId="0FFA1CE2" w14:textId="6D21CB46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Conclusion..................................................................................................................................9</w:t>
      </w:r>
    </w:p>
    <w:p w:rsidR="7D5BAD3D" w:rsidP="0B45B263" w:rsidRDefault="7D5BAD3D" w14:paraId="4D5619B6" w14:textId="0005E382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References....................................................................................................................</w:t>
      </w:r>
      <w:r w:rsidRPr="0B45B263" w:rsidR="7D5BAD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............10</w:t>
      </w:r>
    </w:p>
    <w:p w:rsidR="0B45B263" w:rsidP="0B45B263" w:rsidRDefault="0B45B263" w14:paraId="1539730B" w14:textId="769522A5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22D670B5" w14:textId="7EFAACE8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7F3BFA1E" w14:textId="5669E690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1F7D1CD3" w14:textId="1E925535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6FA038AD" w14:textId="4A7D76D0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23725101" w14:textId="1299A2E7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6A226F4C" w14:textId="4BBC9B96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0641945B" w14:textId="2B1ABDE5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4259620D" w14:textId="4053BAB8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7CA81F80" w14:textId="1F90CCD0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03FB46DD" w14:textId="6418181C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1C19F145" w14:textId="7A8D6E21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4616B9C9" w14:textId="6BDAA3F0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3FB48210" w14:textId="59DC499E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584D0E9D" w14:textId="5CF73F43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0BBF8063" w14:textId="4A6D6453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339540FF" w14:textId="65ECB0D4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0E40FAE0" w14:textId="77ADE2CE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0DA87364" w14:textId="4A1D48BF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207AD2FD" w14:textId="05302628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14D8C31B" w14:textId="5C0F2748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089986F" w:rsidP="0B45B263" w:rsidRDefault="7089986F" w14:paraId="2F37970D" w14:textId="0522E048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</w:t>
      </w:r>
    </w:p>
    <w:p w:rsidR="7089986F" w:rsidP="0B45B263" w:rsidRDefault="7089986F" w14:paraId="01F8ADB6" w14:textId="084D1B2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hotel industry has been one of the major financial organisations that are liquidated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growth of tier organisations over monetary and management terms. The significance of the </w:t>
      </w:r>
    </w:p>
    <w:p w:rsidR="7089986F" w:rsidP="0B45B263" w:rsidRDefault="7089986F" w14:paraId="58C39D92" w14:textId="63B6444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process enhances the aptitude for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management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upscaling process of business at a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global scale. The identification of the fact that the hospitality industry is a seasonal market </w:t>
      </w:r>
    </w:p>
    <w:p w:rsidR="7089986F" w:rsidP="0B45B263" w:rsidRDefault="7089986F" w14:paraId="35441A07" w14:textId="4FE615F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capturer depends on the type of hotel it is succumbed to (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Saksonova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Savina, 2019). The </w:t>
      </w:r>
    </w:p>
    <w:p w:rsidR="7089986F" w:rsidP="0B45B263" w:rsidRDefault="7089986F" w14:paraId="6D3FAC3C" w14:textId="292F237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 is based on the identification of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management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prospects of two different </w:t>
      </w:r>
    </w:p>
    <w:p w:rsidR="7089986F" w:rsidP="0B45B263" w:rsidRDefault="7089986F" w14:paraId="03E613DA" w14:textId="4EF71C5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hospitality organisations. The comparison between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management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strategies of </w:t>
      </w:r>
    </w:p>
    <w:p w:rsidR="7089986F" w:rsidP="0B45B263" w:rsidRDefault="7089986F" w14:paraId="7BEE83E0" w14:textId="68B7CBA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Mandarin Oriental Hotel Group and Premier Inn will help in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broad overview of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point of extradition in enhancing the financial stability of organisations (Topa, Hernández-Solís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Zappalà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2020). The motive of the report is to focus on each of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management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points that contribute effectively towards the profitability and business prospects of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organisation. It also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provides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background and history of the hotel to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signify the present positioning of the organisation in financial terms. </w:t>
      </w:r>
    </w:p>
    <w:p w:rsidR="7089986F" w:rsidP="0B45B263" w:rsidRDefault="7089986F" w14:paraId="42D79DE0" w14:textId="2133E109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Background of the Hotels</w:t>
      </w:r>
    </w:p>
    <w:p w:rsidR="7089986F" w:rsidP="0B45B263" w:rsidRDefault="7089986F" w14:paraId="2FC90BA5" w14:textId="21A5FB5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Mandarin Oriental Hotel Group:</w:t>
      </w:r>
    </w:p>
    <w:p w:rsidR="7089986F" w:rsidP="0B45B263" w:rsidRDefault="7089986F" w14:paraId="6C4D4BA7" w14:textId="0A766F4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hotel Group is one of the largest hotel chains in </w:t>
      </w:r>
      <w:r w:rsidRPr="0B45B263" w:rsidR="23F0B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Southeast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Asia with its headquarters in</w:t>
      </w:r>
      <w:r w:rsidRPr="0B45B263" w:rsidR="2D5386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Hong Kong. The chain is a subsidiary of Jardine Matheson and the British Conglomerate.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initiation of the group occurred in 1963 with its first hospitality outlet in Hong Kong. The ultra-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luxurious approach and exceptional service quality of the organisation helped gain popularity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 </w:t>
      </w:r>
      <w:r w:rsidRPr="0B45B263" w:rsidR="08929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short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period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B45B263" w:rsidR="37D51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37D51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Mandarin</w:t>
      </w:r>
      <w:r w:rsidRPr="0B45B263" w:rsidR="37D51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Oriental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2023). The hotel chain over its global expansion has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been presently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operating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world's most prestigious hospitality outlets around the world.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providence of facilities like exquisite design, fine dining and extraordinary service have turned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up to be a unique selling proposition in terms of business (Baskin, 2023). The organisation is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spread over 34 locations at a global level with a workforce of more than 12000 employees. The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 has been committing an effective turnover of $568 million in 2022, which adds to a </w:t>
      </w:r>
      <w:r w:rsidRPr="0B45B263" w:rsidR="70899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49% increase from 2021.</w:t>
      </w:r>
    </w:p>
    <w:p w:rsidR="0B45B263" w:rsidP="0B45B263" w:rsidRDefault="0B45B263" w14:paraId="24DF4E52" w14:textId="7613ED70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4BC27697" w14:textId="1E4109F7">
      <w:pPr>
        <w:jc w:val="left"/>
      </w:pPr>
    </w:p>
    <w:p w:rsidR="0B45B263" w:rsidP="0B45B263" w:rsidRDefault="0B45B263" w14:paraId="7D7FD0FA" w14:textId="0996F4DC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4EF704B1" w14:textId="73ADCC07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4175DBFE" w14:textId="08E8107B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06D58CB9" w14:textId="7A1BD927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0CF00FE4" w14:textId="4CD12FA7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6AAFE04D" w14:textId="51691622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5FE5C268" w:rsidP="0B45B263" w:rsidRDefault="5FE5C268" w14:paraId="08A4DC6D" w14:textId="2AD30604">
      <w:pPr>
        <w:rPr>
          <w:b w:val="1"/>
          <w:bCs w:val="1"/>
          <w:sz w:val="24"/>
          <w:szCs w:val="24"/>
        </w:rPr>
      </w:pPr>
      <w:r w:rsidRPr="0B45B263" w:rsidR="5FE5C268">
        <w:rPr>
          <w:b w:val="1"/>
          <w:bCs w:val="1"/>
          <w:sz w:val="24"/>
          <w:szCs w:val="24"/>
        </w:rPr>
        <w:t>Premier Inn</w:t>
      </w:r>
    </w:p>
    <w:p w:rsidR="06F0EE25" w:rsidP="0B45B263" w:rsidRDefault="06F0EE25" w14:paraId="10DC0876" w14:textId="26369884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British Hotel Chain Premier Inn is a part of the parent organisation White Bread group. The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organisation was founded in 1987 under the name of the Travel Inn brand. The motive of the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brand is to diversify the aspect of hospitality from its pubs and brewing business. The major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merger of the brand occurred in 2004 with Premier Lodge, which has been one of the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budget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hotel chains in the UK (Premier Inn, 2023). The merger helped in the development of an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extensive network based on the segregation and development of budget hotels in the UK. The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year 2007 marked the merger as the rebranding of the organisation, named Premier Inn. The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market presence of the hotel chain includes suburbs, airports, travel destinations and city centres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(BBC, 2019). The organisation is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largely spread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over Europe, the Middle East and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South East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Asia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extensive domestic appearance at a global level. </w:t>
      </w:r>
    </w:p>
    <w:p w:rsidR="0B45B263" w:rsidP="0B45B263" w:rsidRDefault="0B45B263" w14:paraId="02F1F158" w14:textId="5B1E59A2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6F0EE25" w:rsidP="0B45B263" w:rsidRDefault="06F0EE25" w14:paraId="29BAC01D" w14:textId="6F8B9A43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06F0EE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Points of Comparison</w:t>
      </w:r>
    </w:p>
    <w:p w:rsidR="06F0EE25" w:rsidP="0B45B263" w:rsidRDefault="06F0EE25" w14:paraId="245D081C" w14:textId="5293B4E3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focus on the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management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any organisation it is </w:t>
      </w:r>
      <w:r w:rsidRPr="0B45B263" w:rsidR="1EF05E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incredibly important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know and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 the depth of terminology of the organisation. The impact of an organisation </w:t>
      </w:r>
      <w:r w:rsidRPr="0B45B263" w:rsidR="241783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can be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deeply understood by the identification of the Total Revenue, Market Position, Growth</w:t>
      </w:r>
      <w:r w:rsidRPr="0B45B263" w:rsidR="2C9BBE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Potential,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Financial Commitment of the organisation (BBC, 2023). The identification of these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parameters will help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the process of comparison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hospitality organisations at a broader </w:t>
      </w:r>
      <w:r w:rsidRPr="0B45B263" w:rsidR="06F0E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level. </w:t>
      </w:r>
    </w:p>
    <w:p w:rsidR="0B45B263" w:rsidP="0B45B263" w:rsidRDefault="0B45B263" w14:paraId="5C474827" w14:textId="670DD661">
      <w:pPr>
        <w:pStyle w:val="Normal"/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45B263" w:rsidP="0B45B263" w:rsidRDefault="0B45B263" w14:paraId="38291D36" w14:textId="37EA84E4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6F0EE25" w:rsidP="0B45B263" w:rsidRDefault="06F0EE25" w14:paraId="04CF729A" w14:textId="1597FE2B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B45B263" w:rsidR="06F0EE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Total Revenu</w:t>
      </w:r>
      <w:r w:rsidRPr="0B45B263" w:rsidR="08DEBBA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e:</w:t>
      </w:r>
    </w:p>
    <w:p w:rsidR="0B45B263" w:rsidP="0B45B263" w:rsidRDefault="0B45B263" w14:paraId="31F2EEBF" w14:textId="2074F2A5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2FCC9C83" w14:textId="10369090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0D776056" w14:textId="7215EA07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3D0D7600" w14:textId="072F9511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2B027B9F" w14:textId="4C9707C6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6C44FC30" w14:textId="44075E0E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3DEE6A3D" w14:textId="3D020A95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691558D9" w14:textId="5A360AC3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67509BB5" w14:textId="6C264812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4095CF66" w14:textId="773542F5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41B2E1FA" w14:textId="2D30840D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13CF5D7B" w14:textId="47C0084F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58BC3787" w14:textId="5F2D1D8F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24F1D9B0" w14:textId="68E8A03C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363C9530" w14:textId="55EA2D2E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B45B263" w:rsidP="0B45B263" w:rsidRDefault="0B45B263" w14:paraId="3DD2087D" w14:textId="140A4D42">
      <w:pPr>
        <w:pStyle w:val="Title"/>
        <w:jc w:val="both"/>
        <w:rPr>
          <w:rFonts w:ascii="Times New Roman" w:hAnsi="Times New Roman" w:eastAsia="Times New Roman" w:cs="Times New Roman"/>
          <w:sz w:val="32"/>
          <w:szCs w:val="32"/>
          <w:lang w:val="en-GB" w:bidi="en-GB"/>
        </w:rPr>
      </w:pPr>
    </w:p>
    <w:p w:rsidR="0511A160" w:rsidP="0B45B263" w:rsidRDefault="0511A160" w14:paraId="331B9DD8" w14:textId="0FD3B6A4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0511A160">
        <w:drawing>
          <wp:inline wp14:editId="0F0F1D2E" wp14:anchorId="7932194B">
            <wp:extent cx="4094956" cy="5867400"/>
            <wp:effectExtent l="0" t="0" r="0" b="0"/>
            <wp:docPr id="10849538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1ae50ef4c349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956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E37419" w:rsidP="0B45B263" w:rsidRDefault="79E37419" w14:paraId="49A84040" w14:textId="7F9BA03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79E374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Figure 1: Revenue chart of Mandarin Oriental Hotel</w:t>
      </w:r>
    </w:p>
    <w:p w:rsidR="79E37419" w:rsidP="0B45B263" w:rsidRDefault="79E37419" w14:paraId="75DB967F" w14:textId="73AD99C5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79E374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(Source: Mandarin Oriental, 2023)</w:t>
      </w:r>
    </w:p>
    <w:p w:rsidR="0B45B263" w:rsidP="0B45B263" w:rsidRDefault="0B45B263" w14:paraId="7DEED5C3" w14:textId="3BB067C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5773332D" w14:textId="6EE721C0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9E37419" w:rsidP="0B45B263" w:rsidRDefault="79E37419" w14:paraId="249963AC" w14:textId="4A6CF608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identification of total revenue can be marked as the overall income of the </w:t>
      </w:r>
      <w:r w:rsidRPr="0B45B263" w:rsidR="3D0BE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</w:t>
      </w:r>
      <w:r w:rsidRPr="0B45B263" w:rsidR="3AB70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0B45B263" w:rsidR="3D0BE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ation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based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 its primary activities (Mandarin Oriental, 2023). The approach collectively enhances the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inclusion of all sources of income such as sales products or services. </w:t>
      </w:r>
      <w:r w:rsidRPr="0B45B263" w:rsidR="42993C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is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all collected from the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rental income</w:t>
      </w:r>
      <w:r w:rsidRPr="0B45B263" w:rsidR="14DF82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other incomes of the </w:t>
      </w:r>
      <w:r w:rsidRPr="0B45B263" w:rsidR="5DF69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</w:t>
      </w:r>
      <w:r w:rsidRPr="0B45B263" w:rsidR="013DD7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0B45B263" w:rsidR="5DF69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ation</w:t>
      </w:r>
      <w:r w:rsidRPr="0B45B263" w:rsidR="5DF693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figure for the total revenue of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B45B263" w:rsidR="325E54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</w:t>
      </w:r>
      <w:r w:rsidRPr="0B45B263" w:rsidR="3299F6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0B45B263" w:rsidR="325E54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ation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been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observed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be $401 million (Forbes, 2023). On the other hand, the 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total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revenue output of </w:t>
      </w:r>
      <w:r w:rsidRPr="0B45B263" w:rsidR="335FF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B45B263" w:rsidR="55C968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remi</w:t>
      </w:r>
      <w:r w:rsidRPr="0B45B263" w:rsidR="335FF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</w:t>
      </w:r>
      <w:r w:rsidRPr="0B45B263" w:rsidR="79E374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Inn is capped at ￡2.62 billion.</w:t>
      </w:r>
    </w:p>
    <w:p w:rsidR="0B45B263" w:rsidP="0B45B263" w:rsidRDefault="0B45B263" w14:paraId="6DEEF085" w14:textId="05A1BF66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530865F4" w14:textId="28C4C49E">
      <w:pPr>
        <w:pStyle w:val="Normal"/>
        <w:jc w:val="center"/>
      </w:pPr>
    </w:p>
    <w:p w:rsidR="2F51F3D0" w:rsidP="0B45B263" w:rsidRDefault="2F51F3D0" w14:paraId="74B65636" w14:textId="7DD5FD0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2F51F3D0">
        <w:drawing>
          <wp:inline wp14:editId="66E0D301" wp14:anchorId="2FF370C8">
            <wp:extent cx="4924425" cy="3170098"/>
            <wp:effectExtent l="0" t="0" r="0" b="0"/>
            <wp:docPr id="9001446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b497f4466c4e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70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C2467A" w:rsidP="0B45B263" w:rsidRDefault="03C2467A" w14:paraId="3CEB5440" w14:textId="6C4D7DD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03C246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Figure 2: Revenue chart of Premier Inn</w:t>
      </w:r>
    </w:p>
    <w:p w:rsidR="03C2467A" w:rsidP="0B45B263" w:rsidRDefault="03C2467A" w14:paraId="27FF95F3" w14:textId="7D547740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03C246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(Source: Whitbread, 2023)</w:t>
      </w:r>
    </w:p>
    <w:p w:rsidR="0B45B263" w:rsidP="0B45B263" w:rsidRDefault="0B45B263" w14:paraId="2113B0BB" w14:textId="1C8A7C1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124AD5F0" w14:textId="73418A2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3C2467A" w:rsidP="0B45B263" w:rsidRDefault="03C2467A" w14:paraId="24E413F7" w14:textId="7B9BC94C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03C2467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Market Position:</w:t>
      </w:r>
    </w:p>
    <w:p w:rsidR="03C2467A" w:rsidP="0B45B263" w:rsidRDefault="03C2467A" w14:paraId="3A65A71A" w14:textId="71B0632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market position of the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</w:t>
      </w:r>
      <w:r w:rsidRPr="0B45B263" w:rsidR="4F10C4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ation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Mandarin Oriental falls under the category of ultra-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luxury hotels and the upper echelon of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industry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It also has a global dominance in the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hospitality industry with a presence in over 34 countries (Whitbread, 2023). Their focus on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extensive service and renowned properties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helps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identifying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market position of the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On the other hand, Premier Inn is more of a budget-focused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targets a vast group of people. The focus of the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the provision of affordable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accommodation (Harris and Brander Brown, 2022). The strong presence of the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0B45B263" w:rsidR="68683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0B45B263" w:rsidR="68683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UK has led to a large market share of the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global terms. The significance of a </w:t>
      </w:r>
      <w:r w:rsidRPr="0B45B263" w:rsidR="4E50A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favorable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reputation has been one of the major reasons for the approach of the global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dominance of the 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03C246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B45B263" w:rsidP="0B45B263" w:rsidRDefault="0B45B263" w14:paraId="55200B95" w14:textId="0C97CA8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6E7AB3AF" w14:textId="5138C76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37BF3748" w14:textId="24B0921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08B2306C" w14:textId="699EF46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037FBA54" w14:textId="109199E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3C701F8" w:rsidP="0B45B263" w:rsidRDefault="33C701F8" w14:paraId="5A2D8D8D" w14:textId="096C68CA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3C701F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Growth Potential:</w:t>
      </w:r>
    </w:p>
    <w:p w:rsidR="0B45B263" w:rsidP="0B45B263" w:rsidRDefault="0B45B263" w14:paraId="5A207C0B" w14:textId="2F71F5E8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3C701F8" w:rsidP="0B45B263" w:rsidRDefault="33C701F8" w14:paraId="36362427" w14:textId="1E1B04F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identification of growth potential signifies the approach of quality and presence of a brand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reaching multiple growth profiles of a business. The identification of market saturation in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UK marks a low growth potential for Premier Inn in the UK. The prospect of international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expansion is high based on the affordable accommodation motive of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(Mandarin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Oriental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2023). The chance for diversification of the offerings of the hotel can be signified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one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major approaches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the process of focusing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diversification. On the other hand,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growth potential of the Mandarin Oriental hotel group is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largely based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innovative guest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experiences through hassle-free technology implementation within the business.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sustainability and wellness factor also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marks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</w:t>
      </w:r>
      <w:r w:rsidRPr="0B45B263" w:rsidR="2B1894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exquisite approach to the development of luxury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brands at global levels (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Safaeva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 2020). </w:t>
      </w:r>
    </w:p>
    <w:p w:rsidR="0B45B263" w:rsidP="0B45B263" w:rsidRDefault="0B45B263" w14:paraId="57FBF49F" w14:textId="7B145A0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3C701F8" w:rsidP="0B45B263" w:rsidRDefault="33C701F8" w14:paraId="046E8B79" w14:textId="51A79531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3C701F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Financial Commitment to CSR:</w:t>
      </w:r>
    </w:p>
    <w:p w:rsidR="0B45B263" w:rsidP="0B45B263" w:rsidRDefault="0B45B263" w14:paraId="6247FE8E" w14:textId="3C061DB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3C701F8" w:rsidP="0B45B263" w:rsidRDefault="33C701F8" w14:paraId="6F3D3A3E" w14:textId="01E8730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enhancement of the financial prospects of an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not only based on the revenue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generation aspect but also on corporate social responsibilities. The enhancement of measures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taken towards CSR through sustainability programs of the Mandarin Oriental Hotel helps it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achieve exquisite financial commitment (Kuzmina-Merlino and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Savinaa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2022).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also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waste reduction, recycling of products and commitment to social responsibilities.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Premier In has been committing towards the commitment engagement towards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nature in multiple aspects (Ma, 2021). The comprehensive CSR efforts of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extended towards the development and welfare of the employees and the subordinates of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B45B263" w:rsidP="0B45B263" w:rsidRDefault="0B45B263" w14:paraId="18E0325A" w14:textId="0A8EE12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3C701F8" w:rsidP="0B45B263" w:rsidRDefault="33C701F8" w14:paraId="5CE1D420" w14:textId="3CD0B265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3C701F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Comparative Results</w:t>
      </w:r>
    </w:p>
    <w:p w:rsidR="0B45B263" w:rsidP="0B45B263" w:rsidRDefault="0B45B263" w14:paraId="02B48D19" w14:textId="050F0DA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3C701F8" w:rsidP="0B45B263" w:rsidRDefault="33C701F8" w14:paraId="6394CC24" w14:textId="07ECE9D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 output of the comparative result of the above-mentioned hospitality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organisations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over a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stipulated period can be signified based on the approach of financial commitment, revenue,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CSR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market position. The scale and scope of Mandarin hotels are based on the target audience of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brand. The identification of the ultra-high luxury demand of clientele can be successfully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handled by the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(Goyal,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Kumar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Xiao, 2021). On the other hand, the approach of </w:t>
      </w:r>
      <w:r w:rsidRPr="0B45B263" w:rsidR="33C701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Premier Inn is more of a budget-friendly kind of approach. The significance of financial</w:t>
      </w:r>
    </w:p>
    <w:p w:rsidR="0B45B263" w:rsidP="0B45B263" w:rsidRDefault="0B45B263" w14:paraId="47E024FD" w14:textId="64B20BE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0C52BEF" w:rsidP="0B45B263" w:rsidRDefault="10C52BEF" w14:paraId="54FAA0E4" w14:textId="155BD5A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management is also enhanced in the same way, deepening the quality and quantity of the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services provided by the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organisations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approach of revenue streams for both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organisations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primarily generated from room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bookings and food and beverage services. The value of revenue from other ancillary services at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hotel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hotel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higher than that of Premier Inn. The income of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thehospitality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much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standardised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based on the approach of high-end amenities and ultra luxury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experiences (Sheel, 2019). The end-to-end cost of the mandarin oriental hotel is much higher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than that of the Premier Inn based on the approach of cost structures. The ultra-luxury can be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signified as the investment of the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property development and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utilisation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high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technology usage in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providing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extensive consumer experience. On the other hand, the Premier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Inn being a budget-friendly hotel focuses more on the location and favorability of rooms in the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business structure. It also enhances the cost control process by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providing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simple maintenance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approaches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also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provides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discounts and coupons for brand marketing and attracts more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customers.</w:t>
      </w:r>
    </w:p>
    <w:p w:rsidR="10C52BEF" w:rsidP="0B45B263" w:rsidRDefault="10C52BEF" w14:paraId="002673FE" w14:textId="4D77350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CSR and sustainability approach of mandarin oriental hotels is marked by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substantial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financial commitments towards community engagement, sustainable practices, nature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preservation techniques and community engagement processes. The Premier Inn approach of</w:t>
      </w:r>
      <w:r w:rsidRPr="0B45B263" w:rsidR="0AE16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ascertained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the approach of extensively focused areas of energy efficiency and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community management approaches. The significance of the above-mentioned approach in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establishing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effective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financial management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prospect is interactive with the approach of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confidentiality.</w:t>
      </w:r>
    </w:p>
    <w:p w:rsidR="0B45B263" w:rsidP="0B45B263" w:rsidRDefault="0B45B263" w14:paraId="3BE3AB98" w14:textId="5FF58C8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0C52BEF" w:rsidP="0B45B263" w:rsidRDefault="10C52BEF" w14:paraId="33451C27" w14:textId="4E445105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0C52B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Recommendations</w:t>
      </w:r>
    </w:p>
    <w:p w:rsidR="10C52BEF" w:rsidP="0B45B263" w:rsidRDefault="10C52BEF" w14:paraId="63DF6EE1" w14:textId="4B71BFEE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Mandarin Oriental Hotel is focused </w:t>
      </w:r>
      <w:r w:rsidRPr="0B45B263" w:rsidR="3FBB9B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providence of luxury to their customers with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niche in service providence. In this case, the major decision-making attributes of the</w:t>
      </w:r>
      <w:r w:rsidRPr="0B45B263" w:rsidR="76739D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financial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management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hotel </w:t>
      </w:r>
      <w:r w:rsidRPr="0B45B263" w:rsidR="1D30BE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based on </w:t>
      </w:r>
      <w:r w:rsidRPr="0B45B263" w:rsidR="51E734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market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research and analysis of the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process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conducting market research and understanding current trends is essential in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providence of luxury services (Siti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Nuryanah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Sardar, 2020). On the other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hand, the analysis of the consumer output and the satisfaction prospects of the consumers play </w:t>
      </w:r>
      <w:r w:rsidRPr="0B45B263" w:rsidR="7503D3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particularly </w:t>
      </w:r>
      <w:r w:rsidRPr="0B45B263" w:rsidR="7503D3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role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maximising</w:t>
      </w:r>
      <w:r w:rsidRPr="0B45B263" w:rsidR="10C52B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profitability aspects. Since finance is the most intriguing</w:t>
      </w:r>
      <w:r w:rsidRPr="0B45B263" w:rsidR="5A3A4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5A3A4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factor in this case, the management of finances and budgeting plays </w:t>
      </w:r>
      <w:r w:rsidRPr="0B45B263" w:rsidR="5A3A4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 important </w:t>
      </w:r>
      <w:r w:rsidRPr="0B45B263" w:rsidR="239755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role</w:t>
      </w:r>
      <w:r w:rsidRPr="0B45B263" w:rsidR="5A3A4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process (SJR, 2023). The development of a comprehensive budget based on the outcomes of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revenues and expenses </w:t>
      </w:r>
      <w:r w:rsidRPr="0B45B263" w:rsidR="68AFA0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clarified in this case. The maintenance of the financial goals</w:t>
      </w:r>
      <w:r w:rsidRPr="0B45B263" w:rsidR="63F844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within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Hotel group is static on the annual turnover and the profitability of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497FD42" w:rsidP="0B45B263" w:rsidRDefault="1497FD42" w14:paraId="6FA33DAD" w14:textId="50816FD9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recommendation to apprehend an exclusive diversified approach is effective towards the </w:t>
      </w:r>
    </w:p>
    <w:p w:rsidR="1497FD42" w:rsidP="0B45B263" w:rsidRDefault="1497FD42" w14:paraId="278062AA" w14:textId="22CCF6A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development of diverse revenue streams. The approach is based on external services provided by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like spa services, space for events and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customised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dining experiences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(Haddadin, 2022).</w:t>
      </w:r>
    </w:p>
    <w:p w:rsidR="1497FD42" w:rsidP="0B45B263" w:rsidRDefault="1497FD42" w14:paraId="344A3F40" w14:textId="5F3DE362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Premier Hotel is substantiated to be a budget hotel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that profits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 unit counts. The most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important financial recommendation for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to grow its global roots and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reputation through Customer Relationship Management (CRM) (Taylor &amp; Francis, 2022)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497FD42" w:rsidP="0B45B263" w:rsidRDefault="1497FD42" w14:paraId="2C9D3540" w14:textId="5A485AD1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significance can help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penetrate locally into effective business areas.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goodwill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be significantly enhanced. On the other hand, an effective</w:t>
      </w:r>
      <w:r w:rsidRPr="0B45B263" w:rsidR="61420F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audit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team is suggested for the process of ensuring the financial prospects of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Sciarelli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et al., 2020). The application of data-based financial decision-making might affect the turnover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the business profit generation. Another important recommendation in the 21st-century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business development process is the use of automation technologies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the process of enhancing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financial prospects (Tsai,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Lee, 2020).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Implementation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new-age technology will make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robust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planned. The hassle-free approach of the technology will also help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consumer to have an exquisite modern experience. </w:t>
      </w:r>
    </w:p>
    <w:p w:rsidR="0B45B263" w:rsidP="0B45B263" w:rsidRDefault="0B45B263" w14:paraId="35F0DDF5" w14:textId="457BBB77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497FD42" w:rsidP="0B45B263" w:rsidRDefault="1497FD42" w14:paraId="170F0349" w14:textId="11FDFA85">
      <w:pPr>
        <w:pStyle w:val="Normal"/>
        <w:ind w:lef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497FD4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</w:p>
    <w:p w:rsidR="1497FD42" w:rsidP="0B45B263" w:rsidRDefault="1497FD42" w14:paraId="6D3CCEE0" w14:textId="135216A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can be successfully concluded that the comparison of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has been robust within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report. The identification of the regime, </w:t>
      </w:r>
      <w:r w:rsidRPr="0B45B263" w:rsidR="7B1792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motive,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target clientele of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organisations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provides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vast understanding towards the probable financial prospect for business development. </w:t>
      </w:r>
    </w:p>
    <w:p w:rsidR="1497FD42" w:rsidP="0B45B263" w:rsidRDefault="1497FD42" w14:paraId="77DAF345" w14:textId="3F1D758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 the other hand, the synchronous attitude of the maintenance prospect is envious towards</w:t>
      </w:r>
      <w:r w:rsidRPr="0B45B263" w:rsidR="409481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development of new regimes. The report focuses on and analyses the revenue reports of both</w:t>
      </w:r>
      <w:r w:rsidRPr="0B45B263" w:rsidR="71255E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organisations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the past years and has understood the flaws with </w:t>
      </w:r>
      <w:r w:rsidRPr="0B45B263" w:rsidR="64F26F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changing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time.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recommendations section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established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strong point of change for the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improve</w:t>
      </w:r>
      <w:r w:rsidRPr="0B45B263" w:rsidR="205CED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0B45B263" w:rsidR="1497FD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0B45B263" w:rsidR="02E9C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financial constitution to a global level. The significance of the approach also enhances</w:t>
      </w:r>
      <w:r w:rsidRPr="0B45B263" w:rsidR="725901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B45B263" w:rsidR="02E9C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vision </w:t>
      </w:r>
      <w:r w:rsidRPr="0B45B263" w:rsidR="02E9C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the </w:t>
      </w:r>
      <w:r w:rsidRPr="0B45B263" w:rsidR="02E9C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0B45B263" w:rsidR="02E9C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signify better movement in terms of profit generation and business </w:t>
      </w:r>
      <w:r w:rsidRPr="0B45B263" w:rsidR="02E9C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stabilisation</w:t>
      </w:r>
      <w:r w:rsidRPr="0B45B263" w:rsidR="02E9C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B45B263" w:rsidP="0B45B263" w:rsidRDefault="0B45B263" w14:paraId="210F0136" w14:textId="3D74281F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71D94EB2" w14:textId="3AB9C6E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6B35B16F" w14:textId="79FA2E1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51BB72D2" w14:textId="5E92E0E5">
      <w:pPr>
        <w:pStyle w:val="Title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B45B263" w:rsidP="0B45B263" w:rsidRDefault="0B45B263" w14:paraId="30B5C805" w14:textId="4C0716C3">
      <w:pPr>
        <w:pStyle w:val="Title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B45B263" w:rsidP="0B45B263" w:rsidRDefault="0B45B263" w14:paraId="004366A4" w14:textId="142EE376">
      <w:pPr>
        <w:pStyle w:val="Title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0B45B263" w:rsidP="0B45B263" w:rsidRDefault="0B45B263" w14:paraId="04507F96" w14:textId="03DE7E2D">
      <w:pPr>
        <w:pStyle w:val="Title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="418EACF1" w:rsidP="0B45B263" w:rsidRDefault="418EACF1" w14:paraId="77ED50FF" w14:textId="5D230DF6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References:</w:t>
      </w:r>
    </w:p>
    <w:p w:rsidR="0B45B263" w:rsidP="0B45B263" w:rsidRDefault="0B45B263" w14:paraId="4F102699" w14:textId="60191B6B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8EACF1" w:rsidP="0B45B263" w:rsidRDefault="418EACF1" w14:paraId="0C72BF18" w14:textId="148D6C8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Baskin, J. S. (2023) How Premier Inn Crowdsourced Its New Hotel Room, Forbes. Available at: </w:t>
      </w:r>
    </w:p>
    <w:p w:rsidR="418EACF1" w:rsidP="0B45B263" w:rsidRDefault="418EACF1" w14:paraId="2D263EA2" w14:textId="0149074E">
      <w:pPr>
        <w:jc w:val="left"/>
        <w:rPr>
          <w:rFonts w:ascii="Times New Roman" w:hAnsi="Times New Roman" w:eastAsia="Times New Roman" w:cs="Times New Roman"/>
          <w:sz w:val="24"/>
          <w:szCs w:val="24"/>
        </w:rPr>
      </w:pPr>
      <w:hyperlink r:id="R67fe9a19c6a6432c">
        <w:r w:rsidRPr="0B45B263" w:rsidR="418EAC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https://www.forbes.com/sites/jonathansalembaskin/2016/08/18/how-premier-inn-crowdsourced-</w:t>
        </w:r>
      </w:hyperlink>
    </w:p>
    <w:p w:rsidR="418EACF1" w:rsidP="0B45B263" w:rsidRDefault="418EACF1" w14:paraId="4143AD18" w14:textId="09E3C39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its-new-hotel-room/?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=41f9a5b21cc3 (Accessed: 19 October 2023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).BBC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(2019) ‘Whitbread </w:t>
      </w:r>
    </w:p>
    <w:p w:rsidR="418EACF1" w:rsidP="0B45B263" w:rsidRDefault="418EACF1" w14:paraId="63598233" w14:textId="7BE7B09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sales boosted by Costa Coffee and Premier Inn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BBC News, 9 September. Available at: </w:t>
      </w:r>
    </w:p>
    <w:p w:rsidR="418EACF1" w:rsidP="0B45B263" w:rsidRDefault="418EACF1" w14:paraId="42A9419B" w14:textId="4526822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f88a0dd7c2504f98">
        <w:r w:rsidRPr="0B45B263" w:rsidR="418EAC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https://www.google.com/amp/s/www.bbc.com/news/business-29122460.amp</w:t>
        </w:r>
      </w:hyperlink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</w:t>
      </w:r>
    </w:p>
    <w:p w:rsidR="418EACF1" w:rsidP="0B45B263" w:rsidRDefault="418EACF1" w14:paraId="112E802F" w14:textId="2DE2F48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October 2023).</w:t>
      </w:r>
    </w:p>
    <w:p w:rsidR="418EACF1" w:rsidP="0B45B263" w:rsidRDefault="418EACF1" w14:paraId="223FEE56" w14:textId="0F761E2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BBC (2023) Financial Reports, Corporate Site. Available at: </w:t>
      </w:r>
    </w:p>
    <w:p w:rsidR="418EACF1" w:rsidP="0B45B263" w:rsidRDefault="418EACF1" w14:paraId="2B43F5C9" w14:textId="01AD5FA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83c120d8d27d4541">
        <w:r w:rsidRPr="0B45B263" w:rsidR="418EAC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https://www.mandarinoriental.com/en/investors/financial-reports.Forbes</w:t>
        </w:r>
      </w:hyperlink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</w:t>
      </w:r>
    </w:p>
    <w:p w:rsidR="418EACF1" w:rsidP="0B45B263" w:rsidRDefault="418EACF1" w14:paraId="2E7E4079" w14:textId="75ECDE3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Forbes Travel Guide 2023, Corporate Site. Available at: </w:t>
      </w:r>
    </w:p>
    <w:p w:rsidR="418EACF1" w:rsidP="0B45B263" w:rsidRDefault="418EACF1" w14:paraId="4426233D" w14:textId="69B566C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9fca98d7fb8f4c41">
        <w:r w:rsidRPr="0B45B263" w:rsidR="418EAC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https://www.mandarinoriental.com/en/spa/forbes-travel-guide-2023</w:t>
        </w:r>
      </w:hyperlink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October </w:t>
      </w:r>
    </w:p>
    <w:p w:rsidR="418EACF1" w:rsidP="0B45B263" w:rsidRDefault="418EACF1" w14:paraId="4DE5D2FB" w14:textId="7FEEB9A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2023).</w:t>
      </w:r>
    </w:p>
    <w:p w:rsidR="418EACF1" w:rsidP="0B45B263" w:rsidRDefault="418EACF1" w14:paraId="76950C12" w14:textId="5BD9A5F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Goyal, K., Kumar, S. and Xiao, J. J. (2021) ‘Antecedents and consequences of Personal </w:t>
      </w:r>
    </w:p>
    <w:p w:rsidR="418EACF1" w:rsidP="0B45B263" w:rsidRDefault="418EACF1" w14:paraId="65697229" w14:textId="21508B2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Financial Management Behavior: a systematic literature review and future research agenda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18EACF1" w:rsidP="0B45B263" w:rsidRDefault="418EACF1" w14:paraId="3484FE59" w14:textId="26A5A4A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of Bank Marketing, ahead-of-print(ahead-of-print). 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</w:p>
    <w:p w:rsidR="418EACF1" w:rsidP="0B45B263" w:rsidRDefault="418EACF1" w14:paraId="34F101F7" w14:textId="39C03A2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0f756b7c9c15454a">
        <w:r w:rsidRPr="0B45B263" w:rsidR="418EAC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https://doi.org/10.1108/ijbm-12-2020-0612</w:t>
        </w:r>
      </w:hyperlink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18EACF1" w:rsidP="0B45B263" w:rsidRDefault="418EACF1" w14:paraId="353BEF30" w14:textId="566A995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Haddadin, K. (2022) A REVIEW OF HOSPITALITY FINANCE RESEARCH FROM 2010 TO </w:t>
      </w:r>
    </w:p>
    <w:p w:rsidR="418EACF1" w:rsidP="0B45B263" w:rsidRDefault="418EACF1" w14:paraId="7A554498" w14:textId="47FABD7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2021. Available at: </w:t>
      </w:r>
      <w:hyperlink r:id="R9f894e226695425a">
        <w:r w:rsidRPr="0B45B263" w:rsidR="418EAC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https://scholarworks.calstate.edu/downloads/4b29bc95t</w:t>
        </w:r>
      </w:hyperlink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</w:t>
      </w:r>
    </w:p>
    <w:p w:rsidR="418EACF1" w:rsidP="0B45B263" w:rsidRDefault="418EACF1" w14:paraId="7987F26B" w14:textId="6A210E1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October 2023).</w:t>
      </w:r>
    </w:p>
    <w:p w:rsidR="418EACF1" w:rsidP="0B45B263" w:rsidRDefault="418EACF1" w14:paraId="22262FA5" w14:textId="1C12E1B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Harris, P. J. and Brander Brown, J. (2022) ‘Research and development in hospitality accounting </w:t>
      </w:r>
    </w:p>
    <w:p w:rsidR="418EACF1" w:rsidP="0B45B263" w:rsidRDefault="418EACF1" w14:paraId="11340331" w14:textId="66087B4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financial management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International Journal of Hospitality Management, 17(2), pp. 161–</w:t>
      </w:r>
    </w:p>
    <w:p w:rsidR="418EACF1" w:rsidP="0B45B263" w:rsidRDefault="418EACF1" w14:paraId="0915EADD" w14:textId="5742FB2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182. 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hyperlink r:id="Rfb43a3f6999c4894">
        <w:r w:rsidRPr="0B45B263" w:rsidR="418EACF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https://doi.org/10.1016/s0278-4319(98)00013-9</w:t>
        </w:r>
      </w:hyperlink>
      <w:r w:rsidRPr="0B45B263" w:rsidR="418EA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B45B263" w:rsidP="0B45B263" w:rsidRDefault="0B45B263" w14:paraId="6BD94B48" w14:textId="1C0F074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3124A385" w14:textId="347F68D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706ED0F5" w14:textId="05F23F8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5BBAB53" w:rsidP="0B45B263" w:rsidRDefault="35BBAB53" w14:paraId="5A085FFB" w14:textId="5240878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Kuzmina-Merlino, I. and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Savinaa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S. (2022) Improving Financial Management System for Multi-</w:t>
      </w:r>
    </w:p>
    <w:p w:rsidR="35BBAB53" w:rsidP="0B45B263" w:rsidRDefault="35BBAB53" w14:paraId="2098AF52" w14:textId="67D1486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business Companies, Sciencedirect.com. Available at: </w:t>
      </w:r>
    </w:p>
    <w:p w:rsidR="35BBAB53" w:rsidP="0B45B263" w:rsidRDefault="35BBAB53" w14:paraId="4FDB72C8" w14:textId="7CFE73E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70503dff4407441f">
        <w:r w:rsidRPr="0B45B263" w:rsidR="35BBAB5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https://www.sciencedirect.com/science/article/pii/S1877042815056992/pdf</w:t>
        </w:r>
      </w:hyperlink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</w:t>
      </w:r>
    </w:p>
    <w:p w:rsidR="35BBAB53" w:rsidP="0B45B263" w:rsidRDefault="35BBAB53" w14:paraId="2682F921" w14:textId="6B8B8AB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October 2023).</w:t>
      </w:r>
    </w:p>
    <w:p w:rsidR="35BBAB53" w:rsidP="0B45B263" w:rsidRDefault="35BBAB53" w14:paraId="4DCB2A8C" w14:textId="0600403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Ma, H. (2021) ‘Optimization of Hotel Financial Management Information System Based on </w:t>
      </w:r>
    </w:p>
    <w:p w:rsidR="35BBAB53" w:rsidP="0B45B263" w:rsidRDefault="35BBAB53" w14:paraId="37D2C2A2" w14:textId="4ABED1F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Computational Intelligence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Wireless Communications and Mobile Computing. Edited by D. </w:t>
      </w:r>
    </w:p>
    <w:p w:rsidR="35BBAB53" w:rsidP="0B45B263" w:rsidRDefault="35BBAB53" w14:paraId="31B6F54B" w14:textId="0863D55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Gupta, 2021, pp. 1–11.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hyperlink r:id="Ra9a1d2b91c8348a7">
        <w:r w:rsidRPr="0B45B263" w:rsidR="35BBAB5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https://doi.org/10.1155/2021/8680306.Sheel</w:t>
        </w:r>
      </w:hyperlink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atul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(2019) </w:t>
      </w:r>
    </w:p>
    <w:p w:rsidR="35BBAB53" w:rsidP="0B45B263" w:rsidRDefault="35BBAB53" w14:paraId="654196A6" w14:textId="6A309D1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(2023) Financial Reports, Corporate Site. Available at: </w:t>
      </w:r>
    </w:p>
    <w:p w:rsidR="35BBAB53" w:rsidP="0B45B263" w:rsidRDefault="35BBAB53" w14:paraId="38B59E96" w14:textId="306E4FA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ebe720302c494e26">
        <w:r w:rsidRPr="0B45B263" w:rsidR="35BBAB5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https://www.mandarinoriental.com/en/investors/financial-reports</w:t>
        </w:r>
      </w:hyperlink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October 2023).</w:t>
      </w:r>
    </w:p>
    <w:p w:rsidR="35BBAB53" w:rsidP="0B45B263" w:rsidRDefault="35BBAB53" w14:paraId="6D95D62B" w14:textId="3CCA03E8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MandarinOriental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Luxury 5 Star Hotels &amp; Resorts Worldwide | Mandarin Oriental Hotel </w:t>
      </w:r>
    </w:p>
    <w:p w:rsidR="35BBAB53" w:rsidP="0B45B263" w:rsidRDefault="35BBAB53" w14:paraId="4EABC601" w14:textId="5C9E64F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Group, Corporate Site. Available at: </w:t>
      </w:r>
      <w:hyperlink r:id="R634ba65ba2724dbf">
        <w:r w:rsidRPr="0B45B263" w:rsidR="35BBAB5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https://www.mandarinoriental.com/en/</w:t>
        </w:r>
      </w:hyperlink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35BBAB53" w:rsidP="0B45B263" w:rsidRDefault="35BBAB53" w14:paraId="17E83A7C" w14:textId="1FDF44C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Premier Inn (2023) Premier Inn Home, Premier Inn. Available at: </w:t>
      </w:r>
    </w:p>
    <w:p w:rsidR="35BBAB53" w:rsidP="0B45B263" w:rsidRDefault="35BBAB53" w14:paraId="21BC8AAE" w14:textId="325EA1C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5ea5c6f9a9884bfa">
        <w:r w:rsidRPr="0B45B263" w:rsidR="35BBAB5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https://www.premierinn.com/gb/en/home.html</w:t>
        </w:r>
      </w:hyperlink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October 2023).</w:t>
      </w:r>
    </w:p>
    <w:p w:rsidR="35BBAB53" w:rsidP="0B45B263" w:rsidRDefault="35BBAB53" w14:paraId="0921BCB1" w14:textId="54BFE46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Safaeva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S.R., Alieva, M.T.,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Abdukhalilova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L.T.,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Alimkhodjaeva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N.E. and Konovalova, E.E., </w:t>
      </w:r>
    </w:p>
    <w:p w:rsidR="35BBAB53" w:rsidP="0B45B263" w:rsidRDefault="35BBAB53" w14:paraId="27638AAE" w14:textId="3748818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(2020). Organizational and economic aspects of the development of the international tourism and </w:t>
      </w:r>
    </w:p>
    <w:p w:rsidR="35BBAB53" w:rsidP="0B45B263" w:rsidRDefault="35BBAB53" w14:paraId="1122D459" w14:textId="31E9FA18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hospitality industry. Journal of Environmental Management and Tourism, 11(4), pp.913-919.</w:t>
      </w:r>
    </w:p>
    <w:p w:rsidR="35BBAB53" w:rsidP="0B45B263" w:rsidRDefault="35BBAB53" w14:paraId="532E6CEA" w14:textId="025D80C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Saksonova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 and Savina, S. (2019) ‘Financial Management as a Tool for Achieving Stable </w:t>
      </w:r>
    </w:p>
    <w:p w:rsidR="35BBAB53" w:rsidP="0B45B263" w:rsidRDefault="35BBAB53" w14:paraId="5ADC3D19" w14:textId="2CBE9B15">
      <w:pPr>
        <w:jc w:val="left"/>
        <w:rPr>
          <w:sz w:val="24"/>
          <w:szCs w:val="24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Firm Growth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Economics and Business, 29(1), pp. 49–55.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hyperlink r:id="Re43a96f9562742d7">
        <w:r w:rsidRPr="0B45B263" w:rsidR="35BBAB5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https://doi.org/10.1515/eb-2016-</w:t>
        </w:r>
      </w:hyperlink>
    </w:p>
    <w:p w:rsidR="35BBAB53" w:rsidP="0B45B263" w:rsidRDefault="35BBAB53" w14:paraId="5F6FCA3C" w14:textId="269BBF5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0021.</w:t>
      </w:r>
    </w:p>
    <w:p w:rsidR="35BBAB53" w:rsidP="0B45B263" w:rsidRDefault="35BBAB53" w14:paraId="2F44865E" w14:textId="5CE938A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Sciarelli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Tani, M., Landi, G. and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Turriziani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L., (2020). CSR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perception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financial </w:t>
      </w:r>
    </w:p>
    <w:p w:rsidR="35BBAB53" w:rsidP="0B45B263" w:rsidRDefault="35BBAB53" w14:paraId="3A3FC9A2" w14:textId="40D2140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performance: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Evidences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Italian and UK asset management companies. Corporate Social </w:t>
      </w:r>
    </w:p>
    <w:p w:rsidR="35BBAB53" w:rsidP="0B45B263" w:rsidRDefault="35BBAB53" w14:paraId="06A3E885" w14:textId="1DAB915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Responsibility and Environmental Management, 27(2), pp.841-851.</w:t>
      </w:r>
    </w:p>
    <w:p w:rsidR="35BBAB53" w:rsidP="0B45B263" w:rsidRDefault="35BBAB53" w14:paraId="7EE802FC" w14:textId="3C93304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Siti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Nuryanah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Sardar (2020) ‘Conclusion and Recommendations for Future Research’, </w:t>
      </w:r>
    </w:p>
    <w:p w:rsidR="35BBAB53" w:rsidP="0B45B263" w:rsidRDefault="35BBAB53" w14:paraId="7AC8B4D6" w14:textId="1E7A06A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Conclusion and Recommendations for Future Research. 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0B45B263" w:rsidR="35BBAB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</w:p>
    <w:p w:rsidR="35BBAB53" w:rsidP="0B45B263" w:rsidRDefault="35BBAB53" w14:paraId="671484C8" w14:textId="4F8102E5">
      <w:pPr>
        <w:jc w:val="left"/>
        <w:rPr>
          <w:sz w:val="24"/>
          <w:szCs w:val="24"/>
        </w:rPr>
      </w:pPr>
      <w:hyperlink r:id="R4daf8ad4a6e242b9">
        <w:r w:rsidRPr="0B45B263" w:rsidR="35BBAB5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https://doi.org/10.1057/9781137435613_8.</w:t>
        </w:r>
      </w:hyperlink>
    </w:p>
    <w:p w:rsidR="27BDAEF6" w:rsidP="0B45B263" w:rsidRDefault="27BDAEF6" w14:paraId="14C59E54" w14:textId="751A8F9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Taylor &amp; Francis (2022) The Journal of Hospitality Financial Management | Scholars Portal </w:t>
      </w:r>
    </w:p>
    <w:p w:rsidR="27BDAEF6" w:rsidP="0B45B263" w:rsidRDefault="27BDAEF6" w14:paraId="632BC4B3" w14:textId="69D8D5F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Journals, journals.scholarsportal.info. Available at: </w:t>
      </w:r>
    </w:p>
    <w:p w:rsidR="27BDAEF6" w:rsidP="0B45B263" w:rsidRDefault="27BDAEF6" w14:paraId="7063DB2D" w14:textId="54924884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103eebeb24f94911">
        <w:r w:rsidRPr="0B45B263" w:rsidR="27BDAE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https://journals.scholarsportal.info/browse/10913211/v18i0002</w:t>
        </w:r>
      </w:hyperlink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October 2023).</w:t>
      </w:r>
    </w:p>
    <w:p w:rsidR="27BDAEF6" w:rsidP="0B45B263" w:rsidRDefault="27BDAEF6" w14:paraId="51749387" w14:textId="2FAE5D60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Taylor &amp; Francis Online, Tandfonline.com. Available at: </w:t>
      </w:r>
      <w:hyperlink r:id="Rb4f5cb33e9ef47cb">
        <w:r w:rsidRPr="0B45B263" w:rsidR="27BDAE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https://www.tandfonline.com.SJR</w:t>
        </w:r>
      </w:hyperlink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7BDAEF6" w:rsidP="0B45B263" w:rsidRDefault="27BDAEF6" w14:paraId="4C1EC68D" w14:textId="67DCA79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(2023) Journal of Hospitality Financial Management, </w:t>
      </w:r>
      <w:hyperlink>
        <w:r w:rsidRPr="0B45B263" w:rsidR="27BDAEF6">
          <w:rPr>
            <w:rStyle w:val="Hyperlink"/>
            <w:b w:val="0"/>
            <w:bCs w:val="0"/>
            <w:i w:val="0"/>
            <w:iCs w:val="0"/>
            <w:noProof w:val="0"/>
            <w:lang w:val="en-US"/>
          </w:rPr>
          <w:t>www.scimagojr.com</w:t>
        </w:r>
      </w:hyperlink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. Available at: </w:t>
      </w:r>
    </w:p>
    <w:p w:rsidR="27BDAEF6" w:rsidP="0B45B263" w:rsidRDefault="27BDAEF6" w14:paraId="4FFC98D7" w14:textId="6574781F">
      <w:pPr>
        <w:spacing w:before="0" w:beforeAutospacing="off" w:after="12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7ddef6424f6f4360">
        <w:r w:rsidRPr="0B45B263" w:rsidR="27BDAE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https://www.scimagojr.com/journalsearch.php?q=21100800043&amp;tip=sid&amp;clean=0</w:t>
        </w:r>
      </w:hyperlink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19 </w:t>
      </w:r>
    </w:p>
    <w:p w:rsidR="27BDAEF6" w:rsidP="0B45B263" w:rsidRDefault="27BDAEF6" w14:paraId="4E53416F" w14:textId="14AE6E2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b w:val="0"/>
          <w:bCs w:val="0"/>
          <w:i w:val="0"/>
          <w:iCs w:val="0"/>
          <w:noProof w:val="0"/>
          <w:lang w:val="en-US"/>
        </w:rPr>
        <w:t>October 2023).</w:t>
      </w:r>
    </w:p>
    <w:p w:rsidR="27BDAEF6" w:rsidP="0B45B263" w:rsidRDefault="27BDAEF6" w14:paraId="307EDF63" w14:textId="1DF3B53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Topa, G., Hernández-Solís, M. and </w:t>
      </w:r>
      <w:r w:rsidRPr="0B45B263" w:rsidR="27BDAEF6">
        <w:rPr>
          <w:b w:val="0"/>
          <w:bCs w:val="0"/>
          <w:i w:val="0"/>
          <w:iCs w:val="0"/>
          <w:noProof w:val="0"/>
          <w:lang w:val="en-US"/>
        </w:rPr>
        <w:t>Zappalà</w:t>
      </w:r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, S. (2020) ‘Financial Management Behavior Among </w:t>
      </w:r>
    </w:p>
    <w:p w:rsidR="27BDAEF6" w:rsidP="0B45B263" w:rsidRDefault="27BDAEF6" w14:paraId="65335AD0" w14:textId="27C2677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Young Adults: The Role of Need for Cognitive Closure in a Three-Wave Moderated Mediation </w:t>
      </w:r>
    </w:p>
    <w:p w:rsidR="27BDAEF6" w:rsidP="0B45B263" w:rsidRDefault="27BDAEF6" w14:paraId="0C1CDE16" w14:textId="6F343E68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Model</w:t>
      </w: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Frontiers in Psychology, 9. </w:t>
      </w: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hyperlink r:id="R582d8a3986c04c3b">
        <w:r w:rsidRPr="0B45B263" w:rsidR="27BDAE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https://doi.org/10.3389/fpsyg.2018.02419</w:t>
        </w:r>
      </w:hyperlink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7BDAEF6" w:rsidP="0B45B263" w:rsidRDefault="27BDAEF6" w14:paraId="69E22AF9" w14:textId="2A2C4231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Tsai, H., Pan, S. and Lee, J. (2020) ‘Recent research in hospitality financial management’, </w:t>
      </w:r>
    </w:p>
    <w:p w:rsidR="27BDAEF6" w:rsidP="0B45B263" w:rsidRDefault="27BDAEF6" w14:paraId="34D1EA11" w14:textId="2541AC93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Journal of Contemporary Hospitality Management, 23(7), pp. 941–971. </w:t>
      </w: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</w:t>
      </w:r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</w:p>
    <w:p w:rsidR="27BDAEF6" w:rsidP="0B45B263" w:rsidRDefault="27BDAEF6" w14:paraId="1834D2EC" w14:textId="288423F5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8d0b662c1f9c4049">
        <w:r w:rsidRPr="0B45B263" w:rsidR="27BDAE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https://doi.org/10.1108/09596111111167542</w:t>
        </w:r>
      </w:hyperlink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7BDAEF6" w:rsidP="0B45B263" w:rsidRDefault="27BDAEF6" w14:paraId="14AD22DD" w14:textId="3747340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B45B263" w:rsidR="27BDAEF6">
        <w:rPr>
          <w:b w:val="0"/>
          <w:bCs w:val="0"/>
          <w:i w:val="0"/>
          <w:iCs w:val="0"/>
          <w:noProof w:val="0"/>
          <w:lang w:val="en-US"/>
        </w:rPr>
        <w:t xml:space="preserve">Whitbread (2023) PREMIER INN Annual Report and Accounts 2021/22. Available at: </w:t>
      </w:r>
    </w:p>
    <w:p w:rsidR="27BDAEF6" w:rsidP="0B45B263" w:rsidRDefault="27BDAEF6" w14:paraId="14BF8BAA" w14:textId="4B58960B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d21db3eceee94edc">
        <w:r w:rsidRPr="0B45B263" w:rsidR="27BDAEF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https://www.annualreports.com/Click/23984</w:t>
        </w:r>
      </w:hyperlink>
      <w:r w:rsidRPr="0B45B263" w:rsidR="27BDAE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B45B263" w:rsidP="0B45B263" w:rsidRDefault="0B45B263" w14:paraId="0619CF42" w14:textId="6B17C24C">
      <w:pPr>
        <w:jc w:val="left"/>
      </w:pPr>
    </w:p>
    <w:p w:rsidR="0B45B263" w:rsidP="0B45B263" w:rsidRDefault="0B45B263" w14:paraId="16760538" w14:textId="1C1A27C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0B45B263" w:rsidP="0B45B263" w:rsidRDefault="0B45B263" w14:paraId="3B764301" w14:textId="12B3E58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B45B263" w:rsidP="0B45B263" w:rsidRDefault="0B45B263" w14:paraId="407EC691" w14:textId="22B599B2">
      <w:pPr>
        <w:pStyle w:val="Title"/>
        <w:jc w:val="both"/>
      </w:pPr>
    </w:p>
    <w:sectPr w:rsidRPr="000637C3" w:rsidR="001A2E8F" w:rsidSect="00A533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2701E4" w:rsidRDefault="002701E4" w14:paraId="02EB378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701E4" w:rsidRDefault="002701E4" w14:paraId="6A05A80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FZYaoTi">
    <w:altName w:val="方正姚体"/>
    <w:charset w:val="86"/>
    <w:family w:val="auto"/>
    <w:pitch w:val="variable"/>
    <w:sig w:usb0="00000003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0D0B940D" wp14:textId="77777777"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5628190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441033" w:rsidRDefault="00171E9D" w14:paraId="2903CBC8" wp14:textId="77777777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 w:rsidR="000637C3">
          <w:rPr>
            <w:noProof/>
            <w:lang w:val="en-GB" w:bidi="en-GB"/>
          </w:rPr>
          <w:t>2</w:t>
        </w:r>
        <w:r>
          <w:rPr>
            <w:lang w:val="en-GB" w:bidi="en-GB"/>
          </w:rPr>
          <w:fldChar w:fldCharType="end"/>
        </w:r>
      </w:p>
    </w:sdtContent>
  </w:sdt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5DAB6C7B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2701E4" w:rsidRDefault="002701E4" w14:paraId="41C8F39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701E4" w:rsidRDefault="002701E4" w14:paraId="72A3D3EC" wp14:textId="77777777">
      <w:pPr>
        <w:spacing w:after="0" w:line="240" w:lineRule="auto"/>
      </w:pPr>
      <w:r>
        <w:continuationSeparator/>
      </w:r>
    </w:p>
  </w:footnote>
</w:footnotes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0A37501D" wp14:textId="77777777">
    <w:pPr>
      <w:pStyle w:val="Header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672A6659" wp14:textId="77777777">
    <w:pPr>
      <w:pStyle w:val="Header"/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5A39BBE3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3">
    <w:nsid w:val="22a62c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23ff3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AB902B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0EC9C0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DE8BA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09AA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440608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5492DD3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5AF2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26A44A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659A5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A6462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Symbol"/>
        <w:spacing w:val="40"/>
      </w:rPr>
    </w:lvl>
  </w:abstractNum>
  <w:abstractNum w:abstractNumId="10" w15:restartNumberingAfterBreak="0">
    <w:nsid w:val="11797E1C"/>
    <w:multiLevelType w:val="multilevel"/>
    <w:tmpl w:val="66567920"/>
    <w:numStyleLink w:val="ReportList"/>
  </w:abstractNum>
  <w:abstractNum w:abstractNumId="11" w15:restartNumberingAfterBreak="0">
    <w:nsid w:val="7EDF04B5"/>
    <w:multiLevelType w:val="multilevel"/>
    <w:tmpl w:val="66567920"/>
    <w:styleLink w:val="ReportList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ListNumber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5">
    <w:abstractNumId w:val="13"/>
  </w:num>
  <w:num w:numId="14">
    <w:abstractNumId w:val="12"/>
  </w: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 w:numId="13">
    <w:abstractNumId w:val="9"/>
    <w:lvlOverride w:ilvl="0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E52"/>
    <w:rsid w:val="000637C3"/>
    <w:rsid w:val="00097E38"/>
    <w:rsid w:val="000E4E52"/>
    <w:rsid w:val="00171E9D"/>
    <w:rsid w:val="001A2E8F"/>
    <w:rsid w:val="001C1BE5"/>
    <w:rsid w:val="002701E4"/>
    <w:rsid w:val="0037EAC4"/>
    <w:rsid w:val="00412657"/>
    <w:rsid w:val="00441033"/>
    <w:rsid w:val="005C08B0"/>
    <w:rsid w:val="006B16C5"/>
    <w:rsid w:val="00781867"/>
    <w:rsid w:val="00854A83"/>
    <w:rsid w:val="00865F56"/>
    <w:rsid w:val="008A5FFA"/>
    <w:rsid w:val="008F39D5"/>
    <w:rsid w:val="00A53351"/>
    <w:rsid w:val="00BB3AD3"/>
    <w:rsid w:val="00BC2D16"/>
    <w:rsid w:val="00CF0404"/>
    <w:rsid w:val="00D715FF"/>
    <w:rsid w:val="00DB2FC6"/>
    <w:rsid w:val="00EC0580"/>
    <w:rsid w:val="00EF379B"/>
    <w:rsid w:val="00F038EE"/>
    <w:rsid w:val="00F90538"/>
    <w:rsid w:val="00FE5D4E"/>
    <w:rsid w:val="013DD7BE"/>
    <w:rsid w:val="02E9C7C0"/>
    <w:rsid w:val="03C2467A"/>
    <w:rsid w:val="04D670DF"/>
    <w:rsid w:val="04FA2110"/>
    <w:rsid w:val="0511A160"/>
    <w:rsid w:val="06F0EE25"/>
    <w:rsid w:val="0831C1D2"/>
    <w:rsid w:val="08345C20"/>
    <w:rsid w:val="0892915A"/>
    <w:rsid w:val="08DEBBAB"/>
    <w:rsid w:val="09A9E202"/>
    <w:rsid w:val="0AE16E35"/>
    <w:rsid w:val="0B45B263"/>
    <w:rsid w:val="0B696294"/>
    <w:rsid w:val="0B85253F"/>
    <w:rsid w:val="0BDDD4AD"/>
    <w:rsid w:val="0D0532F5"/>
    <w:rsid w:val="0E688C79"/>
    <w:rsid w:val="10C52BEF"/>
    <w:rsid w:val="11D8A418"/>
    <w:rsid w:val="11E32BEC"/>
    <w:rsid w:val="12B5D8FC"/>
    <w:rsid w:val="13770EC7"/>
    <w:rsid w:val="1451A95D"/>
    <w:rsid w:val="1497FD42"/>
    <w:rsid w:val="14DF827D"/>
    <w:rsid w:val="15085754"/>
    <w:rsid w:val="151044DA"/>
    <w:rsid w:val="183FF816"/>
    <w:rsid w:val="19251A80"/>
    <w:rsid w:val="1C5A20F4"/>
    <w:rsid w:val="1CE8DEC7"/>
    <w:rsid w:val="1D1B56BF"/>
    <w:rsid w:val="1D30BEC3"/>
    <w:rsid w:val="1EF05EF0"/>
    <w:rsid w:val="1F91C1B6"/>
    <w:rsid w:val="205CED68"/>
    <w:rsid w:val="226C4ADE"/>
    <w:rsid w:val="23975527"/>
    <w:rsid w:val="23F0B3DD"/>
    <w:rsid w:val="241783EB"/>
    <w:rsid w:val="26C23905"/>
    <w:rsid w:val="279F6DE9"/>
    <w:rsid w:val="27BDAEF6"/>
    <w:rsid w:val="285E0966"/>
    <w:rsid w:val="28724EC5"/>
    <w:rsid w:val="29002D1F"/>
    <w:rsid w:val="2938A3FC"/>
    <w:rsid w:val="2AD70EAB"/>
    <w:rsid w:val="2B18948D"/>
    <w:rsid w:val="2C7ACC92"/>
    <w:rsid w:val="2C9BBE33"/>
    <w:rsid w:val="2D3C025D"/>
    <w:rsid w:val="2D3F8758"/>
    <w:rsid w:val="2D5386CE"/>
    <w:rsid w:val="2DFB66F3"/>
    <w:rsid w:val="2F51F3D0"/>
    <w:rsid w:val="31101A8C"/>
    <w:rsid w:val="319E0829"/>
    <w:rsid w:val="325E5464"/>
    <w:rsid w:val="3299F6AC"/>
    <w:rsid w:val="32EA0E16"/>
    <w:rsid w:val="335FF972"/>
    <w:rsid w:val="33C701F8"/>
    <w:rsid w:val="35BBAB53"/>
    <w:rsid w:val="37BD7F39"/>
    <w:rsid w:val="37C73CC4"/>
    <w:rsid w:val="37D51E54"/>
    <w:rsid w:val="39594F9A"/>
    <w:rsid w:val="39D812E7"/>
    <w:rsid w:val="3A174DC1"/>
    <w:rsid w:val="3AB70587"/>
    <w:rsid w:val="3AEA9827"/>
    <w:rsid w:val="3AF51FFB"/>
    <w:rsid w:val="3B1805E3"/>
    <w:rsid w:val="3C866888"/>
    <w:rsid w:val="3C9AADE7"/>
    <w:rsid w:val="3D0BE058"/>
    <w:rsid w:val="3E2238E9"/>
    <w:rsid w:val="3E2CC0BD"/>
    <w:rsid w:val="3E85702B"/>
    <w:rsid w:val="3FBB9BEB"/>
    <w:rsid w:val="3FC33A91"/>
    <w:rsid w:val="3FD24EA9"/>
    <w:rsid w:val="409481C7"/>
    <w:rsid w:val="41682ABD"/>
    <w:rsid w:val="418EACF1"/>
    <w:rsid w:val="42993C0C"/>
    <w:rsid w:val="42C9FC3D"/>
    <w:rsid w:val="44917A6D"/>
    <w:rsid w:val="46A7DB88"/>
    <w:rsid w:val="46F6026B"/>
    <w:rsid w:val="48AE3D99"/>
    <w:rsid w:val="48FE080D"/>
    <w:rsid w:val="4B1CEED6"/>
    <w:rsid w:val="4D81AEBC"/>
    <w:rsid w:val="4E4CA212"/>
    <w:rsid w:val="4E50ADF1"/>
    <w:rsid w:val="4EF7349E"/>
    <w:rsid w:val="4F01BC72"/>
    <w:rsid w:val="4F10C458"/>
    <w:rsid w:val="505F5F12"/>
    <w:rsid w:val="50AEC7AA"/>
    <w:rsid w:val="51E73400"/>
    <w:rsid w:val="534412D1"/>
    <w:rsid w:val="53B5DF15"/>
    <w:rsid w:val="53DF3780"/>
    <w:rsid w:val="55C9688F"/>
    <w:rsid w:val="58895038"/>
    <w:rsid w:val="595899AC"/>
    <w:rsid w:val="5A3A484F"/>
    <w:rsid w:val="5A883718"/>
    <w:rsid w:val="5BE03F7A"/>
    <w:rsid w:val="5BFC0225"/>
    <w:rsid w:val="5DF69364"/>
    <w:rsid w:val="5E6AB362"/>
    <w:rsid w:val="5E8BD991"/>
    <w:rsid w:val="5FE5C268"/>
    <w:rsid w:val="60CCD8FA"/>
    <w:rsid w:val="60D930D3"/>
    <w:rsid w:val="61420F2E"/>
    <w:rsid w:val="6183C35F"/>
    <w:rsid w:val="62FFDD98"/>
    <w:rsid w:val="63F844CB"/>
    <w:rsid w:val="6480D95B"/>
    <w:rsid w:val="64F26FF5"/>
    <w:rsid w:val="65317914"/>
    <w:rsid w:val="658721C0"/>
    <w:rsid w:val="67072F76"/>
    <w:rsid w:val="67505FDD"/>
    <w:rsid w:val="686834DD"/>
    <w:rsid w:val="68AFA000"/>
    <w:rsid w:val="68BEC282"/>
    <w:rsid w:val="68C05AD9"/>
    <w:rsid w:val="69D805AB"/>
    <w:rsid w:val="6A3ED038"/>
    <w:rsid w:val="6A5A92E3"/>
    <w:rsid w:val="6C23D100"/>
    <w:rsid w:val="6C8D0E9D"/>
    <w:rsid w:val="6D7670FA"/>
    <w:rsid w:val="6D9233A5"/>
    <w:rsid w:val="6F4E44A5"/>
    <w:rsid w:val="7089986F"/>
    <w:rsid w:val="71255E2E"/>
    <w:rsid w:val="72351B71"/>
    <w:rsid w:val="7259019C"/>
    <w:rsid w:val="7415BA88"/>
    <w:rsid w:val="7503D301"/>
    <w:rsid w:val="76739DCB"/>
    <w:rsid w:val="783760B2"/>
    <w:rsid w:val="786E75CE"/>
    <w:rsid w:val="79025408"/>
    <w:rsid w:val="79AF80E2"/>
    <w:rsid w:val="79E37419"/>
    <w:rsid w:val="7A9E2469"/>
    <w:rsid w:val="7B179216"/>
    <w:rsid w:val="7D5BAD3D"/>
    <w:rsid w:val="7DBC9CCE"/>
    <w:rsid w:val="7FE88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6A7DB88"/>
  <w15:chartTrackingRefBased/>
  <w15:docId w15:val="{C44C4CD7-BDC7-4FB3-ADCD-1DDC82ADA7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color w:val="5A5A5A" w:themeColor="text2"/>
        <w:sz w:val="22"/>
        <w:szCs w:val="22"/>
        <w:lang w:val="en-US" w:eastAsia="en-US" w:bidi="ar-SA"/>
      </w:rPr>
    </w:rPrDefault>
    <w:pPrDefault>
      <w:pPr>
        <w:spacing w:after="12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A5FFA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60"/>
      <w:outlineLvl w:val="0"/>
    </w:pPr>
    <w:rPr>
      <w:rFonts w:asciiTheme="majorHAnsi" w:hAnsiTheme="majorHAnsi" w:eastAsiaTheme="majorEastAsia" w:cstheme="majorBidi"/>
      <w:b/>
      <w:color w:val="006A89" w:themeColor="accen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0" w:after="60"/>
      <w:outlineLvl w:val="1"/>
    </w:pPr>
    <w:rPr>
      <w:rFonts w:asciiTheme="majorHAnsi" w:hAnsiTheme="majorHAnsi" w:eastAsiaTheme="majorEastAsia" w:cstheme="majorBidi"/>
      <w:b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0" w:after="60"/>
      <w:outlineLvl w:val="2"/>
    </w:pPr>
    <w:rPr>
      <w:rFonts w:asciiTheme="majorHAnsi" w:hAnsiTheme="majorHAnsi" w:eastAsiaTheme="majorEastAsia" w:cstheme="majorBidi"/>
      <w:b/>
      <w:color w:val="006A89" w:themeColor="accent1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0" w:after="60"/>
      <w:outlineLvl w:val="3"/>
    </w:pPr>
    <w:rPr>
      <w:rFonts w:asciiTheme="majorHAnsi" w:hAnsiTheme="majorHAnsi" w:eastAsiaTheme="majorEastAsia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0" w:after="60"/>
      <w:outlineLvl w:val="4"/>
    </w:pPr>
    <w:rPr>
      <w:rFonts w:asciiTheme="majorHAnsi" w:hAnsiTheme="majorHAnsi" w:eastAsiaTheme="majorEastAsia" w:cstheme="majorBidi"/>
      <w:color w:val="006A89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0" w:after="60"/>
      <w:outlineLvl w:val="5"/>
    </w:pPr>
    <w:rPr>
      <w:rFonts w:asciiTheme="majorHAnsi" w:hAnsiTheme="majorHAnsi" w:eastAsiaTheme="majorEastAsia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0" w:after="60"/>
      <w:outlineLvl w:val="6"/>
    </w:pPr>
    <w:rPr>
      <w:rFonts w:asciiTheme="majorHAnsi" w:hAnsiTheme="majorHAnsi" w:eastAsiaTheme="majorEastAsia" w:cstheme="majorBidi"/>
      <w:iCs/>
      <w:color w:val="006A89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0" w:after="60"/>
      <w:outlineLvl w:val="7"/>
    </w:pPr>
    <w:rPr>
      <w:rFonts w:asciiTheme="majorHAnsi" w:hAnsiTheme="majorHAnsi" w:eastAsiaTheme="majorEastAsia" w:cstheme="majorBidi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Cs/>
      <w:color w:val="006A89" w:themeColor="accent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pPr>
      <w:spacing w:after="240" w:line="240" w:lineRule="auto"/>
      <w:contextualSpacing/>
    </w:pPr>
    <w:rPr>
      <w:rFonts w:asciiTheme="majorHAnsi" w:hAnsiTheme="majorHAnsi" w:eastAsiaTheme="majorEastAsia" w:cstheme="majorBidi"/>
      <w:b/>
      <w:color w:val="006A89" w:themeColor="accent1"/>
      <w:spacing w:val="-10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b/>
      <w:color w:val="006A89" w:themeColor="accent1"/>
      <w:spacing w:val="-10"/>
      <w:kern w:val="28"/>
      <w:sz w:val="52"/>
      <w:szCs w:val="56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color w:val="006A89" w:themeColor="accent1"/>
      <w:sz w:val="3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b/>
      <w:sz w:val="3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color w:val="006A89" w:themeColor="accent1"/>
      <w:sz w:val="26"/>
      <w:szCs w:val="24"/>
    </w:rPr>
  </w:style>
  <w:style w:type="paragraph" w:styleId="ListBullet">
    <w:name w:val="List Bullet"/>
    <w:basedOn w:val="Normal"/>
    <w:uiPriority w:val="99"/>
    <w:unhideWhenUsed/>
    <w:qFormat/>
    <w:pPr>
      <w:contextualSpacing/>
    </w:p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b/>
      <w:iCs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006A89" w:themeColor="accent1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color w:val="006A89" w:themeColor="accent1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360" w:right="360"/>
    </w:pPr>
    <w:rPr>
      <w:b/>
      <w:iCs/>
      <w:color w:val="006A89" w:themeColor="accent1"/>
    </w:rPr>
  </w:style>
  <w:style w:type="character" w:styleId="QuoteChar" w:customStyle="1">
    <w:name w:val="Quote Char"/>
    <w:basedOn w:val="DefaultParagraphFont"/>
    <w:link w:val="Quote"/>
    <w:uiPriority w:val="29"/>
    <w:rPr>
      <w:b/>
      <w:iCs/>
      <w:color w:val="006A89" w:themeColor="accent1"/>
    </w:rPr>
  </w:style>
  <w:style w:type="numbering" w:styleId="ReportList" w:customStyle="1">
    <w:name w:val="Report List"/>
    <w:uiPriority w:val="99"/>
    <w:pPr>
      <w:numPr>
        <w:numId w:val="11"/>
      </w:numPr>
    </w:p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paragraph" w:styleId="ListNumber">
    <w:name w:val="List Number"/>
    <w:basedOn w:val="Normal"/>
    <w:uiPriority w:val="99"/>
    <w:unhideWhenUsed/>
    <w:qFormat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9"/>
    <w:unhideWhenUsed/>
    <w:qFormat/>
    <w:pPr>
      <w:numPr>
        <w:ilvl w:val="1"/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ilvl w:val="2"/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ilvl w:val="3"/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ilvl w:val="4"/>
        <w:numId w:val="12"/>
      </w:numPr>
      <w:contextualSpacing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rsid w:val="00CF0404"/>
    <w:pPr>
      <w:spacing w:after="0" w:line="240" w:lineRule="auto"/>
      <w:jc w:val="right"/>
    </w:pPr>
    <w:rPr>
      <w:color w:val="616161" w:themeColor="accent3" w:themeShade="80"/>
    </w:rPr>
  </w:style>
  <w:style w:type="character" w:styleId="FooterChar" w:customStyle="1">
    <w:name w:val="Footer Char"/>
    <w:basedOn w:val="DefaultParagraphFont"/>
    <w:link w:val="Footer"/>
    <w:uiPriority w:val="99"/>
    <w:rsid w:val="00CF0404"/>
    <w:rPr>
      <w:color w:val="616161" w:themeColor="accent3" w:themeShade="80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006A89" w:themeColor="accent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1A2E8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2E8F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A2E8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2E8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A2E8F"/>
    <w:rPr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2E8F"/>
    <w:pPr>
      <w:spacing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A2E8F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1A2E8F"/>
  </w:style>
  <w:style w:type="paragraph" w:styleId="BlockText">
    <w:name w:val="Block Text"/>
    <w:basedOn w:val="Normal"/>
    <w:uiPriority w:val="99"/>
    <w:semiHidden/>
    <w:unhideWhenUsed/>
    <w:rsid w:val="001A2E8F"/>
    <w:pPr>
      <w:pBdr>
        <w:top w:val="single" w:color="006A89" w:themeColor="accent1" w:sz="2" w:space="10" w:shadow="1" w:frame="1"/>
        <w:left w:val="single" w:color="006A89" w:themeColor="accent1" w:sz="2" w:space="10" w:shadow="1" w:frame="1"/>
        <w:bottom w:val="single" w:color="006A89" w:themeColor="accent1" w:sz="2" w:space="10" w:shadow="1" w:frame="1"/>
        <w:right w:val="single" w:color="006A89" w:themeColor="accent1" w:sz="2" w:space="10" w:shadow="1" w:frame="1"/>
      </w:pBdr>
      <w:ind w:left="1152" w:right="1152"/>
    </w:pPr>
    <w:rPr>
      <w:rFonts w:eastAsiaTheme="minorEastAsia"/>
      <w:i/>
      <w:iCs/>
      <w:color w:val="006A89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A2E8F"/>
  </w:style>
  <w:style w:type="character" w:styleId="BodyTextChar" w:customStyle="1">
    <w:name w:val="Body Text Char"/>
    <w:basedOn w:val="DefaultParagraphFont"/>
    <w:link w:val="BodyText"/>
    <w:uiPriority w:val="99"/>
    <w:semiHidden/>
    <w:rsid w:val="001A2E8F"/>
  </w:style>
  <w:style w:type="paragraph" w:styleId="BodyText2">
    <w:name w:val="Body Text 2"/>
    <w:basedOn w:val="Normal"/>
    <w:link w:val="BodyText2Char"/>
    <w:uiPriority w:val="99"/>
    <w:semiHidden/>
    <w:unhideWhenUsed/>
    <w:rsid w:val="001A2E8F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1A2E8F"/>
  </w:style>
  <w:style w:type="paragraph" w:styleId="BodyText3">
    <w:name w:val="Body Text 3"/>
    <w:basedOn w:val="Normal"/>
    <w:link w:val="BodyText3Char"/>
    <w:uiPriority w:val="99"/>
    <w:semiHidden/>
    <w:unhideWhenUsed/>
    <w:rsid w:val="001A2E8F"/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1A2E8F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A2E8F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1A2E8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A2E8F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1A2E8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A2E8F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1A2E8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A2E8F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1A2E8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A2E8F"/>
    <w:pPr>
      <w:ind w:left="283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1A2E8F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1A2E8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2E8F"/>
    <w:pPr>
      <w:spacing w:after="200" w:line="240" w:lineRule="auto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A2E8F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1A2E8F"/>
  </w:style>
  <w:style w:type="table" w:styleId="ColorfulGrid">
    <w:name w:val="Colorful Grid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B4EEFF" w:themeFill="accent1" w:themeFillTint="33"/>
    </w:tcPr>
    <w:tblStylePr w:type="firstRow">
      <w:rPr>
        <w:b/>
        <w:bCs/>
      </w:rPr>
      <w:tblPr/>
      <w:tcPr>
        <w:shd w:val="clear" w:color="auto" w:fill="69DD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9DD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4F6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4F66" w:themeFill="accent1" w:themeFillShade="BF"/>
      </w:tcPr>
    </w:tblStylePr>
    <w:tblStylePr w:type="band1Vert">
      <w:tblPr/>
      <w:tcPr>
        <w:shd w:val="clear" w:color="auto" w:fill="45D4FF" w:themeFill="accent1" w:themeFillTint="7F"/>
      </w:tcPr>
    </w:tblStylePr>
    <w:tblStylePr w:type="band1Horz">
      <w:tblPr/>
      <w:tcPr>
        <w:shd w:val="clear" w:color="auto" w:fill="45D4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FE6F5" w:themeFill="accent2" w:themeFillTint="33"/>
    </w:tcPr>
    <w:tblStylePr w:type="firstRow">
      <w:rPr>
        <w:b/>
        <w:bCs/>
      </w:rPr>
      <w:tblPr/>
      <w:tcPr>
        <w:shd w:val="clear" w:color="auto" w:fill="A0CEE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0CEE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C618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C618B" w:themeFill="accent2" w:themeFillShade="BF"/>
      </w:tcPr>
    </w:tblStylePr>
    <w:tblStylePr w:type="band1Vert">
      <w:tblPr/>
      <w:tcPr>
        <w:shd w:val="clear" w:color="auto" w:fill="88C2E7" w:themeFill="accent2" w:themeFillTint="7F"/>
      </w:tcPr>
    </w:tblStylePr>
    <w:tblStylePr w:type="band1Horz">
      <w:tblPr/>
      <w:tcPr>
        <w:shd w:val="clear" w:color="auto" w:fill="88C2E7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3F3F3" w:themeFill="accent3" w:themeFillTint="33"/>
    </w:tcPr>
    <w:tblStylePr w:type="firstRow">
      <w:rPr>
        <w:b/>
        <w:bCs/>
      </w:rPr>
      <w:tblPr/>
      <w:tcPr>
        <w:shd w:val="clear" w:color="auto" w:fill="E7E7E7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7E7E7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2929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29292" w:themeFill="accent3" w:themeFillShade="BF"/>
      </w:tcPr>
    </w:tblStylePr>
    <w:tblStylePr w:type="band1Vert">
      <w:tblPr/>
      <w:tcPr>
        <w:shd w:val="clear" w:color="auto" w:fill="E1E1E1" w:themeFill="accent3" w:themeFillTint="7F"/>
      </w:tcPr>
    </w:tblStylePr>
    <w:tblStylePr w:type="band1Horz">
      <w:tblPr/>
      <w:tcPr>
        <w:shd w:val="clear" w:color="auto" w:fill="E1E1E1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BAFFF7" w:themeFill="accent4" w:themeFillTint="33"/>
    </w:tcPr>
    <w:tblStylePr w:type="firstRow">
      <w:rPr>
        <w:b/>
        <w:bCs/>
      </w:rPr>
      <w:tblPr/>
      <w:tcPr>
        <w:shd w:val="clear" w:color="auto" w:fill="76FFE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6FFE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9FAC8" w:themeFill="accent5" w:themeFillTint="33"/>
    </w:tcPr>
    <w:tblStylePr w:type="firstRow">
      <w:rPr>
        <w:b/>
        <w:bCs/>
      </w:rPr>
      <w:tblPr/>
      <w:tcPr>
        <w:shd w:val="clear" w:color="auto" w:fill="D3F59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F59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6940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6940C" w:themeFill="accent5" w:themeFillShade="BF"/>
      </w:tcPr>
    </w:tblStylePr>
    <w:tblStylePr w:type="band1Vert">
      <w:tblPr/>
      <w:tcPr>
        <w:shd w:val="clear" w:color="auto" w:fill="C9F377" w:themeFill="accent5" w:themeFillTint="7F"/>
      </w:tcPr>
    </w:tblStylePr>
    <w:tblStylePr w:type="band1Horz">
      <w:tblPr/>
      <w:tcPr>
        <w:shd w:val="clear" w:color="auto" w:fill="C9F37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E6795" w:themeFill="accent2" w:themeFillShade="CC"/>
      </w:tcPr>
    </w:tblStylePr>
    <w:tblStylePr w:type="lastRow">
      <w:rPr>
        <w:b/>
        <w:bCs/>
        <w:color w:val="1E6795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AF6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E6795" w:themeFill="accent2" w:themeFillShade="CC"/>
      </w:tcPr>
    </w:tblStylePr>
    <w:tblStylePr w:type="lastRow">
      <w:rPr>
        <w:b/>
        <w:bCs/>
        <w:color w:val="1E6795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7F3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E6795" w:themeFill="accent2" w:themeFillShade="CC"/>
      </w:tcPr>
    </w:tblStylePr>
    <w:tblStylePr w:type="lastRow">
      <w:rPr>
        <w:b/>
        <w:bCs/>
        <w:color w:val="1E6795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9F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008778" w:themeFill="accent4" w:themeFillShade="CC"/>
      </w:tcPr>
    </w:tblStylePr>
    <w:tblStylePr w:type="lastRow">
      <w:rPr>
        <w:b/>
        <w:bCs/>
        <w:color w:val="008778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DFFF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C9C9C" w:themeFill="accent3" w:themeFillShade="CC"/>
      </w:tcPr>
    </w:tblStylePr>
    <w:tblStylePr w:type="lastRow">
      <w:rPr>
        <w:b/>
        <w:bCs/>
        <w:color w:val="9C9C9C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CE4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D9F0D" w:themeFill="accent5" w:themeFillShade="CC"/>
      </w:tcPr>
    </w:tblStylePr>
    <w:tblStylePr w:type="lastRow">
      <w:rPr>
        <w:b/>
        <w:bCs/>
        <w:color w:val="6D9F0D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24" w:space="0"/>
        <w:left w:val="single" w:color="006A89" w:themeColor="accent1" w:sz="4" w:space="0"/>
        <w:bottom w:val="single" w:color="006A89" w:themeColor="accent1" w:sz="4" w:space="0"/>
        <w:right w:val="single" w:color="006A89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AF6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3F52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3F52" w:themeColor="accent1" w:themeShade="99" w:sz="4" w:space="0"/>
          <w:insideV w:val="nil"/>
        </w:tcBorders>
        <w:shd w:val="clear" w:color="auto" w:fill="003F52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52" w:themeFill="accent1" w:themeFillShade="99"/>
      </w:tcPr>
    </w:tblStylePr>
    <w:tblStylePr w:type="band1Vert">
      <w:tblPr/>
      <w:tcPr>
        <w:shd w:val="clear" w:color="auto" w:fill="69DDFF" w:themeFill="accent1" w:themeFillTint="66"/>
      </w:tcPr>
    </w:tblStylePr>
    <w:tblStylePr w:type="band1Horz">
      <w:tblPr/>
      <w:tcPr>
        <w:shd w:val="clear" w:color="auto" w:fill="45D4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24" w:space="0"/>
        <w:left w:val="single" w:color="2682BB" w:themeColor="accent2" w:sz="4" w:space="0"/>
        <w:bottom w:val="single" w:color="2682BB" w:themeColor="accent2" w:sz="4" w:space="0"/>
        <w:right w:val="single" w:color="2682BB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7F3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64D7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64D70" w:themeColor="accent2" w:themeShade="99" w:sz="4" w:space="0"/>
          <w:insideV w:val="nil"/>
        </w:tcBorders>
        <w:shd w:val="clear" w:color="auto" w:fill="164D7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D70" w:themeFill="accent2" w:themeFillShade="99"/>
      </w:tcPr>
    </w:tblStylePr>
    <w:tblStylePr w:type="band1Vert">
      <w:tblPr/>
      <w:tcPr>
        <w:shd w:val="clear" w:color="auto" w:fill="A0CEEB" w:themeFill="accent2" w:themeFillTint="66"/>
      </w:tcPr>
    </w:tblStylePr>
    <w:tblStylePr w:type="band1Horz">
      <w:tblPr/>
      <w:tcPr>
        <w:shd w:val="clear" w:color="auto" w:fill="88C2E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A997" w:themeColor="accent4" w:sz="24" w:space="0"/>
        <w:left w:val="single" w:color="C3C3C3" w:themeColor="accent3" w:sz="4" w:space="0"/>
        <w:bottom w:val="single" w:color="C3C3C3" w:themeColor="accent3" w:sz="4" w:space="0"/>
        <w:right w:val="single" w:color="C3C3C3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9F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00A997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5757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57575" w:themeColor="accent3" w:themeShade="99" w:sz="4" w:space="0"/>
          <w:insideV w:val="nil"/>
        </w:tcBorders>
        <w:shd w:val="clear" w:color="auto" w:fill="75757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7575" w:themeFill="accent3" w:themeFillShade="99"/>
      </w:tcPr>
    </w:tblStylePr>
    <w:tblStylePr w:type="band1Vert">
      <w:tblPr/>
      <w:tcPr>
        <w:shd w:val="clear" w:color="auto" w:fill="E7E7E7" w:themeFill="accent3" w:themeFillTint="66"/>
      </w:tcPr>
    </w:tblStylePr>
    <w:tblStylePr w:type="band1Horz">
      <w:tblPr/>
      <w:tcPr>
        <w:shd w:val="clear" w:color="auto" w:fill="E1E1E1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3" w:sz="24" w:space="0"/>
        <w:left w:val="single" w:color="00A997" w:themeColor="accent4" w:sz="4" w:space="0"/>
        <w:bottom w:val="single" w:color="00A997" w:themeColor="accent4" w:sz="4" w:space="0"/>
        <w:right w:val="single" w:color="00A997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DFFF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3C3C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65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655A" w:themeColor="accent4" w:themeShade="99" w:sz="4" w:space="0"/>
          <w:insideV w:val="nil"/>
        </w:tcBorders>
        <w:shd w:val="clear" w:color="auto" w:fill="0065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55A" w:themeFill="accent4" w:themeFillShade="99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55FFE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479B" w:themeColor="accent6" w:sz="24" w:space="0"/>
        <w:left w:val="single" w:color="89C711" w:themeColor="accent5" w:sz="4" w:space="0"/>
        <w:bottom w:val="single" w:color="89C711" w:themeColor="accent5" w:sz="4" w:space="0"/>
        <w:right w:val="single" w:color="89C711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FCE4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1770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1770A" w:themeColor="accent5" w:themeShade="99" w:sz="4" w:space="0"/>
          <w:insideV w:val="nil"/>
        </w:tcBorders>
        <w:shd w:val="clear" w:color="auto" w:fill="51770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770A" w:themeFill="accent5" w:themeFillShade="99"/>
      </w:tcPr>
    </w:tblStylePr>
    <w:tblStylePr w:type="band1Vert">
      <w:tblPr/>
      <w:tcPr>
        <w:shd w:val="clear" w:color="auto" w:fill="D3F592" w:themeFill="accent5" w:themeFillTint="66"/>
      </w:tcPr>
    </w:tblStylePr>
    <w:tblStylePr w:type="band1Horz">
      <w:tblPr/>
      <w:tcPr>
        <w:shd w:val="clear" w:color="auto" w:fill="C9F37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9C711" w:themeColor="accent5" w:sz="2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9C711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22A5C" w:themeColor="accent6" w:themeShade="99" w:sz="4" w:space="0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6A8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344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4F6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4F6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F6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F6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2BB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3405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C618B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C618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8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8B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C3C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1616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29292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2929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54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7E7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9C71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4620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6940C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6940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A2E8F"/>
  </w:style>
  <w:style w:type="character" w:styleId="DateChar" w:customStyle="1">
    <w:name w:val="Date Char"/>
    <w:basedOn w:val="DefaultParagraphFont"/>
    <w:link w:val="Date"/>
    <w:uiPriority w:val="99"/>
    <w:semiHidden/>
    <w:rsid w:val="001A2E8F"/>
  </w:style>
  <w:style w:type="paragraph" w:styleId="DocumentMap">
    <w:name w:val="Document Map"/>
    <w:basedOn w:val="Normal"/>
    <w:link w:val="DocumentMapChar"/>
    <w:uiPriority w:val="99"/>
    <w:semiHidden/>
    <w:unhideWhenUsed/>
    <w:rsid w:val="001A2E8F"/>
    <w:pPr>
      <w:spacing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1A2E8F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A2E8F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1A2E8F"/>
  </w:style>
  <w:style w:type="character" w:styleId="Emphasis">
    <w:name w:val="Emphasis"/>
    <w:basedOn w:val="DefaultParagraphFont"/>
    <w:uiPriority w:val="20"/>
    <w:semiHidden/>
    <w:unhideWhenUsed/>
    <w:qFormat/>
    <w:rsid w:val="001A2E8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1A2E8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A2E8F"/>
    <w:pPr>
      <w:spacing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1A2E8F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A2E8F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A2E8F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1A2E8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A2E8F"/>
    <w:pPr>
      <w:spacing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1A2E8F"/>
    <w:rPr>
      <w:szCs w:val="20"/>
    </w:rPr>
  </w:style>
  <w:style w:type="table" w:styleId="GridTable1Light">
    <w:name w:val="Grid Table 1 Light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69DDFF" w:themeColor="accent1" w:themeTint="66" w:sz="4" w:space="0"/>
        <w:left w:val="single" w:color="69DDFF" w:themeColor="accent1" w:themeTint="66" w:sz="4" w:space="0"/>
        <w:bottom w:val="single" w:color="69DDFF" w:themeColor="accent1" w:themeTint="66" w:sz="4" w:space="0"/>
        <w:right w:val="single" w:color="69DDFF" w:themeColor="accent1" w:themeTint="66" w:sz="4" w:space="0"/>
        <w:insideH w:val="single" w:color="69DDFF" w:themeColor="accent1" w:themeTint="66" w:sz="4" w:space="0"/>
        <w:insideV w:val="single" w:color="69DDFF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1FCC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A0CEEB" w:themeColor="accent2" w:themeTint="66" w:sz="4" w:space="0"/>
        <w:left w:val="single" w:color="A0CEEB" w:themeColor="accent2" w:themeTint="66" w:sz="4" w:space="0"/>
        <w:bottom w:val="single" w:color="A0CEEB" w:themeColor="accent2" w:themeTint="66" w:sz="4" w:space="0"/>
        <w:right w:val="single" w:color="A0CEEB" w:themeColor="accent2" w:themeTint="66" w:sz="4" w:space="0"/>
        <w:insideH w:val="single" w:color="A0CEEB" w:themeColor="accent2" w:themeTint="66" w:sz="4" w:space="0"/>
        <w:insideV w:val="single" w:color="A0CEEB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70B6E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E7E7E7" w:themeColor="accent3" w:themeTint="66" w:sz="4" w:space="0"/>
        <w:left w:val="single" w:color="E7E7E7" w:themeColor="accent3" w:themeTint="66" w:sz="4" w:space="0"/>
        <w:bottom w:val="single" w:color="E7E7E7" w:themeColor="accent3" w:themeTint="66" w:sz="4" w:space="0"/>
        <w:right w:val="single" w:color="E7E7E7" w:themeColor="accent3" w:themeTint="66" w:sz="4" w:space="0"/>
        <w:insideH w:val="single" w:color="E7E7E7" w:themeColor="accent3" w:themeTint="66" w:sz="4" w:space="0"/>
        <w:insideV w:val="single" w:color="E7E7E7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DBDBDB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76FFEF" w:themeColor="accent4" w:themeTint="66" w:sz="4" w:space="0"/>
        <w:left w:val="single" w:color="76FFEF" w:themeColor="accent4" w:themeTint="66" w:sz="4" w:space="0"/>
        <w:bottom w:val="single" w:color="76FFEF" w:themeColor="accent4" w:themeTint="66" w:sz="4" w:space="0"/>
        <w:right w:val="single" w:color="76FFEF" w:themeColor="accent4" w:themeTint="66" w:sz="4" w:space="0"/>
        <w:insideH w:val="single" w:color="76FFEF" w:themeColor="accent4" w:themeTint="66" w:sz="4" w:space="0"/>
        <w:insideV w:val="single" w:color="76FFEF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32FFE8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D3F592" w:themeColor="accent5" w:themeTint="66" w:sz="4" w:space="0"/>
        <w:left w:val="single" w:color="D3F592" w:themeColor="accent5" w:themeTint="66" w:sz="4" w:space="0"/>
        <w:bottom w:val="single" w:color="D3F592" w:themeColor="accent5" w:themeTint="66" w:sz="4" w:space="0"/>
        <w:right w:val="single" w:color="D3F592" w:themeColor="accent5" w:themeTint="66" w:sz="4" w:space="0"/>
        <w:insideH w:val="single" w:color="D3F592" w:themeColor="accent5" w:themeTint="66" w:sz="4" w:space="0"/>
        <w:insideV w:val="single" w:color="D3F592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BEF15C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D2B1DB" w:themeColor="accent6" w:themeTint="66" w:sz="4" w:space="0"/>
        <w:left w:val="single" w:color="D2B1DB" w:themeColor="accent6" w:themeTint="66" w:sz="4" w:space="0"/>
        <w:bottom w:val="single" w:color="D2B1DB" w:themeColor="accent6" w:themeTint="66" w:sz="4" w:space="0"/>
        <w:right w:val="single" w:color="D2B1DB" w:themeColor="accent6" w:themeTint="66" w:sz="4" w:space="0"/>
        <w:insideH w:val="single" w:color="D2B1DB" w:themeColor="accent6" w:themeTint="66" w:sz="4" w:space="0"/>
        <w:insideV w:val="single" w:color="D2B1DB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BC89C9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2" w:space="0"/>
        <w:bottom w:val="single" w:color="1FCCFF" w:themeColor="accent1" w:themeTint="99" w:sz="2" w:space="0"/>
        <w:insideH w:val="single" w:color="1FCCFF" w:themeColor="accent1" w:themeTint="99" w:sz="2" w:space="0"/>
        <w:insideV w:val="single" w:color="1FCC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1FCC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2" w:space="0"/>
        <w:bottom w:val="single" w:color="70B6E2" w:themeColor="accent2" w:themeTint="99" w:sz="2" w:space="0"/>
        <w:insideH w:val="single" w:color="70B6E2" w:themeColor="accent2" w:themeTint="99" w:sz="2" w:space="0"/>
        <w:insideV w:val="single" w:color="70B6E2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70B6E2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2" w:space="0"/>
        <w:bottom w:val="single" w:color="DBDBDB" w:themeColor="accent3" w:themeTint="99" w:sz="2" w:space="0"/>
        <w:insideH w:val="single" w:color="DBDBDB" w:themeColor="accent3" w:themeTint="99" w:sz="2" w:space="0"/>
        <w:insideV w:val="single" w:color="DBDBDB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BDBDB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2" w:space="0"/>
        <w:bottom w:val="single" w:color="32FFE8" w:themeColor="accent4" w:themeTint="99" w:sz="2" w:space="0"/>
        <w:insideH w:val="single" w:color="32FFE8" w:themeColor="accent4" w:themeTint="99" w:sz="2" w:space="0"/>
        <w:insideV w:val="single" w:color="32FFE8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32FFE8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2" w:space="0"/>
        <w:bottom w:val="single" w:color="BEF15C" w:themeColor="accent5" w:themeTint="99" w:sz="2" w:space="0"/>
        <w:insideH w:val="single" w:color="BEF15C" w:themeColor="accent5" w:themeTint="99" w:sz="2" w:space="0"/>
        <w:insideV w:val="single" w:color="BEF15C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EF15C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2" w:space="0"/>
        <w:bottom w:val="single" w:color="BC89C9" w:themeColor="accent6" w:themeTint="99" w:sz="2" w:space="0"/>
        <w:insideH w:val="single" w:color="BC89C9" w:themeColor="accent6" w:themeTint="99" w:sz="2" w:space="0"/>
        <w:insideV w:val="single" w:color="BC89C9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C89C9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  <w:tblStylePr w:type="neCell">
      <w:tblPr/>
      <w:tcPr>
        <w:tcBorders>
          <w:bottom w:val="single" w:color="1FCCFF" w:themeColor="accent1" w:themeTint="99" w:sz="4" w:space="0"/>
        </w:tcBorders>
      </w:tcPr>
    </w:tblStylePr>
    <w:tblStylePr w:type="nwCell">
      <w:tblPr/>
      <w:tcPr>
        <w:tcBorders>
          <w:bottom w:val="single" w:color="1FCCFF" w:themeColor="accent1" w:themeTint="99" w:sz="4" w:space="0"/>
        </w:tcBorders>
      </w:tcPr>
    </w:tblStylePr>
    <w:tblStylePr w:type="seCell">
      <w:tblPr/>
      <w:tcPr>
        <w:tcBorders>
          <w:top w:val="single" w:color="1FCCFF" w:themeColor="accent1" w:themeTint="99" w:sz="4" w:space="0"/>
        </w:tcBorders>
      </w:tcPr>
    </w:tblStylePr>
    <w:tblStylePr w:type="swCell">
      <w:tblPr/>
      <w:tcPr>
        <w:tcBorders>
          <w:top w:val="single" w:color="1FCCFF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  <w:tblStylePr w:type="neCell">
      <w:tblPr/>
      <w:tcPr>
        <w:tcBorders>
          <w:bottom w:val="single" w:color="70B6E2" w:themeColor="accent2" w:themeTint="99" w:sz="4" w:space="0"/>
        </w:tcBorders>
      </w:tcPr>
    </w:tblStylePr>
    <w:tblStylePr w:type="nwCell">
      <w:tblPr/>
      <w:tcPr>
        <w:tcBorders>
          <w:bottom w:val="single" w:color="70B6E2" w:themeColor="accent2" w:themeTint="99" w:sz="4" w:space="0"/>
        </w:tcBorders>
      </w:tcPr>
    </w:tblStylePr>
    <w:tblStylePr w:type="seCell">
      <w:tblPr/>
      <w:tcPr>
        <w:tcBorders>
          <w:top w:val="single" w:color="70B6E2" w:themeColor="accent2" w:themeTint="99" w:sz="4" w:space="0"/>
        </w:tcBorders>
      </w:tcPr>
    </w:tblStylePr>
    <w:tblStylePr w:type="swCell">
      <w:tblPr/>
      <w:tcPr>
        <w:tcBorders>
          <w:top w:val="single" w:color="70B6E2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  <w:tblStylePr w:type="neCell">
      <w:tblPr/>
      <w:tcPr>
        <w:tcBorders>
          <w:bottom w:val="single" w:color="DBDBDB" w:themeColor="accent3" w:themeTint="99" w:sz="4" w:space="0"/>
        </w:tcBorders>
      </w:tcPr>
    </w:tblStylePr>
    <w:tblStylePr w:type="nwCell">
      <w:tblPr/>
      <w:tcPr>
        <w:tcBorders>
          <w:bottom w:val="single" w:color="DBDBDB" w:themeColor="accent3" w:themeTint="99" w:sz="4" w:space="0"/>
        </w:tcBorders>
      </w:tcPr>
    </w:tblStylePr>
    <w:tblStylePr w:type="seCell">
      <w:tblPr/>
      <w:tcPr>
        <w:tcBorders>
          <w:top w:val="single" w:color="DBDBDB" w:themeColor="accent3" w:themeTint="99" w:sz="4" w:space="0"/>
        </w:tcBorders>
      </w:tcPr>
    </w:tblStylePr>
    <w:tblStylePr w:type="swCell">
      <w:tblPr/>
      <w:tcPr>
        <w:tcBorders>
          <w:top w:val="single" w:color="DBDBDB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color="32FFE8" w:themeColor="accent4" w:themeTint="99" w:sz="4" w:space="0"/>
        </w:tcBorders>
      </w:tcPr>
    </w:tblStylePr>
    <w:tblStylePr w:type="nwCell">
      <w:tblPr/>
      <w:tcPr>
        <w:tcBorders>
          <w:bottom w:val="single" w:color="32FFE8" w:themeColor="accent4" w:themeTint="99" w:sz="4" w:space="0"/>
        </w:tcBorders>
      </w:tcPr>
    </w:tblStylePr>
    <w:tblStylePr w:type="seCell">
      <w:tblPr/>
      <w:tcPr>
        <w:tcBorders>
          <w:top w:val="single" w:color="32FFE8" w:themeColor="accent4" w:themeTint="99" w:sz="4" w:space="0"/>
        </w:tcBorders>
      </w:tcPr>
    </w:tblStylePr>
    <w:tblStylePr w:type="swCell">
      <w:tblPr/>
      <w:tcPr>
        <w:tcBorders>
          <w:top w:val="single" w:color="32FFE8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  <w:tblStylePr w:type="neCell">
      <w:tblPr/>
      <w:tcPr>
        <w:tcBorders>
          <w:bottom w:val="single" w:color="BEF15C" w:themeColor="accent5" w:themeTint="99" w:sz="4" w:space="0"/>
        </w:tcBorders>
      </w:tcPr>
    </w:tblStylePr>
    <w:tblStylePr w:type="nwCell">
      <w:tblPr/>
      <w:tcPr>
        <w:tcBorders>
          <w:bottom w:val="single" w:color="BEF15C" w:themeColor="accent5" w:themeTint="99" w:sz="4" w:space="0"/>
        </w:tcBorders>
      </w:tcPr>
    </w:tblStylePr>
    <w:tblStylePr w:type="seCell">
      <w:tblPr/>
      <w:tcPr>
        <w:tcBorders>
          <w:top w:val="single" w:color="BEF15C" w:themeColor="accent5" w:themeTint="99" w:sz="4" w:space="0"/>
        </w:tcBorders>
      </w:tcPr>
    </w:tblStylePr>
    <w:tblStylePr w:type="swCell">
      <w:tblPr/>
      <w:tcPr>
        <w:tcBorders>
          <w:top w:val="single" w:color="BEF15C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color="BC89C9" w:themeColor="accent6" w:themeTint="99" w:sz="4" w:space="0"/>
        </w:tcBorders>
      </w:tcPr>
    </w:tblStylePr>
    <w:tblStylePr w:type="nwCell">
      <w:tblPr/>
      <w:tcPr>
        <w:tcBorders>
          <w:bottom w:val="single" w:color="BC89C9" w:themeColor="accent6" w:themeTint="99" w:sz="4" w:space="0"/>
        </w:tcBorders>
      </w:tcPr>
    </w:tblStylePr>
    <w:tblStylePr w:type="seCell">
      <w:tblPr/>
      <w:tcPr>
        <w:tcBorders>
          <w:top w:val="single" w:color="BC89C9" w:themeColor="accent6" w:themeTint="99" w:sz="4" w:space="0"/>
        </w:tcBorders>
      </w:tcPr>
    </w:tblStylePr>
    <w:tblStylePr w:type="swCell">
      <w:tblPr/>
      <w:tcPr>
        <w:tcBorders>
          <w:top w:val="single" w:color="BC89C9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6A89" w:themeColor="accent1" w:sz="4" w:space="0"/>
          <w:left w:val="single" w:color="006A89" w:themeColor="accent1" w:sz="4" w:space="0"/>
          <w:bottom w:val="single" w:color="006A89" w:themeColor="accent1" w:sz="4" w:space="0"/>
          <w:right w:val="single" w:color="006A89" w:themeColor="accent1" w:sz="4" w:space="0"/>
          <w:insideH w:val="nil"/>
          <w:insideV w:val="nil"/>
        </w:tcBorders>
        <w:shd w:val="clear" w:color="auto" w:fill="006A89" w:themeFill="accent1"/>
      </w:tcPr>
    </w:tblStylePr>
    <w:tblStylePr w:type="lastRow">
      <w:rPr>
        <w:b/>
        <w:bCs/>
      </w:rPr>
      <w:tblPr/>
      <w:tcPr>
        <w:tcBorders>
          <w:top w:val="double" w:color="006A89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682BB" w:themeColor="accent2" w:sz="4" w:space="0"/>
          <w:left w:val="single" w:color="2682BB" w:themeColor="accent2" w:sz="4" w:space="0"/>
          <w:bottom w:val="single" w:color="2682BB" w:themeColor="accent2" w:sz="4" w:space="0"/>
          <w:right w:val="single" w:color="2682BB" w:themeColor="accent2" w:sz="4" w:space="0"/>
          <w:insideH w:val="nil"/>
          <w:insideV w:val="nil"/>
        </w:tcBorders>
        <w:shd w:val="clear" w:color="auto" w:fill="2682BB" w:themeFill="accent2"/>
      </w:tcPr>
    </w:tblStylePr>
    <w:tblStylePr w:type="lastRow">
      <w:rPr>
        <w:b/>
        <w:bCs/>
      </w:rPr>
      <w:tblPr/>
      <w:tcPr>
        <w:tcBorders>
          <w:top w:val="double" w:color="2682BB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3C3C3" w:themeColor="accent3" w:sz="4" w:space="0"/>
          <w:left w:val="single" w:color="C3C3C3" w:themeColor="accent3" w:sz="4" w:space="0"/>
          <w:bottom w:val="single" w:color="C3C3C3" w:themeColor="accent3" w:sz="4" w:space="0"/>
          <w:right w:val="single" w:color="C3C3C3" w:themeColor="accent3" w:sz="4" w:space="0"/>
          <w:insideH w:val="nil"/>
          <w:insideV w:val="nil"/>
        </w:tcBorders>
        <w:shd w:val="clear" w:color="auto" w:fill="C3C3C3" w:themeFill="accent3"/>
      </w:tcPr>
    </w:tblStylePr>
    <w:tblStylePr w:type="lastRow">
      <w:rPr>
        <w:b/>
        <w:bCs/>
      </w:rPr>
      <w:tblPr/>
      <w:tcPr>
        <w:tcBorders>
          <w:top w:val="double" w:color="C3C3C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A997" w:themeColor="accent4" w:sz="4" w:space="0"/>
          <w:left w:val="single" w:color="00A997" w:themeColor="accent4" w:sz="4" w:space="0"/>
          <w:bottom w:val="single" w:color="00A997" w:themeColor="accent4" w:sz="4" w:space="0"/>
          <w:right w:val="single" w:color="00A997" w:themeColor="accent4" w:sz="4" w:space="0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color="00A997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9C711" w:themeColor="accent5" w:sz="4" w:space="0"/>
          <w:left w:val="single" w:color="89C711" w:themeColor="accent5" w:sz="4" w:space="0"/>
          <w:bottom w:val="single" w:color="89C711" w:themeColor="accent5" w:sz="4" w:space="0"/>
          <w:right w:val="single" w:color="89C711" w:themeColor="accent5" w:sz="4" w:space="0"/>
          <w:insideH w:val="nil"/>
          <w:insideV w:val="nil"/>
        </w:tcBorders>
        <w:shd w:val="clear" w:color="auto" w:fill="89C711" w:themeFill="accent5"/>
      </w:tcPr>
    </w:tblStylePr>
    <w:tblStylePr w:type="lastRow">
      <w:rPr>
        <w:b/>
        <w:bCs/>
      </w:rPr>
      <w:tblPr/>
      <w:tcPr>
        <w:tcBorders>
          <w:top w:val="double" w:color="89C711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B4EE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6A8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6A8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6A8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6A89" w:themeFill="accent1"/>
      </w:tcPr>
    </w:tblStylePr>
    <w:tblStylePr w:type="band1Vert">
      <w:tblPr/>
      <w:tcPr>
        <w:shd w:val="clear" w:color="auto" w:fill="69DDFF" w:themeFill="accent1" w:themeFillTint="66"/>
      </w:tcPr>
    </w:tblStylePr>
    <w:tblStylePr w:type="band1Horz">
      <w:tblPr/>
      <w:tcPr>
        <w:shd w:val="clear" w:color="auto" w:fill="69DDF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FE6F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682BB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682BB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682B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682BB" w:themeFill="accent2"/>
      </w:tcPr>
    </w:tblStylePr>
    <w:tblStylePr w:type="band1Vert">
      <w:tblPr/>
      <w:tcPr>
        <w:shd w:val="clear" w:color="auto" w:fill="A0CEEB" w:themeFill="accent2" w:themeFillTint="66"/>
      </w:tcPr>
    </w:tblStylePr>
    <w:tblStylePr w:type="band1Horz">
      <w:tblPr/>
      <w:tcPr>
        <w:shd w:val="clear" w:color="auto" w:fill="A0CEEB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F3F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3C3C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3C3C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3C3C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3C3C3" w:themeFill="accent3"/>
      </w:tcPr>
    </w:tblStylePr>
    <w:tblStylePr w:type="band1Vert">
      <w:tblPr/>
      <w:tcPr>
        <w:shd w:val="clear" w:color="auto" w:fill="E7E7E7" w:themeFill="accent3" w:themeFillTint="66"/>
      </w:tcPr>
    </w:tblStylePr>
    <w:tblStylePr w:type="band1Horz">
      <w:tblPr/>
      <w:tcPr>
        <w:shd w:val="clear" w:color="auto" w:fill="E7E7E7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BAFFF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A99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A997" w:themeFill="accent4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76FFEF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9FAC8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9C711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9C711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9C7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9C711" w:themeFill="accent5"/>
      </w:tcPr>
    </w:tblStylePr>
    <w:tblStylePr w:type="band1Vert">
      <w:tblPr/>
      <w:tcPr>
        <w:shd w:val="clear" w:color="auto" w:fill="D3F592" w:themeFill="accent5" w:themeFillTint="66"/>
      </w:tcPr>
    </w:tblStylePr>
    <w:tblStylePr w:type="band1Horz">
      <w:tblPr/>
      <w:tcPr>
        <w:shd w:val="clear" w:color="auto" w:fill="D3F59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1FCC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70B6E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DBDBDB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32FFE8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BEF15C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BC89C9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  <w:tblStylePr w:type="neCell">
      <w:tblPr/>
      <w:tcPr>
        <w:tcBorders>
          <w:bottom w:val="single" w:color="1FCCFF" w:themeColor="accent1" w:themeTint="99" w:sz="4" w:space="0"/>
        </w:tcBorders>
      </w:tcPr>
    </w:tblStylePr>
    <w:tblStylePr w:type="nwCell">
      <w:tblPr/>
      <w:tcPr>
        <w:tcBorders>
          <w:bottom w:val="single" w:color="1FCCFF" w:themeColor="accent1" w:themeTint="99" w:sz="4" w:space="0"/>
        </w:tcBorders>
      </w:tcPr>
    </w:tblStylePr>
    <w:tblStylePr w:type="seCell">
      <w:tblPr/>
      <w:tcPr>
        <w:tcBorders>
          <w:top w:val="single" w:color="1FCCFF" w:themeColor="accent1" w:themeTint="99" w:sz="4" w:space="0"/>
        </w:tcBorders>
      </w:tcPr>
    </w:tblStylePr>
    <w:tblStylePr w:type="swCell">
      <w:tblPr/>
      <w:tcPr>
        <w:tcBorders>
          <w:top w:val="single" w:color="1FCCFF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  <w:tblStylePr w:type="neCell">
      <w:tblPr/>
      <w:tcPr>
        <w:tcBorders>
          <w:bottom w:val="single" w:color="70B6E2" w:themeColor="accent2" w:themeTint="99" w:sz="4" w:space="0"/>
        </w:tcBorders>
      </w:tcPr>
    </w:tblStylePr>
    <w:tblStylePr w:type="nwCell">
      <w:tblPr/>
      <w:tcPr>
        <w:tcBorders>
          <w:bottom w:val="single" w:color="70B6E2" w:themeColor="accent2" w:themeTint="99" w:sz="4" w:space="0"/>
        </w:tcBorders>
      </w:tcPr>
    </w:tblStylePr>
    <w:tblStylePr w:type="seCell">
      <w:tblPr/>
      <w:tcPr>
        <w:tcBorders>
          <w:top w:val="single" w:color="70B6E2" w:themeColor="accent2" w:themeTint="99" w:sz="4" w:space="0"/>
        </w:tcBorders>
      </w:tcPr>
    </w:tblStylePr>
    <w:tblStylePr w:type="swCell">
      <w:tblPr/>
      <w:tcPr>
        <w:tcBorders>
          <w:top w:val="single" w:color="70B6E2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  <w:tblStylePr w:type="neCell">
      <w:tblPr/>
      <w:tcPr>
        <w:tcBorders>
          <w:bottom w:val="single" w:color="DBDBDB" w:themeColor="accent3" w:themeTint="99" w:sz="4" w:space="0"/>
        </w:tcBorders>
      </w:tcPr>
    </w:tblStylePr>
    <w:tblStylePr w:type="nwCell">
      <w:tblPr/>
      <w:tcPr>
        <w:tcBorders>
          <w:bottom w:val="single" w:color="DBDBDB" w:themeColor="accent3" w:themeTint="99" w:sz="4" w:space="0"/>
        </w:tcBorders>
      </w:tcPr>
    </w:tblStylePr>
    <w:tblStylePr w:type="seCell">
      <w:tblPr/>
      <w:tcPr>
        <w:tcBorders>
          <w:top w:val="single" w:color="DBDBDB" w:themeColor="accent3" w:themeTint="99" w:sz="4" w:space="0"/>
        </w:tcBorders>
      </w:tcPr>
    </w:tblStylePr>
    <w:tblStylePr w:type="swCell">
      <w:tblPr/>
      <w:tcPr>
        <w:tcBorders>
          <w:top w:val="single" w:color="DBDBDB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color="32FFE8" w:themeColor="accent4" w:themeTint="99" w:sz="4" w:space="0"/>
        </w:tcBorders>
      </w:tcPr>
    </w:tblStylePr>
    <w:tblStylePr w:type="nwCell">
      <w:tblPr/>
      <w:tcPr>
        <w:tcBorders>
          <w:bottom w:val="single" w:color="32FFE8" w:themeColor="accent4" w:themeTint="99" w:sz="4" w:space="0"/>
        </w:tcBorders>
      </w:tcPr>
    </w:tblStylePr>
    <w:tblStylePr w:type="seCell">
      <w:tblPr/>
      <w:tcPr>
        <w:tcBorders>
          <w:top w:val="single" w:color="32FFE8" w:themeColor="accent4" w:themeTint="99" w:sz="4" w:space="0"/>
        </w:tcBorders>
      </w:tcPr>
    </w:tblStylePr>
    <w:tblStylePr w:type="swCell">
      <w:tblPr/>
      <w:tcPr>
        <w:tcBorders>
          <w:top w:val="single" w:color="32FFE8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  <w:tblStylePr w:type="neCell">
      <w:tblPr/>
      <w:tcPr>
        <w:tcBorders>
          <w:bottom w:val="single" w:color="BEF15C" w:themeColor="accent5" w:themeTint="99" w:sz="4" w:space="0"/>
        </w:tcBorders>
      </w:tcPr>
    </w:tblStylePr>
    <w:tblStylePr w:type="nwCell">
      <w:tblPr/>
      <w:tcPr>
        <w:tcBorders>
          <w:bottom w:val="single" w:color="BEF15C" w:themeColor="accent5" w:themeTint="99" w:sz="4" w:space="0"/>
        </w:tcBorders>
      </w:tcPr>
    </w:tblStylePr>
    <w:tblStylePr w:type="seCell">
      <w:tblPr/>
      <w:tcPr>
        <w:tcBorders>
          <w:top w:val="single" w:color="BEF15C" w:themeColor="accent5" w:themeTint="99" w:sz="4" w:space="0"/>
        </w:tcBorders>
      </w:tcPr>
    </w:tblStylePr>
    <w:tblStylePr w:type="swCell">
      <w:tblPr/>
      <w:tcPr>
        <w:tcBorders>
          <w:top w:val="single" w:color="BEF15C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color="BC89C9" w:themeColor="accent6" w:themeTint="99" w:sz="4" w:space="0"/>
        </w:tcBorders>
      </w:tcPr>
    </w:tblStylePr>
    <w:tblStylePr w:type="nwCell">
      <w:tblPr/>
      <w:tcPr>
        <w:tcBorders>
          <w:bottom w:val="single" w:color="BC89C9" w:themeColor="accent6" w:themeTint="99" w:sz="4" w:space="0"/>
        </w:tcBorders>
      </w:tcPr>
    </w:tblStylePr>
    <w:tblStylePr w:type="seCell">
      <w:tblPr/>
      <w:tcPr>
        <w:tcBorders>
          <w:top w:val="single" w:color="BC89C9" w:themeColor="accent6" w:themeTint="99" w:sz="4" w:space="0"/>
        </w:tcBorders>
      </w:tcPr>
    </w:tblStylePr>
    <w:tblStylePr w:type="swCell">
      <w:tblPr/>
      <w:tcPr>
        <w:tcBorders>
          <w:top w:val="single" w:color="BC89C9" w:themeColor="accent6" w:themeTint="99" w:sz="4" w:space="0"/>
        </w:tcBorders>
      </w:tcPr>
    </w:tblStylePr>
  </w:style>
  <w:style w:type="character" w:styleId="Hashtag1" w:customStyle="1">
    <w:name w:val="Hashtag1"/>
    <w:basedOn w:val="DefaultParagraphFont"/>
    <w:uiPriority w:val="99"/>
    <w:semiHidden/>
    <w:unhideWhenUsed/>
    <w:rsid w:val="001A2E8F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1A2E8F"/>
  </w:style>
  <w:style w:type="paragraph" w:styleId="HTMLAddress">
    <w:name w:val="HTML Address"/>
    <w:basedOn w:val="Normal"/>
    <w:link w:val="HTMLAddressChar"/>
    <w:uiPriority w:val="99"/>
    <w:semiHidden/>
    <w:unhideWhenUsed/>
    <w:rsid w:val="001A2E8F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1A2E8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1A2E8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1A2E8F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1A2E8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1A2E8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A2E8F"/>
    <w:pPr>
      <w:spacing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1A2E8F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1A2E8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1A2E8F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1A2E8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B3AD3"/>
    <w:rPr>
      <w:color w:val="004F66" w:themeColor="accent1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A2E8F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A2E8F"/>
    <w:rPr>
      <w:i/>
      <w:iCs/>
      <w:color w:val="006A89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A2E8F"/>
    <w:pPr>
      <w:pBdr>
        <w:top w:val="single" w:color="006A89" w:themeColor="accent1" w:sz="4" w:space="10"/>
        <w:bottom w:val="single" w:color="006A89" w:themeColor="accent1" w:sz="4" w:space="10"/>
      </w:pBdr>
      <w:spacing w:before="360" w:after="360"/>
      <w:ind w:left="864" w:right="864"/>
      <w:jc w:val="center"/>
    </w:pPr>
    <w:rPr>
      <w:i/>
      <w:iCs/>
      <w:color w:val="006A89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1A2E8F"/>
    <w:rPr>
      <w:i/>
      <w:iCs/>
      <w:color w:val="006A89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A2E8F"/>
    <w:rPr>
      <w:b/>
      <w:bCs/>
      <w:smallCaps/>
      <w:color w:val="006A89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  <w:insideH w:val="single" w:color="006A89" w:themeColor="accent1" w:sz="8" w:space="0"/>
        <w:insideV w:val="single" w:color="006A89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18" w:space="0"/>
          <w:right w:val="single" w:color="006A89" w:themeColor="accent1" w:sz="8" w:space="0"/>
          <w:insideH w:val="nil"/>
          <w:insideV w:val="single" w:color="006A89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6A89" w:themeColor="accent1" w:sz="6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  <w:insideH w:val="nil"/>
          <w:insideV w:val="single" w:color="006A89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  <w:tblStylePr w:type="band1Vert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  <w:shd w:val="clear" w:color="auto" w:fill="A2E9FF" w:themeFill="accent1" w:themeFillTint="3F"/>
      </w:tcPr>
    </w:tblStylePr>
    <w:tblStylePr w:type="band1Horz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  <w:insideV w:val="single" w:color="006A89" w:themeColor="accent1" w:sz="8" w:space="0"/>
        </w:tcBorders>
        <w:shd w:val="clear" w:color="auto" w:fill="A2E9FF" w:themeFill="accent1" w:themeFillTint="3F"/>
      </w:tcPr>
    </w:tblStylePr>
    <w:tblStylePr w:type="band2Horz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  <w:insideV w:val="single" w:color="006A89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  <w:insideH w:val="single" w:color="2682BB" w:themeColor="accent2" w:sz="8" w:space="0"/>
        <w:insideV w:val="single" w:color="2682BB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18" w:space="0"/>
          <w:right w:val="single" w:color="2682BB" w:themeColor="accent2" w:sz="8" w:space="0"/>
          <w:insideH w:val="nil"/>
          <w:insideV w:val="single" w:color="2682BB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682BB" w:themeColor="accent2" w:sz="6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  <w:insideH w:val="nil"/>
          <w:insideV w:val="single" w:color="2682BB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  <w:tblStylePr w:type="band1Vert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  <w:shd w:val="clear" w:color="auto" w:fill="C4E1F3" w:themeFill="accent2" w:themeFillTint="3F"/>
      </w:tcPr>
    </w:tblStylePr>
    <w:tblStylePr w:type="band1Horz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  <w:insideV w:val="single" w:color="2682BB" w:themeColor="accent2" w:sz="8" w:space="0"/>
        </w:tcBorders>
        <w:shd w:val="clear" w:color="auto" w:fill="C4E1F3" w:themeFill="accent2" w:themeFillTint="3F"/>
      </w:tcPr>
    </w:tblStylePr>
    <w:tblStylePr w:type="band2Horz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  <w:insideV w:val="single" w:color="2682BB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  <w:insideH w:val="single" w:color="C3C3C3" w:themeColor="accent3" w:sz="8" w:space="0"/>
        <w:insideV w:val="single" w:color="C3C3C3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18" w:space="0"/>
          <w:right w:val="single" w:color="C3C3C3" w:themeColor="accent3" w:sz="8" w:space="0"/>
          <w:insideH w:val="nil"/>
          <w:insideV w:val="single" w:color="C3C3C3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3C3C3" w:themeColor="accent3" w:sz="6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  <w:insideH w:val="nil"/>
          <w:insideV w:val="single" w:color="C3C3C3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  <w:tblStylePr w:type="band1Vert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  <w:shd w:val="clear" w:color="auto" w:fill="F0F0F0" w:themeFill="accent3" w:themeFillTint="3F"/>
      </w:tcPr>
    </w:tblStylePr>
    <w:tblStylePr w:type="band1Horz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  <w:insideV w:val="single" w:color="C3C3C3" w:themeColor="accent3" w:sz="8" w:space="0"/>
        </w:tcBorders>
        <w:shd w:val="clear" w:color="auto" w:fill="F0F0F0" w:themeFill="accent3" w:themeFillTint="3F"/>
      </w:tcPr>
    </w:tblStylePr>
    <w:tblStylePr w:type="band2Horz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  <w:insideV w:val="single" w:color="C3C3C3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  <w:insideH w:val="single" w:color="00A997" w:themeColor="accent4" w:sz="8" w:space="0"/>
        <w:insideV w:val="single" w:color="00A997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18" w:space="0"/>
          <w:right w:val="single" w:color="00A997" w:themeColor="accent4" w:sz="8" w:space="0"/>
          <w:insideH w:val="nil"/>
          <w:insideV w:val="single" w:color="00A997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A997" w:themeColor="accent4" w:sz="6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  <w:insideH w:val="nil"/>
          <w:insideV w:val="single" w:color="00A997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  <w:tblStylePr w:type="band1Vert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  <w:insideV w:val="single" w:color="00A997" w:themeColor="accent4" w:sz="8" w:space="0"/>
        </w:tcBorders>
        <w:shd w:val="clear" w:color="auto" w:fill="AAFFF5" w:themeFill="accent4" w:themeFillTint="3F"/>
      </w:tcPr>
    </w:tblStylePr>
    <w:tblStylePr w:type="band2Horz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  <w:insideV w:val="single" w:color="00A997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  <w:insideH w:val="single" w:color="89C711" w:themeColor="accent5" w:sz="8" w:space="0"/>
        <w:insideV w:val="single" w:color="89C711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18" w:space="0"/>
          <w:right w:val="single" w:color="89C711" w:themeColor="accent5" w:sz="8" w:space="0"/>
          <w:insideH w:val="nil"/>
          <w:insideV w:val="single" w:color="89C711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9C711" w:themeColor="accent5" w:sz="6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  <w:insideH w:val="nil"/>
          <w:insideV w:val="single" w:color="89C711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  <w:tblStylePr w:type="band1Vert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  <w:shd w:val="clear" w:color="auto" w:fill="E4F9BC" w:themeFill="accent5" w:themeFillTint="3F"/>
      </w:tcPr>
    </w:tblStylePr>
    <w:tblStylePr w:type="band1Horz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  <w:insideV w:val="single" w:color="89C711" w:themeColor="accent5" w:sz="8" w:space="0"/>
        </w:tcBorders>
        <w:shd w:val="clear" w:color="auto" w:fill="E4F9BC" w:themeFill="accent5" w:themeFillTint="3F"/>
      </w:tcPr>
    </w:tblStylePr>
    <w:tblStylePr w:type="band2Horz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  <w:insideV w:val="single" w:color="89C711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18" w:space="0"/>
          <w:right w:val="single" w:color="8A479B" w:themeColor="accent6" w:sz="8" w:space="0"/>
          <w:insideH w:val="nil"/>
          <w:insideV w:val="single" w:color="8A479B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H w:val="nil"/>
          <w:insideV w:val="single" w:color="8A479B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color="8A479B" w:themeColor="accent6" w:sz="8" w:space="0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color="8A479B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A8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6A89" w:themeColor="accent1" w:sz="6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  <w:tblStylePr w:type="band1Horz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2B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682BB" w:themeColor="accent2" w:sz="6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  <w:tblStylePr w:type="band1Horz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C3C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3C3C3" w:themeColor="accent3" w:sz="6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  <w:tblStylePr w:type="band1Horz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A997" w:themeColor="accent4" w:sz="6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  <w:tblStylePr w:type="band1Horz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9C7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C711" w:themeColor="accent5" w:sz="6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  <w:tblStylePr w:type="band1Horz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1A2E8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006A89" w:themeColor="accent1" w:sz="8" w:space="0"/>
        <w:bottom w:val="single" w:color="006A89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6A89" w:themeColor="accent1" w:sz="8" w:space="0"/>
          <w:left w:val="nil"/>
          <w:bottom w:val="single" w:color="006A89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6A89" w:themeColor="accent1" w:sz="8" w:space="0"/>
          <w:left w:val="nil"/>
          <w:bottom w:val="single" w:color="006A89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2682BB" w:themeColor="accent2" w:sz="8" w:space="0"/>
        <w:bottom w:val="single" w:color="2682BB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682BB" w:themeColor="accent2" w:sz="8" w:space="0"/>
          <w:left w:val="nil"/>
          <w:bottom w:val="single" w:color="2682BB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682BB" w:themeColor="accent2" w:sz="8" w:space="0"/>
          <w:left w:val="nil"/>
          <w:bottom w:val="single" w:color="2682BB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C3C3C3" w:themeColor="accent3" w:sz="8" w:space="0"/>
        <w:bottom w:val="single" w:color="C3C3C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3C3C3" w:themeColor="accent3" w:sz="8" w:space="0"/>
          <w:left w:val="nil"/>
          <w:bottom w:val="single" w:color="C3C3C3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3C3C3" w:themeColor="accent3" w:sz="8" w:space="0"/>
          <w:left w:val="nil"/>
          <w:bottom w:val="single" w:color="C3C3C3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00A997" w:themeColor="accent4" w:sz="8" w:space="0"/>
        <w:bottom w:val="single" w:color="00A997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A997" w:themeColor="accent4" w:sz="8" w:space="0"/>
          <w:left w:val="nil"/>
          <w:bottom w:val="single" w:color="00A997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A997" w:themeColor="accent4" w:sz="8" w:space="0"/>
          <w:left w:val="nil"/>
          <w:bottom w:val="single" w:color="00A997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89C711" w:themeColor="accent5" w:sz="8" w:space="0"/>
        <w:bottom w:val="single" w:color="89C711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9C711" w:themeColor="accent5" w:sz="8" w:space="0"/>
          <w:left w:val="nil"/>
          <w:bottom w:val="single" w:color="89C711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9C711" w:themeColor="accent5" w:sz="8" w:space="0"/>
          <w:left w:val="nil"/>
          <w:bottom w:val="single" w:color="89C711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1A2E8F"/>
  </w:style>
  <w:style w:type="paragraph" w:styleId="List">
    <w:name w:val="List"/>
    <w:basedOn w:val="Normal"/>
    <w:uiPriority w:val="99"/>
    <w:semiHidden/>
    <w:unhideWhenUsed/>
    <w:rsid w:val="001A2E8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1A2E8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1A2E8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1A2E8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1A2E8F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1A2E8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A2E8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A2E8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A2E8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A2E8F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A2E8F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A2E8F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A2E8F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A2E8F"/>
    <w:pPr>
      <w:ind w:left="1415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1A2E8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1FCC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1FCC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70B6E2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70B6E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BDBDB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BDBD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32FFE8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32FFE8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EF15C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EF15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C89C9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bottom w:val="single" w:color="1FCCFF" w:themeColor="accent1" w:themeTint="99" w:sz="4" w:space="0"/>
        <w:insideH w:val="single" w:color="1FCC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bottom w:val="single" w:color="70B6E2" w:themeColor="accent2" w:themeTint="99" w:sz="4" w:space="0"/>
        <w:insideH w:val="single" w:color="70B6E2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bottom w:val="single" w:color="DBDBDB" w:themeColor="accent3" w:themeTint="99" w:sz="4" w:space="0"/>
        <w:insideH w:val="single" w:color="DBDBDB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bottom w:val="single" w:color="32FFE8" w:themeColor="accent4" w:themeTint="99" w:sz="4" w:space="0"/>
        <w:insideH w:val="single" w:color="32FFE8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bottom w:val="single" w:color="BEF15C" w:themeColor="accent5" w:themeTint="99" w:sz="4" w:space="0"/>
        <w:insideH w:val="single" w:color="BEF15C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bottom w:val="single" w:color="BC89C9" w:themeColor="accent6" w:themeTint="99" w:sz="4" w:space="0"/>
        <w:insideH w:val="single" w:color="BC89C9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6A89" w:themeColor="accent1" w:sz="4" w:space="0"/>
        <w:left w:val="single" w:color="006A89" w:themeColor="accent1" w:sz="4" w:space="0"/>
        <w:bottom w:val="single" w:color="006A89" w:themeColor="accent1" w:sz="4" w:space="0"/>
        <w:right w:val="single" w:color="006A89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A89" w:themeFill="accent1"/>
      </w:tcPr>
    </w:tblStylePr>
    <w:tblStylePr w:type="lastRow">
      <w:rPr>
        <w:b/>
        <w:bCs/>
      </w:rPr>
      <w:tblPr/>
      <w:tcPr>
        <w:tcBorders>
          <w:top w:val="double" w:color="006A89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6A89" w:themeColor="accent1" w:sz="4" w:space="0"/>
          <w:right w:val="single" w:color="006A89" w:themeColor="accent1" w:sz="4" w:space="0"/>
        </w:tcBorders>
      </w:tcPr>
    </w:tblStylePr>
    <w:tblStylePr w:type="band1Horz">
      <w:tblPr/>
      <w:tcPr>
        <w:tcBorders>
          <w:top w:val="single" w:color="006A89" w:themeColor="accent1" w:sz="4" w:space="0"/>
          <w:bottom w:val="single" w:color="006A89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6A89" w:themeColor="accent1" w:sz="4" w:space="0"/>
          <w:left w:val="nil"/>
        </w:tcBorders>
      </w:tcPr>
    </w:tblStylePr>
    <w:tblStylePr w:type="swCell">
      <w:tblPr/>
      <w:tcPr>
        <w:tcBorders>
          <w:top w:val="double" w:color="006A89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2682BB" w:themeColor="accent2" w:sz="4" w:space="0"/>
        <w:left w:val="single" w:color="2682BB" w:themeColor="accent2" w:sz="4" w:space="0"/>
        <w:bottom w:val="single" w:color="2682BB" w:themeColor="accent2" w:sz="4" w:space="0"/>
        <w:right w:val="single" w:color="2682BB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2BB" w:themeFill="accent2"/>
      </w:tcPr>
    </w:tblStylePr>
    <w:tblStylePr w:type="lastRow">
      <w:rPr>
        <w:b/>
        <w:bCs/>
      </w:rPr>
      <w:tblPr/>
      <w:tcPr>
        <w:tcBorders>
          <w:top w:val="double" w:color="2682BB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682BB" w:themeColor="accent2" w:sz="4" w:space="0"/>
          <w:right w:val="single" w:color="2682BB" w:themeColor="accent2" w:sz="4" w:space="0"/>
        </w:tcBorders>
      </w:tcPr>
    </w:tblStylePr>
    <w:tblStylePr w:type="band1Horz">
      <w:tblPr/>
      <w:tcPr>
        <w:tcBorders>
          <w:top w:val="single" w:color="2682BB" w:themeColor="accent2" w:sz="4" w:space="0"/>
          <w:bottom w:val="single" w:color="2682BB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682BB" w:themeColor="accent2" w:sz="4" w:space="0"/>
          <w:left w:val="nil"/>
        </w:tcBorders>
      </w:tcPr>
    </w:tblStylePr>
    <w:tblStylePr w:type="swCell">
      <w:tblPr/>
      <w:tcPr>
        <w:tcBorders>
          <w:top w:val="double" w:color="2682BB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C3C3C3" w:themeColor="accent3" w:sz="4" w:space="0"/>
        <w:left w:val="single" w:color="C3C3C3" w:themeColor="accent3" w:sz="4" w:space="0"/>
        <w:bottom w:val="single" w:color="C3C3C3" w:themeColor="accent3" w:sz="4" w:space="0"/>
        <w:right w:val="single" w:color="C3C3C3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C3C3" w:themeFill="accent3"/>
      </w:tcPr>
    </w:tblStylePr>
    <w:tblStylePr w:type="lastRow">
      <w:rPr>
        <w:b/>
        <w:bCs/>
      </w:rPr>
      <w:tblPr/>
      <w:tcPr>
        <w:tcBorders>
          <w:top w:val="double" w:color="C3C3C3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C3C3C3" w:themeColor="accent3" w:sz="4" w:space="0"/>
          <w:right w:val="single" w:color="C3C3C3" w:themeColor="accent3" w:sz="4" w:space="0"/>
        </w:tcBorders>
      </w:tcPr>
    </w:tblStylePr>
    <w:tblStylePr w:type="band1Horz">
      <w:tblPr/>
      <w:tcPr>
        <w:tcBorders>
          <w:top w:val="single" w:color="C3C3C3" w:themeColor="accent3" w:sz="4" w:space="0"/>
          <w:bottom w:val="single" w:color="C3C3C3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C3C3C3" w:themeColor="accent3" w:sz="4" w:space="0"/>
          <w:left w:val="nil"/>
        </w:tcBorders>
      </w:tcPr>
    </w:tblStylePr>
    <w:tblStylePr w:type="swCell">
      <w:tblPr/>
      <w:tcPr>
        <w:tcBorders>
          <w:top w:val="double" w:color="C3C3C3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A997" w:themeColor="accent4" w:sz="4" w:space="0"/>
        <w:left w:val="single" w:color="00A997" w:themeColor="accent4" w:sz="4" w:space="0"/>
        <w:bottom w:val="single" w:color="00A997" w:themeColor="accent4" w:sz="4" w:space="0"/>
        <w:right w:val="single" w:color="00A997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color="00A997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A997" w:themeColor="accent4" w:sz="4" w:space="0"/>
          <w:right w:val="single" w:color="00A997" w:themeColor="accent4" w:sz="4" w:space="0"/>
        </w:tcBorders>
      </w:tcPr>
    </w:tblStylePr>
    <w:tblStylePr w:type="band1Horz">
      <w:tblPr/>
      <w:tcPr>
        <w:tcBorders>
          <w:top w:val="single" w:color="00A997" w:themeColor="accent4" w:sz="4" w:space="0"/>
          <w:bottom w:val="single" w:color="00A997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A997" w:themeColor="accent4" w:sz="4" w:space="0"/>
          <w:left w:val="nil"/>
        </w:tcBorders>
      </w:tcPr>
    </w:tblStylePr>
    <w:tblStylePr w:type="swCell">
      <w:tblPr/>
      <w:tcPr>
        <w:tcBorders>
          <w:top w:val="double" w:color="00A997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89C711" w:themeColor="accent5" w:sz="4" w:space="0"/>
        <w:left w:val="single" w:color="89C711" w:themeColor="accent5" w:sz="4" w:space="0"/>
        <w:bottom w:val="single" w:color="89C711" w:themeColor="accent5" w:sz="4" w:space="0"/>
        <w:right w:val="single" w:color="89C711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9C711" w:themeFill="accent5"/>
      </w:tcPr>
    </w:tblStylePr>
    <w:tblStylePr w:type="lastRow">
      <w:rPr>
        <w:b/>
        <w:bCs/>
      </w:rPr>
      <w:tblPr/>
      <w:tcPr>
        <w:tcBorders>
          <w:top w:val="double" w:color="89C711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9C711" w:themeColor="accent5" w:sz="4" w:space="0"/>
          <w:right w:val="single" w:color="89C711" w:themeColor="accent5" w:sz="4" w:space="0"/>
        </w:tcBorders>
      </w:tcPr>
    </w:tblStylePr>
    <w:tblStylePr w:type="band1Horz">
      <w:tblPr/>
      <w:tcPr>
        <w:tcBorders>
          <w:top w:val="single" w:color="89C711" w:themeColor="accent5" w:sz="4" w:space="0"/>
          <w:bottom w:val="single" w:color="89C711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9C711" w:themeColor="accent5" w:sz="4" w:space="0"/>
          <w:left w:val="nil"/>
        </w:tcBorders>
      </w:tcPr>
    </w:tblStylePr>
    <w:tblStylePr w:type="swCell">
      <w:tblPr/>
      <w:tcPr>
        <w:tcBorders>
          <w:top w:val="double" w:color="89C711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A479B" w:themeColor="accent6" w:sz="4" w:space="0"/>
          <w:right w:val="single" w:color="8A479B" w:themeColor="accent6" w:sz="4" w:space="0"/>
        </w:tcBorders>
      </w:tcPr>
    </w:tblStylePr>
    <w:tblStylePr w:type="band1Horz">
      <w:tblPr/>
      <w:tcPr>
        <w:tcBorders>
          <w:top w:val="single" w:color="8A479B" w:themeColor="accent6" w:sz="4" w:space="0"/>
          <w:bottom w:val="single" w:color="8A479B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A479B" w:themeColor="accent6" w:sz="4" w:space="0"/>
          <w:left w:val="nil"/>
        </w:tcBorders>
      </w:tcPr>
    </w:tblStylePr>
    <w:tblStylePr w:type="swCell">
      <w:tblPr/>
      <w:tcPr>
        <w:tcBorders>
          <w:top w:val="double" w:color="8A479B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6A89" w:themeColor="accent1" w:sz="4" w:space="0"/>
          <w:left w:val="single" w:color="006A89" w:themeColor="accent1" w:sz="4" w:space="0"/>
          <w:bottom w:val="single" w:color="006A89" w:themeColor="accent1" w:sz="4" w:space="0"/>
          <w:right w:val="single" w:color="006A89" w:themeColor="accent1" w:sz="4" w:space="0"/>
          <w:insideH w:val="nil"/>
        </w:tcBorders>
        <w:shd w:val="clear" w:color="auto" w:fill="006A89" w:themeFill="accent1"/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682BB" w:themeColor="accent2" w:sz="4" w:space="0"/>
          <w:left w:val="single" w:color="2682BB" w:themeColor="accent2" w:sz="4" w:space="0"/>
          <w:bottom w:val="single" w:color="2682BB" w:themeColor="accent2" w:sz="4" w:space="0"/>
          <w:right w:val="single" w:color="2682BB" w:themeColor="accent2" w:sz="4" w:space="0"/>
          <w:insideH w:val="nil"/>
        </w:tcBorders>
        <w:shd w:val="clear" w:color="auto" w:fill="2682BB" w:themeFill="accent2"/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3C3C3" w:themeColor="accent3" w:sz="4" w:space="0"/>
          <w:left w:val="single" w:color="C3C3C3" w:themeColor="accent3" w:sz="4" w:space="0"/>
          <w:bottom w:val="single" w:color="C3C3C3" w:themeColor="accent3" w:sz="4" w:space="0"/>
          <w:right w:val="single" w:color="C3C3C3" w:themeColor="accent3" w:sz="4" w:space="0"/>
          <w:insideH w:val="nil"/>
        </w:tcBorders>
        <w:shd w:val="clear" w:color="auto" w:fill="C3C3C3" w:themeFill="accent3"/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A997" w:themeColor="accent4" w:sz="4" w:space="0"/>
          <w:left w:val="single" w:color="00A997" w:themeColor="accent4" w:sz="4" w:space="0"/>
          <w:bottom w:val="single" w:color="00A997" w:themeColor="accent4" w:sz="4" w:space="0"/>
          <w:right w:val="single" w:color="00A997" w:themeColor="accent4" w:sz="4" w:space="0"/>
          <w:insideH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9C711" w:themeColor="accent5" w:sz="4" w:space="0"/>
          <w:left w:val="single" w:color="89C711" w:themeColor="accent5" w:sz="4" w:space="0"/>
          <w:bottom w:val="single" w:color="89C711" w:themeColor="accent5" w:sz="4" w:space="0"/>
          <w:right w:val="single" w:color="89C711" w:themeColor="accent5" w:sz="4" w:space="0"/>
          <w:insideH w:val="nil"/>
        </w:tcBorders>
        <w:shd w:val="clear" w:color="auto" w:fill="89C711" w:themeFill="accent5"/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6A89" w:themeColor="accent1" w:sz="24" w:space="0"/>
        <w:left w:val="single" w:color="006A89" w:themeColor="accent1" w:sz="24" w:space="0"/>
        <w:bottom w:val="single" w:color="006A89" w:themeColor="accent1" w:sz="24" w:space="0"/>
        <w:right w:val="single" w:color="006A89" w:themeColor="accent1" w:sz="24" w:space="0"/>
      </w:tblBorders>
    </w:tblPr>
    <w:tcPr>
      <w:shd w:val="clear" w:color="auto" w:fill="006A89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682BB" w:themeColor="accent2" w:sz="24" w:space="0"/>
        <w:left w:val="single" w:color="2682BB" w:themeColor="accent2" w:sz="24" w:space="0"/>
        <w:bottom w:val="single" w:color="2682BB" w:themeColor="accent2" w:sz="24" w:space="0"/>
        <w:right w:val="single" w:color="2682BB" w:themeColor="accent2" w:sz="24" w:space="0"/>
      </w:tblBorders>
    </w:tblPr>
    <w:tcPr>
      <w:shd w:val="clear" w:color="auto" w:fill="2682BB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C3C3C3" w:themeColor="accent3" w:sz="24" w:space="0"/>
        <w:left w:val="single" w:color="C3C3C3" w:themeColor="accent3" w:sz="24" w:space="0"/>
        <w:bottom w:val="single" w:color="C3C3C3" w:themeColor="accent3" w:sz="24" w:space="0"/>
        <w:right w:val="single" w:color="C3C3C3" w:themeColor="accent3" w:sz="24" w:space="0"/>
      </w:tblBorders>
    </w:tblPr>
    <w:tcPr>
      <w:shd w:val="clear" w:color="auto" w:fill="C3C3C3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A997" w:themeColor="accent4" w:sz="24" w:space="0"/>
        <w:left w:val="single" w:color="00A997" w:themeColor="accent4" w:sz="24" w:space="0"/>
        <w:bottom w:val="single" w:color="00A997" w:themeColor="accent4" w:sz="24" w:space="0"/>
        <w:right w:val="single" w:color="00A997" w:themeColor="accent4" w:sz="24" w:space="0"/>
      </w:tblBorders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9C711" w:themeColor="accent5" w:sz="24" w:space="0"/>
        <w:left w:val="single" w:color="89C711" w:themeColor="accent5" w:sz="24" w:space="0"/>
        <w:bottom w:val="single" w:color="89C711" w:themeColor="accent5" w:sz="24" w:space="0"/>
        <w:right w:val="single" w:color="89C711" w:themeColor="accent5" w:sz="24" w:space="0"/>
      </w:tblBorders>
    </w:tblPr>
    <w:tcPr>
      <w:shd w:val="clear" w:color="auto" w:fill="89C711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A479B" w:themeColor="accent6" w:sz="24" w:space="0"/>
        <w:left w:val="single" w:color="8A479B" w:themeColor="accent6" w:sz="24" w:space="0"/>
        <w:bottom w:val="single" w:color="8A479B" w:themeColor="accent6" w:sz="24" w:space="0"/>
        <w:right w:val="single" w:color="8A479B" w:themeColor="accent6" w:sz="24" w:space="0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006A89" w:themeColor="accent1" w:sz="4" w:space="0"/>
        <w:bottom w:val="single" w:color="006A89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006A89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6A89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2682BB" w:themeColor="accent2" w:sz="4" w:space="0"/>
        <w:bottom w:val="single" w:color="2682BB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2682BB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2682BB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C3C3C3" w:themeColor="accent3" w:sz="4" w:space="0"/>
        <w:bottom w:val="single" w:color="C3C3C3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C3C3C3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C3C3C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00A997" w:themeColor="accent4" w:sz="4" w:space="0"/>
        <w:bottom w:val="single" w:color="00A997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00A997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00A997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89C711" w:themeColor="accent5" w:sz="4" w:space="0"/>
        <w:bottom w:val="single" w:color="89C711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89C711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89C711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8A479B" w:themeColor="accent6" w:sz="4" w:space="0"/>
        <w:bottom w:val="single" w:color="8A479B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8A479B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6A89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6A89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6A89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6A89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682BB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682BB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682BB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682BB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C3C3C3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C3C3C3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C3C3C3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C3C3C3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A997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A997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A997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A997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9C711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9C711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9C711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9C711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A479B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A479B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A479B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A479B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1A2E8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1A2E8F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B1E6" w:themeColor="accent1" w:themeTint="BF" w:sz="8" w:space="0"/>
        <w:left w:val="single" w:color="00B1E6" w:themeColor="accent1" w:themeTint="BF" w:sz="8" w:space="0"/>
        <w:bottom w:val="single" w:color="00B1E6" w:themeColor="accent1" w:themeTint="BF" w:sz="8" w:space="0"/>
        <w:right w:val="single" w:color="00B1E6" w:themeColor="accent1" w:themeTint="BF" w:sz="8" w:space="0"/>
        <w:insideH w:val="single" w:color="00B1E6" w:themeColor="accent1" w:themeTint="BF" w:sz="8" w:space="0"/>
        <w:insideV w:val="single" w:color="00B1E6" w:themeColor="accent1" w:themeTint="BF" w:sz="8" w:space="0"/>
      </w:tblBorders>
    </w:tblPr>
    <w:tcPr>
      <w:shd w:val="clear" w:color="auto" w:fill="A2E9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00B1E6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5D4FF" w:themeFill="accent1" w:themeFillTint="7F"/>
      </w:tcPr>
    </w:tblStylePr>
    <w:tblStylePr w:type="band1Horz">
      <w:tblPr/>
      <w:tcPr>
        <w:shd w:val="clear" w:color="auto" w:fill="45D4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DA4DB" w:themeColor="accent2" w:themeTint="BF" w:sz="8" w:space="0"/>
        <w:left w:val="single" w:color="4DA4DB" w:themeColor="accent2" w:themeTint="BF" w:sz="8" w:space="0"/>
        <w:bottom w:val="single" w:color="4DA4DB" w:themeColor="accent2" w:themeTint="BF" w:sz="8" w:space="0"/>
        <w:right w:val="single" w:color="4DA4DB" w:themeColor="accent2" w:themeTint="BF" w:sz="8" w:space="0"/>
        <w:insideH w:val="single" w:color="4DA4DB" w:themeColor="accent2" w:themeTint="BF" w:sz="8" w:space="0"/>
        <w:insideV w:val="single" w:color="4DA4DB" w:themeColor="accent2" w:themeTint="BF" w:sz="8" w:space="0"/>
      </w:tblBorders>
    </w:tblPr>
    <w:tcPr>
      <w:shd w:val="clear" w:color="auto" w:fill="C4E1F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DA4DB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8C2E7" w:themeFill="accent2" w:themeFillTint="7F"/>
      </w:tcPr>
    </w:tblStylePr>
    <w:tblStylePr w:type="band1Horz">
      <w:tblPr/>
      <w:tcPr>
        <w:shd w:val="clear" w:color="auto" w:fill="88C2E7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D2D2D2" w:themeColor="accent3" w:themeTint="BF" w:sz="8" w:space="0"/>
        <w:left w:val="single" w:color="D2D2D2" w:themeColor="accent3" w:themeTint="BF" w:sz="8" w:space="0"/>
        <w:bottom w:val="single" w:color="D2D2D2" w:themeColor="accent3" w:themeTint="BF" w:sz="8" w:space="0"/>
        <w:right w:val="single" w:color="D2D2D2" w:themeColor="accent3" w:themeTint="BF" w:sz="8" w:space="0"/>
        <w:insideH w:val="single" w:color="D2D2D2" w:themeColor="accent3" w:themeTint="BF" w:sz="8" w:space="0"/>
        <w:insideV w:val="single" w:color="D2D2D2" w:themeColor="accent3" w:themeTint="BF" w:sz="8" w:space="0"/>
      </w:tblBorders>
    </w:tblPr>
    <w:tcPr>
      <w:shd w:val="clear" w:color="auto" w:fill="F0F0F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2D2D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1E1" w:themeFill="accent3" w:themeFillTint="7F"/>
      </w:tcPr>
    </w:tblStylePr>
    <w:tblStylePr w:type="band1Horz">
      <w:tblPr/>
      <w:tcPr>
        <w:shd w:val="clear" w:color="auto" w:fill="E1E1E1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FEE2" w:themeColor="accent4" w:themeTint="BF" w:sz="8" w:space="0"/>
        <w:left w:val="single" w:color="00FEE2" w:themeColor="accent4" w:themeTint="BF" w:sz="8" w:space="0"/>
        <w:bottom w:val="single" w:color="00FEE2" w:themeColor="accent4" w:themeTint="BF" w:sz="8" w:space="0"/>
        <w:right w:val="single" w:color="00FEE2" w:themeColor="accent4" w:themeTint="BF" w:sz="8" w:space="0"/>
        <w:insideH w:val="single" w:color="00FEE2" w:themeColor="accent4" w:themeTint="BF" w:sz="8" w:space="0"/>
        <w:insideV w:val="single" w:color="00FEE2" w:themeColor="accent4" w:themeTint="BF" w:sz="8" w:space="0"/>
      </w:tblBorders>
    </w:tblPr>
    <w:tcPr>
      <w:shd w:val="clear" w:color="auto" w:fill="AAFFF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00FEE2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EED34" w:themeColor="accent5" w:themeTint="BF" w:sz="8" w:space="0"/>
        <w:left w:val="single" w:color="AEED34" w:themeColor="accent5" w:themeTint="BF" w:sz="8" w:space="0"/>
        <w:bottom w:val="single" w:color="AEED34" w:themeColor="accent5" w:themeTint="BF" w:sz="8" w:space="0"/>
        <w:right w:val="single" w:color="AEED34" w:themeColor="accent5" w:themeTint="BF" w:sz="8" w:space="0"/>
        <w:insideH w:val="single" w:color="AEED34" w:themeColor="accent5" w:themeTint="BF" w:sz="8" w:space="0"/>
        <w:insideV w:val="single" w:color="AEED34" w:themeColor="accent5" w:themeTint="BF" w:sz="8" w:space="0"/>
      </w:tblBorders>
    </w:tblPr>
    <w:tcPr>
      <w:shd w:val="clear" w:color="auto" w:fill="E4F9B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EED3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377" w:themeFill="accent5" w:themeFillTint="7F"/>
      </w:tcPr>
    </w:tblStylePr>
    <w:tblStylePr w:type="band1Horz">
      <w:tblPr/>
      <w:tcPr>
        <w:shd w:val="clear" w:color="auto" w:fill="C9F37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B6CBC" w:themeColor="accent6" w:themeTint="BF" w:sz="8" w:space="0"/>
        <w:left w:val="single" w:color="AB6CBC" w:themeColor="accent6" w:themeTint="BF" w:sz="8" w:space="0"/>
        <w:bottom w:val="single" w:color="AB6CBC" w:themeColor="accent6" w:themeTint="BF" w:sz="8" w:space="0"/>
        <w:right w:val="single" w:color="AB6CBC" w:themeColor="accent6" w:themeTint="BF" w:sz="8" w:space="0"/>
        <w:insideH w:val="single" w:color="AB6CBC" w:themeColor="accent6" w:themeTint="BF" w:sz="8" w:space="0"/>
        <w:insideV w:val="single" w:color="AB6CBC" w:themeColor="accent6" w:themeTint="BF" w:sz="8" w:space="0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B6CBC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  <w:insideH w:val="single" w:color="006A89" w:themeColor="accent1" w:sz="8" w:space="0"/>
        <w:insideV w:val="single" w:color="006A89" w:themeColor="accent1" w:sz="8" w:space="0"/>
      </w:tblBorders>
    </w:tblPr>
    <w:tcPr>
      <w:shd w:val="clear" w:color="auto" w:fill="A2E9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AF6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EEFF" w:themeFill="accent1" w:themeFillTint="33"/>
      </w:tcPr>
    </w:tblStylePr>
    <w:tblStylePr w:type="band1Vert">
      <w:tblPr/>
      <w:tcPr>
        <w:shd w:val="clear" w:color="auto" w:fill="45D4FF" w:themeFill="accent1" w:themeFillTint="7F"/>
      </w:tcPr>
    </w:tblStylePr>
    <w:tblStylePr w:type="band1Horz">
      <w:tblPr/>
      <w:tcPr>
        <w:tcBorders>
          <w:insideH w:val="single" w:color="006A89" w:themeColor="accent1" w:sz="6" w:space="0"/>
          <w:insideV w:val="single" w:color="006A89" w:themeColor="accent1" w:sz="6" w:space="0"/>
        </w:tcBorders>
        <w:shd w:val="clear" w:color="auto" w:fill="45D4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  <w:insideH w:val="single" w:color="2682BB" w:themeColor="accent2" w:sz="8" w:space="0"/>
        <w:insideV w:val="single" w:color="2682BB" w:themeColor="accent2" w:sz="8" w:space="0"/>
      </w:tblBorders>
    </w:tblPr>
    <w:tcPr>
      <w:shd w:val="clear" w:color="auto" w:fill="C4E1F3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7F3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E6F5" w:themeFill="accent2" w:themeFillTint="33"/>
      </w:tcPr>
    </w:tblStylePr>
    <w:tblStylePr w:type="band1Vert">
      <w:tblPr/>
      <w:tcPr>
        <w:shd w:val="clear" w:color="auto" w:fill="88C2E7" w:themeFill="accent2" w:themeFillTint="7F"/>
      </w:tcPr>
    </w:tblStylePr>
    <w:tblStylePr w:type="band1Horz">
      <w:tblPr/>
      <w:tcPr>
        <w:tcBorders>
          <w:insideH w:val="single" w:color="2682BB" w:themeColor="accent2" w:sz="6" w:space="0"/>
          <w:insideV w:val="single" w:color="2682BB" w:themeColor="accent2" w:sz="6" w:space="0"/>
        </w:tcBorders>
        <w:shd w:val="clear" w:color="auto" w:fill="88C2E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  <w:insideH w:val="single" w:color="C3C3C3" w:themeColor="accent3" w:sz="8" w:space="0"/>
        <w:insideV w:val="single" w:color="C3C3C3" w:themeColor="accent3" w:sz="8" w:space="0"/>
      </w:tblBorders>
    </w:tblPr>
    <w:tcPr>
      <w:shd w:val="clear" w:color="auto" w:fill="F0F0F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9F9F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3F3" w:themeFill="accent3" w:themeFillTint="33"/>
      </w:tcPr>
    </w:tblStylePr>
    <w:tblStylePr w:type="band1Vert">
      <w:tblPr/>
      <w:tcPr>
        <w:shd w:val="clear" w:color="auto" w:fill="E1E1E1" w:themeFill="accent3" w:themeFillTint="7F"/>
      </w:tcPr>
    </w:tblStylePr>
    <w:tblStylePr w:type="band1Horz">
      <w:tblPr/>
      <w:tcPr>
        <w:tcBorders>
          <w:insideH w:val="single" w:color="C3C3C3" w:themeColor="accent3" w:sz="6" w:space="0"/>
          <w:insideV w:val="single" w:color="C3C3C3" w:themeColor="accent3" w:sz="6" w:space="0"/>
        </w:tcBorders>
        <w:shd w:val="clear" w:color="auto" w:fill="E1E1E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  <w:insideH w:val="single" w:color="00A997" w:themeColor="accent4" w:sz="8" w:space="0"/>
        <w:insideV w:val="single" w:color="00A997" w:themeColor="accent4" w:sz="8" w:space="0"/>
      </w:tblBorders>
    </w:tblPr>
    <w:tcPr>
      <w:shd w:val="clear" w:color="auto" w:fill="AAFFF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DFFF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FFF7" w:themeFill="accent4" w:themeFillTint="33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tcBorders>
          <w:insideH w:val="single" w:color="00A997" w:themeColor="accent4" w:sz="6" w:space="0"/>
          <w:insideV w:val="single" w:color="00A997" w:themeColor="accent4" w:sz="6" w:space="0"/>
        </w:tcBorders>
        <w:shd w:val="clear" w:color="auto" w:fill="55FFE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  <w:insideH w:val="single" w:color="89C711" w:themeColor="accent5" w:sz="8" w:space="0"/>
        <w:insideV w:val="single" w:color="89C711" w:themeColor="accent5" w:sz="8" w:space="0"/>
      </w:tblBorders>
    </w:tblPr>
    <w:tcPr>
      <w:shd w:val="clear" w:color="auto" w:fill="E4F9B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CE4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AC8" w:themeFill="accent5" w:themeFillTint="33"/>
      </w:tcPr>
    </w:tblStylePr>
    <w:tblStylePr w:type="band1Vert">
      <w:tblPr/>
      <w:tcPr>
        <w:shd w:val="clear" w:color="auto" w:fill="C9F377" w:themeFill="accent5" w:themeFillTint="7F"/>
      </w:tcPr>
    </w:tblStylePr>
    <w:tblStylePr w:type="band1Horz">
      <w:tblPr/>
      <w:tcPr>
        <w:tcBorders>
          <w:insideH w:val="single" w:color="89C711" w:themeColor="accent5" w:sz="6" w:space="0"/>
          <w:insideV w:val="single" w:color="89C711" w:themeColor="accent5" w:sz="6" w:space="0"/>
        </w:tcBorders>
        <w:shd w:val="clear" w:color="auto" w:fill="C9F37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color="8A479B" w:themeColor="accent6" w:sz="6" w:space="0"/>
          <w:insideV w:val="single" w:color="8A479B" w:themeColor="accent6" w:sz="6" w:space="0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A2E9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6A8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6A8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6A8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6A89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45D4FF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45D4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4E1F3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682BB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682BB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682BB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682BB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8C2E7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8C2E7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0F0F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3C3C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3C3C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3C3C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3C3C3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1E1E1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1E1E1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AAFFF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A99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A99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55FFEC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55FFEC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4F9B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9C711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9C711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9C711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9C711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9F37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9F37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6A89" w:themeColor="accent1" w:sz="8" w:space="0"/>
        <w:bottom w:val="single" w:color="006A89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6A89" w:themeColor="accent1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006A89" w:themeColor="accent1" w:sz="8" w:space="0"/>
          <w:bottom w:val="single" w:color="006A89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6A89" w:themeColor="accent1" w:sz="8" w:space="0"/>
          <w:bottom w:val="single" w:color="006A89" w:themeColor="accent1" w:sz="8" w:space="0"/>
        </w:tcBorders>
      </w:tcPr>
    </w:tblStylePr>
    <w:tblStylePr w:type="band1Vert">
      <w:tblPr/>
      <w:tcPr>
        <w:shd w:val="clear" w:color="auto" w:fill="A2E9FF" w:themeFill="accent1" w:themeFillTint="3F"/>
      </w:tcPr>
    </w:tblStylePr>
    <w:tblStylePr w:type="band1Horz">
      <w:tblPr/>
      <w:tcPr>
        <w:shd w:val="clear" w:color="auto" w:fill="A2E9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8" w:space="0"/>
        <w:bottom w:val="single" w:color="2682BB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682BB" w:themeColor="accent2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2682BB" w:themeColor="accent2" w:sz="8" w:space="0"/>
          <w:bottom w:val="single" w:color="2682BB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682BB" w:themeColor="accent2" w:sz="8" w:space="0"/>
          <w:bottom w:val="single" w:color="2682BB" w:themeColor="accent2" w:sz="8" w:space="0"/>
        </w:tcBorders>
      </w:tcPr>
    </w:tblStylePr>
    <w:tblStylePr w:type="band1Vert">
      <w:tblPr/>
      <w:tcPr>
        <w:shd w:val="clear" w:color="auto" w:fill="C4E1F3" w:themeFill="accent2" w:themeFillTint="3F"/>
      </w:tcPr>
    </w:tblStylePr>
    <w:tblStylePr w:type="band1Horz">
      <w:tblPr/>
      <w:tcPr>
        <w:shd w:val="clear" w:color="auto" w:fill="C4E1F3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3" w:sz="8" w:space="0"/>
        <w:bottom w:val="single" w:color="C3C3C3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3C3C3" w:themeColor="accent3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C3C3C3" w:themeColor="accent3" w:sz="8" w:space="0"/>
          <w:bottom w:val="single" w:color="C3C3C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3C3C3" w:themeColor="accent3" w:sz="8" w:space="0"/>
          <w:bottom w:val="single" w:color="C3C3C3" w:themeColor="accent3" w:sz="8" w:space="0"/>
        </w:tcBorders>
      </w:tcPr>
    </w:tblStylePr>
    <w:tblStylePr w:type="band1Vert">
      <w:tblPr/>
      <w:tcPr>
        <w:shd w:val="clear" w:color="auto" w:fill="F0F0F0" w:themeFill="accent3" w:themeFillTint="3F"/>
      </w:tcPr>
    </w:tblStylePr>
    <w:tblStylePr w:type="band1Horz">
      <w:tblPr/>
      <w:tcPr>
        <w:shd w:val="clear" w:color="auto" w:fill="F0F0F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A997" w:themeColor="accent4" w:sz="8" w:space="0"/>
        <w:bottom w:val="single" w:color="00A997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A997" w:themeColor="accent4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00A997" w:themeColor="accent4" w:sz="8" w:space="0"/>
          <w:bottom w:val="single" w:color="00A997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A997" w:themeColor="accent4" w:sz="8" w:space="0"/>
          <w:bottom w:val="single" w:color="00A997" w:themeColor="accent4" w:sz="8" w:space="0"/>
        </w:tcBorders>
      </w:tc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shd w:val="clear" w:color="auto" w:fill="AAFFF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9C711" w:themeColor="accent5" w:sz="8" w:space="0"/>
        <w:bottom w:val="single" w:color="89C711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9C711" w:themeColor="accent5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89C711" w:themeColor="accent5" w:sz="8" w:space="0"/>
          <w:bottom w:val="single" w:color="89C711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9C711" w:themeColor="accent5" w:sz="8" w:space="0"/>
          <w:bottom w:val="single" w:color="89C711" w:themeColor="accent5" w:sz="8" w:space="0"/>
        </w:tcBorders>
      </w:tcPr>
    </w:tblStylePr>
    <w:tblStylePr w:type="band1Vert">
      <w:tblPr/>
      <w:tcPr>
        <w:shd w:val="clear" w:color="auto" w:fill="E4F9BC" w:themeFill="accent5" w:themeFillTint="3F"/>
      </w:tcPr>
    </w:tblStylePr>
    <w:tblStylePr w:type="band1Horz">
      <w:tblPr/>
      <w:tcPr>
        <w:shd w:val="clear" w:color="auto" w:fill="E4F9B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A479B" w:themeColor="accent6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6A89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6A89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6A89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2E9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682BB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682BB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E1F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3C3C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3C3C3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3C3C3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F0F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A997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A997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A997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AFFF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9C711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9C711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9C711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9B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A479B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A479B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B1E6" w:themeColor="accent1" w:themeTint="BF" w:sz="8" w:space="0"/>
        <w:left w:val="single" w:color="00B1E6" w:themeColor="accent1" w:themeTint="BF" w:sz="8" w:space="0"/>
        <w:bottom w:val="single" w:color="00B1E6" w:themeColor="accent1" w:themeTint="BF" w:sz="8" w:space="0"/>
        <w:right w:val="single" w:color="00B1E6" w:themeColor="accent1" w:themeTint="BF" w:sz="8" w:space="0"/>
        <w:insideH w:val="single" w:color="00B1E6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B1E6" w:themeColor="accent1" w:themeTint="BF" w:sz="8" w:space="0"/>
          <w:left w:val="single" w:color="00B1E6" w:themeColor="accent1" w:themeTint="BF" w:sz="8" w:space="0"/>
          <w:bottom w:val="single" w:color="00B1E6" w:themeColor="accent1" w:themeTint="BF" w:sz="8" w:space="0"/>
          <w:right w:val="single" w:color="00B1E6" w:themeColor="accent1" w:themeTint="BF" w:sz="8" w:space="0"/>
          <w:insideH w:val="nil"/>
          <w:insideV w:val="nil"/>
        </w:tcBorders>
        <w:shd w:val="clear" w:color="auto" w:fill="006A8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B1E6" w:themeColor="accent1" w:themeTint="BF" w:sz="6" w:space="0"/>
          <w:left w:val="single" w:color="00B1E6" w:themeColor="accent1" w:themeTint="BF" w:sz="8" w:space="0"/>
          <w:bottom w:val="single" w:color="00B1E6" w:themeColor="accent1" w:themeTint="BF" w:sz="8" w:space="0"/>
          <w:right w:val="single" w:color="00B1E6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E9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2E9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DA4DB" w:themeColor="accent2" w:themeTint="BF" w:sz="8" w:space="0"/>
        <w:left w:val="single" w:color="4DA4DB" w:themeColor="accent2" w:themeTint="BF" w:sz="8" w:space="0"/>
        <w:bottom w:val="single" w:color="4DA4DB" w:themeColor="accent2" w:themeTint="BF" w:sz="8" w:space="0"/>
        <w:right w:val="single" w:color="4DA4DB" w:themeColor="accent2" w:themeTint="BF" w:sz="8" w:space="0"/>
        <w:insideH w:val="single" w:color="4DA4DB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DA4DB" w:themeColor="accent2" w:themeTint="BF" w:sz="8" w:space="0"/>
          <w:left w:val="single" w:color="4DA4DB" w:themeColor="accent2" w:themeTint="BF" w:sz="8" w:space="0"/>
          <w:bottom w:val="single" w:color="4DA4DB" w:themeColor="accent2" w:themeTint="BF" w:sz="8" w:space="0"/>
          <w:right w:val="single" w:color="4DA4DB" w:themeColor="accent2" w:themeTint="BF" w:sz="8" w:space="0"/>
          <w:insideH w:val="nil"/>
          <w:insideV w:val="nil"/>
        </w:tcBorders>
        <w:shd w:val="clear" w:color="auto" w:fill="2682B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DA4DB" w:themeColor="accent2" w:themeTint="BF" w:sz="6" w:space="0"/>
          <w:left w:val="single" w:color="4DA4DB" w:themeColor="accent2" w:themeTint="BF" w:sz="8" w:space="0"/>
          <w:bottom w:val="single" w:color="4DA4DB" w:themeColor="accent2" w:themeTint="BF" w:sz="8" w:space="0"/>
          <w:right w:val="single" w:color="4DA4DB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F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E1F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D2D2D2" w:themeColor="accent3" w:themeTint="BF" w:sz="8" w:space="0"/>
        <w:left w:val="single" w:color="D2D2D2" w:themeColor="accent3" w:themeTint="BF" w:sz="8" w:space="0"/>
        <w:bottom w:val="single" w:color="D2D2D2" w:themeColor="accent3" w:themeTint="BF" w:sz="8" w:space="0"/>
        <w:right w:val="single" w:color="D2D2D2" w:themeColor="accent3" w:themeTint="BF" w:sz="8" w:space="0"/>
        <w:insideH w:val="single" w:color="D2D2D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2D2D2" w:themeColor="accent3" w:themeTint="BF" w:sz="8" w:space="0"/>
          <w:left w:val="single" w:color="D2D2D2" w:themeColor="accent3" w:themeTint="BF" w:sz="8" w:space="0"/>
          <w:bottom w:val="single" w:color="D2D2D2" w:themeColor="accent3" w:themeTint="BF" w:sz="8" w:space="0"/>
          <w:right w:val="single" w:color="D2D2D2" w:themeColor="accent3" w:themeTint="BF" w:sz="8" w:space="0"/>
          <w:insideH w:val="nil"/>
          <w:insideV w:val="nil"/>
        </w:tcBorders>
        <w:shd w:val="clear" w:color="auto" w:fill="C3C3C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2D2D2" w:themeColor="accent3" w:themeTint="BF" w:sz="6" w:space="0"/>
          <w:left w:val="single" w:color="D2D2D2" w:themeColor="accent3" w:themeTint="BF" w:sz="8" w:space="0"/>
          <w:bottom w:val="single" w:color="D2D2D2" w:themeColor="accent3" w:themeTint="BF" w:sz="8" w:space="0"/>
          <w:right w:val="single" w:color="D2D2D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0F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F0F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FEE2" w:themeColor="accent4" w:themeTint="BF" w:sz="8" w:space="0"/>
        <w:left w:val="single" w:color="00FEE2" w:themeColor="accent4" w:themeTint="BF" w:sz="8" w:space="0"/>
        <w:bottom w:val="single" w:color="00FEE2" w:themeColor="accent4" w:themeTint="BF" w:sz="8" w:space="0"/>
        <w:right w:val="single" w:color="00FEE2" w:themeColor="accent4" w:themeTint="BF" w:sz="8" w:space="0"/>
        <w:insideH w:val="single" w:color="00FEE2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FEE2" w:themeColor="accent4" w:themeTint="BF" w:sz="8" w:space="0"/>
          <w:left w:val="single" w:color="00FEE2" w:themeColor="accent4" w:themeTint="BF" w:sz="8" w:space="0"/>
          <w:bottom w:val="single" w:color="00FEE2" w:themeColor="accent4" w:themeTint="BF" w:sz="8" w:space="0"/>
          <w:right w:val="single" w:color="00FEE2" w:themeColor="accent4" w:themeTint="BF" w:sz="8" w:space="0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FEE2" w:themeColor="accent4" w:themeTint="BF" w:sz="6" w:space="0"/>
          <w:left w:val="single" w:color="00FEE2" w:themeColor="accent4" w:themeTint="BF" w:sz="8" w:space="0"/>
          <w:bottom w:val="single" w:color="00FEE2" w:themeColor="accent4" w:themeTint="BF" w:sz="8" w:space="0"/>
          <w:right w:val="single" w:color="00FEE2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AFFF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EED34" w:themeColor="accent5" w:themeTint="BF" w:sz="8" w:space="0"/>
        <w:left w:val="single" w:color="AEED34" w:themeColor="accent5" w:themeTint="BF" w:sz="8" w:space="0"/>
        <w:bottom w:val="single" w:color="AEED34" w:themeColor="accent5" w:themeTint="BF" w:sz="8" w:space="0"/>
        <w:right w:val="single" w:color="AEED34" w:themeColor="accent5" w:themeTint="BF" w:sz="8" w:space="0"/>
        <w:insideH w:val="single" w:color="AEED3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EED34" w:themeColor="accent5" w:themeTint="BF" w:sz="8" w:space="0"/>
          <w:left w:val="single" w:color="AEED34" w:themeColor="accent5" w:themeTint="BF" w:sz="8" w:space="0"/>
          <w:bottom w:val="single" w:color="AEED34" w:themeColor="accent5" w:themeTint="BF" w:sz="8" w:space="0"/>
          <w:right w:val="single" w:color="AEED34" w:themeColor="accent5" w:themeTint="BF" w:sz="8" w:space="0"/>
          <w:insideH w:val="nil"/>
          <w:insideV w:val="nil"/>
        </w:tcBorders>
        <w:shd w:val="clear" w:color="auto" w:fill="89C7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EED34" w:themeColor="accent5" w:themeTint="BF" w:sz="6" w:space="0"/>
          <w:left w:val="single" w:color="AEED34" w:themeColor="accent5" w:themeTint="BF" w:sz="8" w:space="0"/>
          <w:bottom w:val="single" w:color="AEED34" w:themeColor="accent5" w:themeTint="BF" w:sz="8" w:space="0"/>
          <w:right w:val="single" w:color="AEED3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9B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9B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B6CBC" w:themeColor="accent6" w:themeTint="BF" w:sz="8" w:space="0"/>
        <w:left w:val="single" w:color="AB6CBC" w:themeColor="accent6" w:themeTint="BF" w:sz="8" w:space="0"/>
        <w:bottom w:val="single" w:color="AB6CBC" w:themeColor="accent6" w:themeTint="BF" w:sz="8" w:space="0"/>
        <w:right w:val="single" w:color="AB6CBC" w:themeColor="accent6" w:themeTint="BF" w:sz="8" w:space="0"/>
        <w:insideH w:val="single" w:color="AB6CBC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B6CBC" w:themeColor="accent6" w:themeTint="BF" w:sz="8" w:space="0"/>
          <w:left w:val="single" w:color="AB6CBC" w:themeColor="accent6" w:themeTint="BF" w:sz="8" w:space="0"/>
          <w:bottom w:val="single" w:color="AB6CBC" w:themeColor="accent6" w:themeTint="BF" w:sz="8" w:space="0"/>
          <w:right w:val="single" w:color="AB6CBC" w:themeColor="accent6" w:themeTint="BF" w:sz="8" w:space="0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B6CBC" w:themeColor="accent6" w:themeTint="BF" w:sz="6" w:space="0"/>
          <w:left w:val="single" w:color="AB6CBC" w:themeColor="accent6" w:themeTint="BF" w:sz="8" w:space="0"/>
          <w:bottom w:val="single" w:color="AB6CBC" w:themeColor="accent6" w:themeTint="BF" w:sz="8" w:space="0"/>
          <w:right w:val="single" w:color="AB6CBC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6A8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A8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A8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682BB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2B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2BB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3C3C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C3C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C3C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9C71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9C7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9C71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1" w:customStyle="1">
    <w:name w:val="Mention1"/>
    <w:basedOn w:val="DefaultParagraphFont"/>
    <w:uiPriority w:val="99"/>
    <w:semiHidden/>
    <w:unhideWhenUsed/>
    <w:rsid w:val="001A2E8F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B3AD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color w:val="434343" w:themeColor="text2" w:themeShade="BF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BB3AD3"/>
    <w:rPr>
      <w:rFonts w:asciiTheme="majorHAnsi" w:hAnsiTheme="majorHAnsi" w:eastAsiaTheme="majorEastAsia" w:cstheme="majorBidi"/>
      <w:color w:val="434343" w:themeColor="text2" w:themeShade="BF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1A2E8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1A2E8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1A2E8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A2E8F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1A2E8F"/>
  </w:style>
  <w:style w:type="character" w:styleId="PageNumber">
    <w:name w:val="page number"/>
    <w:basedOn w:val="DefaultParagraphFont"/>
    <w:uiPriority w:val="99"/>
    <w:semiHidden/>
    <w:unhideWhenUsed/>
    <w:rsid w:val="001A2E8F"/>
  </w:style>
  <w:style w:type="character" w:styleId="PlaceholderText">
    <w:name w:val="Placeholder Text"/>
    <w:basedOn w:val="DefaultParagraphFont"/>
    <w:uiPriority w:val="99"/>
    <w:semiHidden/>
    <w:rsid w:val="001A2E8F"/>
    <w:rPr>
      <w:color w:val="808080"/>
    </w:rPr>
  </w:style>
  <w:style w:type="table" w:styleId="PlainTable1">
    <w:name w:val="Plain Table 1"/>
    <w:basedOn w:val="TableNormal"/>
    <w:uiPriority w:val="41"/>
    <w:rsid w:val="001A2E8F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1A2E8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1A2E8F"/>
    <w:pPr>
      <w:spacing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1A2E8F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A2E8F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1A2E8F"/>
  </w:style>
  <w:style w:type="paragraph" w:styleId="Signature">
    <w:name w:val="Signature"/>
    <w:basedOn w:val="Normal"/>
    <w:link w:val="SignatureChar"/>
    <w:uiPriority w:val="99"/>
    <w:semiHidden/>
    <w:unhideWhenUsed/>
    <w:rsid w:val="001A2E8F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1A2E8F"/>
  </w:style>
  <w:style w:type="character" w:styleId="SmartHyperlink1" w:customStyle="1">
    <w:name w:val="Smart Hyperlink1"/>
    <w:basedOn w:val="DefaultParagraphFont"/>
    <w:uiPriority w:val="99"/>
    <w:semiHidden/>
    <w:unhideWhenUsed/>
    <w:rsid w:val="001A2E8F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1A2E8F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1A2E8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1A2E8F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1A2E8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1A2E8F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1A2E8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A2E8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A2E8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A2E8F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A2E8F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A2E8F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A2E8F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A2E8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A2E8F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A2E8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A2E8F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A2E8F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A2E8F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A2E8F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A2E8F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A2E8F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1A2E8F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1A2E8F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A2E8F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A2E8F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A2E8F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A2E8F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A2E8F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A2E8F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A2E8F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A2E8F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A2E8F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1A2E8F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A2E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1A2E8F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A2E8F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1A2E8F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1A2E8F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A2E8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A2E8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A2E8F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A2E8F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A2E8F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A2E8F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A2E8F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A2E8F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A2E8F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2E8F"/>
    <w:pPr>
      <w:spacing w:after="0"/>
      <w:outlineLvl w:val="9"/>
    </w:pPr>
    <w:rPr>
      <w:b w:val="0"/>
      <w:color w:val="004F66" w:themeColor="accent1" w:themeShade="BF"/>
      <w:sz w:val="32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BB3AD3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1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2.xml" Id="rId7" /><Relationship Type="http://schemas.openxmlformats.org/officeDocument/2006/relationships/footer" Target="footer3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3.xml" Id="rId11" /><Relationship Type="http://schemas.openxmlformats.org/officeDocument/2006/relationships/footnotes" Target="footnotes.xml" Id="rId5" /><Relationship Type="http://schemas.openxmlformats.org/officeDocument/2006/relationships/footer" Target="footer22.xml" Id="rId10" /><Relationship Type="http://schemas.openxmlformats.org/officeDocument/2006/relationships/webSettings" Target="webSettings.xml" Id="rId4" /><Relationship Type="http://schemas.openxmlformats.org/officeDocument/2006/relationships/footer" Target="footer13.xml" Id="rId9" /><Relationship Type="http://schemas.openxmlformats.org/officeDocument/2006/relationships/theme" Target="theme/theme11.xml" Id="rId14" /><Relationship Type="http://schemas.openxmlformats.org/officeDocument/2006/relationships/glossaryDocument" Target="glossary/document.xml" Id="Rc574cdf567b940bc" /><Relationship Type="http://schemas.openxmlformats.org/officeDocument/2006/relationships/image" Target="/media/image.jpg" Id="Ra91ae50ef4c34994" /><Relationship Type="http://schemas.openxmlformats.org/officeDocument/2006/relationships/image" Target="/media/image2.jpg" Id="R42b497f4466c4e25" /><Relationship Type="http://schemas.openxmlformats.org/officeDocument/2006/relationships/hyperlink" Target="https://www.forbes.com/sites/jonathansalembaskin/2016/08/18/how-premier-inn-crowdsourced-" TargetMode="External" Id="R67fe9a19c6a6432c" /><Relationship Type="http://schemas.openxmlformats.org/officeDocument/2006/relationships/hyperlink" Target="https://www.google.com/amp/s/www.bbc.com/news/business-29122460.amp" TargetMode="External" Id="Rf88a0dd7c2504f98" /><Relationship Type="http://schemas.openxmlformats.org/officeDocument/2006/relationships/hyperlink" Target="https://www.mandarinoriental.com/en/investors/financial-reports.Forbes" TargetMode="External" Id="R83c120d8d27d4541" /><Relationship Type="http://schemas.openxmlformats.org/officeDocument/2006/relationships/hyperlink" Target="https://www.mandarinoriental.com/en/spa/forbes-travel-guide-2023" TargetMode="External" Id="R9fca98d7fb8f4c41" /><Relationship Type="http://schemas.openxmlformats.org/officeDocument/2006/relationships/hyperlink" Target="https://doi.org/10.1108/ijbm-12-2020-0612" TargetMode="External" Id="R0f756b7c9c15454a" /><Relationship Type="http://schemas.openxmlformats.org/officeDocument/2006/relationships/hyperlink" Target="https://scholarworks.calstate.edu/downloads/4b29bc95t" TargetMode="External" Id="R9f894e226695425a" /><Relationship Type="http://schemas.openxmlformats.org/officeDocument/2006/relationships/hyperlink" Target="https://doi.org/10.1016/s0278-4319(98)00013-9" TargetMode="External" Id="Rfb43a3f6999c4894" /><Relationship Type="http://schemas.openxmlformats.org/officeDocument/2006/relationships/hyperlink" Target="https://www.sciencedirect.com/science/article/pii/S1877042815056992/pdf" TargetMode="External" Id="R70503dff4407441f" /><Relationship Type="http://schemas.openxmlformats.org/officeDocument/2006/relationships/hyperlink" Target="https://doi.org/10.1155/2021/8680306.Sheel" TargetMode="External" Id="Ra9a1d2b91c8348a7" /><Relationship Type="http://schemas.openxmlformats.org/officeDocument/2006/relationships/hyperlink" Target="https://www.mandarinoriental.com/en/investors/financial-reports" TargetMode="External" Id="Rebe720302c494e26" /><Relationship Type="http://schemas.openxmlformats.org/officeDocument/2006/relationships/hyperlink" Target="https://www.mandarinoriental.com/en/" TargetMode="External" Id="R634ba65ba2724dbf" /><Relationship Type="http://schemas.openxmlformats.org/officeDocument/2006/relationships/hyperlink" Target="https://www.premierinn.com/gb/en/home.html" TargetMode="External" Id="R5ea5c6f9a9884bfa" /><Relationship Type="http://schemas.openxmlformats.org/officeDocument/2006/relationships/hyperlink" Target="https://doi.org/10.1515/eb-2016-" TargetMode="External" Id="Re43a96f9562742d7" /><Relationship Type="http://schemas.openxmlformats.org/officeDocument/2006/relationships/hyperlink" Target="https://doi.org/10.1057/9781137435613_8." TargetMode="External" Id="R4daf8ad4a6e242b9" /><Relationship Type="http://schemas.openxmlformats.org/officeDocument/2006/relationships/hyperlink" Target="https://journals.scholarsportal.info/browse/10913211/v18i0002" TargetMode="External" Id="R103eebeb24f94911" /><Relationship Type="http://schemas.openxmlformats.org/officeDocument/2006/relationships/hyperlink" Target="https://www.tandfonline.com.SJR" TargetMode="External" Id="Rb4f5cb33e9ef47cb" /><Relationship Type="http://schemas.openxmlformats.org/officeDocument/2006/relationships/hyperlink" Target="https://www.scimagojr.com/journalsearch.php?q=21100800043&amp;tip=sid&amp;clean=0" TargetMode="External" Id="R7ddef6424f6f4360" /><Relationship Type="http://schemas.openxmlformats.org/officeDocument/2006/relationships/hyperlink" Target="https://doi.org/10.3389/fpsyg.2018.02419" TargetMode="External" Id="R582d8a3986c04c3b" /><Relationship Type="http://schemas.openxmlformats.org/officeDocument/2006/relationships/hyperlink" Target="https://doi.org/10.1108/09596111111167542" TargetMode="External" Id="R8d0b662c1f9c4049" /><Relationship Type="http://schemas.openxmlformats.org/officeDocument/2006/relationships/hyperlink" Target="https://www.annualreports.com/Click/23984" TargetMode="External" Id="Rd21db3eceee94edc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d55cb-5364-43e1-bd77-ffe42e71771c}"/>
      </w:docPartPr>
      <w:docPartBody>
        <w:p w14:paraId="3339D88A">
          <w:r>
            <w:rPr>
              <w:rStyle w:val="PlaceholderText"/>
            </w:rPr>
            <w:t/>
          </w:r>
        </w:p>
      </w:docPartBody>
    </w:docPart>
  </w:docParts>
</w:glossaryDocument>
</file>

<file path=word/theme/theme11.xml><?xml version="1.0" encoding="utf-8"?>
<a:theme xmlns:a="http://schemas.openxmlformats.org/drawingml/2006/main" name="Report Theme">
  <a:themeElements>
    <a:clrScheme name="Report theme">
      <a:dk1>
        <a:sysClr val="windowText" lastClr="000000"/>
      </a:dk1>
      <a:lt1>
        <a:sysClr val="window" lastClr="FFFFFF"/>
      </a:lt1>
      <a:dk2>
        <a:srgbClr val="5A5A5A"/>
      </a:dk2>
      <a:lt2>
        <a:srgbClr val="F0F0F0"/>
      </a:lt2>
      <a:accent1>
        <a:srgbClr val="006A89"/>
      </a:accent1>
      <a:accent2>
        <a:srgbClr val="2682BB"/>
      </a:accent2>
      <a:accent3>
        <a:srgbClr val="C3C3C3"/>
      </a:accent3>
      <a:accent4>
        <a:srgbClr val="00A997"/>
      </a:accent4>
      <a:accent5>
        <a:srgbClr val="89C711"/>
      </a:accent5>
      <a:accent6>
        <a:srgbClr val="8A479B"/>
      </a:accent6>
      <a:hlink>
        <a:srgbClr val="3AA9E3"/>
      </a:hlink>
      <a:folHlink>
        <a:srgbClr val="8A479B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TM00002090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Silviu Ghera (2130678)</dc:creator>
  <keywords/>
  <dc:description/>
  <lastModifiedBy>Silviu Ghera (2130678)</lastModifiedBy>
  <revision>4</revision>
  <dcterms:created xsi:type="dcterms:W3CDTF">2023-10-17T08:16:56.0338369Z</dcterms:created>
  <dcterms:modified xsi:type="dcterms:W3CDTF">2023-10-20T16:30:43.6115521Z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