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440EF" w14:textId="7A8EC1B1" w:rsidR="00E33468" w:rsidRDefault="00F341AE" w:rsidP="00F341AE">
      <w:pPr>
        <w:jc w:val="center"/>
        <w:rPr>
          <w:u w:val="single"/>
        </w:rPr>
      </w:pPr>
      <w:r w:rsidRPr="00F341AE">
        <w:rPr>
          <w:u w:val="single"/>
        </w:rPr>
        <w:t>T</w:t>
      </w:r>
      <w:r w:rsidRPr="00F341AE">
        <w:rPr>
          <w:u w:val="single"/>
        </w:rPr>
        <w:t>he impact of Christian mission activities on indigenous religions in sub-Saharan Africa.</w:t>
      </w:r>
    </w:p>
    <w:p w14:paraId="7109DF07" w14:textId="77777777" w:rsidR="00F341AE" w:rsidRDefault="00F341AE" w:rsidP="00F341AE">
      <w:pPr>
        <w:jc w:val="center"/>
        <w:rPr>
          <w:u w:val="single"/>
        </w:rPr>
      </w:pPr>
    </w:p>
    <w:p w14:paraId="2EF47698" w14:textId="2F32751F" w:rsidR="00F341AE" w:rsidRDefault="00F341AE" w:rsidP="00F6433F">
      <w:pPr>
        <w:spacing w:after="0"/>
        <w:rPr>
          <w:sz w:val="20"/>
          <w:szCs w:val="20"/>
        </w:rPr>
      </w:pPr>
      <w:r w:rsidRPr="00F341AE">
        <w:rPr>
          <w:sz w:val="20"/>
          <w:szCs w:val="20"/>
        </w:rPr>
        <w:t xml:space="preserve">Often in complex and contradictory ways, Christian missionary work in sub-Saharan Africa substantially changed indigenous religious systems. Under colonial auspices, missions bringing Christianity arrived in areas including the Yoruba of Nigeria, the Akan of Ghana, and the Zulu of Southern Africa. Major themes of this encounter are religious syncretism, the mixing of Christian and local beliefs; missionary conversion strategies including Bible translation and schooling; cultural disruption of traditional practices and authority; colonial </w:t>
      </w:r>
      <w:r w:rsidR="00F6433F" w:rsidRPr="00F341AE">
        <w:rPr>
          <w:sz w:val="20"/>
          <w:szCs w:val="20"/>
        </w:rPr>
        <w:t>entanglements</w:t>
      </w:r>
      <w:r w:rsidRPr="00F341AE">
        <w:rPr>
          <w:sz w:val="20"/>
          <w:szCs w:val="20"/>
        </w:rPr>
        <w:t xml:space="preserve"> linking missions with European dominance; and indigenous resistance or adaptation in response to these pressures. Scholars have examined these dynamics closely. John S. Mbiti contends that many Africans returned to their native faiths in times of difficulty even after conversion, implying that these religions remained rather strong.</w:t>
      </w:r>
      <w:r w:rsidRPr="007910BD">
        <w:rPr>
          <w:rStyle w:val="FootnoteReference"/>
          <w:sz w:val="20"/>
          <w:szCs w:val="20"/>
        </w:rPr>
        <w:footnoteReference w:id="1"/>
      </w:r>
      <w:r w:rsidRPr="00F341AE">
        <w:rPr>
          <w:sz w:val="20"/>
          <w:szCs w:val="20"/>
        </w:rPr>
        <w:t xml:space="preserve"> Lamin Sanneh also underlines the transforming power of missionary Bible translation, which indigenised Christianity by means of Christian interpretation of African cosmologies, therefore validating local cultures as appropriate carriers for the gospel message.</w:t>
      </w:r>
      <w:r w:rsidRPr="007910BD">
        <w:rPr>
          <w:rStyle w:val="FootnoteReference"/>
          <w:sz w:val="20"/>
          <w:szCs w:val="20"/>
        </w:rPr>
        <w:footnoteReference w:id="2"/>
      </w:r>
      <w:r w:rsidRPr="00F341AE">
        <w:rPr>
          <w:sz w:val="20"/>
          <w:szCs w:val="20"/>
        </w:rPr>
        <w:t xml:space="preserve"> These scholarly viewpoints help to organise the following investigation of how Christian missionary activity changed Yoruba, Akan, and Zulu religious life.</w:t>
      </w:r>
    </w:p>
    <w:p w14:paraId="3DD039F4" w14:textId="77777777" w:rsidR="007910BD" w:rsidRDefault="007910BD" w:rsidP="00F6433F">
      <w:pPr>
        <w:spacing w:after="0"/>
        <w:rPr>
          <w:sz w:val="20"/>
          <w:szCs w:val="20"/>
        </w:rPr>
      </w:pPr>
    </w:p>
    <w:p w14:paraId="04E51970" w14:textId="73416424" w:rsidR="00762AD7" w:rsidRDefault="007910BD" w:rsidP="00F6433F">
      <w:pPr>
        <w:spacing w:after="0"/>
        <w:rPr>
          <w:sz w:val="20"/>
          <w:szCs w:val="20"/>
        </w:rPr>
      </w:pPr>
      <w:r w:rsidRPr="007910BD">
        <w:rPr>
          <w:sz w:val="20"/>
          <w:szCs w:val="20"/>
        </w:rPr>
        <w:t>Along with a strong tradition of divination (Ifa) and ancestor veneration, the Yoruba people of southwest Nigeria had a rich indigenous religion anchored on a high creator God (</w:t>
      </w:r>
      <w:proofErr w:type="spellStart"/>
      <w:r w:rsidRPr="007910BD">
        <w:rPr>
          <w:sz w:val="20"/>
          <w:szCs w:val="20"/>
        </w:rPr>
        <w:t>Olodumare</w:t>
      </w:r>
      <w:proofErr w:type="spellEnd"/>
      <w:r w:rsidRPr="007910BD">
        <w:rPr>
          <w:sz w:val="20"/>
          <w:szCs w:val="20"/>
        </w:rPr>
        <w:t>) and many deity-spirits called orishas. Arriving in the middle of the 19th century, Christian missionaries</w:t>
      </w:r>
      <w:r w:rsidR="00762AD7">
        <w:rPr>
          <w:sz w:val="20"/>
          <w:szCs w:val="20"/>
        </w:rPr>
        <w:t xml:space="preserve">, </w:t>
      </w:r>
      <w:r w:rsidRPr="007910BD">
        <w:rPr>
          <w:sz w:val="20"/>
          <w:szCs w:val="20"/>
        </w:rPr>
        <w:t>most famously the Church Missionary Society, (CMS) found a very strong religious community. Missionaries used education and conversion techniques including translation. By 1884, Yoruba pastor Samuel Ajayi Crowther famously translated the Bible into Yoruba, therefore enabling the teaching of Christianity in the local language.</w:t>
      </w:r>
      <w:r>
        <w:rPr>
          <w:rStyle w:val="FootnoteReference"/>
          <w:sz w:val="20"/>
          <w:szCs w:val="20"/>
        </w:rPr>
        <w:footnoteReference w:id="3"/>
      </w:r>
      <w:r>
        <w:rPr>
          <w:sz w:val="20"/>
          <w:szCs w:val="20"/>
        </w:rPr>
        <w:t xml:space="preserve"> </w:t>
      </w:r>
      <w:r w:rsidRPr="007910BD">
        <w:rPr>
          <w:sz w:val="20"/>
          <w:szCs w:val="20"/>
        </w:rPr>
        <w:t xml:space="preserve">Sanneh emphasises these grassroots translations as "critical" for the expansion of Christianity since Yoruba convert to view the Christian God through their own perspective of </w:t>
      </w:r>
      <w:proofErr w:type="spellStart"/>
      <w:r w:rsidRPr="007910BD">
        <w:rPr>
          <w:sz w:val="20"/>
          <w:szCs w:val="20"/>
        </w:rPr>
        <w:t>Olodumare</w:t>
      </w:r>
      <w:proofErr w:type="spellEnd"/>
      <w:r w:rsidRPr="007910BD">
        <w:rPr>
          <w:sz w:val="20"/>
          <w:szCs w:val="20"/>
        </w:rPr>
        <w:t>.</w:t>
      </w:r>
      <w:r>
        <w:rPr>
          <w:rStyle w:val="FootnoteReference"/>
          <w:sz w:val="20"/>
          <w:szCs w:val="20"/>
        </w:rPr>
        <w:footnoteReference w:id="4"/>
      </w:r>
      <w:r w:rsidRPr="007910BD">
        <w:rPr>
          <w:sz w:val="20"/>
          <w:szCs w:val="20"/>
        </w:rPr>
        <w:t xml:space="preserve"> By means of this linking of native and Christian cosmologies, Yoruba people might view Christianity as fairly familiar rather than totally alien.</w:t>
      </w:r>
      <w:r w:rsidR="003A0344">
        <w:rPr>
          <w:sz w:val="20"/>
          <w:szCs w:val="20"/>
        </w:rPr>
        <w:t xml:space="preserve"> </w:t>
      </w:r>
      <w:r w:rsidRPr="007910BD">
        <w:rPr>
          <w:sz w:val="20"/>
          <w:szCs w:val="20"/>
        </w:rPr>
        <w:t>Particularly in attempts to stop the slave trade and advance British political interests in important regions like Lagos and Abeokuta, mission activities in Yorubaland were firmly entwined with British colonial control.</w:t>
      </w:r>
      <w:r>
        <w:rPr>
          <w:rStyle w:val="FootnoteReference"/>
          <w:sz w:val="20"/>
          <w:szCs w:val="20"/>
        </w:rPr>
        <w:footnoteReference w:id="5"/>
      </w:r>
      <w:r w:rsidRPr="007910BD">
        <w:rPr>
          <w:sz w:val="20"/>
          <w:szCs w:val="20"/>
        </w:rPr>
        <w:t xml:space="preserve"> Historian J.D.Y. Peel contends that these connections greatly helped to create a modern Yoruba ethnic consciousness, which first surfaced through schools founded by missionaries pushing literacy and new social structures.</w:t>
      </w:r>
      <w:r>
        <w:rPr>
          <w:rStyle w:val="FootnoteReference"/>
          <w:sz w:val="20"/>
          <w:szCs w:val="20"/>
        </w:rPr>
        <w:footnoteReference w:id="6"/>
      </w:r>
      <w:r w:rsidRPr="007910BD">
        <w:rPr>
          <w:sz w:val="20"/>
          <w:szCs w:val="20"/>
        </w:rPr>
        <w:br/>
      </w:r>
      <w:r w:rsidRPr="007910BD">
        <w:rPr>
          <w:sz w:val="20"/>
          <w:szCs w:val="20"/>
        </w:rPr>
        <w:br/>
        <w:t>Since religious connection was so closely entwined with social identity, conversion sometimes resulted in isolation from familial and communal relationships, despite requests from missionaries for Yoruba convert to renounce rituals and traditional traditions, including polygamy and ceremonial sacrifices.</w:t>
      </w:r>
      <w:r>
        <w:rPr>
          <w:rStyle w:val="FootnoteReference"/>
          <w:sz w:val="20"/>
          <w:szCs w:val="20"/>
        </w:rPr>
        <w:footnoteReference w:id="7"/>
      </w:r>
      <w:r>
        <w:rPr>
          <w:sz w:val="20"/>
          <w:szCs w:val="20"/>
        </w:rPr>
        <w:t xml:space="preserve"> </w:t>
      </w:r>
      <w:r w:rsidRPr="007910BD">
        <w:rPr>
          <w:sz w:val="20"/>
          <w:szCs w:val="20"/>
        </w:rPr>
        <w:t xml:space="preserve">Peel notes, nonetheless, that the natural transparency of Yoruba religion encouraged religious syncretism. Many Yoruba Christians secretly kept their customs, finally resulting in autonomous movements as the </w:t>
      </w:r>
      <w:proofErr w:type="spellStart"/>
      <w:r w:rsidRPr="007910BD">
        <w:rPr>
          <w:sz w:val="20"/>
          <w:szCs w:val="20"/>
        </w:rPr>
        <w:t>Aladura</w:t>
      </w:r>
      <w:proofErr w:type="spellEnd"/>
      <w:r w:rsidRPr="007910BD">
        <w:rPr>
          <w:sz w:val="20"/>
          <w:szCs w:val="20"/>
        </w:rPr>
        <w:t xml:space="preserve"> churches, which combined Christian teachings with indigenous healing, prophesy, and divination techniques.</w:t>
      </w:r>
      <w:r w:rsidRPr="007910BD">
        <w:rPr>
          <w:sz w:val="20"/>
          <w:szCs w:val="20"/>
        </w:rPr>
        <w:t xml:space="preserve"> </w:t>
      </w:r>
      <w:r w:rsidRPr="007910BD">
        <w:rPr>
          <w:sz w:val="20"/>
          <w:szCs w:val="20"/>
        </w:rPr>
        <w:t>These movements were examples of the Yoruba people's imaginative blending of Christian doctrine with native spiritual traditions.</w:t>
      </w:r>
    </w:p>
    <w:p w14:paraId="0805780D" w14:textId="77777777" w:rsidR="00F6433F" w:rsidRDefault="00F6433F" w:rsidP="00F6433F">
      <w:pPr>
        <w:spacing w:after="0"/>
        <w:rPr>
          <w:sz w:val="20"/>
          <w:szCs w:val="20"/>
        </w:rPr>
      </w:pPr>
    </w:p>
    <w:p w14:paraId="16415F16" w14:textId="79C5BE02" w:rsidR="00755080" w:rsidRPr="00755080" w:rsidRDefault="00762AD7" w:rsidP="00F6433F">
      <w:pPr>
        <w:spacing w:after="0"/>
        <w:rPr>
          <w:sz w:val="20"/>
          <w:szCs w:val="20"/>
        </w:rPr>
      </w:pPr>
      <w:r w:rsidRPr="00762AD7">
        <w:rPr>
          <w:sz w:val="20"/>
          <w:szCs w:val="20"/>
        </w:rPr>
        <w:t>Due in great part to Christian mission activity, the Akan peoples of Ghana, notably the Ashanti and Fante groups, also saw significant theological changes. Akan traditional religion included respect of ancestor spirits, many minor gods (</w:t>
      </w:r>
      <w:proofErr w:type="spellStart"/>
      <w:r w:rsidRPr="00762AD7">
        <w:rPr>
          <w:sz w:val="20"/>
          <w:szCs w:val="20"/>
        </w:rPr>
        <w:t>abosom</w:t>
      </w:r>
      <w:proofErr w:type="spellEnd"/>
      <w:r w:rsidRPr="00762AD7">
        <w:rPr>
          <w:sz w:val="20"/>
          <w:szCs w:val="20"/>
        </w:rPr>
        <w:t xml:space="preserve">), and a supreme creator called Nyame or </w:t>
      </w:r>
      <w:proofErr w:type="spellStart"/>
      <w:r w:rsidRPr="00762AD7">
        <w:rPr>
          <w:sz w:val="20"/>
          <w:szCs w:val="20"/>
        </w:rPr>
        <w:t>Onyankopon</w:t>
      </w:r>
      <w:proofErr w:type="spellEnd"/>
      <w:r w:rsidRPr="00762AD7">
        <w:rPr>
          <w:sz w:val="20"/>
          <w:szCs w:val="20"/>
        </w:rPr>
        <w:t xml:space="preserve">. Originally Roman Catholic but mostly Protestant by means of the Basel Mission and Wesleyan Methodists from the </w:t>
      </w:r>
      <w:r w:rsidRPr="00762AD7">
        <w:rPr>
          <w:sz w:val="20"/>
          <w:szCs w:val="20"/>
        </w:rPr>
        <w:lastRenderedPageBreak/>
        <w:t>early 19th century, missionary presence challenged strongly ingrained traditional beliefs. Conversion techniques often included building distinct Christian communities or "Salems," secluded villages intended to protect converts from conventional religious pressures.</w:t>
      </w:r>
      <w:r>
        <w:rPr>
          <w:rStyle w:val="FootnoteReference"/>
          <w:sz w:val="20"/>
          <w:szCs w:val="20"/>
        </w:rPr>
        <w:footnoteReference w:id="8"/>
      </w:r>
      <w:r w:rsidRPr="00762AD7">
        <w:rPr>
          <w:sz w:val="20"/>
          <w:szCs w:val="20"/>
        </w:rPr>
        <w:t xml:space="preserve"> By translating the Bible into the Akan Twi language by 1871, therefore helping missionary aims of both conversion and cultural change, Johann </w:t>
      </w:r>
      <w:proofErr w:type="spellStart"/>
      <w:r w:rsidRPr="00762AD7">
        <w:rPr>
          <w:sz w:val="20"/>
          <w:szCs w:val="20"/>
        </w:rPr>
        <w:t>Christaller</w:t>
      </w:r>
      <w:proofErr w:type="spellEnd"/>
      <w:r w:rsidRPr="00762AD7">
        <w:rPr>
          <w:sz w:val="20"/>
          <w:szCs w:val="20"/>
        </w:rPr>
        <w:t xml:space="preserve"> of the Basel Mission made a major contribution to this effort.</w:t>
      </w:r>
      <w:r>
        <w:rPr>
          <w:rStyle w:val="FootnoteReference"/>
          <w:sz w:val="20"/>
          <w:szCs w:val="20"/>
        </w:rPr>
        <w:footnoteReference w:id="9"/>
      </w:r>
      <w:r w:rsidRPr="00762AD7">
        <w:rPr>
          <w:sz w:val="20"/>
          <w:szCs w:val="20"/>
        </w:rPr>
        <w:br/>
      </w:r>
      <w:r w:rsidRPr="00762AD7">
        <w:rPr>
          <w:sz w:val="20"/>
          <w:szCs w:val="20"/>
        </w:rPr>
        <w:br/>
        <w:t>Promoting Western moral and social principles, missionary teachings routinely sought to abolish customs judged incompatible with Christianity, including ancestor worship and community libations. The missionary objective, according to historian S.G. Williamson, was clearly aimed at "destroying traditional superstition and implantation of the Christian faith," therefore causing great social and cultural disturbance.</w:t>
      </w:r>
      <w:r>
        <w:rPr>
          <w:rStyle w:val="FootnoteReference"/>
          <w:sz w:val="20"/>
          <w:szCs w:val="20"/>
        </w:rPr>
        <w:footnoteReference w:id="10"/>
      </w:r>
      <w:r w:rsidRPr="00762AD7">
        <w:rPr>
          <w:sz w:val="20"/>
          <w:szCs w:val="20"/>
        </w:rPr>
        <w:t xml:space="preserve"> Tensions inside families and communities resulted from the pressure to give up ancestral rites, family ceremonies, and other customs. Ghanaian sociologist Kofi A. Busia observed that Ashanti turn perceived themselves as different communities under the authority of European missionaries rather than traditional chiefs, therefore weakening chief power and causing social fragmentation</w:t>
      </w:r>
      <w:r>
        <w:rPr>
          <w:sz w:val="20"/>
          <w:szCs w:val="20"/>
        </w:rPr>
        <w:t>.</w:t>
      </w:r>
      <w:r>
        <w:rPr>
          <w:rStyle w:val="FootnoteReference"/>
          <w:sz w:val="20"/>
          <w:szCs w:val="20"/>
        </w:rPr>
        <w:footnoteReference w:id="11"/>
      </w:r>
      <w:r w:rsidRPr="00762AD7">
        <w:rPr>
          <w:sz w:val="20"/>
          <w:szCs w:val="20"/>
        </w:rPr>
        <w:br/>
      </w:r>
      <w:r w:rsidRPr="00762AD7">
        <w:rPr>
          <w:sz w:val="20"/>
          <w:szCs w:val="20"/>
        </w:rPr>
        <w:br/>
        <w:t>Still, Akan religious life showed great flexibility and fortitude. Many Akan Christians secretly kept traditional beliefs and practices, especially ancestor veneration and consultations with traditional spiritual healers during times of crisis, despite official missionary censure.</w:t>
      </w:r>
      <w:r>
        <w:rPr>
          <w:rStyle w:val="FootnoteReference"/>
          <w:sz w:val="20"/>
          <w:szCs w:val="20"/>
        </w:rPr>
        <w:footnoteReference w:id="12"/>
      </w:r>
      <w:r w:rsidRPr="00762AD7">
        <w:rPr>
          <w:sz w:val="20"/>
          <w:szCs w:val="20"/>
        </w:rPr>
        <w:t xml:space="preserve"> Responding to missionary rigidity, independent religious movements</w:t>
      </w:r>
      <w:r>
        <w:rPr>
          <w:sz w:val="20"/>
          <w:szCs w:val="20"/>
        </w:rPr>
        <w:t xml:space="preserve">, </w:t>
      </w:r>
      <w:r w:rsidRPr="00762AD7">
        <w:rPr>
          <w:sz w:val="20"/>
          <w:szCs w:val="20"/>
        </w:rPr>
        <w:t xml:space="preserve">including those started by Prophet William Harris and indigenous spiritual churches like the </w:t>
      </w:r>
      <w:proofErr w:type="spellStart"/>
      <w:r w:rsidRPr="00762AD7">
        <w:rPr>
          <w:sz w:val="20"/>
          <w:szCs w:val="20"/>
        </w:rPr>
        <w:t>Musama</w:t>
      </w:r>
      <w:proofErr w:type="spellEnd"/>
      <w:r w:rsidRPr="00762AD7">
        <w:rPr>
          <w:sz w:val="20"/>
          <w:szCs w:val="20"/>
        </w:rPr>
        <w:t xml:space="preserve"> Disco Christo Church</w:t>
      </w:r>
      <w:r>
        <w:rPr>
          <w:sz w:val="20"/>
          <w:szCs w:val="20"/>
        </w:rPr>
        <w:t xml:space="preserve">, </w:t>
      </w:r>
      <w:r w:rsidRPr="00762AD7">
        <w:rPr>
          <w:sz w:val="20"/>
          <w:szCs w:val="20"/>
        </w:rPr>
        <w:t>emerged combining Christian doctrine with culturally relevant Akan traditions including drumming, dancing, and healing rituals.</w:t>
      </w:r>
      <w:r>
        <w:rPr>
          <w:rStyle w:val="FootnoteReference"/>
          <w:sz w:val="20"/>
          <w:szCs w:val="20"/>
        </w:rPr>
        <w:footnoteReference w:id="13"/>
      </w:r>
      <w:r w:rsidRPr="00762AD7">
        <w:rPr>
          <w:sz w:val="20"/>
          <w:szCs w:val="20"/>
        </w:rPr>
        <w:t xml:space="preserve"> Many Akan Christians were able to embrace the new faith while preserving elements of their ancestral religious legacy by means of this syncretic Christianity, therefore highlighting the intricate relationships between mission Christianity and indigenous religious identity in Ghana.</w:t>
      </w:r>
      <w:r w:rsidR="00F6433F">
        <w:rPr>
          <w:sz w:val="20"/>
          <w:szCs w:val="20"/>
        </w:rPr>
        <w:t xml:space="preserve"> </w:t>
      </w:r>
      <w:r w:rsidR="00755080" w:rsidRPr="00755080">
        <w:rPr>
          <w:sz w:val="20"/>
          <w:szCs w:val="20"/>
        </w:rPr>
        <w:t xml:space="preserve">Another unambiguous illustration of Christian missionary influence on indigenous religious traditions comes from the Zulu people of Southern Africa (KwaZulu-Natal). Traditional Zulu religion stressed belief in </w:t>
      </w:r>
      <w:proofErr w:type="spellStart"/>
      <w:r w:rsidR="00755080" w:rsidRPr="00755080">
        <w:rPr>
          <w:sz w:val="20"/>
          <w:szCs w:val="20"/>
        </w:rPr>
        <w:t>Nkulunkulu</w:t>
      </w:r>
      <w:proofErr w:type="spellEnd"/>
      <w:r w:rsidR="00755080" w:rsidRPr="00755080">
        <w:rPr>
          <w:sz w:val="20"/>
          <w:szCs w:val="20"/>
        </w:rPr>
        <w:t xml:space="preserve"> (a distant creator deity) and ancestral spirits (</w:t>
      </w:r>
      <w:proofErr w:type="spellStart"/>
      <w:r w:rsidR="00755080" w:rsidRPr="00755080">
        <w:rPr>
          <w:sz w:val="20"/>
          <w:szCs w:val="20"/>
        </w:rPr>
        <w:t>amadlozi</w:t>
      </w:r>
      <w:proofErr w:type="spellEnd"/>
      <w:r w:rsidR="00755080" w:rsidRPr="00755080">
        <w:rPr>
          <w:sz w:val="20"/>
          <w:szCs w:val="20"/>
        </w:rPr>
        <w:t>), who actively shaped daily life and social cohesiveness by rituals, offerings, and divination.</w:t>
      </w:r>
      <w:r w:rsidR="00755080">
        <w:rPr>
          <w:rStyle w:val="FootnoteReference"/>
          <w:sz w:val="20"/>
          <w:szCs w:val="20"/>
        </w:rPr>
        <w:footnoteReference w:id="14"/>
      </w:r>
      <w:r w:rsidR="00755080" w:rsidRPr="00755080">
        <w:rPr>
          <w:sz w:val="20"/>
          <w:szCs w:val="20"/>
        </w:rPr>
        <w:t xml:space="preserve"> Arriving from the 1830s forward, early missionaries (British, German, French, and American) first had limited success because of opposition from Zulu leaders such Shaka and Cetshwayo. After the Anglo-Zulu War of 1879 and later British colonisation, however, missionary activity grew quickly thanks to colonial authority and infrastructure.</w:t>
      </w:r>
      <w:r w:rsidR="00755080">
        <w:rPr>
          <w:rStyle w:val="FootnoteReference"/>
          <w:sz w:val="20"/>
          <w:szCs w:val="20"/>
        </w:rPr>
        <w:footnoteReference w:id="15"/>
      </w:r>
      <w:r w:rsidR="00755080" w:rsidRPr="00755080">
        <w:rPr>
          <w:sz w:val="20"/>
          <w:szCs w:val="20"/>
        </w:rPr>
        <w:br/>
      </w:r>
      <w:r w:rsidR="00755080" w:rsidRPr="00755080">
        <w:rPr>
          <w:sz w:val="20"/>
          <w:szCs w:val="20"/>
        </w:rPr>
        <w:br/>
        <w:t>Missionaries used tactics like those in other areas, including Bible translations into isiZulu (completed by Anglican and other Protestant missionaries by 1883), building of mission schools, and direct confrontation with important cultural practices including polygamy and ancestral veneration. For Zulu converts, who had to give up polygamous marriages and ancestor ceremonies, therefore upsetting conventional social structures, conversion to Christianity often involved significant cultural changes.</w:t>
      </w:r>
      <w:r w:rsidR="00755080">
        <w:rPr>
          <w:rStyle w:val="FootnoteReference"/>
          <w:sz w:val="20"/>
          <w:szCs w:val="20"/>
        </w:rPr>
        <w:footnoteReference w:id="16"/>
      </w:r>
      <w:r w:rsidR="00755080" w:rsidRPr="00755080">
        <w:rPr>
          <w:sz w:val="20"/>
          <w:szCs w:val="20"/>
        </w:rPr>
        <w:t xml:space="preserve"> Mbiti notes that African convert were often left "frustrated and uprooted," trapped between two worlds, and stresses the significant cultural and psychological upheavals such missionary demands created.</w:t>
      </w:r>
      <w:r w:rsidR="00755080">
        <w:rPr>
          <w:rStyle w:val="FootnoteReference"/>
          <w:sz w:val="20"/>
          <w:szCs w:val="20"/>
        </w:rPr>
        <w:footnoteReference w:id="17"/>
      </w:r>
      <w:r w:rsidR="00755080" w:rsidRPr="00755080">
        <w:rPr>
          <w:sz w:val="20"/>
          <w:szCs w:val="20"/>
        </w:rPr>
        <w:t xml:space="preserve"> Many Zulu Christians carried on with customary ceremonies in secret, particularly during times of personal or group crisis, despite missionary criticism.</w:t>
      </w:r>
      <w:r w:rsidR="00755080">
        <w:rPr>
          <w:rStyle w:val="FootnoteReference"/>
          <w:sz w:val="20"/>
          <w:szCs w:val="20"/>
        </w:rPr>
        <w:footnoteReference w:id="18"/>
      </w:r>
      <w:r w:rsidR="003A0344">
        <w:rPr>
          <w:sz w:val="20"/>
          <w:szCs w:val="20"/>
        </w:rPr>
        <w:t xml:space="preserve"> </w:t>
      </w:r>
      <w:r w:rsidR="00755080" w:rsidRPr="00755080">
        <w:rPr>
          <w:sz w:val="20"/>
          <w:szCs w:val="20"/>
        </w:rPr>
        <w:t xml:space="preserve">Most importantly, as means of cultural resistance </w:t>
      </w:r>
      <w:r w:rsidR="00755080" w:rsidRPr="00755080">
        <w:rPr>
          <w:sz w:val="20"/>
          <w:szCs w:val="20"/>
        </w:rPr>
        <w:lastRenderedPageBreak/>
        <w:t>and adaptation, missionary activities among the Zulu produced indigenous Christian movements. Established in 1911, the Nazareth Baptist Church of Prophet Isaiah Shembe purposefully challenged missionary orthodoxy by clearly combining Christian teachings with native Zulu rites and social behaviours like polygyny, ancestor respect, and ceremonial purification.</w:t>
      </w:r>
      <w:r w:rsidR="00755080">
        <w:rPr>
          <w:rStyle w:val="FootnoteReference"/>
          <w:sz w:val="20"/>
          <w:szCs w:val="20"/>
        </w:rPr>
        <w:footnoteReference w:id="19"/>
      </w:r>
      <w:r w:rsidR="00755080" w:rsidRPr="00755080">
        <w:rPr>
          <w:sz w:val="20"/>
          <w:szCs w:val="20"/>
        </w:rPr>
        <w:t xml:space="preserve"> Scholar Irving Hexham contends that the popularity of such autonomous movements reflected a deliberate "</w:t>
      </w:r>
      <w:proofErr w:type="spellStart"/>
      <w:r w:rsidR="00755080" w:rsidRPr="00755080">
        <w:rPr>
          <w:sz w:val="20"/>
          <w:szCs w:val="20"/>
        </w:rPr>
        <w:t>Zulufication</w:t>
      </w:r>
      <w:proofErr w:type="spellEnd"/>
      <w:r w:rsidR="00755080" w:rsidRPr="00755080">
        <w:rPr>
          <w:sz w:val="20"/>
          <w:szCs w:val="20"/>
        </w:rPr>
        <w:t>" of Christianity, therefore displaying active indigenous agency in redefining the religion to preserve Zulu identity within a Christian framework.</w:t>
      </w:r>
      <w:r w:rsidR="00755080">
        <w:rPr>
          <w:rStyle w:val="FootnoteReference"/>
          <w:sz w:val="20"/>
          <w:szCs w:val="20"/>
        </w:rPr>
        <w:footnoteReference w:id="20"/>
      </w:r>
      <w:r w:rsidR="00755080" w:rsidRPr="00755080">
        <w:rPr>
          <w:sz w:val="20"/>
          <w:szCs w:val="20"/>
        </w:rPr>
        <w:t xml:space="preserve"> Reflecting the ongoing influence of indigenous religious adaptation, major Christian churches in Zululand have progressively included traditional Zulu rites into worship activities over time.</w:t>
      </w:r>
    </w:p>
    <w:p w14:paraId="4A91620F" w14:textId="77777777" w:rsidR="00755080" w:rsidRDefault="00755080" w:rsidP="00F6433F">
      <w:pPr>
        <w:spacing w:after="0"/>
        <w:rPr>
          <w:sz w:val="20"/>
          <w:szCs w:val="20"/>
        </w:rPr>
      </w:pPr>
    </w:p>
    <w:p w14:paraId="4F8A0B2C" w14:textId="686FB40A" w:rsidR="004B51FA" w:rsidRDefault="004B51FA" w:rsidP="00F6433F">
      <w:pPr>
        <w:spacing w:after="0"/>
        <w:rPr>
          <w:sz w:val="20"/>
          <w:szCs w:val="20"/>
        </w:rPr>
      </w:pPr>
      <w:r w:rsidRPr="004B51FA">
        <w:rPr>
          <w:sz w:val="20"/>
          <w:szCs w:val="20"/>
        </w:rPr>
        <w:t>Often in complicated, syncretic ways, Christian missions substantially affected Igbo traditional religion. Though early missionary efforts were greeted with significant local hostility, the Church Missionary Society (CMS) started its operations in Igboland at Onitsha in 1857.</w:t>
      </w:r>
      <w:r>
        <w:rPr>
          <w:rStyle w:val="FootnoteReference"/>
          <w:sz w:val="20"/>
          <w:szCs w:val="20"/>
        </w:rPr>
        <w:footnoteReference w:id="21"/>
      </w:r>
      <w:r w:rsidRPr="004B51FA">
        <w:rPr>
          <w:sz w:val="20"/>
          <w:szCs w:val="20"/>
        </w:rPr>
        <w:t xml:space="preserve"> Despite great missionary push, historian Elizabeth Isichei observes that less than a thousand Igbo people converted before 1900, proving their great loyalty to their native traditions.</w:t>
      </w:r>
      <w:r>
        <w:rPr>
          <w:rStyle w:val="FootnoteReference"/>
          <w:sz w:val="20"/>
          <w:szCs w:val="20"/>
        </w:rPr>
        <w:footnoteReference w:id="22"/>
      </w:r>
      <w:r w:rsidRPr="004B51FA">
        <w:rPr>
          <w:sz w:val="20"/>
          <w:szCs w:val="20"/>
        </w:rPr>
        <w:t xml:space="preserve"> This altered significantly in the early 20th century with British colonial invasion, which brought definite control and enabled a fast rise of conversions, therefore accounting for approximately 11% of the Igbo population by 1931.</w:t>
      </w:r>
      <w:r>
        <w:rPr>
          <w:rStyle w:val="FootnoteReference"/>
          <w:sz w:val="20"/>
          <w:szCs w:val="20"/>
        </w:rPr>
        <w:footnoteReference w:id="23"/>
      </w:r>
      <w:r w:rsidRPr="004B51FA">
        <w:rPr>
          <w:sz w:val="20"/>
          <w:szCs w:val="20"/>
        </w:rPr>
        <w:t xml:space="preserve"> But these conversions often included parallel religious practices, in which Igbo Christians outwardly embraced Christianity while discreetly following traditional spiritual ideas, including respect for chi (personal spiritual essence) and ancestral devotion.</w:t>
      </w:r>
      <w:r>
        <w:rPr>
          <w:rStyle w:val="FootnoteReference"/>
          <w:sz w:val="20"/>
          <w:szCs w:val="20"/>
        </w:rPr>
        <w:footnoteReference w:id="24"/>
      </w:r>
      <w:r w:rsidR="00F6433F">
        <w:rPr>
          <w:sz w:val="20"/>
          <w:szCs w:val="20"/>
        </w:rPr>
        <w:t xml:space="preserve"> </w:t>
      </w:r>
      <w:r w:rsidRPr="004B51FA">
        <w:rPr>
          <w:sz w:val="20"/>
          <w:szCs w:val="20"/>
        </w:rPr>
        <w:t>Particularly from the CMS and subsequently Roman Catholic missions, missionaries forcefully banned or suppressed indigenous ceremonies including ancestor worship and masquerade dances linked to ancestral spirits.</w:t>
      </w:r>
      <w:r>
        <w:rPr>
          <w:rStyle w:val="FootnoteReference"/>
          <w:sz w:val="20"/>
          <w:szCs w:val="20"/>
        </w:rPr>
        <w:footnoteReference w:id="25"/>
      </w:r>
      <w:r w:rsidRPr="004B51FA">
        <w:rPr>
          <w:sz w:val="20"/>
          <w:szCs w:val="20"/>
        </w:rPr>
        <w:t xml:space="preserve"> This cultural clash caused many Igbo Christians to discreetly keep traditional religious rituals despite their public Christian identity. Eventually, dissatisfaction with missionary conservatism and cultural repression drove African Independent Churches headed by Igbo to arise. Overcoming the fear of syncretism that mission churches firmly condemned, these churches freely mixed Christianity with traditional Igbo components including drumming, prophesy, and traditional healing methods.</w:t>
      </w:r>
      <w:r>
        <w:rPr>
          <w:rStyle w:val="FootnoteReference"/>
          <w:sz w:val="20"/>
          <w:szCs w:val="20"/>
        </w:rPr>
        <w:footnoteReference w:id="26"/>
      </w:r>
      <w:r w:rsidRPr="004B51FA">
        <w:rPr>
          <w:sz w:val="20"/>
          <w:szCs w:val="20"/>
        </w:rPr>
        <w:t xml:space="preserve"> These autonomous churches prospered by including indigenous spirituality under a Christian framework, showing how missionary activity encouraged notable religious adaptation instead of clear expulsion of Igbo traditional religion.</w:t>
      </w:r>
    </w:p>
    <w:p w14:paraId="025B6B37" w14:textId="77777777" w:rsidR="004B51FA" w:rsidRDefault="004B51FA" w:rsidP="00F6433F">
      <w:pPr>
        <w:spacing w:after="0"/>
        <w:rPr>
          <w:sz w:val="20"/>
          <w:szCs w:val="20"/>
        </w:rPr>
      </w:pPr>
    </w:p>
    <w:p w14:paraId="1D2667F9" w14:textId="0A92CA34" w:rsidR="00CD6C61" w:rsidRDefault="004B51FA" w:rsidP="00F6433F">
      <w:pPr>
        <w:spacing w:after="0"/>
        <w:rPr>
          <w:sz w:val="20"/>
          <w:szCs w:val="20"/>
        </w:rPr>
      </w:pPr>
      <w:r w:rsidRPr="004B51FA">
        <w:rPr>
          <w:sz w:val="20"/>
          <w:szCs w:val="20"/>
        </w:rPr>
        <w:t>Among the Shona people of Zimbabwe, missionary activity greatly disturbed but did not eradicate customary religious traditions. Powerful spirit mediums (</w:t>
      </w:r>
      <w:proofErr w:type="spellStart"/>
      <w:r w:rsidRPr="004B51FA">
        <w:rPr>
          <w:sz w:val="20"/>
          <w:szCs w:val="20"/>
        </w:rPr>
        <w:t>masvikiro</w:t>
      </w:r>
      <w:proofErr w:type="spellEnd"/>
      <w:r w:rsidRPr="004B51FA">
        <w:rPr>
          <w:sz w:val="20"/>
          <w:szCs w:val="20"/>
        </w:rPr>
        <w:t>), who spoke with ancestor spirits (</w:t>
      </w:r>
      <w:proofErr w:type="spellStart"/>
      <w:r w:rsidRPr="004B51FA">
        <w:rPr>
          <w:sz w:val="20"/>
          <w:szCs w:val="20"/>
        </w:rPr>
        <w:t>mhondoro</w:t>
      </w:r>
      <w:proofErr w:type="spellEnd"/>
      <w:r w:rsidRPr="004B51FA">
        <w:rPr>
          <w:sz w:val="20"/>
          <w:szCs w:val="20"/>
        </w:rPr>
        <w:t>), such the fabled mediums Nehanda and Chaminuka, formerly dominated Shona religion.</w:t>
      </w:r>
      <w:r>
        <w:rPr>
          <w:rStyle w:val="FootnoteReference"/>
          <w:sz w:val="20"/>
          <w:szCs w:val="20"/>
        </w:rPr>
        <w:footnoteReference w:id="27"/>
      </w:r>
      <w:r w:rsidRPr="004B51FA">
        <w:rPr>
          <w:sz w:val="20"/>
          <w:szCs w:val="20"/>
        </w:rPr>
        <w:t xml:space="preserve"> Early missionaries arriving in the 1890s misinterpreted the depth and subtlety of Shona spirituality, thinking the Shona had just basic religious ideas.</w:t>
      </w:r>
      <w:r w:rsidRPr="004B51FA">
        <w:rPr>
          <w:sz w:val="20"/>
          <w:szCs w:val="20"/>
        </w:rPr>
        <w:t xml:space="preserve"> </w:t>
      </w:r>
      <w:r w:rsidRPr="004B51FA">
        <w:rPr>
          <w:sz w:val="20"/>
          <w:szCs w:val="20"/>
        </w:rPr>
        <w:t>Strong local allegiance to traditional customs, especially during the First Chimurenga (1896–97), where spirit mediums actively led opposition against colonial control, resulted in little first missionary conversions.</w:t>
      </w:r>
      <w:r>
        <w:rPr>
          <w:rStyle w:val="FootnoteReference"/>
          <w:sz w:val="20"/>
          <w:szCs w:val="20"/>
        </w:rPr>
        <w:footnoteReference w:id="28"/>
      </w:r>
      <w:r w:rsidRPr="004B51FA">
        <w:rPr>
          <w:sz w:val="20"/>
          <w:szCs w:val="20"/>
        </w:rPr>
        <w:t xml:space="preserve"> Targeting missionaries and mission stations as emblems of colonial oppression, this clash led to colonial reprisal and repression of indigenous religious practices.</w:t>
      </w:r>
      <w:r>
        <w:rPr>
          <w:rStyle w:val="FootnoteReference"/>
          <w:sz w:val="20"/>
          <w:szCs w:val="20"/>
        </w:rPr>
        <w:footnoteReference w:id="29"/>
      </w:r>
      <w:r w:rsidRPr="004B51FA">
        <w:rPr>
          <w:sz w:val="20"/>
          <w:szCs w:val="20"/>
        </w:rPr>
        <w:br/>
      </w:r>
      <w:r w:rsidRPr="004B51FA">
        <w:rPr>
          <w:sz w:val="20"/>
          <w:szCs w:val="20"/>
        </w:rPr>
        <w:br/>
        <w:t xml:space="preserve">Influenced by missionary impressions, colonial officials vigorously banned Shona spirit-medium customs </w:t>
      </w:r>
      <w:r w:rsidRPr="004B51FA">
        <w:rPr>
          <w:sz w:val="20"/>
          <w:szCs w:val="20"/>
        </w:rPr>
        <w:lastRenderedPageBreak/>
        <w:t>following 1897, stigmatising spirit rites as "witchcraft" and prohibiting public rituals.</w:t>
      </w:r>
      <w:r w:rsidR="0042508A">
        <w:rPr>
          <w:rStyle w:val="FootnoteReference"/>
          <w:sz w:val="20"/>
          <w:szCs w:val="20"/>
        </w:rPr>
        <w:footnoteReference w:id="30"/>
      </w:r>
      <w:r w:rsidRPr="004B51FA">
        <w:rPr>
          <w:sz w:val="20"/>
          <w:szCs w:val="20"/>
        </w:rPr>
        <w:t xml:space="preserve"> Still, Shona religious life showed resiliency; many converts privately kept traditional beliefs, customs, and visits with spirit mediums. Originally discouraged by missionaries, independent Christian churches</w:t>
      </w:r>
      <w:r>
        <w:rPr>
          <w:sz w:val="20"/>
          <w:szCs w:val="20"/>
        </w:rPr>
        <w:t xml:space="preserve">, </w:t>
      </w:r>
      <w:r w:rsidRPr="004B51FA">
        <w:rPr>
          <w:sz w:val="20"/>
          <w:szCs w:val="20"/>
        </w:rPr>
        <w:t>mostly Apostolic and prophetic groups</w:t>
      </w:r>
      <w:r>
        <w:rPr>
          <w:sz w:val="20"/>
          <w:szCs w:val="20"/>
        </w:rPr>
        <w:t xml:space="preserve">, </w:t>
      </w:r>
      <w:r w:rsidRPr="004B51FA">
        <w:rPr>
          <w:sz w:val="20"/>
          <w:szCs w:val="20"/>
        </w:rPr>
        <w:t>emerged over time mixing Shona tradition with Christianity by include practices like faith healing and ancestor acknowledgement.</w:t>
      </w:r>
      <w:r>
        <w:rPr>
          <w:rStyle w:val="FootnoteReference"/>
          <w:sz w:val="20"/>
          <w:szCs w:val="20"/>
        </w:rPr>
        <w:footnoteReference w:id="31"/>
      </w:r>
      <w:r w:rsidRPr="004B51FA">
        <w:rPr>
          <w:sz w:val="20"/>
          <w:szCs w:val="20"/>
        </w:rPr>
        <w:t xml:space="preserve"> Gradually allowing traditional Shona ideas, mainstream denominations compared Jesus Christ to Mudzimu </w:t>
      </w:r>
      <w:proofErr w:type="spellStart"/>
      <w:r w:rsidRPr="004B51FA">
        <w:rPr>
          <w:sz w:val="20"/>
          <w:szCs w:val="20"/>
        </w:rPr>
        <w:t>Mukuru</w:t>
      </w:r>
      <w:proofErr w:type="spellEnd"/>
      <w:r w:rsidRPr="004B51FA">
        <w:rPr>
          <w:sz w:val="20"/>
          <w:szCs w:val="20"/>
        </w:rPr>
        <w:t xml:space="preserve"> ("the great ancestor spirit"), including local spirituality into Christian teachings.</w:t>
      </w:r>
      <w:r>
        <w:rPr>
          <w:rStyle w:val="FootnoteReference"/>
          <w:sz w:val="20"/>
          <w:szCs w:val="20"/>
        </w:rPr>
        <w:footnoteReference w:id="32"/>
      </w:r>
      <w:r w:rsidRPr="004B51FA">
        <w:rPr>
          <w:sz w:val="20"/>
          <w:szCs w:val="20"/>
        </w:rPr>
        <w:t xml:space="preserve"> Shona traditional customs revived with Zimbabwe's independence in 1980, freely coexisting with Christianity to reflect the ongoing synthesis of indigenous beliefs with missionary Christianity.</w:t>
      </w:r>
    </w:p>
    <w:p w14:paraId="6132AA55" w14:textId="77777777" w:rsidR="00CD6C61" w:rsidRDefault="00CD6C61" w:rsidP="00F6433F">
      <w:pPr>
        <w:spacing w:after="0"/>
        <w:rPr>
          <w:sz w:val="20"/>
          <w:szCs w:val="20"/>
        </w:rPr>
      </w:pPr>
    </w:p>
    <w:p w14:paraId="5D616B0A" w14:textId="6A9A5D13" w:rsidR="00CD6C61" w:rsidRDefault="00CD6C61" w:rsidP="00F6433F">
      <w:pPr>
        <w:spacing w:after="0"/>
        <w:rPr>
          <w:sz w:val="20"/>
          <w:szCs w:val="20"/>
        </w:rPr>
      </w:pPr>
      <w:r w:rsidRPr="00CD6C61">
        <w:rPr>
          <w:sz w:val="20"/>
          <w:szCs w:val="20"/>
        </w:rPr>
        <w:t>Rather than eradicating local faiths in sub-Saharan Africa, Christian missionary effort promoted notable religious syncretism. Yoruba, Akan, Zulu, Igbo, and Shona turn often mixed Christian ideas with well rooted traditional customs. Millions of African Christians, according to historian John Mbiti, kept dual religious identities, ostensibly accepting Christianity while secretly following ancient customs including ancestor veneration and diviner consultation.</w:t>
      </w:r>
      <w:r>
        <w:rPr>
          <w:rStyle w:val="FootnoteReference"/>
          <w:sz w:val="20"/>
          <w:szCs w:val="20"/>
        </w:rPr>
        <w:footnoteReference w:id="33"/>
      </w:r>
      <w:r w:rsidRPr="00CD6C61">
        <w:rPr>
          <w:sz w:val="20"/>
          <w:szCs w:val="20"/>
        </w:rPr>
        <w:t xml:space="preserve"> Among the Igbo of Nigeria, for instance, convert often continued to honour their personal spirit (chi) and ancestors covertly, against missionary restrictions. Akan also often attended church services while quietly engaging in ancestral ceremonies in Ghana.</w:t>
      </w:r>
      <w:r>
        <w:rPr>
          <w:rStyle w:val="FootnoteReference"/>
          <w:sz w:val="20"/>
          <w:szCs w:val="20"/>
        </w:rPr>
        <w:footnoteReference w:id="34"/>
      </w:r>
      <w:r w:rsidRPr="00CD6C61">
        <w:rPr>
          <w:sz w:val="20"/>
          <w:szCs w:val="20"/>
        </w:rPr>
        <w:t xml:space="preserve"> These modifications capture the resiliency of indigenous cosmologies in face of missionary attempts for extinction.</w:t>
      </w:r>
      <w:r w:rsidR="00F6433F">
        <w:rPr>
          <w:sz w:val="20"/>
          <w:szCs w:val="20"/>
        </w:rPr>
        <w:t xml:space="preserve"> </w:t>
      </w:r>
      <w:r w:rsidRPr="00CD6C61">
        <w:rPr>
          <w:sz w:val="20"/>
          <w:szCs w:val="20"/>
        </w:rPr>
        <w:t>Labelling them "superstitious" or "heathen," missionaries regularly sought to eradicate indigenous rites they thought to be incompatible with Christianity. Strong pressure to give up polygamy, ceremonial sacrifices, and ancestral customs drove Yoruba, Igbo, and Zulu away.</w:t>
      </w:r>
      <w:r>
        <w:rPr>
          <w:rStyle w:val="FootnoteReference"/>
          <w:sz w:val="20"/>
          <w:szCs w:val="20"/>
        </w:rPr>
        <w:footnoteReference w:id="35"/>
      </w:r>
      <w:r w:rsidRPr="00CD6C61">
        <w:rPr>
          <w:sz w:val="20"/>
          <w:szCs w:val="20"/>
        </w:rPr>
        <w:t xml:space="preserve"> Still, many of them showed resiliency and subtly preserved these customs. For example, Yoruba Christians surreptitiously engaged in traditional divination and sacrifices </w:t>
      </w:r>
      <w:proofErr w:type="gramStart"/>
      <w:r w:rsidRPr="00CD6C61">
        <w:rPr>
          <w:sz w:val="20"/>
          <w:szCs w:val="20"/>
        </w:rPr>
        <w:t>in spite of</w:t>
      </w:r>
      <w:proofErr w:type="gramEnd"/>
      <w:r w:rsidRPr="00CD6C61">
        <w:rPr>
          <w:sz w:val="20"/>
          <w:szCs w:val="20"/>
        </w:rPr>
        <w:t xml:space="preserve"> public adherence to mission rules. </w:t>
      </w:r>
      <w:r w:rsidRPr="00CD6C61">
        <w:rPr>
          <w:sz w:val="20"/>
          <w:szCs w:val="20"/>
        </w:rPr>
        <w:t>Likewise,</w:t>
      </w:r>
      <w:r w:rsidRPr="00CD6C61">
        <w:rPr>
          <w:sz w:val="20"/>
          <w:szCs w:val="20"/>
        </w:rPr>
        <w:t xml:space="preserve"> among the Zulu, private observances of ancestral rites continued in face of strong missionary opposition.</w:t>
      </w:r>
      <w:r>
        <w:rPr>
          <w:rStyle w:val="FootnoteReference"/>
          <w:sz w:val="20"/>
          <w:szCs w:val="20"/>
        </w:rPr>
        <w:footnoteReference w:id="36"/>
      </w:r>
      <w:r w:rsidRPr="00CD6C61">
        <w:rPr>
          <w:sz w:val="20"/>
          <w:szCs w:val="20"/>
        </w:rPr>
        <w:t xml:space="preserve"> Unique, hybrid religious identities throughout the continent sprang from this conflict between indigenous adaptability and missionary persecution.</w:t>
      </w:r>
      <w:r w:rsidRPr="00CD6C61">
        <w:rPr>
          <w:sz w:val="20"/>
          <w:szCs w:val="20"/>
        </w:rPr>
        <w:br/>
      </w:r>
      <w:r w:rsidRPr="00CD6C61">
        <w:rPr>
          <w:sz w:val="20"/>
          <w:szCs w:val="20"/>
        </w:rPr>
        <w:br/>
        <w:t>Sub-Saharan African missionary activity was closely entwined with colonial power. Historians contend that by means of education and cultural modification, missionaries acted as agents of colonial influence helping to unite colonial control.</w:t>
      </w:r>
      <w:r>
        <w:rPr>
          <w:rStyle w:val="FootnoteReference"/>
          <w:sz w:val="20"/>
          <w:szCs w:val="20"/>
        </w:rPr>
        <w:footnoteReference w:id="37"/>
      </w:r>
      <w:r w:rsidRPr="00CD6C61">
        <w:rPr>
          <w:sz w:val="20"/>
          <w:szCs w:val="20"/>
        </w:rPr>
        <w:t xml:space="preserve"> Mission schools in Yorubaland and Igboland created educated elites vital for colonial administration, hence strengthening colonial systems. Among the Akan, missionary-founded colonies ("Salems"), isolated convert from traditional authorities, therefore undermining main power and supporting colonial government. In southern Africa, too, missions thrived under British colonial protection following armed conquest, as the Zulu context in 1879 makes amply evident.</w:t>
      </w:r>
      <w:r w:rsidR="00F6433F">
        <w:rPr>
          <w:rStyle w:val="FootnoteReference"/>
          <w:sz w:val="20"/>
          <w:szCs w:val="20"/>
        </w:rPr>
        <w:footnoteReference w:id="38"/>
      </w:r>
      <w:r w:rsidRPr="00CD6C61">
        <w:rPr>
          <w:sz w:val="20"/>
          <w:szCs w:val="20"/>
        </w:rPr>
        <w:t xml:space="preserve"> Thus, missionary activity was tightly entwined with the colonial machinery, both helping to ensure European domination and benefitting from it.</w:t>
      </w:r>
      <w:r w:rsidR="00F6433F">
        <w:rPr>
          <w:sz w:val="20"/>
          <w:szCs w:val="20"/>
        </w:rPr>
        <w:t xml:space="preserve"> </w:t>
      </w:r>
      <w:r w:rsidRPr="00CD6C61">
        <w:rPr>
          <w:sz w:val="20"/>
          <w:szCs w:val="20"/>
        </w:rPr>
        <w:t xml:space="preserve">African Independent Churches (AICs) sprang from opposition to missionary conservatism and cultural oppression. Emerging extensively as expressions of indigenous religious action, these movements combined Christian theory with traditional customs. By incorporating local customs such divination and prophetic healing, the Yoruba </w:t>
      </w:r>
      <w:proofErr w:type="spellStart"/>
      <w:r w:rsidRPr="00CD6C61">
        <w:rPr>
          <w:sz w:val="20"/>
          <w:szCs w:val="20"/>
        </w:rPr>
        <w:t>Aladura</w:t>
      </w:r>
      <w:proofErr w:type="spellEnd"/>
      <w:r w:rsidRPr="00CD6C61">
        <w:rPr>
          <w:sz w:val="20"/>
          <w:szCs w:val="20"/>
        </w:rPr>
        <w:t xml:space="preserve"> churches produced a uniquely Yoruba Christianity.</w:t>
      </w:r>
      <w:r w:rsidR="00F6433F">
        <w:rPr>
          <w:rStyle w:val="FootnoteReference"/>
          <w:sz w:val="20"/>
          <w:szCs w:val="20"/>
        </w:rPr>
        <w:footnoteReference w:id="39"/>
      </w:r>
      <w:r w:rsidR="00F6433F">
        <w:rPr>
          <w:sz w:val="20"/>
          <w:szCs w:val="20"/>
        </w:rPr>
        <w:t xml:space="preserve"> </w:t>
      </w:r>
      <w:r w:rsidRPr="00CD6C61">
        <w:rPr>
          <w:sz w:val="20"/>
          <w:szCs w:val="20"/>
        </w:rPr>
        <w:t>(Within a Christian framework, Isaiah Shembe's Nazareth Baptist Church incorporated Zulu traditional customs including polygyny and ancestral rites in Zululand directly challenging missionary orthodoxy.</w:t>
      </w:r>
      <w:r w:rsidR="00F6433F">
        <w:rPr>
          <w:rStyle w:val="FootnoteReference"/>
          <w:sz w:val="20"/>
          <w:szCs w:val="20"/>
        </w:rPr>
        <w:footnoteReference w:id="40"/>
      </w:r>
      <w:r w:rsidRPr="00CD6C61">
        <w:rPr>
          <w:sz w:val="20"/>
          <w:szCs w:val="20"/>
        </w:rPr>
        <w:t xml:space="preserve"> Likewise, Shona Apostolic churches such as those started by Johane </w:t>
      </w:r>
      <w:r w:rsidRPr="00CD6C61">
        <w:rPr>
          <w:sz w:val="20"/>
          <w:szCs w:val="20"/>
        </w:rPr>
        <w:lastRenderedPageBreak/>
        <w:t>Marange included customary ceremonies and prophetic healing, therefore reframing Christianity in culturally relevant terms. These churches showed great indigenous religious inventiveness by giving Africans somewhere where they could preserve their cultural identity with Christian ideas.</w:t>
      </w:r>
      <w:r w:rsidRPr="00CD6C61">
        <w:rPr>
          <w:sz w:val="20"/>
          <w:szCs w:val="20"/>
        </w:rPr>
        <w:br/>
      </w:r>
      <w:r w:rsidRPr="00CD6C61">
        <w:rPr>
          <w:sz w:val="20"/>
          <w:szCs w:val="20"/>
        </w:rPr>
        <w:br/>
        <w:t>Ancestral reverence stayed remarkably strong across sub-Saharan Africa despite fierce missionary condemnation. A pillar of Yoruba, Akan, Zulu, Igbo, and Shona cosmologies, ancestor worship continued subtly and freely inside Christian societies. Among the Zulu, ancestral spirits</w:t>
      </w:r>
      <w:r w:rsidR="00F6433F">
        <w:rPr>
          <w:sz w:val="20"/>
          <w:szCs w:val="20"/>
        </w:rPr>
        <w:t xml:space="preserve">, </w:t>
      </w:r>
      <w:r w:rsidR="00F6433F" w:rsidRPr="00CD6C61">
        <w:rPr>
          <w:sz w:val="20"/>
          <w:szCs w:val="20"/>
        </w:rPr>
        <w:t>Amad Lozi</w:t>
      </w:r>
      <w:r w:rsidR="00F6433F">
        <w:rPr>
          <w:sz w:val="20"/>
          <w:szCs w:val="20"/>
        </w:rPr>
        <w:t xml:space="preserve">, </w:t>
      </w:r>
      <w:r w:rsidRPr="00CD6C61">
        <w:rPr>
          <w:sz w:val="20"/>
          <w:szCs w:val="20"/>
        </w:rPr>
        <w:t>were still worshipped even among fervent Christians.</w:t>
      </w:r>
      <w:r w:rsidR="00F6433F">
        <w:rPr>
          <w:rStyle w:val="FootnoteReference"/>
          <w:sz w:val="20"/>
          <w:szCs w:val="20"/>
        </w:rPr>
        <w:footnoteReference w:id="41"/>
      </w:r>
      <w:r w:rsidRPr="00CD6C61">
        <w:rPr>
          <w:sz w:val="20"/>
          <w:szCs w:val="20"/>
        </w:rPr>
        <w:t xml:space="preserve"> Shona performs typically secret ceremonies involving spirit mediums and ancestral invocation, customs fundamental to their identity in Zimbabwe. Missionary efforts to abolish these rituals usually failed since local cosmologies kept ancestor respect vital and altered but not abandoned. Modern African Christianity incorporates ancestral memorials and cosmological ideas about spiritual intervention, therefore reflecting these ancient cosmologies.</w:t>
      </w:r>
      <w:r w:rsidR="00F6433F">
        <w:rPr>
          <w:rStyle w:val="FootnoteReference"/>
          <w:sz w:val="20"/>
          <w:szCs w:val="20"/>
        </w:rPr>
        <w:footnoteReference w:id="42"/>
      </w:r>
    </w:p>
    <w:p w14:paraId="2F42ACAA" w14:textId="77777777" w:rsidR="00F6433F" w:rsidRDefault="00F6433F" w:rsidP="00F6433F">
      <w:pPr>
        <w:spacing w:after="0"/>
        <w:rPr>
          <w:sz w:val="20"/>
          <w:szCs w:val="20"/>
        </w:rPr>
      </w:pPr>
    </w:p>
    <w:p w14:paraId="13794651" w14:textId="41F49378" w:rsidR="00F6433F" w:rsidRPr="00F6433F" w:rsidRDefault="00F6433F" w:rsidP="00F6433F">
      <w:pPr>
        <w:spacing w:after="0"/>
        <w:rPr>
          <w:sz w:val="20"/>
          <w:szCs w:val="20"/>
        </w:rPr>
      </w:pPr>
      <w:r w:rsidRPr="00F6433F">
        <w:rPr>
          <w:sz w:val="20"/>
          <w:szCs w:val="20"/>
        </w:rPr>
        <w:t>Though rather than destroying indigenous faiths, Christian missionary operations radically changed religious environments across sub-Saharan Africa, leading often to creative adaptations and syncretic forms of spirituality. As Yoruba, Akan, Zulu, Igbo, and Shona groups show, indigenous religious rituals were extremely strong, surviving missionary pressures via adaptation, secrecy, and synthesis. Despite strong efforts at repression, indigenous cosmologies,</w:t>
      </w:r>
      <w:r>
        <w:rPr>
          <w:sz w:val="20"/>
          <w:szCs w:val="20"/>
        </w:rPr>
        <w:t xml:space="preserve"> </w:t>
      </w:r>
      <w:r w:rsidRPr="00F6433F">
        <w:rPr>
          <w:sz w:val="20"/>
          <w:szCs w:val="20"/>
        </w:rPr>
        <w:t>including ancestor veneration, divination, and spirit mediumship, persisted. Though meant for conversion, missionary techniques including Bible translations into local languages and the founding of educational institutions inadvertently helped to indigenise Christianity, therefore affirming and protecting aspects of African cultural identity. Political entanglements with colonial power further complicated missionary activities, thereby supporting colonial authority and creating cultural opposition. African Independent Churches, groups that clearly combined Christian teachings with traditional rituals to affirm local agency and spiritual sovereignty, were inspired in great part by this interplay. Scholars like John S. Mbiti and Lamin Sanneh stress these complicated results, stressing both the transforming but dubious legacy of missionary influence and the ongoing vitality of traditional beliefs. The narrative of missionary activity in sub-Saharan Africa is ultimately one of religious continuity within change, resiliency against suppression, and creative reaction to cultural and spiritual disturbance. Rather than offering a simple replacement for indigenous faiths, missionary work sparked dynamic religious plurality and continuous interaction between the local and global, tradition and innovation, resistance and adaptation. Today, the persistent presence of syncretic Christianity across Africa testates to the depth and flexibility of indigenous spiritual legacy, illustrating the complex ways African societies profoundly changed Christianity as well as themselves.</w:t>
      </w:r>
    </w:p>
    <w:p w14:paraId="2D51552D" w14:textId="77777777" w:rsidR="00F6433F" w:rsidRDefault="00F6433F" w:rsidP="00CD6C61">
      <w:pPr>
        <w:rPr>
          <w:sz w:val="20"/>
          <w:szCs w:val="20"/>
        </w:rPr>
      </w:pPr>
    </w:p>
    <w:p w14:paraId="4C09B81E" w14:textId="77777777" w:rsidR="00F6433F" w:rsidRPr="00CD6C61" w:rsidRDefault="00F6433F" w:rsidP="00CD6C61">
      <w:pPr>
        <w:rPr>
          <w:sz w:val="20"/>
          <w:szCs w:val="20"/>
        </w:rPr>
      </w:pPr>
    </w:p>
    <w:p w14:paraId="7F6FB373" w14:textId="77777777" w:rsidR="00CD6C61" w:rsidRPr="004B51FA" w:rsidRDefault="00CD6C61" w:rsidP="004B51FA">
      <w:pPr>
        <w:rPr>
          <w:sz w:val="20"/>
          <w:szCs w:val="20"/>
        </w:rPr>
      </w:pPr>
    </w:p>
    <w:p w14:paraId="3A48CA0D" w14:textId="77777777" w:rsidR="004B51FA" w:rsidRDefault="004B51FA" w:rsidP="004B51FA">
      <w:pPr>
        <w:rPr>
          <w:sz w:val="20"/>
          <w:szCs w:val="20"/>
        </w:rPr>
      </w:pPr>
    </w:p>
    <w:p w14:paraId="22AEEDB8" w14:textId="77777777" w:rsidR="004B51FA" w:rsidRDefault="004B51FA" w:rsidP="004B51FA">
      <w:pPr>
        <w:rPr>
          <w:sz w:val="20"/>
          <w:szCs w:val="20"/>
        </w:rPr>
      </w:pPr>
    </w:p>
    <w:p w14:paraId="2A4C71F9" w14:textId="77777777" w:rsidR="004B51FA" w:rsidRPr="004B51FA" w:rsidRDefault="004B51FA" w:rsidP="004B51FA">
      <w:pPr>
        <w:rPr>
          <w:sz w:val="20"/>
          <w:szCs w:val="20"/>
        </w:rPr>
      </w:pPr>
    </w:p>
    <w:p w14:paraId="0ACEDD55" w14:textId="77777777" w:rsidR="004B51FA" w:rsidRPr="00762AD7" w:rsidRDefault="004B51FA" w:rsidP="00762AD7">
      <w:pPr>
        <w:rPr>
          <w:sz w:val="20"/>
          <w:szCs w:val="20"/>
        </w:rPr>
      </w:pPr>
    </w:p>
    <w:p w14:paraId="1BE3A3D1" w14:textId="77777777" w:rsidR="00762AD7" w:rsidRPr="007910BD" w:rsidRDefault="00762AD7" w:rsidP="007910BD">
      <w:pPr>
        <w:rPr>
          <w:sz w:val="20"/>
          <w:szCs w:val="20"/>
        </w:rPr>
      </w:pPr>
    </w:p>
    <w:p w14:paraId="7B584D5F" w14:textId="77777777" w:rsidR="007910BD" w:rsidRPr="00F341AE" w:rsidRDefault="007910BD" w:rsidP="00F341AE">
      <w:pPr>
        <w:rPr>
          <w:sz w:val="20"/>
          <w:szCs w:val="20"/>
        </w:rPr>
      </w:pPr>
    </w:p>
    <w:p w14:paraId="649C3602" w14:textId="77777777" w:rsidR="00B85231" w:rsidRDefault="00B85231" w:rsidP="00B85231">
      <w:pPr>
        <w:rPr>
          <w:sz w:val="20"/>
          <w:szCs w:val="20"/>
        </w:rPr>
      </w:pPr>
    </w:p>
    <w:p w14:paraId="03BD8A8D" w14:textId="6E7939B7" w:rsidR="00B85231" w:rsidRPr="00B85231" w:rsidRDefault="00B85231" w:rsidP="00B85231">
      <w:pPr>
        <w:rPr>
          <w:u w:val="single"/>
        </w:rPr>
      </w:pPr>
      <w:r w:rsidRPr="00B85231">
        <w:rPr>
          <w:u w:val="single"/>
        </w:rPr>
        <w:lastRenderedPageBreak/>
        <w:t>Bibliography</w:t>
      </w:r>
    </w:p>
    <w:p w14:paraId="5257AEC8" w14:textId="77777777" w:rsidR="00B85231" w:rsidRDefault="00B85231" w:rsidP="00B85231">
      <w:pPr>
        <w:rPr>
          <w:sz w:val="20"/>
          <w:szCs w:val="20"/>
        </w:rPr>
      </w:pPr>
    </w:p>
    <w:p w14:paraId="63CB3DEA" w14:textId="03B263D2" w:rsidR="00B85231" w:rsidRPr="00B85231" w:rsidRDefault="00B85231" w:rsidP="00B85231">
      <w:pPr>
        <w:rPr>
          <w:sz w:val="20"/>
          <w:szCs w:val="20"/>
        </w:rPr>
      </w:pPr>
      <w:r w:rsidRPr="00B85231">
        <w:rPr>
          <w:sz w:val="20"/>
          <w:szCs w:val="20"/>
        </w:rPr>
        <w:t>Busia, Kofi A.</w:t>
      </w:r>
      <w:r w:rsidR="00460F41">
        <w:rPr>
          <w:sz w:val="20"/>
          <w:szCs w:val="20"/>
        </w:rPr>
        <w:t xml:space="preserve"> 1951</w:t>
      </w:r>
      <w:r w:rsidRPr="00B85231">
        <w:rPr>
          <w:sz w:val="20"/>
          <w:szCs w:val="20"/>
        </w:rPr>
        <w:br/>
      </w:r>
      <w:r w:rsidRPr="00B85231">
        <w:rPr>
          <w:i/>
          <w:iCs/>
          <w:sz w:val="20"/>
          <w:szCs w:val="20"/>
        </w:rPr>
        <w:t>The Position of the Chief in the Modern Political System of Ashanti.</w:t>
      </w:r>
      <w:r w:rsidRPr="00B85231">
        <w:rPr>
          <w:sz w:val="20"/>
          <w:szCs w:val="20"/>
        </w:rPr>
        <w:t xml:space="preserve"> London: Oxford University Press</w:t>
      </w:r>
    </w:p>
    <w:p w14:paraId="07132AC7" w14:textId="6B4791AC" w:rsidR="00B85231" w:rsidRPr="00B85231" w:rsidRDefault="00B85231" w:rsidP="00B85231">
      <w:pPr>
        <w:rPr>
          <w:sz w:val="20"/>
          <w:szCs w:val="20"/>
        </w:rPr>
      </w:pPr>
      <w:r w:rsidRPr="00B85231">
        <w:rPr>
          <w:sz w:val="20"/>
          <w:szCs w:val="20"/>
        </w:rPr>
        <w:t>Engelke, Matthew.</w:t>
      </w:r>
      <w:r w:rsidR="00460F41">
        <w:rPr>
          <w:sz w:val="20"/>
          <w:szCs w:val="20"/>
        </w:rPr>
        <w:t xml:space="preserve"> 2007</w:t>
      </w:r>
      <w:r w:rsidRPr="00B85231">
        <w:rPr>
          <w:sz w:val="20"/>
          <w:szCs w:val="20"/>
        </w:rPr>
        <w:br/>
      </w:r>
      <w:r w:rsidRPr="00B85231">
        <w:rPr>
          <w:i/>
          <w:iCs/>
          <w:sz w:val="20"/>
          <w:szCs w:val="20"/>
        </w:rPr>
        <w:t>A Problem of Presence: Beyond Scripture in an African Church.</w:t>
      </w:r>
      <w:r w:rsidRPr="00B85231">
        <w:rPr>
          <w:sz w:val="20"/>
          <w:szCs w:val="20"/>
        </w:rPr>
        <w:t xml:space="preserve"> Berkeley: University of California Press</w:t>
      </w:r>
    </w:p>
    <w:p w14:paraId="055CD5EF" w14:textId="1387FDCC" w:rsidR="00B85231" w:rsidRPr="00B85231" w:rsidRDefault="00B85231" w:rsidP="00B85231">
      <w:pPr>
        <w:rPr>
          <w:sz w:val="20"/>
          <w:szCs w:val="20"/>
        </w:rPr>
      </w:pPr>
      <w:r w:rsidRPr="00B85231">
        <w:rPr>
          <w:sz w:val="20"/>
          <w:szCs w:val="20"/>
        </w:rPr>
        <w:t>Falola, Toyin.</w:t>
      </w:r>
      <w:r w:rsidR="00460F41">
        <w:rPr>
          <w:sz w:val="20"/>
          <w:szCs w:val="20"/>
        </w:rPr>
        <w:t xml:space="preserve"> 2005.</w:t>
      </w:r>
      <w:r w:rsidRPr="00B85231">
        <w:rPr>
          <w:sz w:val="20"/>
          <w:szCs w:val="20"/>
        </w:rPr>
        <w:br/>
      </w:r>
      <w:r w:rsidRPr="00B85231">
        <w:rPr>
          <w:i/>
          <w:iCs/>
          <w:sz w:val="20"/>
          <w:szCs w:val="20"/>
        </w:rPr>
        <w:t>Igbo Religion: Social Life and Other Essays.</w:t>
      </w:r>
      <w:r w:rsidRPr="00B85231">
        <w:rPr>
          <w:sz w:val="20"/>
          <w:szCs w:val="20"/>
        </w:rPr>
        <w:t xml:space="preserve"> Trenton, NJ: Africa World Press</w:t>
      </w:r>
    </w:p>
    <w:p w14:paraId="5587E9CB" w14:textId="01D4E28D" w:rsidR="00B85231" w:rsidRPr="00B85231" w:rsidRDefault="00B85231" w:rsidP="00B85231">
      <w:pPr>
        <w:rPr>
          <w:sz w:val="20"/>
          <w:szCs w:val="20"/>
        </w:rPr>
      </w:pPr>
      <w:r w:rsidRPr="00B85231">
        <w:rPr>
          <w:sz w:val="20"/>
          <w:szCs w:val="20"/>
        </w:rPr>
        <w:t>Hexham, Irving.</w:t>
      </w:r>
      <w:r w:rsidR="00460F41">
        <w:rPr>
          <w:sz w:val="20"/>
          <w:szCs w:val="20"/>
        </w:rPr>
        <w:t xml:space="preserve"> 1981</w:t>
      </w:r>
      <w:r w:rsidRPr="00B85231">
        <w:rPr>
          <w:sz w:val="20"/>
          <w:szCs w:val="20"/>
        </w:rPr>
        <w:br/>
      </w:r>
      <w:r w:rsidRPr="00B85231">
        <w:rPr>
          <w:i/>
          <w:iCs/>
          <w:sz w:val="20"/>
          <w:szCs w:val="20"/>
        </w:rPr>
        <w:t xml:space="preserve">The Scriptures of the </w:t>
      </w:r>
      <w:proofErr w:type="spellStart"/>
      <w:r w:rsidRPr="00B85231">
        <w:rPr>
          <w:i/>
          <w:iCs/>
          <w:sz w:val="20"/>
          <w:szCs w:val="20"/>
        </w:rPr>
        <w:t>AmaNazaretha</w:t>
      </w:r>
      <w:proofErr w:type="spellEnd"/>
      <w:r w:rsidRPr="00B85231">
        <w:rPr>
          <w:i/>
          <w:iCs/>
          <w:sz w:val="20"/>
          <w:szCs w:val="20"/>
        </w:rPr>
        <w:t xml:space="preserve"> of </w:t>
      </w:r>
      <w:proofErr w:type="spellStart"/>
      <w:r w:rsidRPr="00B85231">
        <w:rPr>
          <w:i/>
          <w:iCs/>
          <w:sz w:val="20"/>
          <w:szCs w:val="20"/>
        </w:rPr>
        <w:t>Ekuphakameni</w:t>
      </w:r>
      <w:proofErr w:type="spellEnd"/>
      <w:r w:rsidRPr="00B85231">
        <w:rPr>
          <w:i/>
          <w:iCs/>
          <w:sz w:val="20"/>
          <w:szCs w:val="20"/>
        </w:rPr>
        <w:t>: An Introduction.</w:t>
      </w:r>
      <w:r w:rsidRPr="00B85231">
        <w:rPr>
          <w:sz w:val="20"/>
          <w:szCs w:val="20"/>
        </w:rPr>
        <w:t xml:space="preserve"> Calgary: University of Calgary Press</w:t>
      </w:r>
    </w:p>
    <w:p w14:paraId="5A2104E2" w14:textId="5799B2D0" w:rsidR="00B85231" w:rsidRPr="00B85231" w:rsidRDefault="00B85231" w:rsidP="00B85231">
      <w:pPr>
        <w:rPr>
          <w:sz w:val="20"/>
          <w:szCs w:val="20"/>
        </w:rPr>
      </w:pPr>
      <w:r w:rsidRPr="00B85231">
        <w:rPr>
          <w:sz w:val="20"/>
          <w:szCs w:val="20"/>
        </w:rPr>
        <w:t>Isichei, Elizabeth.</w:t>
      </w:r>
      <w:r w:rsidR="00460F41">
        <w:rPr>
          <w:sz w:val="20"/>
          <w:szCs w:val="20"/>
        </w:rPr>
        <w:t xml:space="preserve"> 1976</w:t>
      </w:r>
      <w:r w:rsidRPr="00B85231">
        <w:rPr>
          <w:sz w:val="20"/>
          <w:szCs w:val="20"/>
        </w:rPr>
        <w:br/>
      </w:r>
      <w:r w:rsidRPr="00B85231">
        <w:rPr>
          <w:i/>
          <w:iCs/>
          <w:sz w:val="20"/>
          <w:szCs w:val="20"/>
        </w:rPr>
        <w:t>A History of the Igbo People.</w:t>
      </w:r>
      <w:r w:rsidRPr="00B85231">
        <w:rPr>
          <w:sz w:val="20"/>
          <w:szCs w:val="20"/>
        </w:rPr>
        <w:t xml:space="preserve"> London: Macmillan</w:t>
      </w:r>
      <w:r w:rsidR="00460F41">
        <w:rPr>
          <w:sz w:val="20"/>
          <w:szCs w:val="20"/>
        </w:rPr>
        <w:t>.</w:t>
      </w:r>
    </w:p>
    <w:p w14:paraId="3FC540C5" w14:textId="355E6A53" w:rsidR="00B85231" w:rsidRPr="00B85231" w:rsidRDefault="00B85231" w:rsidP="00B85231">
      <w:pPr>
        <w:rPr>
          <w:sz w:val="20"/>
          <w:szCs w:val="20"/>
        </w:rPr>
      </w:pPr>
      <w:r w:rsidRPr="00B85231">
        <w:rPr>
          <w:sz w:val="20"/>
          <w:szCs w:val="20"/>
        </w:rPr>
        <w:t>Maxwell, David.</w:t>
      </w:r>
      <w:r w:rsidR="00460F41">
        <w:rPr>
          <w:sz w:val="20"/>
          <w:szCs w:val="20"/>
        </w:rPr>
        <w:t xml:space="preserve"> 1999.</w:t>
      </w:r>
      <w:r w:rsidRPr="00B85231">
        <w:rPr>
          <w:sz w:val="20"/>
          <w:szCs w:val="20"/>
        </w:rPr>
        <w:br/>
      </w:r>
      <w:r w:rsidRPr="00B85231">
        <w:rPr>
          <w:i/>
          <w:iCs/>
          <w:sz w:val="20"/>
          <w:szCs w:val="20"/>
        </w:rPr>
        <w:t xml:space="preserve">Christians and Chiefs in Zimbabwe: A Social History of the </w:t>
      </w:r>
      <w:proofErr w:type="spellStart"/>
      <w:r w:rsidRPr="00B85231">
        <w:rPr>
          <w:i/>
          <w:iCs/>
          <w:sz w:val="20"/>
          <w:szCs w:val="20"/>
        </w:rPr>
        <w:t>Hwesa</w:t>
      </w:r>
      <w:proofErr w:type="spellEnd"/>
      <w:r w:rsidRPr="00B85231">
        <w:rPr>
          <w:i/>
          <w:iCs/>
          <w:sz w:val="20"/>
          <w:szCs w:val="20"/>
        </w:rPr>
        <w:t xml:space="preserve"> People, c.1870s–1990s.</w:t>
      </w:r>
      <w:r w:rsidRPr="00B85231">
        <w:rPr>
          <w:sz w:val="20"/>
          <w:szCs w:val="20"/>
        </w:rPr>
        <w:t xml:space="preserve"> Edinburgh: Edinburgh University Press,</w:t>
      </w:r>
    </w:p>
    <w:p w14:paraId="0D52AA46" w14:textId="68BF5F14" w:rsidR="00B85231" w:rsidRPr="00B85231" w:rsidRDefault="00B85231" w:rsidP="00B85231">
      <w:pPr>
        <w:rPr>
          <w:sz w:val="20"/>
          <w:szCs w:val="20"/>
        </w:rPr>
      </w:pPr>
      <w:r w:rsidRPr="00B85231">
        <w:rPr>
          <w:sz w:val="20"/>
          <w:szCs w:val="20"/>
        </w:rPr>
        <w:t>Mbiti, John S.</w:t>
      </w:r>
      <w:r w:rsidR="00460F41">
        <w:rPr>
          <w:sz w:val="20"/>
          <w:szCs w:val="20"/>
        </w:rPr>
        <w:t xml:space="preserve"> 1990. </w:t>
      </w:r>
      <w:r w:rsidRPr="00B85231">
        <w:rPr>
          <w:sz w:val="20"/>
          <w:szCs w:val="20"/>
        </w:rPr>
        <w:br/>
      </w:r>
      <w:r w:rsidRPr="00B85231">
        <w:rPr>
          <w:i/>
          <w:iCs/>
          <w:sz w:val="20"/>
          <w:szCs w:val="20"/>
        </w:rPr>
        <w:t>African Religions and Philosophy</w:t>
      </w:r>
      <w:r w:rsidRPr="00B85231">
        <w:rPr>
          <w:sz w:val="20"/>
          <w:szCs w:val="20"/>
        </w:rPr>
        <w:t>, 2nd ed. Oxford: Heinemann</w:t>
      </w:r>
    </w:p>
    <w:p w14:paraId="375AF7B4" w14:textId="0B59D16E" w:rsidR="00B85231" w:rsidRPr="00B85231" w:rsidRDefault="00B85231" w:rsidP="00B85231">
      <w:pPr>
        <w:rPr>
          <w:sz w:val="20"/>
          <w:szCs w:val="20"/>
        </w:rPr>
      </w:pPr>
      <w:r w:rsidRPr="00B85231">
        <w:rPr>
          <w:sz w:val="20"/>
          <w:szCs w:val="20"/>
        </w:rPr>
        <w:t>Ojo, Matthews A.</w:t>
      </w:r>
      <w:r w:rsidR="00460F41">
        <w:rPr>
          <w:sz w:val="20"/>
          <w:szCs w:val="20"/>
        </w:rPr>
        <w:t xml:space="preserve"> 2006</w:t>
      </w:r>
      <w:r w:rsidRPr="00B85231">
        <w:rPr>
          <w:sz w:val="20"/>
          <w:szCs w:val="20"/>
        </w:rPr>
        <w:br/>
      </w:r>
      <w:r w:rsidRPr="00B85231">
        <w:rPr>
          <w:i/>
          <w:iCs/>
          <w:sz w:val="20"/>
          <w:szCs w:val="20"/>
        </w:rPr>
        <w:t>The End-Time Army: Charismatic Movements in Modern Nigeria.</w:t>
      </w:r>
      <w:r w:rsidRPr="00B85231">
        <w:rPr>
          <w:sz w:val="20"/>
          <w:szCs w:val="20"/>
        </w:rPr>
        <w:t xml:space="preserve"> Trenton, NJ: Africa World Press</w:t>
      </w:r>
      <w:r w:rsidR="00460F41">
        <w:rPr>
          <w:sz w:val="20"/>
          <w:szCs w:val="20"/>
        </w:rPr>
        <w:t>.</w:t>
      </w:r>
    </w:p>
    <w:p w14:paraId="37DD77AD" w14:textId="40ED5BB8" w:rsidR="00B85231" w:rsidRPr="00B85231" w:rsidRDefault="00B85231" w:rsidP="00B85231">
      <w:pPr>
        <w:rPr>
          <w:sz w:val="20"/>
          <w:szCs w:val="20"/>
        </w:rPr>
      </w:pPr>
      <w:r w:rsidRPr="00B85231">
        <w:rPr>
          <w:sz w:val="20"/>
          <w:szCs w:val="20"/>
        </w:rPr>
        <w:t>Peel, J.D.Y.</w:t>
      </w:r>
      <w:r w:rsidR="00460F41">
        <w:rPr>
          <w:sz w:val="20"/>
          <w:szCs w:val="20"/>
        </w:rPr>
        <w:t xml:space="preserve"> 2000</w:t>
      </w:r>
      <w:r w:rsidRPr="00B85231">
        <w:rPr>
          <w:sz w:val="20"/>
          <w:szCs w:val="20"/>
        </w:rPr>
        <w:br/>
      </w:r>
      <w:r w:rsidRPr="00B85231">
        <w:rPr>
          <w:i/>
          <w:iCs/>
          <w:sz w:val="20"/>
          <w:szCs w:val="20"/>
        </w:rPr>
        <w:t>Religious Encounter and the Making of the Yoruba.</w:t>
      </w:r>
      <w:r w:rsidRPr="00B85231">
        <w:rPr>
          <w:sz w:val="20"/>
          <w:szCs w:val="20"/>
        </w:rPr>
        <w:t xml:space="preserve"> Bloomington: Indiana University Press</w:t>
      </w:r>
      <w:r w:rsidR="00460F41">
        <w:rPr>
          <w:sz w:val="20"/>
          <w:szCs w:val="20"/>
        </w:rPr>
        <w:t>.</w:t>
      </w:r>
    </w:p>
    <w:p w14:paraId="46450608" w14:textId="383ADB7B" w:rsidR="00B85231" w:rsidRPr="00B85231" w:rsidRDefault="00B85231" w:rsidP="00B85231">
      <w:pPr>
        <w:rPr>
          <w:sz w:val="20"/>
          <w:szCs w:val="20"/>
        </w:rPr>
      </w:pPr>
      <w:r w:rsidRPr="00B85231">
        <w:rPr>
          <w:sz w:val="20"/>
          <w:szCs w:val="20"/>
        </w:rPr>
        <w:t>Ranger, Terence.</w:t>
      </w:r>
      <w:r w:rsidR="00460F41">
        <w:rPr>
          <w:sz w:val="20"/>
          <w:szCs w:val="20"/>
        </w:rPr>
        <w:t xml:space="preserve"> 1967</w:t>
      </w:r>
      <w:r w:rsidRPr="00B85231">
        <w:rPr>
          <w:sz w:val="20"/>
          <w:szCs w:val="20"/>
        </w:rPr>
        <w:br/>
      </w:r>
      <w:r w:rsidRPr="00B85231">
        <w:rPr>
          <w:i/>
          <w:iCs/>
          <w:sz w:val="20"/>
          <w:szCs w:val="20"/>
        </w:rPr>
        <w:t>Revolt in Southern Rhodesia, 1896-7: A Study in African Resistance.</w:t>
      </w:r>
      <w:r w:rsidRPr="00B85231">
        <w:rPr>
          <w:sz w:val="20"/>
          <w:szCs w:val="20"/>
        </w:rPr>
        <w:t xml:space="preserve"> Evanston: Northwestern University Press</w:t>
      </w:r>
    </w:p>
    <w:p w14:paraId="6105471B" w14:textId="460D9AD2" w:rsidR="00B85231" w:rsidRPr="00B85231" w:rsidRDefault="00B85231" w:rsidP="00B85231">
      <w:pPr>
        <w:rPr>
          <w:sz w:val="20"/>
          <w:szCs w:val="20"/>
        </w:rPr>
      </w:pPr>
      <w:r w:rsidRPr="00B85231">
        <w:rPr>
          <w:sz w:val="20"/>
          <w:szCs w:val="20"/>
        </w:rPr>
        <w:t>Rodney, Walter.</w:t>
      </w:r>
      <w:r w:rsidR="00460F41">
        <w:rPr>
          <w:sz w:val="20"/>
          <w:szCs w:val="20"/>
        </w:rPr>
        <w:t xml:space="preserve"> 1972</w:t>
      </w:r>
      <w:r w:rsidRPr="00B85231">
        <w:rPr>
          <w:sz w:val="20"/>
          <w:szCs w:val="20"/>
        </w:rPr>
        <w:br/>
      </w:r>
      <w:r w:rsidRPr="00B85231">
        <w:rPr>
          <w:i/>
          <w:iCs/>
          <w:sz w:val="20"/>
          <w:szCs w:val="20"/>
        </w:rPr>
        <w:t>How Europe Underdeveloped Africa.</w:t>
      </w:r>
      <w:r w:rsidRPr="00B85231">
        <w:rPr>
          <w:sz w:val="20"/>
          <w:szCs w:val="20"/>
        </w:rPr>
        <w:t xml:space="preserve"> London: Bogle-L'Ouverture Publications</w:t>
      </w:r>
    </w:p>
    <w:p w14:paraId="2285CDB9" w14:textId="6830518E" w:rsidR="00B85231" w:rsidRPr="00B85231" w:rsidRDefault="00B85231" w:rsidP="00B85231">
      <w:pPr>
        <w:rPr>
          <w:sz w:val="20"/>
          <w:szCs w:val="20"/>
        </w:rPr>
      </w:pPr>
      <w:r w:rsidRPr="00B85231">
        <w:rPr>
          <w:sz w:val="20"/>
          <w:szCs w:val="20"/>
        </w:rPr>
        <w:t>Sanneh, Lamin.</w:t>
      </w:r>
      <w:r w:rsidR="00460F41">
        <w:rPr>
          <w:sz w:val="20"/>
          <w:szCs w:val="20"/>
        </w:rPr>
        <w:t xml:space="preserve"> 1989</w:t>
      </w:r>
      <w:r w:rsidRPr="00B85231">
        <w:rPr>
          <w:sz w:val="20"/>
          <w:szCs w:val="20"/>
        </w:rPr>
        <w:br/>
      </w:r>
      <w:r w:rsidRPr="00B85231">
        <w:rPr>
          <w:i/>
          <w:iCs/>
          <w:sz w:val="20"/>
          <w:szCs w:val="20"/>
        </w:rPr>
        <w:t>Translating the Message: The Missionary Impact on Culture.</w:t>
      </w:r>
      <w:r w:rsidRPr="00B85231">
        <w:rPr>
          <w:sz w:val="20"/>
          <w:szCs w:val="20"/>
        </w:rPr>
        <w:t xml:space="preserve"> Maryknoll, NY: Orbis Books</w:t>
      </w:r>
    </w:p>
    <w:p w14:paraId="0231EFCD" w14:textId="7842D20B" w:rsidR="00B85231" w:rsidRPr="00B85231" w:rsidRDefault="00B85231" w:rsidP="00B85231">
      <w:pPr>
        <w:rPr>
          <w:sz w:val="20"/>
          <w:szCs w:val="20"/>
        </w:rPr>
      </w:pPr>
      <w:r w:rsidRPr="00B85231">
        <w:rPr>
          <w:sz w:val="20"/>
          <w:szCs w:val="20"/>
        </w:rPr>
        <w:t>Williamson, S.G.</w:t>
      </w:r>
      <w:r w:rsidR="00460F41">
        <w:rPr>
          <w:sz w:val="20"/>
          <w:szCs w:val="20"/>
        </w:rPr>
        <w:t xml:space="preserve"> 1965</w:t>
      </w:r>
      <w:r w:rsidRPr="00B85231">
        <w:rPr>
          <w:sz w:val="20"/>
          <w:szCs w:val="20"/>
        </w:rPr>
        <w:br/>
      </w:r>
      <w:r w:rsidRPr="00B85231">
        <w:rPr>
          <w:i/>
          <w:iCs/>
          <w:sz w:val="20"/>
          <w:szCs w:val="20"/>
        </w:rPr>
        <w:t>Akan Religion and the Christian Faith: A Comparative Study of the Impact of Two Religions.</w:t>
      </w:r>
      <w:r w:rsidRPr="00B85231">
        <w:rPr>
          <w:sz w:val="20"/>
          <w:szCs w:val="20"/>
        </w:rPr>
        <w:t xml:space="preserve"> Accra: Ghana Universities Press</w:t>
      </w:r>
      <w:r w:rsidR="00460F41">
        <w:rPr>
          <w:sz w:val="20"/>
          <w:szCs w:val="20"/>
        </w:rPr>
        <w:t>.</w:t>
      </w:r>
    </w:p>
    <w:p w14:paraId="6F5810C0" w14:textId="77777777" w:rsidR="00F341AE" w:rsidRPr="00B85231" w:rsidRDefault="00F341AE" w:rsidP="00F341AE">
      <w:pPr>
        <w:rPr>
          <w:sz w:val="20"/>
          <w:szCs w:val="20"/>
        </w:rPr>
      </w:pPr>
    </w:p>
    <w:sectPr w:rsidR="00F341AE" w:rsidRPr="00B852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66F1E" w14:textId="77777777" w:rsidR="00F341AE" w:rsidRDefault="00F341AE" w:rsidP="00F341AE">
      <w:pPr>
        <w:spacing w:after="0" w:line="240" w:lineRule="auto"/>
      </w:pPr>
      <w:r>
        <w:separator/>
      </w:r>
    </w:p>
  </w:endnote>
  <w:endnote w:type="continuationSeparator" w:id="0">
    <w:p w14:paraId="2F37B134" w14:textId="77777777" w:rsidR="00F341AE" w:rsidRDefault="00F341AE" w:rsidP="00F34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9ACF1" w14:textId="77777777" w:rsidR="00F341AE" w:rsidRDefault="00F341AE" w:rsidP="00F341AE">
      <w:pPr>
        <w:spacing w:after="0" w:line="240" w:lineRule="auto"/>
      </w:pPr>
      <w:r>
        <w:separator/>
      </w:r>
    </w:p>
  </w:footnote>
  <w:footnote w:type="continuationSeparator" w:id="0">
    <w:p w14:paraId="38B12B14" w14:textId="77777777" w:rsidR="00F341AE" w:rsidRDefault="00F341AE" w:rsidP="00F341AE">
      <w:pPr>
        <w:spacing w:after="0" w:line="240" w:lineRule="auto"/>
      </w:pPr>
      <w:r>
        <w:continuationSeparator/>
      </w:r>
    </w:p>
  </w:footnote>
  <w:footnote w:id="1">
    <w:p w14:paraId="054B8A9C" w14:textId="394C42D4" w:rsidR="00F341AE" w:rsidRPr="007910BD" w:rsidRDefault="00F341AE">
      <w:pPr>
        <w:pStyle w:val="FootnoteText"/>
        <w:rPr>
          <w:sz w:val="18"/>
          <w:szCs w:val="18"/>
        </w:rPr>
      </w:pPr>
      <w:r w:rsidRPr="007910BD">
        <w:rPr>
          <w:rStyle w:val="FootnoteReference"/>
          <w:sz w:val="18"/>
          <w:szCs w:val="18"/>
        </w:rPr>
        <w:footnoteRef/>
      </w:r>
      <w:r w:rsidRPr="007910BD">
        <w:rPr>
          <w:sz w:val="18"/>
          <w:szCs w:val="18"/>
        </w:rPr>
        <w:t xml:space="preserve"> </w:t>
      </w:r>
      <w:r w:rsidR="007910BD" w:rsidRPr="007910BD">
        <w:rPr>
          <w:sz w:val="18"/>
          <w:szCs w:val="18"/>
        </w:rPr>
        <w:t xml:space="preserve">John S. Mbiti, </w:t>
      </w:r>
      <w:r w:rsidR="007910BD" w:rsidRPr="007910BD">
        <w:rPr>
          <w:i/>
          <w:iCs/>
          <w:sz w:val="18"/>
          <w:szCs w:val="18"/>
        </w:rPr>
        <w:t>African Religions and Philosophy</w:t>
      </w:r>
      <w:r w:rsidR="007910BD" w:rsidRPr="007910BD">
        <w:rPr>
          <w:sz w:val="18"/>
          <w:szCs w:val="18"/>
        </w:rPr>
        <w:t>, pp. 128–136.</w:t>
      </w:r>
    </w:p>
  </w:footnote>
  <w:footnote w:id="2">
    <w:p w14:paraId="0DD6150E" w14:textId="3C8D401F" w:rsidR="00F341AE" w:rsidRPr="007910BD" w:rsidRDefault="00F341AE">
      <w:pPr>
        <w:pStyle w:val="FootnoteText"/>
        <w:rPr>
          <w:sz w:val="18"/>
          <w:szCs w:val="18"/>
        </w:rPr>
      </w:pPr>
      <w:r w:rsidRPr="007910BD">
        <w:rPr>
          <w:rStyle w:val="FootnoteReference"/>
          <w:sz w:val="18"/>
          <w:szCs w:val="18"/>
        </w:rPr>
        <w:footnoteRef/>
      </w:r>
      <w:r w:rsidRPr="007910BD">
        <w:rPr>
          <w:sz w:val="18"/>
          <w:szCs w:val="18"/>
        </w:rPr>
        <w:t xml:space="preserve"> </w:t>
      </w:r>
      <w:r w:rsidR="007910BD" w:rsidRPr="007910BD">
        <w:rPr>
          <w:sz w:val="18"/>
          <w:szCs w:val="18"/>
        </w:rPr>
        <w:t xml:space="preserve">Lamin Sanneh, </w:t>
      </w:r>
      <w:r w:rsidR="007910BD" w:rsidRPr="007910BD">
        <w:rPr>
          <w:i/>
          <w:iCs/>
          <w:sz w:val="18"/>
          <w:szCs w:val="18"/>
        </w:rPr>
        <w:t>Translating the Message: The Missionary Impact on Culture</w:t>
      </w:r>
      <w:r w:rsidR="007910BD" w:rsidRPr="007910BD">
        <w:rPr>
          <w:sz w:val="18"/>
          <w:szCs w:val="18"/>
        </w:rPr>
        <w:t>, pp. 171–179.</w:t>
      </w:r>
    </w:p>
  </w:footnote>
  <w:footnote w:id="3">
    <w:p w14:paraId="3AA57828" w14:textId="4141DF58" w:rsidR="007910BD" w:rsidRPr="007910BD" w:rsidRDefault="007910BD">
      <w:pPr>
        <w:pStyle w:val="FootnoteText"/>
        <w:rPr>
          <w:sz w:val="18"/>
          <w:szCs w:val="18"/>
        </w:rPr>
      </w:pPr>
      <w:r w:rsidRPr="007910BD">
        <w:rPr>
          <w:rStyle w:val="FootnoteReference"/>
          <w:sz w:val="18"/>
          <w:szCs w:val="18"/>
        </w:rPr>
        <w:footnoteRef/>
      </w:r>
      <w:r w:rsidRPr="007910BD">
        <w:rPr>
          <w:sz w:val="18"/>
          <w:szCs w:val="18"/>
        </w:rPr>
        <w:t xml:space="preserve"> </w:t>
      </w:r>
      <w:r>
        <w:rPr>
          <w:sz w:val="18"/>
          <w:szCs w:val="18"/>
        </w:rPr>
        <w:t>Ibid</w:t>
      </w:r>
      <w:r w:rsidRPr="007910BD">
        <w:rPr>
          <w:sz w:val="18"/>
          <w:szCs w:val="18"/>
        </w:rPr>
        <w:t>, p. 174.</w:t>
      </w:r>
    </w:p>
  </w:footnote>
  <w:footnote w:id="4">
    <w:p w14:paraId="4833EF2A" w14:textId="40187291" w:rsidR="007910BD" w:rsidRPr="007910BD" w:rsidRDefault="007910BD">
      <w:pPr>
        <w:pStyle w:val="FootnoteText"/>
        <w:rPr>
          <w:sz w:val="18"/>
          <w:szCs w:val="18"/>
        </w:rPr>
      </w:pPr>
      <w:r w:rsidRPr="007910BD">
        <w:rPr>
          <w:rStyle w:val="FootnoteReference"/>
          <w:sz w:val="18"/>
          <w:szCs w:val="18"/>
        </w:rPr>
        <w:footnoteRef/>
      </w:r>
      <w:r w:rsidRPr="007910BD">
        <w:rPr>
          <w:sz w:val="18"/>
          <w:szCs w:val="18"/>
        </w:rPr>
        <w:t xml:space="preserve"> </w:t>
      </w:r>
      <w:r w:rsidRPr="007910BD">
        <w:rPr>
          <w:sz w:val="18"/>
          <w:szCs w:val="18"/>
        </w:rPr>
        <w:t xml:space="preserve">Sanneh, </w:t>
      </w:r>
      <w:r w:rsidRPr="007910BD">
        <w:rPr>
          <w:i/>
          <w:iCs/>
          <w:sz w:val="18"/>
          <w:szCs w:val="18"/>
        </w:rPr>
        <w:t>Translating the Message</w:t>
      </w:r>
      <w:r w:rsidRPr="007910BD">
        <w:rPr>
          <w:sz w:val="18"/>
          <w:szCs w:val="18"/>
        </w:rPr>
        <w:t>, p. 175.</w:t>
      </w:r>
    </w:p>
  </w:footnote>
  <w:footnote w:id="5">
    <w:p w14:paraId="47F3746A" w14:textId="3FD28589" w:rsidR="007910BD" w:rsidRPr="007910BD" w:rsidRDefault="007910BD">
      <w:pPr>
        <w:pStyle w:val="FootnoteText"/>
        <w:rPr>
          <w:sz w:val="18"/>
          <w:szCs w:val="18"/>
        </w:rPr>
      </w:pPr>
      <w:r w:rsidRPr="007910BD">
        <w:rPr>
          <w:rStyle w:val="FootnoteReference"/>
          <w:sz w:val="18"/>
          <w:szCs w:val="18"/>
        </w:rPr>
        <w:footnoteRef/>
      </w:r>
      <w:r w:rsidRPr="007910BD">
        <w:rPr>
          <w:sz w:val="18"/>
          <w:szCs w:val="18"/>
        </w:rPr>
        <w:t xml:space="preserve"> </w:t>
      </w:r>
      <w:r w:rsidRPr="007910BD">
        <w:rPr>
          <w:sz w:val="18"/>
          <w:szCs w:val="18"/>
        </w:rPr>
        <w:t xml:space="preserve">J.D.Y. Peel, </w:t>
      </w:r>
      <w:r w:rsidRPr="007910BD">
        <w:rPr>
          <w:i/>
          <w:iCs/>
          <w:sz w:val="18"/>
          <w:szCs w:val="18"/>
        </w:rPr>
        <w:t>Religious Encounter and the Making of the Yoruba</w:t>
      </w:r>
      <w:r w:rsidRPr="007910BD">
        <w:rPr>
          <w:sz w:val="18"/>
          <w:szCs w:val="18"/>
        </w:rPr>
        <w:t>, p. 56.</w:t>
      </w:r>
    </w:p>
  </w:footnote>
  <w:footnote w:id="6">
    <w:p w14:paraId="3EE3934A" w14:textId="1E2C2935" w:rsidR="007910BD" w:rsidRPr="007910BD" w:rsidRDefault="007910BD">
      <w:pPr>
        <w:pStyle w:val="FootnoteText"/>
        <w:rPr>
          <w:sz w:val="18"/>
          <w:szCs w:val="18"/>
        </w:rPr>
      </w:pPr>
      <w:r w:rsidRPr="007910BD">
        <w:rPr>
          <w:rStyle w:val="FootnoteReference"/>
          <w:sz w:val="18"/>
          <w:szCs w:val="18"/>
        </w:rPr>
        <w:footnoteRef/>
      </w:r>
      <w:r w:rsidRPr="007910BD">
        <w:rPr>
          <w:sz w:val="18"/>
          <w:szCs w:val="18"/>
        </w:rPr>
        <w:t xml:space="preserve"> Ibid, </w:t>
      </w:r>
      <w:r w:rsidRPr="007910BD">
        <w:rPr>
          <w:sz w:val="18"/>
          <w:szCs w:val="18"/>
        </w:rPr>
        <w:t>pp. 137–145.</w:t>
      </w:r>
    </w:p>
  </w:footnote>
  <w:footnote w:id="7">
    <w:p w14:paraId="5A73A06B" w14:textId="18EC8585" w:rsidR="007910BD" w:rsidRDefault="007910BD">
      <w:pPr>
        <w:pStyle w:val="FootnoteText"/>
      </w:pPr>
      <w:r w:rsidRPr="007910BD">
        <w:rPr>
          <w:rStyle w:val="FootnoteReference"/>
          <w:sz w:val="18"/>
          <w:szCs w:val="18"/>
        </w:rPr>
        <w:footnoteRef/>
      </w:r>
      <w:r w:rsidRPr="007910BD">
        <w:rPr>
          <w:sz w:val="18"/>
          <w:szCs w:val="18"/>
        </w:rPr>
        <w:t xml:space="preserve"> Ibid, </w:t>
      </w:r>
      <w:r w:rsidRPr="007910BD">
        <w:rPr>
          <w:sz w:val="18"/>
          <w:szCs w:val="18"/>
        </w:rPr>
        <w:t>p. 139.</w:t>
      </w:r>
    </w:p>
  </w:footnote>
  <w:footnote w:id="8">
    <w:p w14:paraId="23DEAC01" w14:textId="1DA98EDF" w:rsidR="00762AD7" w:rsidRPr="00460F41" w:rsidRDefault="00762AD7">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S.G. Williamson, </w:t>
      </w:r>
      <w:r w:rsidRPr="00460F41">
        <w:rPr>
          <w:i/>
          <w:iCs/>
          <w:sz w:val="18"/>
          <w:szCs w:val="18"/>
        </w:rPr>
        <w:t>Akan Religion and the Christian Faith: A Comparative Study of the Impact of Two Religions</w:t>
      </w:r>
      <w:r w:rsidRPr="00460F41">
        <w:rPr>
          <w:sz w:val="18"/>
          <w:szCs w:val="18"/>
        </w:rPr>
        <w:t>, pp. 363–371.</w:t>
      </w:r>
    </w:p>
  </w:footnote>
  <w:footnote w:id="9">
    <w:p w14:paraId="3F5D3AA4" w14:textId="252625A6" w:rsidR="00762AD7" w:rsidRPr="00460F41" w:rsidRDefault="00762AD7">
      <w:pPr>
        <w:pStyle w:val="FootnoteText"/>
        <w:rPr>
          <w:sz w:val="18"/>
          <w:szCs w:val="18"/>
        </w:rPr>
      </w:pPr>
      <w:r w:rsidRPr="00460F41">
        <w:rPr>
          <w:rStyle w:val="FootnoteReference"/>
          <w:i/>
          <w:iCs/>
          <w:sz w:val="18"/>
          <w:szCs w:val="18"/>
        </w:rPr>
        <w:footnoteRef/>
      </w:r>
      <w:r w:rsidRPr="00460F41">
        <w:rPr>
          <w:i/>
          <w:iCs/>
          <w:sz w:val="18"/>
          <w:szCs w:val="18"/>
        </w:rPr>
        <w:t xml:space="preserve"> </w:t>
      </w:r>
      <w:r w:rsidR="00B85231" w:rsidRPr="00460F41">
        <w:rPr>
          <w:i/>
          <w:iCs/>
          <w:sz w:val="18"/>
          <w:szCs w:val="18"/>
        </w:rPr>
        <w:t>Ibid</w:t>
      </w:r>
      <w:r w:rsidR="00B85231" w:rsidRPr="00460F41">
        <w:rPr>
          <w:sz w:val="18"/>
          <w:szCs w:val="18"/>
        </w:rPr>
        <w:t>,</w:t>
      </w:r>
      <w:r w:rsidRPr="00460F41">
        <w:rPr>
          <w:sz w:val="18"/>
          <w:szCs w:val="18"/>
        </w:rPr>
        <w:t xml:space="preserve"> pp. 340–343.</w:t>
      </w:r>
    </w:p>
  </w:footnote>
  <w:footnote w:id="10">
    <w:p w14:paraId="3708163E" w14:textId="726CB40E" w:rsidR="00762AD7" w:rsidRPr="00460F41" w:rsidRDefault="00762AD7">
      <w:pPr>
        <w:pStyle w:val="FootnoteText"/>
        <w:rPr>
          <w:sz w:val="18"/>
          <w:szCs w:val="18"/>
        </w:rPr>
      </w:pPr>
      <w:r w:rsidRPr="00460F41">
        <w:rPr>
          <w:rStyle w:val="FootnoteReference"/>
          <w:sz w:val="18"/>
          <w:szCs w:val="18"/>
        </w:rPr>
        <w:footnoteRef/>
      </w:r>
      <w:r w:rsidRPr="00460F41">
        <w:rPr>
          <w:sz w:val="18"/>
          <w:szCs w:val="18"/>
        </w:rPr>
        <w:t xml:space="preserve"> </w:t>
      </w:r>
      <w:r w:rsidRPr="00460F41">
        <w:rPr>
          <w:i/>
          <w:iCs/>
          <w:sz w:val="18"/>
          <w:szCs w:val="18"/>
        </w:rPr>
        <w:t>Ibid</w:t>
      </w:r>
      <w:r w:rsidRPr="00460F41">
        <w:rPr>
          <w:sz w:val="18"/>
          <w:szCs w:val="18"/>
        </w:rPr>
        <w:t xml:space="preserve">, </w:t>
      </w:r>
      <w:r w:rsidRPr="00460F41">
        <w:rPr>
          <w:sz w:val="18"/>
          <w:szCs w:val="18"/>
        </w:rPr>
        <w:t>p. 341.</w:t>
      </w:r>
    </w:p>
  </w:footnote>
  <w:footnote w:id="11">
    <w:p w14:paraId="30FD22CF" w14:textId="0A18722D" w:rsidR="00762AD7" w:rsidRPr="00460F41" w:rsidRDefault="00762AD7">
      <w:pPr>
        <w:pStyle w:val="FootnoteText"/>
        <w:rPr>
          <w:b/>
          <w:bCs/>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Kofi A. Busia, </w:t>
      </w:r>
      <w:r w:rsidRPr="00460F41">
        <w:rPr>
          <w:i/>
          <w:iCs/>
          <w:sz w:val="18"/>
          <w:szCs w:val="18"/>
        </w:rPr>
        <w:t>The Position of the Chief in the Modern Political System of Ashanti</w:t>
      </w:r>
      <w:r w:rsidRPr="00460F41">
        <w:rPr>
          <w:sz w:val="18"/>
          <w:szCs w:val="18"/>
        </w:rPr>
        <w:t>, pp. 192–194.</w:t>
      </w:r>
    </w:p>
  </w:footnote>
  <w:footnote w:id="12">
    <w:p w14:paraId="575DF443" w14:textId="3C185F43" w:rsidR="00762AD7" w:rsidRPr="00460F41" w:rsidRDefault="00762AD7">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John S. Mbiti, </w:t>
      </w:r>
      <w:r w:rsidRPr="00460F41">
        <w:rPr>
          <w:i/>
          <w:iCs/>
          <w:sz w:val="18"/>
          <w:szCs w:val="18"/>
        </w:rPr>
        <w:t>African Religions and Philosophy</w:t>
      </w:r>
      <w:r w:rsidRPr="00460F41">
        <w:rPr>
          <w:sz w:val="18"/>
          <w:szCs w:val="18"/>
        </w:rPr>
        <w:t>, pp. 154–162.</w:t>
      </w:r>
    </w:p>
  </w:footnote>
  <w:footnote w:id="13">
    <w:p w14:paraId="7352E182" w14:textId="3A0785D9" w:rsidR="00762AD7" w:rsidRPr="00460F41" w:rsidRDefault="00762AD7">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Williamson, </w:t>
      </w:r>
      <w:r w:rsidRPr="00460F41">
        <w:rPr>
          <w:i/>
          <w:iCs/>
          <w:sz w:val="18"/>
          <w:szCs w:val="18"/>
        </w:rPr>
        <w:t>Akan Religion and the Christian Faith</w:t>
      </w:r>
      <w:r w:rsidRPr="00460F41">
        <w:rPr>
          <w:sz w:val="18"/>
          <w:szCs w:val="18"/>
        </w:rPr>
        <w:t>, pp. 330–337.</w:t>
      </w:r>
    </w:p>
  </w:footnote>
  <w:footnote w:id="14">
    <w:p w14:paraId="51453A3D" w14:textId="39AA0B29" w:rsidR="00755080" w:rsidRPr="00460F41" w:rsidRDefault="00755080">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Irving Hexham, </w:t>
      </w:r>
      <w:r w:rsidRPr="00460F41">
        <w:rPr>
          <w:i/>
          <w:iCs/>
          <w:sz w:val="18"/>
          <w:szCs w:val="18"/>
        </w:rPr>
        <w:t xml:space="preserve">The Scriptures of the </w:t>
      </w:r>
      <w:proofErr w:type="spellStart"/>
      <w:r w:rsidRPr="00460F41">
        <w:rPr>
          <w:i/>
          <w:iCs/>
          <w:sz w:val="18"/>
          <w:szCs w:val="18"/>
        </w:rPr>
        <w:t>AmaNazaretha</w:t>
      </w:r>
      <w:proofErr w:type="spellEnd"/>
      <w:r w:rsidRPr="00460F41">
        <w:rPr>
          <w:i/>
          <w:iCs/>
          <w:sz w:val="18"/>
          <w:szCs w:val="18"/>
        </w:rPr>
        <w:t xml:space="preserve"> of </w:t>
      </w:r>
      <w:proofErr w:type="spellStart"/>
      <w:r w:rsidRPr="00460F41">
        <w:rPr>
          <w:i/>
          <w:iCs/>
          <w:sz w:val="18"/>
          <w:szCs w:val="18"/>
        </w:rPr>
        <w:t>Ekuphakameni</w:t>
      </w:r>
      <w:proofErr w:type="spellEnd"/>
      <w:r w:rsidRPr="00460F41">
        <w:rPr>
          <w:i/>
          <w:iCs/>
          <w:sz w:val="18"/>
          <w:szCs w:val="18"/>
        </w:rPr>
        <w:t>: An Introduction</w:t>
      </w:r>
      <w:r w:rsidRPr="00460F41">
        <w:rPr>
          <w:sz w:val="18"/>
          <w:szCs w:val="18"/>
        </w:rPr>
        <w:t xml:space="preserve">, </w:t>
      </w:r>
      <w:r w:rsidRPr="00460F41">
        <w:rPr>
          <w:sz w:val="18"/>
          <w:szCs w:val="18"/>
        </w:rPr>
        <w:t>pp. 275–276.</w:t>
      </w:r>
    </w:p>
  </w:footnote>
  <w:footnote w:id="15">
    <w:p w14:paraId="5577A9C3" w14:textId="61968AC4" w:rsidR="00755080" w:rsidRPr="00460F41" w:rsidRDefault="00755080">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Hexham, </w:t>
      </w:r>
      <w:r w:rsidRPr="00460F41">
        <w:rPr>
          <w:i/>
          <w:iCs/>
          <w:sz w:val="18"/>
          <w:szCs w:val="18"/>
        </w:rPr>
        <w:t xml:space="preserve">The Scriptures of the </w:t>
      </w:r>
      <w:proofErr w:type="spellStart"/>
      <w:r w:rsidRPr="00460F41">
        <w:rPr>
          <w:i/>
          <w:iCs/>
          <w:sz w:val="18"/>
          <w:szCs w:val="18"/>
        </w:rPr>
        <w:t>AmaNazaretha</w:t>
      </w:r>
      <w:proofErr w:type="spellEnd"/>
      <w:r w:rsidRPr="00460F41">
        <w:rPr>
          <w:sz w:val="18"/>
          <w:szCs w:val="18"/>
        </w:rPr>
        <w:t>, pp. 276–278.</w:t>
      </w:r>
    </w:p>
  </w:footnote>
  <w:footnote w:id="16">
    <w:p w14:paraId="1CA289E9" w14:textId="1DDB091A" w:rsidR="00755080" w:rsidRPr="00460F41" w:rsidRDefault="00755080">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John S. Mbiti, </w:t>
      </w:r>
      <w:r w:rsidRPr="00460F41">
        <w:rPr>
          <w:i/>
          <w:iCs/>
          <w:sz w:val="18"/>
          <w:szCs w:val="18"/>
        </w:rPr>
        <w:t>African Religions and Philosophy</w:t>
      </w:r>
      <w:r w:rsidRPr="00460F41">
        <w:rPr>
          <w:sz w:val="18"/>
          <w:szCs w:val="18"/>
        </w:rPr>
        <w:t>, pp. 155–162.</w:t>
      </w:r>
    </w:p>
  </w:footnote>
  <w:footnote w:id="17">
    <w:p w14:paraId="01A0E580" w14:textId="5BAEA893" w:rsidR="00755080" w:rsidRPr="00460F41" w:rsidRDefault="00755080">
      <w:pPr>
        <w:pStyle w:val="FootnoteText"/>
        <w:rPr>
          <w:sz w:val="18"/>
          <w:szCs w:val="18"/>
        </w:rPr>
      </w:pPr>
      <w:r w:rsidRPr="00460F41">
        <w:rPr>
          <w:rStyle w:val="FootnoteReference"/>
          <w:sz w:val="18"/>
          <w:szCs w:val="18"/>
        </w:rPr>
        <w:footnoteRef/>
      </w:r>
      <w:r w:rsidRPr="00460F41">
        <w:rPr>
          <w:sz w:val="18"/>
          <w:szCs w:val="18"/>
        </w:rPr>
        <w:t xml:space="preserve"> </w:t>
      </w:r>
      <w:r w:rsidR="00B85231" w:rsidRPr="00460F41">
        <w:rPr>
          <w:sz w:val="18"/>
          <w:szCs w:val="18"/>
        </w:rPr>
        <w:t>Ibid</w:t>
      </w:r>
      <w:r w:rsidRPr="00460F41">
        <w:rPr>
          <w:sz w:val="18"/>
          <w:szCs w:val="18"/>
        </w:rPr>
        <w:t>, p. 158.</w:t>
      </w:r>
    </w:p>
  </w:footnote>
  <w:footnote w:id="18">
    <w:p w14:paraId="4D5A9513" w14:textId="1F3AB6C6" w:rsidR="00755080" w:rsidRPr="004B51FA" w:rsidRDefault="00755080">
      <w:pPr>
        <w:pStyle w:val="FootnoteText"/>
        <w:rPr>
          <w:sz w:val="18"/>
          <w:szCs w:val="18"/>
        </w:rPr>
      </w:pPr>
      <w:r w:rsidRPr="00460F41">
        <w:rPr>
          <w:rStyle w:val="FootnoteReference"/>
          <w:sz w:val="18"/>
          <w:szCs w:val="18"/>
        </w:rPr>
        <w:footnoteRef/>
      </w:r>
      <w:r w:rsidRPr="00460F41">
        <w:rPr>
          <w:sz w:val="18"/>
          <w:szCs w:val="18"/>
        </w:rPr>
        <w:t xml:space="preserve"> Ibid, </w:t>
      </w:r>
      <w:r w:rsidRPr="00460F41">
        <w:rPr>
          <w:sz w:val="18"/>
          <w:szCs w:val="18"/>
        </w:rPr>
        <w:t>p. 160.</w:t>
      </w:r>
    </w:p>
  </w:footnote>
  <w:footnote w:id="19">
    <w:p w14:paraId="438A4AEA" w14:textId="4961D935" w:rsidR="00755080" w:rsidRPr="00460F41" w:rsidRDefault="00755080">
      <w:pPr>
        <w:pStyle w:val="FootnoteText"/>
        <w:rPr>
          <w:sz w:val="18"/>
          <w:szCs w:val="18"/>
        </w:rPr>
      </w:pPr>
      <w:r w:rsidRPr="004B51FA">
        <w:rPr>
          <w:rStyle w:val="FootnoteReference"/>
          <w:sz w:val="18"/>
          <w:szCs w:val="18"/>
        </w:rPr>
        <w:footnoteRef/>
      </w:r>
      <w:r w:rsidRPr="004B51FA">
        <w:rPr>
          <w:sz w:val="18"/>
          <w:szCs w:val="18"/>
        </w:rPr>
        <w:t xml:space="preserve"> </w:t>
      </w:r>
      <w:r w:rsidR="00101AA6" w:rsidRPr="00460F41">
        <w:rPr>
          <w:sz w:val="18"/>
          <w:szCs w:val="18"/>
        </w:rPr>
        <w:t xml:space="preserve">Hexham, </w:t>
      </w:r>
      <w:r w:rsidR="00101AA6" w:rsidRPr="00460F41">
        <w:rPr>
          <w:i/>
          <w:iCs/>
          <w:sz w:val="18"/>
          <w:szCs w:val="18"/>
        </w:rPr>
        <w:t xml:space="preserve">The Scriptures of the </w:t>
      </w:r>
      <w:proofErr w:type="spellStart"/>
      <w:r w:rsidR="00101AA6" w:rsidRPr="00460F41">
        <w:rPr>
          <w:i/>
          <w:iCs/>
          <w:sz w:val="18"/>
          <w:szCs w:val="18"/>
        </w:rPr>
        <w:t>AmaNazaretha</w:t>
      </w:r>
      <w:proofErr w:type="spellEnd"/>
      <w:r w:rsidR="00101AA6" w:rsidRPr="00460F41">
        <w:rPr>
          <w:sz w:val="18"/>
          <w:szCs w:val="18"/>
        </w:rPr>
        <w:t>, pp. 277–279.</w:t>
      </w:r>
    </w:p>
  </w:footnote>
  <w:footnote w:id="20">
    <w:p w14:paraId="378C594E" w14:textId="401D5E3B" w:rsidR="00755080" w:rsidRPr="00460F41" w:rsidRDefault="00755080">
      <w:pPr>
        <w:pStyle w:val="FootnoteText"/>
        <w:rPr>
          <w:sz w:val="18"/>
          <w:szCs w:val="18"/>
        </w:rPr>
      </w:pPr>
      <w:r w:rsidRPr="00460F41">
        <w:rPr>
          <w:rStyle w:val="FootnoteReference"/>
          <w:sz w:val="18"/>
          <w:szCs w:val="18"/>
        </w:rPr>
        <w:footnoteRef/>
      </w:r>
      <w:r w:rsidRPr="00460F41">
        <w:rPr>
          <w:sz w:val="18"/>
          <w:szCs w:val="18"/>
        </w:rPr>
        <w:t xml:space="preserve"> </w:t>
      </w:r>
      <w:r w:rsidR="00101AA6" w:rsidRPr="00460F41">
        <w:rPr>
          <w:sz w:val="18"/>
          <w:szCs w:val="18"/>
        </w:rPr>
        <w:t xml:space="preserve">Ibid, </w:t>
      </w:r>
      <w:r w:rsidR="00101AA6" w:rsidRPr="00460F41">
        <w:rPr>
          <w:sz w:val="18"/>
          <w:szCs w:val="18"/>
        </w:rPr>
        <w:t>pp. 278–283.</w:t>
      </w:r>
    </w:p>
  </w:footnote>
  <w:footnote w:id="21">
    <w:p w14:paraId="3213121C" w14:textId="321047B8"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Isichei, </w:t>
      </w:r>
      <w:r w:rsidRPr="00460F41">
        <w:rPr>
          <w:i/>
          <w:iCs/>
          <w:sz w:val="18"/>
          <w:szCs w:val="18"/>
        </w:rPr>
        <w:t>A History of the Igbo Peopl</w:t>
      </w:r>
      <w:r w:rsidR="00460F41" w:rsidRPr="00460F41">
        <w:rPr>
          <w:i/>
          <w:iCs/>
          <w:sz w:val="18"/>
          <w:szCs w:val="18"/>
        </w:rPr>
        <w:t>e</w:t>
      </w:r>
      <w:r w:rsidRPr="00460F41">
        <w:rPr>
          <w:sz w:val="18"/>
          <w:szCs w:val="18"/>
        </w:rPr>
        <w:t>,</w:t>
      </w:r>
      <w:r w:rsidRPr="00460F41">
        <w:rPr>
          <w:sz w:val="18"/>
          <w:szCs w:val="18"/>
        </w:rPr>
        <w:t xml:space="preserve"> pp. 158–159.</w:t>
      </w:r>
    </w:p>
  </w:footnote>
  <w:footnote w:id="22">
    <w:p w14:paraId="5294F20E" w14:textId="6F3F4567" w:rsidR="004B51FA" w:rsidRPr="00460F41" w:rsidRDefault="004B51FA">
      <w:pPr>
        <w:pStyle w:val="FootnoteText"/>
        <w:rPr>
          <w:i/>
          <w:iCs/>
          <w:sz w:val="18"/>
          <w:szCs w:val="18"/>
        </w:rPr>
      </w:pPr>
      <w:r w:rsidRPr="00460F41">
        <w:rPr>
          <w:rStyle w:val="FootnoteReference"/>
          <w:sz w:val="18"/>
          <w:szCs w:val="18"/>
        </w:rPr>
        <w:footnoteRef/>
      </w:r>
      <w:r w:rsidRPr="00460F41">
        <w:rPr>
          <w:sz w:val="18"/>
          <w:szCs w:val="18"/>
        </w:rPr>
        <w:t xml:space="preserve"> </w:t>
      </w:r>
      <w:r w:rsidR="00B85231" w:rsidRPr="00460F41">
        <w:rPr>
          <w:sz w:val="18"/>
          <w:szCs w:val="18"/>
        </w:rPr>
        <w:t>Ibid</w:t>
      </w:r>
      <w:r w:rsidRPr="00460F41">
        <w:rPr>
          <w:sz w:val="18"/>
          <w:szCs w:val="18"/>
        </w:rPr>
        <w:t>, p. 160.</w:t>
      </w:r>
    </w:p>
  </w:footnote>
  <w:footnote w:id="23">
    <w:p w14:paraId="62995EAB" w14:textId="10755B07"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i/>
          <w:iCs/>
          <w:sz w:val="18"/>
          <w:szCs w:val="18"/>
        </w:rPr>
        <w:t>Ibid, pp.160-163</w:t>
      </w:r>
    </w:p>
  </w:footnote>
  <w:footnote w:id="24">
    <w:p w14:paraId="5AE45114" w14:textId="576A19AA"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Toyin Falola, </w:t>
      </w:r>
      <w:r w:rsidRPr="00460F41">
        <w:rPr>
          <w:i/>
          <w:iCs/>
          <w:sz w:val="18"/>
          <w:szCs w:val="18"/>
        </w:rPr>
        <w:t>Igbo Religion: Social Life and Other Essays</w:t>
      </w:r>
      <w:r w:rsidRPr="00460F41">
        <w:rPr>
          <w:sz w:val="18"/>
          <w:szCs w:val="18"/>
        </w:rPr>
        <w:t>,</w:t>
      </w:r>
      <w:r w:rsidRPr="00460F41">
        <w:rPr>
          <w:sz w:val="18"/>
          <w:szCs w:val="18"/>
        </w:rPr>
        <w:t xml:space="preserve"> pp. 123–131.</w:t>
      </w:r>
    </w:p>
  </w:footnote>
  <w:footnote w:id="25">
    <w:p w14:paraId="6A73D4FB" w14:textId="18CDEF3F"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00B85231" w:rsidRPr="00460F41">
        <w:rPr>
          <w:sz w:val="18"/>
          <w:szCs w:val="18"/>
        </w:rPr>
        <w:t>Ibid</w:t>
      </w:r>
      <w:r w:rsidRPr="00460F41">
        <w:rPr>
          <w:sz w:val="18"/>
          <w:szCs w:val="18"/>
        </w:rPr>
        <w:t>, pp. 115–116.</w:t>
      </w:r>
    </w:p>
  </w:footnote>
  <w:footnote w:id="26">
    <w:p w14:paraId="295AAE40" w14:textId="64225F14"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Matthews A. Ojo, </w:t>
      </w:r>
      <w:r w:rsidRPr="00460F41">
        <w:rPr>
          <w:i/>
          <w:iCs/>
          <w:sz w:val="18"/>
          <w:szCs w:val="18"/>
        </w:rPr>
        <w:t>The End-Time Army: Charismatic Movements in Modern Nigeria</w:t>
      </w:r>
      <w:r w:rsidRPr="00460F41">
        <w:rPr>
          <w:sz w:val="18"/>
          <w:szCs w:val="18"/>
        </w:rPr>
        <w:t>, pp. 61–69.</w:t>
      </w:r>
    </w:p>
  </w:footnote>
  <w:footnote w:id="27">
    <w:p w14:paraId="104223BD" w14:textId="3A33B33C"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 xml:space="preserve">Terence Ranger, </w:t>
      </w:r>
      <w:r w:rsidRPr="00460F41">
        <w:rPr>
          <w:i/>
          <w:iCs/>
          <w:sz w:val="18"/>
          <w:szCs w:val="18"/>
        </w:rPr>
        <w:t>Revolt in Southern Rhodesia, 1896-7: A Study in African Resistance</w:t>
      </w:r>
      <w:r w:rsidRPr="00460F41">
        <w:rPr>
          <w:sz w:val="18"/>
          <w:szCs w:val="18"/>
        </w:rPr>
        <w:t>, pp. 11–18.</w:t>
      </w:r>
    </w:p>
  </w:footnote>
  <w:footnote w:id="28">
    <w:p w14:paraId="3613B043" w14:textId="1BB9308F" w:rsidR="004B51FA" w:rsidRPr="00460F41"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00B85231" w:rsidRPr="00460F41">
        <w:rPr>
          <w:sz w:val="18"/>
          <w:szCs w:val="18"/>
        </w:rPr>
        <w:t>Ibid</w:t>
      </w:r>
      <w:r w:rsidRPr="00460F41">
        <w:rPr>
          <w:sz w:val="18"/>
          <w:szCs w:val="18"/>
        </w:rPr>
        <w:t>, pp. 33–38.</w:t>
      </w:r>
    </w:p>
  </w:footnote>
  <w:footnote w:id="29">
    <w:p w14:paraId="380D1FE3" w14:textId="0190E61E" w:rsidR="004B51FA" w:rsidRPr="00F6433F" w:rsidRDefault="004B51FA">
      <w:pPr>
        <w:pStyle w:val="FootnoteText"/>
        <w:rPr>
          <w:sz w:val="18"/>
          <w:szCs w:val="18"/>
        </w:rPr>
      </w:pPr>
      <w:r w:rsidRPr="00460F41">
        <w:rPr>
          <w:rStyle w:val="FootnoteReference"/>
          <w:sz w:val="18"/>
          <w:szCs w:val="18"/>
        </w:rPr>
        <w:footnoteRef/>
      </w:r>
      <w:r w:rsidRPr="00460F41">
        <w:rPr>
          <w:sz w:val="18"/>
          <w:szCs w:val="18"/>
        </w:rPr>
        <w:t xml:space="preserve"> </w:t>
      </w:r>
      <w:r w:rsidRPr="00460F41">
        <w:rPr>
          <w:sz w:val="18"/>
          <w:szCs w:val="18"/>
        </w:rPr>
        <w:t>Ibid, p. 38</w:t>
      </w:r>
    </w:p>
  </w:footnote>
  <w:footnote w:id="30">
    <w:p w14:paraId="0E6B370F" w14:textId="554EB885" w:rsidR="0042508A" w:rsidRPr="00B85231" w:rsidRDefault="0042508A">
      <w:pPr>
        <w:pStyle w:val="FootnoteText"/>
        <w:rPr>
          <w:sz w:val="18"/>
          <w:szCs w:val="18"/>
        </w:rPr>
      </w:pPr>
      <w:r w:rsidRPr="00F6433F">
        <w:rPr>
          <w:rStyle w:val="FootnoteReference"/>
          <w:sz w:val="18"/>
          <w:szCs w:val="18"/>
        </w:rPr>
        <w:footnoteRef/>
      </w:r>
      <w:r w:rsidRPr="00F6433F">
        <w:rPr>
          <w:sz w:val="18"/>
          <w:szCs w:val="18"/>
        </w:rPr>
        <w:t xml:space="preserve"> </w:t>
      </w:r>
      <w:r w:rsidRPr="00B85231">
        <w:rPr>
          <w:sz w:val="18"/>
          <w:szCs w:val="18"/>
        </w:rPr>
        <w:t xml:space="preserve">Maxwell, </w:t>
      </w:r>
      <w:r w:rsidRPr="00B85231">
        <w:rPr>
          <w:i/>
          <w:iCs/>
          <w:sz w:val="18"/>
          <w:szCs w:val="18"/>
        </w:rPr>
        <w:t>Christians and Chiefs in Zimbabwe</w:t>
      </w:r>
      <w:r w:rsidRPr="00B85231">
        <w:rPr>
          <w:sz w:val="18"/>
          <w:szCs w:val="18"/>
        </w:rPr>
        <w:t>, pp. 40–43.</w:t>
      </w:r>
    </w:p>
  </w:footnote>
  <w:footnote w:id="31">
    <w:p w14:paraId="4944E49A" w14:textId="35BB60D7" w:rsidR="004B51FA" w:rsidRPr="00B85231" w:rsidRDefault="004B51FA">
      <w:pPr>
        <w:pStyle w:val="FootnoteText"/>
        <w:rPr>
          <w:sz w:val="18"/>
          <w:szCs w:val="18"/>
        </w:rPr>
      </w:pPr>
      <w:r w:rsidRPr="00B85231">
        <w:rPr>
          <w:rStyle w:val="FootnoteReference"/>
          <w:sz w:val="18"/>
          <w:szCs w:val="18"/>
        </w:rPr>
        <w:footnoteRef/>
      </w:r>
      <w:r w:rsidRPr="00B85231">
        <w:rPr>
          <w:sz w:val="18"/>
          <w:szCs w:val="18"/>
        </w:rPr>
        <w:t xml:space="preserve"> </w:t>
      </w:r>
      <w:r w:rsidR="0042508A" w:rsidRPr="00B85231">
        <w:rPr>
          <w:sz w:val="18"/>
          <w:szCs w:val="18"/>
        </w:rPr>
        <w:t xml:space="preserve">Engelke, </w:t>
      </w:r>
      <w:r w:rsidR="0042508A" w:rsidRPr="00B85231">
        <w:rPr>
          <w:i/>
          <w:iCs/>
          <w:sz w:val="18"/>
          <w:szCs w:val="18"/>
        </w:rPr>
        <w:t>A Problem of Presence: Beyond Scripture in an African Church</w:t>
      </w:r>
      <w:r w:rsidR="0042508A" w:rsidRPr="00B85231">
        <w:rPr>
          <w:sz w:val="18"/>
          <w:szCs w:val="18"/>
        </w:rPr>
        <w:t>.</w:t>
      </w:r>
      <w:r w:rsidR="0042508A" w:rsidRPr="00B85231">
        <w:rPr>
          <w:sz w:val="18"/>
          <w:szCs w:val="18"/>
        </w:rPr>
        <w:t xml:space="preserve"> pp. 13–21.</w:t>
      </w:r>
    </w:p>
  </w:footnote>
  <w:footnote w:id="32">
    <w:p w14:paraId="3A1EE128" w14:textId="152B0613" w:rsidR="004B51FA" w:rsidRPr="00B85231" w:rsidRDefault="004B51FA">
      <w:pPr>
        <w:pStyle w:val="FootnoteText"/>
        <w:rPr>
          <w:sz w:val="18"/>
          <w:szCs w:val="18"/>
        </w:rPr>
      </w:pPr>
      <w:r w:rsidRPr="00B85231">
        <w:rPr>
          <w:rStyle w:val="FootnoteReference"/>
          <w:sz w:val="18"/>
          <w:szCs w:val="18"/>
        </w:rPr>
        <w:footnoteRef/>
      </w:r>
      <w:r w:rsidRPr="00B85231">
        <w:rPr>
          <w:sz w:val="18"/>
          <w:szCs w:val="18"/>
        </w:rPr>
        <w:t xml:space="preserve"> </w:t>
      </w:r>
      <w:r w:rsidR="00B85231">
        <w:rPr>
          <w:sz w:val="18"/>
          <w:szCs w:val="18"/>
        </w:rPr>
        <w:t>Ibid</w:t>
      </w:r>
      <w:r w:rsidR="0042508A" w:rsidRPr="00B85231">
        <w:rPr>
          <w:sz w:val="18"/>
          <w:szCs w:val="18"/>
        </w:rPr>
        <w:t>, pp. 37–45.</w:t>
      </w:r>
    </w:p>
  </w:footnote>
  <w:footnote w:id="33">
    <w:p w14:paraId="50DB7BAB" w14:textId="273CBAA3" w:rsidR="00CD6C61" w:rsidRPr="00B85231" w:rsidRDefault="00CD6C61">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John S. Mbiti, </w:t>
      </w:r>
      <w:r w:rsidRPr="00B85231">
        <w:rPr>
          <w:i/>
          <w:iCs/>
          <w:sz w:val="18"/>
          <w:szCs w:val="18"/>
        </w:rPr>
        <w:t>African Religions and Philosophy</w:t>
      </w:r>
      <w:r w:rsidRPr="00B85231">
        <w:rPr>
          <w:sz w:val="18"/>
          <w:szCs w:val="18"/>
        </w:rPr>
        <w:t>, pp. 189–194.</w:t>
      </w:r>
    </w:p>
  </w:footnote>
  <w:footnote w:id="34">
    <w:p w14:paraId="289B2A33" w14:textId="53F040E1" w:rsidR="00CD6C61" w:rsidRPr="00B85231" w:rsidRDefault="00CD6C61">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S.G. Williamson, </w:t>
      </w:r>
      <w:r w:rsidRPr="00B85231">
        <w:rPr>
          <w:i/>
          <w:iCs/>
          <w:sz w:val="18"/>
          <w:szCs w:val="18"/>
        </w:rPr>
        <w:t>Akan Religion and the Christian Fait</w:t>
      </w:r>
      <w:r w:rsidRPr="00B85231">
        <w:rPr>
          <w:i/>
          <w:iCs/>
          <w:sz w:val="18"/>
          <w:szCs w:val="18"/>
        </w:rPr>
        <w:t xml:space="preserve">h, </w:t>
      </w:r>
      <w:r w:rsidRPr="00B85231">
        <w:rPr>
          <w:sz w:val="18"/>
          <w:szCs w:val="18"/>
        </w:rPr>
        <w:t>pp. 250–258.</w:t>
      </w:r>
    </w:p>
  </w:footnote>
  <w:footnote w:id="35">
    <w:p w14:paraId="5EC3CC97" w14:textId="15A6429F" w:rsidR="00CD6C61" w:rsidRPr="00B85231" w:rsidRDefault="00CD6C61">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Peel, </w:t>
      </w:r>
      <w:r w:rsidRPr="00B85231">
        <w:rPr>
          <w:i/>
          <w:iCs/>
          <w:sz w:val="18"/>
          <w:szCs w:val="18"/>
        </w:rPr>
        <w:t>Religious Encounter and the Making of the Yoruba</w:t>
      </w:r>
      <w:r w:rsidRPr="00B85231">
        <w:rPr>
          <w:sz w:val="18"/>
          <w:szCs w:val="18"/>
        </w:rPr>
        <w:t>,</w:t>
      </w:r>
      <w:r w:rsidRPr="00B85231">
        <w:rPr>
          <w:sz w:val="18"/>
          <w:szCs w:val="18"/>
        </w:rPr>
        <w:t xml:space="preserve"> pp. 139–141.</w:t>
      </w:r>
    </w:p>
  </w:footnote>
  <w:footnote w:id="36">
    <w:p w14:paraId="54A2FB1F" w14:textId="2FA44D98" w:rsidR="00CD6C61" w:rsidRPr="00B85231" w:rsidRDefault="00CD6C61">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Hexham, </w:t>
      </w:r>
      <w:r w:rsidRPr="00B85231">
        <w:rPr>
          <w:i/>
          <w:iCs/>
          <w:sz w:val="18"/>
          <w:szCs w:val="18"/>
        </w:rPr>
        <w:t xml:space="preserve">The Scriptures of the </w:t>
      </w:r>
      <w:proofErr w:type="spellStart"/>
      <w:r w:rsidRPr="00B85231">
        <w:rPr>
          <w:i/>
          <w:iCs/>
          <w:sz w:val="18"/>
          <w:szCs w:val="18"/>
        </w:rPr>
        <w:t>AmaNazaretha</w:t>
      </w:r>
      <w:proofErr w:type="spellEnd"/>
      <w:r w:rsidRPr="00B85231">
        <w:rPr>
          <w:i/>
          <w:iCs/>
          <w:sz w:val="18"/>
          <w:szCs w:val="18"/>
        </w:rPr>
        <w:t xml:space="preserve"> of </w:t>
      </w:r>
      <w:proofErr w:type="spellStart"/>
      <w:r w:rsidRPr="00B85231">
        <w:rPr>
          <w:i/>
          <w:iCs/>
          <w:sz w:val="18"/>
          <w:szCs w:val="18"/>
        </w:rPr>
        <w:t>Ekuphakameni</w:t>
      </w:r>
      <w:proofErr w:type="spellEnd"/>
      <w:r w:rsidRPr="00B85231">
        <w:rPr>
          <w:sz w:val="18"/>
          <w:szCs w:val="18"/>
        </w:rPr>
        <w:t>, pp. 278–283.</w:t>
      </w:r>
    </w:p>
  </w:footnote>
  <w:footnote w:id="37">
    <w:p w14:paraId="7B4CA917" w14:textId="33B54E37" w:rsidR="00CD6C61" w:rsidRPr="00B85231" w:rsidRDefault="00CD6C61">
      <w:pPr>
        <w:pStyle w:val="FootnoteText"/>
        <w:rPr>
          <w:sz w:val="18"/>
          <w:szCs w:val="18"/>
        </w:rPr>
      </w:pPr>
      <w:r w:rsidRPr="00B85231">
        <w:rPr>
          <w:rStyle w:val="FootnoteReference"/>
          <w:sz w:val="18"/>
          <w:szCs w:val="18"/>
        </w:rPr>
        <w:footnoteRef/>
      </w:r>
      <w:r w:rsidRPr="00B85231">
        <w:rPr>
          <w:sz w:val="18"/>
          <w:szCs w:val="18"/>
        </w:rPr>
        <w:t xml:space="preserve"> </w:t>
      </w:r>
      <w:r w:rsidR="00F6433F" w:rsidRPr="00B85231">
        <w:rPr>
          <w:sz w:val="18"/>
          <w:szCs w:val="18"/>
        </w:rPr>
        <w:t xml:space="preserve">Rodney, </w:t>
      </w:r>
      <w:r w:rsidR="00F6433F" w:rsidRPr="00B85231">
        <w:rPr>
          <w:i/>
          <w:iCs/>
          <w:sz w:val="18"/>
          <w:szCs w:val="18"/>
        </w:rPr>
        <w:t>How Europe Underdeveloped Africa</w:t>
      </w:r>
      <w:r w:rsidR="00F6433F" w:rsidRPr="00B85231">
        <w:rPr>
          <w:sz w:val="18"/>
          <w:szCs w:val="18"/>
        </w:rPr>
        <w:t>, pp. 645–649.</w:t>
      </w:r>
    </w:p>
  </w:footnote>
  <w:footnote w:id="38">
    <w:p w14:paraId="0031B1A4" w14:textId="2BD7E297" w:rsidR="00F6433F" w:rsidRPr="00B85231" w:rsidRDefault="00F6433F">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Hexham, </w:t>
      </w:r>
      <w:r w:rsidRPr="00B85231">
        <w:rPr>
          <w:i/>
          <w:iCs/>
          <w:sz w:val="18"/>
          <w:szCs w:val="18"/>
        </w:rPr>
        <w:t xml:space="preserve">The Scriptures of the </w:t>
      </w:r>
      <w:proofErr w:type="spellStart"/>
      <w:r w:rsidRPr="00B85231">
        <w:rPr>
          <w:i/>
          <w:iCs/>
          <w:sz w:val="18"/>
          <w:szCs w:val="18"/>
        </w:rPr>
        <w:t>AmaNazaretha</w:t>
      </w:r>
      <w:proofErr w:type="spellEnd"/>
      <w:r w:rsidRPr="00B85231">
        <w:rPr>
          <w:sz w:val="18"/>
          <w:szCs w:val="18"/>
        </w:rPr>
        <w:t>, pp. 276–278.</w:t>
      </w:r>
    </w:p>
  </w:footnote>
  <w:footnote w:id="39">
    <w:p w14:paraId="326B392C" w14:textId="60498CE9" w:rsidR="00F6433F" w:rsidRPr="00B85231" w:rsidRDefault="00F6433F">
      <w:pPr>
        <w:pStyle w:val="FootnoteText"/>
        <w:rPr>
          <w:sz w:val="18"/>
          <w:szCs w:val="18"/>
        </w:rPr>
      </w:pPr>
      <w:r w:rsidRPr="00B85231">
        <w:rPr>
          <w:rStyle w:val="FootnoteReference"/>
          <w:sz w:val="18"/>
          <w:szCs w:val="18"/>
        </w:rPr>
        <w:footnoteRef/>
      </w:r>
      <w:r w:rsidRPr="00B85231">
        <w:rPr>
          <w:sz w:val="18"/>
          <w:szCs w:val="18"/>
        </w:rPr>
        <w:t xml:space="preserve"> </w:t>
      </w:r>
      <w:r w:rsidRPr="00B85231">
        <w:rPr>
          <w:sz w:val="18"/>
          <w:szCs w:val="18"/>
        </w:rPr>
        <w:t xml:space="preserve">Ojo, </w:t>
      </w:r>
      <w:r w:rsidRPr="00B85231">
        <w:rPr>
          <w:i/>
          <w:iCs/>
          <w:sz w:val="18"/>
          <w:szCs w:val="18"/>
        </w:rPr>
        <w:t>The End-Time Army: Charismatic Movements in Modern Nigeria</w:t>
      </w:r>
      <w:r w:rsidRPr="00B85231">
        <w:rPr>
          <w:sz w:val="18"/>
          <w:szCs w:val="18"/>
        </w:rPr>
        <w:t>,</w:t>
      </w:r>
      <w:r w:rsidRPr="00B85231">
        <w:rPr>
          <w:sz w:val="18"/>
          <w:szCs w:val="18"/>
        </w:rPr>
        <w:t xml:space="preserve"> pp. 61–69.</w:t>
      </w:r>
    </w:p>
  </w:footnote>
  <w:footnote w:id="40">
    <w:p w14:paraId="1C074D95" w14:textId="5D03B4DE" w:rsidR="00F6433F" w:rsidRDefault="00F6433F">
      <w:pPr>
        <w:pStyle w:val="FootnoteText"/>
      </w:pPr>
      <w:r w:rsidRPr="00B85231">
        <w:rPr>
          <w:rStyle w:val="FootnoteReference"/>
          <w:sz w:val="18"/>
          <w:szCs w:val="18"/>
        </w:rPr>
        <w:footnoteRef/>
      </w:r>
      <w:r w:rsidRPr="00B85231">
        <w:rPr>
          <w:sz w:val="18"/>
          <w:szCs w:val="18"/>
        </w:rPr>
        <w:t xml:space="preserve"> </w:t>
      </w:r>
      <w:r w:rsidRPr="00B85231">
        <w:rPr>
          <w:sz w:val="18"/>
          <w:szCs w:val="18"/>
        </w:rPr>
        <w:t xml:space="preserve">Engelke, </w:t>
      </w:r>
      <w:r w:rsidRPr="00B85231">
        <w:rPr>
          <w:i/>
          <w:iCs/>
          <w:sz w:val="18"/>
          <w:szCs w:val="18"/>
        </w:rPr>
        <w:t>A Problem of Presence: Beyond Scripture in an African Church</w:t>
      </w:r>
      <w:r w:rsidRPr="00B85231">
        <w:rPr>
          <w:sz w:val="18"/>
          <w:szCs w:val="18"/>
        </w:rPr>
        <w:t>, pp. 13–21.</w:t>
      </w:r>
    </w:p>
  </w:footnote>
  <w:footnote w:id="41">
    <w:p w14:paraId="2F813977" w14:textId="13BFBA21" w:rsidR="00F6433F" w:rsidRDefault="00F6433F">
      <w:pPr>
        <w:pStyle w:val="FootnoteText"/>
      </w:pPr>
      <w:r>
        <w:rPr>
          <w:rStyle w:val="FootnoteReference"/>
        </w:rPr>
        <w:footnoteRef/>
      </w:r>
      <w:r>
        <w:t xml:space="preserve"> </w:t>
      </w:r>
      <w:r w:rsidRPr="00F6433F">
        <w:t xml:space="preserve">Hexham, </w:t>
      </w:r>
      <w:r w:rsidRPr="00F6433F">
        <w:rPr>
          <w:i/>
          <w:iCs/>
        </w:rPr>
        <w:t xml:space="preserve">The Scriptures of the </w:t>
      </w:r>
      <w:proofErr w:type="spellStart"/>
      <w:r w:rsidRPr="00F6433F">
        <w:rPr>
          <w:i/>
          <w:iCs/>
        </w:rPr>
        <w:t>AmaNazaretha</w:t>
      </w:r>
      <w:proofErr w:type="spellEnd"/>
      <w:r w:rsidRPr="00F6433F">
        <w:t>, pp. 278–283.</w:t>
      </w:r>
    </w:p>
  </w:footnote>
  <w:footnote w:id="42">
    <w:p w14:paraId="753B8BB9" w14:textId="0084AD6E" w:rsidR="00F6433F" w:rsidRDefault="00F6433F">
      <w:pPr>
        <w:pStyle w:val="FootnoteText"/>
      </w:pPr>
      <w:r>
        <w:rPr>
          <w:rStyle w:val="FootnoteReference"/>
        </w:rPr>
        <w:footnoteRef/>
      </w:r>
      <w:r>
        <w:t xml:space="preserve"> </w:t>
      </w:r>
      <w:r w:rsidRPr="00F6433F">
        <w:t xml:space="preserve">Engelke, </w:t>
      </w:r>
      <w:r w:rsidRPr="00F6433F">
        <w:rPr>
          <w:i/>
          <w:iCs/>
        </w:rPr>
        <w:t>A Problem of Presence</w:t>
      </w:r>
      <w:r w:rsidRPr="00F6433F">
        <w:t>, pp. 37–45.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F0008B"/>
    <w:multiLevelType w:val="multilevel"/>
    <w:tmpl w:val="E9367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8425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1AE"/>
    <w:rsid w:val="00101AA6"/>
    <w:rsid w:val="001C50D1"/>
    <w:rsid w:val="00251602"/>
    <w:rsid w:val="002A3EA5"/>
    <w:rsid w:val="003A0344"/>
    <w:rsid w:val="0042508A"/>
    <w:rsid w:val="00460F41"/>
    <w:rsid w:val="004B51FA"/>
    <w:rsid w:val="00755080"/>
    <w:rsid w:val="00762AD7"/>
    <w:rsid w:val="007910BD"/>
    <w:rsid w:val="00B85231"/>
    <w:rsid w:val="00CD6C61"/>
    <w:rsid w:val="00E33468"/>
    <w:rsid w:val="00EE4B9C"/>
    <w:rsid w:val="00F341AE"/>
    <w:rsid w:val="00F640BA"/>
    <w:rsid w:val="00F64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10159"/>
  <w15:chartTrackingRefBased/>
  <w15:docId w15:val="{91B599AC-1DE7-42AD-9492-6413795E9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1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1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1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1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1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1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1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1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1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1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1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1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1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1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1AE"/>
    <w:rPr>
      <w:rFonts w:eastAsiaTheme="majorEastAsia" w:cstheme="majorBidi"/>
      <w:color w:val="272727" w:themeColor="text1" w:themeTint="D8"/>
    </w:rPr>
  </w:style>
  <w:style w:type="paragraph" w:styleId="Title">
    <w:name w:val="Title"/>
    <w:basedOn w:val="Normal"/>
    <w:next w:val="Normal"/>
    <w:link w:val="TitleChar"/>
    <w:uiPriority w:val="10"/>
    <w:qFormat/>
    <w:rsid w:val="00F341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1AE"/>
    <w:pPr>
      <w:spacing w:before="160"/>
      <w:jc w:val="center"/>
    </w:pPr>
    <w:rPr>
      <w:i/>
      <w:iCs/>
      <w:color w:val="404040" w:themeColor="text1" w:themeTint="BF"/>
    </w:rPr>
  </w:style>
  <w:style w:type="character" w:customStyle="1" w:styleId="QuoteChar">
    <w:name w:val="Quote Char"/>
    <w:basedOn w:val="DefaultParagraphFont"/>
    <w:link w:val="Quote"/>
    <w:uiPriority w:val="29"/>
    <w:rsid w:val="00F341AE"/>
    <w:rPr>
      <w:i/>
      <w:iCs/>
      <w:color w:val="404040" w:themeColor="text1" w:themeTint="BF"/>
    </w:rPr>
  </w:style>
  <w:style w:type="paragraph" w:styleId="ListParagraph">
    <w:name w:val="List Paragraph"/>
    <w:basedOn w:val="Normal"/>
    <w:uiPriority w:val="34"/>
    <w:qFormat/>
    <w:rsid w:val="00F341AE"/>
    <w:pPr>
      <w:ind w:left="720"/>
      <w:contextualSpacing/>
    </w:pPr>
  </w:style>
  <w:style w:type="character" w:styleId="IntenseEmphasis">
    <w:name w:val="Intense Emphasis"/>
    <w:basedOn w:val="DefaultParagraphFont"/>
    <w:uiPriority w:val="21"/>
    <w:qFormat/>
    <w:rsid w:val="00F341AE"/>
    <w:rPr>
      <w:i/>
      <w:iCs/>
      <w:color w:val="0F4761" w:themeColor="accent1" w:themeShade="BF"/>
    </w:rPr>
  </w:style>
  <w:style w:type="paragraph" w:styleId="IntenseQuote">
    <w:name w:val="Intense Quote"/>
    <w:basedOn w:val="Normal"/>
    <w:next w:val="Normal"/>
    <w:link w:val="IntenseQuoteChar"/>
    <w:uiPriority w:val="30"/>
    <w:qFormat/>
    <w:rsid w:val="00F341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1AE"/>
    <w:rPr>
      <w:i/>
      <w:iCs/>
      <w:color w:val="0F4761" w:themeColor="accent1" w:themeShade="BF"/>
    </w:rPr>
  </w:style>
  <w:style w:type="character" w:styleId="IntenseReference">
    <w:name w:val="Intense Reference"/>
    <w:basedOn w:val="DefaultParagraphFont"/>
    <w:uiPriority w:val="32"/>
    <w:qFormat/>
    <w:rsid w:val="00F341AE"/>
    <w:rPr>
      <w:b/>
      <w:bCs/>
      <w:smallCaps/>
      <w:color w:val="0F4761" w:themeColor="accent1" w:themeShade="BF"/>
      <w:spacing w:val="5"/>
    </w:rPr>
  </w:style>
  <w:style w:type="character" w:styleId="Hyperlink">
    <w:name w:val="Hyperlink"/>
    <w:basedOn w:val="DefaultParagraphFont"/>
    <w:uiPriority w:val="99"/>
    <w:unhideWhenUsed/>
    <w:rsid w:val="00F341AE"/>
    <w:rPr>
      <w:color w:val="467886" w:themeColor="hyperlink"/>
      <w:u w:val="single"/>
    </w:rPr>
  </w:style>
  <w:style w:type="character" w:styleId="UnresolvedMention">
    <w:name w:val="Unresolved Mention"/>
    <w:basedOn w:val="DefaultParagraphFont"/>
    <w:uiPriority w:val="99"/>
    <w:semiHidden/>
    <w:unhideWhenUsed/>
    <w:rsid w:val="00F341AE"/>
    <w:rPr>
      <w:color w:val="605E5C"/>
      <w:shd w:val="clear" w:color="auto" w:fill="E1DFDD"/>
    </w:rPr>
  </w:style>
  <w:style w:type="paragraph" w:styleId="FootnoteText">
    <w:name w:val="footnote text"/>
    <w:basedOn w:val="Normal"/>
    <w:link w:val="FootnoteTextChar"/>
    <w:uiPriority w:val="99"/>
    <w:semiHidden/>
    <w:unhideWhenUsed/>
    <w:rsid w:val="00F341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41AE"/>
    <w:rPr>
      <w:sz w:val="20"/>
      <w:szCs w:val="20"/>
    </w:rPr>
  </w:style>
  <w:style w:type="character" w:styleId="FootnoteReference">
    <w:name w:val="footnote reference"/>
    <w:basedOn w:val="DefaultParagraphFont"/>
    <w:uiPriority w:val="99"/>
    <w:semiHidden/>
    <w:unhideWhenUsed/>
    <w:rsid w:val="00F341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55757">
      <w:bodyDiv w:val="1"/>
      <w:marLeft w:val="0"/>
      <w:marRight w:val="0"/>
      <w:marTop w:val="0"/>
      <w:marBottom w:val="0"/>
      <w:divBdr>
        <w:top w:val="none" w:sz="0" w:space="0" w:color="auto"/>
        <w:left w:val="none" w:sz="0" w:space="0" w:color="auto"/>
        <w:bottom w:val="none" w:sz="0" w:space="0" w:color="auto"/>
        <w:right w:val="none" w:sz="0" w:space="0" w:color="auto"/>
      </w:divBdr>
    </w:div>
    <w:div w:id="97531910">
      <w:bodyDiv w:val="1"/>
      <w:marLeft w:val="0"/>
      <w:marRight w:val="0"/>
      <w:marTop w:val="0"/>
      <w:marBottom w:val="0"/>
      <w:divBdr>
        <w:top w:val="none" w:sz="0" w:space="0" w:color="auto"/>
        <w:left w:val="none" w:sz="0" w:space="0" w:color="auto"/>
        <w:bottom w:val="none" w:sz="0" w:space="0" w:color="auto"/>
        <w:right w:val="none" w:sz="0" w:space="0" w:color="auto"/>
      </w:divBdr>
    </w:div>
    <w:div w:id="209925074">
      <w:bodyDiv w:val="1"/>
      <w:marLeft w:val="0"/>
      <w:marRight w:val="0"/>
      <w:marTop w:val="0"/>
      <w:marBottom w:val="0"/>
      <w:divBdr>
        <w:top w:val="none" w:sz="0" w:space="0" w:color="auto"/>
        <w:left w:val="none" w:sz="0" w:space="0" w:color="auto"/>
        <w:bottom w:val="none" w:sz="0" w:space="0" w:color="auto"/>
        <w:right w:val="none" w:sz="0" w:space="0" w:color="auto"/>
      </w:divBdr>
    </w:div>
    <w:div w:id="211501266">
      <w:bodyDiv w:val="1"/>
      <w:marLeft w:val="0"/>
      <w:marRight w:val="0"/>
      <w:marTop w:val="0"/>
      <w:marBottom w:val="0"/>
      <w:divBdr>
        <w:top w:val="none" w:sz="0" w:space="0" w:color="auto"/>
        <w:left w:val="none" w:sz="0" w:space="0" w:color="auto"/>
        <w:bottom w:val="none" w:sz="0" w:space="0" w:color="auto"/>
        <w:right w:val="none" w:sz="0" w:space="0" w:color="auto"/>
      </w:divBdr>
    </w:div>
    <w:div w:id="309794936">
      <w:bodyDiv w:val="1"/>
      <w:marLeft w:val="0"/>
      <w:marRight w:val="0"/>
      <w:marTop w:val="0"/>
      <w:marBottom w:val="0"/>
      <w:divBdr>
        <w:top w:val="none" w:sz="0" w:space="0" w:color="auto"/>
        <w:left w:val="none" w:sz="0" w:space="0" w:color="auto"/>
        <w:bottom w:val="none" w:sz="0" w:space="0" w:color="auto"/>
        <w:right w:val="none" w:sz="0" w:space="0" w:color="auto"/>
      </w:divBdr>
    </w:div>
    <w:div w:id="353069510">
      <w:bodyDiv w:val="1"/>
      <w:marLeft w:val="0"/>
      <w:marRight w:val="0"/>
      <w:marTop w:val="0"/>
      <w:marBottom w:val="0"/>
      <w:divBdr>
        <w:top w:val="none" w:sz="0" w:space="0" w:color="auto"/>
        <w:left w:val="none" w:sz="0" w:space="0" w:color="auto"/>
        <w:bottom w:val="none" w:sz="0" w:space="0" w:color="auto"/>
        <w:right w:val="none" w:sz="0" w:space="0" w:color="auto"/>
      </w:divBdr>
    </w:div>
    <w:div w:id="363797870">
      <w:bodyDiv w:val="1"/>
      <w:marLeft w:val="0"/>
      <w:marRight w:val="0"/>
      <w:marTop w:val="0"/>
      <w:marBottom w:val="0"/>
      <w:divBdr>
        <w:top w:val="none" w:sz="0" w:space="0" w:color="auto"/>
        <w:left w:val="none" w:sz="0" w:space="0" w:color="auto"/>
        <w:bottom w:val="none" w:sz="0" w:space="0" w:color="auto"/>
        <w:right w:val="none" w:sz="0" w:space="0" w:color="auto"/>
      </w:divBdr>
    </w:div>
    <w:div w:id="364139806">
      <w:bodyDiv w:val="1"/>
      <w:marLeft w:val="0"/>
      <w:marRight w:val="0"/>
      <w:marTop w:val="0"/>
      <w:marBottom w:val="0"/>
      <w:divBdr>
        <w:top w:val="none" w:sz="0" w:space="0" w:color="auto"/>
        <w:left w:val="none" w:sz="0" w:space="0" w:color="auto"/>
        <w:bottom w:val="none" w:sz="0" w:space="0" w:color="auto"/>
        <w:right w:val="none" w:sz="0" w:space="0" w:color="auto"/>
      </w:divBdr>
    </w:div>
    <w:div w:id="379135410">
      <w:bodyDiv w:val="1"/>
      <w:marLeft w:val="0"/>
      <w:marRight w:val="0"/>
      <w:marTop w:val="0"/>
      <w:marBottom w:val="0"/>
      <w:divBdr>
        <w:top w:val="none" w:sz="0" w:space="0" w:color="auto"/>
        <w:left w:val="none" w:sz="0" w:space="0" w:color="auto"/>
        <w:bottom w:val="none" w:sz="0" w:space="0" w:color="auto"/>
        <w:right w:val="none" w:sz="0" w:space="0" w:color="auto"/>
      </w:divBdr>
    </w:div>
    <w:div w:id="501900068">
      <w:bodyDiv w:val="1"/>
      <w:marLeft w:val="0"/>
      <w:marRight w:val="0"/>
      <w:marTop w:val="0"/>
      <w:marBottom w:val="0"/>
      <w:divBdr>
        <w:top w:val="none" w:sz="0" w:space="0" w:color="auto"/>
        <w:left w:val="none" w:sz="0" w:space="0" w:color="auto"/>
        <w:bottom w:val="none" w:sz="0" w:space="0" w:color="auto"/>
        <w:right w:val="none" w:sz="0" w:space="0" w:color="auto"/>
      </w:divBdr>
    </w:div>
    <w:div w:id="742989344">
      <w:bodyDiv w:val="1"/>
      <w:marLeft w:val="0"/>
      <w:marRight w:val="0"/>
      <w:marTop w:val="0"/>
      <w:marBottom w:val="0"/>
      <w:divBdr>
        <w:top w:val="none" w:sz="0" w:space="0" w:color="auto"/>
        <w:left w:val="none" w:sz="0" w:space="0" w:color="auto"/>
        <w:bottom w:val="none" w:sz="0" w:space="0" w:color="auto"/>
        <w:right w:val="none" w:sz="0" w:space="0" w:color="auto"/>
      </w:divBdr>
    </w:div>
    <w:div w:id="785127068">
      <w:bodyDiv w:val="1"/>
      <w:marLeft w:val="0"/>
      <w:marRight w:val="0"/>
      <w:marTop w:val="0"/>
      <w:marBottom w:val="0"/>
      <w:divBdr>
        <w:top w:val="none" w:sz="0" w:space="0" w:color="auto"/>
        <w:left w:val="none" w:sz="0" w:space="0" w:color="auto"/>
        <w:bottom w:val="none" w:sz="0" w:space="0" w:color="auto"/>
        <w:right w:val="none" w:sz="0" w:space="0" w:color="auto"/>
      </w:divBdr>
    </w:div>
    <w:div w:id="817066251">
      <w:bodyDiv w:val="1"/>
      <w:marLeft w:val="0"/>
      <w:marRight w:val="0"/>
      <w:marTop w:val="0"/>
      <w:marBottom w:val="0"/>
      <w:divBdr>
        <w:top w:val="none" w:sz="0" w:space="0" w:color="auto"/>
        <w:left w:val="none" w:sz="0" w:space="0" w:color="auto"/>
        <w:bottom w:val="none" w:sz="0" w:space="0" w:color="auto"/>
        <w:right w:val="none" w:sz="0" w:space="0" w:color="auto"/>
      </w:divBdr>
    </w:div>
    <w:div w:id="824013381">
      <w:bodyDiv w:val="1"/>
      <w:marLeft w:val="0"/>
      <w:marRight w:val="0"/>
      <w:marTop w:val="0"/>
      <w:marBottom w:val="0"/>
      <w:divBdr>
        <w:top w:val="none" w:sz="0" w:space="0" w:color="auto"/>
        <w:left w:val="none" w:sz="0" w:space="0" w:color="auto"/>
        <w:bottom w:val="none" w:sz="0" w:space="0" w:color="auto"/>
        <w:right w:val="none" w:sz="0" w:space="0" w:color="auto"/>
      </w:divBdr>
    </w:div>
    <w:div w:id="833686380">
      <w:bodyDiv w:val="1"/>
      <w:marLeft w:val="0"/>
      <w:marRight w:val="0"/>
      <w:marTop w:val="0"/>
      <w:marBottom w:val="0"/>
      <w:divBdr>
        <w:top w:val="none" w:sz="0" w:space="0" w:color="auto"/>
        <w:left w:val="none" w:sz="0" w:space="0" w:color="auto"/>
        <w:bottom w:val="none" w:sz="0" w:space="0" w:color="auto"/>
        <w:right w:val="none" w:sz="0" w:space="0" w:color="auto"/>
      </w:divBdr>
    </w:div>
    <w:div w:id="849442741">
      <w:bodyDiv w:val="1"/>
      <w:marLeft w:val="0"/>
      <w:marRight w:val="0"/>
      <w:marTop w:val="0"/>
      <w:marBottom w:val="0"/>
      <w:divBdr>
        <w:top w:val="none" w:sz="0" w:space="0" w:color="auto"/>
        <w:left w:val="none" w:sz="0" w:space="0" w:color="auto"/>
        <w:bottom w:val="none" w:sz="0" w:space="0" w:color="auto"/>
        <w:right w:val="none" w:sz="0" w:space="0" w:color="auto"/>
      </w:divBdr>
    </w:div>
    <w:div w:id="870261013">
      <w:bodyDiv w:val="1"/>
      <w:marLeft w:val="0"/>
      <w:marRight w:val="0"/>
      <w:marTop w:val="0"/>
      <w:marBottom w:val="0"/>
      <w:divBdr>
        <w:top w:val="none" w:sz="0" w:space="0" w:color="auto"/>
        <w:left w:val="none" w:sz="0" w:space="0" w:color="auto"/>
        <w:bottom w:val="none" w:sz="0" w:space="0" w:color="auto"/>
        <w:right w:val="none" w:sz="0" w:space="0" w:color="auto"/>
      </w:divBdr>
    </w:div>
    <w:div w:id="874390763">
      <w:bodyDiv w:val="1"/>
      <w:marLeft w:val="0"/>
      <w:marRight w:val="0"/>
      <w:marTop w:val="0"/>
      <w:marBottom w:val="0"/>
      <w:divBdr>
        <w:top w:val="none" w:sz="0" w:space="0" w:color="auto"/>
        <w:left w:val="none" w:sz="0" w:space="0" w:color="auto"/>
        <w:bottom w:val="none" w:sz="0" w:space="0" w:color="auto"/>
        <w:right w:val="none" w:sz="0" w:space="0" w:color="auto"/>
      </w:divBdr>
    </w:div>
    <w:div w:id="960914755">
      <w:bodyDiv w:val="1"/>
      <w:marLeft w:val="0"/>
      <w:marRight w:val="0"/>
      <w:marTop w:val="0"/>
      <w:marBottom w:val="0"/>
      <w:divBdr>
        <w:top w:val="none" w:sz="0" w:space="0" w:color="auto"/>
        <w:left w:val="none" w:sz="0" w:space="0" w:color="auto"/>
        <w:bottom w:val="none" w:sz="0" w:space="0" w:color="auto"/>
        <w:right w:val="none" w:sz="0" w:space="0" w:color="auto"/>
      </w:divBdr>
    </w:div>
    <w:div w:id="1087071661">
      <w:bodyDiv w:val="1"/>
      <w:marLeft w:val="0"/>
      <w:marRight w:val="0"/>
      <w:marTop w:val="0"/>
      <w:marBottom w:val="0"/>
      <w:divBdr>
        <w:top w:val="none" w:sz="0" w:space="0" w:color="auto"/>
        <w:left w:val="none" w:sz="0" w:space="0" w:color="auto"/>
        <w:bottom w:val="none" w:sz="0" w:space="0" w:color="auto"/>
        <w:right w:val="none" w:sz="0" w:space="0" w:color="auto"/>
      </w:divBdr>
    </w:div>
    <w:div w:id="1091393048">
      <w:bodyDiv w:val="1"/>
      <w:marLeft w:val="0"/>
      <w:marRight w:val="0"/>
      <w:marTop w:val="0"/>
      <w:marBottom w:val="0"/>
      <w:divBdr>
        <w:top w:val="none" w:sz="0" w:space="0" w:color="auto"/>
        <w:left w:val="none" w:sz="0" w:space="0" w:color="auto"/>
        <w:bottom w:val="none" w:sz="0" w:space="0" w:color="auto"/>
        <w:right w:val="none" w:sz="0" w:space="0" w:color="auto"/>
      </w:divBdr>
    </w:div>
    <w:div w:id="1189683135">
      <w:bodyDiv w:val="1"/>
      <w:marLeft w:val="0"/>
      <w:marRight w:val="0"/>
      <w:marTop w:val="0"/>
      <w:marBottom w:val="0"/>
      <w:divBdr>
        <w:top w:val="none" w:sz="0" w:space="0" w:color="auto"/>
        <w:left w:val="none" w:sz="0" w:space="0" w:color="auto"/>
        <w:bottom w:val="none" w:sz="0" w:space="0" w:color="auto"/>
        <w:right w:val="none" w:sz="0" w:space="0" w:color="auto"/>
      </w:divBdr>
    </w:div>
    <w:div w:id="1218280603">
      <w:bodyDiv w:val="1"/>
      <w:marLeft w:val="0"/>
      <w:marRight w:val="0"/>
      <w:marTop w:val="0"/>
      <w:marBottom w:val="0"/>
      <w:divBdr>
        <w:top w:val="none" w:sz="0" w:space="0" w:color="auto"/>
        <w:left w:val="none" w:sz="0" w:space="0" w:color="auto"/>
        <w:bottom w:val="none" w:sz="0" w:space="0" w:color="auto"/>
        <w:right w:val="none" w:sz="0" w:space="0" w:color="auto"/>
      </w:divBdr>
    </w:div>
    <w:div w:id="1295024027">
      <w:bodyDiv w:val="1"/>
      <w:marLeft w:val="0"/>
      <w:marRight w:val="0"/>
      <w:marTop w:val="0"/>
      <w:marBottom w:val="0"/>
      <w:divBdr>
        <w:top w:val="none" w:sz="0" w:space="0" w:color="auto"/>
        <w:left w:val="none" w:sz="0" w:space="0" w:color="auto"/>
        <w:bottom w:val="none" w:sz="0" w:space="0" w:color="auto"/>
        <w:right w:val="none" w:sz="0" w:space="0" w:color="auto"/>
      </w:divBdr>
    </w:div>
    <w:div w:id="1506746603">
      <w:bodyDiv w:val="1"/>
      <w:marLeft w:val="0"/>
      <w:marRight w:val="0"/>
      <w:marTop w:val="0"/>
      <w:marBottom w:val="0"/>
      <w:divBdr>
        <w:top w:val="none" w:sz="0" w:space="0" w:color="auto"/>
        <w:left w:val="none" w:sz="0" w:space="0" w:color="auto"/>
        <w:bottom w:val="none" w:sz="0" w:space="0" w:color="auto"/>
        <w:right w:val="none" w:sz="0" w:space="0" w:color="auto"/>
      </w:divBdr>
    </w:div>
    <w:div w:id="1679577855">
      <w:bodyDiv w:val="1"/>
      <w:marLeft w:val="0"/>
      <w:marRight w:val="0"/>
      <w:marTop w:val="0"/>
      <w:marBottom w:val="0"/>
      <w:divBdr>
        <w:top w:val="none" w:sz="0" w:space="0" w:color="auto"/>
        <w:left w:val="none" w:sz="0" w:space="0" w:color="auto"/>
        <w:bottom w:val="none" w:sz="0" w:space="0" w:color="auto"/>
        <w:right w:val="none" w:sz="0" w:space="0" w:color="auto"/>
      </w:divBdr>
    </w:div>
    <w:div w:id="1682201087">
      <w:bodyDiv w:val="1"/>
      <w:marLeft w:val="0"/>
      <w:marRight w:val="0"/>
      <w:marTop w:val="0"/>
      <w:marBottom w:val="0"/>
      <w:divBdr>
        <w:top w:val="none" w:sz="0" w:space="0" w:color="auto"/>
        <w:left w:val="none" w:sz="0" w:space="0" w:color="auto"/>
        <w:bottom w:val="none" w:sz="0" w:space="0" w:color="auto"/>
        <w:right w:val="none" w:sz="0" w:space="0" w:color="auto"/>
      </w:divBdr>
    </w:div>
    <w:div w:id="1694695860">
      <w:bodyDiv w:val="1"/>
      <w:marLeft w:val="0"/>
      <w:marRight w:val="0"/>
      <w:marTop w:val="0"/>
      <w:marBottom w:val="0"/>
      <w:divBdr>
        <w:top w:val="none" w:sz="0" w:space="0" w:color="auto"/>
        <w:left w:val="none" w:sz="0" w:space="0" w:color="auto"/>
        <w:bottom w:val="none" w:sz="0" w:space="0" w:color="auto"/>
        <w:right w:val="none" w:sz="0" w:space="0" w:color="auto"/>
      </w:divBdr>
    </w:div>
    <w:div w:id="1747024595">
      <w:bodyDiv w:val="1"/>
      <w:marLeft w:val="0"/>
      <w:marRight w:val="0"/>
      <w:marTop w:val="0"/>
      <w:marBottom w:val="0"/>
      <w:divBdr>
        <w:top w:val="none" w:sz="0" w:space="0" w:color="auto"/>
        <w:left w:val="none" w:sz="0" w:space="0" w:color="auto"/>
        <w:bottom w:val="none" w:sz="0" w:space="0" w:color="auto"/>
        <w:right w:val="none" w:sz="0" w:space="0" w:color="auto"/>
      </w:divBdr>
    </w:div>
    <w:div w:id="1800608541">
      <w:bodyDiv w:val="1"/>
      <w:marLeft w:val="0"/>
      <w:marRight w:val="0"/>
      <w:marTop w:val="0"/>
      <w:marBottom w:val="0"/>
      <w:divBdr>
        <w:top w:val="none" w:sz="0" w:space="0" w:color="auto"/>
        <w:left w:val="none" w:sz="0" w:space="0" w:color="auto"/>
        <w:bottom w:val="none" w:sz="0" w:space="0" w:color="auto"/>
        <w:right w:val="none" w:sz="0" w:space="0" w:color="auto"/>
      </w:divBdr>
    </w:div>
    <w:div w:id="1805460022">
      <w:bodyDiv w:val="1"/>
      <w:marLeft w:val="0"/>
      <w:marRight w:val="0"/>
      <w:marTop w:val="0"/>
      <w:marBottom w:val="0"/>
      <w:divBdr>
        <w:top w:val="none" w:sz="0" w:space="0" w:color="auto"/>
        <w:left w:val="none" w:sz="0" w:space="0" w:color="auto"/>
        <w:bottom w:val="none" w:sz="0" w:space="0" w:color="auto"/>
        <w:right w:val="none" w:sz="0" w:space="0" w:color="auto"/>
      </w:divBdr>
    </w:div>
    <w:div w:id="1822967527">
      <w:bodyDiv w:val="1"/>
      <w:marLeft w:val="0"/>
      <w:marRight w:val="0"/>
      <w:marTop w:val="0"/>
      <w:marBottom w:val="0"/>
      <w:divBdr>
        <w:top w:val="none" w:sz="0" w:space="0" w:color="auto"/>
        <w:left w:val="none" w:sz="0" w:space="0" w:color="auto"/>
        <w:bottom w:val="none" w:sz="0" w:space="0" w:color="auto"/>
        <w:right w:val="none" w:sz="0" w:space="0" w:color="auto"/>
      </w:divBdr>
    </w:div>
    <w:div w:id="1854757507">
      <w:bodyDiv w:val="1"/>
      <w:marLeft w:val="0"/>
      <w:marRight w:val="0"/>
      <w:marTop w:val="0"/>
      <w:marBottom w:val="0"/>
      <w:divBdr>
        <w:top w:val="none" w:sz="0" w:space="0" w:color="auto"/>
        <w:left w:val="none" w:sz="0" w:space="0" w:color="auto"/>
        <w:bottom w:val="none" w:sz="0" w:space="0" w:color="auto"/>
        <w:right w:val="none" w:sz="0" w:space="0" w:color="auto"/>
      </w:divBdr>
    </w:div>
    <w:div w:id="1902133225">
      <w:bodyDiv w:val="1"/>
      <w:marLeft w:val="0"/>
      <w:marRight w:val="0"/>
      <w:marTop w:val="0"/>
      <w:marBottom w:val="0"/>
      <w:divBdr>
        <w:top w:val="none" w:sz="0" w:space="0" w:color="auto"/>
        <w:left w:val="none" w:sz="0" w:space="0" w:color="auto"/>
        <w:bottom w:val="none" w:sz="0" w:space="0" w:color="auto"/>
        <w:right w:val="none" w:sz="0" w:space="0" w:color="auto"/>
      </w:divBdr>
    </w:div>
    <w:div w:id="1978148254">
      <w:bodyDiv w:val="1"/>
      <w:marLeft w:val="0"/>
      <w:marRight w:val="0"/>
      <w:marTop w:val="0"/>
      <w:marBottom w:val="0"/>
      <w:divBdr>
        <w:top w:val="none" w:sz="0" w:space="0" w:color="auto"/>
        <w:left w:val="none" w:sz="0" w:space="0" w:color="auto"/>
        <w:bottom w:val="none" w:sz="0" w:space="0" w:color="auto"/>
        <w:right w:val="none" w:sz="0" w:space="0" w:color="auto"/>
      </w:divBdr>
    </w:div>
    <w:div w:id="2122069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6</Pages>
  <Words>2989</Words>
  <Characters>17040</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2025-05-04T11:05:00Z</dcterms:created>
  <dcterms:modified xsi:type="dcterms:W3CDTF">2025-05-04T16:13:00Z</dcterms:modified>
</cp:coreProperties>
</file>