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DD42BF0" w14:textId="77777777" w:rsidR="009164C4" w:rsidRDefault="009164C4" w:rsidP="008A7242">
      <w:pPr>
        <w:jc w:val="center"/>
        <w:rPr>
          <w:b/>
          <w:sz w:val="32"/>
        </w:rPr>
      </w:pPr>
    </w:p>
    <w:p w14:paraId="32496A14" w14:textId="6A3F24DC" w:rsidR="009164C4" w:rsidRDefault="009164C4" w:rsidP="008A7242">
      <w:pPr>
        <w:jc w:val="center"/>
        <w:rPr>
          <w:b/>
          <w:sz w:val="32"/>
        </w:rPr>
      </w:pPr>
      <w:r w:rsidRPr="009164C4">
        <w:rPr>
          <w:b/>
          <w:sz w:val="32"/>
        </w:rPr>
        <w:t>BMPL4011</w:t>
      </w:r>
    </w:p>
    <w:p w14:paraId="5D94E214" w14:textId="7FA68501" w:rsidR="00C85562" w:rsidRPr="008A7242" w:rsidRDefault="008A7242" w:rsidP="008A7242">
      <w:pPr>
        <w:jc w:val="center"/>
        <w:rPr>
          <w:b/>
          <w:sz w:val="32"/>
        </w:rPr>
      </w:pPr>
      <w:r w:rsidRPr="008A7242">
        <w:rPr>
          <w:b/>
          <w:sz w:val="32"/>
        </w:rPr>
        <w:t>Legal Process</w:t>
      </w:r>
    </w:p>
    <w:p w14:paraId="33B1FCEC" w14:textId="77777777" w:rsidR="008A7242" w:rsidRPr="008A7242" w:rsidRDefault="008A7242" w:rsidP="008A7242">
      <w:pPr>
        <w:pBdr>
          <w:bottom w:val="single" w:sz="4" w:space="1" w:color="auto"/>
        </w:pBdr>
        <w:jc w:val="center"/>
        <w:rPr>
          <w:b/>
          <w:sz w:val="32"/>
        </w:rPr>
      </w:pPr>
      <w:r w:rsidRPr="008A7242">
        <w:rPr>
          <w:b/>
          <w:sz w:val="32"/>
        </w:rPr>
        <w:t>Constitutional Reform Act 2005</w:t>
      </w:r>
    </w:p>
    <w:p w14:paraId="4E40B38A" w14:textId="77777777" w:rsidR="00265308" w:rsidRDefault="00265308"/>
    <w:p w14:paraId="23348BC1" w14:textId="77777777" w:rsidR="00265308" w:rsidRDefault="00265308"/>
    <w:p w14:paraId="31E21DB1" w14:textId="77777777" w:rsidR="00265308" w:rsidRDefault="00265308">
      <w:pPr>
        <w:spacing w:before="0" w:line="259" w:lineRule="auto"/>
        <w:jc w:val="left"/>
      </w:pPr>
      <w:r>
        <w:br w:type="page"/>
      </w:r>
    </w:p>
    <w:p w14:paraId="4A99DA14" w14:textId="77777777" w:rsidR="00F0144B" w:rsidRDefault="00F0144B" w:rsidP="00F0144B">
      <w:pPr>
        <w:pStyle w:val="Heading1"/>
      </w:pPr>
      <w:r>
        <w:lastRenderedPageBreak/>
        <w:t>Discussion on the Constitutional Reform Act 2005 has made little to no changes to the UK’s constitution and the Separation of powers theory</w:t>
      </w:r>
    </w:p>
    <w:p w14:paraId="0B5015BF" w14:textId="77777777" w:rsidR="00265308" w:rsidRDefault="00265308">
      <w:r w:rsidRPr="00265308">
        <w:t xml:space="preserve">The Constitutional Reform Act of 2005 is a </w:t>
      </w:r>
      <w:r w:rsidR="00C02C5E" w:rsidRPr="00265308">
        <w:t>significant</w:t>
      </w:r>
      <w:r w:rsidRPr="00265308">
        <w:t xml:space="preserve"> legislative measure with the objective of modernising and restructuring the constitutional framework of the United Kingdom. Although the Act did bring about certain alterations, one might contend that its influence on the nation's constitution and the concept of separ</w:t>
      </w:r>
      <w:r w:rsidR="007473A0">
        <w:t>ation of powers was relatively low</w:t>
      </w:r>
      <w:r w:rsidRPr="00265308">
        <w:t xml:space="preserve">.  </w:t>
      </w:r>
    </w:p>
    <w:p w14:paraId="1A5F0A1E" w14:textId="77777777" w:rsidR="00265308" w:rsidRDefault="00371956" w:rsidP="00BF5D64">
      <w:r w:rsidRPr="00371956">
        <w:t>The constitution defines the structure, powers</w:t>
      </w:r>
      <w:r w:rsidR="00C02C5E">
        <w:t xml:space="preserve"> and duties of a government</w:t>
      </w:r>
      <w:r w:rsidRPr="00371956">
        <w:t xml:space="preserve"> as well as the rights and obligations of its citizens. It determines the structure of government and the allocation of responsibilities among different branches</w:t>
      </w:r>
      <w:r w:rsidR="00F0144B">
        <w:t xml:space="preserve"> (</w:t>
      </w:r>
      <w:r w:rsidR="00F0144B" w:rsidRPr="00F0144B">
        <w:t>Leyland, 2016</w:t>
      </w:r>
      <w:r w:rsidR="00F0144B">
        <w:t>)</w:t>
      </w:r>
      <w:r w:rsidRPr="00371956">
        <w:t xml:space="preserve">. The majority of the British constitution is not written. Instead, it is based on codified statutes, </w:t>
      </w:r>
      <w:r w:rsidR="00BF5D64" w:rsidRPr="00371956">
        <w:t xml:space="preserve">agreements, common law, </w:t>
      </w:r>
      <w:r w:rsidR="00BF5D64">
        <w:t>case law, prerogative powers, constitutional conventions, international law</w:t>
      </w:r>
      <w:r w:rsidR="00BF5D64" w:rsidRPr="00371956">
        <w:t xml:space="preserve"> </w:t>
      </w:r>
      <w:r w:rsidRPr="00371956">
        <w:t>and historic evidence.</w:t>
      </w:r>
      <w:r w:rsidR="003D74BC">
        <w:t xml:space="preserve"> </w:t>
      </w:r>
      <w:r w:rsidR="00265308" w:rsidRPr="00265308">
        <w:t>The essential tenets encompass the concept of parliamentary sovereignty, which posits that Parliament has supreme legal authority, th</w:t>
      </w:r>
      <w:r w:rsidR="00753010">
        <w:t xml:space="preserve">e adherence to the rule of law </w:t>
      </w:r>
      <w:r w:rsidR="00265308" w:rsidRPr="00265308">
        <w:t>and the safeguarding of fundamental rights. The United Kingdom lacks a singular, codified document like other nations. Instead, its constitution is an amalgamation of various sources that have evolved gradually throughout history</w:t>
      </w:r>
      <w:r w:rsidR="00F0144B">
        <w:t xml:space="preserve"> (</w:t>
      </w:r>
      <w:r w:rsidR="00F0144B" w:rsidRPr="00F0144B">
        <w:t>Barnett, 2019</w:t>
      </w:r>
      <w:r w:rsidR="00F0144B">
        <w:t>)</w:t>
      </w:r>
      <w:r w:rsidR="00265308" w:rsidRPr="00265308">
        <w:t xml:space="preserve">. </w:t>
      </w:r>
    </w:p>
    <w:p w14:paraId="4B13F08C" w14:textId="77777777" w:rsidR="00A95C81" w:rsidRDefault="00A95C81" w:rsidP="0036713B">
      <w:r w:rsidRPr="003D74BC">
        <w:t>The Separation of Powers theory</w:t>
      </w:r>
      <w:r>
        <w:t xml:space="preserve"> is crucial for democracy as it </w:t>
      </w:r>
      <w:r w:rsidRPr="003D74BC">
        <w:t xml:space="preserve">seeks to prevent </w:t>
      </w:r>
      <w:r w:rsidRPr="00C96B6A">
        <w:t>concentration of power and potential abuse</w:t>
      </w:r>
      <w:r>
        <w:t xml:space="preserve"> </w:t>
      </w:r>
      <w:r w:rsidRPr="003D74BC">
        <w:t>by setting up a system of checks and balances</w:t>
      </w:r>
      <w:r w:rsidR="00B41EA0">
        <w:t xml:space="preserve"> (</w:t>
      </w:r>
      <w:r w:rsidR="00B41EA0" w:rsidRPr="00B41EA0">
        <w:t>Hessick, 2016</w:t>
      </w:r>
      <w:r w:rsidR="00B41EA0">
        <w:t>)</w:t>
      </w:r>
      <w:r w:rsidRPr="003D74BC">
        <w:t>.</w:t>
      </w:r>
      <w:r>
        <w:t xml:space="preserve"> The main principle of the theory is to create clear boundaries among the different branch </w:t>
      </w:r>
      <w:r w:rsidR="0036713B">
        <w:t>of</w:t>
      </w:r>
      <w:r>
        <w:t xml:space="preserve"> the government. These are </w:t>
      </w:r>
      <w:r w:rsidRPr="003D74BC">
        <w:t>th</w:t>
      </w:r>
      <w:r>
        <w:t>e executive, legislative branch</w:t>
      </w:r>
      <w:r w:rsidRPr="003D74BC">
        <w:t xml:space="preserve"> and the judiciary</w:t>
      </w:r>
      <w:r w:rsidR="0036713B">
        <w:t xml:space="preserve">. These branches have </w:t>
      </w:r>
      <w:r w:rsidR="0036713B" w:rsidRPr="003D74BC">
        <w:t>distinctive</w:t>
      </w:r>
      <w:r w:rsidR="0036713B">
        <w:t xml:space="preserve"> functions, autonomous domains</w:t>
      </w:r>
      <w:r w:rsidR="0036713B" w:rsidRPr="003D74BC">
        <w:t xml:space="preserve"> and a degree of autonomy to act as counterweights to each other.</w:t>
      </w:r>
      <w:r w:rsidR="0036713B" w:rsidRPr="0036713B">
        <w:t xml:space="preserve"> </w:t>
      </w:r>
      <w:r w:rsidR="0036713B" w:rsidRPr="003D74BC">
        <w:t>The objective of this arrangement is to limit the power of any one institution or body and, by extension, the possibility of oppression or tyranny.</w:t>
      </w:r>
    </w:p>
    <w:p w14:paraId="570007EB" w14:textId="77777777" w:rsidR="003D74BC" w:rsidRDefault="003D74BC" w:rsidP="003D74BC">
      <w:r>
        <w:t xml:space="preserve">The executive branch </w:t>
      </w:r>
      <w:r w:rsidRPr="003D74BC">
        <w:t xml:space="preserve">with the power of administration and execution, </w:t>
      </w:r>
      <w:r>
        <w:t>has implement all the laws made by the</w:t>
      </w:r>
      <w:r w:rsidRPr="003D74BC">
        <w:t xml:space="preserve"> legislative arm.</w:t>
      </w:r>
      <w:r>
        <w:t xml:space="preserve"> </w:t>
      </w:r>
      <w:r w:rsidRPr="003D74BC">
        <w:t>This includes carrying out policies, managing public relations and responding to the exigencies of the state</w:t>
      </w:r>
      <w:r w:rsidR="00B41EA0">
        <w:t xml:space="preserve"> (Barendt, </w:t>
      </w:r>
      <w:r w:rsidR="00B41EA0" w:rsidRPr="00B41EA0">
        <w:t>2017</w:t>
      </w:r>
      <w:r w:rsidR="00B41EA0">
        <w:t>)</w:t>
      </w:r>
      <w:r w:rsidRPr="003D74BC">
        <w:t xml:space="preserve">. The crucial job of establishing laws falls on the legislative branch, sometimes known as the parliament. It creates, discusses, and enacts laws that control society, distribute resources, and define the boundaries of government. The judicial branch represents the unbiased adjudication of legal issues and the interpretation of statutes. In this role, the judiciary is a bulwark of impartiality, assessing whether or not executive actions and legislative acts comply with the law and the constitution. </w:t>
      </w:r>
      <w:r w:rsidRPr="003D74BC">
        <w:lastRenderedPageBreak/>
        <w:t>The Separation of Powers theory acknowledges the interconnectedness and overlap present in government, despite its idealistic division of power.</w:t>
      </w:r>
      <w:r>
        <w:t xml:space="preserve"> So, the theory does not want to isolate the branches. Instead it wan</w:t>
      </w:r>
      <w:r w:rsidR="00BF5D64">
        <w:t>ts a dynamic interplay promoting</w:t>
      </w:r>
      <w:r>
        <w:t xml:space="preserve"> </w:t>
      </w:r>
      <w:r w:rsidRPr="003D74BC">
        <w:t>accountability, collaboration and equilibrium</w:t>
      </w:r>
      <w:r w:rsidR="00B41EA0">
        <w:t xml:space="preserve"> (Vanoni and </w:t>
      </w:r>
      <w:proofErr w:type="spellStart"/>
      <w:r w:rsidR="00B41EA0" w:rsidRPr="00B41EA0">
        <w:t>Baraggia</w:t>
      </w:r>
      <w:proofErr w:type="spellEnd"/>
      <w:r w:rsidR="00B41EA0" w:rsidRPr="00B41EA0">
        <w:t>, 2017</w:t>
      </w:r>
      <w:r w:rsidR="00B41EA0">
        <w:t>)</w:t>
      </w:r>
      <w:r w:rsidRPr="003D74BC">
        <w:t>.</w:t>
      </w:r>
    </w:p>
    <w:p w14:paraId="373CB324" w14:textId="77777777" w:rsidR="00922DB0" w:rsidRPr="00922DB0" w:rsidRDefault="00922DB0" w:rsidP="00922DB0">
      <w:r w:rsidRPr="00922DB0">
        <w:t>The Government symbolises the executive arm of a country's go</w:t>
      </w:r>
      <w:r>
        <w:t xml:space="preserve">vernance </w:t>
      </w:r>
      <w:r w:rsidRPr="00922DB0">
        <w:t xml:space="preserve">which is responsible for developing, enacting, and overseeing national policies. </w:t>
      </w:r>
      <w:r w:rsidR="005E0E59">
        <w:t xml:space="preserve">The government includes the cabinet who is assisted by </w:t>
      </w:r>
      <w:r w:rsidR="005E0E59" w:rsidRPr="005E0E59">
        <w:t>Junior Ministers and Civil Servants</w:t>
      </w:r>
      <w:r w:rsidR="005E0E59">
        <w:t>, prime minister (PM) and wider government (</w:t>
      </w:r>
      <w:r w:rsidR="00683724" w:rsidRPr="00683724">
        <w:t xml:space="preserve">the police, the army </w:t>
      </w:r>
      <w:r w:rsidR="00683724">
        <w:t xml:space="preserve">and </w:t>
      </w:r>
      <w:r w:rsidR="00683724" w:rsidRPr="00683724">
        <w:t>members of executive agencies</w:t>
      </w:r>
      <w:r w:rsidR="005E0E59">
        <w:t xml:space="preserve">). PM represents government in the parliament. Government has prerogative power. </w:t>
      </w:r>
      <w:r w:rsidRPr="00922DB0">
        <w:t>Within this structure, it is the Government's job to carry out the laws passed by the legislature</w:t>
      </w:r>
      <w:r>
        <w:t xml:space="preserve">. </w:t>
      </w:r>
      <w:r w:rsidR="00683724">
        <w:t xml:space="preserve">It runs the country, exercise fair power, uphold the law, checks conflicts and so on </w:t>
      </w:r>
      <w:r>
        <w:t>actually help the people of the country.</w:t>
      </w:r>
      <w:r w:rsidR="00683724">
        <w:t xml:space="preserve"> </w:t>
      </w:r>
      <w:r>
        <w:t>Foreign policies for the country, resource distribution</w:t>
      </w:r>
      <w:r w:rsidRPr="00922DB0">
        <w:t xml:space="preserve"> and management </w:t>
      </w:r>
      <w:r>
        <w:t xml:space="preserve">of the public </w:t>
      </w:r>
      <w:r w:rsidR="00683724">
        <w:t xml:space="preserve">services, proposing laws etc. </w:t>
      </w:r>
      <w:r w:rsidRPr="00922DB0">
        <w:t>are just a few of the many responsibilities that fall under this umbrella</w:t>
      </w:r>
      <w:r w:rsidR="00B41EA0">
        <w:t xml:space="preserve"> (</w:t>
      </w:r>
      <w:r w:rsidR="00B41EA0" w:rsidRPr="00B41EA0">
        <w:t>Leyland, 2016</w:t>
      </w:r>
      <w:r w:rsidR="00B41EA0">
        <w:t>)</w:t>
      </w:r>
      <w:r w:rsidRPr="00922DB0">
        <w:t>.</w:t>
      </w:r>
    </w:p>
    <w:p w14:paraId="2EB12DB7" w14:textId="77777777" w:rsidR="00922DB0" w:rsidRDefault="00922DB0" w:rsidP="00922DB0">
      <w:r w:rsidRPr="00922DB0">
        <w:t>The Parliament is the legislative backbone of a democratic society.</w:t>
      </w:r>
      <w:r>
        <w:t xml:space="preserve"> It is actually bicameral </w:t>
      </w:r>
      <w:r w:rsidRPr="00922DB0">
        <w:t>institute</w:t>
      </w:r>
      <w:r>
        <w:t xml:space="preserve"> with </w:t>
      </w:r>
      <w:r w:rsidRPr="00922DB0">
        <w:t>the House of Commons</w:t>
      </w:r>
      <w:r w:rsidR="00683724">
        <w:t xml:space="preserve"> (repressing common people)</w:t>
      </w:r>
      <w:r w:rsidRPr="00922DB0">
        <w:t xml:space="preserve"> and the House of Lords</w:t>
      </w:r>
      <w:r w:rsidR="00683724">
        <w:t xml:space="preserve"> (representing hereditary peers)</w:t>
      </w:r>
      <w:r>
        <w:t xml:space="preserve">. The main function of the institute is to </w:t>
      </w:r>
      <w:r w:rsidR="00683724">
        <w:t>consider</w:t>
      </w:r>
      <w:r>
        <w:t xml:space="preserve">, revise and enact the </w:t>
      </w:r>
      <w:r w:rsidR="00683724">
        <w:t>primary and secondary legislation as well as delegate legislation</w:t>
      </w:r>
      <w:r w:rsidR="005E0E59">
        <w:t>.</w:t>
      </w:r>
      <w:r>
        <w:t xml:space="preserve"> </w:t>
      </w:r>
      <w:r w:rsidR="005E0E59">
        <w:t>Parliament can hold government accountable.</w:t>
      </w:r>
      <w:r w:rsidR="004B5922">
        <w:t xml:space="preserve"> </w:t>
      </w:r>
      <w:r w:rsidR="00D730FD" w:rsidRPr="00D730FD">
        <w:t>This complicated process involves a lot of discussion, consultation, and thinking about different points of view</w:t>
      </w:r>
      <w:r w:rsidR="00683724">
        <w:t xml:space="preserve"> for laws</w:t>
      </w:r>
      <w:r w:rsidR="00D730FD" w:rsidRPr="00D730FD">
        <w:t>. Eventually, it leads to the creation of legal rules that guide society</w:t>
      </w:r>
      <w:r w:rsidR="00B41EA0">
        <w:t xml:space="preserve"> (</w:t>
      </w:r>
      <w:r w:rsidR="00B41EA0" w:rsidRPr="00B41EA0">
        <w:t>Barnett, 2019</w:t>
      </w:r>
      <w:r w:rsidR="00B41EA0">
        <w:t>)</w:t>
      </w:r>
      <w:r w:rsidR="00D730FD" w:rsidRPr="00D730FD">
        <w:t>.</w:t>
      </w:r>
      <w:r w:rsidR="005E0E59">
        <w:t xml:space="preserve"> </w:t>
      </w:r>
    </w:p>
    <w:p w14:paraId="5E33A3D0" w14:textId="77777777" w:rsidR="00922DB0" w:rsidRDefault="00D730FD" w:rsidP="00922DB0">
      <w:r w:rsidRPr="00D730FD">
        <w:t>In a constitutional system, the Judiciary is in charge of justice and has the solemn task of figuring out how the laws made by the government should be applied. This means settling disagreements, makin</w:t>
      </w:r>
      <w:r w:rsidR="00683724">
        <w:t xml:space="preserve">g decisions about court issues, reviewing daily actions </w:t>
      </w:r>
      <w:r w:rsidRPr="00D730FD">
        <w:t>and protecting people's rights</w:t>
      </w:r>
      <w:r w:rsidR="00683724">
        <w:t xml:space="preserve"> which means the Human rights act 1998</w:t>
      </w:r>
      <w:r w:rsidRPr="00D730FD">
        <w:t>. The Judiciary tries to make sure that justice is given out fairly by</w:t>
      </w:r>
      <w:r w:rsidR="00683724">
        <w:t xml:space="preserve"> looking at facts, law reasons </w:t>
      </w:r>
      <w:r w:rsidRPr="00D730FD">
        <w:t>and past cases in a methodical way.</w:t>
      </w:r>
    </w:p>
    <w:p w14:paraId="7E2056B3" w14:textId="77777777" w:rsidR="0091540D" w:rsidRDefault="0091540D" w:rsidP="00922DB0">
      <w:r>
        <w:t>I</w:t>
      </w:r>
      <w:r w:rsidRPr="0091540D">
        <w:t>t is crucial to comprehend the underlying goals of the CRA 2005. The purpose of the Act was to tackle specific concerns pertaining to the constitutional framework of the United Kingdom, including the responsibilities of the Lord Chancellor, t</w:t>
      </w:r>
      <w:r>
        <w:t>he process of appointing judges</w:t>
      </w:r>
      <w:r w:rsidRPr="0091540D">
        <w:t xml:space="preserve"> and the relationship between the parliament and judiciary</w:t>
      </w:r>
      <w:r w:rsidR="00B41EA0">
        <w:t xml:space="preserve"> (</w:t>
      </w:r>
      <w:r w:rsidR="00B41EA0" w:rsidRPr="00B41EA0">
        <w:t>Windlesham, 2005</w:t>
      </w:r>
      <w:r w:rsidR="00B41EA0">
        <w:t>)</w:t>
      </w:r>
      <w:r w:rsidRPr="0091540D">
        <w:t>.</w:t>
      </w:r>
    </w:p>
    <w:p w14:paraId="39AAFFB2" w14:textId="77777777" w:rsidR="00D730FD" w:rsidRPr="000A521C" w:rsidRDefault="00D730FD" w:rsidP="000A521C">
      <w:r w:rsidRPr="00D730FD">
        <w:t xml:space="preserve">Several parts of the UK's constitutional framework were targeted for change under the Constitutional Reform Act of 2005 (CRA 2005). The Supreme Court, which took over the </w:t>
      </w:r>
      <w:r w:rsidRPr="00D730FD">
        <w:lastRenderedPageBreak/>
        <w:t>judicial duties previously performed by the House of Lords, was one major shift. To guarantee a more open and merit-based appointment procedure for judges, the CRA 2005 also established the J</w:t>
      </w:r>
      <w:r w:rsidR="000A521C">
        <w:t>udicial Appointments Commission which include 15 Commissioners, Lay Chair and 5 Lay people who c</w:t>
      </w:r>
      <w:r w:rsidR="000A521C" w:rsidRPr="000A521C">
        <w:t>hoose judges for courts alongside the Lord Chief Justice</w:t>
      </w:r>
      <w:r w:rsidR="000A521C">
        <w:t>.</w:t>
      </w:r>
    </w:p>
    <w:p w14:paraId="70203471" w14:textId="77777777" w:rsidR="00D730FD" w:rsidRPr="00D730FD" w:rsidRDefault="00D730FD" w:rsidP="00D730FD">
      <w:r w:rsidRPr="00D730FD">
        <w:t>The Lord Chancellor, which is both historic and multifarious within the British constitutional framework, was significantly altered by the CRA 2005. The CRA 2005 brought about an essential redefinition of the Lord Chancellor's role. Recognising the significance of preserving judicial independence, the Act attempted to divide the judiciary from the executive branch. For that, the Lord Chancellor's judicial duties have been assigned to the newly formed Supreme Court effectively removing the conflict of interest inherent in the judicial and executive spheres. Also, for the part of the change, the act has tried to put more emphasis on the Lord Chancellor's advisory role which will be trying to be a guardian of the constitution and a promoter of legal knowledge</w:t>
      </w:r>
      <w:r w:rsidR="00B41EA0">
        <w:t xml:space="preserve"> (</w:t>
      </w:r>
      <w:r w:rsidR="00B41EA0" w:rsidRPr="00B41EA0">
        <w:t>Albert, 2014</w:t>
      </w:r>
      <w:r w:rsidR="00B41EA0">
        <w:t>).</w:t>
      </w:r>
    </w:p>
    <w:p w14:paraId="1E88B8A8" w14:textId="77777777" w:rsidR="00371956" w:rsidRDefault="00D730FD" w:rsidP="00D730FD">
      <w:r>
        <w:t xml:space="preserve">CRA 2005 also changed the </w:t>
      </w:r>
      <w:r w:rsidRPr="00D730FD">
        <w:t>highest court in the UK</w:t>
      </w:r>
      <w:r>
        <w:t xml:space="preserve">. It was </w:t>
      </w:r>
      <w:r w:rsidRPr="00D730FD">
        <w:t>Appellate Committee of the House of Lords</w:t>
      </w:r>
      <w:r>
        <w:t xml:space="preserve"> before but now it is a </w:t>
      </w:r>
      <w:r w:rsidRPr="00D730FD">
        <w:t>new Supreme Court</w:t>
      </w:r>
      <w:r>
        <w:t xml:space="preserve">. It was made to increase the judicial independence and also, create a separation between the judiciary and the parliament. </w:t>
      </w:r>
      <w:r w:rsidR="004B5922">
        <w:t xml:space="preserve">Also, </w:t>
      </w:r>
      <w:r w:rsidR="004B5922" w:rsidRPr="004B5922">
        <w:t>Supreme Court</w:t>
      </w:r>
      <w:r w:rsidR="004B5922">
        <w:t xml:space="preserve"> is not bound by any past decisions, puts emphasis on </w:t>
      </w:r>
      <w:r w:rsidR="004B5922" w:rsidRPr="004B5922">
        <w:t>General Public importance</w:t>
      </w:r>
      <w:r w:rsidR="004B5922">
        <w:t xml:space="preserve"> and binds other courts. </w:t>
      </w:r>
      <w:r w:rsidRPr="00D730FD">
        <w:t>The elimination of possible conflicts between the judiciary and the House of Lords' legislative duties was another major goal of the Supreme Court's creation. By separating judicial duties from the legislature, the CRA 2005 aimed to strengthen the principle of separation of powers and emphasise the independence of the judiciary in following the rule of law</w:t>
      </w:r>
      <w:r w:rsidR="00B41EA0">
        <w:t xml:space="preserve"> (</w:t>
      </w:r>
      <w:r w:rsidR="00B41EA0" w:rsidRPr="00B41EA0">
        <w:t>Hazell, 2015</w:t>
      </w:r>
      <w:r w:rsidR="00B41EA0">
        <w:t>)</w:t>
      </w:r>
      <w:r w:rsidRPr="00D730FD">
        <w:t xml:space="preserve">. Critics, on the other hand, say that this change did not change the split of powers very much in practise. The Supreme Court still </w:t>
      </w:r>
      <w:r w:rsidR="00371956">
        <w:t>operates in the same place</w:t>
      </w:r>
      <w:r w:rsidRPr="00D730FD">
        <w:t xml:space="preserve"> as Parliament, and its judges are chosen by a group </w:t>
      </w:r>
      <w:r w:rsidR="00371956">
        <w:t xml:space="preserve">of </w:t>
      </w:r>
      <w:r w:rsidRPr="00D730FD">
        <w:t>political people.</w:t>
      </w:r>
      <w:r w:rsidR="00371956">
        <w:t xml:space="preserve"> So, d</w:t>
      </w:r>
      <w:r w:rsidR="00371956" w:rsidRPr="00371956">
        <w:t>espite establishing a more transparent and independent procedure for judicial appointments, the Act did not significantly shift the power dynamic between Parliament and the judiciary. The selection of judges for important positions is a clear indication that politics continues to play a role in the appointment process.</w:t>
      </w:r>
    </w:p>
    <w:p w14:paraId="7E20C431" w14:textId="77777777" w:rsidR="00BF5D64" w:rsidRDefault="00D730FD" w:rsidP="00D730FD">
      <w:r>
        <w:t xml:space="preserve">So, there are few </w:t>
      </w:r>
      <w:r w:rsidR="00371956">
        <w:t>arguments</w:t>
      </w:r>
      <w:r>
        <w:t xml:space="preserve"> in favour of the statement. Even though the CRA 2005 made some big changes, like making the Supreme Court and changing the role of the Lord Chancellor, these changes did not change the basic structure of the UK's constitution. The </w:t>
      </w:r>
      <w:r w:rsidR="00371956">
        <w:t>broad</w:t>
      </w:r>
      <w:r>
        <w:t xml:space="preserve">er structure, </w:t>
      </w:r>
      <w:r>
        <w:lastRenderedPageBreak/>
        <w:t>including the ideas of parliamentary authority and the nature of unwritten constitutions, stayed mostly the same.</w:t>
      </w:r>
      <w:r w:rsidR="00371956">
        <w:t xml:space="preserve"> </w:t>
      </w:r>
      <w:r w:rsidR="00BF5D64">
        <w:t xml:space="preserve">Parliament can remove judges if needed. </w:t>
      </w:r>
    </w:p>
    <w:p w14:paraId="4A1390B9" w14:textId="77777777" w:rsidR="00371956" w:rsidRDefault="00371956" w:rsidP="00D730FD">
      <w:r>
        <w:t xml:space="preserve">CRA 2005 has the goal to create separation of power </w:t>
      </w:r>
      <w:r w:rsidRPr="00371956">
        <w:t>the judiciary and the government</w:t>
      </w:r>
      <w:r>
        <w:t xml:space="preserve"> but that did not happen. Because even with the new supreme court for more independence, the power was similar to that of the </w:t>
      </w:r>
      <w:r w:rsidRPr="00371956">
        <w:t>House of Lords' Appellate Committee</w:t>
      </w:r>
      <w:r>
        <w:t xml:space="preserve"> as before. </w:t>
      </w:r>
      <w:r w:rsidRPr="00371956">
        <w:t>The government's influence to create delegated legislature</w:t>
      </w:r>
      <w:r>
        <w:t>, t</w:t>
      </w:r>
      <w:r w:rsidRPr="00371956">
        <w:t>he close connection between the government and Parliament</w:t>
      </w:r>
      <w:r>
        <w:t xml:space="preserve"> etc. also creates issues</w:t>
      </w:r>
      <w:r w:rsidR="00B41EA0">
        <w:t xml:space="preserve"> (The Guardian, </w:t>
      </w:r>
      <w:r w:rsidR="00B41EA0" w:rsidRPr="00B41EA0">
        <w:t>2016</w:t>
      </w:r>
      <w:r w:rsidR="00B41EA0">
        <w:t>)</w:t>
      </w:r>
      <w:r>
        <w:t xml:space="preserve">. </w:t>
      </w:r>
      <w:r w:rsidR="00BF5D64">
        <w:t xml:space="preserve">The legislature and executive overlap. </w:t>
      </w:r>
    </w:p>
    <w:p w14:paraId="6BA3EC09" w14:textId="77777777" w:rsidR="00D730FD" w:rsidRPr="00371956" w:rsidRDefault="00D730FD" w:rsidP="00D730FD">
      <w:pPr>
        <w:rPr>
          <w:color w:val="FF0000"/>
        </w:rPr>
      </w:pPr>
      <w:r w:rsidRPr="00371956">
        <w:rPr>
          <w:color w:val="0D0D0D" w:themeColor="text1" w:themeTint="F2"/>
        </w:rPr>
        <w:t>There are few arguments against the statement</w:t>
      </w:r>
      <w:r w:rsidR="00371956" w:rsidRPr="00371956">
        <w:rPr>
          <w:color w:val="0D0D0D" w:themeColor="text1" w:themeTint="F2"/>
        </w:rPr>
        <w:t xml:space="preserve"> too</w:t>
      </w:r>
      <w:r w:rsidRPr="00371956">
        <w:rPr>
          <w:color w:val="0D0D0D" w:themeColor="text1" w:themeTint="F2"/>
        </w:rPr>
        <w:t>.</w:t>
      </w:r>
      <w:r w:rsidR="00371956" w:rsidRPr="00371956">
        <w:rPr>
          <w:color w:val="0D0D0D" w:themeColor="text1" w:themeTint="F2"/>
        </w:rPr>
        <w:t xml:space="preserve"> CRA 2005 created supreme court which has made a big change too as it took away the judicial functions or power from the House of Lords. It tried to make the judiciary more independent. It was indeed a change in the system. </w:t>
      </w:r>
      <w:r w:rsidRPr="00371956">
        <w:rPr>
          <w:color w:val="0D0D0D" w:themeColor="text1" w:themeTint="F2"/>
        </w:rPr>
        <w:t xml:space="preserve">The Lord Chancellor's job was changed by separating their legal duties from their managerial duties. The goal was to strengthen the idea that judges should be independent and to lessen </w:t>
      </w:r>
      <w:r>
        <w:t xml:space="preserve">possible conflicts of interest. Even though the CRA 2005 did not completely rewrite the UK's constitution, its provisions showed how important it is to update the constitutional framework for today’s world. This is a new start for more changes. With proper political and social needs, these small changes can bring bigger and more effective changes in the constitution. </w:t>
      </w:r>
    </w:p>
    <w:p w14:paraId="0AA30584" w14:textId="77777777" w:rsidR="00371956" w:rsidRDefault="00371956" w:rsidP="00D730FD">
      <w:r>
        <w:t>Constitutional Reform Act of 2005 did make some big changes in the creation of the Supreme Court and changing the role of the Lord Chancellor, it could not focus on the bigger issues. Critics have been discussion that the laws need more change. Big issues like needed protection of individual rights by a formalise</w:t>
      </w:r>
      <w:r w:rsidRPr="00371956">
        <w:t>d Bill of Rights or Human Rights Ac</w:t>
      </w:r>
      <w:r>
        <w:t>t,</w:t>
      </w:r>
      <w:r w:rsidR="00683724">
        <w:t xml:space="preserve"> codified </w:t>
      </w:r>
      <w:proofErr w:type="spellStart"/>
      <w:r w:rsidR="00683724">
        <w:t>constituion</w:t>
      </w:r>
      <w:proofErr w:type="spellEnd"/>
      <w:r>
        <w:t xml:space="preserve"> devolution issues, power distribution issues between the UK and </w:t>
      </w:r>
      <w:r w:rsidRPr="00371956">
        <w:t>devolved governments (such as Scotland, Wales, and Northern Ireland)</w:t>
      </w:r>
      <w:r>
        <w:t>, clear relationship of the judiciary and parliament for review of the legislation etc. must be solved. It will ensure separation of power too</w:t>
      </w:r>
      <w:r w:rsidR="00B41EA0">
        <w:t xml:space="preserve"> (Barber, 2021)</w:t>
      </w:r>
      <w:r>
        <w:t xml:space="preserve">. </w:t>
      </w:r>
    </w:p>
    <w:p w14:paraId="2B175054" w14:textId="77777777" w:rsidR="00D730FD" w:rsidRDefault="0091540D" w:rsidP="0091540D">
      <w:r>
        <w:t xml:space="preserve">In conclusion, even though the made some big changes to the UK's constitution, it did not deal with bigger problems. The </w:t>
      </w:r>
      <w:r w:rsidRPr="0091540D">
        <w:t xml:space="preserve">broader constitution remained </w:t>
      </w:r>
      <w:r>
        <w:t xml:space="preserve">unchanged mainly. But still it is a good start for the UK. </w:t>
      </w:r>
      <w:r w:rsidRPr="0091540D">
        <w:t>Formal amendments and shifting constitutional norms both contribute to the constitution's ongoing development in the United Kingdom.</w:t>
      </w:r>
    </w:p>
    <w:p w14:paraId="387162E9" w14:textId="77777777" w:rsidR="00D730FD" w:rsidRDefault="00D730FD" w:rsidP="00D730FD"/>
    <w:p w14:paraId="70EC478E" w14:textId="77777777" w:rsidR="00D730FD" w:rsidRDefault="00D730FD" w:rsidP="00922DB0"/>
    <w:p w14:paraId="3381F44B" w14:textId="77777777" w:rsidR="00F0144B" w:rsidRDefault="00F0144B">
      <w:pPr>
        <w:spacing w:before="0" w:line="259" w:lineRule="auto"/>
        <w:jc w:val="left"/>
      </w:pPr>
      <w:r>
        <w:br w:type="page"/>
      </w:r>
    </w:p>
    <w:p w14:paraId="1B85B5B1" w14:textId="77777777" w:rsidR="00F0144B" w:rsidRDefault="00F0144B" w:rsidP="00F0144B">
      <w:pPr>
        <w:pStyle w:val="Heading1"/>
      </w:pPr>
      <w:r>
        <w:lastRenderedPageBreak/>
        <w:t xml:space="preserve">References </w:t>
      </w:r>
    </w:p>
    <w:p w14:paraId="739815F9" w14:textId="77777777" w:rsidR="00E05E4A" w:rsidRDefault="00E05E4A" w:rsidP="00F0144B">
      <w:r w:rsidRPr="00F0144B">
        <w:t>Albert, R. (2014). Constitutional amendment by constitutional desuetude. </w:t>
      </w:r>
      <w:r w:rsidRPr="00F0144B">
        <w:rPr>
          <w:i/>
          <w:iCs/>
        </w:rPr>
        <w:t>The American Journal of Comparative Law</w:t>
      </w:r>
      <w:r w:rsidRPr="00F0144B">
        <w:t>, </w:t>
      </w:r>
      <w:r w:rsidRPr="00F0144B">
        <w:rPr>
          <w:i/>
          <w:iCs/>
        </w:rPr>
        <w:t>62</w:t>
      </w:r>
      <w:r w:rsidRPr="00F0144B">
        <w:t>(3), 641-686.</w:t>
      </w:r>
    </w:p>
    <w:p w14:paraId="2C8FE705" w14:textId="77777777" w:rsidR="00E05E4A" w:rsidRDefault="00E05E4A" w:rsidP="00F0144B">
      <w:r w:rsidRPr="00B41EA0">
        <w:t>Barber, N. W. (2021). </w:t>
      </w:r>
      <w:r w:rsidRPr="00B41EA0">
        <w:rPr>
          <w:i/>
          <w:iCs/>
        </w:rPr>
        <w:t>The United Kingdom Constitution: An Introduction</w:t>
      </w:r>
      <w:r w:rsidRPr="00B41EA0">
        <w:t>. Oxford University Press.</w:t>
      </w:r>
    </w:p>
    <w:p w14:paraId="279E8482" w14:textId="77777777" w:rsidR="00E05E4A" w:rsidRDefault="00E05E4A" w:rsidP="00F0144B">
      <w:r w:rsidRPr="00F0144B">
        <w:t>Barendt, E. (2017). Separation of powers and constitutional government. In </w:t>
      </w:r>
      <w:r w:rsidRPr="00F0144B">
        <w:rPr>
          <w:i/>
          <w:iCs/>
        </w:rPr>
        <w:t>the Rule of Law and the Separation of Powers</w:t>
      </w:r>
      <w:r w:rsidRPr="00F0144B">
        <w:t> (pp. 275-295). Routledge.</w:t>
      </w:r>
    </w:p>
    <w:p w14:paraId="074E32F7" w14:textId="77777777" w:rsidR="00E05E4A" w:rsidRDefault="00E05E4A" w:rsidP="00F0144B">
      <w:r w:rsidRPr="00F0144B">
        <w:t>Barnett, H. (2019). </w:t>
      </w:r>
      <w:r w:rsidRPr="00F0144B">
        <w:rPr>
          <w:i/>
          <w:iCs/>
        </w:rPr>
        <w:t>Constitutional and administrative law</w:t>
      </w:r>
      <w:r w:rsidRPr="00F0144B">
        <w:t>. Routledge.</w:t>
      </w:r>
    </w:p>
    <w:p w14:paraId="5E05E8FF" w14:textId="77777777" w:rsidR="00E05E4A" w:rsidRDefault="00E05E4A" w:rsidP="00F0144B">
      <w:r w:rsidRPr="00F0144B">
        <w:t>Hazell, R. J. D. (2015). Judicial independence and accountability in the UK have both emerged stronger as a result of the Constitutional Reform Act 2005. </w:t>
      </w:r>
      <w:r w:rsidRPr="00F0144B">
        <w:rPr>
          <w:i/>
          <w:iCs/>
        </w:rPr>
        <w:t>Public Law</w:t>
      </w:r>
      <w:r w:rsidRPr="00F0144B">
        <w:t>, </w:t>
      </w:r>
      <w:r w:rsidRPr="00F0144B">
        <w:rPr>
          <w:i/>
          <w:iCs/>
        </w:rPr>
        <w:t>2015</w:t>
      </w:r>
      <w:r w:rsidRPr="00F0144B">
        <w:t>, 198-206.</w:t>
      </w:r>
    </w:p>
    <w:p w14:paraId="23C8727A" w14:textId="77777777" w:rsidR="00E05E4A" w:rsidRDefault="00E05E4A" w:rsidP="00F0144B">
      <w:r w:rsidRPr="00F0144B">
        <w:t>Hessick, F. A. (2016). The Separation-of-Powers Theory of Standing. </w:t>
      </w:r>
      <w:r w:rsidRPr="00F0144B">
        <w:rPr>
          <w:i/>
          <w:iCs/>
        </w:rPr>
        <w:t>NCL Rev.</w:t>
      </w:r>
      <w:r w:rsidRPr="00F0144B">
        <w:t>, </w:t>
      </w:r>
      <w:r w:rsidRPr="00F0144B">
        <w:rPr>
          <w:i/>
          <w:iCs/>
        </w:rPr>
        <w:t>95</w:t>
      </w:r>
      <w:r w:rsidRPr="00F0144B">
        <w:t>, 673.</w:t>
      </w:r>
    </w:p>
    <w:p w14:paraId="5BDC851D" w14:textId="77777777" w:rsidR="00E05E4A" w:rsidRDefault="00E05E4A" w:rsidP="00F0144B">
      <w:r w:rsidRPr="00F0144B">
        <w:t>Leyland, P. (2016). </w:t>
      </w:r>
      <w:r w:rsidRPr="00F0144B">
        <w:rPr>
          <w:i/>
          <w:iCs/>
        </w:rPr>
        <w:t>The constitution of the United Kingdom: A contextual analysis</w:t>
      </w:r>
      <w:r w:rsidRPr="00F0144B">
        <w:t> (Vol. 1). Bloomsbury Publishing.</w:t>
      </w:r>
    </w:p>
    <w:p w14:paraId="35EB9EB9" w14:textId="77777777" w:rsidR="00E05E4A" w:rsidRDefault="00E05E4A" w:rsidP="00F0144B">
      <w:r>
        <w:t xml:space="preserve">The Guardian (2016) </w:t>
      </w:r>
      <w:r w:rsidRPr="00F0144B">
        <w:t>The rule of law, the power of parliament, and the will of the people</w:t>
      </w:r>
      <w:r>
        <w:t xml:space="preserve"> [online] Available at: </w:t>
      </w:r>
      <w:hyperlink r:id="rId7" w:history="1">
        <w:r w:rsidRPr="009F581F">
          <w:rPr>
            <w:rStyle w:val="Hyperlink"/>
          </w:rPr>
          <w:t>https://www.theguardian.com/politics/2016/nov/07/the-rule-of-law-the-power-of-parliament-and-the-will-of-the-people</w:t>
        </w:r>
      </w:hyperlink>
      <w:r>
        <w:t xml:space="preserve"> (Accessed on 7 August, 2023)</w:t>
      </w:r>
    </w:p>
    <w:p w14:paraId="2B34FC58" w14:textId="77777777" w:rsidR="00E05E4A" w:rsidRDefault="00E05E4A" w:rsidP="00F0144B">
      <w:r w:rsidRPr="009164C4">
        <w:rPr>
          <w:lang w:val="pt-PT"/>
        </w:rPr>
        <w:t>Vanoni, L. P., &amp; Baraggia, A. (2017). </w:t>
      </w:r>
      <w:r w:rsidRPr="00F0144B">
        <w:rPr>
          <w:i/>
          <w:iCs/>
        </w:rPr>
        <w:t>Dividing Powers: a theory of the Separation of Powers</w:t>
      </w:r>
      <w:r w:rsidRPr="00F0144B">
        <w:t>. Wolters Kluwer Cedam.</w:t>
      </w:r>
    </w:p>
    <w:p w14:paraId="2AC18D58" w14:textId="77777777" w:rsidR="00E05E4A" w:rsidRDefault="00E05E4A" w:rsidP="00F0144B">
      <w:r w:rsidRPr="00F0144B">
        <w:t>Windlesham, L. (2005). The Constitutional Reform Act 2005: ministers, judges and constitutional change. </w:t>
      </w:r>
      <w:r w:rsidRPr="00F0144B">
        <w:rPr>
          <w:i/>
          <w:iCs/>
        </w:rPr>
        <w:t>Public law</w:t>
      </w:r>
      <w:r w:rsidRPr="00F0144B">
        <w:t>, (4), 806-823.</w:t>
      </w:r>
    </w:p>
    <w:p w14:paraId="5E58267C" w14:textId="77777777" w:rsidR="00F0144B" w:rsidRDefault="00F0144B" w:rsidP="00922DB0"/>
    <w:p w14:paraId="76C941C1" w14:textId="77777777" w:rsidR="00F0144B" w:rsidRDefault="00F0144B" w:rsidP="00922DB0"/>
    <w:p w14:paraId="21EC79BC" w14:textId="77777777" w:rsidR="00F0144B" w:rsidRPr="00922DB0" w:rsidRDefault="00F0144B" w:rsidP="00922DB0"/>
    <w:sectPr w:rsidR="00F0144B" w:rsidRPr="00922DB0">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2483D96" w14:textId="77777777" w:rsidR="004061D7" w:rsidRDefault="004061D7" w:rsidP="00F0144B">
      <w:pPr>
        <w:spacing w:before="0" w:after="0" w:line="240" w:lineRule="auto"/>
      </w:pPr>
      <w:r>
        <w:separator/>
      </w:r>
    </w:p>
  </w:endnote>
  <w:endnote w:type="continuationSeparator" w:id="0">
    <w:p w14:paraId="4E29D283" w14:textId="77777777" w:rsidR="004061D7" w:rsidRDefault="004061D7" w:rsidP="00F0144B">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82666962"/>
      <w:docPartObj>
        <w:docPartGallery w:val="Page Numbers (Bottom of Page)"/>
        <w:docPartUnique/>
      </w:docPartObj>
    </w:sdtPr>
    <w:sdtEndPr>
      <w:rPr>
        <w:color w:val="7F7F7F" w:themeColor="background1" w:themeShade="7F"/>
        <w:spacing w:val="60"/>
      </w:rPr>
    </w:sdtEndPr>
    <w:sdtContent>
      <w:p w14:paraId="063AFB43" w14:textId="77777777" w:rsidR="00F0144B" w:rsidRDefault="00F0144B">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9C32CF" w:rsidRPr="009C32CF">
          <w:rPr>
            <w:b/>
            <w:bCs/>
            <w:noProof/>
          </w:rPr>
          <w:t>2</w:t>
        </w:r>
        <w:r>
          <w:rPr>
            <w:b/>
            <w:bCs/>
            <w:noProof/>
          </w:rPr>
          <w:fldChar w:fldCharType="end"/>
        </w:r>
        <w:r>
          <w:rPr>
            <w:b/>
            <w:bCs/>
          </w:rPr>
          <w:t xml:space="preserve"> | </w:t>
        </w:r>
        <w:r>
          <w:rPr>
            <w:color w:val="7F7F7F" w:themeColor="background1" w:themeShade="7F"/>
            <w:spacing w:val="60"/>
          </w:rPr>
          <w:t>Page</w:t>
        </w:r>
      </w:p>
    </w:sdtContent>
  </w:sdt>
  <w:p w14:paraId="1FC5E613" w14:textId="77777777" w:rsidR="00F0144B" w:rsidRDefault="00F0144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B7FF4DB" w14:textId="77777777" w:rsidR="004061D7" w:rsidRDefault="004061D7" w:rsidP="00F0144B">
      <w:pPr>
        <w:spacing w:before="0" w:after="0" w:line="240" w:lineRule="auto"/>
      </w:pPr>
      <w:r>
        <w:separator/>
      </w:r>
    </w:p>
  </w:footnote>
  <w:footnote w:type="continuationSeparator" w:id="0">
    <w:p w14:paraId="7C11B4D6" w14:textId="77777777" w:rsidR="004061D7" w:rsidRDefault="004061D7" w:rsidP="00F0144B">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460FEC"/>
    <w:multiLevelType w:val="hybridMultilevel"/>
    <w:tmpl w:val="1E4CC64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1F11D58"/>
    <w:multiLevelType w:val="hybridMultilevel"/>
    <w:tmpl w:val="D0C24F22"/>
    <w:lvl w:ilvl="0" w:tplc="65D072A6">
      <w:start w:val="1"/>
      <w:numFmt w:val="bullet"/>
      <w:lvlText w:val=""/>
      <w:lvlJc w:val="left"/>
      <w:pPr>
        <w:tabs>
          <w:tab w:val="num" w:pos="720"/>
        </w:tabs>
        <w:ind w:left="720" w:hanging="360"/>
      </w:pPr>
      <w:rPr>
        <w:rFonts w:ascii="Wingdings" w:hAnsi="Wingdings" w:hint="default"/>
      </w:rPr>
    </w:lvl>
    <w:lvl w:ilvl="1" w:tplc="E57EB326" w:tentative="1">
      <w:start w:val="1"/>
      <w:numFmt w:val="bullet"/>
      <w:lvlText w:val=""/>
      <w:lvlJc w:val="left"/>
      <w:pPr>
        <w:tabs>
          <w:tab w:val="num" w:pos="1440"/>
        </w:tabs>
        <w:ind w:left="1440" w:hanging="360"/>
      </w:pPr>
      <w:rPr>
        <w:rFonts w:ascii="Wingdings" w:hAnsi="Wingdings" w:hint="default"/>
      </w:rPr>
    </w:lvl>
    <w:lvl w:ilvl="2" w:tplc="5412B92E" w:tentative="1">
      <w:start w:val="1"/>
      <w:numFmt w:val="bullet"/>
      <w:lvlText w:val=""/>
      <w:lvlJc w:val="left"/>
      <w:pPr>
        <w:tabs>
          <w:tab w:val="num" w:pos="2160"/>
        </w:tabs>
        <w:ind w:left="2160" w:hanging="360"/>
      </w:pPr>
      <w:rPr>
        <w:rFonts w:ascii="Wingdings" w:hAnsi="Wingdings" w:hint="default"/>
      </w:rPr>
    </w:lvl>
    <w:lvl w:ilvl="3" w:tplc="C12A1A02" w:tentative="1">
      <w:start w:val="1"/>
      <w:numFmt w:val="bullet"/>
      <w:lvlText w:val=""/>
      <w:lvlJc w:val="left"/>
      <w:pPr>
        <w:tabs>
          <w:tab w:val="num" w:pos="2880"/>
        </w:tabs>
        <w:ind w:left="2880" w:hanging="360"/>
      </w:pPr>
      <w:rPr>
        <w:rFonts w:ascii="Wingdings" w:hAnsi="Wingdings" w:hint="default"/>
      </w:rPr>
    </w:lvl>
    <w:lvl w:ilvl="4" w:tplc="24068488" w:tentative="1">
      <w:start w:val="1"/>
      <w:numFmt w:val="bullet"/>
      <w:lvlText w:val=""/>
      <w:lvlJc w:val="left"/>
      <w:pPr>
        <w:tabs>
          <w:tab w:val="num" w:pos="3600"/>
        </w:tabs>
        <w:ind w:left="3600" w:hanging="360"/>
      </w:pPr>
      <w:rPr>
        <w:rFonts w:ascii="Wingdings" w:hAnsi="Wingdings" w:hint="default"/>
      </w:rPr>
    </w:lvl>
    <w:lvl w:ilvl="5" w:tplc="D6AC2704" w:tentative="1">
      <w:start w:val="1"/>
      <w:numFmt w:val="bullet"/>
      <w:lvlText w:val=""/>
      <w:lvlJc w:val="left"/>
      <w:pPr>
        <w:tabs>
          <w:tab w:val="num" w:pos="4320"/>
        </w:tabs>
        <w:ind w:left="4320" w:hanging="360"/>
      </w:pPr>
      <w:rPr>
        <w:rFonts w:ascii="Wingdings" w:hAnsi="Wingdings" w:hint="default"/>
      </w:rPr>
    </w:lvl>
    <w:lvl w:ilvl="6" w:tplc="50AEA310" w:tentative="1">
      <w:start w:val="1"/>
      <w:numFmt w:val="bullet"/>
      <w:lvlText w:val=""/>
      <w:lvlJc w:val="left"/>
      <w:pPr>
        <w:tabs>
          <w:tab w:val="num" w:pos="5040"/>
        </w:tabs>
        <w:ind w:left="5040" w:hanging="360"/>
      </w:pPr>
      <w:rPr>
        <w:rFonts w:ascii="Wingdings" w:hAnsi="Wingdings" w:hint="default"/>
      </w:rPr>
    </w:lvl>
    <w:lvl w:ilvl="7" w:tplc="25E05CFA" w:tentative="1">
      <w:start w:val="1"/>
      <w:numFmt w:val="bullet"/>
      <w:lvlText w:val=""/>
      <w:lvlJc w:val="left"/>
      <w:pPr>
        <w:tabs>
          <w:tab w:val="num" w:pos="5760"/>
        </w:tabs>
        <w:ind w:left="5760" w:hanging="360"/>
      </w:pPr>
      <w:rPr>
        <w:rFonts w:ascii="Wingdings" w:hAnsi="Wingdings" w:hint="default"/>
      </w:rPr>
    </w:lvl>
    <w:lvl w:ilvl="8" w:tplc="4E6E295C" w:tentative="1">
      <w:start w:val="1"/>
      <w:numFmt w:val="bullet"/>
      <w:lvlText w:val=""/>
      <w:lvlJc w:val="left"/>
      <w:pPr>
        <w:tabs>
          <w:tab w:val="num" w:pos="6480"/>
        </w:tabs>
        <w:ind w:left="6480" w:hanging="360"/>
      </w:pPr>
      <w:rPr>
        <w:rFonts w:ascii="Wingdings" w:hAnsi="Wingdings" w:hint="default"/>
      </w:rPr>
    </w:lvl>
  </w:abstractNum>
  <w:num w:numId="1" w16cid:durableId="1714889062">
    <w:abstractNumId w:val="0"/>
  </w:num>
  <w:num w:numId="2" w16cid:durableId="213248040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C6F85"/>
    <w:rsid w:val="00022D74"/>
    <w:rsid w:val="00084F07"/>
    <w:rsid w:val="00096CDC"/>
    <w:rsid w:val="000A521C"/>
    <w:rsid w:val="00265308"/>
    <w:rsid w:val="0036713B"/>
    <w:rsid w:val="00371956"/>
    <w:rsid w:val="003D74BC"/>
    <w:rsid w:val="004061D7"/>
    <w:rsid w:val="00496B8A"/>
    <w:rsid w:val="004B5922"/>
    <w:rsid w:val="004C6F85"/>
    <w:rsid w:val="005E0E59"/>
    <w:rsid w:val="00683724"/>
    <w:rsid w:val="006A187B"/>
    <w:rsid w:val="007473A0"/>
    <w:rsid w:val="00753010"/>
    <w:rsid w:val="00806E6D"/>
    <w:rsid w:val="008A7242"/>
    <w:rsid w:val="0091540D"/>
    <w:rsid w:val="009164C4"/>
    <w:rsid w:val="00922DB0"/>
    <w:rsid w:val="009C32CF"/>
    <w:rsid w:val="00A9494B"/>
    <w:rsid w:val="00A95C81"/>
    <w:rsid w:val="00B41EA0"/>
    <w:rsid w:val="00B466A8"/>
    <w:rsid w:val="00BF5D64"/>
    <w:rsid w:val="00C02C5E"/>
    <w:rsid w:val="00C85562"/>
    <w:rsid w:val="00C96B6A"/>
    <w:rsid w:val="00D730FD"/>
    <w:rsid w:val="00E05E4A"/>
    <w:rsid w:val="00F0144B"/>
    <w:rsid w:val="00F97782"/>
  </w:rsids>
  <m:mathPr>
    <m:mathFont m:val="Cambria Math"/>
    <m:brkBin m:val="before"/>
    <m:brkBinSub m:val="--"/>
    <m:smallFrac m:val="0"/>
    <m:dispDef/>
    <m:lMargin m:val="0"/>
    <m:rMargin m:val="0"/>
    <m:defJc m:val="centerGroup"/>
    <m:wrapIndent m:val="1440"/>
    <m:intLim m:val="subSup"/>
    <m:naryLim m:val="undOvr"/>
  </m:mathPr>
  <w:themeFontLang w:val="en-GB" w:bidi="bn-BD"/>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947051D"/>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22D74"/>
    <w:pPr>
      <w:spacing w:before="120"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B466A8"/>
    <w:pPr>
      <w:keepNext/>
      <w:keepLines/>
      <w:spacing w:before="240" w:after="240"/>
      <w:outlineLvl w:val="0"/>
    </w:pPr>
    <w:rPr>
      <w:rFonts w:eastAsiaTheme="majorEastAsia" w:cstheme="majorBidi"/>
      <w:b/>
      <w:color w:val="0D0D0D" w:themeColor="text1" w:themeTint="F2"/>
      <w:sz w:val="28"/>
      <w:szCs w:val="32"/>
    </w:rPr>
  </w:style>
  <w:style w:type="paragraph" w:styleId="Heading2">
    <w:name w:val="heading 2"/>
    <w:basedOn w:val="Normal"/>
    <w:next w:val="Normal"/>
    <w:link w:val="Heading2Char"/>
    <w:uiPriority w:val="9"/>
    <w:semiHidden/>
    <w:unhideWhenUsed/>
    <w:qFormat/>
    <w:rsid w:val="00B466A8"/>
    <w:pPr>
      <w:keepNext/>
      <w:keepLines/>
      <w:spacing w:after="120"/>
      <w:outlineLvl w:val="1"/>
    </w:pPr>
    <w:rPr>
      <w:rFonts w:eastAsiaTheme="majorEastAsia" w:cstheme="majorBidi"/>
      <w:b/>
      <w:color w:val="0D0D0D" w:themeColor="text1" w:themeTint="F2"/>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466A8"/>
    <w:rPr>
      <w:rFonts w:ascii="Times New Roman" w:eastAsiaTheme="majorEastAsia" w:hAnsi="Times New Roman" w:cstheme="majorBidi"/>
      <w:b/>
      <w:color w:val="0D0D0D" w:themeColor="text1" w:themeTint="F2"/>
      <w:sz w:val="28"/>
      <w:szCs w:val="32"/>
    </w:rPr>
  </w:style>
  <w:style w:type="character" w:customStyle="1" w:styleId="Heading2Char">
    <w:name w:val="Heading 2 Char"/>
    <w:basedOn w:val="DefaultParagraphFont"/>
    <w:link w:val="Heading2"/>
    <w:uiPriority w:val="9"/>
    <w:semiHidden/>
    <w:rsid w:val="00B466A8"/>
    <w:rPr>
      <w:rFonts w:ascii="Times New Roman" w:eastAsiaTheme="majorEastAsia" w:hAnsi="Times New Roman" w:cstheme="majorBidi"/>
      <w:b/>
      <w:color w:val="0D0D0D" w:themeColor="text1" w:themeTint="F2"/>
      <w:sz w:val="24"/>
      <w:szCs w:val="26"/>
    </w:rPr>
  </w:style>
  <w:style w:type="paragraph" w:styleId="Header">
    <w:name w:val="header"/>
    <w:basedOn w:val="Normal"/>
    <w:link w:val="HeaderChar"/>
    <w:uiPriority w:val="99"/>
    <w:unhideWhenUsed/>
    <w:rsid w:val="00F0144B"/>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F0144B"/>
    <w:rPr>
      <w:rFonts w:ascii="Times New Roman" w:hAnsi="Times New Roman"/>
      <w:sz w:val="24"/>
    </w:rPr>
  </w:style>
  <w:style w:type="paragraph" w:styleId="Footer">
    <w:name w:val="footer"/>
    <w:basedOn w:val="Normal"/>
    <w:link w:val="FooterChar"/>
    <w:uiPriority w:val="99"/>
    <w:unhideWhenUsed/>
    <w:rsid w:val="00F0144B"/>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F0144B"/>
    <w:rPr>
      <w:rFonts w:ascii="Times New Roman" w:hAnsi="Times New Roman"/>
      <w:sz w:val="24"/>
    </w:rPr>
  </w:style>
  <w:style w:type="paragraph" w:styleId="ListParagraph">
    <w:name w:val="List Paragraph"/>
    <w:basedOn w:val="Normal"/>
    <w:uiPriority w:val="34"/>
    <w:qFormat/>
    <w:rsid w:val="00F0144B"/>
    <w:pPr>
      <w:ind w:left="720"/>
      <w:contextualSpacing/>
    </w:pPr>
  </w:style>
  <w:style w:type="character" w:styleId="Hyperlink">
    <w:name w:val="Hyperlink"/>
    <w:basedOn w:val="DefaultParagraphFont"/>
    <w:uiPriority w:val="99"/>
    <w:unhideWhenUsed/>
    <w:rsid w:val="00F0144B"/>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2561858">
      <w:bodyDiv w:val="1"/>
      <w:marLeft w:val="0"/>
      <w:marRight w:val="0"/>
      <w:marTop w:val="0"/>
      <w:marBottom w:val="0"/>
      <w:divBdr>
        <w:top w:val="none" w:sz="0" w:space="0" w:color="auto"/>
        <w:left w:val="none" w:sz="0" w:space="0" w:color="auto"/>
        <w:bottom w:val="none" w:sz="0" w:space="0" w:color="auto"/>
        <w:right w:val="none" w:sz="0" w:space="0" w:color="auto"/>
      </w:divBdr>
    </w:div>
    <w:div w:id="509832967">
      <w:bodyDiv w:val="1"/>
      <w:marLeft w:val="0"/>
      <w:marRight w:val="0"/>
      <w:marTop w:val="0"/>
      <w:marBottom w:val="0"/>
      <w:divBdr>
        <w:top w:val="none" w:sz="0" w:space="0" w:color="auto"/>
        <w:left w:val="none" w:sz="0" w:space="0" w:color="auto"/>
        <w:bottom w:val="none" w:sz="0" w:space="0" w:color="auto"/>
        <w:right w:val="none" w:sz="0" w:space="0" w:color="auto"/>
      </w:divBdr>
      <w:divsChild>
        <w:div w:id="770978298">
          <w:marLeft w:val="360"/>
          <w:marRight w:val="0"/>
          <w:marTop w:val="200"/>
          <w:marBottom w:val="0"/>
          <w:divBdr>
            <w:top w:val="none" w:sz="0" w:space="0" w:color="auto"/>
            <w:left w:val="none" w:sz="0" w:space="0" w:color="auto"/>
            <w:bottom w:val="none" w:sz="0" w:space="0" w:color="auto"/>
            <w:right w:val="none" w:sz="0" w:space="0" w:color="auto"/>
          </w:divBdr>
        </w:div>
        <w:div w:id="832334871">
          <w:marLeft w:val="360"/>
          <w:marRight w:val="0"/>
          <w:marTop w:val="200"/>
          <w:marBottom w:val="0"/>
          <w:divBdr>
            <w:top w:val="none" w:sz="0" w:space="0" w:color="auto"/>
            <w:left w:val="none" w:sz="0" w:space="0" w:color="auto"/>
            <w:bottom w:val="none" w:sz="0" w:space="0" w:color="auto"/>
            <w:right w:val="none" w:sz="0" w:space="0" w:color="auto"/>
          </w:divBdr>
        </w:div>
        <w:div w:id="1961034636">
          <w:marLeft w:val="360"/>
          <w:marRight w:val="0"/>
          <w:marTop w:val="200"/>
          <w:marBottom w:val="0"/>
          <w:divBdr>
            <w:top w:val="none" w:sz="0" w:space="0" w:color="auto"/>
            <w:left w:val="none" w:sz="0" w:space="0" w:color="auto"/>
            <w:bottom w:val="none" w:sz="0" w:space="0" w:color="auto"/>
            <w:right w:val="none" w:sz="0" w:space="0" w:color="auto"/>
          </w:divBdr>
        </w:div>
      </w:divsChild>
    </w:div>
    <w:div w:id="776213390">
      <w:bodyDiv w:val="1"/>
      <w:marLeft w:val="0"/>
      <w:marRight w:val="0"/>
      <w:marTop w:val="0"/>
      <w:marBottom w:val="0"/>
      <w:divBdr>
        <w:top w:val="none" w:sz="0" w:space="0" w:color="auto"/>
        <w:left w:val="none" w:sz="0" w:space="0" w:color="auto"/>
        <w:bottom w:val="none" w:sz="0" w:space="0" w:color="auto"/>
        <w:right w:val="none" w:sz="0" w:space="0" w:color="auto"/>
      </w:divBdr>
    </w:div>
    <w:div w:id="792020139">
      <w:bodyDiv w:val="1"/>
      <w:marLeft w:val="0"/>
      <w:marRight w:val="0"/>
      <w:marTop w:val="0"/>
      <w:marBottom w:val="0"/>
      <w:divBdr>
        <w:top w:val="none" w:sz="0" w:space="0" w:color="auto"/>
        <w:left w:val="none" w:sz="0" w:space="0" w:color="auto"/>
        <w:bottom w:val="none" w:sz="0" w:space="0" w:color="auto"/>
        <w:right w:val="none" w:sz="0" w:space="0" w:color="auto"/>
      </w:divBdr>
      <w:divsChild>
        <w:div w:id="710610259">
          <w:marLeft w:val="288"/>
          <w:marRight w:val="0"/>
          <w:marTop w:val="240"/>
          <w:marBottom w:val="0"/>
          <w:divBdr>
            <w:top w:val="none" w:sz="0" w:space="0" w:color="auto"/>
            <w:left w:val="none" w:sz="0" w:space="0" w:color="auto"/>
            <w:bottom w:val="none" w:sz="0" w:space="0" w:color="auto"/>
            <w:right w:val="none" w:sz="0" w:space="0" w:color="auto"/>
          </w:divBdr>
        </w:div>
        <w:div w:id="1966622572">
          <w:marLeft w:val="288"/>
          <w:marRight w:val="0"/>
          <w:marTop w:val="240"/>
          <w:marBottom w:val="0"/>
          <w:divBdr>
            <w:top w:val="none" w:sz="0" w:space="0" w:color="auto"/>
            <w:left w:val="none" w:sz="0" w:space="0" w:color="auto"/>
            <w:bottom w:val="none" w:sz="0" w:space="0" w:color="auto"/>
            <w:right w:val="none" w:sz="0" w:space="0" w:color="auto"/>
          </w:divBdr>
        </w:div>
        <w:div w:id="1923447142">
          <w:marLeft w:val="288"/>
          <w:marRight w:val="0"/>
          <w:marTop w:val="240"/>
          <w:marBottom w:val="0"/>
          <w:divBdr>
            <w:top w:val="none" w:sz="0" w:space="0" w:color="auto"/>
            <w:left w:val="none" w:sz="0" w:space="0" w:color="auto"/>
            <w:bottom w:val="none" w:sz="0" w:space="0" w:color="auto"/>
            <w:right w:val="none" w:sz="0" w:space="0" w:color="auto"/>
          </w:divBdr>
        </w:div>
        <w:div w:id="2071340879">
          <w:marLeft w:val="288"/>
          <w:marRight w:val="0"/>
          <w:marTop w:val="240"/>
          <w:marBottom w:val="0"/>
          <w:divBdr>
            <w:top w:val="none" w:sz="0" w:space="0" w:color="auto"/>
            <w:left w:val="none" w:sz="0" w:space="0" w:color="auto"/>
            <w:bottom w:val="none" w:sz="0" w:space="0" w:color="auto"/>
            <w:right w:val="none" w:sz="0" w:space="0" w:color="auto"/>
          </w:divBdr>
        </w:div>
        <w:div w:id="1924024893">
          <w:marLeft w:val="288"/>
          <w:marRight w:val="0"/>
          <w:marTop w:val="240"/>
          <w:marBottom w:val="0"/>
          <w:divBdr>
            <w:top w:val="none" w:sz="0" w:space="0" w:color="auto"/>
            <w:left w:val="none" w:sz="0" w:space="0" w:color="auto"/>
            <w:bottom w:val="none" w:sz="0" w:space="0" w:color="auto"/>
            <w:right w:val="none" w:sz="0" w:space="0" w:color="auto"/>
          </w:divBdr>
        </w:div>
      </w:divsChild>
    </w:div>
    <w:div w:id="793789100">
      <w:bodyDiv w:val="1"/>
      <w:marLeft w:val="0"/>
      <w:marRight w:val="0"/>
      <w:marTop w:val="0"/>
      <w:marBottom w:val="0"/>
      <w:divBdr>
        <w:top w:val="none" w:sz="0" w:space="0" w:color="auto"/>
        <w:left w:val="none" w:sz="0" w:space="0" w:color="auto"/>
        <w:bottom w:val="none" w:sz="0" w:space="0" w:color="auto"/>
        <w:right w:val="none" w:sz="0" w:space="0" w:color="auto"/>
      </w:divBdr>
    </w:div>
    <w:div w:id="833183957">
      <w:bodyDiv w:val="1"/>
      <w:marLeft w:val="0"/>
      <w:marRight w:val="0"/>
      <w:marTop w:val="0"/>
      <w:marBottom w:val="0"/>
      <w:divBdr>
        <w:top w:val="none" w:sz="0" w:space="0" w:color="auto"/>
        <w:left w:val="none" w:sz="0" w:space="0" w:color="auto"/>
        <w:bottom w:val="none" w:sz="0" w:space="0" w:color="auto"/>
        <w:right w:val="none" w:sz="0" w:space="0" w:color="auto"/>
      </w:divBdr>
    </w:div>
    <w:div w:id="847911080">
      <w:bodyDiv w:val="1"/>
      <w:marLeft w:val="0"/>
      <w:marRight w:val="0"/>
      <w:marTop w:val="0"/>
      <w:marBottom w:val="0"/>
      <w:divBdr>
        <w:top w:val="none" w:sz="0" w:space="0" w:color="auto"/>
        <w:left w:val="none" w:sz="0" w:space="0" w:color="auto"/>
        <w:bottom w:val="none" w:sz="0" w:space="0" w:color="auto"/>
        <w:right w:val="none" w:sz="0" w:space="0" w:color="auto"/>
      </w:divBdr>
    </w:div>
    <w:div w:id="969895470">
      <w:bodyDiv w:val="1"/>
      <w:marLeft w:val="0"/>
      <w:marRight w:val="0"/>
      <w:marTop w:val="0"/>
      <w:marBottom w:val="0"/>
      <w:divBdr>
        <w:top w:val="none" w:sz="0" w:space="0" w:color="auto"/>
        <w:left w:val="none" w:sz="0" w:space="0" w:color="auto"/>
        <w:bottom w:val="none" w:sz="0" w:space="0" w:color="auto"/>
        <w:right w:val="none" w:sz="0" w:space="0" w:color="auto"/>
      </w:divBdr>
    </w:div>
    <w:div w:id="1536578423">
      <w:bodyDiv w:val="1"/>
      <w:marLeft w:val="0"/>
      <w:marRight w:val="0"/>
      <w:marTop w:val="0"/>
      <w:marBottom w:val="0"/>
      <w:divBdr>
        <w:top w:val="none" w:sz="0" w:space="0" w:color="auto"/>
        <w:left w:val="none" w:sz="0" w:space="0" w:color="auto"/>
        <w:bottom w:val="none" w:sz="0" w:space="0" w:color="auto"/>
        <w:right w:val="none" w:sz="0" w:space="0" w:color="auto"/>
      </w:divBdr>
    </w:div>
    <w:div w:id="1710375978">
      <w:bodyDiv w:val="1"/>
      <w:marLeft w:val="0"/>
      <w:marRight w:val="0"/>
      <w:marTop w:val="0"/>
      <w:marBottom w:val="0"/>
      <w:divBdr>
        <w:top w:val="none" w:sz="0" w:space="0" w:color="auto"/>
        <w:left w:val="none" w:sz="0" w:space="0" w:color="auto"/>
        <w:bottom w:val="none" w:sz="0" w:space="0" w:color="auto"/>
        <w:right w:val="none" w:sz="0" w:space="0" w:color="auto"/>
      </w:divBdr>
      <w:divsChild>
        <w:div w:id="1447887441">
          <w:marLeft w:val="288"/>
          <w:marRight w:val="0"/>
          <w:marTop w:val="240"/>
          <w:marBottom w:val="0"/>
          <w:divBdr>
            <w:top w:val="none" w:sz="0" w:space="0" w:color="auto"/>
            <w:left w:val="none" w:sz="0" w:space="0" w:color="auto"/>
            <w:bottom w:val="none" w:sz="0" w:space="0" w:color="auto"/>
            <w:right w:val="none" w:sz="0" w:space="0" w:color="auto"/>
          </w:divBdr>
        </w:div>
        <w:div w:id="942542243">
          <w:marLeft w:val="288"/>
          <w:marRight w:val="0"/>
          <w:marTop w:val="240"/>
          <w:marBottom w:val="0"/>
          <w:divBdr>
            <w:top w:val="none" w:sz="0" w:space="0" w:color="auto"/>
            <w:left w:val="none" w:sz="0" w:space="0" w:color="auto"/>
            <w:bottom w:val="none" w:sz="0" w:space="0" w:color="auto"/>
            <w:right w:val="none" w:sz="0" w:space="0" w:color="auto"/>
          </w:divBdr>
        </w:div>
        <w:div w:id="436684620">
          <w:marLeft w:val="288"/>
          <w:marRight w:val="0"/>
          <w:marTop w:val="240"/>
          <w:marBottom w:val="0"/>
          <w:divBdr>
            <w:top w:val="none" w:sz="0" w:space="0" w:color="auto"/>
            <w:left w:val="none" w:sz="0" w:space="0" w:color="auto"/>
            <w:bottom w:val="none" w:sz="0" w:space="0" w:color="auto"/>
            <w:right w:val="none" w:sz="0" w:space="0" w:color="auto"/>
          </w:divBdr>
        </w:div>
        <w:div w:id="1617516925">
          <w:marLeft w:val="288"/>
          <w:marRight w:val="0"/>
          <w:marTop w:val="240"/>
          <w:marBottom w:val="0"/>
          <w:divBdr>
            <w:top w:val="none" w:sz="0" w:space="0" w:color="auto"/>
            <w:left w:val="none" w:sz="0" w:space="0" w:color="auto"/>
            <w:bottom w:val="none" w:sz="0" w:space="0" w:color="auto"/>
            <w:right w:val="none" w:sz="0" w:space="0" w:color="auto"/>
          </w:divBdr>
        </w:div>
        <w:div w:id="2127503582">
          <w:marLeft w:val="288"/>
          <w:marRight w:val="0"/>
          <w:marTop w:val="240"/>
          <w:marBottom w:val="0"/>
          <w:divBdr>
            <w:top w:val="none" w:sz="0" w:space="0" w:color="auto"/>
            <w:left w:val="none" w:sz="0" w:space="0" w:color="auto"/>
            <w:bottom w:val="none" w:sz="0" w:space="0" w:color="auto"/>
            <w:right w:val="none" w:sz="0" w:space="0" w:color="auto"/>
          </w:divBdr>
        </w:div>
      </w:divsChild>
    </w:div>
    <w:div w:id="21451986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www.theguardian.com/politics/2016/nov/07/the-rule-of-law-the-power-of-parliament-and-the-will-of-the-people"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1829</Words>
  <Characters>10428</Characters>
  <Application>Microsoft Office Word</Application>
  <DocSecurity>0</DocSecurity>
  <Lines>86</Lines>
  <Paragraphs>24</Paragraphs>
  <ScaleCrop>false</ScaleCrop>
  <Company/>
  <LinksUpToDate>false</LinksUpToDate>
  <CharactersWithSpaces>12233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2023-08-10T19:29:00Z</dcterms:created>
  <dcterms:modified xsi:type="dcterms:W3CDTF">2023-08-10T19:29:00Z</dcterms:modified>
</cp:coreProperties>
</file>