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B285D" w14:textId="77777777" w:rsidR="00B163F3" w:rsidRPr="002E64B8" w:rsidRDefault="00B163F3" w:rsidP="002E49E7">
      <w:pPr>
        <w:spacing w:line="480" w:lineRule="auto"/>
        <w:rPr>
          <w:rFonts w:cstheme="minorHAnsi"/>
          <w:b/>
          <w:bCs/>
        </w:rPr>
      </w:pPr>
      <w:r w:rsidRPr="002E64B8">
        <w:rPr>
          <w:rFonts w:cstheme="minorHAnsi"/>
          <w:b/>
          <w:bCs/>
        </w:rPr>
        <w:t>Student 2222319</w:t>
      </w:r>
    </w:p>
    <w:p w14:paraId="3A68C39B" w14:textId="296CC29C" w:rsidR="00B163F3" w:rsidRPr="002E64B8" w:rsidRDefault="00B163F3" w:rsidP="002E49E7">
      <w:pPr>
        <w:spacing w:line="480" w:lineRule="auto"/>
        <w:rPr>
          <w:rFonts w:cstheme="minorHAnsi"/>
          <w:b/>
          <w:bCs/>
        </w:rPr>
      </w:pPr>
      <w:r w:rsidRPr="002E64B8">
        <w:rPr>
          <w:rFonts w:cstheme="minorHAnsi"/>
          <w:b/>
          <w:bCs/>
        </w:rPr>
        <w:t>Lauren Richards</w:t>
      </w:r>
    </w:p>
    <w:p w14:paraId="0007E449" w14:textId="1C19BDF8" w:rsidR="0067051C" w:rsidRPr="002E64B8" w:rsidRDefault="00B163F3" w:rsidP="002E49E7">
      <w:pPr>
        <w:spacing w:line="480" w:lineRule="auto"/>
        <w:rPr>
          <w:rFonts w:cstheme="minorHAnsi"/>
        </w:rPr>
      </w:pPr>
      <w:r w:rsidRPr="002E64B8">
        <w:rPr>
          <w:rFonts w:cstheme="minorHAnsi"/>
        </w:rPr>
        <w:t xml:space="preserve">Assess the impact that cultural diversity has had on a policing practice (e.g., neighbourhood policing) and professional policies and standards (e.g., PACE, Code of Ethics). Support your answer with relevant evidence drawn from academic sources. </w:t>
      </w:r>
    </w:p>
    <w:p w14:paraId="78DD48E9" w14:textId="77777777" w:rsidR="00521814" w:rsidRPr="002E64B8" w:rsidRDefault="00521814" w:rsidP="002E49E7">
      <w:pPr>
        <w:spacing w:line="480" w:lineRule="auto"/>
        <w:rPr>
          <w:rFonts w:cstheme="minorHAnsi"/>
        </w:rPr>
      </w:pPr>
    </w:p>
    <w:p w14:paraId="7A1ED391" w14:textId="7530B219" w:rsidR="00494249" w:rsidRPr="002E64B8" w:rsidRDefault="00494249" w:rsidP="00494249">
      <w:pPr>
        <w:spacing w:line="480" w:lineRule="auto"/>
      </w:pPr>
      <w:r w:rsidRPr="002E64B8">
        <w:t xml:space="preserve">Cultural diversity plays a huge role within todays policing; with communities being made up of a variety of social, ethnic, and cultural groups it is vital that our police force is representative of the communities that they serve. Especially within our neighbourhood policing teams who are at the heart of the communities. During this assignment I will discuss the impact that cultural diversity has had on local policing. </w:t>
      </w:r>
    </w:p>
    <w:p w14:paraId="0D4EF4D4" w14:textId="1819E6E2" w:rsidR="00E83AC0" w:rsidRDefault="00E83AC0" w:rsidP="00494249">
      <w:pPr>
        <w:spacing w:line="480" w:lineRule="auto"/>
      </w:pPr>
      <w:r>
        <w:t>C</w:t>
      </w:r>
      <w:r w:rsidR="00494249" w:rsidRPr="002E64B8">
        <w:t>ultural diversity is a system of beliefs and behaviours that is representative of all diverse groups within an organization or society. (Rosado, 2019). There are several groups that build a culturally diverse community, including race, ethnicity, and religion. Within a policing context, neighbourhood policing is the face of police forces, and these officers are integrated within the local community</w:t>
      </w:r>
      <w:r w:rsidR="00752D00" w:rsidRPr="002E64B8">
        <w:t xml:space="preserve">. </w:t>
      </w:r>
    </w:p>
    <w:p w14:paraId="78C79B34" w14:textId="5BB20806" w:rsidR="00494249" w:rsidRPr="002E64B8" w:rsidRDefault="00494249" w:rsidP="00494249">
      <w:pPr>
        <w:spacing w:line="480" w:lineRule="auto"/>
      </w:pPr>
      <w:r w:rsidRPr="002E64B8">
        <w:t> Sir Robert Peel, the founder of modern policing once said, ‘the police are the public and the public are the police.’ (Police Federation, 2023). As our communities become more diverse and cultures evolve, it is vital that our police force also evolves and holds accountability to represent those that need us and the communities we serve. </w:t>
      </w:r>
    </w:p>
    <w:p w14:paraId="5EA5BF5D" w14:textId="2F7E8DE4" w:rsidR="00494249" w:rsidRPr="002E64B8" w:rsidRDefault="00494249" w:rsidP="00494249">
      <w:pPr>
        <w:spacing w:line="480" w:lineRule="auto"/>
      </w:pPr>
      <w:r w:rsidRPr="002E64B8">
        <w:t xml:space="preserve">In line with the code of ethics, an officer must show equality and diversity. The code states an officer must act with fairness and impartiality and will not discriminate unlawfully or unfairly. (Policing, 2014). Therefore, the code of ethics is at the forefront of neighbourhood policing by being culturally aware and not displaying or encouraging discriminatory behaviour when patrolling their communities. Many professions have a code of ethics system where members agree to be bound to </w:t>
      </w:r>
      <w:r w:rsidRPr="002E64B8">
        <w:lastRenderedPageBreak/>
        <w:t>as they enter the profession. The code of ethics is a set of statements that represent the professional organisation as well as set standards of acceptable behaviour. (MacVean and Neyroud, 2012). </w:t>
      </w:r>
    </w:p>
    <w:p w14:paraId="1F7F4968" w14:textId="30E67E25" w:rsidR="00494249" w:rsidRPr="002E64B8" w:rsidRDefault="00494249" w:rsidP="00494249">
      <w:pPr>
        <w:spacing w:line="480" w:lineRule="auto"/>
      </w:pPr>
      <w:r w:rsidRPr="002E64B8">
        <w:t xml:space="preserve">According to a study by Sounman Hong, past theories have explained a positive link between representation and public service performance. The study suggests that organizations that are representative or diverse are more efficient as they are less likely to discriminate against minorities. (Hong, 2015). </w:t>
      </w:r>
      <w:r w:rsidR="00E83AC0">
        <w:t xml:space="preserve">Emphasising the impact that being culturally aware potentially has on local policing. </w:t>
      </w:r>
      <w:r w:rsidRPr="002E64B8">
        <w:t xml:space="preserve">College of Policing </w:t>
      </w:r>
      <w:r w:rsidR="00E83AC0">
        <w:t xml:space="preserve">also </w:t>
      </w:r>
      <w:r w:rsidRPr="002E64B8">
        <w:t>stated that diverse teams make better decisions and can identify and understand the communities they serve to help reduce crime and prevent minority communities from being exploited. (Policing, 2020)</w:t>
      </w:r>
    </w:p>
    <w:p w14:paraId="564FBA60" w14:textId="30453A88" w:rsidR="00494249" w:rsidRPr="002E64B8" w:rsidRDefault="00494249" w:rsidP="00494249">
      <w:pPr>
        <w:spacing w:line="480" w:lineRule="auto"/>
      </w:pPr>
      <w:r w:rsidRPr="002E64B8">
        <w:t> The representative bureaucracy theory suggests that police departments that are more representative of the communities they serve, often lead to better discretionary policies and decisions that benefit the underrepresented groups and communities. (Gover, 2016) </w:t>
      </w:r>
    </w:p>
    <w:p w14:paraId="663C1003" w14:textId="5148340D" w:rsidR="00494249" w:rsidRPr="002E64B8" w:rsidRDefault="00494249" w:rsidP="00494249">
      <w:pPr>
        <w:spacing w:line="480" w:lineRule="auto"/>
      </w:pPr>
      <w:r w:rsidRPr="002E64B8">
        <w:t xml:space="preserve">An example of when police forces have not been representative or culturally aware of the communities they serve can be seen throughout history. Going as far back as Lord Scarman’s inquiry in 1981, the report </w:t>
      </w:r>
      <w:r w:rsidR="000A7A7D" w:rsidRPr="002E64B8">
        <w:t>consists</w:t>
      </w:r>
      <w:r w:rsidRPr="002E64B8">
        <w:t xml:space="preserve"> of the highlighted problems between the police and minority ethnic communities in the early 1980’s. The murder of Stephen Lawrence in 1993 focused attention on such problems. The report focuses on how the police need to improve their relations with ethnic minority communities. The inquiry notes that there is a striking need to demonstrate fairness to generate trust and confidence within the ethnic minority communities. (Foster, Newburn and Souhami, 2005). Again, highlighting the code of ethics as a pinpoint in all policing policies in showing openness, accountability, and fairness to be a culturally aware policing service.</w:t>
      </w:r>
    </w:p>
    <w:p w14:paraId="153D1582" w14:textId="43E3AB22" w:rsidR="00494249" w:rsidRPr="002E64B8" w:rsidRDefault="00494249" w:rsidP="00494249">
      <w:pPr>
        <w:spacing w:line="480" w:lineRule="auto"/>
      </w:pPr>
      <w:r w:rsidRPr="002E64B8">
        <w:t xml:space="preserve"> Another example of lack of cultural awareness </w:t>
      </w:r>
      <w:r w:rsidR="00E83AC0">
        <w:t xml:space="preserve">provided by Matt Minshall, </w:t>
      </w:r>
      <w:r w:rsidRPr="002E64B8">
        <w:t>within policing history is the conflict in Northern Ireland. The history between police and Northern Ireland communities shows an obvious lack of cultural awareness within policing teams, proving that a culturally aware team may be a contributing factor in better community engagement. </w:t>
      </w:r>
      <w:r w:rsidR="00BF53DC">
        <w:t>The</w:t>
      </w:r>
      <w:r w:rsidRPr="002E64B8">
        <w:t xml:space="preserve"> article written by Matt </w:t>
      </w:r>
      <w:r w:rsidRPr="002E64B8">
        <w:lastRenderedPageBreak/>
        <w:t>Minshall explains underrepresentation and the implications It can have on community cohesions, throughout history there has been troubles between the Catholic minorities and the police force that were exclusively from the protestant loyalist and unionist community. In recent troubles the authorities have acted in a culturally destructive manner, which has contributed to the continuation of a divide within communities over many years. The cultural insensitivity shown by the authorities has been a contributing factor to the strife between communities. (Minshall, 2021) </w:t>
      </w:r>
    </w:p>
    <w:p w14:paraId="2CB8A2D9" w14:textId="4A354407" w:rsidR="00494249" w:rsidRPr="002E64B8" w:rsidRDefault="00BF53DC" w:rsidP="00494249">
      <w:pPr>
        <w:spacing w:line="480" w:lineRule="auto"/>
      </w:pPr>
      <w:r>
        <w:t>From a wider perspective, a</w:t>
      </w:r>
      <w:r w:rsidR="00494249" w:rsidRPr="002E64B8">
        <w:t xml:space="preserve"> study conducted by </w:t>
      </w:r>
      <w:proofErr w:type="spellStart"/>
      <w:r w:rsidR="00494249" w:rsidRPr="002E64B8">
        <w:t>Chenane</w:t>
      </w:r>
      <w:proofErr w:type="spellEnd"/>
      <w:r w:rsidR="00494249" w:rsidRPr="002E64B8">
        <w:t xml:space="preserve"> and Wright reveals that US cities with higher representation of African American officers had lower neighbourhood crime rates. The study shows that representation may be the explanation of a lower crime rate due to the policing team being representative of the city they serve. (Chenane and Wright, 2018)</w:t>
      </w:r>
      <w:r w:rsidR="00361628">
        <w:t xml:space="preserve"> </w:t>
      </w:r>
    </w:p>
    <w:p w14:paraId="00F0529E" w14:textId="3BDF89B4" w:rsidR="00494249" w:rsidRPr="002E64B8" w:rsidRDefault="00494249" w:rsidP="00494249">
      <w:pPr>
        <w:spacing w:line="480" w:lineRule="auto"/>
      </w:pPr>
      <w:r w:rsidRPr="002E64B8">
        <w:t>On the other hand, there have been several attempts throughout local policing teams to bridge the gap between the public and the police. One attempt by a European police force was to employ further officers with an ethnic minority background. Following the logic that the relationship between similar groups would produce positive engagement towards each other. (Decker and Kersten, 2015) </w:t>
      </w:r>
    </w:p>
    <w:p w14:paraId="350AC31C" w14:textId="5D9D63C8" w:rsidR="00494249" w:rsidRPr="002E64B8" w:rsidRDefault="00494249" w:rsidP="00494249">
      <w:pPr>
        <w:spacing w:line="480" w:lineRule="auto"/>
      </w:pPr>
      <w:r w:rsidRPr="002E64B8">
        <w:t xml:space="preserve">However, according to the </w:t>
      </w:r>
      <w:r w:rsidR="00BF53DC">
        <w:t xml:space="preserve">UK </w:t>
      </w:r>
      <w:r w:rsidRPr="002E64B8">
        <w:t>Government their studies go on to state that regardless of the representation within policing teams, officers are still likely to get assaulted or mistreated by members of their own ethnic communities. Ethnic minority officers will still experience racist abuse and assaults, research shows that racial assaults have almost doubled between 2019-2020 in the Met Police. (Gov.uk, 2021)</w:t>
      </w:r>
    </w:p>
    <w:p w14:paraId="0A95012B" w14:textId="24A95AF7" w:rsidR="00494249" w:rsidRPr="002E64B8" w:rsidRDefault="00494249" w:rsidP="00494249">
      <w:pPr>
        <w:spacing w:line="480" w:lineRule="auto"/>
      </w:pPr>
      <w:r w:rsidRPr="002E64B8">
        <w:t xml:space="preserve"> In conclusion, there is evidence available to suggest that professional policies are evolving to increase cultural awareness through representation within local policing teams. However, it remains whether being representative of the communities we serve has an impact on reducing crime. As stated by Davies et al, who suggested that although a more ethnically representative police service is an innovative idea, there is limited evidence in the UK on how the public perceives officers of </w:t>
      </w:r>
      <w:r w:rsidRPr="002E64B8">
        <w:lastRenderedPageBreak/>
        <w:t>different ethnic appearance, and how this relates to trust, confidence, and legitimacy (Davies et al., 2020). </w:t>
      </w:r>
    </w:p>
    <w:p w14:paraId="115A8C71" w14:textId="77777777" w:rsidR="00494249" w:rsidRPr="002E64B8" w:rsidRDefault="00494249" w:rsidP="00494249">
      <w:pPr>
        <w:spacing w:line="480" w:lineRule="auto"/>
      </w:pPr>
      <w:r w:rsidRPr="002E64B8">
        <w:t>Considering the evidence available, although ethnic minority police offices have an influence on reducing crime and building trust with ethnic minority groups. Evidence also shows that the distrust between the police and the public does not lay with individual officers, or local policing teams but instead with the organisation that is the police service. However as discussed, the importance of representation and a culturally aware neighbourhood team still stands to show accountability within the police. Local policing teams must continue to evolve with cultures in their communities to gain a better understanding and trust from the communities they serve.</w:t>
      </w:r>
    </w:p>
    <w:p w14:paraId="4EABE7A0" w14:textId="77777777" w:rsidR="00B163F3" w:rsidRPr="002E64B8" w:rsidRDefault="00B163F3" w:rsidP="002E49E7">
      <w:pPr>
        <w:spacing w:line="480" w:lineRule="auto"/>
        <w:rPr>
          <w:rFonts w:cstheme="minorHAnsi"/>
        </w:rPr>
      </w:pPr>
    </w:p>
    <w:p w14:paraId="33E1B73F" w14:textId="15864D84" w:rsidR="00B163F3" w:rsidRPr="002E64B8" w:rsidRDefault="00B163F3" w:rsidP="002E49E7">
      <w:pPr>
        <w:spacing w:line="480" w:lineRule="auto"/>
        <w:rPr>
          <w:rFonts w:cstheme="minorHAnsi"/>
        </w:rPr>
      </w:pPr>
      <w:r w:rsidRPr="002E64B8">
        <w:rPr>
          <w:rFonts w:cstheme="minorHAnsi"/>
        </w:rPr>
        <w:t xml:space="preserve">Word Count: </w:t>
      </w:r>
      <w:r w:rsidR="000A39DB" w:rsidRPr="002E64B8">
        <w:rPr>
          <w:rFonts w:cstheme="minorHAnsi"/>
        </w:rPr>
        <w:t>1,</w:t>
      </w:r>
      <w:r w:rsidR="00361628">
        <w:rPr>
          <w:rFonts w:cstheme="minorHAnsi"/>
        </w:rPr>
        <w:t>0</w:t>
      </w:r>
      <w:r w:rsidR="00BF53DC">
        <w:rPr>
          <w:rFonts w:cstheme="minorHAnsi"/>
        </w:rPr>
        <w:t>52</w:t>
      </w:r>
      <w:r w:rsidR="00752D00" w:rsidRPr="002E64B8">
        <w:rPr>
          <w:rFonts w:cstheme="minorHAnsi"/>
        </w:rPr>
        <w:t xml:space="preserve"> </w:t>
      </w:r>
    </w:p>
    <w:p w14:paraId="753FC8B8" w14:textId="77777777" w:rsidR="00B163F3" w:rsidRPr="002E64B8" w:rsidRDefault="00B163F3" w:rsidP="002E49E7">
      <w:pPr>
        <w:spacing w:line="480" w:lineRule="auto"/>
        <w:rPr>
          <w:rFonts w:cstheme="minorHAnsi"/>
        </w:rPr>
      </w:pPr>
    </w:p>
    <w:p w14:paraId="753293E4" w14:textId="77777777" w:rsidR="00AC3760" w:rsidRDefault="00AC3760" w:rsidP="002E49E7">
      <w:pPr>
        <w:spacing w:line="480" w:lineRule="auto"/>
        <w:rPr>
          <w:rFonts w:cstheme="minorHAnsi"/>
        </w:rPr>
      </w:pPr>
    </w:p>
    <w:p w14:paraId="78055A0E" w14:textId="77777777" w:rsidR="00361628" w:rsidRDefault="00361628" w:rsidP="002E49E7">
      <w:pPr>
        <w:spacing w:line="480" w:lineRule="auto"/>
        <w:rPr>
          <w:rFonts w:cstheme="minorHAnsi"/>
        </w:rPr>
      </w:pPr>
    </w:p>
    <w:p w14:paraId="7F0A346D" w14:textId="77777777" w:rsidR="00361628" w:rsidRDefault="00361628" w:rsidP="002E49E7">
      <w:pPr>
        <w:spacing w:line="480" w:lineRule="auto"/>
        <w:rPr>
          <w:rFonts w:cstheme="minorHAnsi"/>
        </w:rPr>
      </w:pPr>
    </w:p>
    <w:p w14:paraId="645C5C12" w14:textId="77777777" w:rsidR="00361628" w:rsidRDefault="00361628" w:rsidP="002E49E7">
      <w:pPr>
        <w:spacing w:line="480" w:lineRule="auto"/>
        <w:rPr>
          <w:rFonts w:cstheme="minorHAnsi"/>
        </w:rPr>
      </w:pPr>
    </w:p>
    <w:p w14:paraId="610D3AFC" w14:textId="77777777" w:rsidR="00361628" w:rsidRDefault="00361628" w:rsidP="002E49E7">
      <w:pPr>
        <w:spacing w:line="480" w:lineRule="auto"/>
        <w:rPr>
          <w:rFonts w:cstheme="minorHAnsi"/>
        </w:rPr>
      </w:pPr>
    </w:p>
    <w:p w14:paraId="3DAAD302" w14:textId="77777777" w:rsidR="00361628" w:rsidRPr="002E64B8" w:rsidRDefault="00361628" w:rsidP="002E49E7">
      <w:pPr>
        <w:spacing w:line="480" w:lineRule="auto"/>
        <w:rPr>
          <w:rFonts w:cstheme="minorHAnsi"/>
        </w:rPr>
      </w:pPr>
    </w:p>
    <w:p w14:paraId="01C9A5F0" w14:textId="77777777" w:rsidR="00AC3760" w:rsidRPr="002E64B8" w:rsidRDefault="00AC3760" w:rsidP="002E49E7">
      <w:pPr>
        <w:spacing w:line="480" w:lineRule="auto"/>
        <w:rPr>
          <w:rFonts w:cstheme="minorHAnsi"/>
        </w:rPr>
      </w:pPr>
    </w:p>
    <w:p w14:paraId="135C5B28" w14:textId="77777777" w:rsidR="00AC3760" w:rsidRPr="002E64B8" w:rsidRDefault="00AC3760" w:rsidP="002E49E7">
      <w:pPr>
        <w:spacing w:line="480" w:lineRule="auto"/>
        <w:rPr>
          <w:rFonts w:cstheme="minorHAnsi"/>
        </w:rPr>
      </w:pPr>
    </w:p>
    <w:p w14:paraId="6C468D4C" w14:textId="77777777" w:rsidR="000A39DB" w:rsidRPr="002E64B8" w:rsidRDefault="000A39DB" w:rsidP="002E49E7">
      <w:pPr>
        <w:spacing w:after="240" w:line="480" w:lineRule="auto"/>
        <w:outlineLvl w:val="0"/>
        <w:rPr>
          <w:rFonts w:cstheme="minorHAnsi"/>
        </w:rPr>
      </w:pPr>
    </w:p>
    <w:p w14:paraId="29D62C54" w14:textId="0A6553A5" w:rsidR="00B163F3" w:rsidRPr="002E64B8" w:rsidRDefault="00B163F3" w:rsidP="002E49E7">
      <w:pPr>
        <w:spacing w:after="240" w:line="480" w:lineRule="auto"/>
        <w:outlineLvl w:val="0"/>
        <w:rPr>
          <w:rFonts w:eastAsia="Times New Roman" w:cstheme="minorHAnsi"/>
          <w:b/>
          <w:bCs/>
          <w:kern w:val="36"/>
          <w:lang w:eastAsia="en-GB"/>
          <w14:ligatures w14:val="none"/>
        </w:rPr>
      </w:pPr>
      <w:r w:rsidRPr="002E64B8">
        <w:rPr>
          <w:rFonts w:eastAsia="Times New Roman" w:cstheme="minorHAnsi"/>
          <w:b/>
          <w:bCs/>
          <w:kern w:val="36"/>
          <w:lang w:eastAsia="en-GB"/>
          <w14:ligatures w14:val="none"/>
        </w:rPr>
        <w:t>Reference list</w:t>
      </w:r>
    </w:p>
    <w:p w14:paraId="186F5667"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lastRenderedPageBreak/>
        <w:t xml:space="preserve">Chenane, J.L. and Wright, E.M. (2018). The Role of Police Officer Race/Ethnicity on Crime Rates in Immigrant Communities. </w:t>
      </w:r>
      <w:r w:rsidRPr="002E64B8">
        <w:rPr>
          <w:rFonts w:eastAsia="Times New Roman" w:cstheme="minorHAnsi"/>
          <w:i/>
          <w:iCs/>
          <w:kern w:val="0"/>
          <w:lang w:eastAsia="en-GB"/>
          <w14:ligatures w14:val="none"/>
        </w:rPr>
        <w:t>Race and Justice</w:t>
      </w:r>
      <w:r w:rsidRPr="002E64B8">
        <w:rPr>
          <w:rFonts w:eastAsia="Times New Roman" w:cstheme="minorHAnsi"/>
          <w:kern w:val="0"/>
          <w:lang w:eastAsia="en-GB"/>
          <w14:ligatures w14:val="none"/>
        </w:rPr>
        <w:t>, 11(1), p.215336871877727. doi:https://doi.org/10.1177/2153368718777278.</w:t>
      </w:r>
    </w:p>
    <w:p w14:paraId="025276A1"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Davies, T., Bradford, B., Yesberg, J.A. and Pósch, K. (2020). Visibly better? Testing the effect of ethnic appearance on citizen perceptions of the police. </w:t>
      </w:r>
      <w:r w:rsidRPr="002E64B8">
        <w:rPr>
          <w:rFonts w:eastAsia="Times New Roman" w:cstheme="minorHAnsi"/>
          <w:i/>
          <w:iCs/>
          <w:kern w:val="0"/>
          <w:lang w:eastAsia="en-GB"/>
          <w14:ligatures w14:val="none"/>
        </w:rPr>
        <w:t>Policing and Society</w:t>
      </w:r>
      <w:r w:rsidRPr="002E64B8">
        <w:rPr>
          <w:rFonts w:eastAsia="Times New Roman" w:cstheme="minorHAnsi"/>
          <w:kern w:val="0"/>
          <w:lang w:eastAsia="en-GB"/>
          <w14:ligatures w14:val="none"/>
        </w:rPr>
        <w:t>, 31(9), pp.1–16. doi:https://doi.org/10.1080/10439463.2020.1853124.</w:t>
      </w:r>
    </w:p>
    <w:p w14:paraId="309D9D5C"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Decker, C. and Kersten, J. (2015). Minority Police Officers’ Contribution to Police-Ethnic Minority Conflict Management. </w:t>
      </w:r>
      <w:r w:rsidRPr="002E64B8">
        <w:rPr>
          <w:rFonts w:eastAsia="Times New Roman" w:cstheme="minorHAnsi"/>
          <w:i/>
          <w:iCs/>
          <w:kern w:val="0"/>
          <w:lang w:eastAsia="en-GB"/>
          <w14:ligatures w14:val="none"/>
        </w:rPr>
        <w:t>European Journal of Policing Studies</w:t>
      </w:r>
      <w:r w:rsidRPr="002E64B8">
        <w:rPr>
          <w:rFonts w:eastAsia="Times New Roman" w:cstheme="minorHAnsi"/>
          <w:kern w:val="0"/>
          <w:lang w:eastAsia="en-GB"/>
          <w14:ligatures w14:val="none"/>
        </w:rPr>
        <w:t>, 2(4), pp.461–481. doi:https://doi.org/10.5553/ejps/2034760x2015002004008.</w:t>
      </w:r>
    </w:p>
    <w:p w14:paraId="29AAA5F9"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Foster, J., Newburn, T. and Souhami, A. (2005). </w:t>
      </w:r>
      <w:r w:rsidRPr="002E64B8">
        <w:rPr>
          <w:rFonts w:eastAsia="Times New Roman" w:cstheme="minorHAnsi"/>
          <w:i/>
          <w:iCs/>
          <w:kern w:val="0"/>
          <w:lang w:eastAsia="en-GB"/>
          <w14:ligatures w14:val="none"/>
        </w:rPr>
        <w:t>Assessing the impact of the Stephen Lawrence Inquiry</w:t>
      </w:r>
      <w:r w:rsidRPr="002E64B8">
        <w:rPr>
          <w:rFonts w:eastAsia="Times New Roman" w:cstheme="minorHAnsi"/>
          <w:kern w:val="0"/>
          <w:lang w:eastAsia="en-GB"/>
          <w14:ligatures w14:val="none"/>
        </w:rPr>
        <w:t>. [online] Available at: https://citeseerx.ist.psu.edu/document?repid=rep1&amp;type=pdf&amp;doi=1d33b18f47baeb3ef37a884112fdd8ad446174f6.</w:t>
      </w:r>
    </w:p>
    <w:p w14:paraId="12ADF9E2"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Gov.uk (2021). </w:t>
      </w:r>
      <w:r w:rsidRPr="002E64B8">
        <w:rPr>
          <w:rFonts w:eastAsia="Times New Roman" w:cstheme="minorHAnsi"/>
          <w:i/>
          <w:iCs/>
          <w:kern w:val="0"/>
          <w:lang w:eastAsia="en-GB"/>
          <w14:ligatures w14:val="none"/>
        </w:rPr>
        <w:t>Crime and policing</w:t>
      </w:r>
      <w:r w:rsidRPr="002E64B8">
        <w:rPr>
          <w:rFonts w:eastAsia="Times New Roman" w:cstheme="minorHAnsi"/>
          <w:kern w:val="0"/>
          <w:lang w:eastAsia="en-GB"/>
          <w14:ligatures w14:val="none"/>
        </w:rPr>
        <w:t>. [online] GOV.UK. Available at: https://www.gov.uk/government/publications/the-report-of-the-commission-on-race-and-ethnic-disparities/crime-and-policing.</w:t>
      </w:r>
    </w:p>
    <w:p w14:paraId="3757FDF6"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gover, angela (2016). </w:t>
      </w:r>
      <w:r w:rsidRPr="002E64B8">
        <w:rPr>
          <w:rFonts w:eastAsia="Times New Roman" w:cstheme="minorHAnsi"/>
          <w:i/>
          <w:iCs/>
          <w:kern w:val="0"/>
          <w:lang w:eastAsia="en-GB"/>
          <w14:ligatures w14:val="none"/>
        </w:rPr>
        <w:t>Measuring the impact of police representativeness - ProQuest</w:t>
      </w:r>
      <w:r w:rsidRPr="002E64B8">
        <w:rPr>
          <w:rFonts w:eastAsia="Times New Roman" w:cstheme="minorHAnsi"/>
          <w:kern w:val="0"/>
          <w:lang w:eastAsia="en-GB"/>
          <w14:ligatures w14:val="none"/>
        </w:rPr>
        <w:t>. [online] www.proquest.com. Available at: https://www.proquest.com/scholarly-journals/measuring-impact-police-representativeness-on/docview/1844295080/se-2?accountid=130472 [Accessed 15 Nov. 2023].</w:t>
      </w:r>
    </w:p>
    <w:p w14:paraId="45B69C4F"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Hong, S. (2015). Representative Bureaucracy, Organizational Integrity, and Citizen Coproduction: Does an Increase in Police Ethnic Representativeness Reduce Crime? </w:t>
      </w:r>
      <w:r w:rsidRPr="002E64B8">
        <w:rPr>
          <w:rFonts w:eastAsia="Times New Roman" w:cstheme="minorHAnsi"/>
          <w:i/>
          <w:iCs/>
          <w:kern w:val="0"/>
          <w:lang w:eastAsia="en-GB"/>
          <w14:ligatures w14:val="none"/>
        </w:rPr>
        <w:t>Journal of Policy Analysis and Management</w:t>
      </w:r>
      <w:r w:rsidRPr="002E64B8">
        <w:rPr>
          <w:rFonts w:eastAsia="Times New Roman" w:cstheme="minorHAnsi"/>
          <w:kern w:val="0"/>
          <w:lang w:eastAsia="en-GB"/>
          <w14:ligatures w14:val="none"/>
        </w:rPr>
        <w:t>, 35(1), pp.11–33. doi:https://doi.org/10.1002/pam.21876.</w:t>
      </w:r>
    </w:p>
    <w:p w14:paraId="099769A8"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lastRenderedPageBreak/>
        <w:t xml:space="preserve">MacVean, A. and Neyroud, P. (2012). </w:t>
      </w:r>
      <w:r w:rsidRPr="002E64B8">
        <w:rPr>
          <w:rFonts w:eastAsia="Times New Roman" w:cstheme="minorHAnsi"/>
          <w:i/>
          <w:iCs/>
          <w:kern w:val="0"/>
          <w:lang w:eastAsia="en-GB"/>
          <w14:ligatures w14:val="none"/>
        </w:rPr>
        <w:t>Police Ethics and Values</w:t>
      </w:r>
      <w:r w:rsidRPr="002E64B8">
        <w:rPr>
          <w:rFonts w:eastAsia="Times New Roman" w:cstheme="minorHAnsi"/>
          <w:kern w:val="0"/>
          <w:lang w:eastAsia="en-GB"/>
          <w14:ligatures w14:val="none"/>
        </w:rPr>
        <w:t xml:space="preserve">. [online] </w:t>
      </w:r>
      <w:r w:rsidRPr="002E64B8">
        <w:rPr>
          <w:rFonts w:eastAsia="Times New Roman" w:cstheme="minorHAnsi"/>
          <w:i/>
          <w:iCs/>
          <w:kern w:val="0"/>
          <w:lang w:eastAsia="en-GB"/>
          <w14:ligatures w14:val="none"/>
        </w:rPr>
        <w:t>Google Books</w:t>
      </w:r>
      <w:r w:rsidRPr="002E64B8">
        <w:rPr>
          <w:rFonts w:eastAsia="Times New Roman" w:cstheme="minorHAnsi"/>
          <w:kern w:val="0"/>
          <w:lang w:eastAsia="en-GB"/>
          <w14:ligatures w14:val="none"/>
        </w:rPr>
        <w:t>. Learning Matters. Available at: https://books.google.co.uk/books?hl=en&amp;lr=&amp;id=ckOMV9YsnmsC&amp;oi=fnd&amp;pg=PP1&amp;dq=what+is+police+code+of+ethics&amp;ots=kwcCMr5fap&amp;sig=VJPuf6nJVmSXwuhYQPkXw7-oLmA#v=onepage&amp;q=what%20is%20police%20code%20of%20ethics&amp;f=false [Accessed 15 Nov. 2023].</w:t>
      </w:r>
    </w:p>
    <w:p w14:paraId="10BCF52D"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Minshall, M. (2021). </w:t>
      </w:r>
      <w:r w:rsidRPr="002E64B8">
        <w:rPr>
          <w:rFonts w:eastAsia="Times New Roman" w:cstheme="minorHAnsi"/>
          <w:i/>
          <w:iCs/>
          <w:kern w:val="0"/>
          <w:lang w:eastAsia="en-GB"/>
          <w14:ligatures w14:val="none"/>
        </w:rPr>
        <w:t>The importance of culturally sensitive policing</w:t>
      </w:r>
      <w:r w:rsidRPr="002E64B8">
        <w:rPr>
          <w:rFonts w:eastAsia="Times New Roman" w:cstheme="minorHAnsi"/>
          <w:kern w:val="0"/>
          <w:lang w:eastAsia="en-GB"/>
          <w14:ligatures w14:val="none"/>
        </w:rPr>
        <w:t>. [online] Policing Insight. Available at: https://policinginsight.com/feature/opinion/the-importance-of-culturally-sensitive-policing/ [Accessed 15 Nov. 2023].</w:t>
      </w:r>
    </w:p>
    <w:p w14:paraId="3C167A18"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Police Federation (2023). </w:t>
      </w:r>
      <w:r w:rsidRPr="002E64B8">
        <w:rPr>
          <w:rFonts w:eastAsia="Times New Roman" w:cstheme="minorHAnsi"/>
          <w:i/>
          <w:iCs/>
          <w:kern w:val="0"/>
          <w:lang w:eastAsia="en-GB"/>
          <w14:ligatures w14:val="none"/>
        </w:rPr>
        <w:t>Your police service Putting the public first • Protecting the public • Fit for the future • Working together</w:t>
      </w:r>
      <w:r w:rsidRPr="002E64B8">
        <w:rPr>
          <w:rFonts w:eastAsia="Times New Roman" w:cstheme="minorHAnsi"/>
          <w:kern w:val="0"/>
          <w:lang w:eastAsia="en-GB"/>
          <w14:ligatures w14:val="none"/>
        </w:rPr>
        <w:t>. [online] Available at: https://www.polfed.org/media/13687/putting_the_public_first.pdf.</w:t>
      </w:r>
    </w:p>
    <w:p w14:paraId="4556ADC8"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Policing, C. of (2014). </w:t>
      </w:r>
      <w:r w:rsidRPr="002E64B8">
        <w:rPr>
          <w:rFonts w:eastAsia="Times New Roman" w:cstheme="minorHAnsi"/>
          <w:i/>
          <w:iCs/>
          <w:kern w:val="0"/>
          <w:lang w:eastAsia="en-GB"/>
          <w14:ligatures w14:val="none"/>
        </w:rPr>
        <w:t>THE PROFESSIONAL BODY FOR POLICING Code of Ethics A Code of Practice for the Principles and Standards of Professional Behaviour for the Policing Profession of England and Wales</w:t>
      </w:r>
      <w:r w:rsidRPr="002E64B8">
        <w:rPr>
          <w:rFonts w:eastAsia="Times New Roman" w:cstheme="minorHAnsi"/>
          <w:kern w:val="0"/>
          <w:lang w:eastAsia="en-GB"/>
          <w14:ligatures w14:val="none"/>
        </w:rPr>
        <w:t>. [online] Available at: https://assets.publishing.service.gov.uk/media/5a7d867140f0b65084e75b94/Code_of_Ethics_2014_Web_Accessible.pdf.</w:t>
      </w:r>
    </w:p>
    <w:p w14:paraId="29559AF0" w14:textId="77777777" w:rsidR="00B163F3" w:rsidRPr="002E64B8" w:rsidRDefault="00B163F3" w:rsidP="002E49E7">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Policing, C. of (2020). </w:t>
      </w:r>
      <w:r w:rsidRPr="002E64B8">
        <w:rPr>
          <w:rFonts w:eastAsia="Times New Roman" w:cstheme="minorHAnsi"/>
          <w:i/>
          <w:iCs/>
          <w:kern w:val="0"/>
          <w:lang w:eastAsia="en-GB"/>
          <w14:ligatures w14:val="none"/>
        </w:rPr>
        <w:t>Promoting and supporting diversity and inclusion</w:t>
      </w:r>
      <w:r w:rsidRPr="002E64B8">
        <w:rPr>
          <w:rFonts w:eastAsia="Times New Roman" w:cstheme="minorHAnsi"/>
          <w:kern w:val="0"/>
          <w:lang w:eastAsia="en-GB"/>
          <w14:ligatures w14:val="none"/>
        </w:rPr>
        <w:t>. [online] College of Policing. Available at: https://www.college.police.uk/article/diversity-and-inclusion-cpd-in-focus#:~:text=diverse%20teams%20make%20better%20decisions.</w:t>
      </w:r>
    </w:p>
    <w:p w14:paraId="50FAFCF7" w14:textId="77777777" w:rsidR="00BF53DC" w:rsidRDefault="00B163F3" w:rsidP="00BF53DC">
      <w:pPr>
        <w:spacing w:after="240" w:line="480" w:lineRule="auto"/>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Rosado, C. (2019). </w:t>
      </w:r>
      <w:r w:rsidRPr="002E64B8">
        <w:rPr>
          <w:rFonts w:eastAsia="Times New Roman" w:cstheme="minorHAnsi"/>
          <w:i/>
          <w:iCs/>
          <w:kern w:val="0"/>
          <w:lang w:eastAsia="en-GB"/>
          <w14:ligatures w14:val="none"/>
        </w:rPr>
        <w:t>Toward a Definition of Multiculturalism</w:t>
      </w:r>
      <w:r w:rsidRPr="002E64B8">
        <w:rPr>
          <w:rFonts w:eastAsia="Times New Roman" w:cstheme="minorHAnsi"/>
          <w:kern w:val="0"/>
          <w:lang w:eastAsia="en-GB"/>
          <w14:ligatures w14:val="none"/>
        </w:rPr>
        <w:t>. [online] Academia.edu. Available at: https://www.academia.edu/777187/Toward_a_Definition_of_Multiculturalism [Accessed 8 Dec. 2019].</w:t>
      </w:r>
    </w:p>
    <w:p w14:paraId="77DB27D1" w14:textId="47C76EE4" w:rsidR="00B163F3" w:rsidRPr="00BF53DC" w:rsidRDefault="00B163F3" w:rsidP="00BF53DC">
      <w:pPr>
        <w:spacing w:after="240" w:line="480" w:lineRule="auto"/>
        <w:rPr>
          <w:rFonts w:eastAsia="Times New Roman" w:cstheme="minorHAnsi"/>
          <w:kern w:val="0"/>
          <w:lang w:eastAsia="en-GB"/>
          <w14:ligatures w14:val="none"/>
        </w:rPr>
      </w:pPr>
      <w:r w:rsidRPr="002E64B8">
        <w:rPr>
          <w:rFonts w:cstheme="minorHAnsi"/>
          <w:b/>
          <w:bCs/>
        </w:rPr>
        <w:lastRenderedPageBreak/>
        <w:t>Student 2222319</w:t>
      </w:r>
    </w:p>
    <w:p w14:paraId="0ABBF4C6" w14:textId="68A1C67D" w:rsidR="00B163F3" w:rsidRPr="002E64B8" w:rsidRDefault="00B163F3" w:rsidP="002E49E7">
      <w:pPr>
        <w:spacing w:line="480" w:lineRule="auto"/>
        <w:rPr>
          <w:rFonts w:cstheme="minorHAnsi"/>
          <w:b/>
          <w:bCs/>
        </w:rPr>
      </w:pPr>
      <w:r w:rsidRPr="002E64B8">
        <w:rPr>
          <w:rFonts w:cstheme="minorHAnsi"/>
          <w:b/>
          <w:bCs/>
        </w:rPr>
        <w:t>Lauren Richards</w:t>
      </w:r>
    </w:p>
    <w:p w14:paraId="15D86176" w14:textId="33AD95A9" w:rsidR="00521814" w:rsidRPr="002E64B8" w:rsidRDefault="00B163F3" w:rsidP="002E49E7">
      <w:pPr>
        <w:spacing w:line="480" w:lineRule="auto"/>
        <w:rPr>
          <w:rFonts w:cstheme="minorHAnsi"/>
        </w:rPr>
      </w:pPr>
      <w:r w:rsidRPr="002E64B8">
        <w:rPr>
          <w:rFonts w:cstheme="minorHAnsi"/>
        </w:rPr>
        <w:t xml:space="preserve">Examine the various socio-economic and psychological characteristics which can make people vulnerable to exploitation by criminal gangs. </w:t>
      </w:r>
    </w:p>
    <w:p w14:paraId="06383921" w14:textId="77777777" w:rsidR="00521814" w:rsidRPr="002E64B8" w:rsidRDefault="00521814" w:rsidP="002E49E7">
      <w:pPr>
        <w:spacing w:line="480" w:lineRule="auto"/>
        <w:rPr>
          <w:rFonts w:cstheme="minorHAnsi"/>
        </w:rPr>
      </w:pPr>
    </w:p>
    <w:p w14:paraId="4FE54EF9" w14:textId="0A3DFD8C" w:rsidR="00361628" w:rsidRDefault="00B163F3" w:rsidP="002E49E7">
      <w:pPr>
        <w:spacing w:line="480" w:lineRule="auto"/>
        <w:rPr>
          <w:rFonts w:cstheme="minorHAnsi"/>
        </w:rPr>
      </w:pPr>
      <w:r w:rsidRPr="002E64B8">
        <w:rPr>
          <w:rFonts w:cstheme="minorHAnsi"/>
        </w:rPr>
        <w:t xml:space="preserve">Exploitation by criminal gangs has influenced today’s society and the way we police our communities. </w:t>
      </w:r>
      <w:r w:rsidR="004C4382">
        <w:rPr>
          <w:rFonts w:cstheme="minorHAnsi"/>
        </w:rPr>
        <w:t xml:space="preserve">The focus points of this essay will be vulnerabilities in young people and adults. As well as, gaining an insight on how socio-economical and psychological factors play a role in why individuals become susceptible to exploitation by criminal gangs. </w:t>
      </w:r>
    </w:p>
    <w:p w14:paraId="50647592" w14:textId="37FD3CA2" w:rsidR="00B163F3" w:rsidRPr="002E64B8" w:rsidRDefault="00B163F3" w:rsidP="002E49E7">
      <w:pPr>
        <w:spacing w:line="480" w:lineRule="auto"/>
        <w:rPr>
          <w:rFonts w:cstheme="minorHAnsi"/>
        </w:rPr>
      </w:pPr>
      <w:r w:rsidRPr="002E64B8">
        <w:rPr>
          <w:rFonts w:cstheme="minorHAnsi"/>
        </w:rPr>
        <w:t>Focusing on criminal gangs within this essay and the exploitation that involves vulnerable</w:t>
      </w:r>
      <w:r w:rsidR="00BF53DC">
        <w:rPr>
          <w:rFonts w:cstheme="minorHAnsi"/>
        </w:rPr>
        <w:t xml:space="preserve"> young</w:t>
      </w:r>
      <w:r w:rsidRPr="002E64B8">
        <w:rPr>
          <w:rFonts w:cstheme="minorHAnsi"/>
        </w:rPr>
        <w:t xml:space="preserve"> people, it’s important to recognise what criminal exploitation is. According to the NSPCC criminal exploitation is child abuse, where children and young people are coerced and manipulated into committing crimes. (NSPCC, 2022). Typically, young people will be coerced into committing such crimes whilst being a member or involved with a gang. According to the CPS there is no definite definition of ‘gang’, however </w:t>
      </w:r>
      <w:r w:rsidR="00B53836" w:rsidRPr="002E64B8">
        <w:rPr>
          <w:rFonts w:cstheme="minorHAnsi"/>
        </w:rPr>
        <w:t xml:space="preserve">the </w:t>
      </w:r>
      <w:r w:rsidRPr="002E64B8">
        <w:rPr>
          <w:rFonts w:cstheme="minorHAnsi"/>
        </w:rPr>
        <w:t>policing and crime act 2009 state</w:t>
      </w:r>
      <w:r w:rsidR="00B53836" w:rsidRPr="002E64B8">
        <w:rPr>
          <w:rFonts w:cstheme="minorHAnsi"/>
        </w:rPr>
        <w:t>s</w:t>
      </w:r>
      <w:r w:rsidRPr="002E64B8">
        <w:rPr>
          <w:rFonts w:cstheme="minorHAnsi"/>
        </w:rPr>
        <w:t xml:space="preserve"> that something is ‘gang related’ if it occurs during or is related to activities of a group. That group consists of at least three people and has one or more characteristics that identify members as part of a gang. (CPS,2021)</w:t>
      </w:r>
    </w:p>
    <w:p w14:paraId="38FF2FAA" w14:textId="22E43E9E" w:rsidR="00B163F3" w:rsidRPr="002E64B8" w:rsidRDefault="00B163F3" w:rsidP="002E49E7">
      <w:pPr>
        <w:spacing w:line="480" w:lineRule="auto"/>
        <w:rPr>
          <w:rFonts w:cstheme="minorHAnsi"/>
        </w:rPr>
      </w:pPr>
      <w:r w:rsidRPr="002E64B8">
        <w:rPr>
          <w:rFonts w:cstheme="minorHAnsi"/>
        </w:rPr>
        <w:t>The link between young persons and vulnerability is present when discussing criminal exploitation,</w:t>
      </w:r>
      <w:r w:rsidR="00BA61BE">
        <w:rPr>
          <w:rFonts w:cstheme="minorHAnsi"/>
        </w:rPr>
        <w:t xml:space="preserve"> and many factors play a role in making a person vulnerable. </w:t>
      </w:r>
      <w:r w:rsidR="00312789" w:rsidRPr="002E64B8">
        <w:rPr>
          <w:rFonts w:cstheme="minorHAnsi"/>
        </w:rPr>
        <w:t>V</w:t>
      </w:r>
      <w:r w:rsidRPr="002E64B8">
        <w:rPr>
          <w:rFonts w:cstheme="minorHAnsi"/>
        </w:rPr>
        <w:t>ulnerability is a state or condition of being weak or poorly defended. According to Shah et al, young people who are more exposed to risks, are vulnerable in terms of deprivation, exploitation, abuse, neglect, and violence. (Shah et al</w:t>
      </w:r>
      <w:r w:rsidR="003A4BF2" w:rsidRPr="002E64B8">
        <w:rPr>
          <w:rFonts w:cstheme="minorHAnsi"/>
        </w:rPr>
        <w:t>, 2015</w:t>
      </w:r>
      <w:r w:rsidRPr="002E64B8">
        <w:rPr>
          <w:rFonts w:cstheme="minorHAnsi"/>
        </w:rPr>
        <w:t xml:space="preserve">.) A child who has experienced the risks Shah describes is likely to have experienced an adverse childhood, whereby it has affected that child’s development. As stated by CDC toxic stress from adverse childhood experiences can have a negative impact on a child’s brain development, as well as </w:t>
      </w:r>
      <w:r w:rsidRPr="002E64B8">
        <w:rPr>
          <w:rFonts w:cstheme="minorHAnsi"/>
        </w:rPr>
        <w:lastRenderedPageBreak/>
        <w:t xml:space="preserve">their immune systems and stress responses. Eventually leading to poor decision making and forming unstable and unhealthy relationships. (Centers for Disease Control and Prevention,2022). Therefore, making them vulnerable to the manipulation and coercion by criminal gangs. </w:t>
      </w:r>
    </w:p>
    <w:p w14:paraId="30D46D7E" w14:textId="657192FA" w:rsidR="00B163F3" w:rsidRPr="002E64B8" w:rsidRDefault="00B163F3" w:rsidP="002E49E7">
      <w:pPr>
        <w:spacing w:line="480" w:lineRule="auto"/>
        <w:rPr>
          <w:rFonts w:cstheme="minorHAnsi"/>
        </w:rPr>
      </w:pPr>
      <w:r w:rsidRPr="002E64B8">
        <w:rPr>
          <w:rFonts w:cstheme="minorHAnsi"/>
        </w:rPr>
        <w:t xml:space="preserve">As stated by Freeze, a child who experiences an adverse childhood increases the chances that they will engage in a violent crime as an adult. Which as previously stated can be </w:t>
      </w:r>
      <w:r w:rsidR="00BA61BE">
        <w:rPr>
          <w:rFonts w:cstheme="minorHAnsi"/>
        </w:rPr>
        <w:t>due to</w:t>
      </w:r>
      <w:r w:rsidRPr="002E64B8">
        <w:rPr>
          <w:rFonts w:cstheme="minorHAnsi"/>
        </w:rPr>
        <w:t xml:space="preserve"> poor decision making and lack of stability or healthy relationships. By recognising the links between adverse childhood experiences and illegal activity in young people, police can equip themselves with the correct tools to better engage with young persons (Freeze,2019). By engaging with young persons through these adverse experiences it gives the authorities an opportunity to safeguard the children, with the hope measures can be put in place to steer young </w:t>
      </w:r>
      <w:r w:rsidR="00CB5A2A" w:rsidRPr="002E64B8">
        <w:rPr>
          <w:rFonts w:cstheme="minorHAnsi"/>
        </w:rPr>
        <w:t>person’s</w:t>
      </w:r>
      <w:r w:rsidRPr="002E64B8">
        <w:rPr>
          <w:rFonts w:cstheme="minorHAnsi"/>
        </w:rPr>
        <w:t xml:space="preserve"> away from criminal exploitation. </w:t>
      </w:r>
    </w:p>
    <w:p w14:paraId="6079415B" w14:textId="57F50073" w:rsidR="00B163F3" w:rsidRPr="002E64B8" w:rsidRDefault="00B163F3" w:rsidP="002E49E7">
      <w:pPr>
        <w:spacing w:line="480" w:lineRule="auto"/>
        <w:rPr>
          <w:rFonts w:cstheme="minorHAnsi"/>
        </w:rPr>
      </w:pPr>
      <w:r w:rsidRPr="002E64B8">
        <w:rPr>
          <w:rFonts w:cstheme="minorHAnsi"/>
        </w:rPr>
        <w:t xml:space="preserve">A survey conducted by Public Health Wales show that 14 out of 100 adults in Wales experienced at least 4 or more adverse childhood experiences. Comparing that to adult’s who had no adverse childhood experiences, those who had experienced drug or alcohol use, domestic violence, physical or verbal abuse during their childhood are 15 times more likely to have committed a violent act against another person, and 20 times more likely to have been incarcerated at any point in their lifetime. (Public Health Wales,2015). </w:t>
      </w:r>
      <w:r w:rsidR="004C4382">
        <w:rPr>
          <w:rFonts w:cstheme="minorHAnsi"/>
        </w:rPr>
        <w:t xml:space="preserve">On reviewing </w:t>
      </w:r>
      <w:r w:rsidRPr="002E64B8">
        <w:rPr>
          <w:rFonts w:cstheme="minorHAnsi"/>
        </w:rPr>
        <w:t xml:space="preserve">this survey, </w:t>
      </w:r>
      <w:r w:rsidR="004C4382">
        <w:rPr>
          <w:rFonts w:cstheme="minorHAnsi"/>
        </w:rPr>
        <w:t xml:space="preserve">it shows </w:t>
      </w:r>
      <w:r w:rsidRPr="002E64B8">
        <w:rPr>
          <w:rFonts w:cstheme="minorHAnsi"/>
        </w:rPr>
        <w:t xml:space="preserve">young people that grow up in an environment fuelled by risks and trauma during their fundamental years for developing lead to unpredictable lives later. </w:t>
      </w:r>
      <w:r w:rsidR="000B2AF9" w:rsidRPr="002E64B8">
        <w:rPr>
          <w:rFonts w:cstheme="minorHAnsi"/>
        </w:rPr>
        <w:t xml:space="preserve">Also emphasising the psychological </w:t>
      </w:r>
      <w:r w:rsidR="00EC036E" w:rsidRPr="002E64B8">
        <w:rPr>
          <w:rFonts w:cstheme="minorHAnsi"/>
        </w:rPr>
        <w:t>impact,</w:t>
      </w:r>
      <w:r w:rsidR="000B2AF9" w:rsidRPr="002E64B8">
        <w:rPr>
          <w:rFonts w:cstheme="minorHAnsi"/>
        </w:rPr>
        <w:t xml:space="preserve"> it has on a person’s likelihood to be exploited.</w:t>
      </w:r>
    </w:p>
    <w:p w14:paraId="26CD1DF2" w14:textId="64EE4D22" w:rsidR="00B163F3" w:rsidRPr="002E64B8" w:rsidRDefault="00B163F3" w:rsidP="002E49E7">
      <w:pPr>
        <w:spacing w:line="480" w:lineRule="auto"/>
        <w:rPr>
          <w:rFonts w:cstheme="minorHAnsi"/>
        </w:rPr>
      </w:pPr>
      <w:r w:rsidRPr="002E64B8">
        <w:rPr>
          <w:rFonts w:cstheme="minorHAnsi"/>
        </w:rPr>
        <w:t xml:space="preserve">With research showing that people growing up with multiple </w:t>
      </w:r>
      <w:r w:rsidR="00EC036E" w:rsidRPr="002E64B8">
        <w:rPr>
          <w:rFonts w:cstheme="minorHAnsi"/>
        </w:rPr>
        <w:t>ACEs</w:t>
      </w:r>
      <w:r w:rsidR="003B0FB2" w:rsidRPr="002E64B8">
        <w:rPr>
          <w:rFonts w:cstheme="minorHAnsi"/>
        </w:rPr>
        <w:t xml:space="preserve">, </w:t>
      </w:r>
      <w:r w:rsidRPr="002E64B8">
        <w:rPr>
          <w:rFonts w:cstheme="minorHAnsi"/>
        </w:rPr>
        <w:t xml:space="preserve">eventually links them to criminal activity as an adult. It’s also important to recognise that many children who experience ACE’s do not wait until adulthood to offend, research shows they are more likely to be exploited due to their vulnerability and coerced into county lines. According to the National Crime Agency criminal gangs utilise children due their vulnerability to being easily controlled. They saw that children between 12-18 years old were being exploited, and majority of those children came from poor backgrounds </w:t>
      </w:r>
      <w:r w:rsidRPr="002E64B8">
        <w:rPr>
          <w:rFonts w:cstheme="minorHAnsi"/>
        </w:rPr>
        <w:lastRenderedPageBreak/>
        <w:t>engaging in offending behaviour, and often involved with social services due to difficulties at home. (National Crime Agency</w:t>
      </w:r>
      <w:r w:rsidR="00385D4F" w:rsidRPr="002E64B8">
        <w:rPr>
          <w:rFonts w:cstheme="minorHAnsi"/>
        </w:rPr>
        <w:t>, 2016</w:t>
      </w:r>
      <w:r w:rsidRPr="002E64B8">
        <w:rPr>
          <w:rFonts w:cstheme="minorHAnsi"/>
        </w:rPr>
        <w:t xml:space="preserve">) </w:t>
      </w:r>
      <w:r w:rsidR="00DC7838" w:rsidRPr="002E64B8">
        <w:rPr>
          <w:rFonts w:cstheme="minorHAnsi"/>
        </w:rPr>
        <w:t xml:space="preserve">This also opens the door to socio-economical characteristics, with children linked to county lines </w:t>
      </w:r>
      <w:r w:rsidR="00D91AD0" w:rsidRPr="002E64B8">
        <w:rPr>
          <w:rFonts w:cstheme="minorHAnsi"/>
        </w:rPr>
        <w:t>they are more susceptible to exploitation due to lack of education</w:t>
      </w:r>
      <w:r w:rsidR="007C2249" w:rsidRPr="002E64B8">
        <w:rPr>
          <w:rFonts w:cstheme="minorHAnsi"/>
        </w:rPr>
        <w:t xml:space="preserve"> and resources. </w:t>
      </w:r>
    </w:p>
    <w:p w14:paraId="2602973F" w14:textId="7EBE2E27" w:rsidR="00B163F3" w:rsidRPr="002E64B8" w:rsidRDefault="00B163F3" w:rsidP="002E49E7">
      <w:pPr>
        <w:spacing w:line="480" w:lineRule="auto"/>
        <w:rPr>
          <w:rFonts w:cstheme="minorHAnsi"/>
        </w:rPr>
      </w:pPr>
      <w:r w:rsidRPr="002E64B8">
        <w:rPr>
          <w:rFonts w:cstheme="minorHAnsi"/>
        </w:rPr>
        <w:t>A research article written by Windle found that children who experience a combination of ACE’s increased the risk of human trafficking for exploitation. (Windle et al</w:t>
      </w:r>
      <w:r w:rsidR="00150FA6" w:rsidRPr="002E64B8">
        <w:rPr>
          <w:rFonts w:cstheme="minorHAnsi"/>
        </w:rPr>
        <w:t>, 2020</w:t>
      </w:r>
      <w:r w:rsidRPr="002E64B8">
        <w:rPr>
          <w:rFonts w:cstheme="minorHAnsi"/>
        </w:rPr>
        <w:t>) As stated by Espeute and Lanskey the use of children to facilitate county lines is a form of human trafficking and is outlined in the Modern Slavery Act 2015. (Espeute and Lanskey</w:t>
      </w:r>
      <w:r w:rsidR="00150FA6" w:rsidRPr="002E64B8">
        <w:rPr>
          <w:rFonts w:cstheme="minorHAnsi"/>
        </w:rPr>
        <w:t>, 2023</w:t>
      </w:r>
      <w:r w:rsidRPr="002E64B8">
        <w:rPr>
          <w:rFonts w:cstheme="minorHAnsi"/>
        </w:rPr>
        <w:t>).</w:t>
      </w:r>
    </w:p>
    <w:p w14:paraId="2FDDFC5D" w14:textId="5DF46FE7" w:rsidR="006B6CA7" w:rsidRPr="002E64B8" w:rsidRDefault="00B163F3" w:rsidP="002E49E7">
      <w:pPr>
        <w:spacing w:line="480" w:lineRule="auto"/>
        <w:rPr>
          <w:rFonts w:cstheme="minorHAnsi"/>
        </w:rPr>
      </w:pPr>
      <w:r w:rsidRPr="002E64B8">
        <w:rPr>
          <w:rFonts w:cstheme="minorHAnsi"/>
        </w:rPr>
        <w:t>With the introduction of the Modern Slavery Act 2015, vulnerable persons exploited through county lines have increasingly been recognised as victims of modern slavery. (Olver and Cockbain</w:t>
      </w:r>
      <w:r w:rsidR="005E2066" w:rsidRPr="002E64B8">
        <w:rPr>
          <w:rFonts w:cstheme="minorHAnsi"/>
        </w:rPr>
        <w:t>, 2021</w:t>
      </w:r>
      <w:r w:rsidRPr="002E64B8">
        <w:rPr>
          <w:rFonts w:cstheme="minorHAnsi"/>
        </w:rPr>
        <w:t>). The UK Government defines modern slavery as the trafficking of people</w:t>
      </w:r>
      <w:r w:rsidR="00D92F6A" w:rsidRPr="002E64B8">
        <w:rPr>
          <w:rFonts w:cstheme="minorHAnsi"/>
        </w:rPr>
        <w:t xml:space="preserve">. </w:t>
      </w:r>
      <w:r w:rsidRPr="002E64B8">
        <w:rPr>
          <w:rFonts w:cstheme="minorHAnsi"/>
        </w:rPr>
        <w:t>Children are considered as victims of trafficking whether they have been coerced, deceived, paid or not. (UK, GOV</w:t>
      </w:r>
      <w:r w:rsidR="005E2066" w:rsidRPr="002E64B8">
        <w:rPr>
          <w:rFonts w:cstheme="minorHAnsi"/>
        </w:rPr>
        <w:t>, 2016</w:t>
      </w:r>
      <w:r w:rsidRPr="002E64B8">
        <w:rPr>
          <w:rFonts w:cstheme="minorHAnsi"/>
        </w:rPr>
        <w:t xml:space="preserve">) With county lines operating from a similar nature, it’s no doubt that children exploited by county lines are also victims of modern slavery. </w:t>
      </w:r>
      <w:r w:rsidR="00EE0282" w:rsidRPr="002E64B8">
        <w:rPr>
          <w:rFonts w:cstheme="minorHAnsi"/>
        </w:rPr>
        <w:t xml:space="preserve">There </w:t>
      </w:r>
      <w:r w:rsidRPr="002E64B8">
        <w:rPr>
          <w:rFonts w:cstheme="minorHAnsi"/>
        </w:rPr>
        <w:t xml:space="preserve">are also socio-economic characteristics that affect a person’s vulnerability in relation to criminal exploitation. For example, poor education or lack of income. </w:t>
      </w:r>
    </w:p>
    <w:p w14:paraId="2715580B" w14:textId="34561096" w:rsidR="00B163F3" w:rsidRPr="002E64B8" w:rsidRDefault="00B163F3" w:rsidP="002E49E7">
      <w:pPr>
        <w:spacing w:line="480" w:lineRule="auto"/>
        <w:rPr>
          <w:rFonts w:cstheme="minorHAnsi"/>
        </w:rPr>
      </w:pPr>
      <w:r w:rsidRPr="002E64B8">
        <w:rPr>
          <w:rFonts w:cstheme="minorHAnsi"/>
        </w:rPr>
        <w:t>Vulnerability doesn’t necessarily need to come from a person’s upbringing but can be caused due to a change in lifestyle or a life changing event. Factors that make an adult vulnerable are lack of mental capacity, social isolation, and lack of access to health and social services. (Dr Colin Tidy</w:t>
      </w:r>
      <w:r w:rsidR="00312EB6" w:rsidRPr="002E64B8">
        <w:rPr>
          <w:rFonts w:cstheme="minorHAnsi"/>
        </w:rPr>
        <w:t>, 2016</w:t>
      </w:r>
      <w:r w:rsidRPr="002E64B8">
        <w:rPr>
          <w:rFonts w:cstheme="minorHAnsi"/>
        </w:rPr>
        <w:t>). As well as this, a person’s income can change a person’s vulnerability. According to an article in the health foundation, unemployment has consistently been found to have a negative impact on our mental health. Studies show that from the loss of a day-to-day structure of work it increases stress, insecurity and has a negative impact on mental health which also affects a person’s ability to search for jobs. (Wilson and Finch</w:t>
      </w:r>
      <w:r w:rsidR="00312EB6" w:rsidRPr="002E64B8">
        <w:rPr>
          <w:rFonts w:cstheme="minorHAnsi"/>
        </w:rPr>
        <w:t>, 2021</w:t>
      </w:r>
      <w:r w:rsidRPr="002E64B8">
        <w:rPr>
          <w:rFonts w:cstheme="minorHAnsi"/>
        </w:rPr>
        <w:t>)</w:t>
      </w:r>
    </w:p>
    <w:p w14:paraId="34A334E6" w14:textId="7431323E" w:rsidR="00BA61BE" w:rsidRPr="002E64B8" w:rsidRDefault="00A035CB" w:rsidP="002E49E7">
      <w:pPr>
        <w:spacing w:line="480" w:lineRule="auto"/>
        <w:rPr>
          <w:rFonts w:cstheme="minorHAnsi"/>
        </w:rPr>
      </w:pPr>
      <w:r w:rsidRPr="002E64B8">
        <w:rPr>
          <w:rFonts w:cstheme="minorHAnsi"/>
        </w:rPr>
        <w:t xml:space="preserve">Having considered </w:t>
      </w:r>
      <w:r w:rsidR="00573DDD" w:rsidRPr="002E64B8">
        <w:rPr>
          <w:rFonts w:cstheme="minorHAnsi"/>
        </w:rPr>
        <w:t>exploitation i</w:t>
      </w:r>
      <w:r w:rsidRPr="002E64B8">
        <w:rPr>
          <w:rFonts w:cstheme="minorHAnsi"/>
        </w:rPr>
        <w:t xml:space="preserve">n young persons, </w:t>
      </w:r>
      <w:r w:rsidR="00573DDD" w:rsidRPr="002E64B8">
        <w:rPr>
          <w:rFonts w:cstheme="minorHAnsi"/>
        </w:rPr>
        <w:t xml:space="preserve">adults </w:t>
      </w:r>
      <w:r w:rsidR="00AA5CA3" w:rsidRPr="002E64B8">
        <w:rPr>
          <w:rFonts w:cstheme="minorHAnsi"/>
        </w:rPr>
        <w:t xml:space="preserve">can </w:t>
      </w:r>
      <w:r w:rsidR="00573DDD" w:rsidRPr="002E64B8">
        <w:rPr>
          <w:rFonts w:cstheme="minorHAnsi"/>
        </w:rPr>
        <w:t xml:space="preserve">also </w:t>
      </w:r>
      <w:r w:rsidR="00AA5CA3" w:rsidRPr="002E64B8">
        <w:rPr>
          <w:rFonts w:cstheme="minorHAnsi"/>
        </w:rPr>
        <w:t>be victims of</w:t>
      </w:r>
      <w:r w:rsidR="00573DDD" w:rsidRPr="002E64B8">
        <w:rPr>
          <w:rFonts w:cstheme="minorHAnsi"/>
        </w:rPr>
        <w:t xml:space="preserve"> exploitation especially if they are dealing with a life changing event such as unemployment. </w:t>
      </w:r>
      <w:r w:rsidR="007533A8" w:rsidRPr="002E64B8">
        <w:rPr>
          <w:rFonts w:cstheme="minorHAnsi"/>
        </w:rPr>
        <w:t>B</w:t>
      </w:r>
      <w:r w:rsidR="00A23487" w:rsidRPr="002E64B8">
        <w:rPr>
          <w:rFonts w:cstheme="minorHAnsi"/>
        </w:rPr>
        <w:t xml:space="preserve">oth criminality and </w:t>
      </w:r>
      <w:r w:rsidR="00A23487" w:rsidRPr="002E64B8">
        <w:rPr>
          <w:rFonts w:cstheme="minorHAnsi"/>
        </w:rPr>
        <w:lastRenderedPageBreak/>
        <w:t>unemployment are two major social problems that can have a negative impact on a person’s well-being, and life of those people committing crime due to remaining unemployed. (</w:t>
      </w:r>
      <w:r w:rsidR="00183C85" w:rsidRPr="002E64B8">
        <w:rPr>
          <w:rFonts w:cstheme="minorHAnsi"/>
        </w:rPr>
        <w:t>(Jawadi et al</w:t>
      </w:r>
      <w:r w:rsidR="00312EB6" w:rsidRPr="002E64B8">
        <w:rPr>
          <w:rFonts w:cstheme="minorHAnsi"/>
        </w:rPr>
        <w:t>, 20</w:t>
      </w:r>
      <w:r w:rsidR="008B3DB8" w:rsidRPr="002E64B8">
        <w:rPr>
          <w:rFonts w:cstheme="minorHAnsi"/>
        </w:rPr>
        <w:t>19</w:t>
      </w:r>
      <w:r w:rsidR="00183C85" w:rsidRPr="002E64B8">
        <w:rPr>
          <w:rFonts w:cstheme="minorHAnsi"/>
        </w:rPr>
        <w:t>)</w:t>
      </w:r>
      <w:r w:rsidR="00F12A97" w:rsidRPr="002E64B8">
        <w:rPr>
          <w:rFonts w:cstheme="minorHAnsi"/>
        </w:rPr>
        <w:t xml:space="preserve"> Showing that a person Is likely to turn to crime due to unemployment. </w:t>
      </w:r>
    </w:p>
    <w:p w14:paraId="0B9E16B9" w14:textId="645557B3" w:rsidR="00BF7C34" w:rsidRPr="002E64B8" w:rsidRDefault="00F12A97" w:rsidP="002E49E7">
      <w:pPr>
        <w:spacing w:line="480" w:lineRule="auto"/>
        <w:rPr>
          <w:rFonts w:cstheme="minorHAnsi"/>
        </w:rPr>
      </w:pPr>
      <w:r w:rsidRPr="002E64B8">
        <w:rPr>
          <w:rFonts w:cstheme="minorHAnsi"/>
        </w:rPr>
        <w:t>In conclusio</w:t>
      </w:r>
      <w:r w:rsidR="00236B14" w:rsidRPr="002E64B8">
        <w:rPr>
          <w:rFonts w:cstheme="minorHAnsi"/>
        </w:rPr>
        <w:t xml:space="preserve">n and having </w:t>
      </w:r>
      <w:r w:rsidR="005E6E26" w:rsidRPr="002E64B8">
        <w:rPr>
          <w:rFonts w:cstheme="minorHAnsi"/>
        </w:rPr>
        <w:t xml:space="preserve">considered young persons, and how psychological </w:t>
      </w:r>
      <w:r w:rsidR="007444A8" w:rsidRPr="002E64B8">
        <w:rPr>
          <w:rFonts w:cstheme="minorHAnsi"/>
        </w:rPr>
        <w:t xml:space="preserve">trauma through ACE’s </w:t>
      </w:r>
      <w:r w:rsidR="005E6E26" w:rsidRPr="002E64B8">
        <w:rPr>
          <w:rFonts w:cstheme="minorHAnsi"/>
        </w:rPr>
        <w:t>can affect th</w:t>
      </w:r>
      <w:r w:rsidR="007444A8" w:rsidRPr="002E64B8">
        <w:rPr>
          <w:rFonts w:cstheme="minorHAnsi"/>
        </w:rPr>
        <w:t xml:space="preserve">e </w:t>
      </w:r>
      <w:r w:rsidR="005E6E26" w:rsidRPr="002E64B8">
        <w:rPr>
          <w:rFonts w:cstheme="minorHAnsi"/>
        </w:rPr>
        <w:t>likelihood</w:t>
      </w:r>
      <w:r w:rsidR="007444A8" w:rsidRPr="002E64B8">
        <w:rPr>
          <w:rFonts w:cstheme="minorHAnsi"/>
        </w:rPr>
        <w:t xml:space="preserve"> of being </w:t>
      </w:r>
      <w:r w:rsidR="005E6E26" w:rsidRPr="002E64B8">
        <w:rPr>
          <w:rFonts w:cstheme="minorHAnsi"/>
        </w:rPr>
        <w:t>exploited</w:t>
      </w:r>
      <w:r w:rsidR="00236B14" w:rsidRPr="002E64B8">
        <w:rPr>
          <w:rFonts w:cstheme="minorHAnsi"/>
        </w:rPr>
        <w:t xml:space="preserve">. </w:t>
      </w:r>
      <w:r w:rsidR="005E6E26" w:rsidRPr="002E64B8">
        <w:rPr>
          <w:rFonts w:cstheme="minorHAnsi"/>
        </w:rPr>
        <w:t xml:space="preserve">But </w:t>
      </w:r>
      <w:r w:rsidR="007444A8" w:rsidRPr="002E64B8">
        <w:rPr>
          <w:rFonts w:cstheme="minorHAnsi"/>
        </w:rPr>
        <w:t>also,</w:t>
      </w:r>
      <w:r w:rsidR="005E6E26" w:rsidRPr="002E64B8">
        <w:rPr>
          <w:rFonts w:cstheme="minorHAnsi"/>
        </w:rPr>
        <w:t xml:space="preserve"> </w:t>
      </w:r>
      <w:r w:rsidR="007444A8" w:rsidRPr="002E64B8">
        <w:rPr>
          <w:rFonts w:cstheme="minorHAnsi"/>
        </w:rPr>
        <w:t xml:space="preserve">the </w:t>
      </w:r>
      <w:r w:rsidR="00A70D95" w:rsidRPr="002E64B8">
        <w:rPr>
          <w:rFonts w:cstheme="minorHAnsi"/>
        </w:rPr>
        <w:t xml:space="preserve">vulnerability </w:t>
      </w:r>
      <w:r w:rsidR="00EC638D" w:rsidRPr="002E64B8">
        <w:rPr>
          <w:rFonts w:cstheme="minorHAnsi"/>
        </w:rPr>
        <w:t xml:space="preserve">and naive nature that </w:t>
      </w:r>
      <w:r w:rsidR="00A70D95" w:rsidRPr="002E64B8">
        <w:rPr>
          <w:rFonts w:cstheme="minorHAnsi"/>
        </w:rPr>
        <w:t xml:space="preserve">children </w:t>
      </w:r>
      <w:r w:rsidR="00EC638D" w:rsidRPr="002E64B8">
        <w:rPr>
          <w:rFonts w:cstheme="minorHAnsi"/>
        </w:rPr>
        <w:t xml:space="preserve">naturally </w:t>
      </w:r>
      <w:r w:rsidR="00A70D95" w:rsidRPr="002E64B8">
        <w:rPr>
          <w:rFonts w:cstheme="minorHAnsi"/>
        </w:rPr>
        <w:t xml:space="preserve">have </w:t>
      </w:r>
      <w:r w:rsidR="00EC638D" w:rsidRPr="002E64B8">
        <w:rPr>
          <w:rFonts w:cstheme="minorHAnsi"/>
        </w:rPr>
        <w:t xml:space="preserve">through </w:t>
      </w:r>
      <w:r w:rsidR="00E41F6D" w:rsidRPr="002E64B8">
        <w:rPr>
          <w:rFonts w:cstheme="minorHAnsi"/>
        </w:rPr>
        <w:t>lack of education or unstable childhood</w:t>
      </w:r>
      <w:r w:rsidR="00BF7C34" w:rsidRPr="002E64B8">
        <w:rPr>
          <w:rFonts w:cstheme="minorHAnsi"/>
        </w:rPr>
        <w:t xml:space="preserve">. Eventually increasing the </w:t>
      </w:r>
      <w:r w:rsidR="00A70D95" w:rsidRPr="002E64B8">
        <w:rPr>
          <w:rFonts w:cstheme="minorHAnsi"/>
        </w:rPr>
        <w:t xml:space="preserve">chances of them being exploited criminally through county lines. </w:t>
      </w:r>
    </w:p>
    <w:p w14:paraId="3DB2EF6C" w14:textId="499CCCA1" w:rsidR="00E268CA" w:rsidRPr="002E64B8" w:rsidRDefault="00384B24" w:rsidP="002E49E7">
      <w:pPr>
        <w:spacing w:line="480" w:lineRule="auto"/>
        <w:rPr>
          <w:rFonts w:cstheme="minorHAnsi"/>
        </w:rPr>
      </w:pPr>
      <w:r w:rsidRPr="002E64B8">
        <w:rPr>
          <w:rFonts w:cstheme="minorHAnsi"/>
        </w:rPr>
        <w:t xml:space="preserve">As well as vulnerability in adults, and unemployment </w:t>
      </w:r>
      <w:r w:rsidR="0092212D" w:rsidRPr="002E64B8">
        <w:rPr>
          <w:rFonts w:cstheme="minorHAnsi"/>
        </w:rPr>
        <w:t xml:space="preserve">may lead to vulnerability and turning to criminality due to constant unemployment </w:t>
      </w:r>
      <w:r w:rsidR="00FB7180" w:rsidRPr="002E64B8">
        <w:rPr>
          <w:rFonts w:cstheme="minorHAnsi"/>
        </w:rPr>
        <w:t xml:space="preserve">and lack of income </w:t>
      </w:r>
      <w:r w:rsidR="0092212D" w:rsidRPr="002E64B8">
        <w:rPr>
          <w:rFonts w:cstheme="minorHAnsi"/>
        </w:rPr>
        <w:t xml:space="preserve">as an adult. </w:t>
      </w:r>
      <w:r w:rsidR="00952557" w:rsidRPr="002E64B8">
        <w:rPr>
          <w:rFonts w:cstheme="minorHAnsi"/>
        </w:rPr>
        <w:t xml:space="preserve">My </w:t>
      </w:r>
      <w:r w:rsidR="006609DE" w:rsidRPr="002E64B8">
        <w:rPr>
          <w:rFonts w:cstheme="minorHAnsi"/>
        </w:rPr>
        <w:t>consensus</w:t>
      </w:r>
      <w:r w:rsidR="00952557" w:rsidRPr="002E64B8">
        <w:rPr>
          <w:rFonts w:cstheme="minorHAnsi"/>
        </w:rPr>
        <w:t xml:space="preserve"> is </w:t>
      </w:r>
      <w:r w:rsidR="006609DE" w:rsidRPr="002E64B8">
        <w:rPr>
          <w:rFonts w:cstheme="minorHAnsi"/>
        </w:rPr>
        <w:t>that</w:t>
      </w:r>
      <w:r w:rsidR="00952557" w:rsidRPr="002E64B8">
        <w:rPr>
          <w:rFonts w:cstheme="minorHAnsi"/>
        </w:rPr>
        <w:t xml:space="preserve"> a person may be vulnerable due to their psychological state</w:t>
      </w:r>
      <w:r w:rsidR="006609DE" w:rsidRPr="002E64B8">
        <w:rPr>
          <w:rFonts w:cstheme="minorHAnsi"/>
        </w:rPr>
        <w:t xml:space="preserve">, </w:t>
      </w:r>
      <w:r w:rsidR="00952557" w:rsidRPr="002E64B8">
        <w:rPr>
          <w:rFonts w:cstheme="minorHAnsi"/>
        </w:rPr>
        <w:t>and how they have been nurtured as a child</w:t>
      </w:r>
      <w:r w:rsidR="00E25C8E" w:rsidRPr="002E64B8">
        <w:rPr>
          <w:rFonts w:cstheme="minorHAnsi"/>
        </w:rPr>
        <w:t xml:space="preserve">. </w:t>
      </w:r>
      <w:r w:rsidR="00952557" w:rsidRPr="002E64B8">
        <w:rPr>
          <w:rFonts w:cstheme="minorHAnsi"/>
        </w:rPr>
        <w:t xml:space="preserve">But there is always a risk of a person becoming vulnerable due to their lifestyle </w:t>
      </w:r>
      <w:r w:rsidR="00056FCC" w:rsidRPr="002E64B8">
        <w:rPr>
          <w:rFonts w:cstheme="minorHAnsi"/>
        </w:rPr>
        <w:t xml:space="preserve">or a life event, </w:t>
      </w:r>
      <w:r w:rsidR="00952557" w:rsidRPr="002E64B8">
        <w:rPr>
          <w:rFonts w:cstheme="minorHAnsi"/>
        </w:rPr>
        <w:t xml:space="preserve">and how social </w:t>
      </w:r>
      <w:r w:rsidR="00643F9A" w:rsidRPr="002E64B8">
        <w:rPr>
          <w:rFonts w:cstheme="minorHAnsi"/>
        </w:rPr>
        <w:t xml:space="preserve">issues </w:t>
      </w:r>
      <w:r w:rsidR="006609DE" w:rsidRPr="002E64B8">
        <w:rPr>
          <w:rFonts w:cstheme="minorHAnsi"/>
        </w:rPr>
        <w:t>can affect us as adults</w:t>
      </w:r>
      <w:r w:rsidR="00FB7180" w:rsidRPr="002E64B8">
        <w:rPr>
          <w:rFonts w:cstheme="minorHAnsi"/>
        </w:rPr>
        <w:t xml:space="preserve">. </w:t>
      </w:r>
    </w:p>
    <w:p w14:paraId="3CDE0988" w14:textId="20615AEC" w:rsidR="00AE5F67" w:rsidRDefault="00B628BC" w:rsidP="002E49E7">
      <w:pPr>
        <w:spacing w:line="480" w:lineRule="auto"/>
        <w:rPr>
          <w:rFonts w:cstheme="minorHAnsi"/>
        </w:rPr>
      </w:pPr>
      <w:r w:rsidRPr="002E64B8">
        <w:rPr>
          <w:rFonts w:cstheme="minorHAnsi"/>
        </w:rPr>
        <w:t>Word Count</w:t>
      </w:r>
      <w:r w:rsidR="00AC3760" w:rsidRPr="002E64B8">
        <w:rPr>
          <w:rFonts w:cstheme="minorHAnsi"/>
        </w:rPr>
        <w:t>:</w:t>
      </w:r>
      <w:r w:rsidR="008B3DB8" w:rsidRPr="002E64B8">
        <w:rPr>
          <w:rFonts w:cstheme="minorHAnsi"/>
        </w:rPr>
        <w:t xml:space="preserve"> 1,</w:t>
      </w:r>
      <w:r w:rsidR="00A15844">
        <w:rPr>
          <w:rFonts w:cstheme="minorHAnsi"/>
        </w:rPr>
        <w:t>18</w:t>
      </w:r>
      <w:r w:rsidR="00BA61BE">
        <w:rPr>
          <w:rFonts w:cstheme="minorHAnsi"/>
        </w:rPr>
        <w:t xml:space="preserve">7. </w:t>
      </w:r>
    </w:p>
    <w:p w14:paraId="13E0D307" w14:textId="77777777" w:rsidR="00BA61BE" w:rsidRPr="002E64B8" w:rsidRDefault="00BA61BE" w:rsidP="002E49E7">
      <w:pPr>
        <w:spacing w:line="480" w:lineRule="auto"/>
        <w:rPr>
          <w:rFonts w:cstheme="minorHAnsi"/>
        </w:rPr>
      </w:pPr>
    </w:p>
    <w:p w14:paraId="4F0D6CE9" w14:textId="77777777" w:rsidR="003D317B" w:rsidRPr="002E64B8" w:rsidRDefault="003D317B" w:rsidP="002E49E7">
      <w:pPr>
        <w:spacing w:line="480" w:lineRule="auto"/>
        <w:rPr>
          <w:rFonts w:cstheme="minorHAnsi"/>
        </w:rPr>
      </w:pPr>
    </w:p>
    <w:p w14:paraId="21B4BCC3" w14:textId="77777777" w:rsidR="003D317B" w:rsidRPr="002E64B8" w:rsidRDefault="003D317B" w:rsidP="002E49E7">
      <w:pPr>
        <w:spacing w:line="480" w:lineRule="auto"/>
        <w:rPr>
          <w:rFonts w:cstheme="minorHAnsi"/>
        </w:rPr>
      </w:pPr>
    </w:p>
    <w:p w14:paraId="602E3DA2" w14:textId="77777777" w:rsidR="003D317B" w:rsidRDefault="003D317B" w:rsidP="002E49E7">
      <w:pPr>
        <w:spacing w:line="480" w:lineRule="auto"/>
        <w:rPr>
          <w:rFonts w:cstheme="minorHAnsi"/>
        </w:rPr>
      </w:pPr>
    </w:p>
    <w:p w14:paraId="0D1B341D" w14:textId="77777777" w:rsidR="002E64B8" w:rsidRDefault="002E64B8" w:rsidP="002E49E7">
      <w:pPr>
        <w:spacing w:line="480" w:lineRule="auto"/>
        <w:rPr>
          <w:rFonts w:cstheme="minorHAnsi"/>
        </w:rPr>
      </w:pPr>
    </w:p>
    <w:p w14:paraId="263078F5" w14:textId="77777777" w:rsidR="002E64B8" w:rsidRDefault="002E64B8" w:rsidP="002E49E7">
      <w:pPr>
        <w:spacing w:line="480" w:lineRule="auto"/>
        <w:rPr>
          <w:rFonts w:cstheme="minorHAnsi"/>
        </w:rPr>
      </w:pPr>
    </w:p>
    <w:p w14:paraId="23969F41" w14:textId="77777777" w:rsidR="002E64B8" w:rsidRDefault="002E64B8" w:rsidP="002E49E7">
      <w:pPr>
        <w:spacing w:line="480" w:lineRule="auto"/>
        <w:rPr>
          <w:rFonts w:cstheme="minorHAnsi"/>
        </w:rPr>
      </w:pPr>
    </w:p>
    <w:p w14:paraId="11CA8CAB" w14:textId="77777777" w:rsidR="002E64B8" w:rsidRDefault="002E64B8" w:rsidP="002E49E7">
      <w:pPr>
        <w:spacing w:line="480" w:lineRule="auto"/>
        <w:rPr>
          <w:rFonts w:cstheme="minorHAnsi"/>
        </w:rPr>
      </w:pPr>
    </w:p>
    <w:p w14:paraId="21B1051F" w14:textId="77777777" w:rsidR="002E64B8" w:rsidRDefault="002E64B8" w:rsidP="002E49E7">
      <w:pPr>
        <w:spacing w:line="480" w:lineRule="auto"/>
        <w:rPr>
          <w:rFonts w:cstheme="minorHAnsi"/>
        </w:rPr>
      </w:pPr>
    </w:p>
    <w:p w14:paraId="0D361F80" w14:textId="42724FF4" w:rsidR="00B163F3" w:rsidRPr="002E64B8" w:rsidRDefault="00E268CA" w:rsidP="002E49E7">
      <w:pPr>
        <w:spacing w:line="480" w:lineRule="auto"/>
        <w:rPr>
          <w:rFonts w:cstheme="minorHAnsi"/>
        </w:rPr>
      </w:pPr>
      <w:r w:rsidRPr="002E64B8">
        <w:rPr>
          <w:rFonts w:cstheme="minorHAnsi"/>
          <w:b/>
          <w:bCs/>
        </w:rPr>
        <w:lastRenderedPageBreak/>
        <w:t>Reference List</w:t>
      </w:r>
    </w:p>
    <w:p w14:paraId="3622C193"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Centers for Disease Control and Prevention. “Fast Facts: Preventing Adverse Childhood Experiences |Violence Prevention|Injury Center|CDC.” </w:t>
      </w:r>
      <w:r w:rsidRPr="002E64B8">
        <w:rPr>
          <w:rFonts w:eastAsia="Times New Roman" w:cstheme="minorHAnsi"/>
          <w:i/>
          <w:iCs/>
          <w:kern w:val="0"/>
          <w:lang w:eastAsia="en-GB"/>
          <w14:ligatures w14:val="none"/>
        </w:rPr>
        <w:t>Www.cdc.gov</w:t>
      </w:r>
      <w:r w:rsidRPr="002E64B8">
        <w:rPr>
          <w:rFonts w:eastAsia="Times New Roman" w:cstheme="minorHAnsi"/>
          <w:kern w:val="0"/>
          <w:lang w:eastAsia="en-GB"/>
          <w14:ligatures w14:val="none"/>
        </w:rPr>
        <w:t>, 14 Apr. 2022, www.cdc.gov/violenceprevention/aces/fastfact.html#:~:text=Toxic%20stress%20from%20ACEs%20can.</w:t>
      </w:r>
    </w:p>
    <w:p w14:paraId="6E68EC55"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CPS. “Gang Related Offences - Decision Making in | the Crown Prosecution Service.” </w:t>
      </w:r>
      <w:r w:rsidRPr="002E64B8">
        <w:rPr>
          <w:rFonts w:eastAsia="Times New Roman" w:cstheme="minorHAnsi"/>
          <w:i/>
          <w:iCs/>
          <w:kern w:val="0"/>
          <w:lang w:eastAsia="en-GB"/>
          <w14:ligatures w14:val="none"/>
        </w:rPr>
        <w:t>Www.cps.gov.uk</w:t>
      </w:r>
      <w:r w:rsidRPr="002E64B8">
        <w:rPr>
          <w:rFonts w:eastAsia="Times New Roman" w:cstheme="minorHAnsi"/>
          <w:kern w:val="0"/>
          <w:lang w:eastAsia="en-GB"/>
          <w14:ligatures w14:val="none"/>
        </w:rPr>
        <w:t>, Nov. 2021, www.cps.gov.uk/legal-guidance/gang-related-offences-decision-making#:~:text=The%20term%20%E2%80%9CGang%E2%80%9D%20does%20not.</w:t>
      </w:r>
    </w:p>
    <w:p w14:paraId="4A3F611B"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Dr Colin Tidy. “Safeguarding Adults.” </w:t>
      </w:r>
      <w:r w:rsidRPr="002E64B8">
        <w:rPr>
          <w:rFonts w:eastAsia="Times New Roman" w:cstheme="minorHAnsi"/>
          <w:i/>
          <w:iCs/>
          <w:kern w:val="0"/>
          <w:lang w:eastAsia="en-GB"/>
          <w14:ligatures w14:val="none"/>
        </w:rPr>
        <w:t>Patient.info</w:t>
      </w:r>
      <w:r w:rsidRPr="002E64B8">
        <w:rPr>
          <w:rFonts w:eastAsia="Times New Roman" w:cstheme="minorHAnsi"/>
          <w:kern w:val="0"/>
          <w:lang w:eastAsia="en-GB"/>
          <w14:ligatures w14:val="none"/>
        </w:rPr>
        <w:t>, 24 Aug. 2016, patient.info/doctor/safeguarding-adults-pro.</w:t>
      </w:r>
    </w:p>
    <w:p w14:paraId="7C7D15C2"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Espeute, Serena, and Caroline Lanskey. “An Exploration of Police Discretion in the Identification of Child Victims of County Lines Drug Trafficking.” </w:t>
      </w:r>
      <w:r w:rsidRPr="002E64B8">
        <w:rPr>
          <w:rFonts w:eastAsia="Times New Roman" w:cstheme="minorHAnsi"/>
          <w:i/>
          <w:iCs/>
          <w:kern w:val="0"/>
          <w:lang w:eastAsia="en-GB"/>
          <w14:ligatures w14:val="none"/>
        </w:rPr>
        <w:t>An Exploration of Police Discretion in the Identification of Child Victims of County Lines Drug Trafficking</w:t>
      </w:r>
      <w:r w:rsidRPr="002E64B8">
        <w:rPr>
          <w:rFonts w:eastAsia="Times New Roman" w:cstheme="minorHAnsi"/>
          <w:kern w:val="0"/>
          <w:lang w:eastAsia="en-GB"/>
          <w14:ligatures w14:val="none"/>
        </w:rPr>
        <w:t>, 21 June 2023, pp. 1–20, https://doi.org/10.1080/10439463.2023.2223341.</w:t>
      </w:r>
    </w:p>
    <w:p w14:paraId="65B8A238"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Freeze, Christopher. “Adverse Childhood Experiences and Crime | FBI: Law Enforcement Bulletin.” </w:t>
      </w:r>
      <w:r w:rsidRPr="002E64B8">
        <w:rPr>
          <w:rFonts w:eastAsia="Times New Roman" w:cstheme="minorHAnsi"/>
          <w:i/>
          <w:iCs/>
          <w:kern w:val="0"/>
          <w:lang w:eastAsia="en-GB"/>
          <w14:ligatures w14:val="none"/>
        </w:rPr>
        <w:t>FBI: Law Enforcement Bulletin</w:t>
      </w:r>
      <w:r w:rsidRPr="002E64B8">
        <w:rPr>
          <w:rFonts w:eastAsia="Times New Roman" w:cstheme="minorHAnsi"/>
          <w:kern w:val="0"/>
          <w:lang w:eastAsia="en-GB"/>
          <w14:ligatures w14:val="none"/>
        </w:rPr>
        <w:t>, 9 Apr. 2019, leb.fbi.gov/articles/featured-articles/adverse-childhood-experiences-and-crime.</w:t>
      </w:r>
    </w:p>
    <w:p w14:paraId="77342A2A"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Jawadi, Fredj, et al. “Does Higher Unemployment Lead to Greater Criminality? Revisiting the Debate over the Business Cycle.” </w:t>
      </w:r>
      <w:r w:rsidRPr="002E64B8">
        <w:rPr>
          <w:rFonts w:eastAsia="Times New Roman" w:cstheme="minorHAnsi"/>
          <w:i/>
          <w:iCs/>
          <w:kern w:val="0"/>
          <w:lang w:eastAsia="en-GB"/>
          <w14:ligatures w14:val="none"/>
        </w:rPr>
        <w:t>Journal of Economic Behavior &amp; Organization</w:t>
      </w:r>
      <w:r w:rsidRPr="002E64B8">
        <w:rPr>
          <w:rFonts w:eastAsia="Times New Roman" w:cstheme="minorHAnsi"/>
          <w:kern w:val="0"/>
          <w:lang w:eastAsia="en-GB"/>
          <w14:ligatures w14:val="none"/>
        </w:rPr>
        <w:t>, vol. 182, May 2019, https://doi.org/10.1016/j.jebo.2019.03.025.</w:t>
      </w:r>
    </w:p>
    <w:p w14:paraId="274275B6"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National Crime Agency. </w:t>
      </w:r>
      <w:r w:rsidRPr="002E64B8">
        <w:rPr>
          <w:rFonts w:eastAsia="Times New Roman" w:cstheme="minorHAnsi"/>
          <w:i/>
          <w:iCs/>
          <w:kern w:val="0"/>
          <w:lang w:eastAsia="en-GB"/>
          <w14:ligatures w14:val="none"/>
        </w:rPr>
        <w:t>County Lines Gang Violence, Exploitation &amp; Drug Supply 2016 0346-CAD National Briefing Report Authoring Department/Team: Drug Threat Team, Organised Crime Command Date</w:t>
      </w:r>
      <w:r w:rsidRPr="002E64B8">
        <w:rPr>
          <w:rFonts w:eastAsia="Times New Roman" w:cstheme="minorHAnsi"/>
          <w:kern w:val="0"/>
          <w:lang w:eastAsia="en-GB"/>
          <w14:ligatures w14:val="none"/>
        </w:rPr>
        <w:t>. Nov. 2016.</w:t>
      </w:r>
    </w:p>
    <w:p w14:paraId="3BAA82B0"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NSPCC. “Criminal Exploitation and Gangs.” </w:t>
      </w:r>
      <w:r w:rsidRPr="002E64B8">
        <w:rPr>
          <w:rFonts w:eastAsia="Times New Roman" w:cstheme="minorHAnsi"/>
          <w:i/>
          <w:iCs/>
          <w:kern w:val="0"/>
          <w:lang w:eastAsia="en-GB"/>
          <w14:ligatures w14:val="none"/>
        </w:rPr>
        <w:t>NSPCC</w:t>
      </w:r>
      <w:r w:rsidRPr="002E64B8">
        <w:rPr>
          <w:rFonts w:eastAsia="Times New Roman" w:cstheme="minorHAnsi"/>
          <w:kern w:val="0"/>
          <w:lang w:eastAsia="en-GB"/>
          <w14:ligatures w14:val="none"/>
        </w:rPr>
        <w:t>, 2022, www.nspcc.org.uk/what-is-child-abuse/types-of-abuse/gangs-criminal-exploitation/#criminalexploitation.</w:t>
      </w:r>
    </w:p>
    <w:p w14:paraId="17645CED"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lastRenderedPageBreak/>
        <w:t xml:space="preserve">Olver, Kristen, and Ella Cockbain. “Professionals’ Views on Responding to County Lines‐Related Criminal Exploitation in the West Midlands, UK.” </w:t>
      </w:r>
      <w:r w:rsidRPr="002E64B8">
        <w:rPr>
          <w:rFonts w:eastAsia="Times New Roman" w:cstheme="minorHAnsi"/>
          <w:i/>
          <w:iCs/>
          <w:kern w:val="0"/>
          <w:lang w:eastAsia="en-GB"/>
          <w14:ligatures w14:val="none"/>
        </w:rPr>
        <w:t>Child Abuse Review</w:t>
      </w:r>
      <w:r w:rsidRPr="002E64B8">
        <w:rPr>
          <w:rFonts w:eastAsia="Times New Roman" w:cstheme="minorHAnsi"/>
          <w:kern w:val="0"/>
          <w:lang w:eastAsia="en-GB"/>
          <w14:ligatures w14:val="none"/>
        </w:rPr>
        <w:t>, vol. 30, no. 4, 21 June 2021, pp. 347–362, https://doi.org/10.1002/car.2704.</w:t>
      </w:r>
    </w:p>
    <w:p w14:paraId="004DB26A"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Public Health Wales. </w:t>
      </w:r>
      <w:r w:rsidRPr="002E64B8">
        <w:rPr>
          <w:rFonts w:eastAsia="Times New Roman" w:cstheme="minorHAnsi"/>
          <w:i/>
          <w:iCs/>
          <w:kern w:val="0"/>
          <w:lang w:eastAsia="en-GB"/>
          <w14:ligatures w14:val="none"/>
        </w:rPr>
        <w:t>CHILDHOOD HOUSEHOLD INCLUDED</w:t>
      </w:r>
      <w:r w:rsidRPr="002E64B8">
        <w:rPr>
          <w:rFonts w:eastAsia="Times New Roman" w:cstheme="minorHAnsi"/>
          <w:kern w:val="0"/>
          <w:lang w:eastAsia="en-GB"/>
          <w14:ligatures w14:val="none"/>
        </w:rPr>
        <w:t>. Oct. 2015.</w:t>
      </w:r>
    </w:p>
    <w:p w14:paraId="3FC23678"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Shah, Dheeraj, et al. “Defining and Measuring Vulnerability in Young People.” </w:t>
      </w:r>
      <w:r w:rsidRPr="002E64B8">
        <w:rPr>
          <w:rFonts w:eastAsia="Times New Roman" w:cstheme="minorHAnsi"/>
          <w:i/>
          <w:iCs/>
          <w:kern w:val="0"/>
          <w:lang w:eastAsia="en-GB"/>
          <w14:ligatures w14:val="none"/>
        </w:rPr>
        <w:t>Indian Journal of Community Medicine</w:t>
      </w:r>
      <w:r w:rsidRPr="002E64B8">
        <w:rPr>
          <w:rFonts w:eastAsia="Times New Roman" w:cstheme="minorHAnsi"/>
          <w:kern w:val="0"/>
          <w:lang w:eastAsia="en-GB"/>
          <w14:ligatures w14:val="none"/>
        </w:rPr>
        <w:t>, vol. 40, no. 3, 2015, p. 193, www.ncbi.nlm.nih.gov/pmc/articles/PMC4478662/, https://doi.org/10.4103/0970-0218.158868.</w:t>
      </w:r>
    </w:p>
    <w:p w14:paraId="18B068A6"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UK, Gov. </w:t>
      </w:r>
      <w:r w:rsidRPr="002E64B8">
        <w:rPr>
          <w:rFonts w:eastAsia="Times New Roman" w:cstheme="minorHAnsi"/>
          <w:i/>
          <w:iCs/>
          <w:kern w:val="0"/>
          <w:lang w:eastAsia="en-GB"/>
          <w14:ligatures w14:val="none"/>
        </w:rPr>
        <w:t>FREQUENTLY ASKED QUESTIONS on MODERN SLAVERY</w:t>
      </w:r>
      <w:r w:rsidRPr="002E64B8">
        <w:rPr>
          <w:rFonts w:eastAsia="Times New Roman" w:cstheme="minorHAnsi"/>
          <w:kern w:val="0"/>
          <w:lang w:eastAsia="en-GB"/>
          <w14:ligatures w14:val="none"/>
        </w:rPr>
        <w:t>. May 2016.</w:t>
      </w:r>
    </w:p>
    <w:p w14:paraId="42AB5C01"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Wilson, Heather, and David Finch. “Unemployment and Mental Health.” </w:t>
      </w:r>
      <w:r w:rsidRPr="002E64B8">
        <w:rPr>
          <w:rFonts w:eastAsia="Times New Roman" w:cstheme="minorHAnsi"/>
          <w:i/>
          <w:iCs/>
          <w:kern w:val="0"/>
          <w:lang w:eastAsia="en-GB"/>
          <w14:ligatures w14:val="none"/>
        </w:rPr>
        <w:t>The Health Foundation</w:t>
      </w:r>
      <w:r w:rsidRPr="002E64B8">
        <w:rPr>
          <w:rFonts w:eastAsia="Times New Roman" w:cstheme="minorHAnsi"/>
          <w:kern w:val="0"/>
          <w:lang w:eastAsia="en-GB"/>
          <w14:ligatures w14:val="none"/>
        </w:rPr>
        <w:t>, 16 Apr. 2021, www.health.org.uk/publications/long-reads/unemployment-and-mental-health.</w:t>
      </w:r>
    </w:p>
    <w:p w14:paraId="42F578F1" w14:textId="77777777" w:rsidR="00E268CA" w:rsidRPr="002E64B8" w:rsidRDefault="00E268CA" w:rsidP="002E49E7">
      <w:pPr>
        <w:spacing w:after="0" w:line="480" w:lineRule="auto"/>
        <w:ind w:hanging="720"/>
        <w:rPr>
          <w:rFonts w:eastAsia="Times New Roman" w:cstheme="minorHAnsi"/>
          <w:kern w:val="0"/>
          <w:lang w:eastAsia="en-GB"/>
          <w14:ligatures w14:val="none"/>
        </w:rPr>
      </w:pPr>
      <w:r w:rsidRPr="002E64B8">
        <w:rPr>
          <w:rFonts w:eastAsia="Times New Roman" w:cstheme="minorHAnsi"/>
          <w:kern w:val="0"/>
          <w:lang w:eastAsia="en-GB"/>
          <w14:ligatures w14:val="none"/>
        </w:rPr>
        <w:t xml:space="preserve">Windle, James, et al. ““Vulnerable” Kids Going Country: Children and Young People’s Involvement in County Lines Drug Dealing.” </w:t>
      </w:r>
      <w:r w:rsidRPr="002E64B8">
        <w:rPr>
          <w:rFonts w:eastAsia="Times New Roman" w:cstheme="minorHAnsi"/>
          <w:i/>
          <w:iCs/>
          <w:kern w:val="0"/>
          <w:lang w:eastAsia="en-GB"/>
          <w14:ligatures w14:val="none"/>
        </w:rPr>
        <w:t>Youth Justice</w:t>
      </w:r>
      <w:r w:rsidRPr="002E64B8">
        <w:rPr>
          <w:rFonts w:eastAsia="Times New Roman" w:cstheme="minorHAnsi"/>
          <w:kern w:val="0"/>
          <w:lang w:eastAsia="en-GB"/>
          <w14:ligatures w14:val="none"/>
        </w:rPr>
        <w:t>, vol. 20, no. 1-2, 6 Feb. 2020, pp. 64–78.</w:t>
      </w:r>
    </w:p>
    <w:p w14:paraId="70632CC4" w14:textId="77777777" w:rsidR="00B163F3" w:rsidRDefault="00B163F3" w:rsidP="002E49E7">
      <w:pPr>
        <w:spacing w:line="480" w:lineRule="auto"/>
        <w:rPr>
          <w:rFonts w:cstheme="minorHAnsi"/>
        </w:rPr>
      </w:pPr>
    </w:p>
    <w:p w14:paraId="664BA6E2" w14:textId="77777777" w:rsidR="002E64B8" w:rsidRDefault="002E64B8" w:rsidP="002E49E7">
      <w:pPr>
        <w:spacing w:line="480" w:lineRule="auto"/>
        <w:rPr>
          <w:rFonts w:cstheme="minorHAnsi"/>
        </w:rPr>
      </w:pPr>
    </w:p>
    <w:p w14:paraId="71494912" w14:textId="77777777" w:rsidR="002E64B8" w:rsidRDefault="002E64B8" w:rsidP="002E49E7">
      <w:pPr>
        <w:spacing w:line="480" w:lineRule="auto"/>
        <w:rPr>
          <w:rFonts w:cstheme="minorHAnsi"/>
        </w:rPr>
      </w:pPr>
    </w:p>
    <w:p w14:paraId="4759958C" w14:textId="77777777" w:rsidR="002E64B8" w:rsidRDefault="002E64B8" w:rsidP="002E49E7">
      <w:pPr>
        <w:spacing w:line="480" w:lineRule="auto"/>
        <w:rPr>
          <w:rFonts w:cstheme="minorHAnsi"/>
        </w:rPr>
      </w:pPr>
    </w:p>
    <w:p w14:paraId="50D5F377" w14:textId="77777777" w:rsidR="002E64B8" w:rsidRDefault="002E64B8" w:rsidP="002E49E7">
      <w:pPr>
        <w:spacing w:line="480" w:lineRule="auto"/>
        <w:rPr>
          <w:rFonts w:cstheme="minorHAnsi"/>
        </w:rPr>
      </w:pPr>
    </w:p>
    <w:p w14:paraId="3BA90CB0" w14:textId="77777777" w:rsidR="002E64B8" w:rsidRDefault="002E64B8" w:rsidP="002E49E7">
      <w:pPr>
        <w:spacing w:line="480" w:lineRule="auto"/>
        <w:rPr>
          <w:rFonts w:cstheme="minorHAnsi"/>
        </w:rPr>
      </w:pPr>
    </w:p>
    <w:p w14:paraId="62ADB987" w14:textId="77777777" w:rsidR="002E64B8" w:rsidRDefault="002E64B8" w:rsidP="002E49E7">
      <w:pPr>
        <w:spacing w:line="480" w:lineRule="auto"/>
        <w:rPr>
          <w:rFonts w:cstheme="minorHAnsi"/>
        </w:rPr>
      </w:pPr>
    </w:p>
    <w:p w14:paraId="228AD040" w14:textId="77777777" w:rsidR="002E64B8" w:rsidRPr="002E64B8" w:rsidRDefault="002E64B8" w:rsidP="002E49E7">
      <w:pPr>
        <w:spacing w:line="480" w:lineRule="auto"/>
        <w:rPr>
          <w:rFonts w:cstheme="minorHAnsi"/>
        </w:rPr>
      </w:pPr>
    </w:p>
    <w:p w14:paraId="06149951" w14:textId="50D7AE5B" w:rsidR="00B163F3" w:rsidRPr="002E64B8" w:rsidRDefault="00B163F3" w:rsidP="002E49E7">
      <w:pPr>
        <w:spacing w:line="480" w:lineRule="auto"/>
        <w:rPr>
          <w:rFonts w:cstheme="minorHAnsi"/>
        </w:rPr>
      </w:pPr>
    </w:p>
    <w:p w14:paraId="5F4A66F4" w14:textId="77777777" w:rsidR="00B163F3" w:rsidRPr="002E64B8" w:rsidRDefault="00B163F3" w:rsidP="002E49E7">
      <w:pPr>
        <w:spacing w:line="480" w:lineRule="auto"/>
        <w:rPr>
          <w:rFonts w:cstheme="minorHAnsi"/>
        </w:rPr>
      </w:pPr>
    </w:p>
    <w:p w14:paraId="4CE9F2C2" w14:textId="77777777" w:rsidR="00AC3760" w:rsidRPr="002E64B8" w:rsidRDefault="00AC3760" w:rsidP="002E49E7">
      <w:pPr>
        <w:spacing w:line="480" w:lineRule="auto"/>
        <w:rPr>
          <w:rFonts w:cstheme="minorHAnsi"/>
        </w:rPr>
      </w:pPr>
    </w:p>
    <w:p w14:paraId="496FA725" w14:textId="42B9EA2C" w:rsidR="00B628BC" w:rsidRDefault="00B628BC" w:rsidP="002E49E7">
      <w:pPr>
        <w:spacing w:line="480" w:lineRule="auto"/>
        <w:rPr>
          <w:rFonts w:cstheme="minorHAnsi"/>
          <w:b/>
          <w:bCs/>
        </w:rPr>
      </w:pPr>
      <w:r w:rsidRPr="002E64B8">
        <w:rPr>
          <w:rFonts w:cstheme="minorHAnsi"/>
          <w:b/>
          <w:bCs/>
        </w:rPr>
        <w:lastRenderedPageBreak/>
        <w:t>Student 22223</w:t>
      </w:r>
      <w:r w:rsidR="00BA61BE">
        <w:rPr>
          <w:rFonts w:cstheme="minorHAnsi"/>
          <w:b/>
          <w:bCs/>
        </w:rPr>
        <w:t>1</w:t>
      </w:r>
      <w:r w:rsidRPr="002E64B8">
        <w:rPr>
          <w:rFonts w:cstheme="minorHAnsi"/>
          <w:b/>
          <w:bCs/>
        </w:rPr>
        <w:t xml:space="preserve">9 </w:t>
      </w:r>
      <w:r w:rsidRPr="002E64B8">
        <w:rPr>
          <w:rFonts w:cstheme="minorHAnsi"/>
          <w:b/>
          <w:bCs/>
        </w:rPr>
        <w:br/>
        <w:t>Lauren Richards</w:t>
      </w:r>
    </w:p>
    <w:p w14:paraId="0F333D89" w14:textId="77777777" w:rsidR="00BA61BE" w:rsidRPr="002E64B8" w:rsidRDefault="00BA61BE" w:rsidP="002E49E7">
      <w:pPr>
        <w:spacing w:line="480" w:lineRule="auto"/>
        <w:rPr>
          <w:rFonts w:cstheme="minorHAnsi"/>
          <w:b/>
          <w:bCs/>
        </w:rPr>
      </w:pPr>
    </w:p>
    <w:p w14:paraId="78C9D8CD" w14:textId="495B0249" w:rsidR="00B628BC" w:rsidRDefault="00B163F3" w:rsidP="002E49E7">
      <w:pPr>
        <w:spacing w:line="480" w:lineRule="auto"/>
        <w:rPr>
          <w:rFonts w:cstheme="minorHAnsi"/>
        </w:rPr>
      </w:pPr>
      <w:r w:rsidRPr="002E64B8">
        <w:rPr>
          <w:rFonts w:cstheme="minorHAnsi"/>
        </w:rPr>
        <w:t>Is MAPPA an effective means of managing violent and sexual offenders</w:t>
      </w:r>
      <w:r w:rsidR="000A0E66" w:rsidRPr="002E64B8">
        <w:rPr>
          <w:rFonts w:cstheme="minorHAnsi"/>
        </w:rPr>
        <w:t xml:space="preserve"> and w</w:t>
      </w:r>
      <w:r w:rsidRPr="002E64B8">
        <w:rPr>
          <w:rFonts w:cstheme="minorHAnsi"/>
        </w:rPr>
        <w:t xml:space="preserve">hat increases or detracts from its effectiveness? </w:t>
      </w:r>
    </w:p>
    <w:p w14:paraId="0017E2A1" w14:textId="77777777" w:rsidR="00BA61BE" w:rsidRPr="002E64B8" w:rsidRDefault="00BA61BE" w:rsidP="002E49E7">
      <w:pPr>
        <w:spacing w:line="480" w:lineRule="auto"/>
        <w:rPr>
          <w:rFonts w:cstheme="minorHAnsi"/>
        </w:rPr>
      </w:pPr>
    </w:p>
    <w:p w14:paraId="4008C1D9" w14:textId="05E05F1A" w:rsidR="003D317B" w:rsidRPr="002E64B8" w:rsidRDefault="00A15844" w:rsidP="002E49E7">
      <w:pPr>
        <w:spacing w:line="480" w:lineRule="auto"/>
        <w:rPr>
          <w:rFonts w:cstheme="minorHAnsi"/>
        </w:rPr>
      </w:pPr>
      <w:r>
        <w:rPr>
          <w:rFonts w:cstheme="minorHAnsi"/>
        </w:rPr>
        <w:t xml:space="preserve">Safeguarding victims of crime and the public is at the forefront of any emergency service. To successfully achieve this, collaborative working is essential. This essay explores the management of violent and sexual offenders and what arrangements are in place to protect the public and monitor offenders. As well as delving into partnership working, it’s effectiveness with information sharing, and the responsibility of each agency when monitoring sexual and violent offenders. </w:t>
      </w:r>
    </w:p>
    <w:p w14:paraId="4AB088CC" w14:textId="5789375B" w:rsidR="00D66B20" w:rsidRPr="002E64B8" w:rsidRDefault="00095833" w:rsidP="002E49E7">
      <w:pPr>
        <w:spacing w:line="480" w:lineRule="auto"/>
        <w:rPr>
          <w:rFonts w:cstheme="minorHAnsi"/>
        </w:rPr>
      </w:pPr>
      <w:r w:rsidRPr="002E64B8">
        <w:rPr>
          <w:rFonts w:cstheme="minorHAnsi"/>
        </w:rPr>
        <w:t xml:space="preserve">According to </w:t>
      </w:r>
      <w:r w:rsidR="00914091" w:rsidRPr="002E64B8">
        <w:rPr>
          <w:rFonts w:cstheme="minorHAnsi"/>
        </w:rPr>
        <w:t xml:space="preserve">guidance given by the UK Government, The Criminal Justice Act 2003 provides the establishment </w:t>
      </w:r>
      <w:r w:rsidR="00E52070" w:rsidRPr="002E64B8">
        <w:rPr>
          <w:rFonts w:cstheme="minorHAnsi"/>
        </w:rPr>
        <w:t xml:space="preserve">for </w:t>
      </w:r>
      <w:r w:rsidR="00914091" w:rsidRPr="002E64B8">
        <w:rPr>
          <w:rFonts w:cstheme="minorHAnsi"/>
        </w:rPr>
        <w:t>the multi-agency public protection arrangements</w:t>
      </w:r>
      <w:r w:rsidR="00CB2BBB" w:rsidRPr="002E64B8">
        <w:rPr>
          <w:rFonts w:cstheme="minorHAnsi"/>
        </w:rPr>
        <w:t xml:space="preserve"> </w:t>
      </w:r>
      <w:r w:rsidR="008812AF" w:rsidRPr="002E64B8">
        <w:rPr>
          <w:rFonts w:cstheme="minorHAnsi"/>
        </w:rPr>
        <w:t>across</w:t>
      </w:r>
      <w:r w:rsidR="00DF5AEE" w:rsidRPr="002E64B8">
        <w:rPr>
          <w:rFonts w:cstheme="minorHAnsi"/>
        </w:rPr>
        <w:t xml:space="preserve"> England and Wales. </w:t>
      </w:r>
      <w:r w:rsidR="001B34DE" w:rsidRPr="002E64B8">
        <w:rPr>
          <w:rFonts w:cstheme="minorHAnsi"/>
        </w:rPr>
        <w:t xml:space="preserve">Multi-agency public protection arrangement is informally known as MAPPA. </w:t>
      </w:r>
      <w:r w:rsidR="00DF5AEE" w:rsidRPr="002E64B8">
        <w:rPr>
          <w:rFonts w:cstheme="minorHAnsi"/>
        </w:rPr>
        <w:t>MAPPA is not a statutory body itself however is a mechanism used</w:t>
      </w:r>
      <w:r w:rsidR="00FD062A" w:rsidRPr="002E64B8">
        <w:rPr>
          <w:rFonts w:cstheme="minorHAnsi"/>
        </w:rPr>
        <w:t xml:space="preserve"> to establish which agency can better protect the public, including previous victims of crime from </w:t>
      </w:r>
      <w:r w:rsidR="00C670BF" w:rsidRPr="002E64B8">
        <w:rPr>
          <w:rFonts w:cstheme="minorHAnsi"/>
        </w:rPr>
        <w:t>serious</w:t>
      </w:r>
      <w:r w:rsidR="00FD062A" w:rsidRPr="002E64B8">
        <w:rPr>
          <w:rFonts w:cstheme="minorHAnsi"/>
        </w:rPr>
        <w:t xml:space="preserve"> harm by sexual and violent offenders. </w:t>
      </w:r>
      <w:r w:rsidR="00C4286D" w:rsidRPr="002E64B8">
        <w:rPr>
          <w:rFonts w:cstheme="minorHAnsi"/>
        </w:rPr>
        <w:t>(Ministry of Justice</w:t>
      </w:r>
      <w:r w:rsidR="00A137B6" w:rsidRPr="002E64B8">
        <w:rPr>
          <w:rFonts w:cstheme="minorHAnsi"/>
        </w:rPr>
        <w:t>, 2014</w:t>
      </w:r>
      <w:r w:rsidR="00C4286D" w:rsidRPr="002E64B8">
        <w:rPr>
          <w:rFonts w:cstheme="minorHAnsi"/>
        </w:rPr>
        <w:t>)</w:t>
      </w:r>
      <w:r w:rsidR="00A15844">
        <w:rPr>
          <w:rFonts w:cstheme="minorHAnsi"/>
        </w:rPr>
        <w:t xml:space="preserve"> </w:t>
      </w:r>
      <w:r w:rsidR="00CF1F1F" w:rsidRPr="002E64B8">
        <w:rPr>
          <w:rFonts w:cstheme="minorHAnsi"/>
        </w:rPr>
        <w:t xml:space="preserve">The responsible authorities </w:t>
      </w:r>
      <w:r w:rsidR="000B5B92" w:rsidRPr="002E64B8">
        <w:rPr>
          <w:rFonts w:cstheme="minorHAnsi"/>
        </w:rPr>
        <w:t>have a duty to ensure that MAPPA is established in</w:t>
      </w:r>
      <w:r w:rsidR="008037AA" w:rsidRPr="002E64B8">
        <w:rPr>
          <w:rFonts w:cstheme="minorHAnsi"/>
        </w:rPr>
        <w:t xml:space="preserve"> their area and undertake the risk assessment and management of all identified MAPPA offenders. (Safeguarding Adults Board)</w:t>
      </w:r>
      <w:r w:rsidR="00DF264A" w:rsidRPr="002E64B8">
        <w:rPr>
          <w:rFonts w:cstheme="minorHAnsi"/>
        </w:rPr>
        <w:t xml:space="preserve">. </w:t>
      </w:r>
    </w:p>
    <w:p w14:paraId="13896569" w14:textId="3C15AECC" w:rsidR="00EB1873" w:rsidRPr="002E64B8" w:rsidRDefault="007911F0" w:rsidP="002E49E7">
      <w:pPr>
        <w:spacing w:line="480" w:lineRule="auto"/>
        <w:rPr>
          <w:rFonts w:cstheme="minorHAnsi"/>
        </w:rPr>
      </w:pPr>
      <w:r w:rsidRPr="002E64B8">
        <w:rPr>
          <w:rFonts w:cstheme="minorHAnsi"/>
        </w:rPr>
        <w:t xml:space="preserve">Focusing on MAPPA’s effectiveness, </w:t>
      </w:r>
      <w:r w:rsidR="00744FE3" w:rsidRPr="002E64B8">
        <w:rPr>
          <w:rFonts w:cstheme="minorHAnsi"/>
        </w:rPr>
        <w:t>Bryan and Payne</w:t>
      </w:r>
      <w:r w:rsidRPr="002E64B8">
        <w:rPr>
          <w:rFonts w:cstheme="minorHAnsi"/>
        </w:rPr>
        <w:t xml:space="preserve"> stated </w:t>
      </w:r>
      <w:r w:rsidR="00D12398" w:rsidRPr="002E64B8">
        <w:rPr>
          <w:rFonts w:cstheme="minorHAnsi"/>
        </w:rPr>
        <w:t xml:space="preserve">that MAPPA represent the biggest step forward in public protection in the last 15 years. </w:t>
      </w:r>
      <w:r w:rsidR="00744FE3" w:rsidRPr="002E64B8">
        <w:rPr>
          <w:rFonts w:cstheme="minorHAnsi"/>
        </w:rPr>
        <w:t>(Bryan and Payne</w:t>
      </w:r>
      <w:r w:rsidR="006F71D3" w:rsidRPr="002E64B8">
        <w:rPr>
          <w:rFonts w:cstheme="minorHAnsi"/>
        </w:rPr>
        <w:t>, 2003</w:t>
      </w:r>
      <w:r w:rsidR="00744FE3" w:rsidRPr="002E64B8">
        <w:rPr>
          <w:rFonts w:cstheme="minorHAnsi"/>
        </w:rPr>
        <w:t>)</w:t>
      </w:r>
      <w:r w:rsidR="00040F3E" w:rsidRPr="002E64B8">
        <w:rPr>
          <w:rFonts w:cstheme="minorHAnsi"/>
        </w:rPr>
        <w:t xml:space="preserve"> But what makes MAPPA effective? </w:t>
      </w:r>
      <w:r w:rsidR="007640A7" w:rsidRPr="002E64B8">
        <w:rPr>
          <w:rFonts w:cstheme="minorHAnsi"/>
        </w:rPr>
        <w:t xml:space="preserve">According to </w:t>
      </w:r>
      <w:r w:rsidR="00C2428B" w:rsidRPr="002E64B8">
        <w:rPr>
          <w:rFonts w:cstheme="minorHAnsi"/>
        </w:rPr>
        <w:t>John Dow,</w:t>
      </w:r>
      <w:r w:rsidR="007640A7" w:rsidRPr="002E64B8">
        <w:rPr>
          <w:rFonts w:cstheme="minorHAnsi"/>
        </w:rPr>
        <w:t xml:space="preserve"> MAPPA is effective when protecting the public, especially in serious cases that reach level 3 that trigger the </w:t>
      </w:r>
      <w:r w:rsidR="00C2428B" w:rsidRPr="002E64B8">
        <w:rPr>
          <w:rFonts w:cstheme="minorHAnsi"/>
        </w:rPr>
        <w:t>multi-agency</w:t>
      </w:r>
      <w:r w:rsidR="007640A7" w:rsidRPr="002E64B8">
        <w:rPr>
          <w:rFonts w:cstheme="minorHAnsi"/>
        </w:rPr>
        <w:t xml:space="preserve"> meetings. During these meetings the panel of risk assessors </w:t>
      </w:r>
      <w:r w:rsidR="00C2428B" w:rsidRPr="002E64B8">
        <w:rPr>
          <w:rFonts w:cstheme="minorHAnsi"/>
        </w:rPr>
        <w:t xml:space="preserve">can recommend increased police monitoring, special steps to protect victims </w:t>
      </w:r>
      <w:r w:rsidR="00C2428B" w:rsidRPr="002E64B8">
        <w:rPr>
          <w:rFonts w:cstheme="minorHAnsi"/>
        </w:rPr>
        <w:lastRenderedPageBreak/>
        <w:t xml:space="preserve">and the use of closely supervised accommodation. The effectiveness of collaborative work is highlighted once the risks have been identified. These risks can then be managed and involve other agencies. For example, if offenders suffer with mental health issues, they are likely to require mental health services from integrated health and social services as well a suitable housing. These steps include vast partnership working who all share the same message in protection </w:t>
      </w:r>
      <w:r w:rsidR="00C779B8" w:rsidRPr="002E64B8">
        <w:rPr>
          <w:rFonts w:cstheme="minorHAnsi"/>
        </w:rPr>
        <w:t xml:space="preserve">for </w:t>
      </w:r>
      <w:r w:rsidR="00C2428B" w:rsidRPr="002E64B8">
        <w:rPr>
          <w:rFonts w:cstheme="minorHAnsi"/>
        </w:rPr>
        <w:t>victims and monitoring violent and sexual offenders. (Dow</w:t>
      </w:r>
      <w:r w:rsidR="006F71D3" w:rsidRPr="002E64B8">
        <w:rPr>
          <w:rFonts w:cstheme="minorHAnsi"/>
        </w:rPr>
        <w:t>, 2004</w:t>
      </w:r>
      <w:r w:rsidR="00C2428B" w:rsidRPr="002E64B8">
        <w:rPr>
          <w:rFonts w:cstheme="minorHAnsi"/>
        </w:rPr>
        <w:t>)</w:t>
      </w:r>
    </w:p>
    <w:p w14:paraId="7D478840" w14:textId="0C45EFB8" w:rsidR="00A21E30" w:rsidRPr="002E64B8" w:rsidRDefault="00CC18DC" w:rsidP="002E49E7">
      <w:pPr>
        <w:spacing w:line="480" w:lineRule="auto"/>
        <w:rPr>
          <w:rFonts w:cstheme="minorHAnsi"/>
        </w:rPr>
      </w:pPr>
      <w:r w:rsidRPr="002E64B8">
        <w:rPr>
          <w:rFonts w:cstheme="minorHAnsi"/>
        </w:rPr>
        <w:t xml:space="preserve">An inspection </w:t>
      </w:r>
      <w:r w:rsidR="00DF6B84" w:rsidRPr="002E64B8">
        <w:rPr>
          <w:rFonts w:cstheme="minorHAnsi"/>
        </w:rPr>
        <w:t xml:space="preserve">was </w:t>
      </w:r>
      <w:r w:rsidRPr="002E64B8">
        <w:rPr>
          <w:rFonts w:cstheme="minorHAnsi"/>
        </w:rPr>
        <w:t xml:space="preserve">undertaken by </w:t>
      </w:r>
      <w:r w:rsidR="00DF6B84" w:rsidRPr="002E64B8">
        <w:rPr>
          <w:rFonts w:cstheme="minorHAnsi"/>
        </w:rPr>
        <w:t xml:space="preserve">the </w:t>
      </w:r>
      <w:r w:rsidRPr="002E64B8">
        <w:rPr>
          <w:rFonts w:cstheme="minorHAnsi"/>
        </w:rPr>
        <w:t xml:space="preserve">HM Inspectorate of Probation with assistance provided by </w:t>
      </w:r>
      <w:r w:rsidR="00DF6B84" w:rsidRPr="002E64B8">
        <w:rPr>
          <w:rFonts w:cstheme="minorHAnsi"/>
        </w:rPr>
        <w:t xml:space="preserve">the </w:t>
      </w:r>
      <w:r w:rsidRPr="002E64B8">
        <w:rPr>
          <w:rFonts w:cstheme="minorHAnsi"/>
        </w:rPr>
        <w:t>HM Inspecto</w:t>
      </w:r>
      <w:r w:rsidR="00662557" w:rsidRPr="002E64B8">
        <w:rPr>
          <w:rFonts w:cstheme="minorHAnsi"/>
        </w:rPr>
        <w:t>rate of Constabulary</w:t>
      </w:r>
      <w:r w:rsidR="00642ED1" w:rsidRPr="002E64B8">
        <w:rPr>
          <w:rFonts w:cstheme="minorHAnsi"/>
        </w:rPr>
        <w:t xml:space="preserve">, </w:t>
      </w:r>
      <w:r w:rsidR="003E23C5" w:rsidRPr="002E64B8">
        <w:rPr>
          <w:rFonts w:cstheme="minorHAnsi"/>
        </w:rPr>
        <w:t>the</w:t>
      </w:r>
      <w:r w:rsidR="00662557" w:rsidRPr="002E64B8">
        <w:rPr>
          <w:rFonts w:cstheme="minorHAnsi"/>
        </w:rPr>
        <w:t xml:space="preserve"> aim of the inspection was to establish the effectiveness of MAPPA</w:t>
      </w:r>
      <w:r w:rsidR="00642ED1" w:rsidRPr="002E64B8">
        <w:rPr>
          <w:rFonts w:cstheme="minorHAnsi"/>
        </w:rPr>
        <w:t xml:space="preserve">. The inspection recognised that </w:t>
      </w:r>
      <w:r w:rsidR="003E23C5" w:rsidRPr="002E64B8">
        <w:rPr>
          <w:rFonts w:cstheme="minorHAnsi"/>
        </w:rPr>
        <w:t>despite</w:t>
      </w:r>
      <w:r w:rsidR="00642ED1" w:rsidRPr="002E64B8">
        <w:rPr>
          <w:rFonts w:cstheme="minorHAnsi"/>
        </w:rPr>
        <w:t xml:space="preserve"> challenges faced when dealing with MAPPA offenders, agencies had developed a positive culture of openness, </w:t>
      </w:r>
      <w:r w:rsidR="00C8382C" w:rsidRPr="002E64B8">
        <w:rPr>
          <w:rFonts w:cstheme="minorHAnsi"/>
        </w:rPr>
        <w:t>trust,</w:t>
      </w:r>
      <w:r w:rsidR="00642ED1" w:rsidRPr="002E64B8">
        <w:rPr>
          <w:rFonts w:cstheme="minorHAnsi"/>
        </w:rPr>
        <w:t xml:space="preserve"> and information sharing. </w:t>
      </w:r>
      <w:r w:rsidR="00EE511B" w:rsidRPr="002E64B8">
        <w:rPr>
          <w:rFonts w:cstheme="minorHAnsi"/>
        </w:rPr>
        <w:t xml:space="preserve">It highlighted that in two thirds of cases risk of harm had been kept to a minimum, and the MAPPA level had decreased in over half of cases. </w:t>
      </w:r>
      <w:r w:rsidR="00D75521" w:rsidRPr="002E64B8">
        <w:rPr>
          <w:rFonts w:cstheme="minorHAnsi"/>
        </w:rPr>
        <w:t xml:space="preserve">With majority of offenders not reoffending and victims being protected in most cases the </w:t>
      </w:r>
      <w:r w:rsidR="003E23C5" w:rsidRPr="002E64B8">
        <w:rPr>
          <w:rFonts w:cstheme="minorHAnsi"/>
        </w:rPr>
        <w:t>inspectors</w:t>
      </w:r>
      <w:r w:rsidR="00D75521" w:rsidRPr="002E64B8">
        <w:rPr>
          <w:rFonts w:cstheme="minorHAnsi"/>
        </w:rPr>
        <w:t xml:space="preserve"> </w:t>
      </w:r>
      <w:r w:rsidR="003E23C5" w:rsidRPr="002E64B8">
        <w:rPr>
          <w:rFonts w:cstheme="minorHAnsi"/>
        </w:rPr>
        <w:t xml:space="preserve">were generally complimentary about MAPPA. However, it also recognised that these positive outcomes should have occurred in a higher number, and much needed to be done to ensure that MAPPA reached its full potential. </w:t>
      </w:r>
      <w:r w:rsidR="00C8382C" w:rsidRPr="002E64B8">
        <w:rPr>
          <w:rFonts w:cstheme="minorHAnsi"/>
        </w:rPr>
        <w:t>(Rawlinson</w:t>
      </w:r>
      <w:r w:rsidR="00571F6E" w:rsidRPr="002E64B8">
        <w:rPr>
          <w:rFonts w:cstheme="minorHAnsi"/>
        </w:rPr>
        <w:t>, 2012</w:t>
      </w:r>
      <w:r w:rsidR="00C8382C" w:rsidRPr="002E64B8">
        <w:rPr>
          <w:rFonts w:cstheme="minorHAnsi"/>
        </w:rPr>
        <w:t>)</w:t>
      </w:r>
    </w:p>
    <w:p w14:paraId="24198E2D" w14:textId="7873D033" w:rsidR="00FC101C" w:rsidRPr="002E64B8" w:rsidRDefault="00C22FD9" w:rsidP="002E49E7">
      <w:pPr>
        <w:spacing w:line="480" w:lineRule="auto"/>
        <w:rPr>
          <w:rFonts w:cstheme="minorHAnsi"/>
        </w:rPr>
      </w:pPr>
      <w:r w:rsidRPr="002E64B8">
        <w:rPr>
          <w:rFonts w:cstheme="minorHAnsi"/>
        </w:rPr>
        <w:t>Although public protection agencies manage offenders through</w:t>
      </w:r>
      <w:r w:rsidR="00FA1E15" w:rsidRPr="002E64B8">
        <w:rPr>
          <w:rFonts w:cstheme="minorHAnsi"/>
        </w:rPr>
        <w:t xml:space="preserve"> various arrangements such as the use of</w:t>
      </w:r>
      <w:r w:rsidRPr="002E64B8">
        <w:rPr>
          <w:rFonts w:cstheme="minorHAnsi"/>
        </w:rPr>
        <w:t xml:space="preserve"> restrictions, conditions, sanctions, corrective </w:t>
      </w:r>
      <w:r w:rsidR="00B83070" w:rsidRPr="002E64B8">
        <w:rPr>
          <w:rFonts w:cstheme="minorHAnsi"/>
        </w:rPr>
        <w:t>programmes,</w:t>
      </w:r>
      <w:r w:rsidRPr="002E64B8">
        <w:rPr>
          <w:rFonts w:cstheme="minorHAnsi"/>
        </w:rPr>
        <w:t xml:space="preserve"> and enforcement with the identification of the public as a wider group. </w:t>
      </w:r>
      <w:r w:rsidR="00B83070" w:rsidRPr="002E64B8">
        <w:rPr>
          <w:rFonts w:cstheme="minorHAnsi"/>
        </w:rPr>
        <w:t>(Harrison</w:t>
      </w:r>
      <w:r w:rsidR="002B3CF0" w:rsidRPr="002E64B8">
        <w:rPr>
          <w:rFonts w:cstheme="minorHAnsi"/>
        </w:rPr>
        <w:t>, 2010</w:t>
      </w:r>
      <w:r w:rsidR="00B83070" w:rsidRPr="002E64B8">
        <w:rPr>
          <w:rFonts w:cstheme="minorHAnsi"/>
        </w:rPr>
        <w:t xml:space="preserve">) </w:t>
      </w:r>
      <w:r w:rsidR="00FA1E15" w:rsidRPr="002E64B8">
        <w:rPr>
          <w:rFonts w:cstheme="minorHAnsi"/>
        </w:rPr>
        <w:t xml:space="preserve">How effective are these and what can be done to ensure the utmost protection of the public? </w:t>
      </w:r>
      <w:r w:rsidR="00EA0678" w:rsidRPr="002E64B8">
        <w:rPr>
          <w:rFonts w:cstheme="minorHAnsi"/>
        </w:rPr>
        <w:t xml:space="preserve">A discussion by Nash and Williams highlights the </w:t>
      </w:r>
      <w:r w:rsidR="00FD2C4F" w:rsidRPr="002E64B8">
        <w:rPr>
          <w:rFonts w:cstheme="minorHAnsi"/>
        </w:rPr>
        <w:t>disadvantages of MAPPA, they</w:t>
      </w:r>
      <w:r w:rsidR="00743D9B" w:rsidRPr="002E64B8">
        <w:rPr>
          <w:rFonts w:cstheme="minorHAnsi"/>
        </w:rPr>
        <w:t xml:space="preserve"> </w:t>
      </w:r>
      <w:r w:rsidR="004B4D80" w:rsidRPr="002E64B8">
        <w:rPr>
          <w:rFonts w:cstheme="minorHAnsi"/>
        </w:rPr>
        <w:t xml:space="preserve">discuss </w:t>
      </w:r>
      <w:r w:rsidR="00847FE5" w:rsidRPr="002E64B8">
        <w:rPr>
          <w:rFonts w:cstheme="minorHAnsi"/>
        </w:rPr>
        <w:t>whether it is</w:t>
      </w:r>
      <w:r w:rsidR="00FC101C" w:rsidRPr="002E64B8">
        <w:rPr>
          <w:rFonts w:cstheme="minorHAnsi"/>
        </w:rPr>
        <w:t xml:space="preserve"> necessary </w:t>
      </w:r>
      <w:r w:rsidR="00847FE5" w:rsidRPr="002E64B8">
        <w:rPr>
          <w:rFonts w:cstheme="minorHAnsi"/>
        </w:rPr>
        <w:t xml:space="preserve">or not </w:t>
      </w:r>
      <w:r w:rsidR="00FC101C" w:rsidRPr="002E64B8">
        <w:rPr>
          <w:rFonts w:cstheme="minorHAnsi"/>
        </w:rPr>
        <w:t xml:space="preserve">to </w:t>
      </w:r>
      <w:r w:rsidR="004B4D80" w:rsidRPr="002E64B8">
        <w:rPr>
          <w:rFonts w:cstheme="minorHAnsi"/>
        </w:rPr>
        <w:t>restrict</w:t>
      </w:r>
      <w:r w:rsidR="00FC101C" w:rsidRPr="002E64B8">
        <w:rPr>
          <w:rFonts w:cstheme="minorHAnsi"/>
        </w:rPr>
        <w:t xml:space="preserve"> the individual rights of an offender </w:t>
      </w:r>
      <w:r w:rsidR="00FD2C4F" w:rsidRPr="002E64B8">
        <w:rPr>
          <w:rFonts w:cstheme="minorHAnsi"/>
        </w:rPr>
        <w:t>to</w:t>
      </w:r>
      <w:r w:rsidR="00FC101C" w:rsidRPr="002E64B8">
        <w:rPr>
          <w:rFonts w:cstheme="minorHAnsi"/>
        </w:rPr>
        <w:t xml:space="preserve"> provide </w:t>
      </w:r>
      <w:r w:rsidR="004B4D80" w:rsidRPr="002E64B8">
        <w:rPr>
          <w:rFonts w:cstheme="minorHAnsi"/>
        </w:rPr>
        <w:t>adequate</w:t>
      </w:r>
      <w:r w:rsidR="00FC101C" w:rsidRPr="002E64B8">
        <w:rPr>
          <w:rFonts w:cstheme="minorHAnsi"/>
        </w:rPr>
        <w:t xml:space="preserve"> protection to the public. They also </w:t>
      </w:r>
      <w:r w:rsidR="004B4D80" w:rsidRPr="002E64B8">
        <w:rPr>
          <w:rFonts w:cstheme="minorHAnsi"/>
        </w:rPr>
        <w:t xml:space="preserve">argue </w:t>
      </w:r>
      <w:r w:rsidR="00FC101C" w:rsidRPr="002E64B8">
        <w:rPr>
          <w:rFonts w:cstheme="minorHAnsi"/>
        </w:rPr>
        <w:t xml:space="preserve">that although the public put faith into MAPPA, problems have arisen in recent years whereby an individual's freedom has been restricted due to their behaviour fitting a particular classification system that deems them dangerous. A further concern </w:t>
      </w:r>
      <w:r w:rsidR="004B4D80" w:rsidRPr="002E64B8">
        <w:rPr>
          <w:rFonts w:cstheme="minorHAnsi"/>
        </w:rPr>
        <w:t xml:space="preserve">highlighted by </w:t>
      </w:r>
      <w:r w:rsidR="00330D50" w:rsidRPr="002E64B8">
        <w:rPr>
          <w:rFonts w:cstheme="minorHAnsi"/>
        </w:rPr>
        <w:t>Nash and Williams</w:t>
      </w:r>
      <w:r w:rsidR="00B75EF3" w:rsidRPr="002E64B8">
        <w:rPr>
          <w:rFonts w:cstheme="minorHAnsi"/>
        </w:rPr>
        <w:t xml:space="preserve">, </w:t>
      </w:r>
      <w:r w:rsidR="00FC101C" w:rsidRPr="002E64B8">
        <w:rPr>
          <w:rFonts w:cstheme="minorHAnsi"/>
        </w:rPr>
        <w:t xml:space="preserve">is that the evidence to support labelling groups of offenders is often flawed, lacks systematic application across jurisdictional </w:t>
      </w:r>
      <w:r w:rsidR="00FC101C" w:rsidRPr="002E64B8">
        <w:rPr>
          <w:rFonts w:cstheme="minorHAnsi"/>
        </w:rPr>
        <w:lastRenderedPageBreak/>
        <w:t xml:space="preserve">boundaries and has not been analysed </w:t>
      </w:r>
      <w:r w:rsidR="00434431" w:rsidRPr="002E64B8">
        <w:rPr>
          <w:rFonts w:cstheme="minorHAnsi"/>
        </w:rPr>
        <w:t xml:space="preserve">and often being </w:t>
      </w:r>
      <w:r w:rsidR="00FC101C" w:rsidRPr="002E64B8">
        <w:rPr>
          <w:rFonts w:cstheme="minorHAnsi"/>
        </w:rPr>
        <w:t>accepted uncritically.</w:t>
      </w:r>
      <w:r w:rsidR="00AD5F54" w:rsidRPr="002E64B8">
        <w:rPr>
          <w:rFonts w:cstheme="minorHAnsi"/>
        </w:rPr>
        <w:t xml:space="preserve"> (Nash and Williams</w:t>
      </w:r>
      <w:r w:rsidR="00E0727C" w:rsidRPr="002E64B8">
        <w:rPr>
          <w:rFonts w:cstheme="minorHAnsi"/>
        </w:rPr>
        <w:t>, 2010</w:t>
      </w:r>
      <w:r w:rsidR="00AD5F54" w:rsidRPr="002E64B8">
        <w:rPr>
          <w:rFonts w:cstheme="minorHAnsi"/>
        </w:rPr>
        <w:t>)</w:t>
      </w:r>
    </w:p>
    <w:p w14:paraId="4B968956" w14:textId="4ED91D2E" w:rsidR="00DC4E32" w:rsidRPr="002E64B8" w:rsidRDefault="00A0610E" w:rsidP="002E49E7">
      <w:pPr>
        <w:spacing w:line="480" w:lineRule="auto"/>
        <w:rPr>
          <w:rFonts w:cstheme="minorHAnsi"/>
        </w:rPr>
      </w:pPr>
      <w:r w:rsidRPr="002E64B8">
        <w:rPr>
          <w:rFonts w:cstheme="minorHAnsi"/>
        </w:rPr>
        <w:t xml:space="preserve">On the other hand, </w:t>
      </w:r>
      <w:r w:rsidR="00B31505" w:rsidRPr="002E64B8">
        <w:rPr>
          <w:rFonts w:cstheme="minorHAnsi"/>
        </w:rPr>
        <w:t>research</w:t>
      </w:r>
      <w:r w:rsidR="00685C3E" w:rsidRPr="002E64B8">
        <w:rPr>
          <w:rFonts w:cstheme="minorHAnsi"/>
        </w:rPr>
        <w:t xml:space="preserve"> carried out by the Policing Institute for the Eastern Region (PIER)</w:t>
      </w:r>
      <w:r w:rsidR="006477A9" w:rsidRPr="002E64B8">
        <w:rPr>
          <w:rFonts w:cstheme="minorHAnsi"/>
        </w:rPr>
        <w:t xml:space="preserve"> shows that the reoffending rates of those managed by MAPPA </w:t>
      </w:r>
      <w:r w:rsidR="00B31505" w:rsidRPr="002E64B8">
        <w:rPr>
          <w:rFonts w:cstheme="minorHAnsi"/>
        </w:rPr>
        <w:t xml:space="preserve">are less than half of </w:t>
      </w:r>
      <w:r w:rsidR="009D5ED8" w:rsidRPr="002E64B8">
        <w:rPr>
          <w:rFonts w:cstheme="minorHAnsi"/>
        </w:rPr>
        <w:t xml:space="preserve">that of </w:t>
      </w:r>
      <w:r w:rsidR="00B31505" w:rsidRPr="002E64B8">
        <w:rPr>
          <w:rFonts w:cstheme="minorHAnsi"/>
        </w:rPr>
        <w:t>the national average</w:t>
      </w:r>
      <w:r w:rsidR="00DC4E32" w:rsidRPr="002E64B8">
        <w:rPr>
          <w:rFonts w:cstheme="minorHAnsi"/>
        </w:rPr>
        <w:t xml:space="preserve"> (Anglia Ruskin </w:t>
      </w:r>
      <w:r w:rsidR="00CF7BF2" w:rsidRPr="002E64B8">
        <w:rPr>
          <w:rFonts w:cstheme="minorHAnsi"/>
        </w:rPr>
        <w:t>University</w:t>
      </w:r>
      <w:r w:rsidR="0089107C" w:rsidRPr="002E64B8">
        <w:rPr>
          <w:rFonts w:cstheme="minorHAnsi"/>
        </w:rPr>
        <w:t>, 2023</w:t>
      </w:r>
      <w:r w:rsidR="00CF7BF2" w:rsidRPr="002E64B8">
        <w:rPr>
          <w:rFonts w:cstheme="minorHAnsi"/>
        </w:rPr>
        <w:t>)</w:t>
      </w:r>
      <w:r w:rsidR="00DC4E32" w:rsidRPr="002E64B8">
        <w:rPr>
          <w:rFonts w:cstheme="minorHAnsi"/>
        </w:rPr>
        <w:t xml:space="preserve">. </w:t>
      </w:r>
    </w:p>
    <w:p w14:paraId="73ED8827" w14:textId="3CCB774D" w:rsidR="00330D50" w:rsidRPr="002E64B8" w:rsidRDefault="00E76550" w:rsidP="002E49E7">
      <w:pPr>
        <w:spacing w:line="480" w:lineRule="auto"/>
        <w:rPr>
          <w:rFonts w:cstheme="minorHAnsi"/>
        </w:rPr>
      </w:pPr>
      <w:r w:rsidRPr="002E64B8">
        <w:rPr>
          <w:rFonts w:cstheme="minorHAnsi"/>
        </w:rPr>
        <w:t xml:space="preserve">As a result of their research, PEIR </w:t>
      </w:r>
      <w:r w:rsidR="00087F40" w:rsidRPr="002E64B8">
        <w:rPr>
          <w:rFonts w:cstheme="minorHAnsi"/>
        </w:rPr>
        <w:t>gave two primary recommendations to increase the effectiveness of MAPPA management. The two recommendations were</w:t>
      </w:r>
      <w:r w:rsidR="00493B6A" w:rsidRPr="002E64B8">
        <w:rPr>
          <w:rFonts w:cstheme="minorHAnsi"/>
        </w:rPr>
        <w:t xml:space="preserve"> that level 1 management should be introduced within category 3, this is to ensure the risk posed by domestic abuse offenders and those whose offending is sexually motivated can be managed under MAPPA.</w:t>
      </w:r>
      <w:r w:rsidR="008953BD" w:rsidRPr="002E64B8">
        <w:rPr>
          <w:rFonts w:cstheme="minorHAnsi"/>
        </w:rPr>
        <w:t xml:space="preserve"> The second recommendation is in relation to the development of a training package to address the deficits in current training. </w:t>
      </w:r>
      <w:r w:rsidR="00222D52" w:rsidRPr="002E64B8">
        <w:rPr>
          <w:rFonts w:cstheme="minorHAnsi"/>
        </w:rPr>
        <w:t>The research also highlights that</w:t>
      </w:r>
      <w:r w:rsidR="00961809" w:rsidRPr="002E64B8">
        <w:rPr>
          <w:rFonts w:cstheme="minorHAnsi"/>
        </w:rPr>
        <w:t xml:space="preserve"> whilst the Police and Probation service </w:t>
      </w:r>
      <w:r w:rsidR="007E1026" w:rsidRPr="002E64B8">
        <w:rPr>
          <w:rFonts w:cstheme="minorHAnsi"/>
        </w:rPr>
        <w:t>can</w:t>
      </w:r>
      <w:r w:rsidR="00961809" w:rsidRPr="002E64B8">
        <w:rPr>
          <w:rFonts w:cstheme="minorHAnsi"/>
        </w:rPr>
        <w:t xml:space="preserve"> commit to their role as responsible authorities, focus groups found that the prison service struggle to contribute to the same extent. </w:t>
      </w:r>
      <w:r w:rsidR="00FF4935" w:rsidRPr="002E64B8">
        <w:rPr>
          <w:rFonts w:cstheme="minorHAnsi"/>
        </w:rPr>
        <w:t>Further improvements w</w:t>
      </w:r>
      <w:r w:rsidR="006A1961" w:rsidRPr="002E64B8">
        <w:rPr>
          <w:rFonts w:cstheme="minorHAnsi"/>
        </w:rPr>
        <w:t xml:space="preserve">ere identified in the management of an individual, and the transition period from youth offending services to probation services. </w:t>
      </w:r>
      <w:r w:rsidR="008A310E" w:rsidRPr="002E64B8">
        <w:rPr>
          <w:rFonts w:cstheme="minorHAnsi"/>
        </w:rPr>
        <w:t xml:space="preserve">The concerns highlighted were that the risk management in these areas were </w:t>
      </w:r>
      <w:r w:rsidR="002E7495" w:rsidRPr="002E64B8">
        <w:rPr>
          <w:rFonts w:cstheme="minorHAnsi"/>
        </w:rPr>
        <w:t>insufficient</w:t>
      </w:r>
      <w:r w:rsidR="008662E3" w:rsidRPr="002E64B8">
        <w:rPr>
          <w:rFonts w:cstheme="minorHAnsi"/>
        </w:rPr>
        <w:t>.</w:t>
      </w:r>
      <w:r w:rsidR="002E7495" w:rsidRPr="002E64B8">
        <w:rPr>
          <w:rFonts w:cstheme="minorHAnsi"/>
        </w:rPr>
        <w:t xml:space="preserve"> </w:t>
      </w:r>
      <w:r w:rsidR="00892DB2" w:rsidRPr="002E64B8">
        <w:rPr>
          <w:rFonts w:cstheme="minorHAnsi"/>
        </w:rPr>
        <w:t>Overall,</w:t>
      </w:r>
      <w:r w:rsidR="007E1026" w:rsidRPr="002E64B8">
        <w:rPr>
          <w:rFonts w:cstheme="minorHAnsi"/>
        </w:rPr>
        <w:t xml:space="preserve"> the research</w:t>
      </w:r>
      <w:r w:rsidR="00C15369" w:rsidRPr="002E64B8">
        <w:rPr>
          <w:rFonts w:cstheme="minorHAnsi"/>
        </w:rPr>
        <w:t xml:space="preserve"> shows an appreciation for MAPPA</w:t>
      </w:r>
      <w:r w:rsidR="006A4FEB" w:rsidRPr="002E64B8">
        <w:rPr>
          <w:rFonts w:cstheme="minorHAnsi"/>
        </w:rPr>
        <w:t xml:space="preserve">. </w:t>
      </w:r>
      <w:r w:rsidR="00892DB2" w:rsidRPr="002E64B8">
        <w:rPr>
          <w:rFonts w:cstheme="minorHAnsi"/>
        </w:rPr>
        <w:t>However,</w:t>
      </w:r>
      <w:r w:rsidR="00C15369" w:rsidRPr="002E64B8">
        <w:rPr>
          <w:rFonts w:cstheme="minorHAnsi"/>
        </w:rPr>
        <w:t xml:space="preserve"> there are still many improvements to be made in relation to a constant monitoring of individuals who are at risk of reoffending from youth to adulthood. </w:t>
      </w:r>
      <w:r w:rsidR="00892DB2" w:rsidRPr="002E64B8">
        <w:rPr>
          <w:rFonts w:cstheme="minorHAnsi"/>
        </w:rPr>
        <w:t>(Mann and Lundrigan</w:t>
      </w:r>
      <w:r w:rsidR="0089107C" w:rsidRPr="002E64B8">
        <w:rPr>
          <w:rFonts w:cstheme="minorHAnsi"/>
        </w:rPr>
        <w:t>, 2023</w:t>
      </w:r>
      <w:r w:rsidR="00892DB2" w:rsidRPr="002E64B8">
        <w:rPr>
          <w:rFonts w:cstheme="minorHAnsi"/>
        </w:rPr>
        <w:t>)</w:t>
      </w:r>
    </w:p>
    <w:p w14:paraId="723A3507" w14:textId="77777777" w:rsidR="00BA61BE" w:rsidRDefault="00CB56E1" w:rsidP="002E49E7">
      <w:pPr>
        <w:spacing w:line="480" w:lineRule="auto"/>
        <w:rPr>
          <w:rFonts w:cstheme="minorHAnsi"/>
        </w:rPr>
      </w:pPr>
      <w:r w:rsidRPr="002E64B8">
        <w:rPr>
          <w:rFonts w:cstheme="minorHAnsi"/>
        </w:rPr>
        <w:t xml:space="preserve">In conclusion, MAPPA </w:t>
      </w:r>
      <w:r w:rsidR="00C22F80" w:rsidRPr="002E64B8">
        <w:rPr>
          <w:rFonts w:cstheme="minorHAnsi"/>
        </w:rPr>
        <w:t>has proven to be an</w:t>
      </w:r>
      <w:r w:rsidRPr="002E64B8">
        <w:rPr>
          <w:rFonts w:cstheme="minorHAnsi"/>
        </w:rPr>
        <w:t xml:space="preserve"> effective means of managing </w:t>
      </w:r>
      <w:r w:rsidR="000F66B5" w:rsidRPr="002E64B8">
        <w:rPr>
          <w:rFonts w:cstheme="minorHAnsi"/>
        </w:rPr>
        <w:t xml:space="preserve">sexual and violent offenders and ensuring that </w:t>
      </w:r>
      <w:r w:rsidR="00C22F80" w:rsidRPr="002E64B8">
        <w:rPr>
          <w:rFonts w:cstheme="minorHAnsi"/>
        </w:rPr>
        <w:t>victims</w:t>
      </w:r>
      <w:r w:rsidR="000F66B5" w:rsidRPr="002E64B8">
        <w:rPr>
          <w:rFonts w:cstheme="minorHAnsi"/>
        </w:rPr>
        <w:t xml:space="preserve"> of crime are protected</w:t>
      </w:r>
      <w:r w:rsidR="00C22F80" w:rsidRPr="002E64B8">
        <w:rPr>
          <w:rFonts w:cstheme="minorHAnsi"/>
        </w:rPr>
        <w:t>. A</w:t>
      </w:r>
      <w:r w:rsidR="000F66B5" w:rsidRPr="002E64B8">
        <w:rPr>
          <w:rFonts w:cstheme="minorHAnsi"/>
        </w:rPr>
        <w:t xml:space="preserve">s well as minimising the risk of reoffending and </w:t>
      </w:r>
      <w:r w:rsidR="00C22F80" w:rsidRPr="002E64B8">
        <w:rPr>
          <w:rFonts w:cstheme="minorHAnsi"/>
        </w:rPr>
        <w:t xml:space="preserve">protecting the wider community. It’s also clear that many changes and improvements have been made when it comes to multi agency working. However, as society and culture </w:t>
      </w:r>
      <w:r w:rsidR="009C425B" w:rsidRPr="002E64B8">
        <w:rPr>
          <w:rFonts w:cstheme="minorHAnsi"/>
        </w:rPr>
        <w:t>change</w:t>
      </w:r>
      <w:r w:rsidR="00C22F80" w:rsidRPr="002E64B8">
        <w:rPr>
          <w:rFonts w:cstheme="minorHAnsi"/>
        </w:rPr>
        <w:t xml:space="preserve"> the research shows that additional organisations need to be more susceptible to collaborative working when it comes to protecting the public. Although the police and probation service are at the forefront of this, it appears that organisations such as social services, health and housing need to be more involved to fully improve </w:t>
      </w:r>
      <w:r w:rsidR="00B80517" w:rsidRPr="002E64B8">
        <w:rPr>
          <w:rFonts w:cstheme="minorHAnsi"/>
        </w:rPr>
        <w:t>MAPPA.</w:t>
      </w:r>
    </w:p>
    <w:p w14:paraId="35A76F2D" w14:textId="77777777" w:rsidR="00BA61BE" w:rsidRDefault="009C425B" w:rsidP="002E49E7">
      <w:pPr>
        <w:spacing w:line="480" w:lineRule="auto"/>
        <w:rPr>
          <w:rFonts w:cstheme="minorHAnsi"/>
        </w:rPr>
      </w:pPr>
      <w:r w:rsidRPr="002E64B8">
        <w:rPr>
          <w:rFonts w:cstheme="minorHAnsi"/>
        </w:rPr>
        <w:lastRenderedPageBreak/>
        <w:t>Word Count:</w:t>
      </w:r>
      <w:r w:rsidR="0089107C" w:rsidRPr="002E64B8">
        <w:rPr>
          <w:rFonts w:cstheme="minorHAnsi"/>
        </w:rPr>
        <w:t xml:space="preserve"> </w:t>
      </w:r>
      <w:r w:rsidR="00A15844">
        <w:rPr>
          <w:rFonts w:cstheme="minorHAnsi"/>
        </w:rPr>
        <w:t>960.</w:t>
      </w:r>
    </w:p>
    <w:p w14:paraId="67200E22" w14:textId="77777777" w:rsidR="00BA61BE" w:rsidRDefault="00BA61BE" w:rsidP="002E49E7">
      <w:pPr>
        <w:spacing w:line="480" w:lineRule="auto"/>
        <w:rPr>
          <w:rFonts w:cstheme="minorHAnsi"/>
        </w:rPr>
      </w:pPr>
    </w:p>
    <w:p w14:paraId="34A9108D" w14:textId="77777777" w:rsidR="00BA61BE" w:rsidRDefault="00BA61BE" w:rsidP="002E49E7">
      <w:pPr>
        <w:spacing w:line="480" w:lineRule="auto"/>
        <w:rPr>
          <w:rFonts w:cstheme="minorHAnsi"/>
        </w:rPr>
      </w:pPr>
    </w:p>
    <w:p w14:paraId="1B92F259" w14:textId="77777777" w:rsidR="00BA61BE" w:rsidRDefault="00BA61BE" w:rsidP="002E49E7">
      <w:pPr>
        <w:spacing w:line="480" w:lineRule="auto"/>
        <w:rPr>
          <w:rFonts w:cstheme="minorHAnsi"/>
        </w:rPr>
      </w:pPr>
    </w:p>
    <w:p w14:paraId="052BB968" w14:textId="77777777" w:rsidR="00BA61BE" w:rsidRDefault="00BA61BE" w:rsidP="002E49E7">
      <w:pPr>
        <w:spacing w:line="480" w:lineRule="auto"/>
        <w:rPr>
          <w:rFonts w:cstheme="minorHAnsi"/>
        </w:rPr>
      </w:pPr>
    </w:p>
    <w:p w14:paraId="035C0FD4" w14:textId="77777777" w:rsidR="00BA61BE" w:rsidRDefault="00BA61BE" w:rsidP="002E49E7">
      <w:pPr>
        <w:spacing w:line="480" w:lineRule="auto"/>
        <w:rPr>
          <w:rFonts w:cstheme="minorHAnsi"/>
        </w:rPr>
      </w:pPr>
    </w:p>
    <w:p w14:paraId="5E0222FF" w14:textId="77777777" w:rsidR="00BA61BE" w:rsidRDefault="00BA61BE" w:rsidP="002E49E7">
      <w:pPr>
        <w:spacing w:line="480" w:lineRule="auto"/>
        <w:rPr>
          <w:rFonts w:cstheme="minorHAnsi"/>
        </w:rPr>
      </w:pPr>
    </w:p>
    <w:p w14:paraId="5616EAD9" w14:textId="77777777" w:rsidR="00BA61BE" w:rsidRDefault="00BA61BE" w:rsidP="002E49E7">
      <w:pPr>
        <w:spacing w:line="480" w:lineRule="auto"/>
        <w:rPr>
          <w:rFonts w:cstheme="minorHAnsi"/>
        </w:rPr>
      </w:pPr>
    </w:p>
    <w:p w14:paraId="504CAD09" w14:textId="77777777" w:rsidR="00BA61BE" w:rsidRDefault="00BA61BE" w:rsidP="002E49E7">
      <w:pPr>
        <w:spacing w:line="480" w:lineRule="auto"/>
        <w:rPr>
          <w:rFonts w:cstheme="minorHAnsi"/>
        </w:rPr>
      </w:pPr>
    </w:p>
    <w:p w14:paraId="44487066" w14:textId="77777777" w:rsidR="00BA61BE" w:rsidRDefault="00BA61BE" w:rsidP="002E49E7">
      <w:pPr>
        <w:spacing w:line="480" w:lineRule="auto"/>
        <w:rPr>
          <w:rFonts w:cstheme="minorHAnsi"/>
        </w:rPr>
      </w:pPr>
    </w:p>
    <w:p w14:paraId="47823E31" w14:textId="77777777" w:rsidR="00BA61BE" w:rsidRDefault="00BA61BE" w:rsidP="002E49E7">
      <w:pPr>
        <w:spacing w:line="480" w:lineRule="auto"/>
        <w:rPr>
          <w:rFonts w:cstheme="minorHAnsi"/>
        </w:rPr>
      </w:pPr>
    </w:p>
    <w:p w14:paraId="01FD46E8" w14:textId="77777777" w:rsidR="00BA61BE" w:rsidRDefault="00BA61BE" w:rsidP="002E49E7">
      <w:pPr>
        <w:spacing w:line="480" w:lineRule="auto"/>
        <w:rPr>
          <w:rFonts w:cstheme="minorHAnsi"/>
        </w:rPr>
      </w:pPr>
    </w:p>
    <w:p w14:paraId="4D3A598C" w14:textId="77777777" w:rsidR="00BA61BE" w:rsidRDefault="00BA61BE" w:rsidP="002E49E7">
      <w:pPr>
        <w:spacing w:line="480" w:lineRule="auto"/>
        <w:rPr>
          <w:rFonts w:cstheme="minorHAnsi"/>
        </w:rPr>
      </w:pPr>
    </w:p>
    <w:p w14:paraId="1AD2F9AA" w14:textId="77777777" w:rsidR="00BA61BE" w:rsidRDefault="00BA61BE" w:rsidP="002E49E7">
      <w:pPr>
        <w:spacing w:line="480" w:lineRule="auto"/>
        <w:rPr>
          <w:rFonts w:cstheme="minorHAnsi"/>
        </w:rPr>
      </w:pPr>
    </w:p>
    <w:p w14:paraId="3EF3BD3D" w14:textId="77777777" w:rsidR="00BA61BE" w:rsidRDefault="00BA61BE" w:rsidP="002E49E7">
      <w:pPr>
        <w:spacing w:line="480" w:lineRule="auto"/>
        <w:rPr>
          <w:rFonts w:cstheme="minorHAnsi"/>
        </w:rPr>
      </w:pPr>
    </w:p>
    <w:p w14:paraId="1A166C1F" w14:textId="77777777" w:rsidR="00BA61BE" w:rsidRDefault="00BA61BE" w:rsidP="002E49E7">
      <w:pPr>
        <w:spacing w:line="480" w:lineRule="auto"/>
        <w:rPr>
          <w:rFonts w:cstheme="minorHAnsi"/>
        </w:rPr>
      </w:pPr>
    </w:p>
    <w:p w14:paraId="223B988E" w14:textId="77777777" w:rsidR="00BA61BE" w:rsidRDefault="00BA61BE" w:rsidP="002E49E7">
      <w:pPr>
        <w:spacing w:line="480" w:lineRule="auto"/>
        <w:rPr>
          <w:rFonts w:cstheme="minorHAnsi"/>
        </w:rPr>
      </w:pPr>
    </w:p>
    <w:p w14:paraId="6960A775" w14:textId="77777777" w:rsidR="00BA61BE" w:rsidRDefault="00BA61BE" w:rsidP="002E49E7">
      <w:pPr>
        <w:spacing w:line="480" w:lineRule="auto"/>
        <w:rPr>
          <w:rFonts w:cstheme="minorHAnsi"/>
        </w:rPr>
      </w:pPr>
    </w:p>
    <w:p w14:paraId="2ADD639F" w14:textId="77777777" w:rsidR="00BA61BE" w:rsidRDefault="00BA61BE" w:rsidP="002E49E7">
      <w:pPr>
        <w:spacing w:line="480" w:lineRule="auto"/>
        <w:rPr>
          <w:rFonts w:cstheme="minorHAnsi"/>
        </w:rPr>
      </w:pPr>
    </w:p>
    <w:p w14:paraId="4C5D4890" w14:textId="3C051AAE" w:rsidR="0000050F" w:rsidRDefault="00A15844" w:rsidP="002E49E7">
      <w:pPr>
        <w:spacing w:line="480" w:lineRule="auto"/>
        <w:rPr>
          <w:rFonts w:cstheme="minorHAnsi"/>
        </w:rPr>
      </w:pPr>
      <w:r>
        <w:rPr>
          <w:rFonts w:cstheme="minorHAnsi"/>
        </w:rPr>
        <w:t xml:space="preserve"> </w:t>
      </w:r>
      <w:r w:rsidR="00B80517" w:rsidRPr="002E64B8">
        <w:rPr>
          <w:rFonts w:cstheme="minorHAnsi"/>
        </w:rPr>
        <w:t xml:space="preserve"> </w:t>
      </w:r>
    </w:p>
    <w:p w14:paraId="671C1978" w14:textId="3BE49CB9" w:rsidR="009C425B" w:rsidRPr="0000050F" w:rsidRDefault="002E49E7" w:rsidP="002E49E7">
      <w:pPr>
        <w:spacing w:line="480" w:lineRule="auto"/>
        <w:rPr>
          <w:rFonts w:cstheme="minorHAnsi"/>
        </w:rPr>
      </w:pPr>
      <w:r w:rsidRPr="002E64B8">
        <w:rPr>
          <w:rFonts w:cstheme="minorHAnsi"/>
          <w:b/>
          <w:bCs/>
        </w:rPr>
        <w:lastRenderedPageBreak/>
        <w:t>References List:</w:t>
      </w:r>
    </w:p>
    <w:p w14:paraId="2C033076"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Bryan, Tim, and William Payne. “Developing MAPPA: Multi-Agency Public Protection Arrangements.” </w:t>
      </w:r>
      <w:r w:rsidRPr="002E64B8">
        <w:rPr>
          <w:rFonts w:asciiTheme="minorHAnsi" w:hAnsiTheme="minorHAnsi" w:cstheme="minorHAnsi"/>
          <w:i/>
          <w:iCs/>
          <w:sz w:val="22"/>
          <w:szCs w:val="22"/>
        </w:rPr>
        <w:t>Criminal Justice Matters</w:t>
      </w:r>
      <w:r w:rsidRPr="002E64B8">
        <w:rPr>
          <w:rFonts w:asciiTheme="minorHAnsi" w:hAnsiTheme="minorHAnsi" w:cstheme="minorHAnsi"/>
          <w:sz w:val="22"/>
          <w:szCs w:val="22"/>
        </w:rPr>
        <w:t>, vol. 51, no. 1, Mar. 2003, pp. 20–29, https://doi.org/10.1080/09627250308553515.</w:t>
      </w:r>
    </w:p>
    <w:p w14:paraId="1166E514"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College of Policing. “Multi-Agency Public Protection Arrangements (MAPPA).” </w:t>
      </w:r>
      <w:r w:rsidRPr="002E64B8">
        <w:rPr>
          <w:rFonts w:asciiTheme="minorHAnsi" w:hAnsiTheme="minorHAnsi" w:cstheme="minorHAnsi"/>
          <w:i/>
          <w:iCs/>
          <w:sz w:val="22"/>
          <w:szCs w:val="22"/>
        </w:rPr>
        <w:t>College of Policing</w:t>
      </w:r>
      <w:r w:rsidRPr="002E64B8">
        <w:rPr>
          <w:rFonts w:asciiTheme="minorHAnsi" w:hAnsiTheme="minorHAnsi" w:cstheme="minorHAnsi"/>
          <w:sz w:val="22"/>
          <w:szCs w:val="22"/>
        </w:rPr>
        <w:t>, 2017, www.college.police.uk/app/major-investigation-and-public-protection/managing-sexual-offenders-and-violent-offenders/multi-agency-public-protection-arrangements-mappa.</w:t>
      </w:r>
    </w:p>
    <w:p w14:paraId="336EEB4F"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Dow, John. “Multi‐Agency Public Protection Arrangements.” </w:t>
      </w:r>
      <w:r w:rsidRPr="002E64B8">
        <w:rPr>
          <w:rFonts w:asciiTheme="minorHAnsi" w:hAnsiTheme="minorHAnsi" w:cstheme="minorHAnsi"/>
          <w:i/>
          <w:iCs/>
          <w:sz w:val="22"/>
          <w:szCs w:val="22"/>
        </w:rPr>
        <w:t>Journal of Integrated Care</w:t>
      </w:r>
      <w:r w:rsidRPr="002E64B8">
        <w:rPr>
          <w:rFonts w:asciiTheme="minorHAnsi" w:hAnsiTheme="minorHAnsi" w:cstheme="minorHAnsi"/>
          <w:sz w:val="22"/>
          <w:szCs w:val="22"/>
        </w:rPr>
        <w:t>, vol. 12, no. 3, June 2004, pp. 27–29, https://doi.org/10.1108/14769018200400020.</w:t>
      </w:r>
    </w:p>
    <w:p w14:paraId="414614A2"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Harrison, Karen. </w:t>
      </w:r>
      <w:r w:rsidRPr="002E64B8">
        <w:rPr>
          <w:rFonts w:asciiTheme="minorHAnsi" w:hAnsiTheme="minorHAnsi" w:cstheme="minorHAnsi"/>
          <w:i/>
          <w:iCs/>
          <w:sz w:val="22"/>
          <w:szCs w:val="22"/>
        </w:rPr>
        <w:t>Managing High Risk Sex Offenders in the Community: Risk Management, Treatment and Social Responsibility</w:t>
      </w:r>
      <w:r w:rsidRPr="002E64B8">
        <w:rPr>
          <w:rFonts w:asciiTheme="minorHAnsi" w:hAnsiTheme="minorHAnsi" w:cstheme="minorHAnsi"/>
          <w:sz w:val="22"/>
          <w:szCs w:val="22"/>
        </w:rPr>
        <w:t xml:space="preserve">. </w:t>
      </w:r>
      <w:r w:rsidRPr="002E64B8">
        <w:rPr>
          <w:rFonts w:asciiTheme="minorHAnsi" w:hAnsiTheme="minorHAnsi" w:cstheme="minorHAnsi"/>
          <w:i/>
          <w:iCs/>
          <w:sz w:val="22"/>
          <w:szCs w:val="22"/>
        </w:rPr>
        <w:t>Google Books</w:t>
      </w:r>
      <w:r w:rsidRPr="002E64B8">
        <w:rPr>
          <w:rFonts w:asciiTheme="minorHAnsi" w:hAnsiTheme="minorHAnsi" w:cstheme="minorHAnsi"/>
          <w:sz w:val="22"/>
          <w:szCs w:val="22"/>
        </w:rPr>
        <w:t>, Routledge, 1 Mar. 2010, books.google.co.uk/books?hl=en&amp;lr=&amp;id=JWFsBgAAQBAJ&amp;oi=fnd&amp;pg=PT46&amp;dq=what+makes+MAPPA+effective%3F&amp;ots=4q3H2y3vS9&amp;sig=DZz97lOzc3O7vfONSpWIiDKnZeI#v=onepage&amp;q=what%20makes%20MAPPA%20effective%3F&amp;f=false. Accessed 8 Jan. 2024.</w:t>
      </w:r>
    </w:p>
    <w:p w14:paraId="38926A03"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HM Inspectorate of Probation. “Multi-Agency Public Protection Arrangements.” </w:t>
      </w:r>
      <w:r w:rsidRPr="002E64B8">
        <w:rPr>
          <w:rFonts w:asciiTheme="minorHAnsi" w:hAnsiTheme="minorHAnsi" w:cstheme="minorHAnsi"/>
          <w:i/>
          <w:iCs/>
          <w:sz w:val="22"/>
          <w:szCs w:val="22"/>
        </w:rPr>
        <w:t>Www.justiceinspectorates.gov.uk</w:t>
      </w:r>
      <w:r w:rsidRPr="002E64B8">
        <w:rPr>
          <w:rFonts w:asciiTheme="minorHAnsi" w:hAnsiTheme="minorHAnsi" w:cstheme="minorHAnsi"/>
          <w:sz w:val="22"/>
          <w:szCs w:val="22"/>
        </w:rPr>
        <w:t>, 17 May 2021, www.justiceinspectorates.gov.uk/hmiprobation/research/the-evidence-base-probation/specific-types-of-delivery/mappa/.</w:t>
      </w:r>
    </w:p>
    <w:p w14:paraId="63F9C2CA"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Mann, Natalie, and Samantha Lundrigan. </w:t>
      </w:r>
      <w:r w:rsidRPr="002E64B8">
        <w:rPr>
          <w:rFonts w:asciiTheme="minorHAnsi" w:hAnsiTheme="minorHAnsi" w:cstheme="minorHAnsi"/>
          <w:i/>
          <w:iCs/>
          <w:sz w:val="22"/>
          <w:szCs w:val="22"/>
        </w:rPr>
        <w:t>The National MAPPA Research: Process Effectiveness Report</w:t>
      </w:r>
      <w:r w:rsidRPr="002E64B8">
        <w:rPr>
          <w:rFonts w:asciiTheme="minorHAnsi" w:hAnsiTheme="minorHAnsi" w:cstheme="minorHAnsi"/>
          <w:sz w:val="22"/>
          <w:szCs w:val="22"/>
        </w:rPr>
        <w:t>. 2023.</w:t>
      </w:r>
    </w:p>
    <w:p w14:paraId="7FB2A714"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Ministry of Justice. “Multi-Agency Public Protection Arrangements (MAPPA): Guidance.” </w:t>
      </w:r>
      <w:r w:rsidRPr="002E64B8">
        <w:rPr>
          <w:rFonts w:asciiTheme="minorHAnsi" w:hAnsiTheme="minorHAnsi" w:cstheme="minorHAnsi"/>
          <w:i/>
          <w:iCs/>
          <w:sz w:val="22"/>
          <w:szCs w:val="22"/>
        </w:rPr>
        <w:t>GOV.UK</w:t>
      </w:r>
      <w:r w:rsidRPr="002E64B8">
        <w:rPr>
          <w:rFonts w:asciiTheme="minorHAnsi" w:hAnsiTheme="minorHAnsi" w:cstheme="minorHAnsi"/>
          <w:sz w:val="22"/>
          <w:szCs w:val="22"/>
        </w:rPr>
        <w:t>, GOV.UK, 21 Mar. 2014, www.gov.uk/government/publications/multi-agency-public-protection-arrangements-mappa-guidance.</w:t>
      </w:r>
    </w:p>
    <w:p w14:paraId="03C0B975"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Nash, Mike, and Andy Williams. </w:t>
      </w:r>
      <w:r w:rsidRPr="002E64B8">
        <w:rPr>
          <w:rFonts w:asciiTheme="minorHAnsi" w:hAnsiTheme="minorHAnsi" w:cstheme="minorHAnsi"/>
          <w:i/>
          <w:iCs/>
          <w:sz w:val="22"/>
          <w:szCs w:val="22"/>
        </w:rPr>
        <w:t>Handbook of Public Protection</w:t>
      </w:r>
      <w:r w:rsidRPr="002E64B8">
        <w:rPr>
          <w:rFonts w:asciiTheme="minorHAnsi" w:hAnsiTheme="minorHAnsi" w:cstheme="minorHAnsi"/>
          <w:sz w:val="22"/>
          <w:szCs w:val="22"/>
        </w:rPr>
        <w:t xml:space="preserve">. </w:t>
      </w:r>
      <w:r w:rsidRPr="002E64B8">
        <w:rPr>
          <w:rFonts w:asciiTheme="minorHAnsi" w:hAnsiTheme="minorHAnsi" w:cstheme="minorHAnsi"/>
          <w:i/>
          <w:iCs/>
          <w:sz w:val="22"/>
          <w:szCs w:val="22"/>
        </w:rPr>
        <w:t>Google Books</w:t>
      </w:r>
      <w:r w:rsidRPr="002E64B8">
        <w:rPr>
          <w:rFonts w:asciiTheme="minorHAnsi" w:hAnsiTheme="minorHAnsi" w:cstheme="minorHAnsi"/>
          <w:sz w:val="22"/>
          <w:szCs w:val="22"/>
        </w:rPr>
        <w:t xml:space="preserve">, Routledge, 27 Sept. 2010, </w:t>
      </w:r>
      <w:r w:rsidRPr="002E64B8">
        <w:rPr>
          <w:rFonts w:asciiTheme="minorHAnsi" w:hAnsiTheme="minorHAnsi" w:cstheme="minorHAnsi"/>
          <w:sz w:val="22"/>
          <w:szCs w:val="22"/>
        </w:rPr>
        <w:lastRenderedPageBreak/>
        <w:t>books.google.co.uk/books?id=5gesAgAAQBAJ&amp;printsec=frontcover#v=onepage&amp;q&amp;f=false. Accessed 8 Jan. 2024.</w:t>
      </w:r>
    </w:p>
    <w:p w14:paraId="1397757A"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Rawlinson, Laura. “Thematic Inspection of Multi-Agency Public Protection Arrangements.” </w:t>
      </w:r>
      <w:r w:rsidRPr="002E64B8">
        <w:rPr>
          <w:rFonts w:asciiTheme="minorHAnsi" w:hAnsiTheme="minorHAnsi" w:cstheme="minorHAnsi"/>
          <w:i/>
          <w:iCs/>
          <w:sz w:val="22"/>
          <w:szCs w:val="22"/>
        </w:rPr>
        <w:t>Probation Journal</w:t>
      </w:r>
      <w:r w:rsidRPr="002E64B8">
        <w:rPr>
          <w:rFonts w:asciiTheme="minorHAnsi" w:hAnsiTheme="minorHAnsi" w:cstheme="minorHAnsi"/>
          <w:sz w:val="22"/>
          <w:szCs w:val="22"/>
        </w:rPr>
        <w:t>, vol. 59, no. 2, June 2012, pp. 166–167, https://doi.org/10.1177/0264550512447221. Accessed 17 Apr. 2020.</w:t>
      </w:r>
    </w:p>
    <w:p w14:paraId="34829719"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Safeguarding Adults Board. </w:t>
      </w:r>
      <w:r w:rsidRPr="002E64B8">
        <w:rPr>
          <w:rFonts w:asciiTheme="minorHAnsi" w:hAnsiTheme="minorHAnsi" w:cstheme="minorHAnsi"/>
          <w:i/>
          <w:iCs/>
          <w:sz w:val="22"/>
          <w:szCs w:val="22"/>
        </w:rPr>
        <w:t>8.4 Multi-Agency Public Protection Arrangements (MAPPA) – LLR SAB Multi-Agency Policies &amp; Procedures Resource</w:t>
      </w:r>
      <w:r w:rsidRPr="002E64B8">
        <w:rPr>
          <w:rFonts w:asciiTheme="minorHAnsi" w:hAnsiTheme="minorHAnsi" w:cstheme="minorHAnsi"/>
          <w:sz w:val="22"/>
          <w:szCs w:val="22"/>
        </w:rPr>
        <w:t>. www.llradultsafeguarding.co.uk/multi-agency-public-protection-arrangements-mappa/#:~:text=The%20responsible%20authorities%20in%20respect. Accessed 2 Jan. 2024.</w:t>
      </w:r>
    </w:p>
    <w:p w14:paraId="10EB6264" w14:textId="77777777" w:rsidR="002E49E7" w:rsidRPr="002E64B8" w:rsidRDefault="002E49E7" w:rsidP="00AC3760">
      <w:pPr>
        <w:pStyle w:val="NormalWeb"/>
        <w:spacing w:before="0" w:beforeAutospacing="0" w:after="0" w:afterAutospacing="0" w:line="480" w:lineRule="auto"/>
        <w:ind w:left="720" w:hanging="720"/>
        <w:rPr>
          <w:rFonts w:asciiTheme="minorHAnsi" w:hAnsiTheme="minorHAnsi" w:cstheme="minorHAnsi"/>
          <w:sz w:val="22"/>
          <w:szCs w:val="22"/>
        </w:rPr>
      </w:pPr>
      <w:r w:rsidRPr="002E64B8">
        <w:rPr>
          <w:rFonts w:asciiTheme="minorHAnsi" w:hAnsiTheme="minorHAnsi" w:cstheme="minorHAnsi"/>
          <w:sz w:val="22"/>
          <w:szCs w:val="22"/>
        </w:rPr>
        <w:t xml:space="preserve">University, Angila Ruskin. “The National MAPPA Research - ARU.” </w:t>
      </w:r>
      <w:r w:rsidRPr="002E64B8">
        <w:rPr>
          <w:rFonts w:asciiTheme="minorHAnsi" w:hAnsiTheme="minorHAnsi" w:cstheme="minorHAnsi"/>
          <w:i/>
          <w:iCs/>
          <w:sz w:val="22"/>
          <w:szCs w:val="22"/>
        </w:rPr>
        <w:t>Www.aru.ac.uk</w:t>
      </w:r>
      <w:r w:rsidRPr="002E64B8">
        <w:rPr>
          <w:rFonts w:asciiTheme="minorHAnsi" w:hAnsiTheme="minorHAnsi" w:cstheme="minorHAnsi"/>
          <w:sz w:val="22"/>
          <w:szCs w:val="22"/>
        </w:rPr>
        <w:t>, 2023, www.aru.ac.uk/policing-institute/research/national-mappa-research.</w:t>
      </w:r>
    </w:p>
    <w:p w14:paraId="47FC5A2F" w14:textId="77777777" w:rsidR="002E49E7" w:rsidRPr="002E64B8" w:rsidRDefault="002E49E7" w:rsidP="00AC3760">
      <w:pPr>
        <w:spacing w:line="480" w:lineRule="auto"/>
        <w:rPr>
          <w:rFonts w:cstheme="minorHAnsi"/>
        </w:rPr>
      </w:pPr>
    </w:p>
    <w:p w14:paraId="689ADAA2" w14:textId="77777777" w:rsidR="009C425B" w:rsidRPr="002E64B8" w:rsidRDefault="009C425B" w:rsidP="00AC3760"/>
    <w:p w14:paraId="18D654D7" w14:textId="77777777" w:rsidR="009C425B" w:rsidRPr="002E64B8" w:rsidRDefault="009C425B" w:rsidP="00AC3760"/>
    <w:p w14:paraId="107F77D3" w14:textId="77777777" w:rsidR="009C425B" w:rsidRPr="002E64B8" w:rsidRDefault="009C425B" w:rsidP="00AC3760"/>
    <w:p w14:paraId="69B69516" w14:textId="77777777" w:rsidR="009C425B" w:rsidRPr="002E64B8" w:rsidRDefault="009C425B" w:rsidP="00AC3760"/>
    <w:p w14:paraId="4D90A34A" w14:textId="77777777" w:rsidR="009C425B" w:rsidRPr="002E64B8" w:rsidRDefault="009C425B" w:rsidP="00AC3760"/>
    <w:p w14:paraId="01245F48" w14:textId="79B7DC9E" w:rsidR="00F75F28" w:rsidRDefault="00F75F28"/>
    <w:p w14:paraId="0BDA03E4" w14:textId="77777777" w:rsidR="004639CD" w:rsidRDefault="004639CD"/>
    <w:p w14:paraId="713CAE92" w14:textId="77777777" w:rsidR="004639CD" w:rsidRDefault="004639CD"/>
    <w:p w14:paraId="2B59763D" w14:textId="77777777" w:rsidR="004639CD" w:rsidRDefault="004639CD"/>
    <w:p w14:paraId="51230B53" w14:textId="77777777" w:rsidR="004639CD" w:rsidRDefault="004639CD"/>
    <w:p w14:paraId="7C53F005" w14:textId="77777777" w:rsidR="004639CD" w:rsidRDefault="004639CD"/>
    <w:p w14:paraId="1FDA5F2F" w14:textId="77777777" w:rsidR="004639CD" w:rsidRDefault="004639CD"/>
    <w:p w14:paraId="7CE29B54" w14:textId="77777777" w:rsidR="004639CD" w:rsidRDefault="004639CD"/>
    <w:p w14:paraId="3E8B7B98" w14:textId="77777777" w:rsidR="004639CD" w:rsidRDefault="004639CD"/>
    <w:p w14:paraId="384708F5" w14:textId="77777777" w:rsidR="004639CD" w:rsidRDefault="004639CD"/>
    <w:p w14:paraId="6F922FC5" w14:textId="77777777" w:rsidR="004639CD" w:rsidRDefault="004639CD"/>
    <w:p w14:paraId="3A1A0F5B" w14:textId="39D30509" w:rsidR="004639CD" w:rsidRPr="004639CD" w:rsidRDefault="004639CD" w:rsidP="004639CD">
      <w:pPr>
        <w:rPr>
          <w:b/>
          <w:bCs/>
        </w:rPr>
      </w:pPr>
      <w:r w:rsidRPr="004639CD">
        <w:rPr>
          <w:b/>
          <w:bCs/>
        </w:rPr>
        <w:lastRenderedPageBreak/>
        <w:t>Lauren Richards</w:t>
      </w:r>
    </w:p>
    <w:p w14:paraId="6F3AB6AA" w14:textId="5FB6CC3B" w:rsidR="004639CD" w:rsidRPr="004639CD" w:rsidRDefault="004639CD" w:rsidP="004639CD">
      <w:pPr>
        <w:rPr>
          <w:b/>
          <w:bCs/>
        </w:rPr>
      </w:pPr>
      <w:r w:rsidRPr="004639CD">
        <w:rPr>
          <w:b/>
          <w:bCs/>
        </w:rPr>
        <w:t>Student 2222319</w:t>
      </w:r>
    </w:p>
    <w:p w14:paraId="480A044B" w14:textId="77777777" w:rsidR="004639CD" w:rsidRDefault="004639CD" w:rsidP="004639CD"/>
    <w:p w14:paraId="38A8FC03" w14:textId="679E8966" w:rsidR="004639CD" w:rsidRPr="00AB1416" w:rsidRDefault="004639CD" w:rsidP="00F3513C">
      <w:pPr>
        <w:spacing w:line="480" w:lineRule="auto"/>
        <w:rPr>
          <w:b/>
          <w:bCs/>
        </w:rPr>
      </w:pPr>
      <w:r>
        <w:t xml:space="preserve">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w:t>
      </w:r>
    </w:p>
    <w:p w14:paraId="45D8DD46" w14:textId="77777777" w:rsidR="004639CD" w:rsidRDefault="004639CD" w:rsidP="004639CD"/>
    <w:p w14:paraId="40C49366" w14:textId="77777777" w:rsidR="004639CD" w:rsidRDefault="004639CD" w:rsidP="00F3513C">
      <w:pPr>
        <w:spacing w:line="480" w:lineRule="auto"/>
      </w:pPr>
      <w:r>
        <w:t xml:space="preserve">In recent times, UK Police forces have been scrutinised in the media in relation to scandals. From corrupt officers to internal vetting and misconduct procedures hindering on public confidence. During this essay I will delve into the independent bodies in place that investigate officers and UK forces, I will also explore how these bodies maintain integrity within policing, as well as restores public confidence in policing. </w:t>
      </w:r>
    </w:p>
    <w:p w14:paraId="4AD5F667" w14:textId="38EEB0FD" w:rsidR="004639CD" w:rsidRDefault="004639CD" w:rsidP="00F3513C">
      <w:pPr>
        <w:spacing w:line="480" w:lineRule="auto"/>
      </w:pPr>
      <w:r>
        <w:t>As part of police recruitment, vetting is one of the many stages a person must complete to join a force. Over the last few years, there has been several scandals that has the public questioning whether the vetting process is equipped. An article written in the guardian by Vikram Dodd and Aina J Khan state that defective vetting and failures by police have allowed for predatory behaviour following the development of a prevalent culture within the force, mainly towards women. (Dodd and Khan</w:t>
      </w:r>
      <w:r w:rsidR="00716864">
        <w:t>, 2022</w:t>
      </w:r>
      <w:r>
        <w:t>)</w:t>
      </w:r>
    </w:p>
    <w:p w14:paraId="0D5AB9EB" w14:textId="2161F1A3" w:rsidR="004639CD" w:rsidRDefault="004639CD" w:rsidP="00F3513C">
      <w:pPr>
        <w:spacing w:line="480" w:lineRule="auto"/>
      </w:pPr>
      <w:r>
        <w:t>Wrongful and corrupt behaviour from serving police officers has been a topic of conversation over the years, however there are several incidents that have sparked outrage with the public. For example, the murder of Sarah Everard. Everard was kidnapped, raped, and murdered by serving officer Wayne Couzens. Couzens was later sentenced to a whole life sentence for the offences, as well as further incidents of exposure. (CPS</w:t>
      </w:r>
      <w:r w:rsidR="00716864">
        <w:t>, 2023</w:t>
      </w:r>
      <w:r>
        <w:t>) The incident caused an uproar with the public. Specifically with women highlighting major concerns with male officers</w:t>
      </w:r>
      <w:r w:rsidR="00716864">
        <w:t xml:space="preserve"> and vetting failures. </w:t>
      </w:r>
      <w:r>
        <w:t xml:space="preserve"> </w:t>
      </w:r>
    </w:p>
    <w:p w14:paraId="7ABE3BDB" w14:textId="6F0B36B8" w:rsidR="0081466E" w:rsidRDefault="004639CD" w:rsidP="00F3513C">
      <w:pPr>
        <w:spacing w:line="480" w:lineRule="auto"/>
      </w:pPr>
      <w:r>
        <w:lastRenderedPageBreak/>
        <w:t xml:space="preserve"> A BBC article delved into UK Police Forces and examined decisions made by officers that were described as “questionable at best”. An example given by </w:t>
      </w:r>
      <w:r w:rsidR="00716864">
        <w:t xml:space="preserve">the </w:t>
      </w:r>
      <w:r>
        <w:t>BBC described an incident in 2011 in Northumbria Police, where an officer was jailed for rape, indecent assault, and misconduct in a public office. However, this officer completed vetting for Northumbria Police and the vetting process did not reveal allegations made against the officer during his time with the Army. (Symonds and Gregory</w:t>
      </w:r>
      <w:r w:rsidR="00716864">
        <w:t>, 2022</w:t>
      </w:r>
      <w:r>
        <w:t xml:space="preserve">) </w:t>
      </w:r>
    </w:p>
    <w:p w14:paraId="124714D1" w14:textId="30916F65" w:rsidR="00E06B61" w:rsidRDefault="00A1762D" w:rsidP="00F3513C">
      <w:pPr>
        <w:spacing w:line="480" w:lineRule="auto"/>
      </w:pPr>
      <w:r>
        <w:t xml:space="preserve">Due concerns with accountability, and police misconduct, the College of Policing subsequently published the code of ethics which became practice by Parliament in 2014. (Hough et al, 2016). </w:t>
      </w:r>
      <w:r>
        <w:t xml:space="preserve">The code of ethics includes accountability, integrity and honesty that must be upheld by officers. </w:t>
      </w:r>
      <w:r w:rsidR="00E71646">
        <w:t>(College of Policing</w:t>
      </w:r>
      <w:r w:rsidR="00E71646">
        <w:t xml:space="preserve">, 2014). </w:t>
      </w:r>
      <w:r w:rsidR="0081466E">
        <w:t>Accountability in relation to policing</w:t>
      </w:r>
      <w:r w:rsidR="0081466E">
        <w:t xml:space="preserve"> </w:t>
      </w:r>
      <w:r>
        <w:t>involve the</w:t>
      </w:r>
      <w:r w:rsidR="0081466E">
        <w:t xml:space="preserve"> arrangements designed to ensure the obligations of the police are upheld. </w:t>
      </w:r>
      <w:r w:rsidR="0081466E">
        <w:t>(Jefferson and Grimshaw</w:t>
      </w:r>
      <w:r w:rsidR="0081466E">
        <w:t xml:space="preserve">, 2023). </w:t>
      </w:r>
      <w:r>
        <w:t xml:space="preserve">The policing and crime act also aim to promote integrity within policing via a reformed police complaints and discipline process that focus on lesson learning. </w:t>
      </w:r>
      <w:r>
        <w:t>(Torrible</w:t>
      </w:r>
      <w:r>
        <w:t xml:space="preserve">, 2020). </w:t>
      </w:r>
      <w:r w:rsidR="00781B46">
        <w:t xml:space="preserve">There are several governing bodies that uphold police accountability, including the appointment of Police and Crime commissioners. The role of the PCC is varied but holding their forces accountable and scrutinising their forces is one of their many roles. </w:t>
      </w:r>
      <w:r w:rsidR="00781B46">
        <w:t>(Richards</w:t>
      </w:r>
      <w:r w:rsidR="00781B46">
        <w:t>, 2022).</w:t>
      </w:r>
    </w:p>
    <w:p w14:paraId="568981A9" w14:textId="4CD836A5" w:rsidR="00781B46" w:rsidRDefault="00781B46" w:rsidP="00F3513C">
      <w:pPr>
        <w:spacing w:line="480" w:lineRule="auto"/>
      </w:pPr>
      <w:r>
        <w:t xml:space="preserve">All police in the UK are subject to an independent oversight body. This includes </w:t>
      </w:r>
      <w:r w:rsidR="005D7E0E">
        <w:t xml:space="preserve">internal police complaints departments that are governed by pieces of legislation. As well as the IOPC, which oversees police complaints for England and Wales. The IOPC sets standards by which police should handle complaints and use the learning from complaints to influence changes, specifically when dealing with the most serious matters. </w:t>
      </w:r>
      <w:r w:rsidR="005D7E0E">
        <w:t>(House of Lords</w:t>
      </w:r>
      <w:r w:rsidR="005D7E0E">
        <w:t xml:space="preserve">, 2019). </w:t>
      </w:r>
    </w:p>
    <w:p w14:paraId="41721460" w14:textId="6933BB7D" w:rsidR="002F2DA6" w:rsidRDefault="002F2DA6" w:rsidP="00F3513C">
      <w:pPr>
        <w:spacing w:line="480" w:lineRule="auto"/>
      </w:pPr>
      <w:r>
        <w:t xml:space="preserve">The role of the IOPC </w:t>
      </w:r>
      <w:r w:rsidR="00281D61">
        <w:t xml:space="preserve">can impact </w:t>
      </w:r>
      <w:r>
        <w:t xml:space="preserve">how the Police change and evolve. For </w:t>
      </w:r>
      <w:r w:rsidR="00281D61">
        <w:t>example,</w:t>
      </w:r>
      <w:r>
        <w:t xml:space="preserve"> in the wake of the death of George Floyd protests surrounding perceived police racial bias occurred around the world. Ultimately affecting public confidence in the police service, even in the UK. As a result, the IOPC called for greater accountability of policing across England and Wales. Specifically, within the stop </w:t>
      </w:r>
      <w:r>
        <w:lastRenderedPageBreak/>
        <w:t xml:space="preserve">and search power used by police. The IOPC </w:t>
      </w:r>
      <w:r w:rsidR="00281D61">
        <w:t>took on</w:t>
      </w:r>
      <w:r>
        <w:t xml:space="preserve"> issues raised by the </w:t>
      </w:r>
      <w:r w:rsidR="00281D61">
        <w:t xml:space="preserve">public and </w:t>
      </w:r>
      <w:r w:rsidR="00E71646">
        <w:t>acted</w:t>
      </w:r>
      <w:r w:rsidR="00281D61">
        <w:t xml:space="preserve"> by</w:t>
      </w:r>
      <w:r>
        <w:t xml:space="preserve"> </w:t>
      </w:r>
      <w:r w:rsidR="00281D61">
        <w:t xml:space="preserve">re-opening </w:t>
      </w:r>
      <w:r>
        <w:t xml:space="preserve">investigations and to build a body of evidence to help identify any systematic issues within the forces and how they should be addressed. </w:t>
      </w:r>
      <w:r>
        <w:t>(Staddon</w:t>
      </w:r>
      <w:r>
        <w:t>, 2021)</w:t>
      </w:r>
    </w:p>
    <w:p w14:paraId="03CB008A" w14:textId="267AC072" w:rsidR="004E7A93" w:rsidRDefault="00916FD4" w:rsidP="00F3513C">
      <w:pPr>
        <w:spacing w:line="480" w:lineRule="auto"/>
      </w:pPr>
      <w:r>
        <w:t xml:space="preserve">Knowing the IOPC act on incidents and complaints received from the public, it’s important to recognise what the public think of the </w:t>
      </w:r>
      <w:r w:rsidR="004E7A93">
        <w:t>complaint’s</w:t>
      </w:r>
      <w:r>
        <w:t xml:space="preserve"> procedure and </w:t>
      </w:r>
      <w:r w:rsidR="00916C4D">
        <w:t>whether</w:t>
      </w:r>
      <w:r w:rsidR="003957E2">
        <w:t xml:space="preserve"> it</w:t>
      </w:r>
      <w:r>
        <w:t xml:space="preserve"> hinders on public confidence. </w:t>
      </w:r>
      <w:r w:rsidR="003957E2">
        <w:t>According</w:t>
      </w:r>
      <w:r>
        <w:t xml:space="preserve"> to </w:t>
      </w:r>
      <w:r w:rsidR="003957E2">
        <w:t xml:space="preserve">Richard Brown, </w:t>
      </w:r>
      <w:r>
        <w:t xml:space="preserve">incidents of police misconduct have had a negative impact on public perceptions of the police. In 2022, Police forces in England and Wales received </w:t>
      </w:r>
      <w:r w:rsidR="003957E2">
        <w:t>115,235 allegations against officers made by the public. This led to an inspection into vetting which concluded that the vetting process</w:t>
      </w:r>
      <w:r w:rsidR="00F92967">
        <w:t xml:space="preserve"> standards</w:t>
      </w:r>
      <w:r w:rsidR="003957E2">
        <w:t xml:space="preserve"> </w:t>
      </w:r>
      <w:r w:rsidR="00F92967">
        <w:t>are</w:t>
      </w:r>
      <w:r w:rsidR="003957E2">
        <w:t xml:space="preserve"> not high enough, with the HMICFRS stating it was too easy for the wrong people to both join and stay in the police. </w:t>
      </w:r>
      <w:r w:rsidR="003957E2">
        <w:t>(Brown</w:t>
      </w:r>
      <w:r w:rsidR="003957E2">
        <w:t>, 2023)</w:t>
      </w:r>
    </w:p>
    <w:p w14:paraId="7AF3363B" w14:textId="2F521652" w:rsidR="00916C4D" w:rsidRDefault="00916C4D" w:rsidP="00F3513C">
      <w:pPr>
        <w:spacing w:line="480" w:lineRule="auto"/>
      </w:pPr>
      <w:r>
        <w:t xml:space="preserve">On evaluating the results of the inspection by HMICFRS it appears the </w:t>
      </w:r>
      <w:r w:rsidR="00F92967">
        <w:t>consensus</w:t>
      </w:r>
      <w:r>
        <w:t xml:space="preserve"> is that the vetting process has affected the standard of officers being retained within the force</w:t>
      </w:r>
      <w:r w:rsidR="00F92967">
        <w:t xml:space="preserve"> as stated previously. To</w:t>
      </w:r>
      <w:r>
        <w:t xml:space="preserve"> repair public perception on the police complaints and vetting process, </w:t>
      </w:r>
      <w:r w:rsidR="0072466A">
        <w:t>Goldsmith and Lewis</w:t>
      </w:r>
      <w:r>
        <w:t xml:space="preserve"> stated that the process should be open an</w:t>
      </w:r>
      <w:r w:rsidR="00F92967">
        <w:t>d accountable</w:t>
      </w:r>
      <w:r>
        <w:t xml:space="preserve"> to the </w:t>
      </w:r>
      <w:r w:rsidR="0072466A">
        <w:t>public. T</w:t>
      </w:r>
      <w:r w:rsidR="00F92967">
        <w:t xml:space="preserve">his will then gain credibility and legitimacy which will impact and increase public confidence. </w:t>
      </w:r>
      <w:r w:rsidR="00F92967">
        <w:t>(Goldsmith and Lewis</w:t>
      </w:r>
      <w:r w:rsidR="00F92967">
        <w:t>, 2000).</w:t>
      </w:r>
    </w:p>
    <w:p w14:paraId="58ABA05C" w14:textId="67E33DB1" w:rsidR="0072466A" w:rsidRDefault="0049583D" w:rsidP="00F3513C">
      <w:pPr>
        <w:spacing w:line="480" w:lineRule="auto"/>
      </w:pPr>
      <w:r>
        <w:t xml:space="preserve">In previous cases, members of the public have voiced their concerns in relation to making a complaint against police. With the support from external organisation, and the evolution of the complaints system. Complainants now have an option of what agency to file their complaint. Whether that be direct to their force or via independent bodies. Studies have shown that complainants have expressed concerns with filing complaints directly to their forces, due to fears of being harassed by police and feeling intimidated. </w:t>
      </w:r>
      <w:r>
        <w:t>(Prenzler and Heyer</w:t>
      </w:r>
      <w:r>
        <w:t xml:space="preserve">, 2015). Emphasising the importance of external governing bodies, and their impact on public confidence. </w:t>
      </w:r>
    </w:p>
    <w:p w14:paraId="069C5DFC" w14:textId="63E69D2F" w:rsidR="0049583D" w:rsidRDefault="0049583D" w:rsidP="00F3513C">
      <w:pPr>
        <w:spacing w:line="480" w:lineRule="auto"/>
      </w:pPr>
      <w:r>
        <w:t xml:space="preserve">In conclusion, the importance of having independent governing bodies to investigate misconduct, vetting failures and improve public confidence has proven to enhance the services and legitimacy of police forces in England and Wales. With members of the public feeling fearful of making complaints </w:t>
      </w:r>
      <w:r>
        <w:lastRenderedPageBreak/>
        <w:t>against police, and women feeling vetting failures have resulted in predatory behaviour within the police services. Independent bodies such as the IOPC, and the appointment of PCC’s have proven to change, evolve and hold police forces and chief officers accountable for their forces and officer</w:t>
      </w:r>
      <w:r w:rsidR="00F3513C">
        <w:t>’</w:t>
      </w:r>
      <w:r>
        <w:t>s</w:t>
      </w:r>
      <w:r w:rsidR="00F3513C">
        <w:t xml:space="preserve"> </w:t>
      </w:r>
      <w:r>
        <w:t xml:space="preserve">behaviour. Ultimately giving the public open and honest information in relation to investigations being conducted, as proven </w:t>
      </w:r>
      <w:r w:rsidR="00F3513C">
        <w:t xml:space="preserve">by studies a credible and accountable force has and can continue to improve public confidence in Police. </w:t>
      </w:r>
      <w:r>
        <w:t xml:space="preserve"> </w:t>
      </w:r>
    </w:p>
    <w:p w14:paraId="7EEDF2AD" w14:textId="77777777" w:rsidR="0049583D" w:rsidRDefault="0049583D" w:rsidP="004639CD"/>
    <w:p w14:paraId="2017B3E8" w14:textId="26BC4C3F" w:rsidR="0049583D" w:rsidRPr="00F3513C" w:rsidRDefault="00F3513C" w:rsidP="004639CD">
      <w:r w:rsidRPr="00F3513C">
        <w:t>Word Count: 1,036</w:t>
      </w:r>
    </w:p>
    <w:p w14:paraId="10C97AD4" w14:textId="77777777" w:rsidR="0049583D" w:rsidRDefault="0049583D"/>
    <w:p w14:paraId="3ABA5A37" w14:textId="77777777" w:rsidR="00F3513C" w:rsidRDefault="00F3513C"/>
    <w:p w14:paraId="6BA5FC14" w14:textId="77777777" w:rsidR="00F3513C" w:rsidRDefault="00F3513C"/>
    <w:p w14:paraId="6027FA61" w14:textId="77777777" w:rsidR="00F3513C" w:rsidRDefault="00F3513C"/>
    <w:p w14:paraId="100896A7" w14:textId="77777777" w:rsidR="00F3513C" w:rsidRDefault="00F3513C"/>
    <w:p w14:paraId="6ABBDFA5" w14:textId="77777777" w:rsidR="00F3513C" w:rsidRDefault="00F3513C"/>
    <w:p w14:paraId="6EAE3DFB" w14:textId="77777777" w:rsidR="00F3513C" w:rsidRDefault="00F3513C"/>
    <w:p w14:paraId="09287DCE" w14:textId="77777777" w:rsidR="00F3513C" w:rsidRDefault="00F3513C"/>
    <w:p w14:paraId="4C60BE91" w14:textId="77777777" w:rsidR="00F3513C" w:rsidRDefault="00F3513C"/>
    <w:p w14:paraId="3F7904E6" w14:textId="77777777" w:rsidR="00F3513C" w:rsidRDefault="00F3513C"/>
    <w:p w14:paraId="2D9AAAB9" w14:textId="77777777" w:rsidR="00F3513C" w:rsidRDefault="00F3513C"/>
    <w:p w14:paraId="51C08858" w14:textId="77777777" w:rsidR="00F3513C" w:rsidRDefault="00F3513C"/>
    <w:p w14:paraId="1BF1B63D" w14:textId="77777777" w:rsidR="00F3513C" w:rsidRDefault="00F3513C"/>
    <w:p w14:paraId="5F88AFD9" w14:textId="77777777" w:rsidR="00F3513C" w:rsidRDefault="00F3513C"/>
    <w:p w14:paraId="36F138ED" w14:textId="77777777" w:rsidR="00F3513C" w:rsidRDefault="00F3513C"/>
    <w:p w14:paraId="2CBD794F" w14:textId="77777777" w:rsidR="00F3513C" w:rsidRDefault="00F3513C"/>
    <w:p w14:paraId="62F1633D" w14:textId="77777777" w:rsidR="00F3513C" w:rsidRDefault="00F3513C"/>
    <w:p w14:paraId="7D6F1837" w14:textId="77777777" w:rsidR="00F3513C" w:rsidRDefault="00F3513C"/>
    <w:p w14:paraId="7EAFA052" w14:textId="77777777" w:rsidR="00F3513C" w:rsidRDefault="00F3513C"/>
    <w:p w14:paraId="3717519B" w14:textId="77777777" w:rsidR="00F3513C" w:rsidRDefault="00F3513C"/>
    <w:p w14:paraId="3AC56F05" w14:textId="77777777" w:rsidR="00F3513C" w:rsidRDefault="00F3513C"/>
    <w:p w14:paraId="6A66B58D" w14:textId="6DD1C97C" w:rsidR="00F3513C" w:rsidRDefault="00F3513C">
      <w:pPr>
        <w:rPr>
          <w:b/>
          <w:bCs/>
        </w:rPr>
      </w:pPr>
      <w:r w:rsidRPr="00F3513C">
        <w:rPr>
          <w:b/>
          <w:bCs/>
        </w:rPr>
        <w:lastRenderedPageBreak/>
        <w:t xml:space="preserve">References: </w:t>
      </w:r>
    </w:p>
    <w:p w14:paraId="2ED7C82C"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Brown, Richard. “Trust in the Police.” </w:t>
      </w:r>
      <w:r w:rsidRPr="00F3513C">
        <w:rPr>
          <w:rFonts w:asciiTheme="minorHAnsi" w:hAnsiTheme="minorHAnsi" w:cstheme="minorHAnsi"/>
          <w:i/>
          <w:iCs/>
          <w:sz w:val="22"/>
          <w:szCs w:val="22"/>
        </w:rPr>
        <w:t>UK Parliament Post</w:t>
      </w:r>
      <w:r w:rsidRPr="00F3513C">
        <w:rPr>
          <w:rFonts w:asciiTheme="minorHAnsi" w:hAnsiTheme="minorHAnsi" w:cstheme="minorHAnsi"/>
          <w:sz w:val="22"/>
          <w:szCs w:val="22"/>
        </w:rPr>
        <w:t>, Post note 693, 25 Apr. 2023, www.researchgate.net/profile/Richard-Brown-69/publication/370266238_Trust_in_the_police_-_POSTnote_693/links/6448ee70a57a53554f45d727/Trust-in-the-police-POSTnote-693.pdf. Accessed 24 Jan. 2024.</w:t>
      </w:r>
    </w:p>
    <w:p w14:paraId="27271614"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College of Policing. “Code of Ethics.” College of Policing, July 2014.</w:t>
      </w:r>
    </w:p>
    <w:p w14:paraId="2186CBCB"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CPS. “Wayne Couzens Sentenced for Sexual Offences | the Crown Prosecution Service.” </w:t>
      </w:r>
      <w:r w:rsidRPr="00F3513C">
        <w:rPr>
          <w:rFonts w:asciiTheme="minorHAnsi" w:hAnsiTheme="minorHAnsi" w:cstheme="minorHAnsi"/>
          <w:i/>
          <w:iCs/>
          <w:sz w:val="22"/>
          <w:szCs w:val="22"/>
        </w:rPr>
        <w:t>Www.cps.gov.uk</w:t>
      </w:r>
      <w:r w:rsidRPr="00F3513C">
        <w:rPr>
          <w:rFonts w:asciiTheme="minorHAnsi" w:hAnsiTheme="minorHAnsi" w:cstheme="minorHAnsi"/>
          <w:sz w:val="22"/>
          <w:szCs w:val="22"/>
        </w:rPr>
        <w:t>, 6 Mar. 2023, www.cps.gov.uk/cps/news/wayne-couzens-sentenced-sexual-offences#:~:text=Wayne%20Couzens%20has%20been%20sentenced.</w:t>
      </w:r>
    </w:p>
    <w:p w14:paraId="4B44EC02"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Dodd, Vikram, and Aina J Khan. “Police Vetting Failures Have Allowed “Predatory” Officers to Join Up, Watchdog Finds.” </w:t>
      </w:r>
      <w:r w:rsidRPr="00F3513C">
        <w:rPr>
          <w:rFonts w:asciiTheme="minorHAnsi" w:hAnsiTheme="minorHAnsi" w:cstheme="minorHAnsi"/>
          <w:i/>
          <w:iCs/>
          <w:sz w:val="22"/>
          <w:szCs w:val="22"/>
        </w:rPr>
        <w:t>The Guardian</w:t>
      </w:r>
      <w:r w:rsidRPr="00F3513C">
        <w:rPr>
          <w:rFonts w:asciiTheme="minorHAnsi" w:hAnsiTheme="minorHAnsi" w:cstheme="minorHAnsi"/>
          <w:sz w:val="22"/>
          <w:szCs w:val="22"/>
        </w:rPr>
        <w:t>, 2 Nov. 2022, www.theguardian.com/uk-news/2022/nov/02/prevalent-predatory-misogynistic-culture-in-police-official-report-finds.</w:t>
      </w:r>
    </w:p>
    <w:p w14:paraId="2E1EEA96"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Goldsmith, Andrew, and Colleen Lewis. </w:t>
      </w:r>
      <w:r w:rsidRPr="00F3513C">
        <w:rPr>
          <w:rFonts w:asciiTheme="minorHAnsi" w:hAnsiTheme="minorHAnsi" w:cstheme="minorHAnsi"/>
          <w:i/>
          <w:iCs/>
          <w:sz w:val="22"/>
          <w:szCs w:val="22"/>
        </w:rPr>
        <w:t>Civilian Oversight of Policing: Governance, Democracy and Human Rights</w:t>
      </w:r>
      <w:r w:rsidRPr="00F3513C">
        <w:rPr>
          <w:rFonts w:asciiTheme="minorHAnsi" w:hAnsiTheme="minorHAnsi" w:cstheme="minorHAnsi"/>
          <w:sz w:val="22"/>
          <w:szCs w:val="22"/>
        </w:rPr>
        <w:t xml:space="preserve">. </w:t>
      </w:r>
      <w:r w:rsidRPr="00F3513C">
        <w:rPr>
          <w:rFonts w:asciiTheme="minorHAnsi" w:hAnsiTheme="minorHAnsi" w:cstheme="minorHAnsi"/>
          <w:i/>
          <w:iCs/>
          <w:sz w:val="22"/>
          <w:szCs w:val="22"/>
        </w:rPr>
        <w:t>Google Books</w:t>
      </w:r>
      <w:r w:rsidRPr="00F3513C">
        <w:rPr>
          <w:rFonts w:asciiTheme="minorHAnsi" w:hAnsiTheme="minorHAnsi" w:cstheme="minorHAnsi"/>
          <w:sz w:val="22"/>
          <w:szCs w:val="22"/>
        </w:rPr>
        <w:t>, Hart Publishing, 22 Oct. 2000, books.google.co.uk/books?hl=en&amp;lr=&amp;id=5R1gysg8XzsC&amp;oi=fnd&amp;pg=PA147&amp;dq=public+confidence+in+police+complaints+procedure&amp;ots=ABJnl324ym&amp;sig=cpdkzL2vZ0g3SDVR4o-knSaske0#v=onepage&amp;q=public%20confidence%20in%20police%20complaints%20procedure&amp;f=false. Accessed 24 Jan. 2024.</w:t>
      </w:r>
    </w:p>
    <w:p w14:paraId="731A3882"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Hough, Mike, et al. “Misconduct by Police Leaders in England and Wales: An Exploratory Study.” </w:t>
      </w:r>
      <w:r w:rsidRPr="00F3513C">
        <w:rPr>
          <w:rFonts w:asciiTheme="minorHAnsi" w:hAnsiTheme="minorHAnsi" w:cstheme="minorHAnsi"/>
          <w:i/>
          <w:iCs/>
          <w:sz w:val="22"/>
          <w:szCs w:val="22"/>
        </w:rPr>
        <w:t>Policing and Society</w:t>
      </w:r>
      <w:r w:rsidRPr="00F3513C">
        <w:rPr>
          <w:rFonts w:asciiTheme="minorHAnsi" w:hAnsiTheme="minorHAnsi" w:cstheme="minorHAnsi"/>
          <w:sz w:val="22"/>
          <w:szCs w:val="22"/>
        </w:rPr>
        <w:t>, vol. 28, no. 5, 10 Aug. 2016, pp. 541–552, https://doi.org/10.1080/10439463.2016.1216989. Accessed 9 Aug. 2019.</w:t>
      </w:r>
    </w:p>
    <w:p w14:paraId="4FF6C006"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House of Lords. </w:t>
      </w:r>
      <w:r w:rsidRPr="00F3513C">
        <w:rPr>
          <w:rFonts w:asciiTheme="minorHAnsi" w:hAnsiTheme="minorHAnsi" w:cstheme="minorHAnsi"/>
          <w:i/>
          <w:iCs/>
          <w:sz w:val="22"/>
          <w:szCs w:val="22"/>
        </w:rPr>
        <w:t>Policing in the UK: Governance, Oversight and Complaints</w:t>
      </w:r>
      <w:r w:rsidRPr="00F3513C">
        <w:rPr>
          <w:rFonts w:asciiTheme="minorHAnsi" w:hAnsiTheme="minorHAnsi" w:cstheme="minorHAnsi"/>
          <w:sz w:val="22"/>
          <w:szCs w:val="22"/>
        </w:rPr>
        <w:t>. Nov. 2019.</w:t>
      </w:r>
    </w:p>
    <w:p w14:paraId="48317621"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Jefferson, Tony, and Roger Grimshaw. </w:t>
      </w:r>
      <w:r w:rsidRPr="00F3513C">
        <w:rPr>
          <w:rFonts w:asciiTheme="minorHAnsi" w:hAnsiTheme="minorHAnsi" w:cstheme="minorHAnsi"/>
          <w:i/>
          <w:iCs/>
          <w:sz w:val="22"/>
          <w:szCs w:val="22"/>
        </w:rPr>
        <w:t>Controlling the Constable: Police Accountability in England and Wales</w:t>
      </w:r>
      <w:r w:rsidRPr="00F3513C">
        <w:rPr>
          <w:rFonts w:asciiTheme="minorHAnsi" w:hAnsiTheme="minorHAnsi" w:cstheme="minorHAnsi"/>
          <w:sz w:val="22"/>
          <w:szCs w:val="22"/>
        </w:rPr>
        <w:t xml:space="preserve">. </w:t>
      </w:r>
      <w:r w:rsidRPr="00F3513C">
        <w:rPr>
          <w:rFonts w:asciiTheme="minorHAnsi" w:hAnsiTheme="minorHAnsi" w:cstheme="minorHAnsi"/>
          <w:i/>
          <w:iCs/>
          <w:sz w:val="22"/>
          <w:szCs w:val="22"/>
        </w:rPr>
        <w:t>Google Books</w:t>
      </w:r>
      <w:r w:rsidRPr="00F3513C">
        <w:rPr>
          <w:rFonts w:asciiTheme="minorHAnsi" w:hAnsiTheme="minorHAnsi" w:cstheme="minorHAnsi"/>
          <w:sz w:val="22"/>
          <w:szCs w:val="22"/>
        </w:rPr>
        <w:t>, Taylor &amp; Francis, 31 Mar. 2023, books.google.co.uk/books?hl=en&amp;lr=&amp;id=G0e1EAAAQBAJ&amp;oi=fnd&amp;pg=PT11&amp;dq=why+is+it+</w:t>
      </w:r>
      <w:r w:rsidRPr="00F3513C">
        <w:rPr>
          <w:rFonts w:asciiTheme="minorHAnsi" w:hAnsiTheme="minorHAnsi" w:cstheme="minorHAnsi"/>
          <w:sz w:val="22"/>
          <w:szCs w:val="22"/>
        </w:rPr>
        <w:lastRenderedPageBreak/>
        <w:t>important+that+independent+bodies+exist+to+hold+police+officers+accountable&amp;ots=Movh5SE0Hk&amp;sig=xGbnYu2TQqxT8a8FBqOWCfGF3VE&amp;redir_esc=y#v=onepage&amp;q&amp;f=false. Accessed 23 Jan. 2024.</w:t>
      </w:r>
    </w:p>
    <w:p w14:paraId="2C8DA290"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Prenzler, Tim, and Garth den Heyer. </w:t>
      </w:r>
      <w:r w:rsidRPr="00F3513C">
        <w:rPr>
          <w:rFonts w:asciiTheme="minorHAnsi" w:hAnsiTheme="minorHAnsi" w:cstheme="minorHAnsi"/>
          <w:i/>
          <w:iCs/>
          <w:sz w:val="22"/>
          <w:szCs w:val="22"/>
        </w:rPr>
        <w:t>Civilian Oversight of Police: Advancing Accountability in Law Enforcement</w:t>
      </w:r>
      <w:r w:rsidRPr="00F3513C">
        <w:rPr>
          <w:rFonts w:asciiTheme="minorHAnsi" w:hAnsiTheme="minorHAnsi" w:cstheme="minorHAnsi"/>
          <w:sz w:val="22"/>
          <w:szCs w:val="22"/>
        </w:rPr>
        <w:t xml:space="preserve">. </w:t>
      </w:r>
      <w:r w:rsidRPr="00F3513C">
        <w:rPr>
          <w:rFonts w:asciiTheme="minorHAnsi" w:hAnsiTheme="minorHAnsi" w:cstheme="minorHAnsi"/>
          <w:i/>
          <w:iCs/>
          <w:sz w:val="22"/>
          <w:szCs w:val="22"/>
        </w:rPr>
        <w:t>Google Books</w:t>
      </w:r>
      <w:r w:rsidRPr="00F3513C">
        <w:rPr>
          <w:rFonts w:asciiTheme="minorHAnsi" w:hAnsiTheme="minorHAnsi" w:cstheme="minorHAnsi"/>
          <w:sz w:val="22"/>
          <w:szCs w:val="22"/>
        </w:rPr>
        <w:t>, CRC Press, 3 Nov. 2015, books.google.co.uk/books?hl=en&amp;lr=&amp;id=gSjSCgAAQBAJ&amp;oi=fnd&amp;pg=PA73&amp;dq=public+opinion+on+police+complaints+UK&amp;ots=jU29AmhDwV&amp;sig=DSpH8N-oYENEBgBLN768ZkecvCA#v=onepage&amp;q=public%20opinion%20on%20police%20complaints%20UK&amp;f=false. Accessed 24 Jan. 2024.</w:t>
      </w:r>
    </w:p>
    <w:p w14:paraId="50A2283B"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Richards, Gil. “Police Accountability.” </w:t>
      </w:r>
      <w:r w:rsidRPr="00F3513C">
        <w:rPr>
          <w:rFonts w:asciiTheme="minorHAnsi" w:hAnsiTheme="minorHAnsi" w:cstheme="minorHAnsi"/>
          <w:i/>
          <w:iCs/>
          <w:sz w:val="22"/>
          <w:szCs w:val="22"/>
        </w:rPr>
        <w:t>Institute for Government</w:t>
      </w:r>
      <w:r w:rsidRPr="00F3513C">
        <w:rPr>
          <w:rFonts w:asciiTheme="minorHAnsi" w:hAnsiTheme="minorHAnsi" w:cstheme="minorHAnsi"/>
          <w:sz w:val="22"/>
          <w:szCs w:val="22"/>
        </w:rPr>
        <w:t>, 5 Dec. 2022, www.instituteforgovernment.org.uk/article/explainer/police-accountability.</w:t>
      </w:r>
    </w:p>
    <w:p w14:paraId="77EE48EE"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Staddon, Luke. “Policing the Police: An Analysis of Practitioner Views of the IOPC’s Learning the Lessons Magazine - ProQuest.” </w:t>
      </w:r>
      <w:r w:rsidRPr="00F3513C">
        <w:rPr>
          <w:rFonts w:asciiTheme="minorHAnsi" w:hAnsiTheme="minorHAnsi" w:cstheme="minorHAnsi"/>
          <w:i/>
          <w:iCs/>
          <w:sz w:val="22"/>
          <w:szCs w:val="22"/>
        </w:rPr>
        <w:t>Www.proquest.com</w:t>
      </w:r>
      <w:r w:rsidRPr="00F3513C">
        <w:rPr>
          <w:rFonts w:asciiTheme="minorHAnsi" w:hAnsiTheme="minorHAnsi" w:cstheme="minorHAnsi"/>
          <w:sz w:val="22"/>
          <w:szCs w:val="22"/>
        </w:rPr>
        <w:t>, 2021, www.proquest.com/docview/2606863452?pq-origsite=gscholar&amp;fromopenview=true&amp;sourcetype=Dissertations%20&amp;%20Theses.</w:t>
      </w:r>
    </w:p>
    <w:p w14:paraId="0B70C913"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Symonds, Tom, and James Gregory. “Criminals and Sexual Predators Allowed into Police, Says Report.” </w:t>
      </w:r>
      <w:r w:rsidRPr="00F3513C">
        <w:rPr>
          <w:rFonts w:asciiTheme="minorHAnsi" w:hAnsiTheme="minorHAnsi" w:cstheme="minorHAnsi"/>
          <w:i/>
          <w:iCs/>
          <w:sz w:val="22"/>
          <w:szCs w:val="22"/>
        </w:rPr>
        <w:t>BBC News</w:t>
      </w:r>
      <w:r w:rsidRPr="00F3513C">
        <w:rPr>
          <w:rFonts w:asciiTheme="minorHAnsi" w:hAnsiTheme="minorHAnsi" w:cstheme="minorHAnsi"/>
          <w:sz w:val="22"/>
          <w:szCs w:val="22"/>
        </w:rPr>
        <w:t>, 2 Nov. 2022, www.bbc.co.uk/news/uk-63478011.</w:t>
      </w:r>
    </w:p>
    <w:p w14:paraId="00DEA610" w14:textId="77777777" w:rsidR="00F3513C" w:rsidRPr="00F3513C" w:rsidRDefault="00F3513C" w:rsidP="00F3513C">
      <w:pPr>
        <w:pStyle w:val="NormalWeb"/>
        <w:spacing w:before="0" w:beforeAutospacing="0" w:after="0" w:afterAutospacing="0" w:line="480" w:lineRule="auto"/>
        <w:ind w:left="720" w:hanging="720"/>
        <w:rPr>
          <w:rFonts w:asciiTheme="minorHAnsi" w:hAnsiTheme="minorHAnsi" w:cstheme="minorHAnsi"/>
          <w:sz w:val="22"/>
          <w:szCs w:val="22"/>
        </w:rPr>
      </w:pPr>
      <w:r w:rsidRPr="00F3513C">
        <w:rPr>
          <w:rFonts w:asciiTheme="minorHAnsi" w:hAnsiTheme="minorHAnsi" w:cstheme="minorHAnsi"/>
          <w:sz w:val="22"/>
          <w:szCs w:val="22"/>
        </w:rPr>
        <w:t xml:space="preserve">Torrible, Clare. “Police Complaints and Discipline: Integrity, Lesson Learning, Independence and Accountability: Some Implications of the Reforms under the Policing and Crime Act 2017.” </w:t>
      </w:r>
      <w:r w:rsidRPr="00F3513C">
        <w:rPr>
          <w:rFonts w:asciiTheme="minorHAnsi" w:hAnsiTheme="minorHAnsi" w:cstheme="minorHAnsi"/>
          <w:i/>
          <w:iCs/>
          <w:sz w:val="22"/>
          <w:szCs w:val="22"/>
        </w:rPr>
        <w:t>Policing and Society</w:t>
      </w:r>
      <w:r w:rsidRPr="00F3513C">
        <w:rPr>
          <w:rFonts w:asciiTheme="minorHAnsi" w:hAnsiTheme="minorHAnsi" w:cstheme="minorHAnsi"/>
          <w:sz w:val="22"/>
          <w:szCs w:val="22"/>
        </w:rPr>
        <w:t>, vol. 31, no. 9, 30 Oct. 2020, pp. 1–16, https://doi.org/10.1080/10439463.2020.1838516.</w:t>
      </w:r>
    </w:p>
    <w:p w14:paraId="06909218" w14:textId="77777777" w:rsidR="00F3513C" w:rsidRPr="00F3513C" w:rsidRDefault="00F3513C">
      <w:pPr>
        <w:rPr>
          <w:b/>
          <w:bCs/>
        </w:rPr>
      </w:pPr>
    </w:p>
    <w:p w14:paraId="33B479F8" w14:textId="77777777" w:rsidR="00F3513C" w:rsidRPr="002E64B8" w:rsidRDefault="00F3513C"/>
    <w:sectPr w:rsidR="00F3513C" w:rsidRPr="002E64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163F3"/>
    <w:rsid w:val="0000050F"/>
    <w:rsid w:val="000006A7"/>
    <w:rsid w:val="00023FDE"/>
    <w:rsid w:val="00040F3E"/>
    <w:rsid w:val="00046949"/>
    <w:rsid w:val="0004747C"/>
    <w:rsid w:val="00047CF1"/>
    <w:rsid w:val="00050384"/>
    <w:rsid w:val="00056FCC"/>
    <w:rsid w:val="00075CA7"/>
    <w:rsid w:val="00087F40"/>
    <w:rsid w:val="000912BB"/>
    <w:rsid w:val="00095833"/>
    <w:rsid w:val="000A0E66"/>
    <w:rsid w:val="000A39DB"/>
    <w:rsid w:val="000A7A7D"/>
    <w:rsid w:val="000B2AF9"/>
    <w:rsid w:val="000B5B92"/>
    <w:rsid w:val="000C35D1"/>
    <w:rsid w:val="000E53B7"/>
    <w:rsid w:val="000F00E6"/>
    <w:rsid w:val="000F39D7"/>
    <w:rsid w:val="000F6231"/>
    <w:rsid w:val="000F66B5"/>
    <w:rsid w:val="0012484C"/>
    <w:rsid w:val="00126047"/>
    <w:rsid w:val="00150FA6"/>
    <w:rsid w:val="00183C85"/>
    <w:rsid w:val="001B34DE"/>
    <w:rsid w:val="001C5ADE"/>
    <w:rsid w:val="001E4083"/>
    <w:rsid w:val="00222D52"/>
    <w:rsid w:val="00223F09"/>
    <w:rsid w:val="00224C78"/>
    <w:rsid w:val="00236B14"/>
    <w:rsid w:val="00242915"/>
    <w:rsid w:val="00281D61"/>
    <w:rsid w:val="002A4068"/>
    <w:rsid w:val="002B3CF0"/>
    <w:rsid w:val="002C04A3"/>
    <w:rsid w:val="002D0B46"/>
    <w:rsid w:val="002E49E7"/>
    <w:rsid w:val="002E64B8"/>
    <w:rsid w:val="002E7495"/>
    <w:rsid w:val="002F187C"/>
    <w:rsid w:val="002F2DA6"/>
    <w:rsid w:val="002F64BF"/>
    <w:rsid w:val="0030484B"/>
    <w:rsid w:val="0030600B"/>
    <w:rsid w:val="00307200"/>
    <w:rsid w:val="003126CC"/>
    <w:rsid w:val="00312789"/>
    <w:rsid w:val="00312EB6"/>
    <w:rsid w:val="00324057"/>
    <w:rsid w:val="00330D50"/>
    <w:rsid w:val="0034053B"/>
    <w:rsid w:val="00361628"/>
    <w:rsid w:val="00376943"/>
    <w:rsid w:val="00384B24"/>
    <w:rsid w:val="00385D4F"/>
    <w:rsid w:val="003957E2"/>
    <w:rsid w:val="003A278D"/>
    <w:rsid w:val="003A4BF2"/>
    <w:rsid w:val="003A6578"/>
    <w:rsid w:val="003B0FB2"/>
    <w:rsid w:val="003D317B"/>
    <w:rsid w:val="003E23C5"/>
    <w:rsid w:val="003E5FAB"/>
    <w:rsid w:val="00416500"/>
    <w:rsid w:val="00434431"/>
    <w:rsid w:val="00451F0A"/>
    <w:rsid w:val="004639CD"/>
    <w:rsid w:val="00475E84"/>
    <w:rsid w:val="00491232"/>
    <w:rsid w:val="00493B6A"/>
    <w:rsid w:val="00494249"/>
    <w:rsid w:val="0049583D"/>
    <w:rsid w:val="004A0A0E"/>
    <w:rsid w:val="004A32AD"/>
    <w:rsid w:val="004B4D80"/>
    <w:rsid w:val="004C4382"/>
    <w:rsid w:val="004D4D12"/>
    <w:rsid w:val="004E7A93"/>
    <w:rsid w:val="00521814"/>
    <w:rsid w:val="0053081D"/>
    <w:rsid w:val="00536F87"/>
    <w:rsid w:val="00571F6E"/>
    <w:rsid w:val="00573DDD"/>
    <w:rsid w:val="00580CB1"/>
    <w:rsid w:val="005A2191"/>
    <w:rsid w:val="005D70DA"/>
    <w:rsid w:val="005D7E0E"/>
    <w:rsid w:val="005E2066"/>
    <w:rsid w:val="005E5B76"/>
    <w:rsid w:val="005E6E26"/>
    <w:rsid w:val="005F3F1C"/>
    <w:rsid w:val="00601DAC"/>
    <w:rsid w:val="00623106"/>
    <w:rsid w:val="00642ED1"/>
    <w:rsid w:val="00643510"/>
    <w:rsid w:val="00643F9A"/>
    <w:rsid w:val="0064495C"/>
    <w:rsid w:val="006477A9"/>
    <w:rsid w:val="0065123D"/>
    <w:rsid w:val="006609DE"/>
    <w:rsid w:val="00662557"/>
    <w:rsid w:val="0067051C"/>
    <w:rsid w:val="006726F5"/>
    <w:rsid w:val="00675F92"/>
    <w:rsid w:val="00681533"/>
    <w:rsid w:val="00681F51"/>
    <w:rsid w:val="00685C3E"/>
    <w:rsid w:val="006A1961"/>
    <w:rsid w:val="006A4FEB"/>
    <w:rsid w:val="006B62AF"/>
    <w:rsid w:val="006B6CA7"/>
    <w:rsid w:val="006B73B7"/>
    <w:rsid w:val="006C5883"/>
    <w:rsid w:val="006E75DE"/>
    <w:rsid w:val="006F648A"/>
    <w:rsid w:val="006F71D3"/>
    <w:rsid w:val="00707803"/>
    <w:rsid w:val="007137E3"/>
    <w:rsid w:val="00716864"/>
    <w:rsid w:val="0072466A"/>
    <w:rsid w:val="0072586B"/>
    <w:rsid w:val="00743D9B"/>
    <w:rsid w:val="007444A8"/>
    <w:rsid w:val="00744FE3"/>
    <w:rsid w:val="00752D00"/>
    <w:rsid w:val="007533A8"/>
    <w:rsid w:val="007559E1"/>
    <w:rsid w:val="00756D53"/>
    <w:rsid w:val="00760DE4"/>
    <w:rsid w:val="007640A7"/>
    <w:rsid w:val="007744D0"/>
    <w:rsid w:val="00781B46"/>
    <w:rsid w:val="007852D8"/>
    <w:rsid w:val="007911F0"/>
    <w:rsid w:val="00793836"/>
    <w:rsid w:val="007A1939"/>
    <w:rsid w:val="007A5D97"/>
    <w:rsid w:val="007C2249"/>
    <w:rsid w:val="007C278E"/>
    <w:rsid w:val="007D3734"/>
    <w:rsid w:val="007E06AC"/>
    <w:rsid w:val="007E1026"/>
    <w:rsid w:val="007E7D2F"/>
    <w:rsid w:val="007F1CAC"/>
    <w:rsid w:val="008037AA"/>
    <w:rsid w:val="0081466E"/>
    <w:rsid w:val="008237C5"/>
    <w:rsid w:val="00847FE5"/>
    <w:rsid w:val="00865EDF"/>
    <w:rsid w:val="008662E3"/>
    <w:rsid w:val="008812AF"/>
    <w:rsid w:val="0089107C"/>
    <w:rsid w:val="00892DB2"/>
    <w:rsid w:val="008953BD"/>
    <w:rsid w:val="00896C1D"/>
    <w:rsid w:val="008A0B6F"/>
    <w:rsid w:val="008A310E"/>
    <w:rsid w:val="008B3DB8"/>
    <w:rsid w:val="008C34F6"/>
    <w:rsid w:val="008D1814"/>
    <w:rsid w:val="008D1DD9"/>
    <w:rsid w:val="008F136D"/>
    <w:rsid w:val="008F389F"/>
    <w:rsid w:val="00914091"/>
    <w:rsid w:val="00916C4D"/>
    <w:rsid w:val="00916FD4"/>
    <w:rsid w:val="0092212D"/>
    <w:rsid w:val="0092352A"/>
    <w:rsid w:val="00935472"/>
    <w:rsid w:val="00936BC6"/>
    <w:rsid w:val="00952557"/>
    <w:rsid w:val="0095332B"/>
    <w:rsid w:val="00961809"/>
    <w:rsid w:val="00971985"/>
    <w:rsid w:val="00991FDA"/>
    <w:rsid w:val="009920CC"/>
    <w:rsid w:val="009A2CBF"/>
    <w:rsid w:val="009B25B6"/>
    <w:rsid w:val="009B5D01"/>
    <w:rsid w:val="009B7F5D"/>
    <w:rsid w:val="009C0577"/>
    <w:rsid w:val="009C425B"/>
    <w:rsid w:val="009D5ED8"/>
    <w:rsid w:val="009E6E2F"/>
    <w:rsid w:val="009E7674"/>
    <w:rsid w:val="00A035CB"/>
    <w:rsid w:val="00A0610E"/>
    <w:rsid w:val="00A10917"/>
    <w:rsid w:val="00A11B98"/>
    <w:rsid w:val="00A137B6"/>
    <w:rsid w:val="00A15844"/>
    <w:rsid w:val="00A1762D"/>
    <w:rsid w:val="00A21E30"/>
    <w:rsid w:val="00A23487"/>
    <w:rsid w:val="00A272AB"/>
    <w:rsid w:val="00A70D95"/>
    <w:rsid w:val="00A9269E"/>
    <w:rsid w:val="00AA2538"/>
    <w:rsid w:val="00AA5CA3"/>
    <w:rsid w:val="00AA6EAA"/>
    <w:rsid w:val="00AA7348"/>
    <w:rsid w:val="00AB1416"/>
    <w:rsid w:val="00AB6A73"/>
    <w:rsid w:val="00AC3760"/>
    <w:rsid w:val="00AD128F"/>
    <w:rsid w:val="00AD5F54"/>
    <w:rsid w:val="00AE5F67"/>
    <w:rsid w:val="00AE7565"/>
    <w:rsid w:val="00AF48DB"/>
    <w:rsid w:val="00AF4E41"/>
    <w:rsid w:val="00B163F3"/>
    <w:rsid w:val="00B31505"/>
    <w:rsid w:val="00B45393"/>
    <w:rsid w:val="00B52542"/>
    <w:rsid w:val="00B53836"/>
    <w:rsid w:val="00B57E64"/>
    <w:rsid w:val="00B628BC"/>
    <w:rsid w:val="00B73564"/>
    <w:rsid w:val="00B743A8"/>
    <w:rsid w:val="00B75EF3"/>
    <w:rsid w:val="00B80517"/>
    <w:rsid w:val="00B82D65"/>
    <w:rsid w:val="00B83070"/>
    <w:rsid w:val="00B86FB6"/>
    <w:rsid w:val="00BA61BE"/>
    <w:rsid w:val="00BA6392"/>
    <w:rsid w:val="00BA69C9"/>
    <w:rsid w:val="00BB5E8E"/>
    <w:rsid w:val="00BC44C1"/>
    <w:rsid w:val="00BD54A5"/>
    <w:rsid w:val="00BE0F9E"/>
    <w:rsid w:val="00BE19C0"/>
    <w:rsid w:val="00BF0472"/>
    <w:rsid w:val="00BF53DC"/>
    <w:rsid w:val="00BF7C34"/>
    <w:rsid w:val="00C028F3"/>
    <w:rsid w:val="00C15369"/>
    <w:rsid w:val="00C22F80"/>
    <w:rsid w:val="00C22FD9"/>
    <w:rsid w:val="00C2428B"/>
    <w:rsid w:val="00C25830"/>
    <w:rsid w:val="00C274D8"/>
    <w:rsid w:val="00C31806"/>
    <w:rsid w:val="00C32DFC"/>
    <w:rsid w:val="00C4286D"/>
    <w:rsid w:val="00C621EA"/>
    <w:rsid w:val="00C670BF"/>
    <w:rsid w:val="00C702AF"/>
    <w:rsid w:val="00C779B8"/>
    <w:rsid w:val="00C8382C"/>
    <w:rsid w:val="00C85D48"/>
    <w:rsid w:val="00C87E3B"/>
    <w:rsid w:val="00CA6576"/>
    <w:rsid w:val="00CB2BBB"/>
    <w:rsid w:val="00CB56E1"/>
    <w:rsid w:val="00CB5A2A"/>
    <w:rsid w:val="00CC18DC"/>
    <w:rsid w:val="00CE7EE8"/>
    <w:rsid w:val="00CF1F1F"/>
    <w:rsid w:val="00CF7BF2"/>
    <w:rsid w:val="00D12398"/>
    <w:rsid w:val="00D332FB"/>
    <w:rsid w:val="00D351F4"/>
    <w:rsid w:val="00D3735F"/>
    <w:rsid w:val="00D66B20"/>
    <w:rsid w:val="00D75521"/>
    <w:rsid w:val="00D83AE9"/>
    <w:rsid w:val="00D85DE8"/>
    <w:rsid w:val="00D91AD0"/>
    <w:rsid w:val="00D92F6A"/>
    <w:rsid w:val="00DA3F2C"/>
    <w:rsid w:val="00DA61C7"/>
    <w:rsid w:val="00DC06CD"/>
    <w:rsid w:val="00DC4E32"/>
    <w:rsid w:val="00DC7838"/>
    <w:rsid w:val="00DD5ADD"/>
    <w:rsid w:val="00DE53C1"/>
    <w:rsid w:val="00DF264A"/>
    <w:rsid w:val="00DF3A00"/>
    <w:rsid w:val="00DF5490"/>
    <w:rsid w:val="00DF5AEE"/>
    <w:rsid w:val="00DF6B84"/>
    <w:rsid w:val="00E06B61"/>
    <w:rsid w:val="00E0727C"/>
    <w:rsid w:val="00E25C8E"/>
    <w:rsid w:val="00E268CA"/>
    <w:rsid w:val="00E26E39"/>
    <w:rsid w:val="00E3603D"/>
    <w:rsid w:val="00E41F6D"/>
    <w:rsid w:val="00E52070"/>
    <w:rsid w:val="00E56536"/>
    <w:rsid w:val="00E71646"/>
    <w:rsid w:val="00E76550"/>
    <w:rsid w:val="00E83AC0"/>
    <w:rsid w:val="00E90325"/>
    <w:rsid w:val="00EA0678"/>
    <w:rsid w:val="00EA6AF5"/>
    <w:rsid w:val="00EB1873"/>
    <w:rsid w:val="00EC036E"/>
    <w:rsid w:val="00EC5846"/>
    <w:rsid w:val="00EC638D"/>
    <w:rsid w:val="00EE0282"/>
    <w:rsid w:val="00EE511B"/>
    <w:rsid w:val="00F01C61"/>
    <w:rsid w:val="00F12A97"/>
    <w:rsid w:val="00F16228"/>
    <w:rsid w:val="00F3513C"/>
    <w:rsid w:val="00F660C1"/>
    <w:rsid w:val="00F71A37"/>
    <w:rsid w:val="00F75F28"/>
    <w:rsid w:val="00F76A8F"/>
    <w:rsid w:val="00F92967"/>
    <w:rsid w:val="00FA1E15"/>
    <w:rsid w:val="00FA7095"/>
    <w:rsid w:val="00FB7180"/>
    <w:rsid w:val="00FC101C"/>
    <w:rsid w:val="00FC5F14"/>
    <w:rsid w:val="00FD062A"/>
    <w:rsid w:val="00FD2C4F"/>
    <w:rsid w:val="00FE74A0"/>
    <w:rsid w:val="00FF2D65"/>
    <w:rsid w:val="00FF4935"/>
    <w:rsid w:val="00FF6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A85B1"/>
  <w15:docId w15:val="{0A81DC75-3B69-4A5A-90A0-B06AA8F2F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63F3"/>
  </w:style>
  <w:style w:type="paragraph" w:styleId="Heading1">
    <w:name w:val="heading 1"/>
    <w:basedOn w:val="Normal"/>
    <w:link w:val="Heading1Char"/>
    <w:uiPriority w:val="9"/>
    <w:qFormat/>
    <w:rsid w:val="00E268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163F3"/>
    <w:rPr>
      <w:color w:val="0000FF"/>
      <w:u w:val="single"/>
    </w:rPr>
  </w:style>
  <w:style w:type="character" w:customStyle="1" w:styleId="Heading1Char">
    <w:name w:val="Heading 1 Char"/>
    <w:basedOn w:val="DefaultParagraphFont"/>
    <w:link w:val="Heading1"/>
    <w:uiPriority w:val="9"/>
    <w:rsid w:val="00E268CA"/>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E268C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67573">
      <w:bodyDiv w:val="1"/>
      <w:marLeft w:val="0"/>
      <w:marRight w:val="0"/>
      <w:marTop w:val="0"/>
      <w:marBottom w:val="0"/>
      <w:divBdr>
        <w:top w:val="none" w:sz="0" w:space="0" w:color="auto"/>
        <w:left w:val="none" w:sz="0" w:space="0" w:color="auto"/>
        <w:bottom w:val="none" w:sz="0" w:space="0" w:color="auto"/>
        <w:right w:val="none" w:sz="0" w:space="0" w:color="auto"/>
      </w:divBdr>
    </w:div>
    <w:div w:id="331493537">
      <w:bodyDiv w:val="1"/>
      <w:marLeft w:val="0"/>
      <w:marRight w:val="0"/>
      <w:marTop w:val="0"/>
      <w:marBottom w:val="0"/>
      <w:divBdr>
        <w:top w:val="none" w:sz="0" w:space="0" w:color="auto"/>
        <w:left w:val="none" w:sz="0" w:space="0" w:color="auto"/>
        <w:bottom w:val="none" w:sz="0" w:space="0" w:color="auto"/>
        <w:right w:val="none" w:sz="0" w:space="0" w:color="auto"/>
      </w:divBdr>
      <w:divsChild>
        <w:div w:id="618991337">
          <w:marLeft w:val="-720"/>
          <w:marRight w:val="0"/>
          <w:marTop w:val="0"/>
          <w:marBottom w:val="0"/>
          <w:divBdr>
            <w:top w:val="none" w:sz="0" w:space="0" w:color="auto"/>
            <w:left w:val="none" w:sz="0" w:space="0" w:color="auto"/>
            <w:bottom w:val="none" w:sz="0" w:space="0" w:color="auto"/>
            <w:right w:val="none" w:sz="0" w:space="0" w:color="auto"/>
          </w:divBdr>
        </w:div>
      </w:divsChild>
    </w:div>
    <w:div w:id="1354645093">
      <w:bodyDiv w:val="1"/>
      <w:marLeft w:val="0"/>
      <w:marRight w:val="0"/>
      <w:marTop w:val="0"/>
      <w:marBottom w:val="0"/>
      <w:divBdr>
        <w:top w:val="none" w:sz="0" w:space="0" w:color="auto"/>
        <w:left w:val="none" w:sz="0" w:space="0" w:color="auto"/>
        <w:bottom w:val="none" w:sz="0" w:space="0" w:color="auto"/>
        <w:right w:val="none" w:sz="0" w:space="0" w:color="auto"/>
      </w:divBdr>
      <w:divsChild>
        <w:div w:id="1095325127">
          <w:marLeft w:val="-720"/>
          <w:marRight w:val="0"/>
          <w:marTop w:val="0"/>
          <w:marBottom w:val="0"/>
          <w:divBdr>
            <w:top w:val="none" w:sz="0" w:space="0" w:color="auto"/>
            <w:left w:val="none" w:sz="0" w:space="0" w:color="auto"/>
            <w:bottom w:val="none" w:sz="0" w:space="0" w:color="auto"/>
            <w:right w:val="none" w:sz="0" w:space="0" w:color="auto"/>
          </w:divBdr>
        </w:div>
      </w:divsChild>
    </w:div>
    <w:div w:id="1554075531">
      <w:bodyDiv w:val="1"/>
      <w:marLeft w:val="0"/>
      <w:marRight w:val="0"/>
      <w:marTop w:val="0"/>
      <w:marBottom w:val="0"/>
      <w:divBdr>
        <w:top w:val="none" w:sz="0" w:space="0" w:color="auto"/>
        <w:left w:val="none" w:sz="0" w:space="0" w:color="auto"/>
        <w:bottom w:val="none" w:sz="0" w:space="0" w:color="auto"/>
        <w:right w:val="none" w:sz="0" w:space="0" w:color="auto"/>
      </w:divBdr>
      <w:divsChild>
        <w:div w:id="1204951361">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11685</TotalTime>
  <Pages>24</Pages>
  <Words>6008</Words>
  <Characters>34248</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40176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Richards,Lauren swp8405</dc:creator>
  <cp:keywords/>
  <dc:description/>
  <cp:lastModifiedBy>Richards,Lauren swp8405</cp:lastModifiedBy>
  <cp:revision>7</cp:revision>
  <dcterms:created xsi:type="dcterms:W3CDTF">2024-01-02T19:15:00Z</dcterms:created>
  <dcterms:modified xsi:type="dcterms:W3CDTF">2024-01-26T19:27:00Z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2023-12-07T19:55:30Z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a11e9576-ca9e-4524-ae8e-fbc40ec9d313</vt:lpwstr>
  </property>
  <property fmtid="{D5CDD505-2E9C-101B-9397-08002B2CF9AE}" pid="8" name="MSIP_Label_66cf8fe5-b7b7-4df7-b38d-1c61ac2f6639_ContentBits">
    <vt:lpwstr>0</vt:lpwstr>
  </property>
</Properties>
</file>