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6EB36" w14:textId="05AEB7C6" w:rsidR="00B561DC" w:rsidRDefault="00042132">
      <w:r>
        <w:rPr>
          <w:noProof/>
          <w:lang w:eastAsia="en-GB"/>
        </w:rPr>
        <w:drawing>
          <wp:anchor distT="0" distB="0" distL="114300" distR="114300" simplePos="0" relativeHeight="251658240" behindDoc="1" locked="0" layoutInCell="1" allowOverlap="1" wp14:anchorId="746CB0F0" wp14:editId="633B17D8">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itin – The DTL Guid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B4E501C" wp14:editId="2769804B">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59B2CE22" w14:textId="724A2580" w:rsidR="00042132" w:rsidRDefault="00042132"/>
    <w:p w14:paraId="34FFA5B3" w14:textId="23CBDD25" w:rsidR="00042132" w:rsidRPr="00485411" w:rsidRDefault="00907785" w:rsidP="00042132">
      <w:pPr>
        <w:jc w:val="center"/>
        <w:rPr>
          <w:szCs w:val="28"/>
        </w:rPr>
      </w:pPr>
      <w:r w:rsidRPr="00485411">
        <w:rPr>
          <w:szCs w:val="28"/>
        </w:rPr>
        <w:t>BMMB70</w:t>
      </w:r>
      <w:r w:rsidR="00CA28DA" w:rsidRPr="00485411">
        <w:rPr>
          <w:szCs w:val="28"/>
        </w:rPr>
        <w:t>26</w:t>
      </w:r>
      <w:r w:rsidRPr="00485411">
        <w:rPr>
          <w:szCs w:val="28"/>
        </w:rPr>
        <w:t xml:space="preserve"> – </w:t>
      </w:r>
      <w:r w:rsidR="00CA28DA" w:rsidRPr="00485411">
        <w:rPr>
          <w:szCs w:val="28"/>
        </w:rPr>
        <w:t xml:space="preserve">Managing </w:t>
      </w:r>
      <w:r w:rsidRPr="00485411">
        <w:rPr>
          <w:szCs w:val="28"/>
        </w:rPr>
        <w:t xml:space="preserve">Marketing </w:t>
      </w:r>
      <w:r w:rsidR="00CA28DA" w:rsidRPr="00485411">
        <w:rPr>
          <w:szCs w:val="28"/>
        </w:rPr>
        <w:t>Change</w:t>
      </w:r>
    </w:p>
    <w:p w14:paraId="72970784" w14:textId="5C9DAE34" w:rsidR="00907785" w:rsidRPr="00485411" w:rsidRDefault="00907785" w:rsidP="00042132">
      <w:pPr>
        <w:jc w:val="center"/>
        <w:rPr>
          <w:szCs w:val="28"/>
        </w:rPr>
      </w:pPr>
      <w:r w:rsidRPr="00485411">
        <w:rPr>
          <w:szCs w:val="28"/>
        </w:rPr>
        <w:t>Assignment 1</w:t>
      </w:r>
    </w:p>
    <w:p w14:paraId="58B0C703" w14:textId="2830ED77" w:rsidR="00042132" w:rsidRPr="00485411" w:rsidRDefault="00042132" w:rsidP="00042132">
      <w:pPr>
        <w:jc w:val="center"/>
        <w:rPr>
          <w:szCs w:val="28"/>
        </w:rPr>
      </w:pPr>
      <w:r w:rsidRPr="00485411">
        <w:rPr>
          <w:szCs w:val="28"/>
        </w:rPr>
        <w:t>Submission Template</w:t>
      </w:r>
    </w:p>
    <w:p w14:paraId="7812A945" w14:textId="7EF4C15C" w:rsidR="00907785" w:rsidRPr="00485411" w:rsidRDefault="00907785" w:rsidP="00042132">
      <w:pPr>
        <w:jc w:val="center"/>
        <w:rPr>
          <w:szCs w:val="28"/>
        </w:rPr>
      </w:pPr>
    </w:p>
    <w:p w14:paraId="3B46EA58" w14:textId="256E50C0" w:rsidR="009A69A7" w:rsidRDefault="00EF700A" w:rsidP="00042132">
      <w:pPr>
        <w:jc w:val="center"/>
        <w:rPr>
          <w:szCs w:val="28"/>
        </w:rPr>
      </w:pPr>
      <w:r>
        <w:rPr>
          <w:szCs w:val="28"/>
        </w:rPr>
        <w:t>Student</w:t>
      </w:r>
      <w:r w:rsidR="009A69A7" w:rsidRPr="00485411">
        <w:rPr>
          <w:szCs w:val="28"/>
        </w:rPr>
        <w:t xml:space="preserve"> Name: </w:t>
      </w:r>
      <w:r w:rsidR="00CF4FD0" w:rsidRPr="00CF4FD0">
        <w:rPr>
          <w:szCs w:val="28"/>
        </w:rPr>
        <w:t>Bidut Hossain</w:t>
      </w:r>
    </w:p>
    <w:p w14:paraId="7C4E1EEA" w14:textId="3D368753" w:rsidR="00EF700A" w:rsidRPr="00485411" w:rsidRDefault="00EF700A" w:rsidP="00042132">
      <w:pPr>
        <w:jc w:val="center"/>
        <w:rPr>
          <w:szCs w:val="28"/>
        </w:rPr>
      </w:pPr>
      <w:r>
        <w:rPr>
          <w:szCs w:val="28"/>
        </w:rPr>
        <w:t xml:space="preserve">Student ID: </w:t>
      </w:r>
      <w:r w:rsidRPr="00EF700A">
        <w:rPr>
          <w:szCs w:val="28"/>
        </w:rPr>
        <w:t>2503964</w:t>
      </w:r>
    </w:p>
    <w:p w14:paraId="0EAAEC06" w14:textId="2A348108" w:rsidR="00907785" w:rsidRPr="00485411" w:rsidRDefault="00907785" w:rsidP="00042132">
      <w:pPr>
        <w:jc w:val="center"/>
        <w:rPr>
          <w:szCs w:val="28"/>
        </w:rPr>
      </w:pPr>
      <w:r w:rsidRPr="00485411">
        <w:rPr>
          <w:szCs w:val="28"/>
        </w:rPr>
        <w:t>Signature: _ _ _ _ _ _ _ _ _ _ _ _ _ _ _ _ _ _ _ _ _ _ _ _ _ _ _</w:t>
      </w:r>
    </w:p>
    <w:p w14:paraId="37E71CD7" w14:textId="77777777" w:rsidR="00A12E2A" w:rsidRPr="00485411" w:rsidRDefault="00A12E2A" w:rsidP="00A12E2A">
      <w:pPr>
        <w:rPr>
          <w:szCs w:val="28"/>
        </w:rPr>
      </w:pPr>
    </w:p>
    <w:p w14:paraId="743F319B" w14:textId="4099F231" w:rsidR="00A12E2A" w:rsidRPr="00485411" w:rsidRDefault="00DA63CE" w:rsidP="00A12E2A">
      <w:pPr>
        <w:rPr>
          <w:szCs w:val="28"/>
        </w:rPr>
      </w:pPr>
      <w:r w:rsidRPr="00485411">
        <w:rPr>
          <w:szCs w:val="28"/>
        </w:rPr>
        <w:t>Please list your group members (n</w:t>
      </w:r>
      <w:r w:rsidR="00A12E2A" w:rsidRPr="00485411">
        <w:rPr>
          <w:szCs w:val="28"/>
        </w:rPr>
        <w:t>ames &amp; ID</w:t>
      </w:r>
      <w:r w:rsidRPr="00485411">
        <w:rPr>
          <w:szCs w:val="28"/>
        </w:rPr>
        <w:t>) in the box below:</w:t>
      </w:r>
    </w:p>
    <w:tbl>
      <w:tblPr>
        <w:tblStyle w:val="TableGrid"/>
        <w:tblW w:w="0" w:type="auto"/>
        <w:tblLook w:val="04A0" w:firstRow="1" w:lastRow="0" w:firstColumn="1" w:lastColumn="0" w:noHBand="0" w:noVBand="1"/>
      </w:tblPr>
      <w:tblGrid>
        <w:gridCol w:w="9016"/>
      </w:tblGrid>
      <w:tr w:rsidR="00A12E2A" w:rsidRPr="00485411" w14:paraId="7CDFAC98" w14:textId="77777777" w:rsidTr="00A12E2A">
        <w:tc>
          <w:tcPr>
            <w:tcW w:w="9016" w:type="dxa"/>
          </w:tcPr>
          <w:p w14:paraId="79ED7D94" w14:textId="77777777" w:rsidR="00A12E2A" w:rsidRPr="00485411" w:rsidRDefault="00A12E2A" w:rsidP="00A12E2A">
            <w:pPr>
              <w:rPr>
                <w:szCs w:val="28"/>
              </w:rPr>
            </w:pPr>
          </w:p>
          <w:p w14:paraId="033F3BA8" w14:textId="77777777" w:rsidR="00A12E2A" w:rsidRPr="00485411" w:rsidRDefault="00A12E2A" w:rsidP="00A12E2A">
            <w:pPr>
              <w:rPr>
                <w:szCs w:val="28"/>
              </w:rPr>
            </w:pPr>
          </w:p>
          <w:p w14:paraId="727B3CFD" w14:textId="77777777" w:rsidR="00A12E2A" w:rsidRPr="00485411" w:rsidRDefault="00A12E2A" w:rsidP="00A12E2A">
            <w:pPr>
              <w:rPr>
                <w:szCs w:val="28"/>
              </w:rPr>
            </w:pPr>
          </w:p>
        </w:tc>
      </w:tr>
    </w:tbl>
    <w:p w14:paraId="0EABDCB0" w14:textId="77777777" w:rsidR="00A12E2A" w:rsidRPr="00485411" w:rsidRDefault="00A12E2A" w:rsidP="00A12E2A">
      <w:pPr>
        <w:rPr>
          <w:szCs w:val="28"/>
        </w:rPr>
      </w:pPr>
    </w:p>
    <w:p w14:paraId="4E4E9043" w14:textId="14A9E56B" w:rsidR="00A12E2A" w:rsidRDefault="00DA63CE" w:rsidP="00A12E2A">
      <w:pPr>
        <w:rPr>
          <w:sz w:val="28"/>
          <w:szCs w:val="28"/>
        </w:rPr>
      </w:pPr>
      <w:r>
        <w:rPr>
          <w:sz w:val="28"/>
          <w:szCs w:val="28"/>
        </w:rPr>
        <w:t xml:space="preserve">Please state your chosen organisation &amp; </w:t>
      </w:r>
      <w:r w:rsidR="00A12E2A">
        <w:rPr>
          <w:sz w:val="28"/>
          <w:szCs w:val="28"/>
        </w:rPr>
        <w:t xml:space="preserve">contemporary issue </w:t>
      </w:r>
      <w:r>
        <w:rPr>
          <w:sz w:val="28"/>
          <w:szCs w:val="28"/>
        </w:rPr>
        <w:t>in the box below</w:t>
      </w:r>
      <w:r w:rsidR="00A12E2A">
        <w:rPr>
          <w:sz w:val="28"/>
          <w:szCs w:val="28"/>
        </w:rPr>
        <w:t xml:space="preserve">: </w:t>
      </w:r>
    </w:p>
    <w:tbl>
      <w:tblPr>
        <w:tblStyle w:val="TableGrid"/>
        <w:tblW w:w="0" w:type="auto"/>
        <w:tblLook w:val="04A0" w:firstRow="1" w:lastRow="0" w:firstColumn="1" w:lastColumn="0" w:noHBand="0" w:noVBand="1"/>
      </w:tblPr>
      <w:tblGrid>
        <w:gridCol w:w="9016"/>
      </w:tblGrid>
      <w:tr w:rsidR="00A12E2A" w:rsidRPr="006C13EE" w14:paraId="6DD31D10" w14:textId="77777777" w:rsidTr="00A12E2A">
        <w:tc>
          <w:tcPr>
            <w:tcW w:w="9016" w:type="dxa"/>
          </w:tcPr>
          <w:p w14:paraId="167ECE05" w14:textId="5CC32E7C" w:rsidR="00DA63CE" w:rsidRPr="006C13EE" w:rsidRDefault="00DA63CE" w:rsidP="00A12E2A">
            <w:pPr>
              <w:rPr>
                <w:b/>
                <w:bCs/>
                <w:szCs w:val="28"/>
              </w:rPr>
            </w:pPr>
            <w:r w:rsidRPr="006C13EE">
              <w:rPr>
                <w:b/>
                <w:bCs/>
                <w:szCs w:val="28"/>
              </w:rPr>
              <w:t>Selected Organisation:</w:t>
            </w:r>
            <w:r w:rsidR="006C13EE" w:rsidRPr="006C13EE">
              <w:rPr>
                <w:b/>
                <w:bCs/>
                <w:szCs w:val="28"/>
              </w:rPr>
              <w:t xml:space="preserve"> </w:t>
            </w:r>
            <w:r w:rsidR="006C13EE" w:rsidRPr="006C13EE">
              <w:rPr>
                <w:bCs/>
                <w:szCs w:val="28"/>
              </w:rPr>
              <w:t>AstraZeneca</w:t>
            </w:r>
          </w:p>
          <w:p w14:paraId="3CB45950" w14:textId="5E22166D" w:rsidR="00A12E2A" w:rsidRPr="006C13EE" w:rsidRDefault="00DA63CE" w:rsidP="00A12E2A">
            <w:pPr>
              <w:rPr>
                <w:b/>
                <w:bCs/>
                <w:szCs w:val="28"/>
              </w:rPr>
            </w:pPr>
            <w:r w:rsidRPr="006C13EE">
              <w:rPr>
                <w:b/>
                <w:bCs/>
                <w:szCs w:val="28"/>
              </w:rPr>
              <w:t xml:space="preserve">Selected </w:t>
            </w:r>
            <w:r w:rsidR="00CA28DA" w:rsidRPr="006C13EE">
              <w:rPr>
                <w:b/>
                <w:bCs/>
                <w:szCs w:val="28"/>
              </w:rPr>
              <w:t>Key</w:t>
            </w:r>
            <w:r w:rsidRPr="006C13EE">
              <w:rPr>
                <w:b/>
                <w:bCs/>
                <w:szCs w:val="28"/>
              </w:rPr>
              <w:t xml:space="preserve"> Issue:</w:t>
            </w:r>
            <w:r w:rsidR="006C13EE" w:rsidRPr="006C13EE">
              <w:rPr>
                <w:b/>
                <w:bCs/>
                <w:szCs w:val="28"/>
              </w:rPr>
              <w:t xml:space="preserve"> </w:t>
            </w:r>
            <w:r w:rsidR="006C13EE" w:rsidRPr="006C13EE">
              <w:rPr>
                <w:bCs/>
                <w:szCs w:val="28"/>
              </w:rPr>
              <w:t>Digital Transformation in The Change Management of Marketing Strategy of AstraZeneca</w:t>
            </w:r>
          </w:p>
        </w:tc>
      </w:tr>
    </w:tbl>
    <w:p w14:paraId="707B645C" w14:textId="6EC3868F" w:rsidR="004326DF" w:rsidRDefault="004326DF" w:rsidP="0085299C">
      <w:pPr>
        <w:rPr>
          <w:sz w:val="28"/>
          <w:szCs w:val="28"/>
        </w:rPr>
      </w:pPr>
    </w:p>
    <w:p w14:paraId="6208B447" w14:textId="77777777" w:rsidR="006C13EE" w:rsidRDefault="006C13EE">
      <w:pPr>
        <w:spacing w:line="259" w:lineRule="auto"/>
        <w:jc w:val="left"/>
        <w:rPr>
          <w:rFonts w:eastAsiaTheme="majorEastAsia" w:cstheme="majorBidi"/>
          <w:b/>
          <w:color w:val="2F5496" w:themeColor="accent1" w:themeShade="BF"/>
          <w:sz w:val="28"/>
          <w:szCs w:val="32"/>
        </w:rPr>
      </w:pPr>
      <w:r>
        <w:br w:type="page"/>
      </w:r>
    </w:p>
    <w:p w14:paraId="393B61A8" w14:textId="46DB318C" w:rsidR="004326DF" w:rsidRPr="004326DF" w:rsidRDefault="004326DF" w:rsidP="004326DF">
      <w:pPr>
        <w:pStyle w:val="Heading1"/>
      </w:pPr>
      <w:bookmarkStart w:id="0" w:name="_Toc214355683"/>
      <w:r>
        <w:lastRenderedPageBreak/>
        <w:t>Abstract</w:t>
      </w:r>
      <w:bookmarkEnd w:id="0"/>
    </w:p>
    <w:p w14:paraId="3ED45994" w14:textId="6DBD9EA1" w:rsidR="004326DF" w:rsidRPr="004326DF" w:rsidRDefault="004326DF" w:rsidP="004326DF">
      <w:r w:rsidRPr="004326DF">
        <w:t xml:space="preserve">The present report discusses the existing marketing approach of AstraZeneca in the framework of the rapid digital transformation and outlines key areas of development that are crucial in maintaining the competitive edge in the dynamic pharmaceutical environment. The discussion reveals that, despite the strong scientific credibility and broad research pipeline of AstraZeneca as well as its established ability to operate in areas of key therapeutic interest, its marketing activity is limited by poor behavioural and digital segmentation. The organisation largely relies on clinically motivated segmentation, thus blocking successful personalisation and </w:t>
      </w:r>
      <w:r w:rsidR="006C13EE" w:rsidRPr="004326DF">
        <w:t>diminishing</w:t>
      </w:r>
      <w:r w:rsidRPr="004326DF">
        <w:t xml:space="preserve"> the </w:t>
      </w:r>
      <w:r w:rsidR="006C13EE" w:rsidRPr="004326DF">
        <w:t>mixed</w:t>
      </w:r>
      <w:r w:rsidRPr="004326DF">
        <w:t xml:space="preserve"> nature of digital interests of professionals and patients in healthcare.</w:t>
      </w:r>
    </w:p>
    <w:p w14:paraId="283FFB8C" w14:textId="295D5A65" w:rsidR="004326DF" w:rsidRPr="004326DF" w:rsidRDefault="004326DF" w:rsidP="004326DF">
      <w:r w:rsidRPr="004326DF">
        <w:t>The analysis also indicates that the Omni</w:t>
      </w:r>
      <w:r>
        <w:t>-</w:t>
      </w:r>
      <w:r w:rsidRPr="004326DF">
        <w:t>channel strategy at AstraZeneca still is in its growth stage but has not been consolidated at regional and therapeutic unit levels, thus providing limited consistency, user experience, and real-time flexibility. There is unequal digital maturity in different markets, and therefore reducing the ability of the organisation to maximise stakeholder engagement. In addition, the frameworks of performance measurement have been mostly based on the conventional indicators like prescription uptake and simple digital measurements, thus failing to provide advanced analytics with the ability to correlate the actions of marketing to the long-term be</w:t>
      </w:r>
      <w:r>
        <w:t>havioural effects.</w:t>
      </w:r>
    </w:p>
    <w:p w14:paraId="5E0E0778" w14:textId="14C2DABE" w:rsidR="004326DF" w:rsidRDefault="004326DF" w:rsidP="004326DF">
      <w:r w:rsidRPr="004326DF">
        <w:t xml:space="preserve">The key conclusions reveal that AstraZeneca needs to strengthen its digital nature, create more sophisticated segmentation approaches, personalised communication, and advanced analytics to help make evidence-based decisions. These gaps will be bridged, and AstraZeneca will maintain its scientific leadership and become a digitally mature, patient-centred organisation that market its offerings. </w:t>
      </w:r>
      <w:r>
        <w:br w:type="page"/>
      </w:r>
    </w:p>
    <w:sdt>
      <w:sdtPr>
        <w:rPr>
          <w:rFonts w:eastAsiaTheme="minorHAnsi" w:cstheme="minorBidi"/>
          <w:b w:val="0"/>
          <w:color w:val="auto"/>
          <w:sz w:val="24"/>
          <w:szCs w:val="22"/>
          <w:lang w:val="en-GB"/>
        </w:rPr>
        <w:id w:val="-105660388"/>
        <w:docPartObj>
          <w:docPartGallery w:val="Table of Contents"/>
          <w:docPartUnique/>
        </w:docPartObj>
      </w:sdtPr>
      <w:sdtEndPr>
        <w:rPr>
          <w:bCs/>
          <w:noProof/>
        </w:rPr>
      </w:sdtEndPr>
      <w:sdtContent>
        <w:p w14:paraId="22D5F788" w14:textId="16110577" w:rsidR="003F176A" w:rsidRPr="003A092F" w:rsidRDefault="003F176A" w:rsidP="003A092F">
          <w:pPr>
            <w:pStyle w:val="TOCHeading"/>
          </w:pPr>
          <w:r w:rsidRPr="003A092F">
            <w:t>Table of Contents</w:t>
          </w:r>
        </w:p>
        <w:p w14:paraId="35DABA63" w14:textId="77777777" w:rsidR="003A092F" w:rsidRDefault="003F176A">
          <w:pPr>
            <w:pStyle w:val="TOC1"/>
            <w:rPr>
              <w:rFonts w:asciiTheme="minorHAnsi" w:eastAsiaTheme="minorEastAsia" w:hAnsiTheme="minorHAnsi"/>
              <w:b w:val="0"/>
              <w:sz w:val="22"/>
              <w:lang w:eastAsia="en-GB"/>
            </w:rPr>
          </w:pPr>
          <w:r>
            <w:rPr>
              <w:bCs/>
            </w:rPr>
            <w:fldChar w:fldCharType="begin"/>
          </w:r>
          <w:r>
            <w:rPr>
              <w:bCs/>
            </w:rPr>
            <w:instrText xml:space="preserve"> TOC \o "1-3" \h \z \u </w:instrText>
          </w:r>
          <w:r>
            <w:rPr>
              <w:bCs/>
            </w:rPr>
            <w:fldChar w:fldCharType="separate"/>
          </w:r>
          <w:hyperlink w:anchor="_Toc214355683" w:history="1">
            <w:r w:rsidR="003A092F" w:rsidRPr="00B6303D">
              <w:rPr>
                <w:rStyle w:val="Hyperlink"/>
              </w:rPr>
              <w:t>Abstract</w:t>
            </w:r>
            <w:r w:rsidR="003A092F">
              <w:rPr>
                <w:webHidden/>
              </w:rPr>
              <w:tab/>
            </w:r>
            <w:r w:rsidR="003A092F">
              <w:rPr>
                <w:webHidden/>
              </w:rPr>
              <w:fldChar w:fldCharType="begin"/>
            </w:r>
            <w:r w:rsidR="003A092F">
              <w:rPr>
                <w:webHidden/>
              </w:rPr>
              <w:instrText xml:space="preserve"> PAGEREF _Toc214355683 \h </w:instrText>
            </w:r>
            <w:r w:rsidR="003A092F">
              <w:rPr>
                <w:webHidden/>
              </w:rPr>
            </w:r>
            <w:r w:rsidR="003A092F">
              <w:rPr>
                <w:webHidden/>
              </w:rPr>
              <w:fldChar w:fldCharType="separate"/>
            </w:r>
            <w:r w:rsidR="003A092F">
              <w:rPr>
                <w:webHidden/>
              </w:rPr>
              <w:t>ii</w:t>
            </w:r>
            <w:r w:rsidR="003A092F">
              <w:rPr>
                <w:webHidden/>
              </w:rPr>
              <w:fldChar w:fldCharType="end"/>
            </w:r>
          </w:hyperlink>
        </w:p>
        <w:p w14:paraId="232D43C1" w14:textId="77777777" w:rsidR="003A092F" w:rsidRDefault="003A092F">
          <w:pPr>
            <w:pStyle w:val="TOC1"/>
            <w:rPr>
              <w:rFonts w:asciiTheme="minorHAnsi" w:eastAsiaTheme="minorEastAsia" w:hAnsiTheme="minorHAnsi"/>
              <w:b w:val="0"/>
              <w:sz w:val="22"/>
              <w:lang w:eastAsia="en-GB"/>
            </w:rPr>
          </w:pPr>
          <w:hyperlink w:anchor="_Toc214355684" w:history="1">
            <w:r w:rsidRPr="00B6303D">
              <w:rPr>
                <w:rStyle w:val="Hyperlink"/>
              </w:rPr>
              <w:t>Introduction</w:t>
            </w:r>
            <w:r>
              <w:rPr>
                <w:webHidden/>
              </w:rPr>
              <w:tab/>
            </w:r>
            <w:r>
              <w:rPr>
                <w:webHidden/>
              </w:rPr>
              <w:fldChar w:fldCharType="begin"/>
            </w:r>
            <w:r>
              <w:rPr>
                <w:webHidden/>
              </w:rPr>
              <w:instrText xml:space="preserve"> PAGEREF _Toc214355684 \h </w:instrText>
            </w:r>
            <w:r>
              <w:rPr>
                <w:webHidden/>
              </w:rPr>
            </w:r>
            <w:r>
              <w:rPr>
                <w:webHidden/>
              </w:rPr>
              <w:fldChar w:fldCharType="separate"/>
            </w:r>
            <w:r>
              <w:rPr>
                <w:webHidden/>
              </w:rPr>
              <w:t>1</w:t>
            </w:r>
            <w:r>
              <w:rPr>
                <w:webHidden/>
              </w:rPr>
              <w:fldChar w:fldCharType="end"/>
            </w:r>
          </w:hyperlink>
        </w:p>
        <w:p w14:paraId="1A8D0A26" w14:textId="77777777" w:rsidR="003A092F" w:rsidRDefault="003A092F">
          <w:pPr>
            <w:pStyle w:val="TOC1"/>
            <w:rPr>
              <w:rFonts w:asciiTheme="minorHAnsi" w:eastAsiaTheme="minorEastAsia" w:hAnsiTheme="minorHAnsi"/>
              <w:b w:val="0"/>
              <w:sz w:val="22"/>
              <w:lang w:eastAsia="en-GB"/>
            </w:rPr>
          </w:pPr>
          <w:hyperlink w:anchor="_Toc214355685" w:history="1">
            <w:r w:rsidRPr="00B6303D">
              <w:rPr>
                <w:rStyle w:val="Hyperlink"/>
              </w:rPr>
              <w:t>TASK 1: Analysis of the Current Marketing Activity of AstraZeneca.</w:t>
            </w:r>
            <w:r>
              <w:rPr>
                <w:webHidden/>
              </w:rPr>
              <w:tab/>
            </w:r>
            <w:r>
              <w:rPr>
                <w:webHidden/>
              </w:rPr>
              <w:fldChar w:fldCharType="begin"/>
            </w:r>
            <w:r>
              <w:rPr>
                <w:webHidden/>
              </w:rPr>
              <w:instrText xml:space="preserve"> PAGEREF _Toc214355685 \h </w:instrText>
            </w:r>
            <w:r>
              <w:rPr>
                <w:webHidden/>
              </w:rPr>
            </w:r>
            <w:r>
              <w:rPr>
                <w:webHidden/>
              </w:rPr>
              <w:fldChar w:fldCharType="separate"/>
            </w:r>
            <w:r>
              <w:rPr>
                <w:webHidden/>
              </w:rPr>
              <w:t>2</w:t>
            </w:r>
            <w:r>
              <w:rPr>
                <w:webHidden/>
              </w:rPr>
              <w:fldChar w:fldCharType="end"/>
            </w:r>
          </w:hyperlink>
        </w:p>
        <w:p w14:paraId="2FCB0EC6"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6" w:history="1">
            <w:r w:rsidRPr="00B6303D">
              <w:rPr>
                <w:rStyle w:val="Hyperlink"/>
                <w:noProof/>
              </w:rPr>
              <w:t>1.1 Strategic Significance of Marketing at AstraZeneca.</w:t>
            </w:r>
            <w:r>
              <w:rPr>
                <w:noProof/>
                <w:webHidden/>
              </w:rPr>
              <w:tab/>
            </w:r>
            <w:r>
              <w:rPr>
                <w:noProof/>
                <w:webHidden/>
              </w:rPr>
              <w:fldChar w:fldCharType="begin"/>
            </w:r>
            <w:r>
              <w:rPr>
                <w:noProof/>
                <w:webHidden/>
              </w:rPr>
              <w:instrText xml:space="preserve"> PAGEREF _Toc214355686 \h </w:instrText>
            </w:r>
            <w:r>
              <w:rPr>
                <w:noProof/>
                <w:webHidden/>
              </w:rPr>
            </w:r>
            <w:r>
              <w:rPr>
                <w:noProof/>
                <w:webHidden/>
              </w:rPr>
              <w:fldChar w:fldCharType="separate"/>
            </w:r>
            <w:r>
              <w:rPr>
                <w:noProof/>
                <w:webHidden/>
              </w:rPr>
              <w:t>2</w:t>
            </w:r>
            <w:r>
              <w:rPr>
                <w:noProof/>
                <w:webHidden/>
              </w:rPr>
              <w:fldChar w:fldCharType="end"/>
            </w:r>
          </w:hyperlink>
        </w:p>
        <w:p w14:paraId="1C0299E6"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7" w:history="1">
            <w:r w:rsidRPr="00B6303D">
              <w:rPr>
                <w:rStyle w:val="Hyperlink"/>
                <w:noProof/>
              </w:rPr>
              <w:t>1.2 Macro-Environmental (PESTLE Analysis).</w:t>
            </w:r>
            <w:r>
              <w:rPr>
                <w:noProof/>
                <w:webHidden/>
              </w:rPr>
              <w:tab/>
            </w:r>
            <w:r>
              <w:rPr>
                <w:noProof/>
                <w:webHidden/>
              </w:rPr>
              <w:fldChar w:fldCharType="begin"/>
            </w:r>
            <w:r>
              <w:rPr>
                <w:noProof/>
                <w:webHidden/>
              </w:rPr>
              <w:instrText xml:space="preserve"> PAGEREF _Toc214355687 \h </w:instrText>
            </w:r>
            <w:r>
              <w:rPr>
                <w:noProof/>
                <w:webHidden/>
              </w:rPr>
            </w:r>
            <w:r>
              <w:rPr>
                <w:noProof/>
                <w:webHidden/>
              </w:rPr>
              <w:fldChar w:fldCharType="separate"/>
            </w:r>
            <w:r>
              <w:rPr>
                <w:noProof/>
                <w:webHidden/>
              </w:rPr>
              <w:t>3</w:t>
            </w:r>
            <w:r>
              <w:rPr>
                <w:noProof/>
                <w:webHidden/>
              </w:rPr>
              <w:fldChar w:fldCharType="end"/>
            </w:r>
          </w:hyperlink>
        </w:p>
        <w:p w14:paraId="2AD6C979"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8" w:history="1">
            <w:r w:rsidRPr="00B6303D">
              <w:rPr>
                <w:rStyle w:val="Hyperlink"/>
                <w:noProof/>
              </w:rPr>
              <w:t>1.3 Micro Environmental Influences</w:t>
            </w:r>
            <w:r>
              <w:rPr>
                <w:noProof/>
                <w:webHidden/>
              </w:rPr>
              <w:tab/>
            </w:r>
            <w:r>
              <w:rPr>
                <w:noProof/>
                <w:webHidden/>
              </w:rPr>
              <w:fldChar w:fldCharType="begin"/>
            </w:r>
            <w:r>
              <w:rPr>
                <w:noProof/>
                <w:webHidden/>
              </w:rPr>
              <w:instrText xml:space="preserve"> PAGEREF _Toc214355688 \h </w:instrText>
            </w:r>
            <w:r>
              <w:rPr>
                <w:noProof/>
                <w:webHidden/>
              </w:rPr>
            </w:r>
            <w:r>
              <w:rPr>
                <w:noProof/>
                <w:webHidden/>
              </w:rPr>
              <w:fldChar w:fldCharType="separate"/>
            </w:r>
            <w:r>
              <w:rPr>
                <w:noProof/>
                <w:webHidden/>
              </w:rPr>
              <w:t>6</w:t>
            </w:r>
            <w:r>
              <w:rPr>
                <w:noProof/>
                <w:webHidden/>
              </w:rPr>
              <w:fldChar w:fldCharType="end"/>
            </w:r>
          </w:hyperlink>
        </w:p>
        <w:p w14:paraId="0CFBF449"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9" w:history="1">
            <w:r w:rsidRPr="00B6303D">
              <w:rPr>
                <w:rStyle w:val="Hyperlink"/>
                <w:noProof/>
              </w:rPr>
              <w:t>1.4 Segmentation, Targeting and Positioning (STP).</w:t>
            </w:r>
            <w:r>
              <w:rPr>
                <w:noProof/>
                <w:webHidden/>
              </w:rPr>
              <w:tab/>
            </w:r>
            <w:r>
              <w:rPr>
                <w:noProof/>
                <w:webHidden/>
              </w:rPr>
              <w:fldChar w:fldCharType="begin"/>
            </w:r>
            <w:r>
              <w:rPr>
                <w:noProof/>
                <w:webHidden/>
              </w:rPr>
              <w:instrText xml:space="preserve"> PAGEREF _Toc214355689 \h </w:instrText>
            </w:r>
            <w:r>
              <w:rPr>
                <w:noProof/>
                <w:webHidden/>
              </w:rPr>
            </w:r>
            <w:r>
              <w:rPr>
                <w:noProof/>
                <w:webHidden/>
              </w:rPr>
              <w:fldChar w:fldCharType="separate"/>
            </w:r>
            <w:r>
              <w:rPr>
                <w:noProof/>
                <w:webHidden/>
              </w:rPr>
              <w:t>7</w:t>
            </w:r>
            <w:r>
              <w:rPr>
                <w:noProof/>
                <w:webHidden/>
              </w:rPr>
              <w:fldChar w:fldCharType="end"/>
            </w:r>
          </w:hyperlink>
        </w:p>
        <w:p w14:paraId="38D75961"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0" w:history="1">
            <w:r w:rsidRPr="00B6303D">
              <w:rPr>
                <w:rStyle w:val="Hyperlink"/>
                <w:noProof/>
              </w:rPr>
              <w:t>1.5 AstraZeneca Marketing mix (7Ps) Analysis.</w:t>
            </w:r>
            <w:r>
              <w:rPr>
                <w:noProof/>
                <w:webHidden/>
              </w:rPr>
              <w:tab/>
            </w:r>
            <w:r>
              <w:rPr>
                <w:noProof/>
                <w:webHidden/>
              </w:rPr>
              <w:fldChar w:fldCharType="begin"/>
            </w:r>
            <w:r>
              <w:rPr>
                <w:noProof/>
                <w:webHidden/>
              </w:rPr>
              <w:instrText xml:space="preserve"> PAGEREF _Toc214355690 \h </w:instrText>
            </w:r>
            <w:r>
              <w:rPr>
                <w:noProof/>
                <w:webHidden/>
              </w:rPr>
            </w:r>
            <w:r>
              <w:rPr>
                <w:noProof/>
                <w:webHidden/>
              </w:rPr>
              <w:fldChar w:fldCharType="separate"/>
            </w:r>
            <w:r>
              <w:rPr>
                <w:noProof/>
                <w:webHidden/>
              </w:rPr>
              <w:t>9</w:t>
            </w:r>
            <w:r>
              <w:rPr>
                <w:noProof/>
                <w:webHidden/>
              </w:rPr>
              <w:fldChar w:fldCharType="end"/>
            </w:r>
          </w:hyperlink>
        </w:p>
        <w:p w14:paraId="388CB54E"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1" w:history="1">
            <w:r w:rsidRPr="00B6303D">
              <w:rPr>
                <w:rStyle w:val="Hyperlink"/>
                <w:noProof/>
              </w:rPr>
              <w:t>1.6 Marketing Effectiveness Measures.</w:t>
            </w:r>
            <w:r>
              <w:rPr>
                <w:noProof/>
                <w:webHidden/>
              </w:rPr>
              <w:tab/>
            </w:r>
            <w:r>
              <w:rPr>
                <w:noProof/>
                <w:webHidden/>
              </w:rPr>
              <w:fldChar w:fldCharType="begin"/>
            </w:r>
            <w:r>
              <w:rPr>
                <w:noProof/>
                <w:webHidden/>
              </w:rPr>
              <w:instrText xml:space="preserve"> PAGEREF _Toc214355691 \h </w:instrText>
            </w:r>
            <w:r>
              <w:rPr>
                <w:noProof/>
                <w:webHidden/>
              </w:rPr>
            </w:r>
            <w:r>
              <w:rPr>
                <w:noProof/>
                <w:webHidden/>
              </w:rPr>
              <w:fldChar w:fldCharType="separate"/>
            </w:r>
            <w:r>
              <w:rPr>
                <w:noProof/>
                <w:webHidden/>
              </w:rPr>
              <w:t>10</w:t>
            </w:r>
            <w:r>
              <w:rPr>
                <w:noProof/>
                <w:webHidden/>
              </w:rPr>
              <w:fldChar w:fldCharType="end"/>
            </w:r>
          </w:hyperlink>
        </w:p>
        <w:p w14:paraId="09144DBA" w14:textId="77777777" w:rsidR="003A092F" w:rsidRDefault="003A092F">
          <w:pPr>
            <w:pStyle w:val="TOC1"/>
            <w:rPr>
              <w:rFonts w:asciiTheme="minorHAnsi" w:eastAsiaTheme="minorEastAsia" w:hAnsiTheme="minorHAnsi"/>
              <w:b w:val="0"/>
              <w:sz w:val="22"/>
              <w:lang w:eastAsia="en-GB"/>
            </w:rPr>
          </w:pPr>
          <w:hyperlink w:anchor="_Toc214355692" w:history="1">
            <w:r w:rsidRPr="00B6303D">
              <w:rPr>
                <w:rStyle w:val="Hyperlink"/>
              </w:rPr>
              <w:t>TASK 2: Challenges Faced by AstraZeneca from Analysis</w:t>
            </w:r>
            <w:r>
              <w:rPr>
                <w:webHidden/>
              </w:rPr>
              <w:tab/>
            </w:r>
            <w:r>
              <w:rPr>
                <w:webHidden/>
              </w:rPr>
              <w:fldChar w:fldCharType="begin"/>
            </w:r>
            <w:r>
              <w:rPr>
                <w:webHidden/>
              </w:rPr>
              <w:instrText xml:space="preserve"> PAGEREF _Toc214355692 \h </w:instrText>
            </w:r>
            <w:r>
              <w:rPr>
                <w:webHidden/>
              </w:rPr>
            </w:r>
            <w:r>
              <w:rPr>
                <w:webHidden/>
              </w:rPr>
              <w:fldChar w:fldCharType="separate"/>
            </w:r>
            <w:r>
              <w:rPr>
                <w:webHidden/>
              </w:rPr>
              <w:t>11</w:t>
            </w:r>
            <w:r>
              <w:rPr>
                <w:webHidden/>
              </w:rPr>
              <w:fldChar w:fldCharType="end"/>
            </w:r>
          </w:hyperlink>
        </w:p>
        <w:p w14:paraId="6AF68A9F" w14:textId="77777777" w:rsidR="003A092F" w:rsidRDefault="003A092F">
          <w:pPr>
            <w:pStyle w:val="TOC1"/>
            <w:rPr>
              <w:rFonts w:asciiTheme="minorHAnsi" w:eastAsiaTheme="minorEastAsia" w:hAnsiTheme="minorHAnsi"/>
              <w:b w:val="0"/>
              <w:sz w:val="22"/>
              <w:lang w:eastAsia="en-GB"/>
            </w:rPr>
          </w:pPr>
          <w:hyperlink w:anchor="_Toc214355693" w:history="1">
            <w:r w:rsidRPr="00B6303D">
              <w:rPr>
                <w:rStyle w:val="Hyperlink"/>
              </w:rPr>
              <w:t>TASK 3: Recommendations for AstraZeneca to Enhance Marketing Success</w:t>
            </w:r>
            <w:r>
              <w:rPr>
                <w:webHidden/>
              </w:rPr>
              <w:tab/>
            </w:r>
            <w:r>
              <w:rPr>
                <w:webHidden/>
              </w:rPr>
              <w:fldChar w:fldCharType="begin"/>
            </w:r>
            <w:r>
              <w:rPr>
                <w:webHidden/>
              </w:rPr>
              <w:instrText xml:space="preserve"> PAGEREF _Toc214355693 \h </w:instrText>
            </w:r>
            <w:r>
              <w:rPr>
                <w:webHidden/>
              </w:rPr>
            </w:r>
            <w:r>
              <w:rPr>
                <w:webHidden/>
              </w:rPr>
              <w:fldChar w:fldCharType="separate"/>
            </w:r>
            <w:r>
              <w:rPr>
                <w:webHidden/>
              </w:rPr>
              <w:t>13</w:t>
            </w:r>
            <w:r>
              <w:rPr>
                <w:webHidden/>
              </w:rPr>
              <w:fldChar w:fldCharType="end"/>
            </w:r>
          </w:hyperlink>
        </w:p>
        <w:p w14:paraId="0F30DC7E"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4" w:history="1">
            <w:r w:rsidRPr="00B6303D">
              <w:rPr>
                <w:rStyle w:val="Hyperlink"/>
                <w:noProof/>
              </w:rPr>
              <w:t>3.1 Enhance Behavioural and Digital Segmentation.</w:t>
            </w:r>
            <w:r>
              <w:rPr>
                <w:noProof/>
                <w:webHidden/>
              </w:rPr>
              <w:tab/>
            </w:r>
            <w:r>
              <w:rPr>
                <w:noProof/>
                <w:webHidden/>
              </w:rPr>
              <w:fldChar w:fldCharType="begin"/>
            </w:r>
            <w:r>
              <w:rPr>
                <w:noProof/>
                <w:webHidden/>
              </w:rPr>
              <w:instrText xml:space="preserve"> PAGEREF _Toc214355694 \h </w:instrText>
            </w:r>
            <w:r>
              <w:rPr>
                <w:noProof/>
                <w:webHidden/>
              </w:rPr>
            </w:r>
            <w:r>
              <w:rPr>
                <w:noProof/>
                <w:webHidden/>
              </w:rPr>
              <w:fldChar w:fldCharType="separate"/>
            </w:r>
            <w:r>
              <w:rPr>
                <w:noProof/>
                <w:webHidden/>
              </w:rPr>
              <w:t>13</w:t>
            </w:r>
            <w:r>
              <w:rPr>
                <w:noProof/>
                <w:webHidden/>
              </w:rPr>
              <w:fldChar w:fldCharType="end"/>
            </w:r>
          </w:hyperlink>
        </w:p>
        <w:p w14:paraId="60878272"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5" w:history="1">
            <w:r w:rsidRPr="00B6303D">
              <w:rPr>
                <w:rStyle w:val="Hyperlink"/>
                <w:noProof/>
              </w:rPr>
              <w:t>3.2: Build a Completely Integrated Omni-channel Engagement Strategy.</w:t>
            </w:r>
            <w:r>
              <w:rPr>
                <w:noProof/>
                <w:webHidden/>
              </w:rPr>
              <w:tab/>
            </w:r>
            <w:r>
              <w:rPr>
                <w:noProof/>
                <w:webHidden/>
              </w:rPr>
              <w:fldChar w:fldCharType="begin"/>
            </w:r>
            <w:r>
              <w:rPr>
                <w:noProof/>
                <w:webHidden/>
              </w:rPr>
              <w:instrText xml:space="preserve"> PAGEREF _Toc214355695 \h </w:instrText>
            </w:r>
            <w:r>
              <w:rPr>
                <w:noProof/>
                <w:webHidden/>
              </w:rPr>
            </w:r>
            <w:r>
              <w:rPr>
                <w:noProof/>
                <w:webHidden/>
              </w:rPr>
              <w:fldChar w:fldCharType="separate"/>
            </w:r>
            <w:r>
              <w:rPr>
                <w:noProof/>
                <w:webHidden/>
              </w:rPr>
              <w:t>13</w:t>
            </w:r>
            <w:r>
              <w:rPr>
                <w:noProof/>
                <w:webHidden/>
              </w:rPr>
              <w:fldChar w:fldCharType="end"/>
            </w:r>
          </w:hyperlink>
        </w:p>
        <w:p w14:paraId="49A443DA"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6" w:history="1">
            <w:r w:rsidRPr="00B6303D">
              <w:rPr>
                <w:rStyle w:val="Hyperlink"/>
                <w:noProof/>
              </w:rPr>
              <w:t>3.3 Improve on Personalised Content and Value Communication.</w:t>
            </w:r>
            <w:r>
              <w:rPr>
                <w:noProof/>
                <w:webHidden/>
              </w:rPr>
              <w:tab/>
            </w:r>
            <w:r>
              <w:rPr>
                <w:noProof/>
                <w:webHidden/>
              </w:rPr>
              <w:fldChar w:fldCharType="begin"/>
            </w:r>
            <w:r>
              <w:rPr>
                <w:noProof/>
                <w:webHidden/>
              </w:rPr>
              <w:instrText xml:space="preserve"> PAGEREF _Toc214355696 \h </w:instrText>
            </w:r>
            <w:r>
              <w:rPr>
                <w:noProof/>
                <w:webHidden/>
              </w:rPr>
            </w:r>
            <w:r>
              <w:rPr>
                <w:noProof/>
                <w:webHidden/>
              </w:rPr>
              <w:fldChar w:fldCharType="separate"/>
            </w:r>
            <w:r>
              <w:rPr>
                <w:noProof/>
                <w:webHidden/>
              </w:rPr>
              <w:t>14</w:t>
            </w:r>
            <w:r>
              <w:rPr>
                <w:noProof/>
                <w:webHidden/>
              </w:rPr>
              <w:fldChar w:fldCharType="end"/>
            </w:r>
          </w:hyperlink>
        </w:p>
        <w:p w14:paraId="3DCBE660"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7" w:history="1">
            <w:r w:rsidRPr="00B6303D">
              <w:rPr>
                <w:rStyle w:val="Hyperlink"/>
                <w:noProof/>
              </w:rPr>
              <w:t>3.4 Invest in Advanced Analytics and Built-In Performance Measurement.</w:t>
            </w:r>
            <w:r>
              <w:rPr>
                <w:noProof/>
                <w:webHidden/>
              </w:rPr>
              <w:tab/>
            </w:r>
            <w:r>
              <w:rPr>
                <w:noProof/>
                <w:webHidden/>
              </w:rPr>
              <w:fldChar w:fldCharType="begin"/>
            </w:r>
            <w:r>
              <w:rPr>
                <w:noProof/>
                <w:webHidden/>
              </w:rPr>
              <w:instrText xml:space="preserve"> PAGEREF _Toc214355697 \h </w:instrText>
            </w:r>
            <w:r>
              <w:rPr>
                <w:noProof/>
                <w:webHidden/>
              </w:rPr>
            </w:r>
            <w:r>
              <w:rPr>
                <w:noProof/>
                <w:webHidden/>
              </w:rPr>
              <w:fldChar w:fldCharType="separate"/>
            </w:r>
            <w:r>
              <w:rPr>
                <w:noProof/>
                <w:webHidden/>
              </w:rPr>
              <w:t>14</w:t>
            </w:r>
            <w:r>
              <w:rPr>
                <w:noProof/>
                <w:webHidden/>
              </w:rPr>
              <w:fldChar w:fldCharType="end"/>
            </w:r>
          </w:hyperlink>
        </w:p>
        <w:p w14:paraId="5251C518"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8" w:history="1">
            <w:r w:rsidRPr="00B6303D">
              <w:rPr>
                <w:rStyle w:val="Hyperlink"/>
                <w:noProof/>
              </w:rPr>
              <w:t>3.5 Enhanced Internal Digital Capability and Cross-Functionality.</w:t>
            </w:r>
            <w:r>
              <w:rPr>
                <w:noProof/>
                <w:webHidden/>
              </w:rPr>
              <w:tab/>
            </w:r>
            <w:r>
              <w:rPr>
                <w:noProof/>
                <w:webHidden/>
              </w:rPr>
              <w:fldChar w:fldCharType="begin"/>
            </w:r>
            <w:r>
              <w:rPr>
                <w:noProof/>
                <w:webHidden/>
              </w:rPr>
              <w:instrText xml:space="preserve"> PAGEREF _Toc214355698 \h </w:instrText>
            </w:r>
            <w:r>
              <w:rPr>
                <w:noProof/>
                <w:webHidden/>
              </w:rPr>
            </w:r>
            <w:r>
              <w:rPr>
                <w:noProof/>
                <w:webHidden/>
              </w:rPr>
              <w:fldChar w:fldCharType="separate"/>
            </w:r>
            <w:r>
              <w:rPr>
                <w:noProof/>
                <w:webHidden/>
              </w:rPr>
              <w:t>15</w:t>
            </w:r>
            <w:r>
              <w:rPr>
                <w:noProof/>
                <w:webHidden/>
              </w:rPr>
              <w:fldChar w:fldCharType="end"/>
            </w:r>
          </w:hyperlink>
        </w:p>
        <w:p w14:paraId="260309DB"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9" w:history="1">
            <w:r w:rsidRPr="00B6303D">
              <w:rPr>
                <w:rStyle w:val="Hyperlink"/>
                <w:noProof/>
              </w:rPr>
              <w:t>3.6 Improve the Customer-Facing Brand and Online Experience.</w:t>
            </w:r>
            <w:r>
              <w:rPr>
                <w:noProof/>
                <w:webHidden/>
              </w:rPr>
              <w:tab/>
            </w:r>
            <w:r>
              <w:rPr>
                <w:noProof/>
                <w:webHidden/>
              </w:rPr>
              <w:fldChar w:fldCharType="begin"/>
            </w:r>
            <w:r>
              <w:rPr>
                <w:noProof/>
                <w:webHidden/>
              </w:rPr>
              <w:instrText xml:space="preserve"> PAGEREF _Toc214355699 \h </w:instrText>
            </w:r>
            <w:r>
              <w:rPr>
                <w:noProof/>
                <w:webHidden/>
              </w:rPr>
            </w:r>
            <w:r>
              <w:rPr>
                <w:noProof/>
                <w:webHidden/>
              </w:rPr>
              <w:fldChar w:fldCharType="separate"/>
            </w:r>
            <w:r>
              <w:rPr>
                <w:noProof/>
                <w:webHidden/>
              </w:rPr>
              <w:t>15</w:t>
            </w:r>
            <w:r>
              <w:rPr>
                <w:noProof/>
                <w:webHidden/>
              </w:rPr>
              <w:fldChar w:fldCharType="end"/>
            </w:r>
          </w:hyperlink>
        </w:p>
        <w:p w14:paraId="5D9DCBC2" w14:textId="77777777" w:rsidR="003A092F" w:rsidRDefault="003A092F">
          <w:pPr>
            <w:pStyle w:val="TOC1"/>
            <w:rPr>
              <w:rFonts w:asciiTheme="minorHAnsi" w:eastAsiaTheme="minorEastAsia" w:hAnsiTheme="minorHAnsi"/>
              <w:b w:val="0"/>
              <w:sz w:val="22"/>
              <w:lang w:eastAsia="en-GB"/>
            </w:rPr>
          </w:pPr>
          <w:hyperlink w:anchor="_Toc214355700" w:history="1">
            <w:r w:rsidRPr="00B6303D">
              <w:rPr>
                <w:rStyle w:val="Hyperlink"/>
              </w:rPr>
              <w:t>Reference List</w:t>
            </w:r>
            <w:r>
              <w:rPr>
                <w:webHidden/>
              </w:rPr>
              <w:tab/>
            </w:r>
            <w:r>
              <w:rPr>
                <w:webHidden/>
              </w:rPr>
              <w:fldChar w:fldCharType="begin"/>
            </w:r>
            <w:r>
              <w:rPr>
                <w:webHidden/>
              </w:rPr>
              <w:instrText xml:space="preserve"> PAGEREF _Toc214355700 \h </w:instrText>
            </w:r>
            <w:r>
              <w:rPr>
                <w:webHidden/>
              </w:rPr>
            </w:r>
            <w:r>
              <w:rPr>
                <w:webHidden/>
              </w:rPr>
              <w:fldChar w:fldCharType="separate"/>
            </w:r>
            <w:r>
              <w:rPr>
                <w:webHidden/>
              </w:rPr>
              <w:t>16</w:t>
            </w:r>
            <w:r>
              <w:rPr>
                <w:webHidden/>
              </w:rPr>
              <w:fldChar w:fldCharType="end"/>
            </w:r>
          </w:hyperlink>
        </w:p>
        <w:p w14:paraId="0585EEE8" w14:textId="7029FE63" w:rsidR="003F176A" w:rsidRDefault="003F176A">
          <w:r>
            <w:rPr>
              <w:b/>
              <w:bCs/>
              <w:noProof/>
            </w:rPr>
            <w:fldChar w:fldCharType="end"/>
          </w:r>
        </w:p>
      </w:sdtContent>
    </w:sdt>
    <w:p w14:paraId="6BB89101" w14:textId="77777777" w:rsidR="0085299C" w:rsidRDefault="0085299C">
      <w:pPr>
        <w:spacing w:line="259" w:lineRule="auto"/>
        <w:jc w:val="left"/>
        <w:rPr>
          <w:sz w:val="28"/>
          <w:szCs w:val="28"/>
        </w:rPr>
      </w:pPr>
      <w:r>
        <w:rPr>
          <w:sz w:val="28"/>
          <w:szCs w:val="28"/>
        </w:rPr>
        <w:br w:type="page"/>
      </w:r>
    </w:p>
    <w:p w14:paraId="0EED5737" w14:textId="77777777" w:rsidR="003F176A" w:rsidRDefault="003F176A" w:rsidP="008B45A2">
      <w:pPr>
        <w:spacing w:line="259" w:lineRule="auto"/>
        <w:jc w:val="left"/>
        <w:rPr>
          <w:sz w:val="28"/>
          <w:szCs w:val="28"/>
        </w:rPr>
        <w:sectPr w:rsidR="003F176A" w:rsidSect="00485411">
          <w:footerReference w:type="default" r:id="rId9"/>
          <w:pgSz w:w="11906" w:h="16838"/>
          <w:pgMar w:top="1440" w:right="1440" w:bottom="1440" w:left="1440" w:header="708" w:footer="708" w:gutter="0"/>
          <w:pgNumType w:fmt="lowerRoman"/>
          <w:cols w:space="708"/>
          <w:docGrid w:linePitch="360"/>
        </w:sectPr>
      </w:pPr>
    </w:p>
    <w:p w14:paraId="40432E29" w14:textId="69A6E50B" w:rsidR="008E4F08" w:rsidRPr="00B53B85" w:rsidRDefault="00B53B85" w:rsidP="00B53B85">
      <w:pPr>
        <w:pStyle w:val="Heading1"/>
        <w:rPr>
          <w:sz w:val="24"/>
        </w:rPr>
      </w:pPr>
      <w:bookmarkStart w:id="1" w:name="_Toc214355684"/>
      <w:r w:rsidRPr="00B53B85">
        <w:lastRenderedPageBreak/>
        <w:t>Introduction</w:t>
      </w:r>
      <w:bookmarkEnd w:id="1"/>
    </w:p>
    <w:p w14:paraId="6C4EA67F" w14:textId="649F930C" w:rsidR="008E4F08" w:rsidRPr="00B53B85" w:rsidRDefault="008E4F08" w:rsidP="00B53B85">
      <w:pPr>
        <w:rPr>
          <w:rFonts w:cs="Arial"/>
          <w:szCs w:val="24"/>
        </w:rPr>
      </w:pPr>
      <w:r w:rsidRPr="00B53B85">
        <w:rPr>
          <w:rFonts w:cs="Arial"/>
          <w:szCs w:val="24"/>
        </w:rPr>
        <w:t>AstraZeneca is a multinational biopharmaceutical company that is based in Cambridge, United Kingdom, and has its operations in over a hundred countries, with a strategic focus on the oncology, cardiovascular, renal, metabolic, respiratory and immunological arenas of therapy (AstraZeneca, 2023). The initial task identified digital transformation as the key driver behind the process of marketing change in the context of AstraZeneca, as indicating considerable changes in the channels through which medical information is exchanged between healthcare professionals and their patients, as well as between pharmaceutical companies and their clients. The growing use of real-world evidence, artificial intelligence, sophisticated analytics, and digital tools of communication has transformed the expectations in the healthcare markets, forcing the transformation of AstraZeneca marketing strategy in order to remain competitive and credible (</w:t>
      </w:r>
      <w:r w:rsidR="00EB5396" w:rsidRPr="009D757B">
        <w:rPr>
          <w:rFonts w:cs="Arial"/>
          <w:szCs w:val="24"/>
        </w:rPr>
        <w:t>Grandhi</w:t>
      </w:r>
      <w:r w:rsidR="00EB5396">
        <w:rPr>
          <w:rFonts w:cs="Arial"/>
          <w:szCs w:val="24"/>
        </w:rPr>
        <w:t xml:space="preserve"> </w:t>
      </w:r>
      <w:r w:rsidR="00EB5396" w:rsidRPr="00B53B85">
        <w:rPr>
          <w:rFonts w:cs="Arial"/>
          <w:szCs w:val="24"/>
        </w:rPr>
        <w:t xml:space="preserve">et al., </w:t>
      </w:r>
      <w:r w:rsidR="00EB5396" w:rsidRPr="009D757B">
        <w:rPr>
          <w:rFonts w:cs="Arial"/>
          <w:szCs w:val="24"/>
        </w:rPr>
        <w:t>2021</w:t>
      </w:r>
      <w:r w:rsidR="00EB5396" w:rsidRPr="00B53B85">
        <w:rPr>
          <w:rFonts w:cs="Arial"/>
          <w:szCs w:val="24"/>
        </w:rPr>
        <w:t>)</w:t>
      </w:r>
      <w:r w:rsidRPr="00B53B85">
        <w:rPr>
          <w:rFonts w:cs="Arial"/>
          <w:szCs w:val="24"/>
        </w:rPr>
        <w:t>.</w:t>
      </w:r>
    </w:p>
    <w:p w14:paraId="2710A942" w14:textId="5A69CDEB" w:rsidR="008E4F08" w:rsidRPr="00B53B85" w:rsidRDefault="008E4F08" w:rsidP="00B53B85">
      <w:pPr>
        <w:rPr>
          <w:rFonts w:cs="Arial"/>
          <w:szCs w:val="24"/>
        </w:rPr>
      </w:pPr>
      <w:r w:rsidRPr="00B53B85">
        <w:rPr>
          <w:rFonts w:cs="Arial"/>
          <w:szCs w:val="24"/>
        </w:rPr>
        <w:t xml:space="preserve">Data-driven marketing expands the range of possibilities of pharmaceutical organisations to provide personalised communications, clinical decision support, and stakeholder trust </w:t>
      </w:r>
      <w:r w:rsidR="00ED50AB" w:rsidRPr="00B53B85">
        <w:rPr>
          <w:rFonts w:cs="Arial"/>
          <w:szCs w:val="24"/>
        </w:rPr>
        <w:t>(</w:t>
      </w:r>
      <w:r w:rsidR="00ED50AB">
        <w:rPr>
          <w:rFonts w:cs="Arial"/>
          <w:szCs w:val="24"/>
        </w:rPr>
        <w:t xml:space="preserve">Ijomah et al., </w:t>
      </w:r>
      <w:r w:rsidR="00ED50AB" w:rsidRPr="00C01C3C">
        <w:rPr>
          <w:rFonts w:cs="Arial"/>
          <w:szCs w:val="24"/>
        </w:rPr>
        <w:t>2024</w:t>
      </w:r>
      <w:r w:rsidR="00ED50AB" w:rsidRPr="00B53B85">
        <w:rPr>
          <w:rFonts w:cs="Arial"/>
          <w:szCs w:val="24"/>
        </w:rPr>
        <w:t>)</w:t>
      </w:r>
      <w:r w:rsidRPr="00B53B85">
        <w:rPr>
          <w:rFonts w:cs="Arial"/>
          <w:szCs w:val="24"/>
        </w:rPr>
        <w:t xml:space="preserve">. This paradigm is supported by the fact that AstraZeneca is driven by the principles of the so-called science-led and patient-focused company; however, the shift between the conventional engagement paradigms and digitally integrated ones is not fully realised. With the outside world growing increasingly dynamic, it is a must to have strong digital capabilities, sophisticated segmentation, and </w:t>
      </w:r>
      <w:r w:rsidR="00B53B85" w:rsidRPr="00B53B85">
        <w:rPr>
          <w:rFonts w:cs="Arial"/>
          <w:szCs w:val="24"/>
        </w:rPr>
        <w:t>Omni</w:t>
      </w:r>
      <w:r w:rsidR="00B53B85">
        <w:rPr>
          <w:rFonts w:cs="Arial"/>
          <w:szCs w:val="24"/>
        </w:rPr>
        <w:t>-</w:t>
      </w:r>
      <w:r w:rsidRPr="00B53B85">
        <w:rPr>
          <w:rFonts w:cs="Arial"/>
          <w:szCs w:val="24"/>
        </w:rPr>
        <w:t xml:space="preserve">channel communication to ensure a competitive advantage </w:t>
      </w:r>
      <w:r w:rsidR="00313B31" w:rsidRPr="00B53B85">
        <w:rPr>
          <w:rFonts w:cs="Arial"/>
          <w:szCs w:val="24"/>
        </w:rPr>
        <w:t>(Chaffey and Ellis</w:t>
      </w:r>
      <w:r w:rsidR="00313B31">
        <w:rPr>
          <w:rFonts w:cs="Arial"/>
          <w:szCs w:val="24"/>
        </w:rPr>
        <w:t>, 2019</w:t>
      </w:r>
      <w:r w:rsidRPr="00B53B85">
        <w:rPr>
          <w:rFonts w:cs="Arial"/>
          <w:szCs w:val="24"/>
        </w:rPr>
        <w:t xml:space="preserve">; </w:t>
      </w:r>
      <w:r w:rsidR="00B62270">
        <w:rPr>
          <w:rFonts w:cs="Arial"/>
          <w:szCs w:val="24"/>
        </w:rPr>
        <w:t xml:space="preserve">Hicham </w:t>
      </w:r>
      <w:r w:rsidR="00B62270" w:rsidRPr="00B53B85">
        <w:rPr>
          <w:rFonts w:cs="Arial"/>
          <w:szCs w:val="24"/>
        </w:rPr>
        <w:t>et al., 202</w:t>
      </w:r>
      <w:r w:rsidR="00B62270">
        <w:rPr>
          <w:rFonts w:cs="Arial"/>
          <w:szCs w:val="24"/>
        </w:rPr>
        <w:t>3</w:t>
      </w:r>
      <w:r w:rsidR="00B62270" w:rsidRPr="00B53B85">
        <w:rPr>
          <w:rFonts w:cs="Arial"/>
          <w:szCs w:val="24"/>
        </w:rPr>
        <w:t>)</w:t>
      </w:r>
      <w:r w:rsidRPr="00B53B85">
        <w:rPr>
          <w:rFonts w:cs="Arial"/>
          <w:szCs w:val="24"/>
        </w:rPr>
        <w:t>.</w:t>
      </w:r>
    </w:p>
    <w:p w14:paraId="616DA812" w14:textId="319DA6BC" w:rsidR="008E4F08" w:rsidRPr="00B53B85" w:rsidRDefault="008E4F08" w:rsidP="00B53B85">
      <w:pPr>
        <w:rPr>
          <w:rFonts w:cs="Arial"/>
          <w:szCs w:val="24"/>
        </w:rPr>
      </w:pPr>
      <w:r w:rsidRPr="00B53B85">
        <w:rPr>
          <w:rFonts w:cs="Arial"/>
          <w:szCs w:val="24"/>
        </w:rPr>
        <w:t xml:space="preserve">The structure of this report is based on the assessment brief. Task 1 takes a critical assessment of the current marketing activity of AstraZeneca and its strategic role in marketing, macro- and micro-environment, segmentation, targeting and positioning, marketing mix, and performance measurement practises at AstraZeneca. Task 2 provides an overview of the key weaknesses that were revealed in the course of this assessment, including the lack of digital maturity, the level of segmentation, and analytical capacity. Task 3 provides the suggestions to overcome these gaps and facilitate the future marketing progress of AstraZeneca. </w:t>
      </w:r>
    </w:p>
    <w:p w14:paraId="4A88AD70" w14:textId="36CED36A" w:rsidR="008E4F08" w:rsidRPr="00B53B85" w:rsidRDefault="008E4F08" w:rsidP="00EB02C0">
      <w:pPr>
        <w:pStyle w:val="Heading1"/>
        <w:rPr>
          <w:sz w:val="24"/>
        </w:rPr>
      </w:pPr>
      <w:bookmarkStart w:id="2" w:name="_Toc214355685"/>
      <w:r w:rsidRPr="00B53B85">
        <w:rPr>
          <w:sz w:val="24"/>
        </w:rPr>
        <w:lastRenderedPageBreak/>
        <w:t xml:space="preserve">TASK </w:t>
      </w:r>
      <w:r w:rsidR="00B53B85" w:rsidRPr="00B53B85">
        <w:t xml:space="preserve">1: </w:t>
      </w:r>
      <w:r w:rsidR="00EB02C0">
        <w:t xml:space="preserve">Analysis </w:t>
      </w:r>
      <w:r w:rsidR="00B53B85" w:rsidRPr="00B53B85">
        <w:t>of the Current Mar</w:t>
      </w:r>
      <w:r w:rsidR="00B53B85">
        <w:t>keting Activity of AstraZeneca.</w:t>
      </w:r>
      <w:bookmarkEnd w:id="2"/>
    </w:p>
    <w:p w14:paraId="5BCE7225" w14:textId="0C932ED4" w:rsidR="008E4F08" w:rsidRPr="00B53B85" w:rsidRDefault="008E4F08" w:rsidP="00EB02C0">
      <w:pPr>
        <w:pStyle w:val="Heading2"/>
        <w:rPr>
          <w:sz w:val="24"/>
        </w:rPr>
      </w:pPr>
      <w:bookmarkStart w:id="3" w:name="_Toc214355686"/>
      <w:r w:rsidRPr="00B53B85">
        <w:rPr>
          <w:sz w:val="24"/>
        </w:rPr>
        <w:t>1.1 Strategic Significan</w:t>
      </w:r>
      <w:r w:rsidR="00B53B85">
        <w:t>ce of Marketing at AstraZeneca.</w:t>
      </w:r>
      <w:bookmarkEnd w:id="3"/>
    </w:p>
    <w:p w14:paraId="393F4C3E" w14:textId="37879745" w:rsidR="008E4F08" w:rsidRPr="00B53B85" w:rsidRDefault="008E4F08" w:rsidP="00B53B85">
      <w:pPr>
        <w:rPr>
          <w:rFonts w:cs="Arial"/>
          <w:szCs w:val="24"/>
        </w:rPr>
      </w:pPr>
      <w:r w:rsidRPr="00B53B85">
        <w:rPr>
          <w:rFonts w:cs="Arial"/>
          <w:szCs w:val="24"/>
        </w:rPr>
        <w:t>Marketing is located in a strategically central place in AstraZeneca due to the fact that the organisation depends on scientific credibility, adherence to regulations and trust by the stakeholders. The nature of pharmaceutical marketing is the opposite of the one of consumer marketing because it is strongly influenced by clinical evidence, therapeutic value, and official interaction with healthcare professionals and payers (</w:t>
      </w:r>
      <w:r w:rsidR="006435D1" w:rsidRPr="006435D1">
        <w:rPr>
          <w:rFonts w:cs="Arial"/>
          <w:szCs w:val="24"/>
        </w:rPr>
        <w:t>Sawad</w:t>
      </w:r>
      <w:r w:rsidR="006435D1">
        <w:rPr>
          <w:rFonts w:cs="Arial"/>
          <w:szCs w:val="24"/>
        </w:rPr>
        <w:t xml:space="preserve"> </w:t>
      </w:r>
      <w:r w:rsidR="006435D1" w:rsidRPr="006435D1">
        <w:rPr>
          <w:rFonts w:cs="Arial"/>
          <w:szCs w:val="24"/>
        </w:rPr>
        <w:t>and Andrews, 2021</w:t>
      </w:r>
      <w:r w:rsidRPr="00B53B85">
        <w:rPr>
          <w:rFonts w:cs="Arial"/>
          <w:szCs w:val="24"/>
        </w:rPr>
        <w:t xml:space="preserve">). As a science-based, patient-focused organisation, AstraZeneca needs to market itself as an organisation that simplifies complex clinical data into more understandable messages and messages to different audiences, such as clinicians, patients, regulators, and policymakers. With the accelerated pace of digital transformation, the role of marketing is becoming more and more the channel between the products of research and the needs of real stakeholders in </w:t>
      </w:r>
      <w:r w:rsidR="00B70525">
        <w:rPr>
          <w:rFonts w:cs="Arial"/>
          <w:szCs w:val="24"/>
        </w:rPr>
        <w:t xml:space="preserve">the world </w:t>
      </w:r>
      <w:r w:rsidR="00FF1CAF" w:rsidRPr="00B53B85">
        <w:rPr>
          <w:rFonts w:cs="Arial"/>
          <w:szCs w:val="24"/>
        </w:rPr>
        <w:t>(</w:t>
      </w:r>
      <w:r w:rsidR="00FF1CAF" w:rsidRPr="009D757B">
        <w:rPr>
          <w:rFonts w:cs="Arial"/>
          <w:szCs w:val="24"/>
        </w:rPr>
        <w:t>Grandhi</w:t>
      </w:r>
      <w:r w:rsidR="00FF1CAF">
        <w:rPr>
          <w:rFonts w:cs="Arial"/>
          <w:szCs w:val="24"/>
        </w:rPr>
        <w:t xml:space="preserve"> </w:t>
      </w:r>
      <w:r w:rsidR="00FF1CAF" w:rsidRPr="00B53B85">
        <w:rPr>
          <w:rFonts w:cs="Arial"/>
          <w:szCs w:val="24"/>
        </w:rPr>
        <w:t xml:space="preserve">et al., </w:t>
      </w:r>
      <w:r w:rsidR="00FF1CAF" w:rsidRPr="009D757B">
        <w:rPr>
          <w:rFonts w:cs="Arial"/>
          <w:szCs w:val="24"/>
        </w:rPr>
        <w:t>2021</w:t>
      </w:r>
      <w:r w:rsidR="00FF1CAF" w:rsidRPr="00B53B85">
        <w:rPr>
          <w:rFonts w:cs="Arial"/>
          <w:szCs w:val="24"/>
        </w:rPr>
        <w:t>)</w:t>
      </w:r>
      <w:r w:rsidR="00B70525">
        <w:rPr>
          <w:rFonts w:cs="Arial"/>
          <w:szCs w:val="24"/>
        </w:rPr>
        <w:t>.</w:t>
      </w:r>
    </w:p>
    <w:p w14:paraId="4C5CBA38" w14:textId="1AFE2998" w:rsidR="008E4F08" w:rsidRPr="00B53B85" w:rsidRDefault="008E4F08" w:rsidP="00B53B85">
      <w:pPr>
        <w:rPr>
          <w:rFonts w:cs="Arial"/>
          <w:szCs w:val="24"/>
        </w:rPr>
      </w:pPr>
      <w:r w:rsidRPr="00B53B85">
        <w:rPr>
          <w:rFonts w:cs="Arial"/>
          <w:szCs w:val="24"/>
        </w:rPr>
        <w:t xml:space="preserve">AstraZeneca also invests heavily in digital engagement, in scientific communication, in medical education, and in stakeholder relationships management. These investments indicate the increasing significance of data, digital applications, and customised interaction in the pharmaceutical markets (Chaffey and Ellis, 2019). Although AstraZeneca has established new communication channels, the traditional dependence of the organisation on face-to-face communication with medical representatives still affects its marketing culture. The move towards hybrid and digital-first interaction throughout and following the COVID -19 pandemic required swift readjustment, but implementation is not well distributed </w:t>
      </w:r>
      <w:r w:rsidR="00FF6471" w:rsidRPr="00B53B85">
        <w:rPr>
          <w:rFonts w:cs="Arial"/>
          <w:szCs w:val="24"/>
        </w:rPr>
        <w:t>(</w:t>
      </w:r>
      <w:r w:rsidR="00FF6471">
        <w:rPr>
          <w:rFonts w:cs="Arial"/>
          <w:szCs w:val="24"/>
        </w:rPr>
        <w:t xml:space="preserve">Hange et al., </w:t>
      </w:r>
      <w:r w:rsidR="00FF6471" w:rsidRPr="002C654E">
        <w:rPr>
          <w:rFonts w:cs="Arial"/>
          <w:szCs w:val="24"/>
        </w:rPr>
        <w:t>2022</w:t>
      </w:r>
      <w:r w:rsidR="00FF6471" w:rsidRPr="00B53B85">
        <w:rPr>
          <w:rFonts w:cs="Arial"/>
          <w:szCs w:val="24"/>
        </w:rPr>
        <w:t>)</w:t>
      </w:r>
      <w:r w:rsidRPr="00B53B85">
        <w:rPr>
          <w:rFonts w:cs="Arial"/>
          <w:szCs w:val="24"/>
        </w:rPr>
        <w:t>.</w:t>
      </w:r>
    </w:p>
    <w:p w14:paraId="488153DC" w14:textId="28DA6874" w:rsidR="008E4F08" w:rsidRPr="00B53B85" w:rsidRDefault="008E4F08" w:rsidP="00B53B85">
      <w:pPr>
        <w:rPr>
          <w:rFonts w:cs="Arial"/>
          <w:szCs w:val="24"/>
        </w:rPr>
      </w:pPr>
      <w:r w:rsidRPr="00B53B85">
        <w:rPr>
          <w:rFonts w:cs="Arial"/>
          <w:szCs w:val="24"/>
        </w:rPr>
        <w:t xml:space="preserve">AstraZeneca marketing is also critical in facilitating the reputation of the organisation internationally. AstraZeneca being a multinational corporation should integrate its corporate identity with the varying regulatory systems, cultural demands, and healthcare models. The importance of providing clear, consistent and evidence-based communication is vital in sustaining the trust between healthcare professionals and patients </w:t>
      </w:r>
      <w:r w:rsidR="00DC6380">
        <w:rPr>
          <w:rFonts w:cs="Arial"/>
          <w:szCs w:val="24"/>
        </w:rPr>
        <w:t>(</w:t>
      </w:r>
      <w:r w:rsidR="00DC6380">
        <w:rPr>
          <w:shd w:val="clear" w:color="auto" w:fill="FFFFFF"/>
        </w:rPr>
        <w:t>Willis and Delbaere, 2022</w:t>
      </w:r>
      <w:r w:rsidR="00DC6380">
        <w:rPr>
          <w:rFonts w:cs="Arial"/>
          <w:szCs w:val="24"/>
        </w:rPr>
        <w:t>)</w:t>
      </w:r>
      <w:r w:rsidRPr="00B53B85">
        <w:rPr>
          <w:rFonts w:cs="Arial"/>
          <w:szCs w:val="24"/>
        </w:rPr>
        <w:t>. Despite having strong scientific leadership, AstraZeneca has an opportunity to be more effective in marketing as long as it is possible to adapt to emerging digital demands. This demands increased focus on information-driven knowledge, behavioural cognition and joint communication approaches.</w:t>
      </w:r>
    </w:p>
    <w:p w14:paraId="57F2E8C6" w14:textId="5D9BAFD8" w:rsidR="008E4F08" w:rsidRDefault="008E4F08" w:rsidP="00B70525">
      <w:pPr>
        <w:pStyle w:val="Heading2"/>
      </w:pPr>
      <w:bookmarkStart w:id="4" w:name="_Toc214355687"/>
      <w:r w:rsidRPr="00B53B85">
        <w:lastRenderedPageBreak/>
        <w:t>1.2 Macro-Environmenta</w:t>
      </w:r>
      <w:r w:rsidR="00B70525">
        <w:t>l (PESTLE Analysis).</w:t>
      </w:r>
      <w:bookmarkEnd w:id="4"/>
    </w:p>
    <w:p w14:paraId="579B27B1" w14:textId="107B58C0" w:rsidR="007B011F" w:rsidRDefault="007B011F" w:rsidP="007B011F">
      <w:r>
        <w:t>The Macro Environmental analysis will be done using PESTLE analysis which showed the below mentioned outcome –</w:t>
      </w:r>
    </w:p>
    <w:p w14:paraId="45634457" w14:textId="0BABB48B" w:rsidR="008E4F08" w:rsidRPr="0011065A" w:rsidRDefault="008E4F08" w:rsidP="0011065A">
      <w:pPr>
        <w:spacing w:after="0"/>
        <w:rPr>
          <w:b/>
        </w:rPr>
      </w:pPr>
      <w:r w:rsidRPr="0011065A">
        <w:rPr>
          <w:b/>
        </w:rPr>
        <w:t>Po</w:t>
      </w:r>
      <w:r w:rsidR="00B70525" w:rsidRPr="0011065A">
        <w:rPr>
          <w:b/>
        </w:rPr>
        <w:t>litical and Regulatory Factors.</w:t>
      </w:r>
    </w:p>
    <w:p w14:paraId="2ED52BC7" w14:textId="2A7411E1" w:rsidR="008E4F08" w:rsidRDefault="008E4F08" w:rsidP="00B53B85">
      <w:pPr>
        <w:rPr>
          <w:rFonts w:cs="Arial"/>
          <w:szCs w:val="24"/>
        </w:rPr>
      </w:pPr>
      <w:r w:rsidRPr="00B53B85">
        <w:rPr>
          <w:rFonts w:cs="Arial"/>
          <w:szCs w:val="24"/>
        </w:rPr>
        <w:t xml:space="preserve">The political and regulatory environment has a significant effect on the marketing operations of AstraZeneca because pharmaceutical marketing is one of the best-regulated types of marketing in the world </w:t>
      </w:r>
      <w:r w:rsidR="001174C7">
        <w:rPr>
          <w:rFonts w:cs="Arial"/>
          <w:szCs w:val="24"/>
        </w:rPr>
        <w:t xml:space="preserve">(Haenlein et al., </w:t>
      </w:r>
      <w:r w:rsidR="001174C7" w:rsidRPr="00501A84">
        <w:rPr>
          <w:rFonts w:cs="Arial"/>
          <w:szCs w:val="24"/>
        </w:rPr>
        <w:t>2022</w:t>
      </w:r>
      <w:r w:rsidR="001174C7">
        <w:rPr>
          <w:rFonts w:cs="Arial"/>
          <w:szCs w:val="24"/>
        </w:rPr>
        <w:t>)</w:t>
      </w:r>
      <w:r w:rsidRPr="00B53B85">
        <w:rPr>
          <w:rFonts w:cs="Arial"/>
          <w:szCs w:val="24"/>
        </w:rPr>
        <w:t>. The EMA, MHRA and FDA agencies have strict regulations on promotional messages, safety messages and medical claims. Lack of compliance may lead to reputational loss and fines, making compliance with regulations the focus of AstraZeneca marketing practises. The digital channel intensifies compliance complexity due to the increased speed and interactivity of communication and the need to have a strong internal governance syst</w:t>
      </w:r>
      <w:r w:rsidR="00B70525">
        <w:rPr>
          <w:rFonts w:cs="Arial"/>
          <w:szCs w:val="24"/>
        </w:rPr>
        <w:t>em.</w:t>
      </w:r>
      <w:r w:rsidR="007B011F">
        <w:rPr>
          <w:rFonts w:cs="Arial"/>
          <w:szCs w:val="24"/>
        </w:rPr>
        <w:t xml:space="preserve"> </w:t>
      </w:r>
      <w:r w:rsidRPr="00B53B85">
        <w:rPr>
          <w:rFonts w:cs="Arial"/>
          <w:szCs w:val="24"/>
        </w:rPr>
        <w:t xml:space="preserve">The pricing of the drugs is another issue that influences the marketing strategy of AstraZeneca. The governments are becoming more inquisitive of pricing and reimbursement, expecting the pharmaceutical companies to prove the value based on clinical efficacy and long-term outcomes </w:t>
      </w:r>
      <w:r w:rsidR="006047E3" w:rsidRPr="00B53B85">
        <w:rPr>
          <w:rFonts w:cs="Arial"/>
          <w:szCs w:val="24"/>
        </w:rPr>
        <w:t>(</w:t>
      </w:r>
      <w:r w:rsidR="006047E3">
        <w:rPr>
          <w:rFonts w:cs="Arial"/>
          <w:szCs w:val="24"/>
        </w:rPr>
        <w:t xml:space="preserve">Dane </w:t>
      </w:r>
      <w:r w:rsidR="006047E3" w:rsidRPr="00B53B85">
        <w:rPr>
          <w:rFonts w:cs="Arial"/>
          <w:szCs w:val="24"/>
        </w:rPr>
        <w:t xml:space="preserve">et al., </w:t>
      </w:r>
      <w:r w:rsidR="006047E3" w:rsidRPr="00D27AFE">
        <w:rPr>
          <w:rFonts w:cs="Arial"/>
          <w:szCs w:val="24"/>
        </w:rPr>
        <w:t>2024</w:t>
      </w:r>
      <w:r w:rsidR="006047E3" w:rsidRPr="00B53B85">
        <w:rPr>
          <w:rFonts w:cs="Arial"/>
          <w:szCs w:val="24"/>
        </w:rPr>
        <w:t>)</w:t>
      </w:r>
      <w:r w:rsidRPr="00B53B85">
        <w:rPr>
          <w:rFonts w:cs="Arial"/>
          <w:szCs w:val="24"/>
        </w:rPr>
        <w:t>. As a result, AstraZeneca needs to consider incorporating health economics and outcomes research in their communication to show affordab</w:t>
      </w:r>
      <w:r w:rsidR="00B70525">
        <w:rPr>
          <w:rFonts w:cs="Arial"/>
          <w:szCs w:val="24"/>
        </w:rPr>
        <w:t>ility and value to the society.</w:t>
      </w:r>
    </w:p>
    <w:p w14:paraId="33EE7578" w14:textId="77777777" w:rsidR="00A56DDD" w:rsidRPr="00A56DDD" w:rsidRDefault="00A56DDD" w:rsidP="00A56DDD">
      <w:pPr>
        <w:spacing w:after="0"/>
        <w:ind w:right="864"/>
        <w:jc w:val="center"/>
        <w:rPr>
          <w:i/>
          <w:iCs/>
          <w:color w:val="404040" w:themeColor="text1" w:themeTint="BF"/>
        </w:rPr>
      </w:pPr>
      <w:r w:rsidRPr="00A56DDD">
        <w:rPr>
          <w:i/>
          <w:iCs/>
          <w:noProof/>
          <w:color w:val="404040" w:themeColor="text1" w:themeTint="BF"/>
          <w:lang w:eastAsia="en-GB"/>
        </w:rPr>
        <w:drawing>
          <wp:inline distT="0" distB="0" distL="0" distR="0" wp14:anchorId="22EC1BA4" wp14:editId="7B9C0216">
            <wp:extent cx="5455920" cy="3067919"/>
            <wp:effectExtent l="0" t="0" r="0" b="0"/>
            <wp:docPr id="3" name="Picture 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ESTEL Analysis (PEST Analysis) EXPLAINED with EXAMPLES | B2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7606" cy="3102606"/>
                    </a:xfrm>
                    <a:prstGeom prst="rect">
                      <a:avLst/>
                    </a:prstGeom>
                    <a:noFill/>
                    <a:ln>
                      <a:noFill/>
                    </a:ln>
                  </pic:spPr>
                </pic:pic>
              </a:graphicData>
            </a:graphic>
          </wp:inline>
        </w:drawing>
      </w:r>
    </w:p>
    <w:p w14:paraId="5E1D3E4E" w14:textId="777A7156" w:rsidR="00A56DDD" w:rsidRPr="00A56DDD" w:rsidRDefault="00A56DDD" w:rsidP="00A56DDD">
      <w:pPr>
        <w:spacing w:after="0"/>
        <w:ind w:right="864"/>
        <w:jc w:val="center"/>
        <w:rPr>
          <w:b/>
          <w:bCs/>
          <w:i/>
          <w:iCs/>
        </w:rPr>
      </w:pPr>
      <w:r w:rsidRPr="00A56DDD">
        <w:rPr>
          <w:b/>
          <w:bCs/>
          <w:i/>
          <w:iCs/>
        </w:rPr>
        <w:t xml:space="preserve">Figure </w:t>
      </w:r>
      <w:r w:rsidRPr="00A56DDD">
        <w:rPr>
          <w:b/>
          <w:bCs/>
          <w:i/>
          <w:iCs/>
        </w:rPr>
        <w:fldChar w:fldCharType="begin"/>
      </w:r>
      <w:r w:rsidRPr="00A56DDD">
        <w:rPr>
          <w:b/>
          <w:bCs/>
          <w:i/>
          <w:iCs/>
        </w:rPr>
        <w:instrText xml:space="preserve"> SEQ Figure \* ARABIC </w:instrText>
      </w:r>
      <w:r w:rsidRPr="00A56DDD">
        <w:rPr>
          <w:b/>
          <w:bCs/>
          <w:i/>
          <w:iCs/>
        </w:rPr>
        <w:fldChar w:fldCharType="separate"/>
      </w:r>
      <w:r w:rsidR="000F779B">
        <w:rPr>
          <w:b/>
          <w:bCs/>
          <w:i/>
          <w:iCs/>
          <w:noProof/>
        </w:rPr>
        <w:t>1</w:t>
      </w:r>
      <w:r w:rsidRPr="00A56DDD">
        <w:rPr>
          <w:b/>
          <w:bCs/>
          <w:i/>
          <w:iCs/>
        </w:rPr>
        <w:fldChar w:fldCharType="end"/>
      </w:r>
      <w:r w:rsidRPr="00A56DDD">
        <w:rPr>
          <w:b/>
          <w:bCs/>
          <w:i/>
          <w:iCs/>
        </w:rPr>
        <w:t>: Macro-Environmental PESTLE Analysis</w:t>
      </w:r>
      <w:r w:rsidRPr="00A56DDD">
        <w:rPr>
          <w:b/>
          <w:bCs/>
          <w:i/>
          <w:iCs/>
        </w:rPr>
        <w:br/>
        <w:t>Source: (Self-Made)</w:t>
      </w:r>
    </w:p>
    <w:p w14:paraId="00C3FDC7" w14:textId="77777777" w:rsidR="00A56DDD" w:rsidRPr="00B53B85" w:rsidRDefault="00A56DDD" w:rsidP="00B53B85">
      <w:pPr>
        <w:rPr>
          <w:rFonts w:cs="Arial"/>
          <w:szCs w:val="24"/>
        </w:rPr>
      </w:pPr>
    </w:p>
    <w:p w14:paraId="085AFE7F" w14:textId="40DB1B07" w:rsidR="008E4F08" w:rsidRPr="0011065A" w:rsidRDefault="00B70525" w:rsidP="0011065A">
      <w:pPr>
        <w:spacing w:after="0"/>
        <w:rPr>
          <w:b/>
        </w:rPr>
      </w:pPr>
      <w:r w:rsidRPr="0011065A">
        <w:rPr>
          <w:b/>
        </w:rPr>
        <w:lastRenderedPageBreak/>
        <w:t>Economic Factors</w:t>
      </w:r>
    </w:p>
    <w:p w14:paraId="695C419A" w14:textId="1BFC6974" w:rsidR="008E4F08" w:rsidRDefault="008E4F08" w:rsidP="00B53B85">
      <w:pPr>
        <w:rPr>
          <w:rFonts w:cs="Arial"/>
          <w:szCs w:val="24"/>
        </w:rPr>
      </w:pPr>
      <w:r w:rsidRPr="00B53B85">
        <w:rPr>
          <w:rFonts w:cs="Arial"/>
          <w:szCs w:val="24"/>
        </w:rPr>
        <w:t xml:space="preserve">The marketing strategies of AstraZeneca depend on the economic conditions, especially at the time when healthcare systems experience financial pressure. The economic turmoil forces the payers to seek more solid cost-effectiveness evidence, more price visibility, and outcomes-based pricing schemes. </w:t>
      </w:r>
      <w:r w:rsidR="000F779B">
        <w:rPr>
          <w:rFonts w:cs="Arial"/>
          <w:szCs w:val="24"/>
        </w:rPr>
        <w:t>Higher and unstable inflation rate 10.4% in 202</w:t>
      </w:r>
      <w:r w:rsidR="004F55A8">
        <w:rPr>
          <w:rFonts w:cs="Arial"/>
          <w:szCs w:val="24"/>
        </w:rPr>
        <w:t>3</w:t>
      </w:r>
      <w:r w:rsidR="000F779B">
        <w:rPr>
          <w:rFonts w:cs="Arial"/>
          <w:szCs w:val="24"/>
        </w:rPr>
        <w:t xml:space="preserve"> has adverse effect on the long-term investment on this organisation. </w:t>
      </w:r>
      <w:r w:rsidRPr="00B53B85">
        <w:rPr>
          <w:rFonts w:cs="Arial"/>
          <w:szCs w:val="24"/>
        </w:rPr>
        <w:t>Marketing should, therefore, be able to explain the value proposition of new therapies in a convincing way using solid evidence. In addition, economic differences in the global market require versatile marketing plans that capture the local a</w:t>
      </w:r>
      <w:r w:rsidR="00B70525">
        <w:rPr>
          <w:rFonts w:cs="Arial"/>
          <w:szCs w:val="24"/>
        </w:rPr>
        <w:t>ccessibility and affordability.</w:t>
      </w:r>
    </w:p>
    <w:p w14:paraId="2DF8D3BE" w14:textId="77777777" w:rsidR="000F779B" w:rsidRDefault="000F779B" w:rsidP="000F779B">
      <w:pPr>
        <w:keepNext/>
        <w:jc w:val="center"/>
      </w:pPr>
      <w:r>
        <w:rPr>
          <w:rFonts w:cs="Arial"/>
          <w:noProof/>
          <w:szCs w:val="24"/>
        </w:rPr>
        <w:drawing>
          <wp:inline distT="0" distB="0" distL="0" distR="0" wp14:anchorId="78F2342A" wp14:editId="736F4672">
            <wp:extent cx="5554980" cy="3286638"/>
            <wp:effectExtent l="0" t="0" r="7620" b="9525"/>
            <wp:docPr id="323612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125" t="8292" b="15611"/>
                    <a:stretch>
                      <a:fillRect/>
                    </a:stretch>
                  </pic:blipFill>
                  <pic:spPr bwMode="auto">
                    <a:xfrm>
                      <a:off x="0" y="0"/>
                      <a:ext cx="5561934" cy="3290753"/>
                    </a:xfrm>
                    <a:prstGeom prst="rect">
                      <a:avLst/>
                    </a:prstGeom>
                    <a:noFill/>
                    <a:ln>
                      <a:noFill/>
                    </a:ln>
                    <a:extLst>
                      <a:ext uri="{53640926-AAD7-44D8-BBD7-CCE9431645EC}">
                        <a14:shadowObscured xmlns:a14="http://schemas.microsoft.com/office/drawing/2010/main"/>
                      </a:ext>
                    </a:extLst>
                  </pic:spPr>
                </pic:pic>
              </a:graphicData>
            </a:graphic>
          </wp:inline>
        </w:drawing>
      </w:r>
    </w:p>
    <w:p w14:paraId="5B1E8E03" w14:textId="77777777" w:rsidR="000F779B" w:rsidRDefault="000F779B" w:rsidP="000F779B">
      <w:pPr>
        <w:pStyle w:val="Caption"/>
        <w:jc w:val="center"/>
        <w:rPr>
          <w:b/>
          <w:bCs/>
          <w:color w:val="auto"/>
          <w:sz w:val="24"/>
          <w:szCs w:val="24"/>
        </w:rPr>
      </w:pPr>
      <w:r w:rsidRPr="000F779B">
        <w:rPr>
          <w:b/>
          <w:bCs/>
          <w:color w:val="auto"/>
          <w:sz w:val="24"/>
          <w:szCs w:val="24"/>
        </w:rPr>
        <w:t xml:space="preserve">Figure </w:t>
      </w:r>
      <w:r w:rsidRPr="000F779B">
        <w:rPr>
          <w:b/>
          <w:bCs/>
          <w:color w:val="auto"/>
          <w:sz w:val="24"/>
          <w:szCs w:val="24"/>
        </w:rPr>
        <w:fldChar w:fldCharType="begin"/>
      </w:r>
      <w:r w:rsidRPr="000F779B">
        <w:rPr>
          <w:b/>
          <w:bCs/>
          <w:color w:val="auto"/>
          <w:sz w:val="24"/>
          <w:szCs w:val="24"/>
        </w:rPr>
        <w:instrText xml:space="preserve"> SEQ Figure \* ARABIC </w:instrText>
      </w:r>
      <w:r w:rsidRPr="000F779B">
        <w:rPr>
          <w:b/>
          <w:bCs/>
          <w:color w:val="auto"/>
          <w:sz w:val="24"/>
          <w:szCs w:val="24"/>
        </w:rPr>
        <w:fldChar w:fldCharType="separate"/>
      </w:r>
      <w:r w:rsidRPr="000F779B">
        <w:rPr>
          <w:b/>
          <w:bCs/>
          <w:noProof/>
          <w:color w:val="auto"/>
          <w:sz w:val="24"/>
          <w:szCs w:val="24"/>
        </w:rPr>
        <w:t>2</w:t>
      </w:r>
      <w:r w:rsidRPr="000F779B">
        <w:rPr>
          <w:b/>
          <w:bCs/>
          <w:color w:val="auto"/>
          <w:sz w:val="24"/>
          <w:szCs w:val="24"/>
        </w:rPr>
        <w:fldChar w:fldCharType="end"/>
      </w:r>
      <w:r w:rsidRPr="000F779B">
        <w:rPr>
          <w:b/>
          <w:bCs/>
          <w:color w:val="auto"/>
          <w:sz w:val="24"/>
          <w:szCs w:val="24"/>
        </w:rPr>
        <w:t xml:space="preserve">: Unstable inflation rate in the UK </w:t>
      </w:r>
    </w:p>
    <w:p w14:paraId="02204C91" w14:textId="29988477" w:rsidR="000F779B" w:rsidRPr="000F779B" w:rsidRDefault="000F779B" w:rsidP="000F779B">
      <w:pPr>
        <w:pStyle w:val="Caption"/>
        <w:jc w:val="center"/>
        <w:rPr>
          <w:rFonts w:cs="Arial"/>
          <w:b/>
          <w:bCs/>
          <w:color w:val="auto"/>
          <w:sz w:val="24"/>
          <w:szCs w:val="36"/>
        </w:rPr>
      </w:pPr>
      <w:r w:rsidRPr="000F779B">
        <w:rPr>
          <w:b/>
          <w:bCs/>
          <w:color w:val="auto"/>
          <w:sz w:val="24"/>
          <w:szCs w:val="24"/>
        </w:rPr>
        <w:t>Source: (Anthuvan and Maheshwari, 2025)</w:t>
      </w:r>
    </w:p>
    <w:p w14:paraId="25D41904" w14:textId="30A8A486" w:rsidR="008E4F08" w:rsidRPr="0011065A" w:rsidRDefault="00B70525" w:rsidP="0011065A">
      <w:pPr>
        <w:spacing w:after="0"/>
        <w:rPr>
          <w:b/>
        </w:rPr>
      </w:pPr>
      <w:r w:rsidRPr="0011065A">
        <w:rPr>
          <w:b/>
        </w:rPr>
        <w:t>Sociocultural Factors</w:t>
      </w:r>
    </w:p>
    <w:p w14:paraId="59BCB3F5" w14:textId="194850DA" w:rsidR="008E4F08" w:rsidRPr="00B53B85" w:rsidRDefault="008E4F08" w:rsidP="00B53B85">
      <w:pPr>
        <w:rPr>
          <w:rFonts w:cs="Arial"/>
          <w:szCs w:val="24"/>
        </w:rPr>
      </w:pPr>
      <w:r w:rsidRPr="00B53B85">
        <w:rPr>
          <w:rFonts w:cs="Arial"/>
          <w:szCs w:val="24"/>
        </w:rPr>
        <w:t>The sociocultural trends influence the expectations regarding healthcare consumption, patient empowerment, and online communication. Patients become more engaged in the process of decision making and demand credible information on the Internet (</w:t>
      </w:r>
      <w:r w:rsidR="00ED33A8">
        <w:rPr>
          <w:shd w:val="clear" w:color="auto" w:fill="FFFFFF"/>
        </w:rPr>
        <w:t>Jamalova, 2024</w:t>
      </w:r>
      <w:r w:rsidRPr="00B53B85">
        <w:rPr>
          <w:rFonts w:cs="Arial"/>
          <w:szCs w:val="24"/>
        </w:rPr>
        <w:t xml:space="preserve">). AstraZeneca offers patient education resources; however, it does not offer much digital personalisation to patients. Increasing </w:t>
      </w:r>
      <w:r w:rsidR="0011065A" w:rsidRPr="00B53B85">
        <w:rPr>
          <w:rFonts w:cs="Arial"/>
          <w:szCs w:val="24"/>
        </w:rPr>
        <w:t>chronic</w:t>
      </w:r>
      <w:r w:rsidRPr="00B53B85">
        <w:rPr>
          <w:rFonts w:cs="Arial"/>
          <w:szCs w:val="24"/>
        </w:rPr>
        <w:t xml:space="preserve">-disease rates and ageing populations are in line with AstraZeneca therapeutic line, but the trends also require more long-term, personalised, and </w:t>
      </w:r>
      <w:r w:rsidR="00B70525">
        <w:rPr>
          <w:rFonts w:cs="Arial"/>
          <w:szCs w:val="24"/>
        </w:rPr>
        <w:t>culturally-aware communication.</w:t>
      </w:r>
    </w:p>
    <w:p w14:paraId="2DD79D5C" w14:textId="50BC7F5F" w:rsidR="008E4F08" w:rsidRPr="0011065A" w:rsidRDefault="00B70525" w:rsidP="0011065A">
      <w:pPr>
        <w:spacing w:after="0"/>
        <w:rPr>
          <w:b/>
        </w:rPr>
      </w:pPr>
      <w:r w:rsidRPr="0011065A">
        <w:rPr>
          <w:b/>
        </w:rPr>
        <w:lastRenderedPageBreak/>
        <w:t>Technological Factors</w:t>
      </w:r>
    </w:p>
    <w:p w14:paraId="37EFDA99" w14:textId="46E2B1F7" w:rsidR="008E4F08" w:rsidRPr="00B53B85" w:rsidRDefault="008E4F08" w:rsidP="00211C0B">
      <w:pPr>
        <w:rPr>
          <w:rFonts w:cs="Arial"/>
          <w:szCs w:val="24"/>
        </w:rPr>
      </w:pPr>
      <w:r w:rsidRPr="00B53B85">
        <w:rPr>
          <w:rFonts w:cs="Arial"/>
          <w:szCs w:val="24"/>
        </w:rPr>
        <w:t>The most important source of marketing change in AstraZeneca is the aspect of technological advancement. The use of artificial intelligence, machine learning, digital therapeutics, virtual care platforms, and real-world evidence analytics is altering how information is accessed and decisions are made by the stakeholders (</w:t>
      </w:r>
      <w:r w:rsidR="00211C0B">
        <w:rPr>
          <w:rFonts w:cs="Arial"/>
          <w:szCs w:val="24"/>
        </w:rPr>
        <w:t xml:space="preserve">Hicham </w:t>
      </w:r>
      <w:r w:rsidRPr="00B53B85">
        <w:rPr>
          <w:rFonts w:cs="Arial"/>
          <w:szCs w:val="24"/>
        </w:rPr>
        <w:t>et al., 202</w:t>
      </w:r>
      <w:r w:rsidR="00211C0B">
        <w:rPr>
          <w:rFonts w:cs="Arial"/>
          <w:szCs w:val="24"/>
        </w:rPr>
        <w:t>3</w:t>
      </w:r>
      <w:r w:rsidRPr="00B53B85">
        <w:rPr>
          <w:rFonts w:cs="Arial"/>
          <w:szCs w:val="24"/>
        </w:rPr>
        <w:t>). AstraZeneca has invested in digital tools; these have not been rolled out across regions in a consistent fashion. The organisation is not well integrated in terms of data systems and this limits the organisation in personalising engagement and capturing user behaviour. The competition is turning to the usage of predictive analytics and AI-based engagement, which forces AstraZeneca to hasten the digital transformati</w:t>
      </w:r>
      <w:r w:rsidR="00B70525">
        <w:rPr>
          <w:rFonts w:cs="Arial"/>
          <w:szCs w:val="24"/>
        </w:rPr>
        <w:t xml:space="preserve">on </w:t>
      </w:r>
      <w:r w:rsidR="00EA3D28">
        <w:rPr>
          <w:rFonts w:cs="Arial"/>
          <w:szCs w:val="24"/>
        </w:rPr>
        <w:t xml:space="preserve">(Haenlein et al., </w:t>
      </w:r>
      <w:r w:rsidR="00EA3D28" w:rsidRPr="00501A84">
        <w:rPr>
          <w:rFonts w:cs="Arial"/>
          <w:szCs w:val="24"/>
        </w:rPr>
        <w:t>2022</w:t>
      </w:r>
      <w:r w:rsidR="00EA3D28">
        <w:rPr>
          <w:rFonts w:cs="Arial"/>
          <w:szCs w:val="24"/>
        </w:rPr>
        <w:t>)</w:t>
      </w:r>
      <w:r w:rsidR="00B70525">
        <w:rPr>
          <w:rFonts w:cs="Arial"/>
          <w:szCs w:val="24"/>
        </w:rPr>
        <w:t>.</w:t>
      </w:r>
    </w:p>
    <w:p w14:paraId="6CB3ACDA" w14:textId="48E0D8E4" w:rsidR="008E4F08" w:rsidRPr="0011065A" w:rsidRDefault="008E4F08" w:rsidP="0011065A">
      <w:pPr>
        <w:spacing w:after="0"/>
        <w:rPr>
          <w:b/>
        </w:rPr>
      </w:pPr>
      <w:r w:rsidRPr="0011065A">
        <w:rPr>
          <w:b/>
        </w:rPr>
        <w:t>Legal a</w:t>
      </w:r>
      <w:r w:rsidR="00B70525" w:rsidRPr="0011065A">
        <w:rPr>
          <w:b/>
        </w:rPr>
        <w:t>nd Ethical Factors</w:t>
      </w:r>
    </w:p>
    <w:p w14:paraId="121568FB" w14:textId="20287E19" w:rsidR="008E4F08" w:rsidRPr="00B53B85" w:rsidRDefault="008E4F08" w:rsidP="00B53B85">
      <w:pPr>
        <w:rPr>
          <w:rFonts w:cs="Arial"/>
          <w:szCs w:val="24"/>
        </w:rPr>
      </w:pPr>
      <w:r w:rsidRPr="00B53B85">
        <w:rPr>
          <w:rFonts w:cs="Arial"/>
          <w:szCs w:val="24"/>
        </w:rPr>
        <w:t>AstraZeneca marketing has legal and ethical limits that create fundamental boundaries. Other laws, including GDPR, restrict the possibility to use personal information, which requires effective data governance and transparency (</w:t>
      </w:r>
      <w:r w:rsidR="00760054" w:rsidRPr="00760054">
        <w:rPr>
          <w:rFonts w:cs="Arial"/>
          <w:szCs w:val="24"/>
        </w:rPr>
        <w:t>McGraw</w:t>
      </w:r>
      <w:r w:rsidR="00760054">
        <w:rPr>
          <w:rFonts w:cs="Arial"/>
          <w:szCs w:val="24"/>
        </w:rPr>
        <w:t xml:space="preserve"> </w:t>
      </w:r>
      <w:r w:rsidR="00760054" w:rsidRPr="00760054">
        <w:rPr>
          <w:rFonts w:cs="Arial"/>
          <w:szCs w:val="24"/>
        </w:rPr>
        <w:t>and Mandl, 2021</w:t>
      </w:r>
      <w:r w:rsidRPr="00B53B85">
        <w:rPr>
          <w:rFonts w:cs="Arial"/>
          <w:szCs w:val="24"/>
        </w:rPr>
        <w:t>). Pharmaceutical marketing standards focus on scientific accuracy, fairness, and patient safety through ethics. Strict internal control measures help reduce the speed of content implementation but ensure the credibility of AstraZeneca.</w:t>
      </w:r>
    </w:p>
    <w:p w14:paraId="4EF28450" w14:textId="577B0AC8" w:rsidR="008E4F08" w:rsidRPr="0011065A" w:rsidRDefault="00B70525" w:rsidP="0011065A">
      <w:pPr>
        <w:spacing w:after="0"/>
        <w:rPr>
          <w:b/>
        </w:rPr>
      </w:pPr>
      <w:r w:rsidRPr="0011065A">
        <w:rPr>
          <w:b/>
        </w:rPr>
        <w:t>Environmental Factors</w:t>
      </w:r>
    </w:p>
    <w:p w14:paraId="48CACEDF" w14:textId="238399DA" w:rsidR="008E4F08" w:rsidRPr="00B53B85" w:rsidRDefault="008E4F08" w:rsidP="00DE4FDE">
      <w:pPr>
        <w:rPr>
          <w:rFonts w:cs="Arial"/>
          <w:szCs w:val="24"/>
        </w:rPr>
      </w:pPr>
      <w:r w:rsidRPr="00B53B85">
        <w:rPr>
          <w:rFonts w:cs="Arial"/>
          <w:szCs w:val="24"/>
        </w:rPr>
        <w:t xml:space="preserve">The brand positioning of AstraZeneca is subjected to an ever stronger impact by sustainability. Carbon-neutrality goals, as well as other environmental obligations of the organisation, support its image of a responsible and forward-looking organisation (AstraZeneca, 2023). The stakeholders are increasingly considering ESG </w:t>
      </w:r>
      <w:r w:rsidR="00CB4413" w:rsidRPr="00B53B85">
        <w:rPr>
          <w:rFonts w:cs="Arial"/>
          <w:szCs w:val="24"/>
        </w:rPr>
        <w:t>credentials</w:t>
      </w:r>
      <w:r w:rsidRPr="00B53B85">
        <w:rPr>
          <w:rFonts w:cs="Arial"/>
          <w:szCs w:val="24"/>
        </w:rPr>
        <w:t xml:space="preserve"> in choosing healthcare partners, and hence making sustainability a critical aspect of the marketing strategy (</w:t>
      </w:r>
      <w:r w:rsidR="00DE4FDE">
        <w:rPr>
          <w:rFonts w:cs="Arial"/>
          <w:szCs w:val="24"/>
        </w:rPr>
        <w:t xml:space="preserve">Sawadthaworn et al., </w:t>
      </w:r>
      <w:r w:rsidR="00DE4FDE" w:rsidRPr="00DE4FDE">
        <w:rPr>
          <w:rFonts w:cs="Arial"/>
          <w:szCs w:val="24"/>
        </w:rPr>
        <w:t>2025</w:t>
      </w:r>
      <w:r w:rsidRPr="00B53B85">
        <w:rPr>
          <w:rFonts w:cs="Arial"/>
          <w:szCs w:val="24"/>
        </w:rPr>
        <w:t xml:space="preserve">).  </w:t>
      </w:r>
    </w:p>
    <w:p w14:paraId="5B9DEE6A" w14:textId="77777777" w:rsidR="00B70525" w:rsidRDefault="00B70525">
      <w:pPr>
        <w:spacing w:line="259" w:lineRule="auto"/>
        <w:jc w:val="left"/>
        <w:rPr>
          <w:rFonts w:eastAsiaTheme="majorEastAsia" w:cstheme="majorBidi"/>
          <w:b/>
          <w:color w:val="2F5496" w:themeColor="accent1" w:themeShade="BF"/>
          <w:sz w:val="26"/>
          <w:szCs w:val="26"/>
        </w:rPr>
      </w:pPr>
      <w:r>
        <w:br w:type="page"/>
      </w:r>
    </w:p>
    <w:p w14:paraId="6EC75373" w14:textId="3DDCD32B" w:rsidR="008E4F08" w:rsidRDefault="00B70525" w:rsidP="00B70525">
      <w:pPr>
        <w:pStyle w:val="Heading2"/>
      </w:pPr>
      <w:bookmarkStart w:id="5" w:name="_Toc214355688"/>
      <w:r>
        <w:lastRenderedPageBreak/>
        <w:t xml:space="preserve">1.3 </w:t>
      </w:r>
      <w:r w:rsidR="008E4F08" w:rsidRPr="00B53B85">
        <w:rPr>
          <w:sz w:val="24"/>
        </w:rPr>
        <w:t xml:space="preserve">Micro </w:t>
      </w:r>
      <w:r w:rsidRPr="00B53B85">
        <w:t>Environmental Influences</w:t>
      </w:r>
      <w:bookmarkEnd w:id="5"/>
      <w:r w:rsidRPr="00B53B85">
        <w:t xml:space="preserve"> </w:t>
      </w:r>
    </w:p>
    <w:p w14:paraId="37348434" w14:textId="083DF52C" w:rsidR="009223A1" w:rsidRDefault="009223A1" w:rsidP="009223A1">
      <w:r>
        <w:t xml:space="preserve">The Micro Environmental analysis </w:t>
      </w:r>
      <w:r w:rsidR="00AC7DC0">
        <w:t>has</w:t>
      </w:r>
      <w:r>
        <w:t xml:space="preserve"> been done which showed the below mentioned outcome –</w:t>
      </w:r>
    </w:p>
    <w:p w14:paraId="431CD1F7" w14:textId="77777777" w:rsidR="00644A41" w:rsidRDefault="00644A41" w:rsidP="00E52E10">
      <w:pPr>
        <w:pStyle w:val="Quote"/>
      </w:pPr>
      <w:r>
        <w:rPr>
          <w:noProof/>
          <w:lang w:eastAsia="en-GB"/>
        </w:rPr>
        <w:drawing>
          <wp:inline distT="0" distB="0" distL="0" distR="0" wp14:anchorId="730D9D18" wp14:editId="263DD593">
            <wp:extent cx="5740842" cy="2751151"/>
            <wp:effectExtent l="0" t="0" r="0" b="114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AB2FCEA" w14:textId="6BE6BFFB" w:rsidR="009223A1" w:rsidRPr="009223A1" w:rsidRDefault="00644A41" w:rsidP="00E52E10">
      <w:pPr>
        <w:pStyle w:val="Quote"/>
      </w:pPr>
      <w:r>
        <w:t xml:space="preserve">Figure </w:t>
      </w:r>
      <w:fldSimple w:instr=" SEQ Figure \* ARABIC ">
        <w:r w:rsidR="000F779B">
          <w:rPr>
            <w:noProof/>
          </w:rPr>
          <w:t>3</w:t>
        </w:r>
      </w:fldSimple>
      <w:r>
        <w:t xml:space="preserve">: </w:t>
      </w:r>
      <w:r w:rsidRPr="00644A41">
        <w:t>Micro Environmental Influence</w:t>
      </w:r>
      <w:r>
        <w:t>r</w:t>
      </w:r>
      <w:r w:rsidRPr="00644A41">
        <w:t>s</w:t>
      </w:r>
      <w:r>
        <w:br/>
        <w:t>Source: (Self-Made)</w:t>
      </w:r>
    </w:p>
    <w:p w14:paraId="3B4C2AD9" w14:textId="24D47616" w:rsidR="008E4F08" w:rsidRPr="0011065A" w:rsidRDefault="00B3704F" w:rsidP="0011065A">
      <w:pPr>
        <w:spacing w:after="0"/>
        <w:rPr>
          <w:b/>
        </w:rPr>
      </w:pPr>
      <w:r w:rsidRPr="0011065A">
        <w:rPr>
          <w:b/>
        </w:rPr>
        <w:t xml:space="preserve">Patients  </w:t>
      </w:r>
    </w:p>
    <w:p w14:paraId="5584823E" w14:textId="260550E7" w:rsidR="008E4F08" w:rsidRPr="00B53B85" w:rsidRDefault="008E4F08" w:rsidP="008E2202">
      <w:pPr>
        <w:rPr>
          <w:rFonts w:cs="Arial"/>
          <w:szCs w:val="24"/>
        </w:rPr>
      </w:pPr>
      <w:r w:rsidRPr="00B53B85">
        <w:rPr>
          <w:rFonts w:cs="Arial"/>
          <w:szCs w:val="24"/>
        </w:rPr>
        <w:t>Patients are gaining knowledge and becoming more digitally active and active in shared decision-making. Similar to itself, though, AstraZeneca is a company with disease-awareness tools, but its online space is not yet able to support individual patient experience pathways. Digital behaviour differs significantly between groups of patients; some individuals follow scientific sources, and other people make use of peer groups or mobile health apps (</w:t>
      </w:r>
      <w:r w:rsidR="008E2202">
        <w:rPr>
          <w:rFonts w:cs="Arial"/>
          <w:szCs w:val="24"/>
        </w:rPr>
        <w:t xml:space="preserve">Feng et al., </w:t>
      </w:r>
      <w:r w:rsidR="008E2202" w:rsidRPr="008E2202">
        <w:rPr>
          <w:rFonts w:cs="Arial"/>
          <w:szCs w:val="24"/>
        </w:rPr>
        <w:t>2021</w:t>
      </w:r>
      <w:r w:rsidRPr="00B53B85">
        <w:rPr>
          <w:rFonts w:cs="Arial"/>
          <w:szCs w:val="24"/>
        </w:rPr>
        <w:t>). This means that AstraZeneca will need to invest more in digital to accommodate these different tastes, as well as the differen</w:t>
      </w:r>
      <w:r w:rsidR="00F87E30">
        <w:rPr>
          <w:rFonts w:cs="Arial"/>
          <w:szCs w:val="24"/>
        </w:rPr>
        <w:t xml:space="preserve">t degrees of health literacy.  </w:t>
      </w:r>
    </w:p>
    <w:p w14:paraId="349E4F25" w14:textId="15F9A24F" w:rsidR="008E4F08" w:rsidRPr="0011065A" w:rsidRDefault="00F87E30" w:rsidP="0011065A">
      <w:pPr>
        <w:spacing w:after="0"/>
        <w:rPr>
          <w:b/>
        </w:rPr>
      </w:pPr>
      <w:r w:rsidRPr="0011065A">
        <w:rPr>
          <w:b/>
        </w:rPr>
        <w:t xml:space="preserve">Healthcare Professionals  </w:t>
      </w:r>
    </w:p>
    <w:p w14:paraId="384F1057" w14:textId="64DB9E19" w:rsidR="008E4F08" w:rsidRPr="00B53B85" w:rsidRDefault="008E4F08" w:rsidP="002C654E">
      <w:pPr>
        <w:rPr>
          <w:rFonts w:cs="Arial"/>
          <w:szCs w:val="24"/>
        </w:rPr>
      </w:pPr>
      <w:r w:rsidRPr="00B53B85">
        <w:rPr>
          <w:rFonts w:cs="Arial"/>
          <w:szCs w:val="24"/>
        </w:rPr>
        <w:t>Scientific communication to healthcare professionals still remains a key target of AstraZeneca. Clinicians are becoming more dependent on online sources to keep up with updates on evidence quickly and favour virtual or hybrid education (</w:t>
      </w:r>
      <w:r w:rsidR="002C654E">
        <w:rPr>
          <w:rFonts w:cs="Arial"/>
          <w:szCs w:val="24"/>
        </w:rPr>
        <w:t xml:space="preserve">Hange et al., </w:t>
      </w:r>
      <w:r w:rsidR="002C654E" w:rsidRPr="002C654E">
        <w:rPr>
          <w:rFonts w:cs="Arial"/>
          <w:szCs w:val="24"/>
        </w:rPr>
        <w:t>2022</w:t>
      </w:r>
      <w:r w:rsidRPr="00B53B85">
        <w:rPr>
          <w:rFonts w:cs="Arial"/>
          <w:szCs w:val="24"/>
        </w:rPr>
        <w:t xml:space="preserve">). In AstraZeneca, although there are digital detailing and webinars, the extent and coordination of these products vary across territories. Such </w:t>
      </w:r>
      <w:r w:rsidR="00644A41" w:rsidRPr="00B53B85">
        <w:rPr>
          <w:rFonts w:cs="Arial"/>
          <w:szCs w:val="24"/>
        </w:rPr>
        <w:t>difference</w:t>
      </w:r>
      <w:r w:rsidRPr="00B53B85">
        <w:rPr>
          <w:rFonts w:cs="Arial"/>
          <w:szCs w:val="24"/>
        </w:rPr>
        <w:t xml:space="preserve"> constrains the capacity of AstraZeneca to provide a consistent </w:t>
      </w:r>
      <w:r w:rsidR="00F87E30" w:rsidRPr="00B53B85">
        <w:rPr>
          <w:rFonts w:cs="Arial"/>
          <w:szCs w:val="24"/>
        </w:rPr>
        <w:t>Omni</w:t>
      </w:r>
      <w:r w:rsidR="00F87E30">
        <w:rPr>
          <w:rFonts w:cs="Arial"/>
          <w:szCs w:val="24"/>
        </w:rPr>
        <w:t>-</w:t>
      </w:r>
      <w:r w:rsidRPr="00B53B85">
        <w:rPr>
          <w:rFonts w:cs="Arial"/>
          <w:szCs w:val="24"/>
        </w:rPr>
        <w:t xml:space="preserve">channel engagement strategy.  </w:t>
      </w:r>
    </w:p>
    <w:p w14:paraId="406FBF83" w14:textId="51834668" w:rsidR="008E4F08" w:rsidRPr="0011065A" w:rsidRDefault="00F87E30" w:rsidP="0011065A">
      <w:pPr>
        <w:spacing w:after="0"/>
        <w:rPr>
          <w:b/>
        </w:rPr>
      </w:pPr>
      <w:r w:rsidRPr="0011065A">
        <w:rPr>
          <w:b/>
        </w:rPr>
        <w:lastRenderedPageBreak/>
        <w:t xml:space="preserve">Competitors  </w:t>
      </w:r>
    </w:p>
    <w:p w14:paraId="1A12EC5E" w14:textId="3E2ECC15" w:rsidR="008E4F08" w:rsidRPr="00B53B85" w:rsidRDefault="008E4F08" w:rsidP="00D27AFE">
      <w:pPr>
        <w:rPr>
          <w:rFonts w:cs="Arial"/>
          <w:szCs w:val="24"/>
        </w:rPr>
      </w:pPr>
      <w:r w:rsidRPr="00B53B85">
        <w:rPr>
          <w:rFonts w:cs="Arial"/>
          <w:szCs w:val="24"/>
        </w:rPr>
        <w:t xml:space="preserve">AstraZeneca operates in the competition with such big pharmaceutical organisations as Roche, Merck, Novartis, and Pfizer. These companies have gained a step forward in digital transformation, engagement in </w:t>
      </w:r>
      <w:r w:rsidR="00F87E30" w:rsidRPr="00B53B85">
        <w:rPr>
          <w:rFonts w:cs="Arial"/>
          <w:szCs w:val="24"/>
        </w:rPr>
        <w:t>Omni</w:t>
      </w:r>
      <w:r w:rsidR="00F87E30">
        <w:rPr>
          <w:rFonts w:cs="Arial"/>
          <w:szCs w:val="24"/>
        </w:rPr>
        <w:t>-</w:t>
      </w:r>
      <w:r w:rsidR="00F87E30" w:rsidRPr="00B53B85">
        <w:rPr>
          <w:rFonts w:cs="Arial"/>
          <w:szCs w:val="24"/>
        </w:rPr>
        <w:t>channel</w:t>
      </w:r>
      <w:r w:rsidRPr="00B53B85">
        <w:rPr>
          <w:rFonts w:cs="Arial"/>
          <w:szCs w:val="24"/>
        </w:rPr>
        <w:t>, and marketing based on analytics (</w:t>
      </w:r>
      <w:r w:rsidR="00D27AFE">
        <w:rPr>
          <w:rFonts w:cs="Arial"/>
          <w:szCs w:val="24"/>
        </w:rPr>
        <w:t xml:space="preserve">Dane </w:t>
      </w:r>
      <w:r w:rsidRPr="00B53B85">
        <w:rPr>
          <w:rFonts w:cs="Arial"/>
          <w:szCs w:val="24"/>
        </w:rPr>
        <w:t xml:space="preserve">et al., </w:t>
      </w:r>
      <w:r w:rsidR="00D27AFE" w:rsidRPr="00D27AFE">
        <w:rPr>
          <w:rFonts w:cs="Arial"/>
          <w:szCs w:val="24"/>
        </w:rPr>
        <w:t>2024</w:t>
      </w:r>
      <w:r w:rsidRPr="00B53B85">
        <w:rPr>
          <w:rFonts w:cs="Arial"/>
          <w:szCs w:val="24"/>
        </w:rPr>
        <w:t xml:space="preserve">). The scientific pipeline of AstraZeneca is also very competitive, but it should be backed by strong digital capability to maintain a differentiation in the market.  </w:t>
      </w:r>
    </w:p>
    <w:p w14:paraId="786DC976" w14:textId="52D26A20" w:rsidR="008E4F08" w:rsidRPr="0011065A" w:rsidRDefault="00F87E30" w:rsidP="0011065A">
      <w:pPr>
        <w:spacing w:after="0"/>
        <w:rPr>
          <w:b/>
        </w:rPr>
      </w:pPr>
      <w:r w:rsidRPr="0011065A">
        <w:rPr>
          <w:b/>
        </w:rPr>
        <w:t xml:space="preserve">Internal Capabilities  </w:t>
      </w:r>
    </w:p>
    <w:p w14:paraId="26D6A34A" w14:textId="151BA9D1" w:rsidR="008E4F08" w:rsidRPr="00B53B85" w:rsidRDefault="008E4F08" w:rsidP="009D757B">
      <w:pPr>
        <w:rPr>
          <w:rFonts w:cs="Arial"/>
          <w:szCs w:val="24"/>
        </w:rPr>
      </w:pPr>
      <w:r w:rsidRPr="00B53B85">
        <w:rPr>
          <w:rFonts w:cs="Arial"/>
          <w:szCs w:val="24"/>
        </w:rPr>
        <w:t>Among its internal capabilities, AstraZeneca has a profound scientific understanding and robust clinical pipeline. Nevertheless, there are still restrictions regarding the digital integration and inter-functional cooperation. Marketing agility is limited by silos on medical affairs, commercial teams, regulatory functions and digital departments. To gain efficiency and responsiveness, it is necessary to enhance digital literacy and implement workflows that are integrated (</w:t>
      </w:r>
      <w:r w:rsidR="009D757B" w:rsidRPr="009D757B">
        <w:rPr>
          <w:rFonts w:cs="Arial"/>
          <w:szCs w:val="24"/>
        </w:rPr>
        <w:t>Grandhi</w:t>
      </w:r>
      <w:r w:rsidR="009D757B">
        <w:rPr>
          <w:rFonts w:cs="Arial"/>
          <w:szCs w:val="24"/>
        </w:rPr>
        <w:t xml:space="preserve"> </w:t>
      </w:r>
      <w:r w:rsidRPr="00B53B85">
        <w:rPr>
          <w:rFonts w:cs="Arial"/>
          <w:szCs w:val="24"/>
        </w:rPr>
        <w:t xml:space="preserve">et al., </w:t>
      </w:r>
      <w:r w:rsidR="009D757B" w:rsidRPr="009D757B">
        <w:rPr>
          <w:rFonts w:cs="Arial"/>
          <w:szCs w:val="24"/>
        </w:rPr>
        <w:t>2021</w:t>
      </w:r>
      <w:r w:rsidRPr="00B53B85">
        <w:rPr>
          <w:rFonts w:cs="Arial"/>
          <w:szCs w:val="24"/>
        </w:rPr>
        <w:t xml:space="preserve">).  </w:t>
      </w:r>
    </w:p>
    <w:p w14:paraId="23630C6D" w14:textId="234AD308" w:rsidR="008E4F08" w:rsidRPr="00B53B85" w:rsidRDefault="008E4F08" w:rsidP="008465D7">
      <w:pPr>
        <w:pStyle w:val="Heading2"/>
        <w:rPr>
          <w:sz w:val="24"/>
        </w:rPr>
      </w:pPr>
      <w:bookmarkStart w:id="6" w:name="_Toc214355689"/>
      <w:r w:rsidRPr="00B53B85">
        <w:rPr>
          <w:sz w:val="24"/>
        </w:rPr>
        <w:t>1.4 Segmentation, Targe</w:t>
      </w:r>
      <w:r w:rsidR="007E3879">
        <w:t>ting and Positioning (STP).</w:t>
      </w:r>
      <w:bookmarkEnd w:id="6"/>
      <w:r w:rsidR="007E3879">
        <w:t xml:space="preserve">  </w:t>
      </w:r>
    </w:p>
    <w:p w14:paraId="4E67EDF5" w14:textId="77777777" w:rsidR="0056776D" w:rsidRDefault="008E4F08" w:rsidP="00B53B85">
      <w:pPr>
        <w:rPr>
          <w:rFonts w:cs="Arial"/>
          <w:szCs w:val="24"/>
        </w:rPr>
      </w:pPr>
      <w:r w:rsidRPr="00B53B85">
        <w:rPr>
          <w:rFonts w:cs="Arial"/>
          <w:szCs w:val="24"/>
        </w:rPr>
        <w:t xml:space="preserve">The segmentation approach of AstraZeneca is mainly based on the clinical factors, which include the disease category, biomarker status, and level of severity. This therapeutic targeting is suitable but not enough to cater to behavioural, digital, and attitudinal diversity among the stakeholders. </w:t>
      </w:r>
    </w:p>
    <w:p w14:paraId="37EF17C2" w14:textId="77777777" w:rsidR="0056776D" w:rsidRDefault="0056776D" w:rsidP="00E52E10">
      <w:pPr>
        <w:pStyle w:val="Quote"/>
      </w:pPr>
      <w:r w:rsidRPr="0056776D">
        <w:rPr>
          <w:noProof/>
        </w:rPr>
        <w:drawing>
          <wp:inline distT="0" distB="0" distL="0" distR="0" wp14:anchorId="4BC1496A" wp14:editId="3FF704B1">
            <wp:extent cx="4047214" cy="1639883"/>
            <wp:effectExtent l="0" t="0" r="0" b="0"/>
            <wp:docPr id="5" name="Picture 5"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P marketing: The Segmentation, Targeting, Positioning model"/>
                    <pic:cNvPicPr>
                      <a:picLocks noChangeAspect="1" noChangeArrowheads="1"/>
                    </pic:cNvPicPr>
                  </pic:nvPicPr>
                  <pic:blipFill rotWithShape="1">
                    <a:blip r:embed="rId17">
                      <a:extLst>
                        <a:ext uri="{28A0092B-C50C-407E-A947-70E740481C1C}">
                          <a14:useLocalDpi xmlns:a14="http://schemas.microsoft.com/office/drawing/2010/main" val="0"/>
                        </a:ext>
                      </a:extLst>
                    </a:blip>
                    <a:srcRect t="28304" b="20981"/>
                    <a:stretch/>
                  </pic:blipFill>
                  <pic:spPr bwMode="auto">
                    <a:xfrm>
                      <a:off x="0" y="0"/>
                      <a:ext cx="4108654" cy="1664778"/>
                    </a:xfrm>
                    <a:prstGeom prst="rect">
                      <a:avLst/>
                    </a:prstGeom>
                    <a:noFill/>
                    <a:ln>
                      <a:noFill/>
                    </a:ln>
                    <a:extLst>
                      <a:ext uri="{53640926-AAD7-44D8-BBD7-CCE9431645EC}">
                        <a14:shadowObscured xmlns:a14="http://schemas.microsoft.com/office/drawing/2010/main"/>
                      </a:ext>
                    </a:extLst>
                  </pic:spPr>
                </pic:pic>
              </a:graphicData>
            </a:graphic>
          </wp:inline>
        </w:drawing>
      </w:r>
    </w:p>
    <w:p w14:paraId="75E3E0D5" w14:textId="375573FF" w:rsidR="0056776D" w:rsidRDefault="0056776D" w:rsidP="00E52E10">
      <w:pPr>
        <w:pStyle w:val="Quote"/>
      </w:pPr>
      <w:r>
        <w:t xml:space="preserve">Figure </w:t>
      </w:r>
      <w:fldSimple w:instr=" SEQ Figure \* ARABIC ">
        <w:r w:rsidR="000F779B">
          <w:rPr>
            <w:noProof/>
          </w:rPr>
          <w:t>4</w:t>
        </w:r>
      </w:fldSimple>
      <w:r>
        <w:t xml:space="preserve">: </w:t>
      </w:r>
      <w:r w:rsidRPr="00E733D1">
        <w:t>Segmentation, Targeting and Positioning</w:t>
      </w:r>
      <w:r>
        <w:br/>
        <w:t>Source: (Self-Made)</w:t>
      </w:r>
    </w:p>
    <w:p w14:paraId="21C02DFF" w14:textId="0420B59C" w:rsidR="008E4F08" w:rsidRPr="00B53B85" w:rsidRDefault="008E4F08" w:rsidP="00B53B85">
      <w:pPr>
        <w:rPr>
          <w:rFonts w:cs="Arial"/>
          <w:szCs w:val="24"/>
        </w:rPr>
      </w:pPr>
      <w:r w:rsidRPr="00B53B85">
        <w:rPr>
          <w:rFonts w:cs="Arial"/>
          <w:szCs w:val="24"/>
        </w:rPr>
        <w:t>Modern marketing literature shows the significance of behavioural segmentation in order to target communication (</w:t>
      </w:r>
      <w:r w:rsidR="0011065A">
        <w:rPr>
          <w:shd w:val="clear" w:color="auto" w:fill="FFFFFF"/>
        </w:rPr>
        <w:t>de Oliveira Santos and de Sousa Oliveira, 2023</w:t>
      </w:r>
      <w:r w:rsidRPr="00B53B85">
        <w:rPr>
          <w:rFonts w:cs="Arial"/>
          <w:szCs w:val="24"/>
        </w:rPr>
        <w:t xml:space="preserve">). In turn, the </w:t>
      </w:r>
      <w:r w:rsidR="0011065A" w:rsidRPr="00B53B85">
        <w:rPr>
          <w:rFonts w:cs="Arial"/>
          <w:szCs w:val="24"/>
        </w:rPr>
        <w:t>current</w:t>
      </w:r>
      <w:r w:rsidRPr="00B53B85">
        <w:rPr>
          <w:rFonts w:cs="Arial"/>
          <w:szCs w:val="24"/>
        </w:rPr>
        <w:t xml:space="preserve"> </w:t>
      </w:r>
      <w:r w:rsidR="0011065A" w:rsidRPr="00B53B85">
        <w:rPr>
          <w:rFonts w:cs="Arial"/>
          <w:szCs w:val="24"/>
        </w:rPr>
        <w:t>division</w:t>
      </w:r>
      <w:r w:rsidRPr="00B53B85">
        <w:rPr>
          <w:rFonts w:cs="Arial"/>
          <w:szCs w:val="24"/>
        </w:rPr>
        <w:t xml:space="preserve"> of AstraZeneca lacks the full </w:t>
      </w:r>
      <w:r w:rsidR="0011065A" w:rsidRPr="00B53B85">
        <w:rPr>
          <w:rFonts w:cs="Arial"/>
          <w:szCs w:val="24"/>
        </w:rPr>
        <w:t>picture</w:t>
      </w:r>
      <w:r w:rsidRPr="00B53B85">
        <w:rPr>
          <w:rFonts w:cs="Arial"/>
          <w:szCs w:val="24"/>
        </w:rPr>
        <w:t xml:space="preserve"> of differences in the digital engagement of healthcare professionals, the types of content they prefer most, or the style</w:t>
      </w:r>
      <w:r w:rsidR="008465D7">
        <w:rPr>
          <w:rFonts w:cs="Arial"/>
          <w:szCs w:val="24"/>
        </w:rPr>
        <w:t xml:space="preserve"> of clinical decision-making.  </w:t>
      </w:r>
    </w:p>
    <w:p w14:paraId="037BF244" w14:textId="3E10A3B8" w:rsidR="008E4F08" w:rsidRPr="00B53B85" w:rsidRDefault="008E4F08" w:rsidP="00B53B85">
      <w:pPr>
        <w:rPr>
          <w:rFonts w:cs="Arial"/>
          <w:szCs w:val="24"/>
        </w:rPr>
      </w:pPr>
      <w:r w:rsidRPr="00B53B85">
        <w:rPr>
          <w:rFonts w:cs="Arial"/>
          <w:szCs w:val="24"/>
        </w:rPr>
        <w:lastRenderedPageBreak/>
        <w:t>In AstraZeneca, specialisation and targeted treatment aims at specialists and patient segments with well-defined treatment requirements. However, these approaches fail to always take into account digital preferences or behavioural knowledge that may improve relevance of messages. Scientific leadership, clinical reliability and patient outcomes are also core attributes that can be seen in the positioning by AstraZeneca and appeal to medical professionals greatly. Nevertheless, the patient-facing positioning of the organisation is underdeveloped because the organisation has always concentrated on B2B scientific communication</w:t>
      </w:r>
      <w:r w:rsidR="008465D7">
        <w:rPr>
          <w:rFonts w:cs="Arial"/>
          <w:szCs w:val="24"/>
        </w:rPr>
        <w:t xml:space="preserve"> (</w:t>
      </w:r>
      <w:r w:rsidR="009B54EB">
        <w:rPr>
          <w:shd w:val="clear" w:color="auto" w:fill="FFFFFF"/>
        </w:rPr>
        <w:t>Willis and Delbaere, 2022</w:t>
      </w:r>
      <w:r w:rsidR="008465D7">
        <w:rPr>
          <w:rFonts w:cs="Arial"/>
          <w:szCs w:val="24"/>
        </w:rPr>
        <w:t xml:space="preserve">).  </w:t>
      </w:r>
    </w:p>
    <w:p w14:paraId="242EECC6" w14:textId="16B48127" w:rsidR="008E4F08" w:rsidRPr="00B53B85" w:rsidRDefault="008E4F08" w:rsidP="00B53B85">
      <w:pPr>
        <w:rPr>
          <w:rFonts w:cs="Arial"/>
          <w:szCs w:val="24"/>
        </w:rPr>
      </w:pPr>
      <w:r w:rsidRPr="00B53B85">
        <w:rPr>
          <w:rFonts w:cs="Arial"/>
          <w:szCs w:val="24"/>
        </w:rPr>
        <w:t>Behavioural and digital segmentation would be improved, which would increase the accuracy and efficiency of engagement at AstraZeneca. More advanced targeting with the assistance of digital analytics would allow the organisation to predict the preferences of stakeholders, customise content, and help pati</w:t>
      </w:r>
      <w:r w:rsidR="008465D7">
        <w:rPr>
          <w:rFonts w:cs="Arial"/>
          <w:szCs w:val="24"/>
        </w:rPr>
        <w:t xml:space="preserve">ents adhere more efficiently.  </w:t>
      </w:r>
    </w:p>
    <w:p w14:paraId="59F5E792" w14:textId="77777777" w:rsidR="005B0AC8" w:rsidRDefault="005B0AC8">
      <w:pPr>
        <w:spacing w:line="259" w:lineRule="auto"/>
        <w:jc w:val="left"/>
        <w:rPr>
          <w:rFonts w:eastAsiaTheme="majorEastAsia" w:cstheme="majorBidi"/>
          <w:b/>
          <w:color w:val="2F5496" w:themeColor="accent1" w:themeShade="BF"/>
          <w:szCs w:val="26"/>
        </w:rPr>
      </w:pPr>
      <w:r>
        <w:br w:type="page"/>
      </w:r>
    </w:p>
    <w:p w14:paraId="667741E3" w14:textId="0A257493" w:rsidR="008E4F08" w:rsidRDefault="008E4F08" w:rsidP="008465D7">
      <w:pPr>
        <w:pStyle w:val="Heading2"/>
      </w:pPr>
      <w:bookmarkStart w:id="7" w:name="_Toc214355690"/>
      <w:r w:rsidRPr="00B53B85">
        <w:rPr>
          <w:sz w:val="24"/>
        </w:rPr>
        <w:lastRenderedPageBreak/>
        <w:t xml:space="preserve">1.5 AstraZeneca </w:t>
      </w:r>
      <w:r w:rsidR="008465D7">
        <w:t xml:space="preserve">Marketing mix (7Ps) </w:t>
      </w:r>
      <w:r w:rsidR="00CD17AB">
        <w:t>Analysis</w:t>
      </w:r>
      <w:r w:rsidR="008465D7">
        <w:t>.</w:t>
      </w:r>
      <w:bookmarkEnd w:id="7"/>
      <w:r w:rsidR="008465D7">
        <w:t xml:space="preserve">  </w:t>
      </w:r>
    </w:p>
    <w:p w14:paraId="64BC39A0" w14:textId="2D6DA700" w:rsidR="00CD17AB" w:rsidRPr="00CD17AB" w:rsidRDefault="00CD17AB" w:rsidP="00CD17AB">
      <w:r>
        <w:t xml:space="preserve">The Marketing mix Analysis has been done using </w:t>
      </w:r>
      <w:r w:rsidR="0094446D">
        <w:t xml:space="preserve">7Ps </w:t>
      </w:r>
      <w:r w:rsidR="00722E51">
        <w:t xml:space="preserve">Framework </w:t>
      </w:r>
      <w:r>
        <w:t>which showed the below mentioned outcome –</w:t>
      </w:r>
    </w:p>
    <w:p w14:paraId="72EAD4DE" w14:textId="1031CA7E" w:rsidR="008E4F08" w:rsidRPr="0011065A" w:rsidRDefault="008465D7" w:rsidP="0011065A">
      <w:pPr>
        <w:spacing w:after="0"/>
        <w:rPr>
          <w:b/>
        </w:rPr>
      </w:pPr>
      <w:r w:rsidRPr="0011065A">
        <w:rPr>
          <w:b/>
        </w:rPr>
        <w:t xml:space="preserve">Product  </w:t>
      </w:r>
    </w:p>
    <w:p w14:paraId="35F54A46" w14:textId="203F0A99" w:rsidR="008E4F08" w:rsidRPr="00B53B85" w:rsidRDefault="008E4F08" w:rsidP="00B53B85">
      <w:pPr>
        <w:rPr>
          <w:rFonts w:cs="Arial"/>
          <w:szCs w:val="24"/>
        </w:rPr>
      </w:pPr>
      <w:r w:rsidRPr="00B53B85">
        <w:rPr>
          <w:rFonts w:cs="Arial"/>
          <w:szCs w:val="24"/>
        </w:rPr>
        <w:t>The products of AstraZeneca are scientifically enhanced and clinically differentiated. Marketing is important in conveying therapeutic benefits, safety information and clinical trial evidence</w:t>
      </w:r>
      <w:r w:rsidR="003A092F">
        <w:rPr>
          <w:rFonts w:cs="Arial"/>
          <w:szCs w:val="24"/>
        </w:rPr>
        <w:t xml:space="preserve"> (</w:t>
      </w:r>
      <w:r w:rsidR="003A092F">
        <w:rPr>
          <w:shd w:val="clear" w:color="auto" w:fill="FFFFFF"/>
        </w:rPr>
        <w:t>Anthuvan and Maheshwari, 2025</w:t>
      </w:r>
      <w:r w:rsidR="003A092F">
        <w:rPr>
          <w:rFonts w:cs="Arial"/>
          <w:szCs w:val="24"/>
        </w:rPr>
        <w:t>)</w:t>
      </w:r>
      <w:r w:rsidRPr="00B53B85">
        <w:rPr>
          <w:rFonts w:cs="Arial"/>
          <w:szCs w:val="24"/>
        </w:rPr>
        <w:t xml:space="preserve">. Although AstraZeneca has been doing well in evidence communication, it is possible to improve patient-friendly product education and digital </w:t>
      </w:r>
      <w:r w:rsidR="003A092F" w:rsidRPr="00B53B85">
        <w:rPr>
          <w:rFonts w:cs="Arial"/>
          <w:szCs w:val="24"/>
        </w:rPr>
        <w:t>loyalty</w:t>
      </w:r>
      <w:r w:rsidRPr="00B53B85">
        <w:rPr>
          <w:rFonts w:cs="Arial"/>
          <w:szCs w:val="24"/>
        </w:rPr>
        <w:t xml:space="preserve"> technologies to promote continuity of treatment.  </w:t>
      </w:r>
    </w:p>
    <w:p w14:paraId="63C6BF7D" w14:textId="6131FC6B" w:rsidR="008E4F08" w:rsidRPr="0011065A" w:rsidRDefault="008465D7" w:rsidP="0011065A">
      <w:pPr>
        <w:spacing w:after="0"/>
        <w:rPr>
          <w:b/>
        </w:rPr>
      </w:pPr>
      <w:r w:rsidRPr="0011065A">
        <w:rPr>
          <w:b/>
        </w:rPr>
        <w:t xml:space="preserve">Price  </w:t>
      </w:r>
    </w:p>
    <w:p w14:paraId="5AAD1B17" w14:textId="036AFFFC" w:rsidR="008E4F08" w:rsidRDefault="008E4F08" w:rsidP="00B53B85">
      <w:pPr>
        <w:rPr>
          <w:rFonts w:cs="Arial"/>
          <w:szCs w:val="24"/>
        </w:rPr>
      </w:pPr>
      <w:r w:rsidRPr="00B53B85">
        <w:rPr>
          <w:rFonts w:cs="Arial"/>
          <w:szCs w:val="24"/>
        </w:rPr>
        <w:t>The prices are established based on the negotiations with payers and the evaluation of health economics. AstraZeneca needs to be able to express value in terms of results and cost reductions over the long run. Value communication requires marketing to provide evidence into easily comprehensible justification of pricing choices (</w:t>
      </w:r>
      <w:r w:rsidR="005201DE">
        <w:rPr>
          <w:shd w:val="clear" w:color="auto" w:fill="FFFFFF"/>
        </w:rPr>
        <w:t>Shashi, 2023</w:t>
      </w:r>
      <w:r w:rsidRPr="00B53B85">
        <w:rPr>
          <w:rFonts w:cs="Arial"/>
          <w:szCs w:val="24"/>
        </w:rPr>
        <w:t xml:space="preserve">).  </w:t>
      </w:r>
    </w:p>
    <w:p w14:paraId="393D3C34" w14:textId="77777777" w:rsidR="00EF700A" w:rsidRDefault="00EF700A" w:rsidP="00EF700A">
      <w:pPr>
        <w:pStyle w:val="Quote"/>
      </w:pPr>
      <w:r>
        <w:rPr>
          <w:noProof/>
          <w:lang w:eastAsia="en-GB"/>
        </w:rPr>
        <w:drawing>
          <wp:inline distT="0" distB="0" distL="0" distR="0" wp14:anchorId="69472B4C" wp14:editId="7E07548F">
            <wp:extent cx="6048801" cy="3429000"/>
            <wp:effectExtent l="0" t="0" r="9525" b="0"/>
            <wp:docPr id="6" name="Picture 6" descr="Marketing Mix: definition and how to use it [4Ps ou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rketing Mix: definition and how to use it [4Ps ou 7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2401" cy="3538750"/>
                    </a:xfrm>
                    <a:prstGeom prst="rect">
                      <a:avLst/>
                    </a:prstGeom>
                    <a:noFill/>
                    <a:ln>
                      <a:noFill/>
                    </a:ln>
                  </pic:spPr>
                </pic:pic>
              </a:graphicData>
            </a:graphic>
          </wp:inline>
        </w:drawing>
      </w:r>
    </w:p>
    <w:p w14:paraId="7D3B5C0C" w14:textId="20088B7E" w:rsidR="00EF700A" w:rsidRDefault="00EF700A" w:rsidP="00EF700A">
      <w:pPr>
        <w:pStyle w:val="Quote"/>
      </w:pPr>
      <w:r w:rsidRPr="00E52E10">
        <w:t xml:space="preserve">Figure </w:t>
      </w:r>
      <w:fldSimple w:instr=" SEQ Figure \* ARABIC ">
        <w:r w:rsidR="000F779B">
          <w:rPr>
            <w:noProof/>
          </w:rPr>
          <w:t>5</w:t>
        </w:r>
      </w:fldSimple>
      <w:r w:rsidRPr="00E52E10">
        <w:t>: Marketing mix (7Ps) Analysis</w:t>
      </w:r>
      <w:r w:rsidRPr="00E52E10">
        <w:br/>
        <w:t>Source: (Self-Made)</w:t>
      </w:r>
    </w:p>
    <w:p w14:paraId="196EADC8" w14:textId="77777777" w:rsidR="00EF700A" w:rsidRPr="00EF700A" w:rsidRDefault="00EF700A" w:rsidP="00EF700A"/>
    <w:p w14:paraId="287A8534" w14:textId="77777777" w:rsidR="00EF700A" w:rsidRPr="00B53B85" w:rsidRDefault="00EF700A" w:rsidP="00B53B85">
      <w:pPr>
        <w:rPr>
          <w:rFonts w:cs="Arial"/>
          <w:szCs w:val="24"/>
        </w:rPr>
      </w:pPr>
    </w:p>
    <w:p w14:paraId="57DDC323" w14:textId="55AD7AFF" w:rsidR="008E4F08" w:rsidRPr="0011065A" w:rsidRDefault="008465D7" w:rsidP="0011065A">
      <w:pPr>
        <w:spacing w:after="0"/>
        <w:rPr>
          <w:b/>
        </w:rPr>
      </w:pPr>
      <w:r w:rsidRPr="0011065A">
        <w:rPr>
          <w:b/>
        </w:rPr>
        <w:lastRenderedPageBreak/>
        <w:t xml:space="preserve">Place  </w:t>
      </w:r>
    </w:p>
    <w:p w14:paraId="7193ED87" w14:textId="77777777" w:rsidR="008E4F08" w:rsidRDefault="008E4F08" w:rsidP="00B53B85">
      <w:pPr>
        <w:rPr>
          <w:rFonts w:cs="Arial"/>
          <w:szCs w:val="24"/>
        </w:rPr>
      </w:pPr>
      <w:r w:rsidRPr="00B53B85">
        <w:rPr>
          <w:rFonts w:cs="Arial"/>
          <w:szCs w:val="24"/>
        </w:rPr>
        <w:t xml:space="preserve">Physical distribution is made according to the set standards of regulatory and logistic rules, but the core of AstraZeneca in marketing is digital delivery of data. The global digital presence of the organisation is increasing, but its ability is hampered by the disproportionate implementation. An increase in digital infrastructure in markets would advance accessibility and uniformity.  </w:t>
      </w:r>
    </w:p>
    <w:p w14:paraId="4A4AAD2C" w14:textId="51B941EA" w:rsidR="008E4F08" w:rsidRPr="0011065A" w:rsidRDefault="008465D7" w:rsidP="0011065A">
      <w:pPr>
        <w:spacing w:after="0"/>
        <w:rPr>
          <w:b/>
        </w:rPr>
      </w:pPr>
      <w:r w:rsidRPr="0011065A">
        <w:rPr>
          <w:b/>
        </w:rPr>
        <w:t xml:space="preserve">Promotion  </w:t>
      </w:r>
    </w:p>
    <w:p w14:paraId="5B18AC72" w14:textId="5640B93B" w:rsidR="008E4F08" w:rsidRPr="00B53B85" w:rsidRDefault="008E4F08" w:rsidP="00501A84">
      <w:pPr>
        <w:rPr>
          <w:rFonts w:cs="Arial"/>
          <w:szCs w:val="24"/>
        </w:rPr>
      </w:pPr>
      <w:r w:rsidRPr="00B53B85">
        <w:rPr>
          <w:rFonts w:cs="Arial"/>
          <w:szCs w:val="24"/>
        </w:rPr>
        <w:t xml:space="preserve">The promotion activities centre so much on scientific exchange and medical education. AstraZeneca makes use of the digital detailing, online events, and the interactive scientific materials, but its </w:t>
      </w:r>
      <w:r w:rsidR="008465D7">
        <w:rPr>
          <w:rFonts w:cs="Arial"/>
          <w:szCs w:val="24"/>
        </w:rPr>
        <w:t>Omni-channel</w:t>
      </w:r>
      <w:r w:rsidRPr="00B53B85">
        <w:rPr>
          <w:rFonts w:cs="Arial"/>
          <w:szCs w:val="24"/>
        </w:rPr>
        <w:t xml:space="preserve"> strategy is still disjointed. Poor platform integration limits how smooth of an experience AstraZeneca delivers or how well it is able to monitor multi-channel engagement</w:t>
      </w:r>
      <w:r w:rsidR="008465D7">
        <w:rPr>
          <w:rFonts w:cs="Arial"/>
          <w:szCs w:val="24"/>
        </w:rPr>
        <w:t xml:space="preserve"> (</w:t>
      </w:r>
      <w:r w:rsidR="00501A84">
        <w:rPr>
          <w:rFonts w:cs="Arial"/>
          <w:szCs w:val="24"/>
        </w:rPr>
        <w:t xml:space="preserve">Haenlein et al., </w:t>
      </w:r>
      <w:r w:rsidR="00501A84" w:rsidRPr="00501A84">
        <w:rPr>
          <w:rFonts w:cs="Arial"/>
          <w:szCs w:val="24"/>
        </w:rPr>
        <w:t>2022</w:t>
      </w:r>
      <w:r w:rsidR="008465D7">
        <w:rPr>
          <w:rFonts w:cs="Arial"/>
          <w:szCs w:val="24"/>
        </w:rPr>
        <w:t xml:space="preserve">).  </w:t>
      </w:r>
    </w:p>
    <w:p w14:paraId="7BBF40C2" w14:textId="4B228B71" w:rsidR="008E4F08" w:rsidRPr="0011065A" w:rsidRDefault="008465D7" w:rsidP="0011065A">
      <w:pPr>
        <w:spacing w:after="0"/>
        <w:rPr>
          <w:b/>
        </w:rPr>
      </w:pPr>
      <w:r w:rsidRPr="0011065A">
        <w:rPr>
          <w:b/>
        </w:rPr>
        <w:t xml:space="preserve">People  </w:t>
      </w:r>
    </w:p>
    <w:p w14:paraId="7324596B" w14:textId="77777777" w:rsidR="008E4F08" w:rsidRPr="00B53B85" w:rsidRDefault="008E4F08" w:rsidP="00B53B85">
      <w:pPr>
        <w:rPr>
          <w:rFonts w:cs="Arial"/>
          <w:szCs w:val="24"/>
        </w:rPr>
      </w:pPr>
      <w:r w:rsidRPr="00B53B85">
        <w:rPr>
          <w:rFonts w:cs="Arial"/>
          <w:szCs w:val="24"/>
        </w:rPr>
        <w:t xml:space="preserve">AstraZeneca has technically qualified employees though there is a broad difference in digital capability among the teams. The focus on the strengthening of digital capabilities, specifically analytics and content personalization, would improve the marketing effect.  </w:t>
      </w:r>
    </w:p>
    <w:p w14:paraId="5B024502" w14:textId="074C5B4D" w:rsidR="008E4F08" w:rsidRPr="0011065A" w:rsidRDefault="008465D7" w:rsidP="0011065A">
      <w:pPr>
        <w:spacing w:after="0"/>
        <w:rPr>
          <w:b/>
        </w:rPr>
      </w:pPr>
      <w:r w:rsidRPr="0011065A">
        <w:rPr>
          <w:b/>
        </w:rPr>
        <w:t xml:space="preserve">Process  </w:t>
      </w:r>
    </w:p>
    <w:p w14:paraId="011E420F" w14:textId="77777777" w:rsidR="008E4F08" w:rsidRPr="00B53B85" w:rsidRDefault="008E4F08" w:rsidP="00B53B85">
      <w:pPr>
        <w:rPr>
          <w:rFonts w:cs="Arial"/>
          <w:szCs w:val="24"/>
        </w:rPr>
      </w:pPr>
      <w:r w:rsidRPr="00B53B85">
        <w:rPr>
          <w:rFonts w:cs="Arial"/>
          <w:szCs w:val="24"/>
        </w:rPr>
        <w:t xml:space="preserve">The marketing processes should adhere to a high level of regulatory demands, and that is why the approval process takes a long period. These processes are currently being digitalised by AstraZeneca, but should be developed further to enable instant content modification and quick reaction to market demands.  </w:t>
      </w:r>
    </w:p>
    <w:p w14:paraId="5D6C8151" w14:textId="17574602" w:rsidR="008E4F08" w:rsidRPr="0011065A" w:rsidRDefault="008465D7" w:rsidP="0011065A">
      <w:pPr>
        <w:spacing w:after="0"/>
        <w:rPr>
          <w:b/>
        </w:rPr>
      </w:pPr>
      <w:r w:rsidRPr="0011065A">
        <w:rPr>
          <w:b/>
        </w:rPr>
        <w:t xml:space="preserve">Physical Evidence  </w:t>
      </w:r>
    </w:p>
    <w:p w14:paraId="26A9EFE2" w14:textId="77777777" w:rsidR="008E4F08" w:rsidRDefault="008E4F08" w:rsidP="00B53B85">
      <w:pPr>
        <w:rPr>
          <w:rFonts w:cs="Arial"/>
          <w:szCs w:val="24"/>
        </w:rPr>
      </w:pPr>
      <w:r w:rsidRPr="00B53B85">
        <w:rPr>
          <w:rFonts w:cs="Arial"/>
          <w:szCs w:val="24"/>
        </w:rPr>
        <w:t xml:space="preserve">The physical evidence of AstraZeneca is represented in the scientific publications, activities during conferences, and web platforms. As the scientific evidence is strong, digital interfaces and user experience are to be enhanced to correspond to the emerging expectations of the stakeholders.  </w:t>
      </w:r>
    </w:p>
    <w:p w14:paraId="137F0F93" w14:textId="77777777" w:rsidR="00EF700A" w:rsidRDefault="00EF700A" w:rsidP="00B53B85">
      <w:pPr>
        <w:rPr>
          <w:rFonts w:cs="Arial"/>
          <w:szCs w:val="24"/>
        </w:rPr>
      </w:pPr>
    </w:p>
    <w:p w14:paraId="6BA2A964" w14:textId="77777777" w:rsidR="00EF700A" w:rsidRPr="00B53B85" w:rsidRDefault="00EF700A" w:rsidP="00B53B85">
      <w:pPr>
        <w:rPr>
          <w:rFonts w:cs="Arial"/>
          <w:szCs w:val="24"/>
        </w:rPr>
      </w:pPr>
    </w:p>
    <w:p w14:paraId="206CCC7C" w14:textId="441F58E9" w:rsidR="008E4F08" w:rsidRPr="00B53B85" w:rsidRDefault="008E4F08" w:rsidP="008465D7">
      <w:pPr>
        <w:pStyle w:val="Heading2"/>
      </w:pPr>
      <w:bookmarkStart w:id="8" w:name="_Toc214355691"/>
      <w:r w:rsidRPr="00B53B85">
        <w:lastRenderedPageBreak/>
        <w:t>1.6 Marketing Effectiveness Me</w:t>
      </w:r>
      <w:r w:rsidR="008465D7">
        <w:t>asures.</w:t>
      </w:r>
      <w:bookmarkEnd w:id="8"/>
      <w:r w:rsidR="008465D7">
        <w:t xml:space="preserve">  </w:t>
      </w:r>
    </w:p>
    <w:p w14:paraId="08ED6A12" w14:textId="1791A50C" w:rsidR="008E4F08" w:rsidRPr="00B53B85" w:rsidRDefault="008E4F08" w:rsidP="00C01C3C">
      <w:pPr>
        <w:rPr>
          <w:rFonts w:cs="Arial"/>
          <w:szCs w:val="24"/>
        </w:rPr>
      </w:pPr>
      <w:r w:rsidRPr="00B53B85">
        <w:rPr>
          <w:rFonts w:cs="Arial"/>
          <w:szCs w:val="24"/>
        </w:rPr>
        <w:t>AstraZeneca uses prescription data, clinician engagement, digital analytics, and real-world evidence results, as indicators to determine the success of marketing. However, the current measurement systems are disjointed and largely based on standard measurements. Modern measuring of marketing must be integrated both through platforms and behavioural insight tracking, and advanced analytics (</w:t>
      </w:r>
      <w:r w:rsidR="00C01C3C">
        <w:rPr>
          <w:rFonts w:cs="Arial"/>
          <w:szCs w:val="24"/>
        </w:rPr>
        <w:t xml:space="preserve">Ijomah et al., </w:t>
      </w:r>
      <w:r w:rsidR="00C01C3C" w:rsidRPr="00C01C3C">
        <w:rPr>
          <w:rFonts w:cs="Arial"/>
          <w:szCs w:val="24"/>
        </w:rPr>
        <w:t>2024</w:t>
      </w:r>
      <w:r w:rsidRPr="00B53B85">
        <w:rPr>
          <w:rFonts w:cs="Arial"/>
          <w:szCs w:val="24"/>
        </w:rPr>
        <w:t xml:space="preserve">). AstraZeneca does not have a single tool, which links </w:t>
      </w:r>
      <w:r w:rsidR="008465D7">
        <w:rPr>
          <w:rFonts w:cs="Arial"/>
          <w:szCs w:val="24"/>
        </w:rPr>
        <w:t>Omni-channel</w:t>
      </w:r>
      <w:r w:rsidRPr="00B53B85">
        <w:rPr>
          <w:rFonts w:cs="Arial"/>
          <w:szCs w:val="24"/>
        </w:rPr>
        <w:t xml:space="preserve"> activity with the behaviour and long-term clinical or commercial outcomes of stakeholders. Enhancement of the analytical ability would facilitate a more accurate assessment and strategic optimisation.  </w:t>
      </w:r>
    </w:p>
    <w:p w14:paraId="5C0028E3" w14:textId="77777777" w:rsidR="008465D7" w:rsidRDefault="008465D7">
      <w:pPr>
        <w:spacing w:line="259" w:lineRule="auto"/>
        <w:jc w:val="left"/>
        <w:rPr>
          <w:rFonts w:cs="Arial"/>
          <w:szCs w:val="24"/>
        </w:rPr>
      </w:pPr>
      <w:r>
        <w:rPr>
          <w:rFonts w:cs="Arial"/>
          <w:szCs w:val="24"/>
        </w:rPr>
        <w:br w:type="page"/>
      </w:r>
    </w:p>
    <w:p w14:paraId="017C1269" w14:textId="2B9FDCDE" w:rsidR="008465D7" w:rsidRDefault="008E4F08" w:rsidP="008465D7">
      <w:pPr>
        <w:pStyle w:val="Heading1"/>
      </w:pPr>
      <w:bookmarkStart w:id="9" w:name="_Toc214355692"/>
      <w:r w:rsidRPr="00B53B85">
        <w:lastRenderedPageBreak/>
        <w:t xml:space="preserve">TASK 2: </w:t>
      </w:r>
      <w:r w:rsidR="008465D7" w:rsidRPr="008465D7">
        <w:t xml:space="preserve">Challenges Faced </w:t>
      </w:r>
      <w:r w:rsidR="008465D7">
        <w:t xml:space="preserve">by </w:t>
      </w:r>
      <w:r w:rsidR="008465D7" w:rsidRPr="00B53B85">
        <w:t>AstraZeneca</w:t>
      </w:r>
      <w:r w:rsidR="008465D7" w:rsidRPr="008465D7">
        <w:t xml:space="preserve"> </w:t>
      </w:r>
      <w:r w:rsidR="002866CD">
        <w:t>from Analysis</w:t>
      </w:r>
      <w:bookmarkEnd w:id="9"/>
      <w:r w:rsidR="008465D7">
        <w:t xml:space="preserve"> </w:t>
      </w:r>
    </w:p>
    <w:p w14:paraId="3D97C423" w14:textId="39BD97B1" w:rsidR="008E4F08" w:rsidRPr="00B53B85" w:rsidRDefault="008E4F08" w:rsidP="00B53B85">
      <w:pPr>
        <w:rPr>
          <w:rFonts w:cs="Arial"/>
          <w:szCs w:val="24"/>
        </w:rPr>
      </w:pPr>
      <w:r w:rsidRPr="00B53B85">
        <w:rPr>
          <w:rFonts w:cs="Arial"/>
          <w:szCs w:val="24"/>
        </w:rPr>
        <w:t>The assessment of marketing events in AstraZeneca shows that it is a sophisticated and scientifically plausible organisation that has built solid bases in the area of clinical communication, research excellence, and therapeutic innovation. However, the analysis reveals that AstraZeneca has a number of weaknesses that limit its capacity to embrace the fast digital transformation that is redefining the pharmaceutical marketing landscape. These weaknesses are not failures of ability, but rather, demonstrations of organisational complexity, regulatory influences and inherited structures that need to change in order to address the demands of the mo</w:t>
      </w:r>
      <w:r w:rsidR="002866CD">
        <w:rPr>
          <w:rFonts w:cs="Arial"/>
          <w:szCs w:val="24"/>
        </w:rPr>
        <w:t xml:space="preserve">dern healthcare stakeholders.  </w:t>
      </w:r>
    </w:p>
    <w:p w14:paraId="42F6C2B5" w14:textId="4658B85F" w:rsidR="008E4F08" w:rsidRPr="00B53B85" w:rsidRDefault="008E4F08" w:rsidP="00B53B85">
      <w:pPr>
        <w:rPr>
          <w:rFonts w:cs="Arial"/>
          <w:szCs w:val="24"/>
        </w:rPr>
      </w:pPr>
      <w:r w:rsidRPr="00B53B85">
        <w:rPr>
          <w:rFonts w:cs="Arial"/>
          <w:szCs w:val="24"/>
        </w:rPr>
        <w:t xml:space="preserve">One of the main weaknesses is the low level of behavioural and digital segmentation of AstraZeneca. Although the organisation segments well using clinical attributes, it has not always taken behavioural, digital, or </w:t>
      </w:r>
      <w:r w:rsidR="002866CD" w:rsidRPr="00B53B85">
        <w:rPr>
          <w:rFonts w:cs="Arial"/>
          <w:szCs w:val="24"/>
        </w:rPr>
        <w:t>empirical</w:t>
      </w:r>
      <w:r w:rsidRPr="00B53B85">
        <w:rPr>
          <w:rFonts w:cs="Arial"/>
          <w:szCs w:val="24"/>
        </w:rPr>
        <w:t xml:space="preserve"> variables into its segmentation and targeting models.</w:t>
      </w:r>
    </w:p>
    <w:p w14:paraId="1967BCB5" w14:textId="7F56661A" w:rsidR="008E4F08" w:rsidRPr="00B53B85" w:rsidRDefault="008E4F08" w:rsidP="00B53B85">
      <w:pPr>
        <w:rPr>
          <w:rFonts w:cs="Arial"/>
          <w:szCs w:val="24"/>
        </w:rPr>
      </w:pPr>
      <w:r w:rsidRPr="00B53B85">
        <w:rPr>
          <w:rFonts w:cs="Arial"/>
          <w:szCs w:val="24"/>
        </w:rPr>
        <w:t>There is significant heterogeneity in the engagement modalities, information predilections, and decision making mechanisms of the clinicians; despite the heterogeneity, AstraZeneca continues to use a largely clinical model of segmentation. On the other hand, patients demonstrate a broad range of information-seeking behaviours, health literacy, and digital tendencies, all of which are not yet integrated into the marketing practise of the organisation. Such disconnection frames the ability of AstraZeneca to customise communication and provide dedicated digital exp</w:t>
      </w:r>
      <w:r w:rsidR="002866CD">
        <w:rPr>
          <w:rFonts w:cs="Arial"/>
          <w:szCs w:val="24"/>
        </w:rPr>
        <w:t>eriences.</w:t>
      </w:r>
    </w:p>
    <w:p w14:paraId="3BBF2347" w14:textId="0B88CA4C" w:rsidR="008E4F08" w:rsidRPr="00B53B85" w:rsidRDefault="008E4F08" w:rsidP="00B53B85">
      <w:pPr>
        <w:rPr>
          <w:rFonts w:cs="Arial"/>
          <w:szCs w:val="24"/>
        </w:rPr>
      </w:pPr>
      <w:r w:rsidRPr="00B53B85">
        <w:rPr>
          <w:rFonts w:cs="Arial"/>
          <w:szCs w:val="24"/>
        </w:rPr>
        <w:t xml:space="preserve">The other weakness is the partial execution of the </w:t>
      </w:r>
      <w:r w:rsidR="008465D7">
        <w:rPr>
          <w:rFonts w:cs="Arial"/>
          <w:szCs w:val="24"/>
        </w:rPr>
        <w:t>Omni-channel</w:t>
      </w:r>
      <w:r w:rsidRPr="00B53B85">
        <w:rPr>
          <w:rFonts w:cs="Arial"/>
          <w:szCs w:val="24"/>
        </w:rPr>
        <w:t xml:space="preserve"> marketing strategy at AstraZeneca. Even though the business has increased its online systems and virtual engagement tools, the implementation of the resources in the areas of treatment and geographic locations is inconsistent. Unequal rates of digital maturity undermine the capacity of the organisation to provide smooth and high-quality communication and reduces the effectiveness of campaigns that rely on harmonised messages communicated via various channels. The lack of cohesive platforms is also a limitation to the organisations capacity to reap real-time information, decipher the behaviour of the users, and optimise the engagement strategies in real-time.</w:t>
      </w:r>
    </w:p>
    <w:p w14:paraId="2EB92520" w14:textId="77777777" w:rsidR="008E4F08" w:rsidRPr="00B53B85" w:rsidRDefault="008E4F08" w:rsidP="00B53B85">
      <w:pPr>
        <w:rPr>
          <w:rFonts w:cs="Arial"/>
          <w:szCs w:val="24"/>
        </w:rPr>
      </w:pPr>
    </w:p>
    <w:p w14:paraId="0FD1F74C" w14:textId="45D4A8E8" w:rsidR="008E4F08" w:rsidRPr="00B53B85" w:rsidRDefault="008E4F08" w:rsidP="00B53B85">
      <w:pPr>
        <w:rPr>
          <w:rFonts w:cs="Arial"/>
          <w:szCs w:val="24"/>
        </w:rPr>
      </w:pPr>
      <w:r w:rsidRPr="00B53B85">
        <w:rPr>
          <w:rFonts w:cs="Arial"/>
          <w:szCs w:val="24"/>
        </w:rPr>
        <w:lastRenderedPageBreak/>
        <w:t xml:space="preserve">Another limitation can be observed with regard to the performance-measurement apparatus of AstraZeneca. Current frameworks mainly focus on prescription trends, campaign level measures, and clinician engagement data, but they lack the extreme sophistication of analytics and a holistic measurement framework that would match </w:t>
      </w:r>
      <w:r w:rsidR="008465D7">
        <w:rPr>
          <w:rFonts w:cs="Arial"/>
          <w:szCs w:val="24"/>
        </w:rPr>
        <w:t>Omni-channel</w:t>
      </w:r>
      <w:r w:rsidRPr="00B53B85">
        <w:rPr>
          <w:rFonts w:cs="Arial"/>
          <w:szCs w:val="24"/>
        </w:rPr>
        <w:t xml:space="preserve"> efforts to lasting behavioural changes. As a result, the effectiveness of AstraZeneca in assessing the effectiveness of digital activities or utilisation of strategies founded on tiresome understanding is hindered. Altogether, these shortcomings underline the necessity of a greater level of digital integration, more sophisticated derivation of insights, and a more sophisticated and patient- and clinician-centred marketing strategy.</w:t>
      </w:r>
    </w:p>
    <w:p w14:paraId="4F9082E1" w14:textId="77777777" w:rsidR="002866CD" w:rsidRDefault="002866CD">
      <w:pPr>
        <w:spacing w:line="259" w:lineRule="auto"/>
        <w:jc w:val="left"/>
        <w:rPr>
          <w:rFonts w:cs="Arial"/>
          <w:szCs w:val="24"/>
        </w:rPr>
      </w:pPr>
      <w:r>
        <w:rPr>
          <w:rFonts w:cs="Arial"/>
          <w:szCs w:val="24"/>
        </w:rPr>
        <w:br w:type="page"/>
      </w:r>
    </w:p>
    <w:p w14:paraId="3FBAF8CB" w14:textId="3D67B438" w:rsidR="008E4F08" w:rsidRPr="00B53B85" w:rsidRDefault="008E4F08" w:rsidP="003A503B">
      <w:pPr>
        <w:pStyle w:val="Heading1"/>
        <w:rPr>
          <w:sz w:val="24"/>
        </w:rPr>
      </w:pPr>
      <w:bookmarkStart w:id="10" w:name="_Toc214355693"/>
      <w:r w:rsidRPr="00B53B85">
        <w:rPr>
          <w:sz w:val="24"/>
        </w:rPr>
        <w:lastRenderedPageBreak/>
        <w:t xml:space="preserve">TASK 3: </w:t>
      </w:r>
      <w:r w:rsidR="002866CD">
        <w:t>Recommendations</w:t>
      </w:r>
      <w:r w:rsidRPr="00B53B85">
        <w:rPr>
          <w:sz w:val="24"/>
        </w:rPr>
        <w:t xml:space="preserve"> </w:t>
      </w:r>
      <w:r w:rsidR="002866CD">
        <w:t xml:space="preserve">for </w:t>
      </w:r>
      <w:r w:rsidR="002866CD" w:rsidRPr="00B53B85">
        <w:t xml:space="preserve">AstraZeneca </w:t>
      </w:r>
      <w:r w:rsidR="002866CD">
        <w:t xml:space="preserve">to </w:t>
      </w:r>
      <w:r w:rsidR="002866CD" w:rsidRPr="00B53B85">
        <w:t xml:space="preserve">Enhance Marketing </w:t>
      </w:r>
      <w:r w:rsidR="002866CD">
        <w:t>Success</w:t>
      </w:r>
      <w:bookmarkEnd w:id="10"/>
    </w:p>
    <w:p w14:paraId="7EE48D58" w14:textId="77777777" w:rsidR="008E4F08" w:rsidRPr="00B53B85" w:rsidRDefault="008E4F08" w:rsidP="00B53B85">
      <w:pPr>
        <w:rPr>
          <w:rFonts w:cs="Arial"/>
          <w:szCs w:val="24"/>
        </w:rPr>
      </w:pPr>
      <w:r w:rsidRPr="00B53B85">
        <w:rPr>
          <w:rFonts w:cs="Arial"/>
          <w:szCs w:val="24"/>
        </w:rPr>
        <w:t>The weaknesses outlined in Task 2 show that AstraZeneca has to strengthen both its strategic, digital, and organisational capabilities to accommodate the current forces of marketing evolution. The subsequent recommendations are a logical, evidence-based set of measures that should be implemented to improve the future marketing performance of AstraZeneca, and each recommendation is aimed at the resolution of the weaknesses associated with it.</w:t>
      </w:r>
    </w:p>
    <w:p w14:paraId="4F971653" w14:textId="12308DD8" w:rsidR="008E4F08" w:rsidRPr="00B53B85" w:rsidRDefault="008E4F08" w:rsidP="003A503B">
      <w:pPr>
        <w:pStyle w:val="Heading2"/>
        <w:rPr>
          <w:sz w:val="24"/>
        </w:rPr>
      </w:pPr>
      <w:bookmarkStart w:id="11" w:name="_Toc214355694"/>
      <w:r w:rsidRPr="00B53B85">
        <w:rPr>
          <w:sz w:val="24"/>
        </w:rPr>
        <w:t>3.1 Enhance Behavi</w:t>
      </w:r>
      <w:r w:rsidR="003A503B">
        <w:t>oural and Digital Segmentation.</w:t>
      </w:r>
      <w:bookmarkEnd w:id="11"/>
    </w:p>
    <w:p w14:paraId="270B2D77" w14:textId="00114349" w:rsidR="008E4F08" w:rsidRPr="00B53B85" w:rsidRDefault="008E4F08" w:rsidP="00B53B85">
      <w:pPr>
        <w:rPr>
          <w:rFonts w:cs="Arial"/>
          <w:szCs w:val="24"/>
        </w:rPr>
      </w:pPr>
      <w:r w:rsidRPr="00B53B85">
        <w:rPr>
          <w:rFonts w:cs="Arial"/>
          <w:szCs w:val="24"/>
        </w:rPr>
        <w:t>AstraZeneca needs to develop a more comprehensive segmented framework which is not limited by the clinical and demographic variables but includes behavioural, attitudinal and digital engagement variables. The current marketing effectiveness is based on the realisation that the stakeholders, in addition to their identities, have informational consumption habits, motivational forces, as well as contact with digital platforms. Using behavioural analytics, digital footprints, and channel preferences as part of its segmentation models, AstraZeneca could customise communication to the highest level of accuracy to healthc</w:t>
      </w:r>
      <w:r w:rsidR="003A503B">
        <w:rPr>
          <w:rFonts w:cs="Arial"/>
          <w:szCs w:val="24"/>
        </w:rPr>
        <w:t>are professionals and patients.</w:t>
      </w:r>
    </w:p>
    <w:p w14:paraId="7ADB927D" w14:textId="3EB7D209" w:rsidR="008E4F08" w:rsidRPr="00B53B85" w:rsidRDefault="008E4F08" w:rsidP="00B53B85">
      <w:pPr>
        <w:rPr>
          <w:rFonts w:cs="Arial"/>
          <w:szCs w:val="24"/>
        </w:rPr>
      </w:pPr>
      <w:r w:rsidRPr="00B53B85">
        <w:rPr>
          <w:rFonts w:cs="Arial"/>
          <w:szCs w:val="24"/>
        </w:rPr>
        <w:t>To clinicians, this would enable distinguishing between evidence-based prescribers, digital practitioners and clinicians who prefer brief summaries or interfaces. To patients, the ability to break down further would enhance disease-aware campaigns, adherence support and condition-specific digital journey. The realisation of this suggestion requires the investment in analytics infrastructure, enriched CRM repositories, and strengthened nexus between digital</w:t>
      </w:r>
      <w:r w:rsidR="003A503B">
        <w:rPr>
          <w:rFonts w:cs="Arial"/>
          <w:szCs w:val="24"/>
        </w:rPr>
        <w:t xml:space="preserve"> and medical affairs functions.</w:t>
      </w:r>
    </w:p>
    <w:p w14:paraId="296677C0" w14:textId="2A1B9006" w:rsidR="008E4F08" w:rsidRPr="00B53B85" w:rsidRDefault="008E4F08" w:rsidP="003A503B">
      <w:pPr>
        <w:pStyle w:val="Heading2"/>
      </w:pPr>
      <w:bookmarkStart w:id="12" w:name="_Toc214355695"/>
      <w:r w:rsidRPr="00B53B85">
        <w:t xml:space="preserve">3.2: Build a Completely Integrated </w:t>
      </w:r>
      <w:r w:rsidR="008465D7">
        <w:t>Omni-channel</w:t>
      </w:r>
      <w:r w:rsidR="003A503B">
        <w:t xml:space="preserve"> Engagement Strategy.</w:t>
      </w:r>
      <w:bookmarkEnd w:id="12"/>
    </w:p>
    <w:p w14:paraId="5B0CD1D2" w14:textId="7C584276" w:rsidR="008E4F08" w:rsidRPr="00B53B85" w:rsidRDefault="008E4F08" w:rsidP="00B53B85">
      <w:pPr>
        <w:rPr>
          <w:rFonts w:cs="Arial"/>
          <w:szCs w:val="24"/>
        </w:rPr>
      </w:pPr>
      <w:r w:rsidRPr="00B53B85">
        <w:rPr>
          <w:rFonts w:cs="Arial"/>
          <w:szCs w:val="24"/>
        </w:rPr>
        <w:t xml:space="preserve">AstraZeneca has led efforts towards embracing digital engagement conduits, but its </w:t>
      </w:r>
      <w:r w:rsidR="008465D7">
        <w:rPr>
          <w:rFonts w:cs="Arial"/>
          <w:szCs w:val="24"/>
        </w:rPr>
        <w:t>Omni-channel</w:t>
      </w:r>
      <w:r w:rsidRPr="00B53B85">
        <w:rPr>
          <w:rFonts w:cs="Arial"/>
          <w:szCs w:val="24"/>
        </w:rPr>
        <w:t xml:space="preserve"> strategy needs to attain higher levels of coherence, consistency and alignment across markets. The corporation can adopt a single digital engagement architecture that will ensure that it has a consistent message, aligned campaign execution, and integrated data collection of all platforms. This will involve the ongoing and personalised interaction provided through email, web portals, mobile apps, online events and interactive learning platforms.</w:t>
      </w:r>
    </w:p>
    <w:p w14:paraId="15DA53A9" w14:textId="77777777" w:rsidR="008E4F08" w:rsidRPr="00B53B85" w:rsidRDefault="008E4F08" w:rsidP="00B53B85">
      <w:pPr>
        <w:rPr>
          <w:rFonts w:cs="Arial"/>
          <w:szCs w:val="24"/>
        </w:rPr>
      </w:pPr>
    </w:p>
    <w:p w14:paraId="73C84339" w14:textId="09F8B784" w:rsidR="008E4F08" w:rsidRPr="00B53B85" w:rsidRDefault="008E4F08" w:rsidP="00B53B85">
      <w:pPr>
        <w:rPr>
          <w:rFonts w:cs="Arial"/>
          <w:szCs w:val="24"/>
        </w:rPr>
      </w:pPr>
      <w:r w:rsidRPr="00B53B85">
        <w:rPr>
          <w:rFonts w:cs="Arial"/>
          <w:szCs w:val="24"/>
        </w:rPr>
        <w:lastRenderedPageBreak/>
        <w:t xml:space="preserve">AstraZeneca needs to integrate its internal technologies, such as CRM systems, content management systems, and analytics engines, to achieve a real </w:t>
      </w:r>
      <w:r w:rsidR="008465D7">
        <w:rPr>
          <w:rFonts w:cs="Arial"/>
          <w:szCs w:val="24"/>
        </w:rPr>
        <w:t>Omni-channel</w:t>
      </w:r>
      <w:r w:rsidRPr="00B53B85">
        <w:rPr>
          <w:rFonts w:cs="Arial"/>
          <w:szCs w:val="24"/>
        </w:rPr>
        <w:t xml:space="preserve"> model, which will allow clinicians and patients to move cross-functionally across channels without inconsistencies. More coherent and coordinated process would also serve to adapt dynamic content based on the behaviour of the stakeholders, increasing relevance and interest.</w:t>
      </w:r>
    </w:p>
    <w:p w14:paraId="6BB1829D" w14:textId="4DF155FE" w:rsidR="008E4F08" w:rsidRPr="00B53B85" w:rsidRDefault="008E4F08" w:rsidP="003A503B">
      <w:pPr>
        <w:pStyle w:val="Heading2"/>
        <w:rPr>
          <w:sz w:val="24"/>
        </w:rPr>
      </w:pPr>
      <w:bookmarkStart w:id="13" w:name="_Toc214355696"/>
      <w:r w:rsidRPr="00B53B85">
        <w:rPr>
          <w:sz w:val="24"/>
        </w:rPr>
        <w:t>3.3 Improve on Personalised C</w:t>
      </w:r>
      <w:r w:rsidR="003A503B">
        <w:t>ontent and Value Communication.</w:t>
      </w:r>
      <w:bookmarkEnd w:id="13"/>
    </w:p>
    <w:p w14:paraId="7914FD10" w14:textId="57FE4160" w:rsidR="008E4F08" w:rsidRPr="00B53B85" w:rsidRDefault="008E4F08" w:rsidP="00B53B85">
      <w:pPr>
        <w:rPr>
          <w:rFonts w:cs="Arial"/>
          <w:szCs w:val="24"/>
        </w:rPr>
      </w:pPr>
      <w:r w:rsidRPr="00B53B85">
        <w:rPr>
          <w:rFonts w:cs="Arial"/>
          <w:szCs w:val="24"/>
        </w:rPr>
        <w:t>AstraZeneca ought to increase its use of customised messages that are supported by the real-time analytics. Clinicians are requesting more concise, evidence-based, and contextual information that is consistent with their clinical priorities, whereas patients are hoping to have access to clear and culturally relevant information that strengthens their therapeutic understanding. Personalised content may significantly enhance the engagement, especially when backed by predictive analytics, which predicts the ne</w:t>
      </w:r>
      <w:r w:rsidR="003A503B">
        <w:rPr>
          <w:rFonts w:cs="Arial"/>
          <w:szCs w:val="24"/>
        </w:rPr>
        <w:t>eds of a user.</w:t>
      </w:r>
    </w:p>
    <w:p w14:paraId="0D23F195" w14:textId="61CBCA09" w:rsidR="008E4F08" w:rsidRPr="00B53B85" w:rsidRDefault="008E4F08" w:rsidP="00B53B85">
      <w:pPr>
        <w:rPr>
          <w:rFonts w:cs="Arial"/>
          <w:szCs w:val="24"/>
        </w:rPr>
      </w:pPr>
      <w:r w:rsidRPr="00B53B85">
        <w:rPr>
          <w:rFonts w:cs="Arial"/>
          <w:szCs w:val="24"/>
        </w:rPr>
        <w:t xml:space="preserve">Such recommendation includes the growth of online medical education forums that provide personalised evidence summaries, therapeutic updates, discussions with peers and interactive clinical tools. The patient-oriented information should also incorporate customised disease knowledge, treatment manuals, adherence education tools and online self-management tools. This customised paradigm would also support the patient-centric stance </w:t>
      </w:r>
      <w:r w:rsidR="003A503B">
        <w:rPr>
          <w:rFonts w:cs="Arial"/>
          <w:szCs w:val="24"/>
        </w:rPr>
        <w:t>of AstraZeneca and build trust.</w:t>
      </w:r>
    </w:p>
    <w:p w14:paraId="56514A58" w14:textId="4A03599E" w:rsidR="008E4F08" w:rsidRPr="00B53B85" w:rsidRDefault="008E4F08" w:rsidP="003A503B">
      <w:pPr>
        <w:pStyle w:val="Heading2"/>
      </w:pPr>
      <w:bookmarkStart w:id="14" w:name="_Toc214355697"/>
      <w:r w:rsidRPr="00B53B85">
        <w:t>3.4 Invest in Advanced Analytics and Bu</w:t>
      </w:r>
      <w:r w:rsidR="003A503B">
        <w:t>ilt-In Performance Measurement.</w:t>
      </w:r>
      <w:bookmarkEnd w:id="14"/>
    </w:p>
    <w:p w14:paraId="079E07C3" w14:textId="77777777" w:rsidR="008E4F08" w:rsidRPr="00B53B85" w:rsidRDefault="008E4F08" w:rsidP="00B53B85">
      <w:pPr>
        <w:rPr>
          <w:rFonts w:cs="Arial"/>
          <w:szCs w:val="24"/>
        </w:rPr>
      </w:pPr>
      <w:r w:rsidRPr="00B53B85">
        <w:rPr>
          <w:rFonts w:cs="Arial"/>
          <w:szCs w:val="24"/>
        </w:rPr>
        <w:t>The existing performance-measurement systems of AstraZeneca need to be updated in terms of being able to measure the complexities of digital interaction. The company ought to embrace high-technology analytics tools that are able to integrate data in digital channels, medical engagement mechanism, and business platforms. Such tools are supposed to allow the evaluation of long-term behavioural changes, engagement paths, and the total customer value, and not dwell extensively on specific indicators, like number of visits to the webpage or webinar attendance.</w:t>
      </w:r>
    </w:p>
    <w:p w14:paraId="21E84DFC" w14:textId="77777777" w:rsidR="005B0AC8" w:rsidRDefault="008E4F08" w:rsidP="00B53B85">
      <w:pPr>
        <w:rPr>
          <w:rFonts w:cs="Arial"/>
          <w:szCs w:val="24"/>
        </w:rPr>
      </w:pPr>
      <w:r w:rsidRPr="00B53B85">
        <w:rPr>
          <w:rFonts w:cs="Arial"/>
          <w:szCs w:val="24"/>
        </w:rPr>
        <w:t xml:space="preserve">AstraZeneca must implement dashboards which will track </w:t>
      </w:r>
      <w:r w:rsidR="008465D7">
        <w:rPr>
          <w:rFonts w:cs="Arial"/>
          <w:szCs w:val="24"/>
        </w:rPr>
        <w:t>Omni-channel</w:t>
      </w:r>
      <w:r w:rsidRPr="00B53B85">
        <w:rPr>
          <w:rFonts w:cs="Arial"/>
          <w:szCs w:val="24"/>
        </w:rPr>
        <w:t xml:space="preserve"> campaign to prescribing pattern, digital interaction pattern, and long-term patient outcomes. In this way, it would be easier to optimise marketing activities more quickly and make more informed decisions. </w:t>
      </w:r>
    </w:p>
    <w:p w14:paraId="0EF3CE9F" w14:textId="68047484" w:rsidR="008E4F08" w:rsidRPr="00B53B85" w:rsidRDefault="008E4F08" w:rsidP="00B53B85">
      <w:pPr>
        <w:rPr>
          <w:rFonts w:cs="Arial"/>
          <w:szCs w:val="24"/>
        </w:rPr>
      </w:pPr>
      <w:r w:rsidRPr="00B53B85">
        <w:rPr>
          <w:rFonts w:cs="Arial"/>
          <w:szCs w:val="24"/>
        </w:rPr>
        <w:lastRenderedPageBreak/>
        <w:t xml:space="preserve">Improved performance </w:t>
      </w:r>
      <w:r w:rsidR="003A503B" w:rsidRPr="00B53B85">
        <w:rPr>
          <w:rFonts w:cs="Arial"/>
          <w:szCs w:val="24"/>
        </w:rPr>
        <w:t>dimension</w:t>
      </w:r>
      <w:r w:rsidRPr="00B53B85">
        <w:rPr>
          <w:rFonts w:cs="Arial"/>
          <w:szCs w:val="24"/>
        </w:rPr>
        <w:t xml:space="preserve"> also requires the introduction of analytics competence to marketing teams and boosts the capabilities of staff to make good sense of information and use it.</w:t>
      </w:r>
    </w:p>
    <w:p w14:paraId="366CC3BF" w14:textId="0CA5E360" w:rsidR="008E4F08" w:rsidRPr="00B53B85" w:rsidRDefault="008E4F08" w:rsidP="00F06C94">
      <w:pPr>
        <w:pStyle w:val="Heading2"/>
      </w:pPr>
      <w:bookmarkStart w:id="15" w:name="_Toc214355698"/>
      <w:r w:rsidRPr="00B53B85">
        <w:t>3.5 Enhanced Internal Digital Capability and Cro</w:t>
      </w:r>
      <w:r w:rsidR="00F06C94">
        <w:t>ss-Functionality.</w:t>
      </w:r>
      <w:bookmarkEnd w:id="15"/>
    </w:p>
    <w:p w14:paraId="059E3914" w14:textId="77777777" w:rsidR="008E4F08" w:rsidRPr="00B53B85" w:rsidRDefault="008E4F08" w:rsidP="00B53B85">
      <w:pPr>
        <w:rPr>
          <w:rFonts w:cs="Arial"/>
          <w:szCs w:val="24"/>
        </w:rPr>
      </w:pPr>
      <w:r w:rsidRPr="00B53B85">
        <w:rPr>
          <w:rFonts w:cs="Arial"/>
          <w:szCs w:val="24"/>
        </w:rPr>
        <w:t>Digital transformation requires organisational alignment, through medical affairs, regulatory, commercial, IT, and data science functions. These teams should be interconnected by means of common goals, the combination of the work flows, and virtual training programmes, which AstraZeneca should establish structured cross-functional teamwork structures. Enhancing digital illiteracy among both medical and commercial groups will enhance the adequacy of the corporation in creating, implementing, and assessing modern-day marketing approaches.</w:t>
      </w:r>
    </w:p>
    <w:p w14:paraId="02A48C34" w14:textId="77777777" w:rsidR="008E4F08" w:rsidRPr="00B53B85" w:rsidRDefault="008E4F08" w:rsidP="00B53B85">
      <w:pPr>
        <w:rPr>
          <w:rFonts w:cs="Arial"/>
          <w:szCs w:val="24"/>
        </w:rPr>
      </w:pPr>
      <w:r w:rsidRPr="00B53B85">
        <w:rPr>
          <w:rFonts w:cs="Arial"/>
          <w:szCs w:val="24"/>
        </w:rPr>
        <w:t>Digital platforms should also streamline internal processes, including real-time content review and fast approval processes, and effective regulatory control. Improvement of internal alignment would decrease delays related to compliance, increase the consistency in the communication, and help AstraZeneca to be more responsive to the needs of the stakeholders.</w:t>
      </w:r>
    </w:p>
    <w:p w14:paraId="31D427B0" w14:textId="3FD1876D" w:rsidR="008E4F08" w:rsidRPr="00B53B85" w:rsidRDefault="008E4F08" w:rsidP="00F06C94">
      <w:pPr>
        <w:pStyle w:val="Heading2"/>
        <w:rPr>
          <w:sz w:val="24"/>
        </w:rPr>
      </w:pPr>
      <w:bookmarkStart w:id="16" w:name="_Toc214355699"/>
      <w:r w:rsidRPr="00B53B85">
        <w:rPr>
          <w:sz w:val="24"/>
        </w:rPr>
        <w:t>3.6 Improve the Customer-Faci</w:t>
      </w:r>
      <w:r w:rsidR="00F06C94">
        <w:t>ng Brand and Online Experience.</w:t>
      </w:r>
      <w:bookmarkEnd w:id="16"/>
    </w:p>
    <w:p w14:paraId="649EC039" w14:textId="331894B0" w:rsidR="003C58E0" w:rsidRDefault="008E4F08" w:rsidP="00B53B85">
      <w:pPr>
        <w:rPr>
          <w:rFonts w:cs="Arial"/>
          <w:szCs w:val="24"/>
        </w:rPr>
      </w:pPr>
      <w:r w:rsidRPr="00B53B85">
        <w:rPr>
          <w:rFonts w:cs="Arial"/>
          <w:szCs w:val="24"/>
        </w:rPr>
        <w:t>The scientific reputation that is enjoyed by AstraZeneca among clinicians is strong but the business must increase the patient-facing brand to reflect rising demands of transparency, power, and digital support. A patient brand identity that is more articulated based on trust, clarity and care would make AstraZeneca more visible in the digital spheres where patients are gradually seeking information. This would involve the creation of integrated digital platforms of the patient, combining educational information, monitoring instruments, and patient-support services. Enhancement of patient-centric digital experiences would also distinguish AstraZeneca among the competitors and enhance long-term patient engagement.</w:t>
      </w:r>
    </w:p>
    <w:p w14:paraId="510CF23D" w14:textId="77777777" w:rsidR="003C58E0" w:rsidRDefault="003C58E0">
      <w:pPr>
        <w:spacing w:line="259" w:lineRule="auto"/>
        <w:jc w:val="left"/>
        <w:rPr>
          <w:rFonts w:cs="Arial"/>
          <w:szCs w:val="24"/>
        </w:rPr>
      </w:pPr>
      <w:r>
        <w:rPr>
          <w:rFonts w:cs="Arial"/>
          <w:szCs w:val="24"/>
        </w:rPr>
        <w:br w:type="page"/>
      </w:r>
    </w:p>
    <w:p w14:paraId="424EEB7B" w14:textId="7A62873A" w:rsidR="003C58E0" w:rsidRDefault="00CB4413" w:rsidP="003C58E0">
      <w:pPr>
        <w:pStyle w:val="Heading1"/>
      </w:pPr>
      <w:bookmarkStart w:id="17" w:name="_Toc214355700"/>
      <w:r>
        <w:rPr>
          <w:rStyle w:val="Strong"/>
          <w:b/>
          <w:bCs w:val="0"/>
        </w:rPr>
        <w:lastRenderedPageBreak/>
        <w:t>Reference List</w:t>
      </w:r>
      <w:bookmarkEnd w:id="17"/>
      <w:r>
        <w:rPr>
          <w:rStyle w:val="Strong"/>
          <w:b/>
          <w:bCs w:val="0"/>
        </w:rPr>
        <w:t xml:space="preserve"> </w:t>
      </w:r>
    </w:p>
    <w:p w14:paraId="3E655206" w14:textId="77777777" w:rsidR="003A092F" w:rsidRDefault="003A092F" w:rsidP="003A092F">
      <w:pPr>
        <w:ind w:left="720" w:hanging="720"/>
      </w:pPr>
      <w:r>
        <w:rPr>
          <w:shd w:val="clear" w:color="auto" w:fill="FFFFFF"/>
        </w:rPr>
        <w:t>Anthuvan, T. and Maheshwari, K., 2025. Integrating Sustainability into the 7Ps of Pharmaceutical Marketing: A Conceptual Framework for Brand Building.</w:t>
      </w:r>
      <w:r>
        <w:t xml:space="preserve"> </w:t>
      </w:r>
    </w:p>
    <w:p w14:paraId="404DAC40" w14:textId="50088AD8" w:rsidR="003C58E0" w:rsidRDefault="003C58E0" w:rsidP="003A092F">
      <w:pPr>
        <w:ind w:left="720" w:hanging="720"/>
      </w:pPr>
      <w:r>
        <w:t xml:space="preserve">AstraZeneca (2023) </w:t>
      </w:r>
      <w:r w:rsidR="0005147C" w:rsidRPr="0005147C">
        <w:rPr>
          <w:rStyle w:val="Emphasis"/>
        </w:rPr>
        <w:t>AstraZeneca Annual Report and Form 20-F Information 2023</w:t>
      </w:r>
      <w:r>
        <w:rPr>
          <w:rStyle w:val="Emphasis"/>
        </w:rPr>
        <w:t>.</w:t>
      </w:r>
      <w:r>
        <w:t xml:space="preserve"> Cambridge: AstraZeneca PLC.</w:t>
      </w:r>
      <w:r w:rsidR="0005147C">
        <w:t xml:space="preserve"> Available at: </w:t>
      </w:r>
      <w:hyperlink r:id="rId19" w:history="1">
        <w:r w:rsidR="0037368A" w:rsidRPr="00293A2B">
          <w:rPr>
            <w:rStyle w:val="Hyperlink"/>
          </w:rPr>
          <w:t>https://www.astrazeneca.com/investor-relations/annual-reports/annual-report-2023.html</w:t>
        </w:r>
      </w:hyperlink>
      <w:r w:rsidR="0037368A">
        <w:t xml:space="preserve"> </w:t>
      </w:r>
    </w:p>
    <w:p w14:paraId="74701C64" w14:textId="25B1BEF5" w:rsidR="00380EC7" w:rsidRDefault="00380EC7" w:rsidP="003A092F">
      <w:pPr>
        <w:ind w:left="720" w:hanging="720"/>
      </w:pPr>
      <w:r>
        <w:t xml:space="preserve">Chaffey, D., and Ellis-Chadwick, F. 2019. Digital Marketing: Strategy and Implementation. Pearson Education. Available at: </w:t>
      </w:r>
      <w:hyperlink r:id="rId20" w:history="1">
        <w:r w:rsidR="003519BA" w:rsidRPr="00293A2B">
          <w:rPr>
            <w:rStyle w:val="Hyperlink"/>
          </w:rPr>
          <w:t>https://www.scirp.org/reference/referencespapers?referenceid=3413574</w:t>
        </w:r>
      </w:hyperlink>
    </w:p>
    <w:p w14:paraId="7BF115A2" w14:textId="77777777" w:rsidR="00AE445D" w:rsidRDefault="00AE445D" w:rsidP="003A092F">
      <w:pPr>
        <w:ind w:left="720" w:hanging="720"/>
        <w:rPr>
          <w:shd w:val="clear" w:color="auto" w:fill="FFFFFF"/>
        </w:rPr>
      </w:pPr>
      <w:r>
        <w:rPr>
          <w:shd w:val="clear" w:color="auto" w:fill="FFFFFF"/>
        </w:rPr>
        <w:t>de Oliveira Santos, S.R. and de Sousa Oliveira, D.M., 2023. The Contribution of Unstructured Data and Statistical Learning Models to Marketing Management. </w:t>
      </w:r>
      <w:r>
        <w:rPr>
          <w:i/>
          <w:iCs/>
          <w:shd w:val="clear" w:color="auto" w:fill="FFFFFF"/>
        </w:rPr>
        <w:t>Revista Eletrônica de Administração</w:t>
      </w:r>
      <w:r>
        <w:rPr>
          <w:shd w:val="clear" w:color="auto" w:fill="FFFFFF"/>
        </w:rPr>
        <w:t>, </w:t>
      </w:r>
      <w:r>
        <w:rPr>
          <w:i/>
          <w:iCs/>
          <w:shd w:val="clear" w:color="auto" w:fill="FFFFFF"/>
        </w:rPr>
        <w:t>29</w:t>
      </w:r>
      <w:r>
        <w:rPr>
          <w:shd w:val="clear" w:color="auto" w:fill="FFFFFF"/>
        </w:rPr>
        <w:t>(2).</w:t>
      </w:r>
    </w:p>
    <w:p w14:paraId="1F389DEF" w14:textId="6AD7F05E" w:rsidR="00F12AD7" w:rsidRDefault="00F12AD7" w:rsidP="003A092F">
      <w:pPr>
        <w:ind w:left="720" w:hanging="720"/>
        <w:rPr>
          <w:shd w:val="clear" w:color="auto" w:fill="FFFFFF"/>
        </w:rPr>
      </w:pPr>
      <w:r>
        <w:rPr>
          <w:shd w:val="clear" w:color="auto" w:fill="FFFFFF"/>
        </w:rPr>
        <w:t>Dane, A., Uyl-de Groot, C. and van der Kuy, H., 2024. Unraveling elements of value-based pricing from a pharmaceutical industry’s perspective: a scoping review. </w:t>
      </w:r>
      <w:r>
        <w:rPr>
          <w:i/>
          <w:iCs/>
          <w:shd w:val="clear" w:color="auto" w:fill="FFFFFF"/>
        </w:rPr>
        <w:t>Frontiers in Pharmacology</w:t>
      </w:r>
      <w:r>
        <w:rPr>
          <w:shd w:val="clear" w:color="auto" w:fill="FFFFFF"/>
        </w:rPr>
        <w:t>, </w:t>
      </w:r>
      <w:r>
        <w:rPr>
          <w:i/>
          <w:iCs/>
          <w:shd w:val="clear" w:color="auto" w:fill="FFFFFF"/>
        </w:rPr>
        <w:t>15</w:t>
      </w:r>
      <w:r>
        <w:rPr>
          <w:shd w:val="clear" w:color="auto" w:fill="FFFFFF"/>
        </w:rPr>
        <w:t>, p.1298923.</w:t>
      </w:r>
    </w:p>
    <w:p w14:paraId="7FE00674" w14:textId="5A0F8D99" w:rsidR="008E2202" w:rsidRDefault="008E2202" w:rsidP="003A092F">
      <w:pPr>
        <w:ind w:left="720" w:hanging="720"/>
        <w:rPr>
          <w:shd w:val="clear" w:color="auto" w:fill="FFFFFF"/>
        </w:rPr>
      </w:pPr>
      <w:r>
        <w:rPr>
          <w:shd w:val="clear" w:color="auto" w:fill="FFFFFF"/>
        </w:rPr>
        <w:t>Feng, S., Mäntymäki, M., Dhir, A. and Salmela, H., 2021. How self-tracking and the quantified self promote health and well-being: systematic review. </w:t>
      </w:r>
      <w:r>
        <w:rPr>
          <w:i/>
          <w:iCs/>
          <w:shd w:val="clear" w:color="auto" w:fill="FFFFFF"/>
        </w:rPr>
        <w:t>Journal of Medical Internet Research</w:t>
      </w:r>
      <w:r>
        <w:rPr>
          <w:shd w:val="clear" w:color="auto" w:fill="FFFFFF"/>
        </w:rPr>
        <w:t>, </w:t>
      </w:r>
      <w:r>
        <w:rPr>
          <w:i/>
          <w:iCs/>
          <w:shd w:val="clear" w:color="auto" w:fill="FFFFFF"/>
        </w:rPr>
        <w:t>23</w:t>
      </w:r>
      <w:r>
        <w:rPr>
          <w:shd w:val="clear" w:color="auto" w:fill="FFFFFF"/>
        </w:rPr>
        <w:t xml:space="preserve">(9), p.e25171. </w:t>
      </w:r>
    </w:p>
    <w:p w14:paraId="38D798FF" w14:textId="506485A1" w:rsidR="009F27A0" w:rsidRDefault="009F27A0" w:rsidP="003A092F">
      <w:pPr>
        <w:ind w:left="720" w:hanging="720"/>
        <w:rPr>
          <w:shd w:val="clear" w:color="auto" w:fill="FFFFFF"/>
        </w:rPr>
      </w:pPr>
      <w:r>
        <w:rPr>
          <w:shd w:val="clear" w:color="auto" w:fill="FFFFFF"/>
        </w:rPr>
        <w:t>Grandhi, B., Patwa, N. and Saleem, K., 2021. Data-driven marketing for growth and profitability. </w:t>
      </w:r>
      <w:r>
        <w:rPr>
          <w:i/>
          <w:iCs/>
          <w:shd w:val="clear" w:color="auto" w:fill="FFFFFF"/>
        </w:rPr>
        <w:t>Euromed Journal of Business</w:t>
      </w:r>
      <w:r>
        <w:rPr>
          <w:shd w:val="clear" w:color="auto" w:fill="FFFFFF"/>
        </w:rPr>
        <w:t>, </w:t>
      </w:r>
      <w:r>
        <w:rPr>
          <w:i/>
          <w:iCs/>
          <w:shd w:val="clear" w:color="auto" w:fill="FFFFFF"/>
        </w:rPr>
        <w:t>16</w:t>
      </w:r>
      <w:r>
        <w:rPr>
          <w:shd w:val="clear" w:color="auto" w:fill="FFFFFF"/>
        </w:rPr>
        <w:t>(4), pp.381-398.</w:t>
      </w:r>
    </w:p>
    <w:p w14:paraId="0E483FEB" w14:textId="421534EB" w:rsidR="004478A9" w:rsidRDefault="004478A9" w:rsidP="003A092F">
      <w:pPr>
        <w:ind w:left="720" w:hanging="720"/>
        <w:rPr>
          <w:shd w:val="clear" w:color="auto" w:fill="FFFFFF"/>
        </w:rPr>
      </w:pPr>
      <w:r>
        <w:rPr>
          <w:shd w:val="clear" w:color="auto" w:fill="FFFFFF"/>
        </w:rPr>
        <w:t>Hange, N., Agoli, A.M., Pormento, M.K.L., Sharma, A., Somagutta, M.R., Paikkattil, N., Jadhav, A., Bethineedi, D. and Pisude, P., 2022. Impact of COVID-19 response on public health literacy and communication. </w:t>
      </w:r>
      <w:r>
        <w:rPr>
          <w:i/>
          <w:iCs/>
          <w:shd w:val="clear" w:color="auto" w:fill="FFFFFF"/>
        </w:rPr>
        <w:t>Health promotion perspectives</w:t>
      </w:r>
      <w:r>
        <w:rPr>
          <w:shd w:val="clear" w:color="auto" w:fill="FFFFFF"/>
        </w:rPr>
        <w:t>, </w:t>
      </w:r>
      <w:r>
        <w:rPr>
          <w:i/>
          <w:iCs/>
          <w:shd w:val="clear" w:color="auto" w:fill="FFFFFF"/>
        </w:rPr>
        <w:t>12</w:t>
      </w:r>
      <w:r>
        <w:rPr>
          <w:shd w:val="clear" w:color="auto" w:fill="FFFFFF"/>
        </w:rPr>
        <w:t>(1), p.1.</w:t>
      </w:r>
    </w:p>
    <w:p w14:paraId="390D0B80" w14:textId="77777777" w:rsidR="004E3649" w:rsidRDefault="004E3649" w:rsidP="003A092F">
      <w:pPr>
        <w:ind w:left="720" w:hanging="720"/>
        <w:rPr>
          <w:shd w:val="clear" w:color="auto" w:fill="FFFFFF"/>
        </w:rPr>
      </w:pPr>
      <w:r>
        <w:rPr>
          <w:shd w:val="clear" w:color="auto" w:fill="FFFFFF"/>
        </w:rPr>
        <w:t>Haenlein, M., Huang, M.H. and Kaplan, A., 2022. Guest editorial: Business ethics in the era of artificial intelligence. </w:t>
      </w:r>
      <w:r>
        <w:rPr>
          <w:i/>
          <w:iCs/>
          <w:shd w:val="clear" w:color="auto" w:fill="FFFFFF"/>
        </w:rPr>
        <w:t>Journal of Business Ethics</w:t>
      </w:r>
      <w:r>
        <w:rPr>
          <w:shd w:val="clear" w:color="auto" w:fill="FFFFFF"/>
        </w:rPr>
        <w:t>, </w:t>
      </w:r>
      <w:r>
        <w:rPr>
          <w:i/>
          <w:iCs/>
          <w:shd w:val="clear" w:color="auto" w:fill="FFFFFF"/>
        </w:rPr>
        <w:t>178</w:t>
      </w:r>
      <w:r>
        <w:rPr>
          <w:shd w:val="clear" w:color="auto" w:fill="FFFFFF"/>
        </w:rPr>
        <w:t>(4), pp.867-869.</w:t>
      </w:r>
    </w:p>
    <w:p w14:paraId="79403A62" w14:textId="447EFCD9" w:rsidR="00ED5BB2" w:rsidRDefault="00ED5BB2" w:rsidP="003A092F">
      <w:pPr>
        <w:ind w:left="720" w:hanging="720"/>
        <w:rPr>
          <w:shd w:val="clear" w:color="auto" w:fill="FFFFFF"/>
        </w:rPr>
      </w:pPr>
      <w:r>
        <w:rPr>
          <w:shd w:val="clear" w:color="auto" w:fill="FFFFFF"/>
        </w:rPr>
        <w:t>Hicham, N., Nassera, H. and Karim, S., 2023. Strategic framework for leveraging artificial intelligence in future marketing decision-making. </w:t>
      </w:r>
      <w:r>
        <w:rPr>
          <w:i/>
          <w:iCs/>
          <w:shd w:val="clear" w:color="auto" w:fill="FFFFFF"/>
        </w:rPr>
        <w:t>Journal of Intelligent Management Decision</w:t>
      </w:r>
      <w:r>
        <w:rPr>
          <w:shd w:val="clear" w:color="auto" w:fill="FFFFFF"/>
        </w:rPr>
        <w:t>, </w:t>
      </w:r>
      <w:r>
        <w:rPr>
          <w:i/>
          <w:iCs/>
          <w:shd w:val="clear" w:color="auto" w:fill="FFFFFF"/>
        </w:rPr>
        <w:t>2</w:t>
      </w:r>
      <w:r>
        <w:rPr>
          <w:shd w:val="clear" w:color="auto" w:fill="FFFFFF"/>
        </w:rPr>
        <w:t>(3), pp.139-150.</w:t>
      </w:r>
    </w:p>
    <w:p w14:paraId="73D64F09" w14:textId="77777777" w:rsidR="00C95FA0" w:rsidRDefault="00C95FA0" w:rsidP="003A092F">
      <w:pPr>
        <w:ind w:left="720" w:hanging="720"/>
        <w:rPr>
          <w:shd w:val="clear" w:color="auto" w:fill="FFFFFF"/>
        </w:rPr>
      </w:pPr>
      <w:r>
        <w:rPr>
          <w:shd w:val="clear" w:color="auto" w:fill="FFFFFF"/>
        </w:rPr>
        <w:lastRenderedPageBreak/>
        <w:t>Ijomah, T.I., Idemudia, C., Eyo-Udo, N.L. and Anjorin, K.F., 2024. Harnessing marketing analytics for enhanced decision-making and performance in SMEs. </w:t>
      </w:r>
      <w:r>
        <w:rPr>
          <w:i/>
          <w:iCs/>
          <w:shd w:val="clear" w:color="auto" w:fill="FFFFFF"/>
        </w:rPr>
        <w:t>World Journal Of Advanced Science And Technology</w:t>
      </w:r>
      <w:r>
        <w:rPr>
          <w:shd w:val="clear" w:color="auto" w:fill="FFFFFF"/>
        </w:rPr>
        <w:t>, </w:t>
      </w:r>
      <w:r>
        <w:rPr>
          <w:i/>
          <w:iCs/>
          <w:shd w:val="clear" w:color="auto" w:fill="FFFFFF"/>
        </w:rPr>
        <w:t>6</w:t>
      </w:r>
      <w:r>
        <w:rPr>
          <w:shd w:val="clear" w:color="auto" w:fill="FFFFFF"/>
        </w:rPr>
        <w:t>(1), pp.001-012.</w:t>
      </w:r>
    </w:p>
    <w:p w14:paraId="4ED9AD78" w14:textId="7FA2F8E9" w:rsidR="00026D32" w:rsidRDefault="00026D32" w:rsidP="003A092F">
      <w:pPr>
        <w:ind w:left="720" w:hanging="720"/>
        <w:rPr>
          <w:shd w:val="clear" w:color="auto" w:fill="FFFFFF"/>
        </w:rPr>
      </w:pPr>
      <w:r>
        <w:rPr>
          <w:shd w:val="clear" w:color="auto" w:fill="FFFFFF"/>
        </w:rPr>
        <w:t>Jamalova, M., 2024. Cultural values and digital gap: Overview of behavioral patterns. </w:t>
      </w:r>
      <w:r>
        <w:rPr>
          <w:i/>
          <w:iCs/>
          <w:shd w:val="clear" w:color="auto" w:fill="FFFFFF"/>
        </w:rPr>
        <w:t>PloS one</w:t>
      </w:r>
      <w:r>
        <w:rPr>
          <w:shd w:val="clear" w:color="auto" w:fill="FFFFFF"/>
        </w:rPr>
        <w:t>, </w:t>
      </w:r>
      <w:r>
        <w:rPr>
          <w:i/>
          <w:iCs/>
          <w:shd w:val="clear" w:color="auto" w:fill="FFFFFF"/>
        </w:rPr>
        <w:t>19</w:t>
      </w:r>
      <w:r>
        <w:rPr>
          <w:shd w:val="clear" w:color="auto" w:fill="FFFFFF"/>
        </w:rPr>
        <w:t>(10), p.e0311390.</w:t>
      </w:r>
    </w:p>
    <w:p w14:paraId="175DEA18" w14:textId="77777777" w:rsidR="0072217F" w:rsidRDefault="0072217F" w:rsidP="003A092F">
      <w:pPr>
        <w:ind w:left="720" w:hanging="720"/>
        <w:rPr>
          <w:shd w:val="clear" w:color="auto" w:fill="FFFFFF"/>
        </w:rPr>
      </w:pPr>
      <w:r>
        <w:rPr>
          <w:shd w:val="clear" w:color="auto" w:fill="FFFFFF"/>
        </w:rPr>
        <w:t>McGraw, D. and Mandl, K.D., 2021. Privacy protections to encourage use of health-relevant digital data in a learning health system. </w:t>
      </w:r>
      <w:r>
        <w:rPr>
          <w:i/>
          <w:iCs/>
          <w:shd w:val="clear" w:color="auto" w:fill="FFFFFF"/>
        </w:rPr>
        <w:t>NPJ digital medicine</w:t>
      </w:r>
      <w:r>
        <w:rPr>
          <w:shd w:val="clear" w:color="auto" w:fill="FFFFFF"/>
        </w:rPr>
        <w:t>, </w:t>
      </w:r>
      <w:r>
        <w:rPr>
          <w:i/>
          <w:iCs/>
          <w:shd w:val="clear" w:color="auto" w:fill="FFFFFF"/>
        </w:rPr>
        <w:t>4</w:t>
      </w:r>
      <w:r>
        <w:rPr>
          <w:shd w:val="clear" w:color="auto" w:fill="FFFFFF"/>
        </w:rPr>
        <w:t>(1), p.2.</w:t>
      </w:r>
    </w:p>
    <w:p w14:paraId="0AA7BCBD" w14:textId="08EA65E0" w:rsidR="00486D14" w:rsidRDefault="00486D14" w:rsidP="003A092F">
      <w:pPr>
        <w:ind w:left="720" w:hanging="720"/>
        <w:rPr>
          <w:shd w:val="clear" w:color="auto" w:fill="FFFFFF"/>
        </w:rPr>
      </w:pPr>
      <w:r>
        <w:rPr>
          <w:shd w:val="clear" w:color="auto" w:fill="FFFFFF"/>
        </w:rPr>
        <w:t>Sawadthaworn, P., Pawala, T., Jumroenpat, P. and Kaewlamai, S., 2025. The Ethical Edge: Modern Business Management Meets Environmental and Social Responsibility. </w:t>
      </w:r>
      <w:r>
        <w:rPr>
          <w:i/>
          <w:iCs/>
          <w:shd w:val="clear" w:color="auto" w:fill="FFFFFF"/>
        </w:rPr>
        <w:t>International Journal of Sociologies and Anthropologies Science Reviews</w:t>
      </w:r>
      <w:r>
        <w:rPr>
          <w:shd w:val="clear" w:color="auto" w:fill="FFFFFF"/>
        </w:rPr>
        <w:t>, </w:t>
      </w:r>
      <w:r>
        <w:rPr>
          <w:i/>
          <w:iCs/>
          <w:shd w:val="clear" w:color="auto" w:fill="FFFFFF"/>
        </w:rPr>
        <w:t>5</w:t>
      </w:r>
      <w:r>
        <w:rPr>
          <w:shd w:val="clear" w:color="auto" w:fill="FFFFFF"/>
        </w:rPr>
        <w:t>(3), pp.921-934.</w:t>
      </w:r>
    </w:p>
    <w:p w14:paraId="554AACCE" w14:textId="5F9CC4B1" w:rsidR="00570D00" w:rsidRDefault="00570D00" w:rsidP="003A092F">
      <w:pPr>
        <w:ind w:left="720" w:hanging="720"/>
        <w:rPr>
          <w:shd w:val="clear" w:color="auto" w:fill="FFFFFF"/>
        </w:rPr>
      </w:pPr>
      <w:r>
        <w:rPr>
          <w:shd w:val="clear" w:color="auto" w:fill="FFFFFF"/>
        </w:rPr>
        <w:t>Sawad, A.B. and Andrews, K., 2021. General theory of marketing ethics and unethical behavior in the pharmaceutical industry field. </w:t>
      </w:r>
      <w:r>
        <w:rPr>
          <w:i/>
          <w:iCs/>
          <w:shd w:val="clear" w:color="auto" w:fill="FFFFFF"/>
        </w:rPr>
        <w:t xml:space="preserve">International Journal </w:t>
      </w:r>
      <w:r w:rsidR="009937A3">
        <w:rPr>
          <w:i/>
          <w:iCs/>
          <w:shd w:val="clear" w:color="auto" w:fill="FFFFFF"/>
        </w:rPr>
        <w:t>of Pharmaceutical Research and</w:t>
      </w:r>
      <w:r>
        <w:rPr>
          <w:i/>
          <w:iCs/>
          <w:shd w:val="clear" w:color="auto" w:fill="FFFFFF"/>
        </w:rPr>
        <w:t xml:space="preserve"> Allied Sciences</w:t>
      </w:r>
      <w:r>
        <w:rPr>
          <w:shd w:val="clear" w:color="auto" w:fill="FFFFFF"/>
        </w:rPr>
        <w:t>, </w:t>
      </w:r>
      <w:r>
        <w:rPr>
          <w:i/>
          <w:iCs/>
          <w:shd w:val="clear" w:color="auto" w:fill="FFFFFF"/>
        </w:rPr>
        <w:t>10</w:t>
      </w:r>
      <w:r>
        <w:rPr>
          <w:shd w:val="clear" w:color="auto" w:fill="FFFFFF"/>
        </w:rPr>
        <w:t>(3-2021), pp.50-63.</w:t>
      </w:r>
    </w:p>
    <w:p w14:paraId="0078383C" w14:textId="04883CE5" w:rsidR="009937A3" w:rsidRDefault="009937A3" w:rsidP="003A092F">
      <w:pPr>
        <w:ind w:left="720" w:hanging="720"/>
        <w:rPr>
          <w:shd w:val="clear" w:color="auto" w:fill="FFFFFF"/>
        </w:rPr>
      </w:pPr>
      <w:r>
        <w:rPr>
          <w:shd w:val="clear" w:color="auto" w:fill="FFFFFF"/>
        </w:rPr>
        <w:t>Shashi, M., 2023. Sustainable digitalization in pharmaceutical supply chains using theory of constraints: A qualitative study. </w:t>
      </w:r>
      <w:r>
        <w:rPr>
          <w:i/>
          <w:iCs/>
          <w:shd w:val="clear" w:color="auto" w:fill="FFFFFF"/>
        </w:rPr>
        <w:t>Sustainability</w:t>
      </w:r>
      <w:r>
        <w:rPr>
          <w:shd w:val="clear" w:color="auto" w:fill="FFFFFF"/>
        </w:rPr>
        <w:t>, </w:t>
      </w:r>
      <w:r>
        <w:rPr>
          <w:i/>
          <w:iCs/>
          <w:shd w:val="clear" w:color="auto" w:fill="FFFFFF"/>
        </w:rPr>
        <w:t>15</w:t>
      </w:r>
      <w:r>
        <w:rPr>
          <w:shd w:val="clear" w:color="auto" w:fill="FFFFFF"/>
        </w:rPr>
        <w:t>(11), p.8752.</w:t>
      </w:r>
    </w:p>
    <w:p w14:paraId="380C07C6" w14:textId="2CD443F6" w:rsidR="003519BA" w:rsidRDefault="003519BA" w:rsidP="003A092F">
      <w:pPr>
        <w:ind w:left="720" w:hanging="720"/>
      </w:pPr>
      <w:r>
        <w:rPr>
          <w:shd w:val="clear" w:color="auto" w:fill="FFFFFF"/>
        </w:rPr>
        <w:t>Willis, E. and Delbaere, M., 2022. Patient influencers: the next frontier in direct-to-consumer pharmaceutical marketing. </w:t>
      </w:r>
      <w:r>
        <w:rPr>
          <w:i/>
          <w:iCs/>
          <w:shd w:val="clear" w:color="auto" w:fill="FFFFFF"/>
        </w:rPr>
        <w:t>Journal of Medical Internet Research</w:t>
      </w:r>
      <w:r>
        <w:rPr>
          <w:shd w:val="clear" w:color="auto" w:fill="FFFFFF"/>
        </w:rPr>
        <w:t>, </w:t>
      </w:r>
      <w:r>
        <w:rPr>
          <w:i/>
          <w:iCs/>
          <w:shd w:val="clear" w:color="auto" w:fill="FFFFFF"/>
        </w:rPr>
        <w:t>24</w:t>
      </w:r>
      <w:r>
        <w:rPr>
          <w:shd w:val="clear" w:color="auto" w:fill="FFFFFF"/>
        </w:rPr>
        <w:t>(3), p.e29422.</w:t>
      </w:r>
    </w:p>
    <w:p w14:paraId="08E0CCAC" w14:textId="2D8660F5" w:rsidR="001903F4" w:rsidRPr="003A092F" w:rsidRDefault="003C58E0" w:rsidP="003A092F">
      <w:pPr>
        <w:ind w:left="720" w:hanging="720"/>
      </w:pPr>
      <w:r>
        <w:t xml:space="preserve">Wedel, M. and Kannan, P.K. (2016) ‘Marketing analytics for data-rich environments’, </w:t>
      </w:r>
      <w:r>
        <w:rPr>
          <w:rStyle w:val="Emphasis"/>
        </w:rPr>
        <w:t>Journal of Marketing</w:t>
      </w:r>
      <w:r>
        <w:t>, 80(6), pp. 97–121.</w:t>
      </w:r>
    </w:p>
    <w:sectPr w:rsidR="001903F4" w:rsidRPr="003A092F" w:rsidSect="004854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2D417" w14:textId="77777777" w:rsidR="003476D0" w:rsidRDefault="003476D0" w:rsidP="0081608C">
      <w:pPr>
        <w:spacing w:after="0" w:line="240" w:lineRule="auto"/>
      </w:pPr>
      <w:r>
        <w:separator/>
      </w:r>
    </w:p>
  </w:endnote>
  <w:endnote w:type="continuationSeparator" w:id="0">
    <w:p w14:paraId="03CB3972" w14:textId="77777777" w:rsidR="003476D0" w:rsidRDefault="003476D0" w:rsidP="00816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649417"/>
      <w:docPartObj>
        <w:docPartGallery w:val="Page Numbers (Bottom of Page)"/>
        <w:docPartUnique/>
      </w:docPartObj>
    </w:sdtPr>
    <w:sdtEndPr>
      <w:rPr>
        <w:noProof/>
      </w:rPr>
    </w:sdtEndPr>
    <w:sdtContent>
      <w:p w14:paraId="25E756C3" w14:textId="6BE91B29" w:rsidR="00485411" w:rsidRDefault="00485411">
        <w:pPr>
          <w:pStyle w:val="Footer"/>
          <w:jc w:val="center"/>
        </w:pPr>
        <w:r>
          <w:fldChar w:fldCharType="begin"/>
        </w:r>
        <w:r>
          <w:instrText xml:space="preserve"> PAGE   \* MERGEFORMAT </w:instrText>
        </w:r>
        <w:r>
          <w:fldChar w:fldCharType="separate"/>
        </w:r>
        <w:r w:rsidR="003A092F">
          <w:rPr>
            <w:noProof/>
          </w:rPr>
          <w:t>17</w:t>
        </w:r>
        <w:r>
          <w:rPr>
            <w:noProof/>
          </w:rPr>
          <w:fldChar w:fldCharType="end"/>
        </w:r>
      </w:p>
    </w:sdtContent>
  </w:sdt>
  <w:p w14:paraId="05C4AA7D" w14:textId="77777777" w:rsidR="0081608C" w:rsidRDefault="00816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19694" w14:textId="77777777" w:rsidR="003476D0" w:rsidRDefault="003476D0" w:rsidP="0081608C">
      <w:pPr>
        <w:spacing w:after="0" w:line="240" w:lineRule="auto"/>
      </w:pPr>
      <w:r>
        <w:separator/>
      </w:r>
    </w:p>
  </w:footnote>
  <w:footnote w:type="continuationSeparator" w:id="0">
    <w:p w14:paraId="03639A24" w14:textId="77777777" w:rsidR="003476D0" w:rsidRDefault="003476D0" w:rsidP="008160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132"/>
    <w:rsid w:val="00026D32"/>
    <w:rsid w:val="00042132"/>
    <w:rsid w:val="0005147C"/>
    <w:rsid w:val="000F779B"/>
    <w:rsid w:val="00105E8C"/>
    <w:rsid w:val="0011065A"/>
    <w:rsid w:val="001174C7"/>
    <w:rsid w:val="00155200"/>
    <w:rsid w:val="001903F4"/>
    <w:rsid w:val="0019080F"/>
    <w:rsid w:val="001A0246"/>
    <w:rsid w:val="001D0D30"/>
    <w:rsid w:val="00211C0B"/>
    <w:rsid w:val="00233F98"/>
    <w:rsid w:val="00250EB6"/>
    <w:rsid w:val="002525F3"/>
    <w:rsid w:val="002866CD"/>
    <w:rsid w:val="002B6DD4"/>
    <w:rsid w:val="002C654E"/>
    <w:rsid w:val="00313B31"/>
    <w:rsid w:val="003476D0"/>
    <w:rsid w:val="003519BA"/>
    <w:rsid w:val="0037368A"/>
    <w:rsid w:val="00380EC7"/>
    <w:rsid w:val="003A092F"/>
    <w:rsid w:val="003A503B"/>
    <w:rsid w:val="003C58E0"/>
    <w:rsid w:val="003E25EC"/>
    <w:rsid w:val="003F176A"/>
    <w:rsid w:val="003F30A6"/>
    <w:rsid w:val="00415CDC"/>
    <w:rsid w:val="004326DF"/>
    <w:rsid w:val="00440364"/>
    <w:rsid w:val="004478A9"/>
    <w:rsid w:val="00485411"/>
    <w:rsid w:val="00486D14"/>
    <w:rsid w:val="004A4BB4"/>
    <w:rsid w:val="004E3649"/>
    <w:rsid w:val="004F0397"/>
    <w:rsid w:val="004F55A8"/>
    <w:rsid w:val="004F5C06"/>
    <w:rsid w:val="00501A84"/>
    <w:rsid w:val="005201DE"/>
    <w:rsid w:val="0056776D"/>
    <w:rsid w:val="00570D00"/>
    <w:rsid w:val="005B0AC8"/>
    <w:rsid w:val="005D203D"/>
    <w:rsid w:val="006047E3"/>
    <w:rsid w:val="00634D6B"/>
    <w:rsid w:val="006435D1"/>
    <w:rsid w:val="00644A41"/>
    <w:rsid w:val="006A32C9"/>
    <w:rsid w:val="006C13EE"/>
    <w:rsid w:val="0072217F"/>
    <w:rsid w:val="00722E51"/>
    <w:rsid w:val="00760054"/>
    <w:rsid w:val="007748AD"/>
    <w:rsid w:val="007B011F"/>
    <w:rsid w:val="007E3879"/>
    <w:rsid w:val="0081554B"/>
    <w:rsid w:val="0081608C"/>
    <w:rsid w:val="008465D7"/>
    <w:rsid w:val="0085299C"/>
    <w:rsid w:val="00856B8E"/>
    <w:rsid w:val="008B45A2"/>
    <w:rsid w:val="008C7C91"/>
    <w:rsid w:val="008E2202"/>
    <w:rsid w:val="008E4F08"/>
    <w:rsid w:val="00907785"/>
    <w:rsid w:val="009223A1"/>
    <w:rsid w:val="0094446D"/>
    <w:rsid w:val="00953A0F"/>
    <w:rsid w:val="009937A3"/>
    <w:rsid w:val="00996445"/>
    <w:rsid w:val="00996F96"/>
    <w:rsid w:val="009A69A7"/>
    <w:rsid w:val="009B54EB"/>
    <w:rsid w:val="009B678B"/>
    <w:rsid w:val="009D757B"/>
    <w:rsid w:val="009F27A0"/>
    <w:rsid w:val="00A1076F"/>
    <w:rsid w:val="00A12E2A"/>
    <w:rsid w:val="00A2150F"/>
    <w:rsid w:val="00A5071C"/>
    <w:rsid w:val="00A538AA"/>
    <w:rsid w:val="00A56DDD"/>
    <w:rsid w:val="00A87DB5"/>
    <w:rsid w:val="00AC7DC0"/>
    <w:rsid w:val="00AD0444"/>
    <w:rsid w:val="00AE445D"/>
    <w:rsid w:val="00B0773F"/>
    <w:rsid w:val="00B3704F"/>
    <w:rsid w:val="00B53B85"/>
    <w:rsid w:val="00B561DC"/>
    <w:rsid w:val="00B62270"/>
    <w:rsid w:val="00B70525"/>
    <w:rsid w:val="00C01C3C"/>
    <w:rsid w:val="00C32AF8"/>
    <w:rsid w:val="00C47CD3"/>
    <w:rsid w:val="00C72C4C"/>
    <w:rsid w:val="00C95FA0"/>
    <w:rsid w:val="00CA28DA"/>
    <w:rsid w:val="00CB4413"/>
    <w:rsid w:val="00CC4858"/>
    <w:rsid w:val="00CD17AB"/>
    <w:rsid w:val="00CF4FD0"/>
    <w:rsid w:val="00D06D89"/>
    <w:rsid w:val="00D27AFE"/>
    <w:rsid w:val="00D5556C"/>
    <w:rsid w:val="00D92834"/>
    <w:rsid w:val="00DA63CE"/>
    <w:rsid w:val="00DC6380"/>
    <w:rsid w:val="00DE4FDE"/>
    <w:rsid w:val="00DF2041"/>
    <w:rsid w:val="00E228D9"/>
    <w:rsid w:val="00E52E10"/>
    <w:rsid w:val="00EA3D28"/>
    <w:rsid w:val="00EB02C0"/>
    <w:rsid w:val="00EB5396"/>
    <w:rsid w:val="00ED33A8"/>
    <w:rsid w:val="00ED50AB"/>
    <w:rsid w:val="00ED5BB2"/>
    <w:rsid w:val="00EF700A"/>
    <w:rsid w:val="00F06C94"/>
    <w:rsid w:val="00F12AD7"/>
    <w:rsid w:val="00F87E30"/>
    <w:rsid w:val="00F96D5C"/>
    <w:rsid w:val="00FB1126"/>
    <w:rsid w:val="00FD3233"/>
    <w:rsid w:val="00FF1CAF"/>
    <w:rsid w:val="00FF64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B238B"/>
  <w15:chartTrackingRefBased/>
  <w15:docId w15:val="{A8F5555A-E6A6-4EC2-8D03-4F6F81AD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99C"/>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B53B85"/>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B53B85"/>
    <w:pPr>
      <w:keepNext/>
      <w:keepLines/>
      <w:spacing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1065A"/>
    <w:pPr>
      <w:keepNext/>
      <w:keepLines/>
      <w:spacing w:before="40" w:after="0"/>
      <w:outlineLvl w:val="2"/>
    </w:pPr>
    <w:rPr>
      <w:rFonts w:eastAsiaTheme="majorEastAsia" w:cs="Arial"/>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6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08C"/>
    <w:rPr>
      <w:rFonts w:ascii="Arial" w:hAnsi="Arial"/>
      <w:sz w:val="24"/>
    </w:rPr>
  </w:style>
  <w:style w:type="paragraph" w:styleId="Footer">
    <w:name w:val="footer"/>
    <w:basedOn w:val="Normal"/>
    <w:link w:val="FooterChar"/>
    <w:uiPriority w:val="99"/>
    <w:unhideWhenUsed/>
    <w:rsid w:val="00816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08C"/>
    <w:rPr>
      <w:rFonts w:ascii="Arial" w:hAnsi="Arial"/>
      <w:sz w:val="24"/>
    </w:rPr>
  </w:style>
  <w:style w:type="character" w:customStyle="1" w:styleId="Heading1Char">
    <w:name w:val="Heading 1 Char"/>
    <w:basedOn w:val="DefaultParagraphFont"/>
    <w:link w:val="Heading1"/>
    <w:uiPriority w:val="9"/>
    <w:rsid w:val="00B53B85"/>
    <w:rPr>
      <w:rFonts w:ascii="Arial" w:eastAsiaTheme="majorEastAsia" w:hAnsi="Arial" w:cstheme="majorBidi"/>
      <w:b/>
      <w:color w:val="2F5496" w:themeColor="accent1" w:themeShade="BF"/>
      <w:sz w:val="28"/>
      <w:szCs w:val="32"/>
    </w:rPr>
  </w:style>
  <w:style w:type="paragraph" w:styleId="TOCHeading">
    <w:name w:val="TOC Heading"/>
    <w:basedOn w:val="Heading1"/>
    <w:next w:val="Normal"/>
    <w:autoRedefine/>
    <w:uiPriority w:val="39"/>
    <w:unhideWhenUsed/>
    <w:qFormat/>
    <w:rsid w:val="003A092F"/>
    <w:pPr>
      <w:jc w:val="center"/>
      <w:outlineLvl w:val="9"/>
    </w:pPr>
    <w:rPr>
      <w:lang w:val="en-US"/>
    </w:rPr>
  </w:style>
  <w:style w:type="character" w:customStyle="1" w:styleId="Heading2Char">
    <w:name w:val="Heading 2 Char"/>
    <w:basedOn w:val="DefaultParagraphFont"/>
    <w:link w:val="Heading2"/>
    <w:uiPriority w:val="9"/>
    <w:rsid w:val="00B53B85"/>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11065A"/>
    <w:rPr>
      <w:rFonts w:ascii="Arial" w:eastAsiaTheme="majorEastAsia" w:hAnsi="Arial" w:cs="Arial"/>
      <w:b/>
      <w:color w:val="1F3763" w:themeColor="accent1" w:themeShade="7F"/>
      <w:sz w:val="24"/>
      <w:szCs w:val="24"/>
    </w:rPr>
  </w:style>
  <w:style w:type="paragraph" w:styleId="TOC1">
    <w:name w:val="toc 1"/>
    <w:basedOn w:val="Normal"/>
    <w:next w:val="Normal"/>
    <w:autoRedefine/>
    <w:uiPriority w:val="39"/>
    <w:unhideWhenUsed/>
    <w:rsid w:val="00F96D5C"/>
    <w:pPr>
      <w:tabs>
        <w:tab w:val="right" w:leader="dot" w:pos="9016"/>
      </w:tabs>
      <w:spacing w:after="100"/>
    </w:pPr>
    <w:rPr>
      <w:b/>
      <w:noProof/>
    </w:rPr>
  </w:style>
  <w:style w:type="paragraph" w:styleId="TOC2">
    <w:name w:val="toc 2"/>
    <w:basedOn w:val="Normal"/>
    <w:next w:val="Normal"/>
    <w:autoRedefine/>
    <w:uiPriority w:val="39"/>
    <w:unhideWhenUsed/>
    <w:rsid w:val="00250EB6"/>
    <w:pPr>
      <w:spacing w:after="100"/>
      <w:ind w:left="240"/>
    </w:pPr>
  </w:style>
  <w:style w:type="paragraph" w:styleId="TOC3">
    <w:name w:val="toc 3"/>
    <w:basedOn w:val="Normal"/>
    <w:next w:val="Normal"/>
    <w:autoRedefine/>
    <w:uiPriority w:val="39"/>
    <w:unhideWhenUsed/>
    <w:rsid w:val="00250EB6"/>
    <w:pPr>
      <w:spacing w:after="100"/>
      <w:ind w:left="480"/>
    </w:pPr>
  </w:style>
  <w:style w:type="character" w:styleId="Hyperlink">
    <w:name w:val="Hyperlink"/>
    <w:basedOn w:val="DefaultParagraphFont"/>
    <w:uiPriority w:val="99"/>
    <w:unhideWhenUsed/>
    <w:rsid w:val="00250EB6"/>
    <w:rPr>
      <w:color w:val="0563C1" w:themeColor="hyperlink"/>
      <w:u w:val="single"/>
    </w:rPr>
  </w:style>
  <w:style w:type="paragraph" w:styleId="NormalWeb">
    <w:name w:val="Normal (Web)"/>
    <w:basedOn w:val="Normal"/>
    <w:uiPriority w:val="99"/>
    <w:semiHidden/>
    <w:unhideWhenUsed/>
    <w:rsid w:val="003C58E0"/>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3C58E0"/>
    <w:rPr>
      <w:b/>
      <w:bCs/>
    </w:rPr>
  </w:style>
  <w:style w:type="character" w:styleId="Emphasis">
    <w:name w:val="Emphasis"/>
    <w:basedOn w:val="DefaultParagraphFont"/>
    <w:uiPriority w:val="20"/>
    <w:qFormat/>
    <w:rsid w:val="003C58E0"/>
    <w:rPr>
      <w:i/>
      <w:iCs/>
    </w:rPr>
  </w:style>
  <w:style w:type="paragraph" w:styleId="Caption">
    <w:name w:val="caption"/>
    <w:basedOn w:val="Normal"/>
    <w:next w:val="Normal"/>
    <w:uiPriority w:val="35"/>
    <w:unhideWhenUsed/>
    <w:qFormat/>
    <w:rsid w:val="007B011F"/>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E52E10"/>
    <w:pPr>
      <w:spacing w:after="0"/>
      <w:ind w:right="864"/>
      <w:jc w:val="center"/>
    </w:pPr>
    <w:rPr>
      <w:b/>
      <w:bCs/>
      <w:i/>
      <w:iCs/>
    </w:rPr>
  </w:style>
  <w:style w:type="character" w:customStyle="1" w:styleId="QuoteChar">
    <w:name w:val="Quote Char"/>
    <w:basedOn w:val="DefaultParagraphFont"/>
    <w:link w:val="Quote"/>
    <w:uiPriority w:val="29"/>
    <w:rsid w:val="00E52E10"/>
    <w:rPr>
      <w:rFonts w:ascii="Arial" w:hAnsi="Arial"/>
      <w:b/>
      <w:bCs/>
      <w:i/>
      <w:iCs/>
      <w:sz w:val="24"/>
    </w:rPr>
  </w:style>
  <w:style w:type="paragraph" w:styleId="ListParagraph">
    <w:name w:val="List Paragraph"/>
    <w:basedOn w:val="Normal"/>
    <w:uiPriority w:val="34"/>
    <w:qFormat/>
    <w:rsid w:val="005B0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064620">
      <w:bodyDiv w:val="1"/>
      <w:marLeft w:val="0"/>
      <w:marRight w:val="0"/>
      <w:marTop w:val="0"/>
      <w:marBottom w:val="0"/>
      <w:divBdr>
        <w:top w:val="none" w:sz="0" w:space="0" w:color="auto"/>
        <w:left w:val="none" w:sz="0" w:space="0" w:color="auto"/>
        <w:bottom w:val="none" w:sz="0" w:space="0" w:color="auto"/>
        <w:right w:val="none" w:sz="0" w:space="0" w:color="auto"/>
      </w:divBdr>
    </w:div>
    <w:div w:id="63861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5.jpe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www.scirp.org/reference/referencespapers?referenceid=341357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hyperlink" Target="https://www.astrazeneca.com/investor-relations/annual-reports/annual-report-2023.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AE8295-6B3D-41BF-BDDD-B7B6FD061640}"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CEED66FA-CEC7-468F-99BC-DC24A7001CF9}">
      <dgm:prSet phldrT="[Text]"/>
      <dgm:spPr/>
      <dgm:t>
        <a:bodyPr/>
        <a:lstStyle/>
        <a:p>
          <a:r>
            <a:rPr lang="en-GB" b="1"/>
            <a:t>Patients  </a:t>
          </a:r>
          <a:endParaRPr lang="en-GB"/>
        </a:p>
      </dgm:t>
    </dgm:pt>
    <dgm:pt modelId="{5433FBF3-9602-483A-A817-FF1C4FAC92E1}" type="parTrans" cxnId="{24585090-841E-418A-AD4D-FCE61172AF8C}">
      <dgm:prSet/>
      <dgm:spPr/>
      <dgm:t>
        <a:bodyPr/>
        <a:lstStyle/>
        <a:p>
          <a:endParaRPr lang="en-GB"/>
        </a:p>
      </dgm:t>
    </dgm:pt>
    <dgm:pt modelId="{C80DC5B5-C863-4695-9A40-794CA57908EE}" type="sibTrans" cxnId="{24585090-841E-418A-AD4D-FCE61172AF8C}">
      <dgm:prSet/>
      <dgm:spPr/>
      <dgm:t>
        <a:bodyPr/>
        <a:lstStyle/>
        <a:p>
          <a:endParaRPr lang="en-GB"/>
        </a:p>
      </dgm:t>
    </dgm:pt>
    <dgm:pt modelId="{DD6FBD9F-C56C-4D33-A26A-7906823E57BD}">
      <dgm:prSet phldrT="[Text]"/>
      <dgm:spPr/>
      <dgm:t>
        <a:bodyPr/>
        <a:lstStyle/>
        <a:p>
          <a:r>
            <a:rPr lang="en-GB" b="1"/>
            <a:t>Healthcare Professionals  </a:t>
          </a:r>
          <a:endParaRPr lang="en-GB"/>
        </a:p>
      </dgm:t>
    </dgm:pt>
    <dgm:pt modelId="{B6EB7E96-D420-4AD0-A4A8-2A248C0E4E1C}" type="parTrans" cxnId="{C4971B75-ABF4-4778-B891-D27241DEAD15}">
      <dgm:prSet/>
      <dgm:spPr/>
      <dgm:t>
        <a:bodyPr/>
        <a:lstStyle/>
        <a:p>
          <a:endParaRPr lang="en-GB"/>
        </a:p>
      </dgm:t>
    </dgm:pt>
    <dgm:pt modelId="{98285FC4-B69F-4486-A34A-190D4ACE9616}" type="sibTrans" cxnId="{C4971B75-ABF4-4778-B891-D27241DEAD15}">
      <dgm:prSet/>
      <dgm:spPr/>
      <dgm:t>
        <a:bodyPr/>
        <a:lstStyle/>
        <a:p>
          <a:endParaRPr lang="en-GB"/>
        </a:p>
      </dgm:t>
    </dgm:pt>
    <dgm:pt modelId="{B93AB8E4-C5DF-4826-A670-6D0DAD78388A}">
      <dgm:prSet phldrT="[Text]"/>
      <dgm:spPr/>
      <dgm:t>
        <a:bodyPr/>
        <a:lstStyle/>
        <a:p>
          <a:r>
            <a:rPr lang="en-GB" b="1"/>
            <a:t>Competitors  </a:t>
          </a:r>
          <a:endParaRPr lang="en-GB"/>
        </a:p>
      </dgm:t>
    </dgm:pt>
    <dgm:pt modelId="{F7F88F85-8375-4620-BD79-CD54D1B1A575}" type="parTrans" cxnId="{06C0D743-1D01-4ED4-992C-DEBB302A60B6}">
      <dgm:prSet/>
      <dgm:spPr/>
      <dgm:t>
        <a:bodyPr/>
        <a:lstStyle/>
        <a:p>
          <a:endParaRPr lang="en-GB"/>
        </a:p>
      </dgm:t>
    </dgm:pt>
    <dgm:pt modelId="{E5AEE254-CCEA-4717-A294-C62E333F294C}" type="sibTrans" cxnId="{06C0D743-1D01-4ED4-992C-DEBB302A60B6}">
      <dgm:prSet/>
      <dgm:spPr/>
      <dgm:t>
        <a:bodyPr/>
        <a:lstStyle/>
        <a:p>
          <a:endParaRPr lang="en-GB"/>
        </a:p>
      </dgm:t>
    </dgm:pt>
    <dgm:pt modelId="{230A0458-E33D-440C-A21C-570328189FEC}">
      <dgm:prSet phldrT="[Text]"/>
      <dgm:spPr/>
      <dgm:t>
        <a:bodyPr/>
        <a:lstStyle/>
        <a:p>
          <a:r>
            <a:rPr lang="en-GB" b="1"/>
            <a:t>Internal Capabilities  </a:t>
          </a:r>
          <a:endParaRPr lang="en-GB"/>
        </a:p>
      </dgm:t>
    </dgm:pt>
    <dgm:pt modelId="{2E59E1FF-E15A-4580-9679-3370E788E5AC}" type="parTrans" cxnId="{627DBD7D-8754-4041-899F-E68F0AECB515}">
      <dgm:prSet/>
      <dgm:spPr/>
      <dgm:t>
        <a:bodyPr/>
        <a:lstStyle/>
        <a:p>
          <a:endParaRPr lang="en-GB"/>
        </a:p>
      </dgm:t>
    </dgm:pt>
    <dgm:pt modelId="{2576DE2A-4F6F-49F6-8AC3-CC1543B98CFB}" type="sibTrans" cxnId="{627DBD7D-8754-4041-899F-E68F0AECB515}">
      <dgm:prSet/>
      <dgm:spPr/>
      <dgm:t>
        <a:bodyPr/>
        <a:lstStyle/>
        <a:p>
          <a:endParaRPr lang="en-GB"/>
        </a:p>
      </dgm:t>
    </dgm:pt>
    <dgm:pt modelId="{5E621A63-8A51-40DA-B831-FB4EB395E06C}" type="pres">
      <dgm:prSet presAssocID="{C0AE8295-6B3D-41BF-BDDD-B7B6FD061640}" presName="cycle" presStyleCnt="0">
        <dgm:presLayoutVars>
          <dgm:dir/>
          <dgm:resizeHandles val="exact"/>
        </dgm:presLayoutVars>
      </dgm:prSet>
      <dgm:spPr/>
    </dgm:pt>
    <dgm:pt modelId="{7BF2C250-8381-482C-995E-9E25CF6229BF}" type="pres">
      <dgm:prSet presAssocID="{CEED66FA-CEC7-468F-99BC-DC24A7001CF9}" presName="dummy" presStyleCnt="0"/>
      <dgm:spPr/>
    </dgm:pt>
    <dgm:pt modelId="{1A728565-1548-451F-80C8-5FFF51917C9B}" type="pres">
      <dgm:prSet presAssocID="{CEED66FA-CEC7-468F-99BC-DC24A7001CF9}" presName="node" presStyleLbl="revTx" presStyleIdx="0" presStyleCnt="4">
        <dgm:presLayoutVars>
          <dgm:bulletEnabled val="1"/>
        </dgm:presLayoutVars>
      </dgm:prSet>
      <dgm:spPr/>
    </dgm:pt>
    <dgm:pt modelId="{B6BB0EA6-85DA-49AE-AE12-933B08AD0F07}" type="pres">
      <dgm:prSet presAssocID="{C80DC5B5-C863-4695-9A40-794CA57908EE}" presName="sibTrans" presStyleLbl="node1" presStyleIdx="0" presStyleCnt="4"/>
      <dgm:spPr/>
    </dgm:pt>
    <dgm:pt modelId="{38A88B37-9EBE-4338-8113-3A096EDC29A7}" type="pres">
      <dgm:prSet presAssocID="{DD6FBD9F-C56C-4D33-A26A-7906823E57BD}" presName="dummy" presStyleCnt="0"/>
      <dgm:spPr/>
    </dgm:pt>
    <dgm:pt modelId="{3BEA1E88-9631-49EE-A99D-608F7D185571}" type="pres">
      <dgm:prSet presAssocID="{DD6FBD9F-C56C-4D33-A26A-7906823E57BD}" presName="node" presStyleLbl="revTx" presStyleIdx="1" presStyleCnt="4">
        <dgm:presLayoutVars>
          <dgm:bulletEnabled val="1"/>
        </dgm:presLayoutVars>
      </dgm:prSet>
      <dgm:spPr/>
    </dgm:pt>
    <dgm:pt modelId="{24CB1453-619B-4FBB-B792-8382998A932C}" type="pres">
      <dgm:prSet presAssocID="{98285FC4-B69F-4486-A34A-190D4ACE9616}" presName="sibTrans" presStyleLbl="node1" presStyleIdx="1" presStyleCnt="4"/>
      <dgm:spPr/>
    </dgm:pt>
    <dgm:pt modelId="{5D091825-781F-4A08-9B99-F9BD8B821A0D}" type="pres">
      <dgm:prSet presAssocID="{B93AB8E4-C5DF-4826-A670-6D0DAD78388A}" presName="dummy" presStyleCnt="0"/>
      <dgm:spPr/>
    </dgm:pt>
    <dgm:pt modelId="{D2245F8D-3845-4F6D-9D91-CF8C1524DDDA}" type="pres">
      <dgm:prSet presAssocID="{B93AB8E4-C5DF-4826-A670-6D0DAD78388A}" presName="node" presStyleLbl="revTx" presStyleIdx="2" presStyleCnt="4">
        <dgm:presLayoutVars>
          <dgm:bulletEnabled val="1"/>
        </dgm:presLayoutVars>
      </dgm:prSet>
      <dgm:spPr/>
    </dgm:pt>
    <dgm:pt modelId="{68199A97-0E9F-48D9-AFAA-FE8C49278715}" type="pres">
      <dgm:prSet presAssocID="{E5AEE254-CCEA-4717-A294-C62E333F294C}" presName="sibTrans" presStyleLbl="node1" presStyleIdx="2" presStyleCnt="4"/>
      <dgm:spPr/>
    </dgm:pt>
    <dgm:pt modelId="{E9583DE4-5D8A-40B7-A7BD-A06BDC6747AE}" type="pres">
      <dgm:prSet presAssocID="{230A0458-E33D-440C-A21C-570328189FEC}" presName="dummy" presStyleCnt="0"/>
      <dgm:spPr/>
    </dgm:pt>
    <dgm:pt modelId="{1152D09D-854B-4755-B702-90F73E3520A2}" type="pres">
      <dgm:prSet presAssocID="{230A0458-E33D-440C-A21C-570328189FEC}" presName="node" presStyleLbl="revTx" presStyleIdx="3" presStyleCnt="4">
        <dgm:presLayoutVars>
          <dgm:bulletEnabled val="1"/>
        </dgm:presLayoutVars>
      </dgm:prSet>
      <dgm:spPr/>
    </dgm:pt>
    <dgm:pt modelId="{C716A06F-0B53-42FA-83E0-DDEDAC585120}" type="pres">
      <dgm:prSet presAssocID="{2576DE2A-4F6F-49F6-8AC3-CC1543B98CFB}" presName="sibTrans" presStyleLbl="node1" presStyleIdx="3" presStyleCnt="4"/>
      <dgm:spPr/>
    </dgm:pt>
  </dgm:ptLst>
  <dgm:cxnLst>
    <dgm:cxn modelId="{2CDB620B-3C0B-453E-A84A-AEDCAF8C5245}" type="presOf" srcId="{DD6FBD9F-C56C-4D33-A26A-7906823E57BD}" destId="{3BEA1E88-9631-49EE-A99D-608F7D185571}" srcOrd="0" destOrd="0" presId="urn:microsoft.com/office/officeart/2005/8/layout/cycle1"/>
    <dgm:cxn modelId="{B3AC0D20-7035-4346-AB49-A21C5140F700}" type="presOf" srcId="{B93AB8E4-C5DF-4826-A670-6D0DAD78388A}" destId="{D2245F8D-3845-4F6D-9D91-CF8C1524DDDA}" srcOrd="0" destOrd="0" presId="urn:microsoft.com/office/officeart/2005/8/layout/cycle1"/>
    <dgm:cxn modelId="{59F53E21-EE3C-4260-9E64-52E0274BB409}" type="presOf" srcId="{E5AEE254-CCEA-4717-A294-C62E333F294C}" destId="{68199A97-0E9F-48D9-AFAA-FE8C49278715}" srcOrd="0" destOrd="0" presId="urn:microsoft.com/office/officeart/2005/8/layout/cycle1"/>
    <dgm:cxn modelId="{06C0D743-1D01-4ED4-992C-DEBB302A60B6}" srcId="{C0AE8295-6B3D-41BF-BDDD-B7B6FD061640}" destId="{B93AB8E4-C5DF-4826-A670-6D0DAD78388A}" srcOrd="2" destOrd="0" parTransId="{F7F88F85-8375-4620-BD79-CD54D1B1A575}" sibTransId="{E5AEE254-CCEA-4717-A294-C62E333F294C}"/>
    <dgm:cxn modelId="{F828286E-C620-4AF0-BEC1-F6B3E3F1B37A}" type="presOf" srcId="{230A0458-E33D-440C-A21C-570328189FEC}" destId="{1152D09D-854B-4755-B702-90F73E3520A2}" srcOrd="0" destOrd="0" presId="urn:microsoft.com/office/officeart/2005/8/layout/cycle1"/>
    <dgm:cxn modelId="{C4971B75-ABF4-4778-B891-D27241DEAD15}" srcId="{C0AE8295-6B3D-41BF-BDDD-B7B6FD061640}" destId="{DD6FBD9F-C56C-4D33-A26A-7906823E57BD}" srcOrd="1" destOrd="0" parTransId="{B6EB7E96-D420-4AD0-A4A8-2A248C0E4E1C}" sibTransId="{98285FC4-B69F-4486-A34A-190D4ACE9616}"/>
    <dgm:cxn modelId="{627DBD7D-8754-4041-899F-E68F0AECB515}" srcId="{C0AE8295-6B3D-41BF-BDDD-B7B6FD061640}" destId="{230A0458-E33D-440C-A21C-570328189FEC}" srcOrd="3" destOrd="0" parTransId="{2E59E1FF-E15A-4580-9679-3370E788E5AC}" sibTransId="{2576DE2A-4F6F-49F6-8AC3-CC1543B98CFB}"/>
    <dgm:cxn modelId="{24585090-841E-418A-AD4D-FCE61172AF8C}" srcId="{C0AE8295-6B3D-41BF-BDDD-B7B6FD061640}" destId="{CEED66FA-CEC7-468F-99BC-DC24A7001CF9}" srcOrd="0" destOrd="0" parTransId="{5433FBF3-9602-483A-A817-FF1C4FAC92E1}" sibTransId="{C80DC5B5-C863-4695-9A40-794CA57908EE}"/>
    <dgm:cxn modelId="{5E779DA8-C0E2-4DE0-AEE1-AEE0A7AEFDD9}" type="presOf" srcId="{CEED66FA-CEC7-468F-99BC-DC24A7001CF9}" destId="{1A728565-1548-451F-80C8-5FFF51917C9B}" srcOrd="0" destOrd="0" presId="urn:microsoft.com/office/officeart/2005/8/layout/cycle1"/>
    <dgm:cxn modelId="{7FF70CB5-B8C1-4ED1-B837-78D4350A85C3}" type="presOf" srcId="{98285FC4-B69F-4486-A34A-190D4ACE9616}" destId="{24CB1453-619B-4FBB-B792-8382998A932C}" srcOrd="0" destOrd="0" presId="urn:microsoft.com/office/officeart/2005/8/layout/cycle1"/>
    <dgm:cxn modelId="{E63F71C2-1DE2-4126-80CA-1F27BE4AC2C9}" type="presOf" srcId="{C0AE8295-6B3D-41BF-BDDD-B7B6FD061640}" destId="{5E621A63-8A51-40DA-B831-FB4EB395E06C}" srcOrd="0" destOrd="0" presId="urn:microsoft.com/office/officeart/2005/8/layout/cycle1"/>
    <dgm:cxn modelId="{5C66B3CF-4890-43A3-93C2-7750B3A19C35}" type="presOf" srcId="{2576DE2A-4F6F-49F6-8AC3-CC1543B98CFB}" destId="{C716A06F-0B53-42FA-83E0-DDEDAC585120}" srcOrd="0" destOrd="0" presId="urn:microsoft.com/office/officeart/2005/8/layout/cycle1"/>
    <dgm:cxn modelId="{FA0FB8D6-4F3F-4C06-B04A-AF624507F369}" type="presOf" srcId="{C80DC5B5-C863-4695-9A40-794CA57908EE}" destId="{B6BB0EA6-85DA-49AE-AE12-933B08AD0F07}" srcOrd="0" destOrd="0" presId="urn:microsoft.com/office/officeart/2005/8/layout/cycle1"/>
    <dgm:cxn modelId="{F879B142-5CFE-4012-B3B8-02D1D161940A}" type="presParOf" srcId="{5E621A63-8A51-40DA-B831-FB4EB395E06C}" destId="{7BF2C250-8381-482C-995E-9E25CF6229BF}" srcOrd="0" destOrd="0" presId="urn:microsoft.com/office/officeart/2005/8/layout/cycle1"/>
    <dgm:cxn modelId="{31C424A5-410A-4AE4-B988-9977C375EFAE}" type="presParOf" srcId="{5E621A63-8A51-40DA-B831-FB4EB395E06C}" destId="{1A728565-1548-451F-80C8-5FFF51917C9B}" srcOrd="1" destOrd="0" presId="urn:microsoft.com/office/officeart/2005/8/layout/cycle1"/>
    <dgm:cxn modelId="{F1F5E9F1-201D-412A-B9E0-5EA9A57D3B54}" type="presParOf" srcId="{5E621A63-8A51-40DA-B831-FB4EB395E06C}" destId="{B6BB0EA6-85DA-49AE-AE12-933B08AD0F07}" srcOrd="2" destOrd="0" presId="urn:microsoft.com/office/officeart/2005/8/layout/cycle1"/>
    <dgm:cxn modelId="{53B4F245-2666-45F0-9BCB-3731BFE5AF79}" type="presParOf" srcId="{5E621A63-8A51-40DA-B831-FB4EB395E06C}" destId="{38A88B37-9EBE-4338-8113-3A096EDC29A7}" srcOrd="3" destOrd="0" presId="urn:microsoft.com/office/officeart/2005/8/layout/cycle1"/>
    <dgm:cxn modelId="{457B096F-A2E6-49D0-AFE5-DDC289C95113}" type="presParOf" srcId="{5E621A63-8A51-40DA-B831-FB4EB395E06C}" destId="{3BEA1E88-9631-49EE-A99D-608F7D185571}" srcOrd="4" destOrd="0" presId="urn:microsoft.com/office/officeart/2005/8/layout/cycle1"/>
    <dgm:cxn modelId="{1A8C4EE1-00DB-424A-BD4C-ED1393DB2682}" type="presParOf" srcId="{5E621A63-8A51-40DA-B831-FB4EB395E06C}" destId="{24CB1453-619B-4FBB-B792-8382998A932C}" srcOrd="5" destOrd="0" presId="urn:microsoft.com/office/officeart/2005/8/layout/cycle1"/>
    <dgm:cxn modelId="{A03C30E2-967A-4AF6-9687-2354E56CB667}" type="presParOf" srcId="{5E621A63-8A51-40DA-B831-FB4EB395E06C}" destId="{5D091825-781F-4A08-9B99-F9BD8B821A0D}" srcOrd="6" destOrd="0" presId="urn:microsoft.com/office/officeart/2005/8/layout/cycle1"/>
    <dgm:cxn modelId="{D478FA07-A219-405D-B00B-31F21A32C2CA}" type="presParOf" srcId="{5E621A63-8A51-40DA-B831-FB4EB395E06C}" destId="{D2245F8D-3845-4F6D-9D91-CF8C1524DDDA}" srcOrd="7" destOrd="0" presId="urn:microsoft.com/office/officeart/2005/8/layout/cycle1"/>
    <dgm:cxn modelId="{369B3363-DE24-4B38-A369-C4C4AE73DFC8}" type="presParOf" srcId="{5E621A63-8A51-40DA-B831-FB4EB395E06C}" destId="{68199A97-0E9F-48D9-AFAA-FE8C49278715}" srcOrd="8" destOrd="0" presId="urn:microsoft.com/office/officeart/2005/8/layout/cycle1"/>
    <dgm:cxn modelId="{5491756B-C84E-4237-9DA4-3798A6BAADA7}" type="presParOf" srcId="{5E621A63-8A51-40DA-B831-FB4EB395E06C}" destId="{E9583DE4-5D8A-40B7-A7BD-A06BDC6747AE}" srcOrd="9" destOrd="0" presId="urn:microsoft.com/office/officeart/2005/8/layout/cycle1"/>
    <dgm:cxn modelId="{4EC2478A-3C98-4732-B9CC-B6AB94E1027B}" type="presParOf" srcId="{5E621A63-8A51-40DA-B831-FB4EB395E06C}" destId="{1152D09D-854B-4755-B702-90F73E3520A2}" srcOrd="10" destOrd="0" presId="urn:microsoft.com/office/officeart/2005/8/layout/cycle1"/>
    <dgm:cxn modelId="{45E15AF8-92B9-413C-B690-9101143C2343}" type="presParOf" srcId="{5E621A63-8A51-40DA-B831-FB4EB395E06C}" destId="{C716A06F-0B53-42FA-83E0-DDEDAC585120}" srcOrd="11" destOrd="0" presId="urn:microsoft.com/office/officeart/2005/8/layout/cycle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28565-1548-451F-80C8-5FFF51917C9B}">
      <dsp:nvSpPr>
        <dsp:cNvPr id="0" name=""/>
        <dsp:cNvSpPr/>
      </dsp:nvSpPr>
      <dsp:spPr>
        <a:xfrm>
          <a:off x="3210284" y="61619"/>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Patients  </a:t>
          </a:r>
          <a:endParaRPr lang="en-GB" sz="1300" kern="1200"/>
        </a:p>
      </dsp:txBody>
      <dsp:txXfrm>
        <a:off x="3210284" y="61619"/>
        <a:ext cx="974093" cy="974093"/>
      </dsp:txXfrm>
    </dsp:sp>
    <dsp:sp modelId="{B6BB0EA6-85DA-49AE-AE12-933B08AD0F07}">
      <dsp:nvSpPr>
        <dsp:cNvPr id="0" name=""/>
        <dsp:cNvSpPr/>
      </dsp:nvSpPr>
      <dsp:spPr>
        <a:xfrm>
          <a:off x="1495216" y="371"/>
          <a:ext cx="2750408" cy="2750408"/>
        </a:xfrm>
        <a:prstGeom prst="circularArrow">
          <a:avLst>
            <a:gd name="adj1" fmla="val 6906"/>
            <a:gd name="adj2" fmla="val 465679"/>
            <a:gd name="adj3" fmla="val 548039"/>
            <a:gd name="adj4" fmla="val 205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EA1E88-9631-49EE-A99D-608F7D185571}">
      <dsp:nvSpPr>
        <dsp:cNvPr id="0" name=""/>
        <dsp:cNvSpPr/>
      </dsp:nvSpPr>
      <dsp:spPr>
        <a:xfrm>
          <a:off x="3210284" y="1715438"/>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Healthcare Professionals  </a:t>
          </a:r>
          <a:endParaRPr lang="en-GB" sz="1300" kern="1200"/>
        </a:p>
      </dsp:txBody>
      <dsp:txXfrm>
        <a:off x="3210284" y="1715438"/>
        <a:ext cx="974093" cy="974093"/>
      </dsp:txXfrm>
    </dsp:sp>
    <dsp:sp modelId="{24CB1453-619B-4FBB-B792-8382998A932C}">
      <dsp:nvSpPr>
        <dsp:cNvPr id="0" name=""/>
        <dsp:cNvSpPr/>
      </dsp:nvSpPr>
      <dsp:spPr>
        <a:xfrm>
          <a:off x="1495216" y="371"/>
          <a:ext cx="2750408" cy="2750408"/>
        </a:xfrm>
        <a:prstGeom prst="circularArrow">
          <a:avLst>
            <a:gd name="adj1" fmla="val 6906"/>
            <a:gd name="adj2" fmla="val 465679"/>
            <a:gd name="adj3" fmla="val 5948039"/>
            <a:gd name="adj4" fmla="val 43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245F8D-3845-4F6D-9D91-CF8C1524DDDA}">
      <dsp:nvSpPr>
        <dsp:cNvPr id="0" name=""/>
        <dsp:cNvSpPr/>
      </dsp:nvSpPr>
      <dsp:spPr>
        <a:xfrm>
          <a:off x="1556464" y="1715438"/>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Competitors  </a:t>
          </a:r>
          <a:endParaRPr lang="en-GB" sz="1300" kern="1200"/>
        </a:p>
      </dsp:txBody>
      <dsp:txXfrm>
        <a:off x="1556464" y="1715438"/>
        <a:ext cx="974093" cy="974093"/>
      </dsp:txXfrm>
    </dsp:sp>
    <dsp:sp modelId="{68199A97-0E9F-48D9-AFAA-FE8C49278715}">
      <dsp:nvSpPr>
        <dsp:cNvPr id="0" name=""/>
        <dsp:cNvSpPr/>
      </dsp:nvSpPr>
      <dsp:spPr>
        <a:xfrm>
          <a:off x="1495216" y="371"/>
          <a:ext cx="2750408" cy="2750408"/>
        </a:xfrm>
        <a:prstGeom prst="circularArrow">
          <a:avLst>
            <a:gd name="adj1" fmla="val 6906"/>
            <a:gd name="adj2" fmla="val 465679"/>
            <a:gd name="adj3" fmla="val 11348039"/>
            <a:gd name="adj4" fmla="val 97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52D09D-854B-4755-B702-90F73E3520A2}">
      <dsp:nvSpPr>
        <dsp:cNvPr id="0" name=""/>
        <dsp:cNvSpPr/>
      </dsp:nvSpPr>
      <dsp:spPr>
        <a:xfrm>
          <a:off x="1556464" y="61619"/>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Internal Capabilities  </a:t>
          </a:r>
          <a:endParaRPr lang="en-GB" sz="1300" kern="1200"/>
        </a:p>
      </dsp:txBody>
      <dsp:txXfrm>
        <a:off x="1556464" y="61619"/>
        <a:ext cx="974093" cy="974093"/>
      </dsp:txXfrm>
    </dsp:sp>
    <dsp:sp modelId="{C716A06F-0B53-42FA-83E0-DDEDAC585120}">
      <dsp:nvSpPr>
        <dsp:cNvPr id="0" name=""/>
        <dsp:cNvSpPr/>
      </dsp:nvSpPr>
      <dsp:spPr>
        <a:xfrm>
          <a:off x="1495216" y="371"/>
          <a:ext cx="2750408" cy="2750408"/>
        </a:xfrm>
        <a:prstGeom prst="circularArrow">
          <a:avLst>
            <a:gd name="adj1" fmla="val 6906"/>
            <a:gd name="adj2" fmla="val 465679"/>
            <a:gd name="adj3" fmla="val 16748039"/>
            <a:gd name="adj4" fmla="val 151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E0DDE-7C11-4A6D-AA24-C6CA1AB4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5219</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ASus</cp:lastModifiedBy>
  <cp:revision>2</cp:revision>
  <dcterms:created xsi:type="dcterms:W3CDTF">2025-11-18T03:01:00Z</dcterms:created>
  <dcterms:modified xsi:type="dcterms:W3CDTF">2025-11-21T16:19:00Z</dcterms:modified>
</cp:coreProperties>
</file>