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9B4D56" w:rsidR="004023E9" w:rsidP="3DFDA105" w:rsidRDefault="004023E9" w14:paraId="36A6FB29" w14:textId="6E4E01C3">
      <w:pPr>
        <w:jc w:val="center"/>
        <w:rPr>
          <w:rFonts w:ascii="Arial" w:hAnsi="Arial" w:eastAsia="Arial" w:cs="Arial"/>
          <w:sz w:val="20"/>
          <w:szCs w:val="20"/>
        </w:rPr>
      </w:pPr>
    </w:p>
    <w:p w:rsidRPr="009B4D56" w:rsidR="004023E9" w:rsidP="3DFDA105" w:rsidRDefault="353B4987" w14:paraId="613B4AB7" w14:textId="65838649">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353B4987" w14:paraId="385B1C94" w14:textId="6D24CABF">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353B4987" w14:paraId="5B6D57D6" w14:textId="33560ACF">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7B9C1D9E" w14:paraId="79889FED" w14:textId="12656AA3">
      <w:pPr>
        <w:jc w:val="center"/>
        <w:rPr>
          <w:rFonts w:ascii="Arial" w:hAnsi="Arial" w:eastAsia="Arial" w:cs="Arial"/>
          <w:sz w:val="20"/>
          <w:szCs w:val="20"/>
        </w:rPr>
      </w:pPr>
      <w:r>
        <w:drawing>
          <wp:inline wp14:editId="3DFDA105" wp14:anchorId="323B319C">
            <wp:extent cx="2914650" cy="971550"/>
            <wp:effectExtent l="0" t="0" r="0" b="0"/>
            <wp:docPr id="806674075" name="Picture 806674075" title=""/>
            <wp:cNvGraphicFramePr>
              <a:graphicFrameLocks noChangeAspect="1"/>
            </wp:cNvGraphicFramePr>
            <a:graphic>
              <a:graphicData uri="http://schemas.openxmlformats.org/drawingml/2006/picture">
                <pic:pic>
                  <pic:nvPicPr>
                    <pic:cNvPr id="0" name="Picture 806674075"/>
                    <pic:cNvPicPr/>
                  </pic:nvPicPr>
                  <pic:blipFill>
                    <a:blip r:embed="R1ac05612706c4c1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914650" cy="971550"/>
                    </a:xfrm>
                    <a:prstGeom prst="rect">
                      <a:avLst/>
                    </a:prstGeom>
                  </pic:spPr>
                </pic:pic>
              </a:graphicData>
            </a:graphic>
          </wp:inline>
        </w:drawing>
      </w:r>
      <w:r w:rsidRPr="3DFDA105" w:rsidR="3DFDA105">
        <w:rPr>
          <w:rFonts w:ascii="Arial" w:hAnsi="Arial" w:eastAsia="Arial" w:cs="Arial"/>
          <w:sz w:val="20"/>
          <w:szCs w:val="20"/>
        </w:rPr>
        <w:t xml:space="preserve"> </w:t>
      </w:r>
    </w:p>
    <w:p w:rsidRPr="009B4D56" w:rsidR="004023E9" w:rsidP="3DFDA105" w:rsidRDefault="353B4987" w14:paraId="199372F6" w14:textId="004F79AB">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353B4987" w14:paraId="386DF061" w14:textId="41B78974">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353B4987" w14:paraId="642639CA" w14:textId="7C041DC4">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353B4987" w14:paraId="2EE214F6" w14:textId="4D56554F">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353B4987" w14:paraId="33996AC8" w14:textId="73248934">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353B4987" w14:paraId="21BB0616" w14:textId="11C1FF29">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353B4987" w14:paraId="42B78D28" w14:textId="73329153">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353B4987" w14:paraId="0431892B" w14:textId="075BAA8F">
      <w:pPr>
        <w:jc w:val="center"/>
        <w:rPr>
          <w:rFonts w:ascii="Arial" w:hAnsi="Arial" w:eastAsia="Arial" w:cs="Arial"/>
          <w:sz w:val="20"/>
          <w:szCs w:val="20"/>
        </w:rPr>
      </w:pPr>
      <w:r w:rsidRPr="3DFDA105" w:rsidR="3DFDA105">
        <w:rPr>
          <w:rFonts w:ascii="Arial" w:hAnsi="Arial" w:eastAsia="Arial" w:cs="Arial"/>
          <w:sz w:val="20"/>
          <w:szCs w:val="20"/>
        </w:rPr>
        <w:t xml:space="preserve"> </w:t>
      </w:r>
    </w:p>
    <w:p w:rsidRPr="009B4D56" w:rsidR="004023E9" w:rsidP="3DFDA105" w:rsidRDefault="353B4987" w14:paraId="1F6C551F" w14:textId="79F28D42">
      <w:pPr>
        <w:jc w:val="center"/>
        <w:rPr>
          <w:rFonts w:ascii="Arial" w:hAnsi="Arial" w:eastAsia="Arial" w:cs="Arial"/>
          <w:b w:val="1"/>
          <w:bCs w:val="1"/>
          <w:sz w:val="36"/>
          <w:szCs w:val="36"/>
        </w:rPr>
      </w:pPr>
      <w:r w:rsidRPr="3DFDA105" w:rsidR="3DFDA105">
        <w:rPr>
          <w:rFonts w:ascii="Arial" w:hAnsi="Arial" w:eastAsia="Arial" w:cs="Arial"/>
          <w:sz w:val="25"/>
          <w:szCs w:val="25"/>
        </w:rPr>
        <w:t xml:space="preserve"> </w:t>
      </w:r>
      <w:r w:rsidRPr="3DFDA105" w:rsidR="3DFDA105">
        <w:rPr>
          <w:rFonts w:ascii="Arial" w:hAnsi="Arial" w:eastAsia="Arial" w:cs="Arial"/>
          <w:b w:val="1"/>
          <w:bCs w:val="1"/>
          <w:sz w:val="36"/>
          <w:szCs w:val="36"/>
        </w:rPr>
        <w:t>Written Report</w:t>
      </w:r>
    </w:p>
    <w:p w:rsidRPr="009B4D56" w:rsidR="004023E9" w:rsidP="3DFDA105" w:rsidRDefault="353B4987" w14:paraId="7875C3D6" w14:textId="2EC0C7A7">
      <w:pPr>
        <w:spacing w:line="257" w:lineRule="auto"/>
        <w:jc w:val="center"/>
        <w:rPr>
          <w:rFonts w:ascii="Arial" w:hAnsi="Arial" w:eastAsia="Arial" w:cs="Arial"/>
          <w:b w:val="1"/>
          <w:bCs w:val="1"/>
          <w:sz w:val="62"/>
          <w:szCs w:val="62"/>
          <w:lang w:val="en-GB"/>
        </w:rPr>
      </w:pPr>
      <w:r w:rsidRPr="3DFDA105" w:rsidR="3DFDA105">
        <w:rPr>
          <w:rFonts w:ascii="Arial" w:hAnsi="Arial" w:eastAsia="Arial" w:cs="Arial"/>
          <w:b w:val="1"/>
          <w:bCs w:val="1"/>
          <w:sz w:val="62"/>
          <w:szCs w:val="62"/>
          <w:lang w:val="en-GB"/>
        </w:rPr>
        <w:t xml:space="preserve"> </w:t>
      </w:r>
    </w:p>
    <w:p w:rsidRPr="009B4D56" w:rsidR="004023E9" w:rsidP="3DFDA105" w:rsidRDefault="353B4987" w14:paraId="19286B02" w14:textId="5A2AD970">
      <w:pPr>
        <w:spacing w:line="257" w:lineRule="auto"/>
        <w:jc w:val="center"/>
        <w:rPr>
          <w:rFonts w:ascii="Arial" w:hAnsi="Arial" w:eastAsia="Arial" w:cs="Arial"/>
          <w:b w:val="1"/>
          <w:bCs w:val="1"/>
          <w:sz w:val="62"/>
          <w:szCs w:val="62"/>
          <w:lang w:val="en-GB"/>
        </w:rPr>
      </w:pPr>
      <w:r w:rsidRPr="3DFDA105" w:rsidR="3DFDA105">
        <w:rPr>
          <w:rFonts w:ascii="Arial" w:hAnsi="Arial" w:eastAsia="Arial" w:cs="Arial"/>
          <w:b w:val="1"/>
          <w:bCs w:val="1"/>
          <w:sz w:val="62"/>
          <w:szCs w:val="62"/>
          <w:lang w:val="en-GB"/>
        </w:rPr>
        <w:t xml:space="preserve"> </w:t>
      </w:r>
    </w:p>
    <w:p w:rsidRPr="009B4D56" w:rsidR="004023E9" w:rsidP="3DFDA105" w:rsidRDefault="353B4987" w14:paraId="376E8238" w14:textId="44C2FD0A">
      <w:pPr>
        <w:spacing w:line="257" w:lineRule="auto"/>
        <w:jc w:val="center"/>
        <w:rPr>
          <w:rFonts w:ascii="Arial" w:hAnsi="Arial" w:eastAsia="Arial" w:cs="Arial"/>
          <w:b w:val="1"/>
          <w:bCs w:val="1"/>
          <w:sz w:val="62"/>
          <w:szCs w:val="62"/>
          <w:lang w:val="en-GB"/>
        </w:rPr>
      </w:pPr>
      <w:r w:rsidRPr="3DFDA105" w:rsidR="3DFDA105">
        <w:rPr>
          <w:rFonts w:ascii="Arial" w:hAnsi="Arial" w:eastAsia="Arial" w:cs="Arial"/>
          <w:b w:val="1"/>
          <w:bCs w:val="1"/>
          <w:sz w:val="62"/>
          <w:szCs w:val="62"/>
          <w:lang w:val="en-GB"/>
        </w:rPr>
        <w:t xml:space="preserve"> </w:t>
      </w:r>
    </w:p>
    <w:p w:rsidRPr="009B4D56" w:rsidR="004023E9" w:rsidP="3DFDA105" w:rsidRDefault="353B4987" w14:paraId="226FC217" w14:textId="572A1999">
      <w:pPr>
        <w:spacing w:line="257" w:lineRule="auto"/>
        <w:jc w:val="center"/>
        <w:rPr>
          <w:rFonts w:ascii="Arial" w:hAnsi="Arial" w:eastAsia="Arial" w:cs="Arial"/>
          <w:b w:val="1"/>
          <w:bCs w:val="1"/>
          <w:sz w:val="36"/>
          <w:szCs w:val="36"/>
          <w:lang w:val="en-GB"/>
        </w:rPr>
      </w:pPr>
      <w:r w:rsidRPr="3DFDA105" w:rsidR="3DFDA105">
        <w:rPr>
          <w:rFonts w:ascii="Arial" w:hAnsi="Arial" w:eastAsia="Arial" w:cs="Arial"/>
          <w:b w:val="1"/>
          <w:bCs w:val="1"/>
          <w:sz w:val="36"/>
          <w:szCs w:val="36"/>
          <w:lang w:val="en-GB"/>
        </w:rPr>
        <w:t>September 2022</w:t>
      </w:r>
    </w:p>
    <w:p w:rsidRPr="009B4D56" w:rsidR="004023E9" w:rsidP="3DFDA105" w:rsidRDefault="004023E9" w14:paraId="0B8AB786" w14:textId="399F9AD9">
      <w:pPr>
        <w:spacing w:line="257" w:lineRule="auto"/>
        <w:jc w:val="center"/>
        <w:rPr>
          <w:rFonts w:ascii="Arial" w:hAnsi="Arial" w:eastAsia="Arial" w:cs="Arial"/>
          <w:b w:val="1"/>
          <w:bCs w:val="1"/>
          <w:sz w:val="36"/>
          <w:szCs w:val="36"/>
          <w:lang w:val="en-GB"/>
        </w:rPr>
      </w:pPr>
    </w:p>
    <w:p w:rsidRPr="009B4D56" w:rsidR="004023E9" w:rsidP="3DFDA105" w:rsidRDefault="004023E9" w14:paraId="0792EAED" w14:textId="7AD37F0F">
      <w:pPr>
        <w:spacing w:line="257" w:lineRule="auto"/>
        <w:jc w:val="center"/>
        <w:rPr>
          <w:rFonts w:ascii="Arial" w:hAnsi="Arial" w:eastAsia="Arial" w:cs="Arial"/>
          <w:b w:val="1"/>
          <w:bCs w:val="1"/>
          <w:sz w:val="36"/>
          <w:szCs w:val="36"/>
          <w:lang w:val="en-GB"/>
        </w:rPr>
      </w:pPr>
    </w:p>
    <w:p w:rsidR="3DFDA105" w:rsidP="3DFDA105" w:rsidRDefault="3DFDA105" w14:paraId="2E7D4EE6" w14:textId="5281FCDC">
      <w:pPr>
        <w:pStyle w:val="Normal"/>
        <w:spacing w:line="257" w:lineRule="auto"/>
        <w:jc w:val="center"/>
        <w:rPr>
          <w:rFonts w:ascii="Arial" w:hAnsi="Arial" w:eastAsia="Arial" w:cs="Arial"/>
          <w:b w:val="1"/>
          <w:bCs w:val="1"/>
          <w:sz w:val="36"/>
          <w:szCs w:val="36"/>
          <w:lang w:val="en-GB"/>
        </w:rPr>
      </w:pPr>
    </w:p>
    <w:p w:rsidRPr="009B4D56" w:rsidR="004023E9" w:rsidP="3DFDA105" w:rsidRDefault="004023E9" w14:paraId="4BF581CD" w14:textId="20DD0E38">
      <w:pPr>
        <w:spacing w:line="257" w:lineRule="auto"/>
        <w:jc w:val="center"/>
        <w:rPr>
          <w:rFonts w:ascii="Arial" w:hAnsi="Arial" w:eastAsia="Arial" w:cs="Arial"/>
          <w:b w:val="1"/>
          <w:bCs w:val="1"/>
          <w:sz w:val="36"/>
          <w:szCs w:val="36"/>
          <w:lang w:val="en-GB"/>
        </w:rPr>
      </w:pPr>
    </w:p>
    <w:p w:rsidRPr="009B4D56" w:rsidR="004023E9" w:rsidP="3DFDA105" w:rsidRDefault="353B4987" w14:paraId="2FC2BA9C" w14:textId="20B19A03">
      <w:pPr>
        <w:spacing w:line="360" w:lineRule="auto"/>
        <w:jc w:val="center"/>
        <w:rPr>
          <w:rFonts w:ascii="Arial" w:hAnsi="Arial" w:eastAsia="Arial" w:cs="Arial"/>
          <w:b w:val="1"/>
          <w:bCs w:val="1"/>
          <w:sz w:val="28"/>
          <w:szCs w:val="28"/>
          <w:lang w:val="en-GB"/>
        </w:rPr>
      </w:pPr>
      <w:r w:rsidRPr="3DFDA105" w:rsidR="3DFDA105">
        <w:rPr>
          <w:rFonts w:ascii="Arial" w:hAnsi="Arial" w:eastAsia="Arial" w:cs="Arial"/>
          <w:b w:val="1"/>
          <w:bCs w:val="1"/>
          <w:sz w:val="28"/>
          <w:szCs w:val="28"/>
          <w:lang w:val="en-GB"/>
        </w:rPr>
        <w:t>Denish Mangukiya</w:t>
      </w:r>
    </w:p>
    <w:p w:rsidRPr="009B4D56" w:rsidR="004023E9" w:rsidP="3DFDA105" w:rsidRDefault="353B4987" w14:paraId="3D8815EF" w14:textId="00968E36">
      <w:pPr>
        <w:spacing w:line="360" w:lineRule="auto"/>
        <w:jc w:val="center"/>
        <w:rPr>
          <w:rFonts w:ascii="Arial" w:hAnsi="Arial" w:eastAsia="Arial" w:cs="Arial"/>
          <w:b w:val="1"/>
          <w:bCs w:val="1"/>
          <w:sz w:val="28"/>
          <w:szCs w:val="28"/>
          <w:lang w:val="en-GB"/>
        </w:rPr>
      </w:pPr>
      <w:r w:rsidRPr="3DFDA105" w:rsidR="3DFDA105">
        <w:rPr>
          <w:rFonts w:ascii="Arial" w:hAnsi="Arial" w:eastAsia="Arial" w:cs="Arial"/>
          <w:b w:val="1"/>
          <w:bCs w:val="1"/>
          <w:sz w:val="28"/>
          <w:szCs w:val="28"/>
          <w:lang w:val="en-GB"/>
        </w:rPr>
        <w:t>Student No: - 2212073</w:t>
      </w:r>
    </w:p>
    <w:p w:rsidRPr="009B4D56" w:rsidR="004023E9" w:rsidP="3DFDA105" w:rsidRDefault="353B4987" w14:paraId="7FB75515" w14:textId="6D23093A">
      <w:pPr>
        <w:spacing w:line="360" w:lineRule="auto"/>
        <w:jc w:val="center"/>
        <w:rPr>
          <w:rFonts w:ascii="Arial" w:hAnsi="Arial" w:eastAsia="Arial" w:cs="Arial"/>
          <w:b w:val="1"/>
          <w:bCs w:val="1"/>
          <w:sz w:val="36"/>
          <w:szCs w:val="36"/>
          <w:lang w:val="en-GB"/>
        </w:rPr>
      </w:pPr>
      <w:r w:rsidRPr="3DFDA105" w:rsidR="3DFDA105">
        <w:rPr>
          <w:rFonts w:ascii="Arial" w:hAnsi="Arial" w:eastAsia="Arial" w:cs="Arial"/>
          <w:b w:val="1"/>
          <w:bCs w:val="1"/>
          <w:sz w:val="36"/>
          <w:szCs w:val="36"/>
          <w:lang w:val="en-GB"/>
        </w:rPr>
        <w:t xml:space="preserve"> </w:t>
      </w:r>
    </w:p>
    <w:p w:rsidRPr="009B4D56" w:rsidR="004023E9" w:rsidP="3DFDA105" w:rsidRDefault="353B4987" w14:paraId="3C77E30B" w14:textId="7FC249B5">
      <w:pPr>
        <w:spacing w:line="360" w:lineRule="auto"/>
        <w:jc w:val="center"/>
        <w:rPr>
          <w:rFonts w:ascii="Arial" w:hAnsi="Arial" w:eastAsia="Arial" w:cs="Arial"/>
          <w:b w:val="1"/>
          <w:bCs w:val="1"/>
          <w:sz w:val="36"/>
          <w:szCs w:val="36"/>
          <w:lang w:val="en-GB"/>
        </w:rPr>
      </w:pPr>
      <w:r w:rsidRPr="3DFDA105" w:rsidR="3DFDA105">
        <w:rPr>
          <w:rFonts w:ascii="Arial" w:hAnsi="Arial" w:eastAsia="Arial" w:cs="Arial"/>
          <w:b w:val="1"/>
          <w:bCs w:val="1"/>
          <w:sz w:val="36"/>
          <w:szCs w:val="36"/>
          <w:lang w:val="en-GB"/>
        </w:rPr>
        <w:t xml:space="preserve"> </w:t>
      </w:r>
    </w:p>
    <w:p w:rsidRPr="009B4D56" w:rsidR="004023E9" w:rsidP="353B4987" w:rsidRDefault="353B4987" w14:paraId="3ABAE1AA" w14:textId="46437176">
      <w:pPr>
        <w:spacing w:line="360" w:lineRule="auto"/>
        <w:jc w:val="center"/>
        <w:rPr>
          <w:rFonts w:ascii="Arial" w:hAnsi="Arial" w:eastAsia="Arial" w:cs="Arial"/>
          <w:b w:val="1"/>
          <w:bCs w:val="1"/>
          <w:color w:val="000000" w:themeColor="text1"/>
          <w:sz w:val="28"/>
          <w:szCs w:val="28"/>
          <w:lang w:val="en-GB"/>
        </w:rPr>
      </w:pPr>
      <w:r w:rsidRPr="3DFDA105" w:rsidR="3DFDA105">
        <w:rPr>
          <w:rFonts w:ascii="Arial" w:hAnsi="Arial" w:eastAsia="Arial" w:cs="Arial"/>
          <w:b w:val="1"/>
          <w:bCs w:val="1"/>
          <w:color w:val="000000" w:themeColor="text1" w:themeTint="FF" w:themeShade="FF"/>
          <w:sz w:val="28"/>
          <w:szCs w:val="28"/>
          <w:lang w:val="en-GB"/>
        </w:rPr>
        <w:t>“Exploring the factors that influence eating behaviour among postgraduate students in a public university: a focus group discussion”</w:t>
      </w:r>
    </w:p>
    <w:p w:rsidRPr="009B4D56" w:rsidR="004023E9" w:rsidP="353B4987" w:rsidRDefault="7B9C1D9E" w14:paraId="2B0C3F03" w14:textId="14369FA0">
      <w:pPr>
        <w:spacing w:line="360" w:lineRule="auto"/>
        <w:jc w:val="center"/>
        <w:rPr>
          <w:rFonts w:ascii="Arial" w:hAnsi="Arial" w:eastAsia="Arial" w:cs="Arial"/>
          <w:b w:val="1"/>
          <w:bCs w:val="1"/>
          <w:color w:val="000000" w:themeColor="text1"/>
          <w:sz w:val="28"/>
          <w:szCs w:val="28"/>
          <w:lang w:val="en-GB"/>
        </w:rPr>
      </w:pPr>
      <w:r>
        <w:br/>
      </w:r>
      <w:r w:rsidRPr="3DFDA105" w:rsidR="3DFDA105">
        <w:rPr>
          <w:rFonts w:ascii="Arial" w:hAnsi="Arial" w:eastAsia="Arial" w:cs="Arial"/>
          <w:b w:val="1"/>
          <w:bCs w:val="1"/>
          <w:color w:val="000000" w:themeColor="text1" w:themeTint="FF" w:themeShade="FF"/>
          <w:sz w:val="28"/>
          <w:szCs w:val="28"/>
          <w:lang w:val="en-GB"/>
        </w:rPr>
        <w:t xml:space="preserve"> </w:t>
      </w:r>
      <w:r>
        <w:br/>
      </w:r>
    </w:p>
    <w:p w:rsidRPr="009B4D56" w:rsidR="004023E9" w:rsidP="3DFDA105" w:rsidRDefault="353B4987" w14:paraId="5BBF995E" w14:textId="6A65D6B1">
      <w:pPr>
        <w:spacing w:line="360" w:lineRule="auto"/>
        <w:jc w:val="center"/>
        <w:rPr>
          <w:rFonts w:ascii="Arial" w:hAnsi="Arial" w:eastAsia="Arial" w:cs="Arial"/>
          <w:b w:val="1"/>
          <w:bCs w:val="1"/>
          <w:sz w:val="28"/>
          <w:szCs w:val="28"/>
          <w:lang w:val="en-GB"/>
        </w:rPr>
      </w:pPr>
      <w:r w:rsidRPr="3DFDA105" w:rsidR="3DFDA105">
        <w:rPr>
          <w:rFonts w:ascii="Arial" w:hAnsi="Arial" w:eastAsia="Arial" w:cs="Arial"/>
          <w:b w:val="1"/>
          <w:bCs w:val="1"/>
          <w:sz w:val="28"/>
          <w:szCs w:val="28"/>
          <w:lang w:val="en-GB"/>
        </w:rPr>
        <w:t xml:space="preserve"> </w:t>
      </w:r>
    </w:p>
    <w:p w:rsidRPr="009B4D56" w:rsidR="004023E9" w:rsidP="3DFDA105" w:rsidRDefault="353B4987" w14:paraId="1D179EEA" w14:textId="5CA38260">
      <w:pPr>
        <w:spacing w:line="360" w:lineRule="auto"/>
        <w:jc w:val="center"/>
        <w:rPr>
          <w:rFonts w:ascii="Arial" w:hAnsi="Arial" w:eastAsia="Arial" w:cs="Arial"/>
          <w:b w:val="1"/>
          <w:bCs w:val="1"/>
          <w:sz w:val="28"/>
          <w:szCs w:val="28"/>
          <w:lang w:val="en-GB"/>
        </w:rPr>
      </w:pPr>
      <w:r w:rsidRPr="3DFDA105" w:rsidR="3DFDA105">
        <w:rPr>
          <w:rFonts w:ascii="Arial" w:hAnsi="Arial" w:eastAsia="Arial" w:cs="Arial"/>
          <w:b w:val="1"/>
          <w:bCs w:val="1"/>
          <w:sz w:val="28"/>
          <w:szCs w:val="28"/>
          <w:lang w:val="en-GB"/>
        </w:rPr>
        <w:t xml:space="preserve"> </w:t>
      </w:r>
    </w:p>
    <w:p w:rsidRPr="009B4D56" w:rsidR="004023E9" w:rsidP="353B4987" w:rsidRDefault="353B4987" w14:paraId="01F90C39" w14:textId="59690F7F">
      <w:pPr>
        <w:spacing w:line="360" w:lineRule="auto"/>
        <w:jc w:val="center"/>
        <w:rPr>
          <w:rFonts w:ascii="Arial" w:hAnsi="Arial" w:eastAsia="Arial" w:cs="Arial"/>
          <w:b w:val="1"/>
          <w:bCs w:val="1"/>
          <w:sz w:val="28"/>
          <w:szCs w:val="28"/>
          <w:lang w:val="en-GB"/>
        </w:rPr>
      </w:pPr>
      <w:r w:rsidRPr="3DFDA105" w:rsidR="3DFDA105">
        <w:rPr>
          <w:rFonts w:ascii="Arial" w:hAnsi="Arial" w:eastAsia="Arial" w:cs="Arial"/>
          <w:b w:val="1"/>
          <w:bCs w:val="1"/>
          <w:sz w:val="28"/>
          <w:szCs w:val="28"/>
          <w:lang w:val="en-GB"/>
        </w:rPr>
        <w:t>Practice – Based Research</w:t>
      </w:r>
    </w:p>
    <w:p w:rsidRPr="009B4D56" w:rsidR="004023E9" w:rsidP="3DFDA105" w:rsidRDefault="353B4987" w14:paraId="50B5278A" w14:textId="5E25397B">
      <w:pPr>
        <w:spacing w:line="360" w:lineRule="auto"/>
        <w:jc w:val="center"/>
        <w:rPr>
          <w:rFonts w:ascii="Arial" w:hAnsi="Arial" w:eastAsia="Arial" w:cs="Arial"/>
          <w:b w:val="1"/>
          <w:bCs w:val="1"/>
          <w:sz w:val="28"/>
          <w:szCs w:val="28"/>
          <w:lang w:val="en-GB"/>
        </w:rPr>
      </w:pPr>
      <w:r w:rsidRPr="3DFDA105" w:rsidR="3DFDA105">
        <w:rPr>
          <w:rFonts w:ascii="Arial" w:hAnsi="Arial" w:eastAsia="Arial" w:cs="Arial"/>
          <w:b w:val="1"/>
          <w:bCs w:val="1"/>
          <w:sz w:val="28"/>
          <w:szCs w:val="28"/>
          <w:lang w:val="en-GB"/>
        </w:rPr>
        <w:t>(LCHS7001)</w:t>
      </w:r>
    </w:p>
    <w:p w:rsidRPr="009B4D56" w:rsidR="004023E9" w:rsidP="3DFDA105" w:rsidRDefault="353B4987" w14:paraId="6AFE8037" w14:textId="35B6F734">
      <w:pPr>
        <w:spacing w:line="360" w:lineRule="auto"/>
        <w:jc w:val="center"/>
        <w:rPr>
          <w:rFonts w:ascii="Arial" w:hAnsi="Arial" w:eastAsia="Arial" w:cs="Arial"/>
          <w:b w:val="1"/>
          <w:bCs w:val="1"/>
          <w:sz w:val="32"/>
          <w:szCs w:val="32"/>
          <w:lang w:val="en-GB"/>
        </w:rPr>
      </w:pPr>
      <w:r w:rsidRPr="3DFDA105" w:rsidR="3DFDA105">
        <w:rPr>
          <w:rFonts w:ascii="Arial" w:hAnsi="Arial" w:eastAsia="Arial" w:cs="Arial"/>
          <w:b w:val="1"/>
          <w:bCs w:val="1"/>
          <w:sz w:val="32"/>
          <w:szCs w:val="32"/>
          <w:lang w:val="en-GB"/>
        </w:rPr>
        <w:t xml:space="preserve"> </w:t>
      </w:r>
    </w:p>
    <w:p w:rsidRPr="009B4D56" w:rsidR="004023E9" w:rsidP="3DFDA105" w:rsidRDefault="353B4987" w14:paraId="2FE8135A" w14:textId="377B4628">
      <w:pPr>
        <w:spacing w:line="360" w:lineRule="auto"/>
        <w:jc w:val="center"/>
        <w:rPr>
          <w:rFonts w:ascii="Arial" w:hAnsi="Arial" w:eastAsia="Arial" w:cs="Arial"/>
          <w:b w:val="1"/>
          <w:bCs w:val="1"/>
          <w:sz w:val="28"/>
          <w:szCs w:val="28"/>
          <w:lang w:val="en-GB"/>
        </w:rPr>
      </w:pPr>
      <w:r w:rsidRPr="3DFDA105" w:rsidR="3DFDA105">
        <w:rPr>
          <w:rFonts w:ascii="Arial" w:hAnsi="Arial" w:eastAsia="Arial" w:cs="Arial"/>
          <w:b w:val="1"/>
          <w:bCs w:val="1"/>
          <w:sz w:val="32"/>
          <w:szCs w:val="32"/>
          <w:lang w:val="en-GB"/>
        </w:rPr>
        <w:t xml:space="preserve"> </w:t>
      </w:r>
      <w:r w:rsidRPr="3DFDA105" w:rsidR="3DFDA105">
        <w:rPr>
          <w:rFonts w:ascii="Arial" w:hAnsi="Arial" w:eastAsia="Arial" w:cs="Arial"/>
          <w:b w:val="1"/>
          <w:bCs w:val="1"/>
          <w:sz w:val="28"/>
          <w:szCs w:val="28"/>
          <w:lang w:val="en-GB"/>
        </w:rPr>
        <w:t>Lecturer</w:t>
      </w:r>
    </w:p>
    <w:p w:rsidRPr="009B4D56" w:rsidR="004023E9" w:rsidP="353B4987" w:rsidRDefault="75A5C001" w14:paraId="795DA522" w14:textId="27AA790B">
      <w:pPr>
        <w:spacing w:line="360" w:lineRule="auto"/>
        <w:jc w:val="center"/>
        <w:rPr>
          <w:rFonts w:ascii="Arial" w:hAnsi="Arial" w:eastAsia="Arial" w:cs="Arial"/>
          <w:b w:val="1"/>
          <w:bCs w:val="1"/>
          <w:sz w:val="28"/>
          <w:szCs w:val="28"/>
          <w:lang w:val="en-GB"/>
        </w:rPr>
      </w:pPr>
      <w:r w:rsidRPr="3DFDA105" w:rsidR="3DFDA105">
        <w:rPr>
          <w:rFonts w:ascii="Arial" w:hAnsi="Arial" w:eastAsia="Arial" w:cs="Arial"/>
          <w:b w:val="1"/>
          <w:bCs w:val="1"/>
          <w:sz w:val="28"/>
          <w:szCs w:val="28"/>
          <w:lang w:val="en-GB"/>
        </w:rPr>
        <w:t>“Dr Aishat T. Bakre”</w:t>
      </w:r>
    </w:p>
    <w:p w:rsidRPr="009B4D56" w:rsidR="004023E9" w:rsidP="3DFDA105" w:rsidRDefault="004023E9" w14:paraId="6B8E5847" w14:textId="3FECC8F0">
      <w:pPr>
        <w:spacing w:line="257" w:lineRule="auto"/>
        <w:jc w:val="center"/>
        <w:rPr>
          <w:rFonts w:ascii="Arial" w:hAnsi="Arial" w:eastAsia="Arial" w:cs="Arial"/>
          <w:b w:val="1"/>
          <w:bCs w:val="1"/>
          <w:sz w:val="36"/>
          <w:szCs w:val="36"/>
          <w:lang w:val="en-GB"/>
        </w:rPr>
      </w:pPr>
    </w:p>
    <w:p w:rsidRPr="009B4D56" w:rsidR="004023E9" w:rsidP="3DFDA105" w:rsidRDefault="004023E9" w14:paraId="02676922" w14:textId="470BD317">
      <w:pPr>
        <w:spacing w:line="257" w:lineRule="auto"/>
        <w:jc w:val="center"/>
        <w:rPr>
          <w:rFonts w:ascii="Arial" w:hAnsi="Arial" w:eastAsia="Arial" w:cs="Arial"/>
          <w:b w:val="1"/>
          <w:bCs w:val="1"/>
          <w:sz w:val="36"/>
          <w:szCs w:val="36"/>
          <w:lang w:val="en-GB"/>
        </w:rPr>
      </w:pPr>
    </w:p>
    <w:p w:rsidRPr="009B4D56" w:rsidR="004023E9" w:rsidP="3DFDA105" w:rsidRDefault="75A5C001" w14:paraId="6CF2718A" w14:textId="5CA9EFBC">
      <w:pPr>
        <w:spacing w:line="257" w:lineRule="auto"/>
        <w:jc w:val="center"/>
        <w:rPr>
          <w:rFonts w:ascii="Arial" w:hAnsi="Arial" w:eastAsia="Arial" w:cs="Arial"/>
          <w:b w:val="1"/>
          <w:bCs w:val="1"/>
          <w:sz w:val="36"/>
          <w:szCs w:val="36"/>
          <w:lang w:val="en-GB"/>
        </w:rPr>
      </w:pPr>
      <w:r w:rsidRPr="3DFDA105" w:rsidR="3DFDA105">
        <w:rPr>
          <w:rFonts w:ascii="Arial" w:hAnsi="Arial" w:eastAsia="Arial" w:cs="Arial"/>
          <w:b w:val="1"/>
          <w:bCs w:val="1"/>
          <w:sz w:val="36"/>
          <w:szCs w:val="36"/>
          <w:lang w:val="en-GB"/>
        </w:rPr>
        <w:t xml:space="preserve">  </w:t>
      </w:r>
    </w:p>
    <w:p w:rsidRPr="009B4D56" w:rsidR="004023E9" w:rsidP="3DFDA105" w:rsidRDefault="353B4987" w14:paraId="70CEA668" w14:textId="4010FA18">
      <w:pPr>
        <w:spacing w:line="257" w:lineRule="auto"/>
        <w:jc w:val="center"/>
        <w:rPr>
          <w:rFonts w:ascii="Arial" w:hAnsi="Arial" w:eastAsia="Arial" w:cs="Arial"/>
          <w:b w:val="1"/>
          <w:bCs w:val="1"/>
          <w:sz w:val="36"/>
          <w:szCs w:val="36"/>
          <w:lang w:val="en-GB"/>
        </w:rPr>
      </w:pPr>
      <w:r w:rsidRPr="3DFDA105" w:rsidR="3DFDA105">
        <w:rPr>
          <w:rFonts w:ascii="Arial" w:hAnsi="Arial" w:eastAsia="Arial" w:cs="Arial"/>
          <w:b w:val="1"/>
          <w:bCs w:val="1"/>
          <w:sz w:val="36"/>
          <w:szCs w:val="36"/>
          <w:lang w:val="en-GB"/>
        </w:rPr>
        <w:t xml:space="preserve"> </w:t>
      </w:r>
    </w:p>
    <w:p w:rsidRPr="009B4D56" w:rsidR="004023E9" w:rsidP="3DFDA105" w:rsidRDefault="353B4987" w14:paraId="70486E67" w14:textId="421D74D3">
      <w:pPr>
        <w:jc w:val="both"/>
        <w:rPr>
          <w:rFonts w:ascii="Arial" w:hAnsi="Arial" w:eastAsia="Arial" w:cs="Arial"/>
          <w:b w:val="1"/>
          <w:bCs w:val="1"/>
          <w:sz w:val="32"/>
          <w:szCs w:val="32"/>
        </w:rPr>
      </w:pPr>
      <w:r w:rsidRPr="3DFDA105" w:rsidR="3DFDA105">
        <w:rPr>
          <w:rFonts w:ascii="Arial" w:hAnsi="Arial" w:eastAsia="Arial" w:cs="Arial"/>
          <w:b w:val="1"/>
          <w:bCs w:val="1"/>
          <w:sz w:val="32"/>
          <w:szCs w:val="32"/>
        </w:rPr>
        <w:t>Exploring the factors that influence eating behavior among postgraduate students in a public university: a focus group discussion.</w:t>
      </w:r>
    </w:p>
    <w:p w:rsidRPr="009B4D56" w:rsidR="002B5B27" w:rsidP="3DFDA105" w:rsidRDefault="002B5B27" w14:paraId="6F19711C" w14:textId="3E151F4E">
      <w:pPr>
        <w:jc w:val="both"/>
        <w:rPr>
          <w:rFonts w:ascii="Arial" w:hAnsi="Arial" w:eastAsia="Arial" w:cs="Arial"/>
          <w:b w:val="1"/>
          <w:bCs w:val="1"/>
          <w:sz w:val="32"/>
          <w:szCs w:val="32"/>
        </w:rPr>
      </w:pPr>
    </w:p>
    <w:p w:rsidRPr="009B4D56" w:rsidR="002B5B27" w:rsidP="3DFDA105" w:rsidRDefault="002B5B27" w14:paraId="4B5ECEF9" w14:textId="4EC5BE10">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Introduction</w:t>
      </w:r>
    </w:p>
    <w:p w:rsidRPr="009B4D56" w:rsidR="002B5B27" w:rsidP="3DFDA105" w:rsidRDefault="353B4987" w14:paraId="1319388B" w14:textId="09425D00">
      <w:pPr>
        <w:jc w:val="both"/>
        <w:rPr>
          <w:rFonts w:ascii="Arial" w:hAnsi="Arial" w:eastAsia="Arial" w:cs="Arial"/>
          <w:sz w:val="28"/>
          <w:szCs w:val="28"/>
        </w:rPr>
      </w:pPr>
      <w:r w:rsidRPr="3DFDA105" w:rsidR="3DFDA105">
        <w:rPr>
          <w:rFonts w:ascii="Arial" w:hAnsi="Arial" w:eastAsia="Arial" w:cs="Arial"/>
          <w:sz w:val="28"/>
          <w:szCs w:val="28"/>
        </w:rPr>
        <w:t>Overweightness and obesity rates have dramatically increased in the university students over the past few years in the United Kingdom, as well as in many other developed countries (Roger, V.L. 2012). The eating behavior term defined as the aim and process a</w:t>
      </w:r>
      <w:r w:rsidRPr="3DFDA105" w:rsidR="3DFDA105">
        <w:rPr>
          <w:rFonts w:ascii="Arial" w:hAnsi="Arial" w:eastAsia="Arial" w:cs="Arial"/>
          <w:sz w:val="28"/>
          <w:szCs w:val="28"/>
        </w:rPr>
        <w:t>re associ</w:t>
      </w:r>
      <w:r w:rsidRPr="3DFDA105" w:rsidR="3DFDA105">
        <w:rPr>
          <w:rFonts w:ascii="Arial" w:hAnsi="Arial" w:eastAsia="Arial" w:cs="Arial"/>
          <w:sz w:val="28"/>
          <w:szCs w:val="28"/>
        </w:rPr>
        <w:t>ated with good food dieting and habit of eating. As per the study, ea</w:t>
      </w:r>
      <w:r w:rsidRPr="3DFDA105" w:rsidR="3DFDA105">
        <w:rPr>
          <w:rFonts w:ascii="Arial" w:hAnsi="Arial" w:eastAsia="Arial" w:cs="Arial"/>
          <w:sz w:val="28"/>
          <w:szCs w:val="28"/>
        </w:rPr>
        <w:t>ting behaviors ar</w:t>
      </w:r>
      <w:r w:rsidRPr="3DFDA105" w:rsidR="3DFDA105">
        <w:rPr>
          <w:rFonts w:ascii="Arial" w:hAnsi="Arial" w:eastAsia="Arial" w:cs="Arial"/>
          <w:sz w:val="28"/>
          <w:szCs w:val="28"/>
        </w:rPr>
        <w:t>e totally dependent on habit of eating, selection of foods that you eat (Lloyd-Richardson, E.E., Lucero, at el. 2008). According to the WHO, during the university period most students gain weight and that is a critical time for students (Jastreboff., 2018).</w:t>
      </w:r>
      <w:r w:rsidRPr="3DFDA105" w:rsidR="3DFDA105">
        <w:rPr>
          <w:rFonts w:ascii="Arial" w:hAnsi="Arial" w:eastAsia="Arial" w:cs="Arial"/>
        </w:rPr>
        <w:t xml:space="preserve"> </w:t>
      </w:r>
      <w:r w:rsidRPr="3DFDA105" w:rsidR="3DFDA105">
        <w:rPr>
          <w:rFonts w:ascii="Arial" w:hAnsi="Arial" w:eastAsia="Arial" w:cs="Arial"/>
          <w:sz w:val="28"/>
          <w:szCs w:val="28"/>
        </w:rPr>
        <w:t>The way we eat has an impact on our long-term health because it is proven that poor eating habits, such as lack of time to eat meals and consuming foods that are low in nutrients, can lead to a variety of health issues and nutritional deficiencies (</w:t>
      </w:r>
      <w:r w:rsidRPr="3DFDA105" w:rsidR="3DFDA105">
        <w:rPr>
          <w:rFonts w:ascii="Arial" w:hAnsi="Arial" w:eastAsia="Arial" w:cs="Arial"/>
          <w:color w:val="212121"/>
          <w:sz w:val="30"/>
          <w:szCs w:val="30"/>
        </w:rPr>
        <w:t>Egger et al, 1997)</w:t>
      </w:r>
      <w:r w:rsidRPr="3DFDA105" w:rsidR="3DFDA105">
        <w:rPr>
          <w:rFonts w:ascii="Arial" w:hAnsi="Arial" w:eastAsia="Arial" w:cs="Arial"/>
          <w:sz w:val="28"/>
          <w:szCs w:val="28"/>
        </w:rPr>
        <w:t>. During the university study time students do not prefer to eat fruits, nuts, seeds, and vegetables were percentage of the fat intake and consumption of the alcohol has been increased in UK student. Unhealthy fo</w:t>
      </w:r>
      <w:r w:rsidRPr="3DFDA105" w:rsidR="3DFDA105">
        <w:rPr>
          <w:rFonts w:ascii="Arial" w:hAnsi="Arial" w:eastAsia="Arial" w:cs="Arial"/>
          <w:sz w:val="28"/>
          <w:szCs w:val="28"/>
        </w:rPr>
        <w:t>od and lack o</w:t>
      </w:r>
      <w:r w:rsidRPr="3DFDA105" w:rsidR="3DFDA105">
        <w:rPr>
          <w:rFonts w:ascii="Arial" w:hAnsi="Arial" w:eastAsia="Arial" w:cs="Arial"/>
          <w:sz w:val="28"/>
          <w:szCs w:val="28"/>
        </w:rPr>
        <w:t>f physical activity during university increased weight and that might be helping to develop various types of disease such as obesity, malnourishment, and other cardiovascular diseases among the university students (Morgan, D. L., 1998). According to the NHS survey around the one-third (63%) of adults are above a healthy weight, and of these halves are living with obesity (NHS, 2022).</w:t>
      </w:r>
    </w:p>
    <w:p w:rsidRPr="009B4D56" w:rsidR="009D438B" w:rsidP="3DFDA105" w:rsidRDefault="009D438B" w14:paraId="0384C9A6" w14:textId="12CE7E47">
      <w:pPr>
        <w:jc w:val="both"/>
        <w:rPr>
          <w:rFonts w:ascii="Arial" w:hAnsi="Arial" w:eastAsia="Arial" w:cs="Arial"/>
          <w:sz w:val="28"/>
          <w:szCs w:val="28"/>
        </w:rPr>
      </w:pPr>
      <w:r w:rsidRPr="3DFDA105" w:rsidR="3DFDA105">
        <w:rPr>
          <w:rFonts w:ascii="Arial" w:hAnsi="Arial" w:eastAsia="Arial" w:cs="Arial"/>
          <w:sz w:val="28"/>
          <w:szCs w:val="28"/>
        </w:rPr>
        <w:t>It was discovered that unhealthy eating habits and mealtime arrangements consistently resulted in overweight and obese students</w:t>
      </w:r>
      <w:r w:rsidRPr="3DFDA105" w:rsidR="3DFDA105">
        <w:rPr>
          <w:rFonts w:ascii="Arial" w:hAnsi="Arial" w:eastAsia="Arial" w:cs="Arial"/>
          <w:sz w:val="28"/>
          <w:szCs w:val="28"/>
        </w:rPr>
        <w:t xml:space="preserve"> (</w:t>
      </w:r>
      <w:r w:rsidRPr="3DFDA105" w:rsidR="3DFDA105">
        <w:rPr>
          <w:rFonts w:ascii="Arial" w:hAnsi="Arial" w:eastAsia="Arial" w:cs="Arial"/>
          <w:sz w:val="28"/>
          <w:szCs w:val="28"/>
        </w:rPr>
        <w:t>Neumark-</w:t>
      </w:r>
      <w:r w:rsidRPr="3DFDA105" w:rsidR="3DFDA105">
        <w:rPr>
          <w:rFonts w:ascii="Arial" w:hAnsi="Arial" w:eastAsia="Arial" w:cs="Arial"/>
          <w:sz w:val="28"/>
          <w:szCs w:val="28"/>
        </w:rPr>
        <w:t>Sztainer</w:t>
      </w:r>
      <w:r w:rsidRPr="3DFDA105" w:rsidR="3DFDA105">
        <w:rPr>
          <w:rFonts w:ascii="Arial" w:hAnsi="Arial" w:eastAsia="Arial" w:cs="Arial"/>
          <w:sz w:val="28"/>
          <w:szCs w:val="28"/>
        </w:rPr>
        <w:t xml:space="preserve"> et al. 1995)</w:t>
      </w:r>
      <w:r w:rsidRPr="3DFDA105" w:rsidR="3DFDA105">
        <w:rPr>
          <w:rFonts w:ascii="Arial" w:hAnsi="Arial" w:eastAsia="Arial" w:cs="Arial"/>
          <w:sz w:val="28"/>
          <w:szCs w:val="28"/>
        </w:rPr>
        <w:t>.</w:t>
      </w:r>
      <w:r w:rsidRPr="3DFDA105" w:rsidR="3DFDA105">
        <w:rPr>
          <w:rFonts w:ascii="Arial" w:hAnsi="Arial" w:eastAsia="Arial" w:cs="Arial"/>
          <w:sz w:val="28"/>
          <w:szCs w:val="28"/>
        </w:rPr>
        <w:t xml:space="preserve"> Their findings suggested that school-based ideologies could still contribute to major </w:t>
      </w:r>
      <w:r w:rsidRPr="3DFDA105" w:rsidR="3DFDA105">
        <w:rPr>
          <w:rFonts w:ascii="Arial" w:hAnsi="Arial" w:eastAsia="Arial" w:cs="Arial"/>
          <w:sz w:val="28"/>
          <w:szCs w:val="28"/>
        </w:rPr>
        <w:t>anticipated</w:t>
      </w:r>
      <w:r w:rsidRPr="3DFDA105" w:rsidR="3DFDA105">
        <w:rPr>
          <w:rFonts w:ascii="Arial" w:hAnsi="Arial" w:eastAsia="Arial" w:cs="Arial"/>
          <w:sz w:val="28"/>
          <w:szCs w:val="28"/>
        </w:rPr>
        <w:t xml:space="preserve"> dietary challenges.</w:t>
      </w:r>
    </w:p>
    <w:p w:rsidR="00727D4E" w:rsidP="3DFDA105" w:rsidRDefault="205E26A7" w14:paraId="7631F732" w14:textId="75368D15">
      <w:pPr>
        <w:jc w:val="both"/>
        <w:rPr>
          <w:rFonts w:ascii="Arial" w:hAnsi="Arial" w:eastAsia="Arial" w:cs="Arial"/>
          <w:sz w:val="28"/>
          <w:szCs w:val="28"/>
        </w:rPr>
      </w:pPr>
      <w:r w:rsidRPr="3DFDA105" w:rsidR="3DFDA105">
        <w:rPr>
          <w:rFonts w:ascii="Arial" w:hAnsi="Arial" w:eastAsia="Arial" w:cs="Arial"/>
          <w:sz w:val="28"/>
          <w:szCs w:val="28"/>
        </w:rPr>
        <w:t xml:space="preserve">The aim of hypothesis is that University of </w:t>
      </w:r>
      <w:r w:rsidRPr="3DFDA105" w:rsidR="3DFDA105">
        <w:rPr>
          <w:rFonts w:ascii="Arial" w:hAnsi="Arial" w:eastAsia="Arial" w:cs="Arial"/>
          <w:sz w:val="28"/>
          <w:szCs w:val="28"/>
        </w:rPr>
        <w:t>wales</w:t>
      </w:r>
      <w:r w:rsidRPr="3DFDA105" w:rsidR="3DFDA105">
        <w:rPr>
          <w:rFonts w:ascii="Arial" w:hAnsi="Arial" w:eastAsia="Arial" w:cs="Arial"/>
          <w:sz w:val="28"/>
          <w:szCs w:val="28"/>
        </w:rPr>
        <w:t xml:space="preserve"> trinity saint David’s students have a good understanding of eating habits and adequate nutrition knowledge. This study assumes that they are concerned about their eating habits and health </w:t>
      </w:r>
      <w:bookmarkStart w:name="_Int_wVltWM6I" w:id="0"/>
      <w:r w:rsidRPr="3DFDA105" w:rsidR="3DFDA105">
        <w:rPr>
          <w:rFonts w:ascii="Arial" w:hAnsi="Arial" w:eastAsia="Arial" w:cs="Arial"/>
          <w:sz w:val="28"/>
          <w:szCs w:val="28"/>
        </w:rPr>
        <w:t>in order to</w:t>
      </w:r>
      <w:bookmarkEnd w:id="0"/>
      <w:r w:rsidRPr="3DFDA105" w:rsidR="3DFDA105">
        <w:rPr>
          <w:rFonts w:ascii="Arial" w:hAnsi="Arial" w:eastAsia="Arial" w:cs="Arial"/>
          <w:sz w:val="28"/>
          <w:szCs w:val="28"/>
        </w:rPr>
        <w:t xml:space="preserve"> perform better in their daily activities now and in the future and using focus groups with a small number of participants, investigate the barriers and enablers of healthy eating behaviors among postgraduate students.</w:t>
      </w:r>
    </w:p>
    <w:p w:rsidR="205E26A7" w:rsidP="3DFDA105" w:rsidRDefault="205E26A7" w14:paraId="3257EE60" w14:textId="4DBB7808">
      <w:pPr>
        <w:jc w:val="both"/>
        <w:rPr>
          <w:rFonts w:ascii="Arial" w:hAnsi="Arial" w:eastAsia="Arial" w:cs="Arial"/>
          <w:sz w:val="28"/>
          <w:szCs w:val="28"/>
        </w:rPr>
      </w:pPr>
    </w:p>
    <w:p w:rsidR="205E26A7" w:rsidP="3DFDA105" w:rsidRDefault="205E26A7" w14:paraId="7D7A8A3E" w14:textId="3D2768AC">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 xml:space="preserve">Rationale </w:t>
      </w:r>
    </w:p>
    <w:p w:rsidR="205E26A7" w:rsidP="3DFDA105" w:rsidRDefault="353B4987" w14:paraId="6E39F29F" w14:textId="25544BAD">
      <w:pPr>
        <w:jc w:val="both"/>
        <w:rPr>
          <w:rFonts w:ascii="Arial" w:hAnsi="Arial" w:eastAsia="Arial" w:cs="Arial"/>
          <w:sz w:val="28"/>
          <w:szCs w:val="28"/>
        </w:rPr>
      </w:pPr>
      <w:r w:rsidRPr="3DFDA105" w:rsidR="3DFDA105">
        <w:rPr>
          <w:rFonts w:ascii="Arial" w:hAnsi="Arial" w:eastAsia="Arial" w:cs="Arial"/>
          <w:sz w:val="28"/>
          <w:szCs w:val="28"/>
        </w:rPr>
        <w:t>Postgraduate students are a distinct population with unique needs and challenges, and they may be influenced by factors that are different from those that affect other student populations in terms of their eating habits (Deliens, T., Clarys, P., et al., 2014). It is possible to create focused interventions that are catered to the needs of this population by understanding these factors. And poor eating habits can have a negative impact on the daily working life and study. For cognitive function, memory, and concentration healthy diet is essential all that all important to be success in the study (Krueger RichardA, 2000). It is possible to create strategies to encourage healthy eating b</w:t>
      </w:r>
      <w:r w:rsidRPr="3DFDA105" w:rsidR="3DFDA105">
        <w:rPr>
          <w:rFonts w:ascii="Arial" w:hAnsi="Arial" w:eastAsia="Arial" w:cs="Arial"/>
          <w:sz w:val="28"/>
          <w:szCs w:val="28"/>
        </w:rPr>
        <w:t>ehaviors an</w:t>
      </w:r>
      <w:r w:rsidRPr="3DFDA105" w:rsidR="3DFDA105">
        <w:rPr>
          <w:rFonts w:ascii="Arial" w:hAnsi="Arial" w:eastAsia="Arial" w:cs="Arial"/>
          <w:sz w:val="28"/>
          <w:szCs w:val="28"/>
        </w:rPr>
        <w:t xml:space="preserve">d enhance postgraduate students' academic outcomes by identifying the variables that affect their eating behaviors. At the very least, knowing the variables that affect postgraduate students' eating habits </w:t>
      </w:r>
      <w:r w:rsidRPr="3DFDA105" w:rsidR="3DFDA105">
        <w:rPr>
          <w:rFonts w:ascii="Arial" w:hAnsi="Arial" w:eastAsia="Arial" w:cs="Arial"/>
          <w:sz w:val="28"/>
          <w:szCs w:val="28"/>
        </w:rPr>
        <w:t>at a public u</w:t>
      </w:r>
      <w:r w:rsidRPr="3DFDA105" w:rsidR="3DFDA105">
        <w:rPr>
          <w:rFonts w:ascii="Arial" w:hAnsi="Arial" w:eastAsia="Arial" w:cs="Arial"/>
          <w:sz w:val="28"/>
          <w:szCs w:val="28"/>
        </w:rPr>
        <w:t>niversity can help with the formulation of policies pertaining to food and dining options on campus. Universities can devise strategies to improve access to healthy food optio</w:t>
      </w:r>
      <w:r w:rsidRPr="3DFDA105" w:rsidR="3DFDA105">
        <w:rPr>
          <w:rFonts w:ascii="Arial" w:hAnsi="Arial" w:eastAsia="Arial" w:cs="Arial"/>
          <w:sz w:val="28"/>
          <w:szCs w:val="28"/>
        </w:rPr>
        <w:t>ns and fost</w:t>
      </w:r>
      <w:r w:rsidRPr="3DFDA105" w:rsidR="3DFDA105">
        <w:rPr>
          <w:rFonts w:ascii="Arial" w:hAnsi="Arial" w:eastAsia="Arial" w:cs="Arial"/>
          <w:sz w:val="28"/>
          <w:szCs w:val="28"/>
        </w:rPr>
        <w:t>er environments that support healthy eating habits by identifying the difficulties and hindrances that prevent postgraduate students from making healthy food choices (Morgan, David L, et. Al., 1998). Overall, it is crucial to inv</w:t>
      </w:r>
      <w:r w:rsidRPr="3DFDA105" w:rsidR="3DFDA105">
        <w:rPr>
          <w:rFonts w:ascii="Arial" w:hAnsi="Arial" w:eastAsia="Arial" w:cs="Arial"/>
          <w:sz w:val="28"/>
          <w:szCs w:val="28"/>
        </w:rPr>
        <w:t>estigate th</w:t>
      </w:r>
      <w:r w:rsidRPr="3DFDA105" w:rsidR="3DFDA105">
        <w:rPr>
          <w:rFonts w:ascii="Arial" w:hAnsi="Arial" w:eastAsia="Arial" w:cs="Arial"/>
          <w:sz w:val="28"/>
          <w:szCs w:val="28"/>
        </w:rPr>
        <w:t>e factors that affect eating habits among postgraduate students at a public university in order to promote healthy eating practices, enhance academic performance, and better the general wellbeing of this population (Silverman, D., 2020).</w:t>
      </w:r>
    </w:p>
    <w:p w:rsidR="205E26A7" w:rsidP="3DFDA105" w:rsidRDefault="205E26A7" w14:paraId="2D917F78" w14:textId="1E73A142">
      <w:pPr>
        <w:jc w:val="both"/>
        <w:rPr>
          <w:rFonts w:ascii="Arial" w:hAnsi="Arial" w:eastAsia="Arial" w:cs="Arial"/>
          <w:sz w:val="28"/>
          <w:szCs w:val="28"/>
        </w:rPr>
      </w:pPr>
    </w:p>
    <w:p w:rsidR="205E26A7" w:rsidP="3DFDA105" w:rsidRDefault="205E26A7" w14:paraId="71EEBD44" w14:textId="441989A6">
      <w:pPr>
        <w:jc w:val="both"/>
        <w:rPr>
          <w:rFonts w:ascii="Arial" w:hAnsi="Arial" w:eastAsia="Arial" w:cs="Arial"/>
          <w:sz w:val="28"/>
          <w:szCs w:val="28"/>
        </w:rPr>
      </w:pPr>
      <w:r w:rsidRPr="3DFDA105" w:rsidR="3DFDA105">
        <w:rPr>
          <w:rFonts w:ascii="Arial" w:hAnsi="Arial" w:eastAsia="Arial" w:cs="Arial"/>
          <w:b w:val="1"/>
          <w:bCs w:val="1"/>
          <w:sz w:val="28"/>
          <w:szCs w:val="28"/>
        </w:rPr>
        <w:t xml:space="preserve">Research Aims  </w:t>
      </w:r>
    </w:p>
    <w:p w:rsidR="205E26A7" w:rsidP="3DFDA105" w:rsidRDefault="353B4987" w14:paraId="5FA40A32" w14:textId="57219672">
      <w:pPr>
        <w:jc w:val="both"/>
        <w:rPr>
          <w:rFonts w:ascii="Arial" w:hAnsi="Arial" w:eastAsia="Arial" w:cs="Arial"/>
          <w:sz w:val="28"/>
          <w:szCs w:val="28"/>
        </w:rPr>
      </w:pPr>
      <w:r w:rsidRPr="3DFDA105" w:rsidR="3DFDA105">
        <w:rPr>
          <w:rFonts w:ascii="Arial" w:hAnsi="Arial" w:eastAsia="Arial" w:cs="Arial"/>
          <w:sz w:val="28"/>
          <w:szCs w:val="28"/>
        </w:rPr>
        <w:t>To better understand the various factors affecting the eating habits of this population, a focus group discussion was conducted to examine the factors that influence eating behaviour among postgraduate students at a university of Wales tri nity saint David. By identifying these variables, targeted interventions can be created to encourage healthy eating habits and to remove any obstacles or challenges that might be preventing postgraduate students from making healthy food decisions. The data gathered from the focus group discussion can also be used to direct future research on nutrition and public health as well as policy decisions regarding campus dining and food services.</w:t>
      </w:r>
    </w:p>
    <w:p w:rsidR="353B4987" w:rsidP="3DFDA105" w:rsidRDefault="353B4987" w14:paraId="14E5FC65" w14:textId="31B5FD1C">
      <w:pPr>
        <w:jc w:val="both"/>
        <w:rPr>
          <w:rFonts w:ascii="Arial" w:hAnsi="Arial" w:eastAsia="Arial" w:cs="Arial"/>
          <w:sz w:val="28"/>
          <w:szCs w:val="28"/>
        </w:rPr>
      </w:pPr>
    </w:p>
    <w:p w:rsidR="205E26A7" w:rsidP="3DFDA105" w:rsidRDefault="205E26A7" w14:paraId="4F84F532" w14:textId="0439A777">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Research Questions</w:t>
      </w:r>
    </w:p>
    <w:p w:rsidR="205E26A7" w:rsidP="3DFDA105" w:rsidRDefault="205E26A7" w14:paraId="57365633" w14:textId="3A5CFC4B">
      <w:pPr>
        <w:jc w:val="both"/>
        <w:rPr>
          <w:rFonts w:ascii="Arial" w:hAnsi="Arial" w:eastAsia="Arial" w:cs="Arial"/>
          <w:sz w:val="28"/>
          <w:szCs w:val="28"/>
        </w:rPr>
      </w:pPr>
      <w:r w:rsidRPr="3DFDA105" w:rsidR="3DFDA105">
        <w:rPr>
          <w:rFonts w:ascii="Arial" w:hAnsi="Arial" w:eastAsia="Arial" w:cs="Arial"/>
          <w:sz w:val="28"/>
          <w:szCs w:val="28"/>
        </w:rPr>
        <w:t xml:space="preserve">To explore these issues with postgraduate students at a university of Wales trinity </w:t>
      </w:r>
      <w:bookmarkStart w:name="_Int_zW72VudS" w:id="1"/>
      <w:r w:rsidRPr="3DFDA105" w:rsidR="3DFDA105">
        <w:rPr>
          <w:rFonts w:ascii="Arial" w:hAnsi="Arial" w:eastAsia="Arial" w:cs="Arial"/>
          <w:sz w:val="28"/>
          <w:szCs w:val="28"/>
        </w:rPr>
        <w:t xml:space="preserve">saint </w:t>
      </w:r>
      <w:r w:rsidRPr="3DFDA105" w:rsidR="3DFDA105">
        <w:rPr>
          <w:rFonts w:ascii="Arial" w:hAnsi="Arial" w:eastAsia="Arial" w:cs="Arial"/>
          <w:sz w:val="28"/>
          <w:szCs w:val="28"/>
        </w:rPr>
        <w:t>d</w:t>
      </w:r>
      <w:bookmarkEnd w:id="1"/>
      <w:r w:rsidRPr="3DFDA105" w:rsidR="3DFDA105">
        <w:rPr>
          <w:rFonts w:ascii="Arial" w:hAnsi="Arial" w:eastAsia="Arial" w:cs="Arial"/>
          <w:sz w:val="28"/>
          <w:szCs w:val="28"/>
        </w:rPr>
        <w:t>avid</w:t>
      </w:r>
      <w:r w:rsidRPr="3DFDA105" w:rsidR="3DFDA105">
        <w:rPr>
          <w:rFonts w:ascii="Arial" w:hAnsi="Arial" w:eastAsia="Arial" w:cs="Arial"/>
          <w:sz w:val="28"/>
          <w:szCs w:val="28"/>
        </w:rPr>
        <w:t>, the following discussion topics may be used:</w:t>
      </w:r>
    </w:p>
    <w:p w:rsidR="205E26A7" w:rsidP="3DFDA105" w:rsidRDefault="205E26A7" w14:paraId="78762F4D" w14:textId="7F9611E4">
      <w:pPr>
        <w:pStyle w:val="ListParagraph"/>
        <w:numPr>
          <w:ilvl w:val="0"/>
          <w:numId w:val="3"/>
        </w:numPr>
        <w:jc w:val="both"/>
        <w:rPr>
          <w:rFonts w:ascii="Arial" w:hAnsi="Arial" w:eastAsia="Arial" w:cs="Arial"/>
          <w:sz w:val="28"/>
          <w:szCs w:val="28"/>
        </w:rPr>
      </w:pPr>
      <w:r w:rsidRPr="3DFDA105" w:rsidR="3DFDA105">
        <w:rPr>
          <w:rFonts w:ascii="Arial" w:hAnsi="Arial" w:eastAsia="Arial" w:cs="Arial"/>
          <w:sz w:val="28"/>
          <w:szCs w:val="28"/>
        </w:rPr>
        <w:t>What elements do you believe affect your eating habits?</w:t>
      </w:r>
    </w:p>
    <w:p w:rsidR="205E26A7" w:rsidP="3DFDA105" w:rsidRDefault="205E26A7" w14:paraId="7DF21317" w14:textId="50590E0B">
      <w:pPr>
        <w:pStyle w:val="ListParagraph"/>
        <w:numPr>
          <w:ilvl w:val="0"/>
          <w:numId w:val="3"/>
        </w:numPr>
        <w:jc w:val="both"/>
        <w:rPr>
          <w:rFonts w:ascii="Arial" w:hAnsi="Arial" w:eastAsia="Arial" w:cs="Arial"/>
          <w:sz w:val="28"/>
          <w:szCs w:val="28"/>
        </w:rPr>
      </w:pPr>
      <w:r w:rsidRPr="3DFDA105" w:rsidR="3DFDA105">
        <w:rPr>
          <w:rFonts w:ascii="Arial" w:hAnsi="Arial" w:eastAsia="Arial" w:cs="Arial"/>
          <w:sz w:val="28"/>
          <w:szCs w:val="28"/>
        </w:rPr>
        <w:t xml:space="preserve">Do you believe that since beginning your graduate studies, </w:t>
      </w:r>
      <w:r w:rsidRPr="3DFDA105" w:rsidR="3DFDA105">
        <w:rPr>
          <w:rFonts w:ascii="Arial" w:hAnsi="Arial" w:eastAsia="Arial" w:cs="Arial"/>
          <w:sz w:val="28"/>
          <w:szCs w:val="28"/>
        </w:rPr>
        <w:t>you're</w:t>
      </w:r>
      <w:r w:rsidRPr="3DFDA105" w:rsidR="3DFDA105">
        <w:rPr>
          <w:rFonts w:ascii="Arial" w:hAnsi="Arial" w:eastAsia="Arial" w:cs="Arial"/>
          <w:sz w:val="28"/>
          <w:szCs w:val="28"/>
        </w:rPr>
        <w:t xml:space="preserve"> eating habits have changed? How, if so?</w:t>
      </w:r>
    </w:p>
    <w:p w:rsidR="205E26A7" w:rsidP="3DFDA105" w:rsidRDefault="205E26A7" w14:paraId="4C7EE7F5" w14:textId="24540B48">
      <w:pPr>
        <w:pStyle w:val="ListParagraph"/>
        <w:numPr>
          <w:ilvl w:val="0"/>
          <w:numId w:val="3"/>
        </w:numPr>
        <w:jc w:val="both"/>
        <w:rPr>
          <w:rFonts w:ascii="Arial" w:hAnsi="Arial" w:eastAsia="Arial" w:cs="Arial"/>
          <w:sz w:val="28"/>
          <w:szCs w:val="28"/>
        </w:rPr>
      </w:pPr>
      <w:r w:rsidRPr="3DFDA105" w:rsidR="3DFDA105">
        <w:rPr>
          <w:rFonts w:ascii="Arial" w:hAnsi="Arial" w:eastAsia="Arial" w:cs="Arial"/>
          <w:sz w:val="28"/>
          <w:szCs w:val="28"/>
        </w:rPr>
        <w:t>What role do your personal beliefs and cultural upbringing play in the foods you choose to eat?</w:t>
      </w:r>
    </w:p>
    <w:p w:rsidR="205E26A7" w:rsidP="3DFDA105" w:rsidRDefault="205E26A7" w14:paraId="2295DB7A" w14:textId="3682CA5B">
      <w:pPr>
        <w:pStyle w:val="ListParagraph"/>
        <w:numPr>
          <w:ilvl w:val="0"/>
          <w:numId w:val="3"/>
        </w:numPr>
        <w:jc w:val="both"/>
        <w:rPr>
          <w:rFonts w:ascii="Arial" w:hAnsi="Arial" w:eastAsia="Arial" w:cs="Arial"/>
          <w:sz w:val="28"/>
          <w:szCs w:val="28"/>
        </w:rPr>
      </w:pPr>
      <w:r w:rsidRPr="3DFDA105" w:rsidR="3DFDA105">
        <w:rPr>
          <w:rFonts w:ascii="Arial" w:hAnsi="Arial" w:eastAsia="Arial" w:cs="Arial"/>
          <w:sz w:val="28"/>
          <w:szCs w:val="28"/>
        </w:rPr>
        <w:t>What impact does your budget have on the meals you choose? Is there a way the university could offer more reasonably priced healthy food options?</w:t>
      </w:r>
    </w:p>
    <w:p w:rsidR="205E26A7" w:rsidP="3DFDA105" w:rsidRDefault="205E26A7" w14:paraId="6069A147" w14:textId="5C9571E3">
      <w:pPr>
        <w:pStyle w:val="ListParagraph"/>
        <w:numPr>
          <w:ilvl w:val="0"/>
          <w:numId w:val="3"/>
        </w:numPr>
        <w:jc w:val="both"/>
        <w:rPr>
          <w:rFonts w:ascii="Arial" w:hAnsi="Arial" w:eastAsia="Arial" w:cs="Arial"/>
          <w:sz w:val="28"/>
          <w:szCs w:val="28"/>
        </w:rPr>
      </w:pPr>
      <w:r w:rsidRPr="3DFDA105" w:rsidR="3DFDA105">
        <w:rPr>
          <w:rFonts w:ascii="Arial" w:hAnsi="Arial" w:eastAsia="Arial" w:cs="Arial"/>
          <w:sz w:val="28"/>
          <w:szCs w:val="28"/>
        </w:rPr>
        <w:t xml:space="preserve">How do you </w:t>
      </w:r>
      <w:r w:rsidRPr="3DFDA105" w:rsidR="3DFDA105">
        <w:rPr>
          <w:rFonts w:ascii="Arial" w:hAnsi="Arial" w:eastAsia="Arial" w:cs="Arial"/>
          <w:sz w:val="28"/>
          <w:szCs w:val="28"/>
        </w:rPr>
        <w:t>maintain</w:t>
      </w:r>
      <w:r w:rsidRPr="3DFDA105" w:rsidR="3DFDA105">
        <w:rPr>
          <w:rFonts w:ascii="Arial" w:hAnsi="Arial" w:eastAsia="Arial" w:cs="Arial"/>
          <w:sz w:val="28"/>
          <w:szCs w:val="28"/>
        </w:rPr>
        <w:t xml:space="preserve"> a healthy diet and lifestyle while juggling the demands of your studies?</w:t>
      </w:r>
    </w:p>
    <w:p w:rsidR="205E26A7" w:rsidP="3DFDA105" w:rsidRDefault="205E26A7" w14:paraId="00978E50" w14:textId="731F2E79">
      <w:pPr>
        <w:pStyle w:val="ListParagraph"/>
        <w:numPr>
          <w:ilvl w:val="0"/>
          <w:numId w:val="3"/>
        </w:numPr>
        <w:jc w:val="both"/>
        <w:rPr>
          <w:rFonts w:ascii="Arial" w:hAnsi="Arial" w:eastAsia="Arial" w:cs="Arial"/>
          <w:sz w:val="28"/>
          <w:szCs w:val="28"/>
        </w:rPr>
      </w:pPr>
      <w:r w:rsidRPr="3DFDA105" w:rsidR="3DFDA105">
        <w:rPr>
          <w:rFonts w:ascii="Arial" w:hAnsi="Arial" w:eastAsia="Arial" w:cs="Arial"/>
          <w:sz w:val="28"/>
          <w:szCs w:val="28"/>
        </w:rPr>
        <w:t xml:space="preserve">Have you </w:t>
      </w:r>
      <w:r w:rsidRPr="3DFDA105" w:rsidR="3DFDA105">
        <w:rPr>
          <w:rFonts w:ascii="Arial" w:hAnsi="Arial" w:eastAsia="Arial" w:cs="Arial"/>
          <w:sz w:val="28"/>
          <w:szCs w:val="28"/>
        </w:rPr>
        <w:t>observed</w:t>
      </w:r>
      <w:r w:rsidRPr="3DFDA105" w:rsidR="3DFDA105">
        <w:rPr>
          <w:rFonts w:ascii="Arial" w:hAnsi="Arial" w:eastAsia="Arial" w:cs="Arial"/>
          <w:sz w:val="28"/>
          <w:szCs w:val="28"/>
        </w:rPr>
        <w:t xml:space="preserve"> any differences between postgraduate students' eating patterns and those of undergraduate students?</w:t>
      </w:r>
    </w:p>
    <w:p w:rsidR="205E26A7" w:rsidP="3DFDA105" w:rsidRDefault="353B4987" w14:paraId="673DA20B" w14:textId="5E87EF85">
      <w:pPr>
        <w:pStyle w:val="ListParagraph"/>
        <w:numPr>
          <w:ilvl w:val="0"/>
          <w:numId w:val="3"/>
        </w:numPr>
        <w:jc w:val="both"/>
        <w:rPr>
          <w:rFonts w:ascii="Arial" w:hAnsi="Arial" w:eastAsia="Arial" w:cs="Arial"/>
          <w:sz w:val="28"/>
          <w:szCs w:val="28"/>
        </w:rPr>
      </w:pPr>
      <w:r w:rsidRPr="3DFDA105" w:rsidR="3DFDA105">
        <w:rPr>
          <w:rFonts w:ascii="Arial" w:hAnsi="Arial" w:eastAsia="Arial" w:cs="Arial"/>
          <w:sz w:val="28"/>
          <w:szCs w:val="28"/>
        </w:rPr>
        <w:t>How do your social interactions like those with your roommates and coworkers affect the way you eat?</w:t>
      </w:r>
    </w:p>
    <w:p w:rsidR="6C9BAD35" w:rsidP="3DFDA105" w:rsidRDefault="6C9BAD35" w14:paraId="2963D587" w14:textId="35E51695">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Hypothesis</w:t>
      </w:r>
    </w:p>
    <w:p w:rsidR="6C9BAD35" w:rsidP="3DFDA105" w:rsidRDefault="6C9BAD35" w14:paraId="61C599F5" w14:textId="24E29D00">
      <w:pPr>
        <w:jc w:val="both"/>
        <w:rPr>
          <w:rFonts w:ascii="Arial" w:hAnsi="Arial" w:eastAsia="Arial" w:cs="Arial"/>
          <w:sz w:val="28"/>
          <w:szCs w:val="28"/>
        </w:rPr>
      </w:pPr>
      <w:r w:rsidRPr="3DFDA105" w:rsidR="3DFDA105">
        <w:rPr>
          <w:rFonts w:ascii="Arial" w:hAnsi="Arial" w:eastAsia="Arial" w:cs="Arial"/>
          <w:sz w:val="28"/>
          <w:szCs w:val="28"/>
        </w:rPr>
        <w:t xml:space="preserve">"A complex interplay of individual, social, environmental, and cultural factors, including personal preferences and beliefs, social norms, availability and accessibility of food, time and financial constraints, and cultural background, influences the eating </w:t>
      </w:r>
      <w:r w:rsidRPr="3DFDA105" w:rsidR="3DFDA105">
        <w:rPr>
          <w:rFonts w:ascii="Arial" w:hAnsi="Arial" w:eastAsia="Arial" w:cs="Arial"/>
          <w:sz w:val="28"/>
          <w:szCs w:val="28"/>
        </w:rPr>
        <w:t>behaviour</w:t>
      </w:r>
      <w:r w:rsidRPr="3DFDA105" w:rsidR="3DFDA105">
        <w:rPr>
          <w:rFonts w:ascii="Arial" w:hAnsi="Arial" w:eastAsia="Arial" w:cs="Arial"/>
          <w:sz w:val="28"/>
          <w:szCs w:val="28"/>
        </w:rPr>
        <w:t xml:space="preserve"> of postgraduate students in a public university."</w:t>
      </w:r>
    </w:p>
    <w:p w:rsidR="205E26A7" w:rsidP="3DFDA105" w:rsidRDefault="0FCA3D47" w14:paraId="7B0B0253" w14:textId="0D670915">
      <w:pPr>
        <w:jc w:val="both"/>
        <w:rPr>
          <w:rFonts w:ascii="Arial" w:hAnsi="Arial" w:eastAsia="Arial" w:cs="Arial"/>
          <w:sz w:val="28"/>
          <w:szCs w:val="28"/>
        </w:rPr>
      </w:pPr>
      <w:r w:rsidRPr="3DFDA105" w:rsidR="3DFDA105">
        <w:rPr>
          <w:rFonts w:ascii="Arial" w:hAnsi="Arial" w:eastAsia="Arial" w:cs="Arial"/>
          <w:sz w:val="28"/>
          <w:szCs w:val="28"/>
        </w:rPr>
        <w:t>According to this hypothesis, the study will aim to investigate different variables that might affect postgraduate students' eating habits, and these variables are probably varied and multifaceted. The study will likely collect qualitative information from participants in the form of focus group discussions to learn more about their perspectives on and experiences with their eating behaviour.</w:t>
      </w:r>
    </w:p>
    <w:p w:rsidR="0FCA3D47" w:rsidP="3DFDA105" w:rsidRDefault="0FCA3D47" w14:paraId="446D53CC" w14:textId="0D670915">
      <w:pPr>
        <w:jc w:val="both"/>
        <w:rPr>
          <w:rFonts w:ascii="Arial" w:hAnsi="Arial" w:eastAsia="Arial" w:cs="Arial"/>
          <w:sz w:val="28"/>
          <w:szCs w:val="28"/>
        </w:rPr>
      </w:pPr>
    </w:p>
    <w:p w:rsidR="205E26A7" w:rsidP="3DFDA105" w:rsidRDefault="205E26A7" w14:paraId="15338036" w14:textId="079E21E1">
      <w:pPr>
        <w:jc w:val="both"/>
        <w:rPr>
          <w:rFonts w:ascii="Arial" w:hAnsi="Arial" w:eastAsia="Arial" w:cs="Arial"/>
          <w:sz w:val="28"/>
          <w:szCs w:val="28"/>
        </w:rPr>
      </w:pPr>
    </w:p>
    <w:p w:rsidR="00F92100" w:rsidP="3DFDA105" w:rsidRDefault="6C9BAD35" w14:paraId="2ADC1A68" w14:textId="37D8CFE0">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Research Methodology</w:t>
      </w:r>
    </w:p>
    <w:p w:rsidR="7B9C1D9E" w:rsidP="3DFDA105" w:rsidRDefault="353B4987" w14:paraId="2355E6ED" w14:textId="00D8B7BF">
      <w:pPr>
        <w:jc w:val="both"/>
        <w:rPr>
          <w:rFonts w:ascii="Arial" w:hAnsi="Arial" w:eastAsia="Arial" w:cs="Arial"/>
          <w:sz w:val="28"/>
          <w:szCs w:val="28"/>
        </w:rPr>
      </w:pPr>
      <w:r w:rsidRPr="3DFDA105" w:rsidR="3DFDA105">
        <w:rPr>
          <w:rFonts w:ascii="Arial" w:hAnsi="Arial" w:eastAsia="Arial" w:cs="Arial"/>
          <w:sz w:val="28"/>
          <w:szCs w:val="28"/>
        </w:rPr>
        <w:t xml:space="preserve">This research was conducted with the students from University of Wales Trinity Saint David, </w:t>
      </w:r>
      <w:r w:rsidRPr="3DFDA105" w:rsidR="3DFDA105">
        <w:rPr>
          <w:rFonts w:ascii="Arial" w:hAnsi="Arial" w:eastAsia="Arial" w:cs="Arial"/>
          <w:sz w:val="28"/>
          <w:szCs w:val="28"/>
        </w:rPr>
        <w:t>located</w:t>
      </w:r>
      <w:r w:rsidRPr="3DFDA105" w:rsidR="3DFDA105">
        <w:rPr>
          <w:rFonts w:ascii="Arial" w:hAnsi="Arial" w:eastAsia="Arial" w:cs="Arial"/>
          <w:sz w:val="28"/>
          <w:szCs w:val="28"/>
        </w:rPr>
        <w:t xml:space="preserve"> in Birmingham, United Kingdom. During the group discussion we </w:t>
      </w:r>
      <w:r w:rsidRPr="3DFDA105" w:rsidR="3DFDA105">
        <w:rPr>
          <w:rFonts w:ascii="Arial" w:hAnsi="Arial" w:eastAsia="Arial" w:cs="Arial"/>
          <w:sz w:val="28"/>
          <w:szCs w:val="28"/>
        </w:rPr>
        <w:t>mainly focus</w:t>
      </w:r>
      <w:r w:rsidRPr="3DFDA105" w:rsidR="3DFDA105">
        <w:rPr>
          <w:rFonts w:ascii="Arial" w:hAnsi="Arial" w:eastAsia="Arial" w:cs="Arial"/>
          <w:sz w:val="28"/>
          <w:szCs w:val="28"/>
        </w:rPr>
        <w:t xml:space="preserve"> on various factor such as accessibility, time, price, and fixing. In this qualitative study group discussion was used for data collection (</w:t>
      </w:r>
      <w:r w:rsidRPr="3DFDA105" w:rsidR="3DFDA105">
        <w:rPr>
          <w:rFonts w:ascii="Arial" w:hAnsi="Arial" w:eastAsia="Arial" w:cs="Arial"/>
          <w:sz w:val="28"/>
          <w:szCs w:val="28"/>
        </w:rPr>
        <w:t>Steckler,A</w:t>
      </w:r>
      <w:r w:rsidRPr="3DFDA105" w:rsidR="3DFDA105">
        <w:rPr>
          <w:rFonts w:ascii="Arial" w:hAnsi="Arial" w:eastAsia="Arial" w:cs="Arial"/>
          <w:sz w:val="28"/>
          <w:szCs w:val="28"/>
        </w:rPr>
        <w:t xml:space="preserve">, 1992) because it tackles the "how" and "why" research questions and allows for a deeper knowledge of experiences, phenomena, and context, qualitative research is crucial in the field of education. To better </w:t>
      </w:r>
      <w:r w:rsidRPr="3DFDA105" w:rsidR="3DFDA105">
        <w:rPr>
          <w:rFonts w:ascii="Arial" w:hAnsi="Arial" w:eastAsia="Arial" w:cs="Arial"/>
          <w:sz w:val="28"/>
          <w:szCs w:val="28"/>
        </w:rPr>
        <w:t>comprehend</w:t>
      </w:r>
      <w:r w:rsidRPr="3DFDA105" w:rsidR="3DFDA105">
        <w:rPr>
          <w:rFonts w:ascii="Arial" w:hAnsi="Arial" w:eastAsia="Arial" w:cs="Arial"/>
          <w:sz w:val="28"/>
          <w:szCs w:val="28"/>
        </w:rPr>
        <w:t xml:space="preserve"> human experience, qualitative research enables you to ask questions that are difficult to answer with figures. On one hand, A much more adaptable strategy is provided by qualitative research (Deshpandey, s., 2009). The changing attitudes of a target group, such as customers of a good or service, or attitudes at work, can be captured via qualitative research. In terms of the topics, they decide </w:t>
      </w:r>
      <w:r w:rsidRPr="3DFDA105" w:rsidR="3DFDA105">
        <w:rPr>
          <w:rFonts w:ascii="Arial" w:hAnsi="Arial" w:eastAsia="Arial" w:cs="Arial"/>
          <w:sz w:val="28"/>
          <w:szCs w:val="28"/>
        </w:rPr>
        <w:t>to investig</w:t>
      </w:r>
      <w:r w:rsidRPr="3DFDA105" w:rsidR="3DFDA105">
        <w:rPr>
          <w:rFonts w:ascii="Arial" w:hAnsi="Arial" w:eastAsia="Arial" w:cs="Arial"/>
          <w:sz w:val="28"/>
          <w:szCs w:val="28"/>
        </w:rPr>
        <w:t>ate and the methodology they use, it is more speculative. It enables data collection to be sparked by a researcher's intuition or "gut feeling" about where valuab</w:t>
      </w:r>
      <w:r w:rsidRPr="3DFDA105" w:rsidR="3DFDA105">
        <w:rPr>
          <w:rFonts w:ascii="Arial" w:hAnsi="Arial" w:eastAsia="Arial" w:cs="Arial"/>
          <w:sz w:val="28"/>
          <w:szCs w:val="28"/>
        </w:rPr>
        <w:t>le info</w:t>
      </w:r>
      <w:r w:rsidRPr="3DFDA105" w:rsidR="3DFDA105">
        <w:rPr>
          <w:rFonts w:ascii="Arial" w:hAnsi="Arial" w:eastAsia="Arial" w:cs="Arial"/>
          <w:sz w:val="28"/>
          <w:szCs w:val="28"/>
        </w:rPr>
        <w:t>rmation will be located. On the other hand, the sample size is big problem and getting problem during the transcribe the discussion into text due to not clear recording ((Morgan, David L, et. Al., 1998).</w:t>
      </w:r>
    </w:p>
    <w:p w:rsidR="353B4987" w:rsidP="3DFDA105" w:rsidRDefault="353B4987" w14:paraId="30656668" w14:textId="0763DCB6">
      <w:pPr>
        <w:jc w:val="both"/>
        <w:rPr>
          <w:rFonts w:ascii="Arial" w:hAnsi="Arial" w:eastAsia="Arial" w:cs="Arial"/>
          <w:sz w:val="28"/>
          <w:szCs w:val="28"/>
        </w:rPr>
      </w:pPr>
    </w:p>
    <w:p w:rsidR="6C9BAD35" w:rsidP="3DFDA105" w:rsidRDefault="6C9BAD35" w14:paraId="07AC7455" w14:textId="69A5FE4E">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Material/ Data collection Method</w:t>
      </w:r>
    </w:p>
    <w:p w:rsidR="6C9BAD35" w:rsidP="3DFDA105" w:rsidRDefault="6C9BAD35" w14:paraId="0EB7D0A9" w14:textId="0D9106D2">
      <w:pPr>
        <w:jc w:val="both"/>
        <w:rPr>
          <w:rFonts w:ascii="Arial" w:hAnsi="Arial" w:eastAsia="Arial" w:cs="Arial"/>
          <w:sz w:val="28"/>
          <w:szCs w:val="28"/>
        </w:rPr>
      </w:pPr>
      <w:r w:rsidRPr="3DFDA105" w:rsidR="3DFDA105">
        <w:rPr>
          <w:rFonts w:ascii="Arial" w:hAnsi="Arial" w:eastAsia="Arial" w:cs="Arial"/>
          <w:sz w:val="28"/>
          <w:szCs w:val="28"/>
        </w:rPr>
        <w:t>For this study, we choose the group discussion (interview) method for the collection of data, and it is semi-organized interview. A focus group discussion is a qualitative research technique that entails bringing together a small group (6 persons) of participants to talk about this specific topic. In this instance, the subject is “what factors affect postgraduate students' eating habits at a public university</w:t>
      </w:r>
      <w:r w:rsidRPr="3DFDA105" w:rsidR="3DFDA105">
        <w:rPr>
          <w:rFonts w:ascii="Arial" w:hAnsi="Arial" w:eastAsia="Arial" w:cs="Arial"/>
          <w:sz w:val="28"/>
          <w:szCs w:val="28"/>
        </w:rPr>
        <w:t>”.</w:t>
      </w:r>
      <w:r w:rsidRPr="3DFDA105" w:rsidR="3DFDA105">
        <w:rPr>
          <w:rFonts w:ascii="Arial" w:hAnsi="Arial" w:eastAsia="Arial" w:cs="Arial"/>
          <w:sz w:val="28"/>
          <w:szCs w:val="28"/>
        </w:rPr>
        <w:t xml:space="preserve"> A conference room or classroom in university of Wales trinity saint </w:t>
      </w:r>
      <w:r w:rsidRPr="3DFDA105" w:rsidR="3DFDA105">
        <w:rPr>
          <w:rFonts w:ascii="Arial" w:hAnsi="Arial" w:eastAsia="Arial" w:cs="Arial"/>
          <w:sz w:val="28"/>
          <w:szCs w:val="28"/>
        </w:rPr>
        <w:t>david</w:t>
      </w:r>
      <w:r w:rsidRPr="3DFDA105" w:rsidR="3DFDA105">
        <w:rPr>
          <w:rFonts w:ascii="Arial" w:hAnsi="Arial" w:eastAsia="Arial" w:cs="Arial"/>
          <w:sz w:val="28"/>
          <w:szCs w:val="28"/>
        </w:rPr>
        <w:t xml:space="preserve"> will be used as the location for the focus group discussion because it is both private and welcoming.</w:t>
      </w:r>
    </w:p>
    <w:p w:rsidR="6C9BAD35" w:rsidP="3DFDA105" w:rsidRDefault="6C9BAD35" w14:paraId="7A08DA1C" w14:textId="1D2B7734">
      <w:pPr>
        <w:jc w:val="both"/>
        <w:rPr>
          <w:rFonts w:ascii="Arial" w:hAnsi="Arial" w:eastAsia="Arial" w:cs="Arial"/>
          <w:sz w:val="28"/>
          <w:szCs w:val="28"/>
        </w:rPr>
      </w:pPr>
      <w:r w:rsidRPr="3DFDA105" w:rsidR="3DFDA105">
        <w:rPr>
          <w:rFonts w:ascii="Arial" w:hAnsi="Arial" w:eastAsia="Arial" w:cs="Arial"/>
          <w:sz w:val="28"/>
          <w:szCs w:val="28"/>
        </w:rPr>
        <w:t xml:space="preserve">A skilled moderator will guide the conversation during the focus group discussion by posing open-ended questions about the elements that affect eating </w:t>
      </w:r>
      <w:r w:rsidRPr="3DFDA105" w:rsidR="3DFDA105">
        <w:rPr>
          <w:rFonts w:ascii="Arial" w:hAnsi="Arial" w:eastAsia="Arial" w:cs="Arial"/>
          <w:sz w:val="28"/>
          <w:szCs w:val="28"/>
        </w:rPr>
        <w:t>behaviour</w:t>
      </w:r>
      <w:r w:rsidRPr="3DFDA105" w:rsidR="3DFDA105">
        <w:rPr>
          <w:rFonts w:ascii="Arial" w:hAnsi="Arial" w:eastAsia="Arial" w:cs="Arial"/>
          <w:sz w:val="28"/>
          <w:szCs w:val="28"/>
        </w:rPr>
        <w:t>. While ensuring that the conversation stays on topic and touches on all pertinent issues, the moderator will encourage participants to freely share their opinions and experiences. The conversation will be audio-recorded for upcoming research.</w:t>
      </w:r>
    </w:p>
    <w:p w:rsidR="6C9BAD35" w:rsidP="3DFDA105" w:rsidRDefault="353B4987" w14:paraId="60592097" w14:textId="530B4F29">
      <w:pPr>
        <w:jc w:val="both"/>
        <w:rPr>
          <w:rFonts w:ascii="Arial" w:hAnsi="Arial" w:eastAsia="Arial" w:cs="Arial"/>
          <w:sz w:val="28"/>
          <w:szCs w:val="28"/>
        </w:rPr>
      </w:pPr>
      <w:r w:rsidRPr="3DFDA105" w:rsidR="3DFDA105">
        <w:rPr>
          <w:rFonts w:ascii="Arial" w:hAnsi="Arial" w:eastAsia="Arial" w:cs="Arial"/>
          <w:sz w:val="28"/>
          <w:szCs w:val="28"/>
        </w:rPr>
        <w:t xml:space="preserve">The focus group discussion will be followed by transcription and thematic analysis of the audio recordings, or another suitable qualitative analysis technique. Using the data gathered, common themes and patterns relating to the variables influencing eating </w:t>
      </w:r>
      <w:r w:rsidRPr="3DFDA105" w:rsidR="3DFDA105">
        <w:rPr>
          <w:rFonts w:ascii="Arial" w:hAnsi="Arial" w:eastAsia="Arial" w:cs="Arial"/>
          <w:sz w:val="28"/>
          <w:szCs w:val="28"/>
        </w:rPr>
        <w:t>behaviour</w:t>
      </w:r>
      <w:r w:rsidRPr="3DFDA105" w:rsidR="3DFDA105">
        <w:rPr>
          <w:rFonts w:ascii="Arial" w:hAnsi="Arial" w:eastAsia="Arial" w:cs="Arial"/>
          <w:sz w:val="28"/>
          <w:szCs w:val="28"/>
        </w:rPr>
        <w:t xml:space="preserve"> among postgraduate students at a university of Wales trinity saint </w:t>
      </w:r>
      <w:r w:rsidRPr="3DFDA105" w:rsidR="3DFDA105">
        <w:rPr>
          <w:rFonts w:ascii="Arial" w:hAnsi="Arial" w:eastAsia="Arial" w:cs="Arial"/>
          <w:sz w:val="28"/>
          <w:szCs w:val="28"/>
        </w:rPr>
        <w:t>david</w:t>
      </w:r>
      <w:r w:rsidRPr="3DFDA105" w:rsidR="3DFDA105">
        <w:rPr>
          <w:rFonts w:ascii="Arial" w:hAnsi="Arial" w:eastAsia="Arial" w:cs="Arial"/>
          <w:sz w:val="28"/>
          <w:szCs w:val="28"/>
        </w:rPr>
        <w:t xml:space="preserve">  will be discovered.</w:t>
      </w:r>
    </w:p>
    <w:p w:rsidR="353B4987" w:rsidP="3DFDA105" w:rsidRDefault="353B4987" w14:paraId="464C9B4C" w14:textId="02B17386">
      <w:pPr>
        <w:jc w:val="both"/>
        <w:rPr>
          <w:rFonts w:ascii="Arial" w:hAnsi="Arial" w:eastAsia="Arial" w:cs="Arial"/>
          <w:sz w:val="28"/>
          <w:szCs w:val="28"/>
        </w:rPr>
      </w:pPr>
    </w:p>
    <w:p w:rsidR="6C9BAD35" w:rsidP="3DFDA105" w:rsidRDefault="6C9BAD35" w14:paraId="54E1D120" w14:textId="24394928">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 xml:space="preserve">Recruiting and sampling and study participants  </w:t>
      </w:r>
    </w:p>
    <w:p w:rsidR="6C9BAD35" w:rsidP="3DFDA105" w:rsidRDefault="6C9BAD35" w14:paraId="7381B3DE" w14:textId="08D7299C">
      <w:pPr>
        <w:jc w:val="both"/>
        <w:rPr>
          <w:rFonts w:ascii="Arial" w:hAnsi="Arial" w:eastAsia="Arial" w:cs="Arial"/>
          <w:sz w:val="28"/>
          <w:szCs w:val="28"/>
        </w:rPr>
      </w:pPr>
      <w:r w:rsidRPr="3DFDA105" w:rsidR="3DFDA105">
        <w:rPr>
          <w:rFonts w:ascii="Arial" w:hAnsi="Arial" w:eastAsia="Arial" w:cs="Arial"/>
          <w:sz w:val="28"/>
          <w:szCs w:val="28"/>
        </w:rPr>
        <w:t xml:space="preserve">The student affairs office, departmental listservs, and social media platforms of a university of Wales trinity saint </w:t>
      </w:r>
      <w:r w:rsidRPr="3DFDA105" w:rsidR="3DFDA105">
        <w:rPr>
          <w:rFonts w:ascii="Arial" w:hAnsi="Arial" w:eastAsia="Arial" w:cs="Arial"/>
          <w:sz w:val="28"/>
          <w:szCs w:val="28"/>
        </w:rPr>
        <w:t>david</w:t>
      </w:r>
      <w:r w:rsidRPr="3DFDA105" w:rsidR="3DFDA105">
        <w:rPr>
          <w:rFonts w:ascii="Arial" w:hAnsi="Arial" w:eastAsia="Arial" w:cs="Arial"/>
          <w:sz w:val="28"/>
          <w:szCs w:val="28"/>
        </w:rPr>
        <w:t xml:space="preserve"> will be used to find participants among the postgraduate students there. An invitation email or notice outlining the study's </w:t>
      </w:r>
      <w:r w:rsidRPr="3DFDA105" w:rsidR="3DFDA105">
        <w:rPr>
          <w:rFonts w:ascii="Arial" w:hAnsi="Arial" w:eastAsia="Arial" w:cs="Arial"/>
          <w:sz w:val="28"/>
          <w:szCs w:val="28"/>
        </w:rPr>
        <w:t>objectives</w:t>
      </w:r>
      <w:r w:rsidRPr="3DFDA105" w:rsidR="3DFDA105">
        <w:rPr>
          <w:rFonts w:ascii="Arial" w:hAnsi="Arial" w:eastAsia="Arial" w:cs="Arial"/>
          <w:sz w:val="28"/>
          <w:szCs w:val="28"/>
        </w:rPr>
        <w:t>, eligibility requirements, and the researcher's contact information will be part of the recruitment process.</w:t>
      </w:r>
    </w:p>
    <w:p w:rsidR="6C9BAD35" w:rsidP="3DFDA105" w:rsidRDefault="6C9BAD35" w14:paraId="131D6A7F" w14:textId="39BFF490">
      <w:pPr>
        <w:jc w:val="both"/>
        <w:rPr>
          <w:rFonts w:ascii="Arial" w:hAnsi="Arial" w:eastAsia="Arial" w:cs="Arial"/>
          <w:sz w:val="28"/>
          <w:szCs w:val="28"/>
        </w:rPr>
      </w:pPr>
      <w:r w:rsidRPr="3DFDA105" w:rsidR="3DFDA105">
        <w:rPr>
          <w:rFonts w:ascii="Arial" w:hAnsi="Arial" w:eastAsia="Arial" w:cs="Arial"/>
          <w:sz w:val="28"/>
          <w:szCs w:val="28"/>
        </w:rPr>
        <w:t xml:space="preserve"> The requirements for eligibility will </w:t>
      </w:r>
      <w:r w:rsidRPr="3DFDA105" w:rsidR="3DFDA105">
        <w:rPr>
          <w:rFonts w:ascii="Arial" w:hAnsi="Arial" w:eastAsia="Arial" w:cs="Arial"/>
          <w:sz w:val="28"/>
          <w:szCs w:val="28"/>
        </w:rPr>
        <w:t>comprise</w:t>
      </w:r>
      <w:r w:rsidRPr="3DFDA105" w:rsidR="3DFDA105">
        <w:rPr>
          <w:rFonts w:ascii="Arial" w:hAnsi="Arial" w:eastAsia="Arial" w:cs="Arial"/>
          <w:sz w:val="28"/>
          <w:szCs w:val="28"/>
        </w:rPr>
        <w:t>:</w:t>
      </w:r>
    </w:p>
    <w:p w:rsidR="6C9BAD35" w:rsidP="3DFDA105" w:rsidRDefault="6C9BAD35" w14:paraId="4FAF4BD5" w14:textId="6D465DDD">
      <w:pPr>
        <w:jc w:val="both"/>
        <w:rPr>
          <w:rFonts w:ascii="Arial" w:hAnsi="Arial" w:eastAsia="Arial" w:cs="Arial"/>
          <w:sz w:val="28"/>
          <w:szCs w:val="28"/>
        </w:rPr>
      </w:pPr>
      <w:r w:rsidRPr="3DFDA105" w:rsidR="3DFDA105">
        <w:rPr>
          <w:rFonts w:ascii="Arial" w:hAnsi="Arial" w:eastAsia="Arial" w:cs="Arial"/>
          <w:sz w:val="28"/>
          <w:szCs w:val="28"/>
        </w:rPr>
        <w:t>a. Attending a public university as a graduate student.</w:t>
      </w:r>
    </w:p>
    <w:p w:rsidR="6C9BAD35" w:rsidP="3DFDA105" w:rsidRDefault="6C9BAD35" w14:paraId="0F00B7F6" w14:textId="3A165A33">
      <w:pPr>
        <w:jc w:val="both"/>
        <w:rPr>
          <w:rFonts w:ascii="Arial" w:hAnsi="Arial" w:eastAsia="Arial" w:cs="Arial"/>
          <w:sz w:val="28"/>
          <w:szCs w:val="28"/>
        </w:rPr>
      </w:pPr>
      <w:r w:rsidRPr="3DFDA105" w:rsidR="3DFDA105">
        <w:rPr>
          <w:rFonts w:ascii="Arial" w:hAnsi="Arial" w:eastAsia="Arial" w:cs="Arial"/>
          <w:sz w:val="28"/>
          <w:szCs w:val="28"/>
        </w:rPr>
        <w:t>b. Being older than 18 years old.</w:t>
      </w:r>
    </w:p>
    <w:p w:rsidR="6C9BAD35" w:rsidP="3DFDA105" w:rsidRDefault="6C9BAD35" w14:paraId="0E8A7458" w14:textId="6FE4EEBB">
      <w:pPr>
        <w:jc w:val="both"/>
        <w:rPr>
          <w:rFonts w:ascii="Arial" w:hAnsi="Arial" w:eastAsia="Arial" w:cs="Arial"/>
          <w:sz w:val="28"/>
          <w:szCs w:val="28"/>
        </w:rPr>
      </w:pPr>
      <w:r w:rsidRPr="3DFDA105" w:rsidR="3DFDA105">
        <w:rPr>
          <w:rFonts w:ascii="Arial" w:hAnsi="Arial" w:eastAsia="Arial" w:cs="Arial"/>
          <w:sz w:val="28"/>
          <w:szCs w:val="28"/>
        </w:rPr>
        <w:t xml:space="preserve">c. Not being unable to </w:t>
      </w:r>
      <w:r w:rsidRPr="3DFDA105" w:rsidR="3DFDA105">
        <w:rPr>
          <w:rFonts w:ascii="Arial" w:hAnsi="Arial" w:eastAsia="Arial" w:cs="Arial"/>
          <w:sz w:val="28"/>
          <w:szCs w:val="28"/>
        </w:rPr>
        <w:t>participate</w:t>
      </w:r>
      <w:r w:rsidRPr="3DFDA105" w:rsidR="3DFDA105">
        <w:rPr>
          <w:rFonts w:ascii="Arial" w:hAnsi="Arial" w:eastAsia="Arial" w:cs="Arial"/>
          <w:sz w:val="28"/>
          <w:szCs w:val="28"/>
        </w:rPr>
        <w:t xml:space="preserve"> in the focus group discussion due to dietary restrictions.</w:t>
      </w:r>
    </w:p>
    <w:p w:rsidR="6C9BAD35" w:rsidP="3DFDA105" w:rsidRDefault="6C9BAD35" w14:paraId="45C6108C" w14:textId="78B217C1">
      <w:pPr>
        <w:jc w:val="both"/>
        <w:rPr>
          <w:rFonts w:ascii="Arial" w:hAnsi="Arial" w:eastAsia="Arial" w:cs="Arial"/>
          <w:sz w:val="28"/>
          <w:szCs w:val="28"/>
        </w:rPr>
      </w:pPr>
      <w:r w:rsidRPr="3DFDA105" w:rsidR="3DFDA105">
        <w:rPr>
          <w:rFonts w:ascii="Arial" w:hAnsi="Arial" w:eastAsia="Arial" w:cs="Arial"/>
          <w:sz w:val="28"/>
          <w:szCs w:val="28"/>
        </w:rPr>
        <w:t>The eligibility requirements will be taken into consideration when choosing participants, as well as their availability and willingness to take part in the focus group discussion.</w:t>
      </w:r>
    </w:p>
    <w:p w:rsidR="6C9BAD35" w:rsidP="3DFDA105" w:rsidRDefault="6C9BAD35" w14:paraId="3A6F74E2" w14:textId="3ECD3CAE">
      <w:pPr>
        <w:jc w:val="both"/>
        <w:rPr>
          <w:rFonts w:ascii="Arial" w:hAnsi="Arial" w:eastAsia="Arial" w:cs="Arial"/>
          <w:b w:val="1"/>
          <w:bCs w:val="1"/>
          <w:sz w:val="28"/>
          <w:szCs w:val="28"/>
        </w:rPr>
      </w:pPr>
    </w:p>
    <w:p w:rsidR="6C9BAD35" w:rsidP="3DFDA105" w:rsidRDefault="6C9BAD35" w14:paraId="5F3A86BF" w14:textId="3DFB4F32">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Study Participants:</w:t>
      </w:r>
    </w:p>
    <w:p w:rsidR="6C9BAD35" w:rsidP="3DFDA105" w:rsidRDefault="6C9BAD35" w14:paraId="4AD2F94A" w14:textId="0E37AE4F">
      <w:pPr>
        <w:jc w:val="both"/>
        <w:rPr>
          <w:rFonts w:ascii="Arial" w:hAnsi="Arial" w:eastAsia="Arial" w:cs="Arial"/>
          <w:sz w:val="28"/>
          <w:szCs w:val="28"/>
        </w:rPr>
      </w:pPr>
      <w:r w:rsidRPr="3DFDA105" w:rsidR="3DFDA105">
        <w:rPr>
          <w:rFonts w:ascii="Arial" w:hAnsi="Arial" w:eastAsia="Arial" w:cs="Arial"/>
          <w:sz w:val="28"/>
          <w:szCs w:val="28"/>
        </w:rPr>
        <w:t xml:space="preserve">One focus group discussion with 6 postgraduate students from the university of Wales trinity saint </w:t>
      </w:r>
      <w:r w:rsidRPr="3DFDA105" w:rsidR="3DFDA105">
        <w:rPr>
          <w:rFonts w:ascii="Arial" w:hAnsi="Arial" w:eastAsia="Arial" w:cs="Arial"/>
          <w:sz w:val="28"/>
          <w:szCs w:val="28"/>
        </w:rPr>
        <w:t>david</w:t>
      </w:r>
      <w:r w:rsidRPr="3DFDA105" w:rsidR="3DFDA105">
        <w:rPr>
          <w:rFonts w:ascii="Arial" w:hAnsi="Arial" w:eastAsia="Arial" w:cs="Arial"/>
          <w:sz w:val="28"/>
          <w:szCs w:val="28"/>
        </w:rPr>
        <w:t xml:space="preserve">  will be part of the study.</w:t>
      </w:r>
    </w:p>
    <w:p w:rsidR="6C9BAD35" w:rsidP="3DFDA105" w:rsidRDefault="6C9BAD35" w14:paraId="2A0D8066" w14:textId="15BDE187">
      <w:pPr>
        <w:jc w:val="both"/>
        <w:rPr>
          <w:rFonts w:ascii="Arial" w:hAnsi="Arial" w:eastAsia="Arial" w:cs="Arial"/>
          <w:sz w:val="28"/>
          <w:szCs w:val="28"/>
        </w:rPr>
      </w:pPr>
      <w:r w:rsidRPr="3DFDA105" w:rsidR="3DFDA105">
        <w:rPr>
          <w:rFonts w:ascii="Arial" w:hAnsi="Arial" w:eastAsia="Arial" w:cs="Arial"/>
          <w:sz w:val="28"/>
          <w:szCs w:val="28"/>
        </w:rPr>
        <w:t>a. To ensure diversity in the sample, participants will be chosen based on their age, gender, academic discipline, and academic level.</w:t>
      </w:r>
    </w:p>
    <w:p w:rsidR="6C9BAD35" w:rsidP="3DFDA105" w:rsidRDefault="6C9BAD35" w14:paraId="35E21756" w14:textId="58F3D840">
      <w:pPr>
        <w:jc w:val="both"/>
        <w:rPr>
          <w:rFonts w:ascii="Arial" w:hAnsi="Arial" w:eastAsia="Arial" w:cs="Arial"/>
          <w:sz w:val="28"/>
          <w:szCs w:val="28"/>
        </w:rPr>
      </w:pPr>
      <w:r w:rsidRPr="3DFDA105" w:rsidR="3DFDA105">
        <w:rPr>
          <w:rFonts w:ascii="Arial" w:hAnsi="Arial" w:eastAsia="Arial" w:cs="Arial"/>
          <w:sz w:val="28"/>
          <w:szCs w:val="28"/>
        </w:rPr>
        <w:t xml:space="preserve">b. Before </w:t>
      </w:r>
      <w:r w:rsidRPr="3DFDA105" w:rsidR="3DFDA105">
        <w:rPr>
          <w:rFonts w:ascii="Arial" w:hAnsi="Arial" w:eastAsia="Arial" w:cs="Arial"/>
          <w:sz w:val="28"/>
          <w:szCs w:val="28"/>
        </w:rPr>
        <w:t>participating</w:t>
      </w:r>
      <w:r w:rsidRPr="3DFDA105" w:rsidR="3DFDA105">
        <w:rPr>
          <w:rFonts w:ascii="Arial" w:hAnsi="Arial" w:eastAsia="Arial" w:cs="Arial"/>
          <w:sz w:val="28"/>
          <w:szCs w:val="28"/>
        </w:rPr>
        <w:t>, participants must sign a consent form and are informed about the study's goals, confidentiality, and voluntary nature.</w:t>
      </w:r>
    </w:p>
    <w:p w:rsidR="6C9BAD35" w:rsidP="3DFDA105" w:rsidRDefault="6C9BAD35" w14:paraId="15B8B3E6" w14:textId="7BFB3FFE">
      <w:pPr>
        <w:jc w:val="both"/>
        <w:rPr>
          <w:rFonts w:ascii="Arial" w:hAnsi="Arial" w:eastAsia="Arial" w:cs="Arial"/>
          <w:sz w:val="28"/>
          <w:szCs w:val="28"/>
        </w:rPr>
      </w:pPr>
      <w:r w:rsidRPr="3DFDA105" w:rsidR="3DFDA105">
        <w:rPr>
          <w:rFonts w:ascii="Arial" w:hAnsi="Arial" w:eastAsia="Arial" w:cs="Arial"/>
          <w:sz w:val="28"/>
          <w:szCs w:val="28"/>
        </w:rPr>
        <w:t xml:space="preserve">c. Participants will receive a small token of appreciation as payment for their time. </w:t>
      </w:r>
    </w:p>
    <w:p w:rsidR="6C9BAD35" w:rsidP="3DFDA105" w:rsidRDefault="6C9BAD35" w14:paraId="34797EE6" w14:textId="11378598">
      <w:pPr>
        <w:jc w:val="both"/>
        <w:rPr>
          <w:rFonts w:ascii="Arial" w:hAnsi="Arial" w:eastAsia="Arial" w:cs="Arial"/>
          <w:sz w:val="28"/>
          <w:szCs w:val="28"/>
        </w:rPr>
      </w:pPr>
      <w:r w:rsidRPr="3DFDA105" w:rsidR="3DFDA105">
        <w:rPr>
          <w:rFonts w:ascii="Arial" w:hAnsi="Arial" w:eastAsia="Arial" w:cs="Arial"/>
          <w:sz w:val="28"/>
          <w:szCs w:val="28"/>
        </w:rPr>
        <w:t>d. Additionally, the participant's demographic data will be gathered by the researcher, including age, gender, ethnicity, academic major, and level.</w:t>
      </w:r>
    </w:p>
    <w:p w:rsidR="6C9BAD35" w:rsidP="3DFDA105" w:rsidRDefault="6C9BAD35" w14:paraId="0A7DBF3C" w14:textId="39DA4804">
      <w:pPr>
        <w:jc w:val="both"/>
        <w:rPr>
          <w:rFonts w:ascii="Arial" w:hAnsi="Arial" w:eastAsia="Arial" w:cs="Arial"/>
          <w:sz w:val="28"/>
          <w:szCs w:val="28"/>
        </w:rPr>
      </w:pPr>
      <w:r w:rsidRPr="3DFDA105" w:rsidR="3DFDA105">
        <w:rPr>
          <w:rFonts w:ascii="Arial" w:hAnsi="Arial" w:eastAsia="Arial" w:cs="Arial"/>
          <w:sz w:val="28"/>
          <w:szCs w:val="28"/>
        </w:rPr>
        <w:t xml:space="preserve">e. Participants will be given a code number instead of their real names during the transcription and analysis process to </w:t>
      </w:r>
      <w:r w:rsidRPr="3DFDA105" w:rsidR="3DFDA105">
        <w:rPr>
          <w:rFonts w:ascii="Arial" w:hAnsi="Arial" w:eastAsia="Arial" w:cs="Arial"/>
          <w:sz w:val="28"/>
          <w:szCs w:val="28"/>
        </w:rPr>
        <w:t>maintain</w:t>
      </w:r>
      <w:r w:rsidRPr="3DFDA105" w:rsidR="3DFDA105">
        <w:rPr>
          <w:rFonts w:ascii="Arial" w:hAnsi="Arial" w:eastAsia="Arial" w:cs="Arial"/>
          <w:sz w:val="28"/>
          <w:szCs w:val="28"/>
        </w:rPr>
        <w:t xml:space="preserve"> privacy and confidentiality. </w:t>
      </w:r>
    </w:p>
    <w:p w:rsidR="6C9BAD35" w:rsidP="3DFDA105" w:rsidRDefault="6C9BAD35" w14:paraId="2E6B331A" w14:textId="1F36ECF2">
      <w:pPr>
        <w:jc w:val="both"/>
        <w:rPr>
          <w:rFonts w:ascii="Arial" w:hAnsi="Arial" w:eastAsia="Arial" w:cs="Arial"/>
          <w:sz w:val="28"/>
          <w:szCs w:val="28"/>
        </w:rPr>
      </w:pPr>
    </w:p>
    <w:p w:rsidR="6C9BAD35" w:rsidP="3DFDA105" w:rsidRDefault="6C9BAD35" w14:paraId="3A4F42F8" w14:textId="618BCF77">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 xml:space="preserve">Ethical Considerations </w:t>
      </w:r>
    </w:p>
    <w:p w:rsidR="6C9BAD35" w:rsidP="3DFDA105" w:rsidRDefault="353B4987" w14:paraId="23B189AB" w14:textId="2182F5FE">
      <w:pPr>
        <w:jc w:val="both"/>
        <w:rPr>
          <w:rFonts w:ascii="Arial" w:hAnsi="Arial" w:eastAsia="Arial" w:cs="Arial"/>
          <w:sz w:val="28"/>
          <w:szCs w:val="28"/>
        </w:rPr>
      </w:pPr>
      <w:r w:rsidRPr="3DFDA105" w:rsidR="3DFDA105">
        <w:rPr>
          <w:rFonts w:ascii="Arial" w:hAnsi="Arial" w:eastAsia="Arial" w:cs="Arial"/>
          <w:sz w:val="28"/>
          <w:szCs w:val="28"/>
        </w:rPr>
        <w:t xml:space="preserve">There are </w:t>
      </w:r>
      <w:r w:rsidRPr="3DFDA105" w:rsidR="3DFDA105">
        <w:rPr>
          <w:rFonts w:ascii="Arial" w:hAnsi="Arial" w:eastAsia="Arial" w:cs="Arial"/>
          <w:sz w:val="28"/>
          <w:szCs w:val="28"/>
        </w:rPr>
        <w:t>a number of</w:t>
      </w:r>
      <w:r w:rsidRPr="3DFDA105" w:rsidR="3DFDA105">
        <w:rPr>
          <w:rFonts w:ascii="Arial" w:hAnsi="Arial" w:eastAsia="Arial" w:cs="Arial"/>
          <w:sz w:val="28"/>
          <w:szCs w:val="28"/>
        </w:rPr>
        <w:t xml:space="preserve"> ethical issues that researchers need to </w:t>
      </w:r>
      <w:r w:rsidRPr="3DFDA105" w:rsidR="3DFDA105">
        <w:rPr>
          <w:rFonts w:ascii="Arial" w:hAnsi="Arial" w:eastAsia="Arial" w:cs="Arial"/>
          <w:sz w:val="28"/>
          <w:szCs w:val="28"/>
        </w:rPr>
        <w:t>take into account</w:t>
      </w:r>
      <w:r w:rsidRPr="3DFDA105" w:rsidR="3DFDA105">
        <w:rPr>
          <w:rFonts w:ascii="Arial" w:hAnsi="Arial" w:eastAsia="Arial" w:cs="Arial"/>
          <w:sz w:val="28"/>
          <w:szCs w:val="28"/>
        </w:rPr>
        <w:t xml:space="preserve"> when using focus groups to study the factors that affect eating </w:t>
      </w:r>
      <w:r w:rsidRPr="3DFDA105" w:rsidR="3DFDA105">
        <w:rPr>
          <w:rFonts w:ascii="Arial" w:hAnsi="Arial" w:eastAsia="Arial" w:cs="Arial"/>
          <w:sz w:val="28"/>
          <w:szCs w:val="28"/>
        </w:rPr>
        <w:t xml:space="preserve">behavior </w:t>
      </w:r>
      <w:r w:rsidRPr="3DFDA105" w:rsidR="3DFDA105">
        <w:rPr>
          <w:rFonts w:ascii="Arial" w:hAnsi="Arial" w:eastAsia="Arial" w:cs="Arial"/>
          <w:sz w:val="28"/>
          <w:szCs w:val="28"/>
        </w:rPr>
        <w:t>among postgraduate students at a public university. These consist of:</w:t>
      </w:r>
    </w:p>
    <w:p w:rsidR="6C9BAD35" w:rsidP="3DFDA105" w:rsidRDefault="6C9BAD35" w14:paraId="49FAD4F4" w14:textId="258D7CD6">
      <w:pPr>
        <w:pStyle w:val="ListParagraph"/>
        <w:numPr>
          <w:ilvl w:val="0"/>
          <w:numId w:val="1"/>
        </w:numPr>
        <w:jc w:val="both"/>
        <w:rPr>
          <w:rFonts w:ascii="Arial" w:hAnsi="Arial" w:eastAsia="Arial" w:cs="Arial"/>
          <w:sz w:val="28"/>
          <w:szCs w:val="28"/>
        </w:rPr>
      </w:pPr>
      <w:r w:rsidRPr="3DFDA105" w:rsidR="3DFDA105">
        <w:rPr>
          <w:rFonts w:ascii="Arial" w:hAnsi="Arial" w:eastAsia="Arial" w:cs="Arial"/>
          <w:sz w:val="28"/>
          <w:szCs w:val="28"/>
        </w:rPr>
        <w:t>Informed consent: Participants must be fully informed of the research's purpose, the details of their involvement, any potential risks or advantages, and their right to withdraw at any time without incurring any fees. Before starting the focus group discussions, researchers must get participants' written, informed consent.</w:t>
      </w:r>
    </w:p>
    <w:p w:rsidR="6C9BAD35" w:rsidP="3DFDA105" w:rsidRDefault="6C9BAD35" w14:paraId="7DBC7E32" w14:textId="3A38B7BC">
      <w:pPr>
        <w:pStyle w:val="ListParagraph"/>
        <w:numPr>
          <w:ilvl w:val="0"/>
          <w:numId w:val="1"/>
        </w:numPr>
        <w:jc w:val="both"/>
        <w:rPr>
          <w:rFonts w:ascii="Arial" w:hAnsi="Arial" w:eastAsia="Arial" w:cs="Arial"/>
          <w:sz w:val="28"/>
          <w:szCs w:val="28"/>
        </w:rPr>
      </w:pPr>
      <w:r w:rsidRPr="3DFDA105" w:rsidR="3DFDA105">
        <w:rPr>
          <w:rFonts w:ascii="Arial" w:hAnsi="Arial" w:eastAsia="Arial" w:cs="Arial"/>
          <w:sz w:val="28"/>
          <w:szCs w:val="28"/>
        </w:rPr>
        <w:t>Privacy and confidentiality: Throughout the course of the research project, participants' privacy and confidentiality should be respected. The confidentiality of participant identities should be protected in all reports and publications, and any personal data collected should be stored securely.</w:t>
      </w:r>
    </w:p>
    <w:p w:rsidR="6C9BAD35" w:rsidP="3DFDA105" w:rsidRDefault="6C9BAD35" w14:paraId="3638C977" w14:textId="5B328DCC">
      <w:pPr>
        <w:pStyle w:val="ListParagraph"/>
        <w:numPr>
          <w:ilvl w:val="0"/>
          <w:numId w:val="1"/>
        </w:numPr>
        <w:jc w:val="both"/>
        <w:rPr>
          <w:rFonts w:ascii="Arial" w:hAnsi="Arial" w:eastAsia="Arial" w:cs="Arial"/>
          <w:sz w:val="28"/>
          <w:szCs w:val="28"/>
        </w:rPr>
      </w:pPr>
      <w:r w:rsidRPr="3DFDA105" w:rsidR="3DFDA105">
        <w:rPr>
          <w:rFonts w:ascii="Arial" w:hAnsi="Arial" w:eastAsia="Arial" w:cs="Arial"/>
          <w:sz w:val="28"/>
          <w:szCs w:val="28"/>
        </w:rPr>
        <w:t xml:space="preserve">Respect for autonomy:  Researchers should respect participants' autonomy by giving them the freedom to decide whether to </w:t>
      </w:r>
      <w:r w:rsidRPr="3DFDA105" w:rsidR="3DFDA105">
        <w:rPr>
          <w:rFonts w:ascii="Arial" w:hAnsi="Arial" w:eastAsia="Arial" w:cs="Arial"/>
          <w:sz w:val="28"/>
          <w:szCs w:val="28"/>
        </w:rPr>
        <w:t>participate</w:t>
      </w:r>
      <w:r w:rsidRPr="3DFDA105" w:rsidR="3DFDA105">
        <w:rPr>
          <w:rFonts w:ascii="Arial" w:hAnsi="Arial" w:eastAsia="Arial" w:cs="Arial"/>
          <w:sz w:val="28"/>
          <w:szCs w:val="28"/>
        </w:rPr>
        <w:t xml:space="preserve"> in the study and by making sure they are not forced or coerced. Participants should be informed of their right to refuse to answer any questions they do not feel comfortable answering, and researchers should make sure of this.</w:t>
      </w:r>
    </w:p>
    <w:p w:rsidR="6C9BAD35" w:rsidP="3DFDA105" w:rsidRDefault="6C9BAD35" w14:paraId="034FC203" w14:textId="4544D1C2">
      <w:pPr>
        <w:pStyle w:val="ListParagraph"/>
        <w:numPr>
          <w:ilvl w:val="0"/>
          <w:numId w:val="1"/>
        </w:numPr>
        <w:jc w:val="both"/>
        <w:rPr>
          <w:rFonts w:ascii="Arial" w:hAnsi="Arial" w:eastAsia="Arial" w:cs="Arial"/>
          <w:sz w:val="28"/>
          <w:szCs w:val="28"/>
        </w:rPr>
      </w:pPr>
      <w:r w:rsidRPr="3DFDA105" w:rsidR="3DFDA105">
        <w:rPr>
          <w:rFonts w:ascii="Arial" w:hAnsi="Arial" w:eastAsia="Arial" w:cs="Arial"/>
          <w:sz w:val="28"/>
          <w:szCs w:val="28"/>
        </w:rPr>
        <w:t xml:space="preserve">Protection from harm: Researchers should take precautions to reduce any potential discomfort or harm that participants may feel while </w:t>
      </w:r>
      <w:r w:rsidRPr="3DFDA105" w:rsidR="3DFDA105">
        <w:rPr>
          <w:rFonts w:ascii="Arial" w:hAnsi="Arial" w:eastAsia="Arial" w:cs="Arial"/>
          <w:sz w:val="28"/>
          <w:szCs w:val="28"/>
        </w:rPr>
        <w:t>participating</w:t>
      </w:r>
      <w:r w:rsidRPr="3DFDA105" w:rsidR="3DFDA105">
        <w:rPr>
          <w:rFonts w:ascii="Arial" w:hAnsi="Arial" w:eastAsia="Arial" w:cs="Arial"/>
          <w:sz w:val="28"/>
          <w:szCs w:val="28"/>
        </w:rPr>
        <w:t xml:space="preserve"> in focus groups. This might entail making sure that participants are not asked to talk about delicate or upsetting subjects or offering </w:t>
      </w:r>
      <w:r w:rsidRPr="3DFDA105" w:rsidR="3DFDA105">
        <w:rPr>
          <w:rFonts w:ascii="Arial" w:hAnsi="Arial" w:eastAsia="Arial" w:cs="Arial"/>
          <w:sz w:val="28"/>
          <w:szCs w:val="28"/>
        </w:rPr>
        <w:t>assistance</w:t>
      </w:r>
      <w:r w:rsidRPr="3DFDA105" w:rsidR="3DFDA105">
        <w:rPr>
          <w:rFonts w:ascii="Arial" w:hAnsi="Arial" w:eastAsia="Arial" w:cs="Arial"/>
          <w:sz w:val="28"/>
          <w:szCs w:val="28"/>
        </w:rPr>
        <w:t xml:space="preserve"> or referrals to those who are distressed.</w:t>
      </w:r>
    </w:p>
    <w:p w:rsidR="6C9BAD35" w:rsidP="3DFDA105" w:rsidRDefault="6C9BAD35" w14:paraId="5089AD4E" w14:textId="4D8BF22C">
      <w:pPr>
        <w:pStyle w:val="ListParagraph"/>
        <w:numPr>
          <w:ilvl w:val="0"/>
          <w:numId w:val="1"/>
        </w:numPr>
        <w:jc w:val="both"/>
        <w:rPr>
          <w:rFonts w:ascii="Arial" w:hAnsi="Arial" w:eastAsia="Arial" w:cs="Arial"/>
          <w:sz w:val="28"/>
          <w:szCs w:val="28"/>
        </w:rPr>
      </w:pPr>
      <w:r w:rsidRPr="3DFDA105" w:rsidR="3DFDA105">
        <w:rPr>
          <w:rFonts w:ascii="Arial" w:hAnsi="Arial" w:eastAsia="Arial" w:cs="Arial"/>
          <w:sz w:val="28"/>
          <w:szCs w:val="28"/>
        </w:rPr>
        <w:t>Fairness and equity: Researchers must make sure that participants are chosen and treated equally, without prejudice based on socioeconomic status, race, or gender.</w:t>
      </w:r>
    </w:p>
    <w:p w:rsidR="6C9BAD35" w:rsidP="3DFDA105" w:rsidRDefault="6C9BAD35" w14:paraId="5977718B" w14:textId="7459A80F">
      <w:pPr>
        <w:pStyle w:val="ListParagraph"/>
        <w:numPr>
          <w:ilvl w:val="0"/>
          <w:numId w:val="1"/>
        </w:numPr>
        <w:jc w:val="both"/>
        <w:rPr>
          <w:rFonts w:ascii="Arial" w:hAnsi="Arial" w:eastAsia="Arial" w:cs="Arial"/>
          <w:sz w:val="28"/>
          <w:szCs w:val="28"/>
        </w:rPr>
      </w:pPr>
      <w:r w:rsidRPr="3DFDA105" w:rsidR="3DFDA105">
        <w:rPr>
          <w:rFonts w:ascii="Arial" w:hAnsi="Arial" w:eastAsia="Arial" w:cs="Arial"/>
          <w:sz w:val="28"/>
          <w:szCs w:val="28"/>
        </w:rPr>
        <w:t>Institutional approval: Prior to conducting the research, researchers should obtain the necessary institutional approval and follow any applicable ethical rules or laws.</w:t>
      </w:r>
    </w:p>
    <w:p w:rsidR="6C9BAD35" w:rsidP="3DFDA105" w:rsidRDefault="353B4987" w14:paraId="3506860D" w14:textId="3CE9A32D">
      <w:pPr>
        <w:jc w:val="both"/>
        <w:rPr>
          <w:rFonts w:ascii="Arial" w:hAnsi="Arial" w:eastAsia="Arial" w:cs="Arial"/>
          <w:sz w:val="28"/>
          <w:szCs w:val="28"/>
        </w:rPr>
      </w:pPr>
      <w:r w:rsidRPr="3DFDA105" w:rsidR="3DFDA105">
        <w:rPr>
          <w:rFonts w:ascii="Arial" w:hAnsi="Arial" w:eastAsia="Arial" w:cs="Arial"/>
          <w:sz w:val="28"/>
          <w:szCs w:val="28"/>
        </w:rPr>
        <w:t xml:space="preserve">Researchers can conduct their research on the factors that influence eating </w:t>
      </w:r>
      <w:r w:rsidRPr="3DFDA105" w:rsidR="3DFDA105">
        <w:rPr>
          <w:rFonts w:ascii="Arial" w:hAnsi="Arial" w:eastAsia="Arial" w:cs="Arial"/>
          <w:sz w:val="28"/>
          <w:szCs w:val="28"/>
        </w:rPr>
        <w:t xml:space="preserve">behavior </w:t>
      </w:r>
      <w:r w:rsidRPr="3DFDA105" w:rsidR="3DFDA105">
        <w:rPr>
          <w:rFonts w:ascii="Arial" w:hAnsi="Arial" w:eastAsia="Arial" w:cs="Arial"/>
          <w:sz w:val="28"/>
          <w:szCs w:val="28"/>
        </w:rPr>
        <w:t>among postgraduate students in a responsible and respectful manner while protecting the participants' rights and well-being by taking these ethical considerations into account.</w:t>
      </w:r>
    </w:p>
    <w:p w:rsidR="7EBA4691" w:rsidP="3DFDA105" w:rsidRDefault="7EBA4691" w14:paraId="6F647348" w14:textId="7F97EB37">
      <w:pPr>
        <w:jc w:val="both"/>
        <w:rPr>
          <w:rFonts w:ascii="Arial" w:hAnsi="Arial" w:eastAsia="Arial" w:cs="Arial"/>
          <w:sz w:val="28"/>
          <w:szCs w:val="28"/>
        </w:rPr>
      </w:pPr>
    </w:p>
    <w:p w:rsidR="7EBA4691" w:rsidP="3DFDA105" w:rsidRDefault="353B4987" w14:paraId="2DF728FE" w14:textId="0F03FE37">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Result:</w:t>
      </w:r>
    </w:p>
    <w:p w:rsidR="7EBA4691" w:rsidP="3DFDA105" w:rsidRDefault="353B4987" w14:paraId="1DDDFBAE" w14:textId="6016289E">
      <w:pPr>
        <w:jc w:val="both"/>
        <w:rPr>
          <w:rFonts w:ascii="Arial" w:hAnsi="Arial" w:eastAsia="Arial" w:cs="Arial"/>
          <w:sz w:val="28"/>
          <w:szCs w:val="28"/>
        </w:rPr>
      </w:pPr>
      <w:r w:rsidRPr="3DFDA105" w:rsidR="3DFDA105">
        <w:rPr>
          <w:rFonts w:ascii="Arial" w:hAnsi="Arial" w:eastAsia="Arial" w:cs="Arial"/>
          <w:sz w:val="28"/>
          <w:szCs w:val="28"/>
        </w:rPr>
        <w:t>The focus group discussion's findings identified a number of variables that affect how postgraduate students at a public university behave when it comes to eating. These elements can be divided into three categories:</w:t>
      </w:r>
    </w:p>
    <w:p w:rsidR="7EBA4691" w:rsidP="3DFDA105" w:rsidRDefault="353B4987" w14:paraId="6DAC1D42" w14:textId="324BB493">
      <w:pPr>
        <w:jc w:val="both"/>
        <w:rPr>
          <w:rFonts w:ascii="Arial" w:hAnsi="Arial" w:eastAsia="Arial" w:cs="Arial"/>
          <w:sz w:val="28"/>
          <w:szCs w:val="28"/>
        </w:rPr>
      </w:pPr>
      <w:r w:rsidRPr="3DFDA105" w:rsidR="3DFDA105">
        <w:rPr>
          <w:rFonts w:ascii="Arial" w:hAnsi="Arial" w:eastAsia="Arial" w:cs="Arial"/>
          <w:sz w:val="28"/>
          <w:szCs w:val="28"/>
        </w:rPr>
        <w:t>Convenience and accessibility: Participants named these two issues as significant determinants of how they choose to eat. Many of them admitted that they frequently opt for fast food or other unhealthy options just because they are easier to access and more convenient on campus. Participants also wished that there were more wholesome food options available on campus.</w:t>
      </w:r>
    </w:p>
    <w:p w:rsidR="7EBA4691" w:rsidP="3DFDA105" w:rsidRDefault="353B4987" w14:paraId="11897B7D" w14:textId="37A847AD">
      <w:pPr>
        <w:jc w:val="both"/>
        <w:rPr>
          <w:rFonts w:ascii="Arial" w:hAnsi="Arial" w:eastAsia="Arial" w:cs="Arial"/>
          <w:sz w:val="28"/>
          <w:szCs w:val="28"/>
        </w:rPr>
      </w:pPr>
      <w:r w:rsidRPr="3DFDA105" w:rsidR="3DFDA105">
        <w:rPr>
          <w:rFonts w:ascii="Arial" w:hAnsi="Arial" w:eastAsia="Arial" w:cs="Arial"/>
          <w:sz w:val="28"/>
          <w:szCs w:val="28"/>
        </w:rPr>
        <w:t>Time restrictions and workload: Postgraduate students frequently have hectic schedules and demanding workloads, making it challenging to find time to prepare nutritious meals or sit down for a sit-down meal. Due to their hectic schedules, many participants admitted to skipping meals or eating while on the go.</w:t>
      </w:r>
    </w:p>
    <w:p w:rsidR="7EBA4691" w:rsidP="3DFDA105" w:rsidRDefault="353B4987" w14:paraId="3A573523" w14:textId="2297CB40">
      <w:pPr>
        <w:jc w:val="both"/>
        <w:rPr>
          <w:rFonts w:ascii="Arial" w:hAnsi="Arial" w:eastAsia="Arial" w:cs="Arial"/>
          <w:sz w:val="28"/>
          <w:szCs w:val="28"/>
        </w:rPr>
      </w:pPr>
      <w:r w:rsidRPr="3DFDA105" w:rsidR="3DFDA105">
        <w:rPr>
          <w:rFonts w:ascii="Arial" w:hAnsi="Arial" w:eastAsia="Arial" w:cs="Arial"/>
          <w:sz w:val="28"/>
          <w:szCs w:val="28"/>
        </w:rPr>
        <w:t>Influences from society and culture: It was discovered that society and culture have an impact on eating habits. Participants mentioned that they frequently eat with coworkers or classmates and that how others choose to eat can affect them personally. Cultural expectations surrounding food and eating can also influence how people behave when they eat, as some participants have reported feeling under pressure to eat particular foods or to eat in particular ways as a result of cultural expectations.</w:t>
      </w:r>
    </w:p>
    <w:p w:rsidR="7EBA4691" w:rsidP="3DFDA105" w:rsidRDefault="353B4987" w14:paraId="6E58D75A" w14:textId="7623F798">
      <w:pPr>
        <w:jc w:val="both"/>
        <w:rPr>
          <w:rFonts w:ascii="Arial" w:hAnsi="Arial" w:eastAsia="Arial" w:cs="Arial"/>
          <w:sz w:val="28"/>
          <w:szCs w:val="28"/>
        </w:rPr>
      </w:pPr>
      <w:r w:rsidRPr="3DFDA105" w:rsidR="3DFDA105">
        <w:rPr>
          <w:rFonts w:ascii="Arial" w:hAnsi="Arial" w:eastAsia="Arial" w:cs="Arial"/>
          <w:sz w:val="28"/>
          <w:szCs w:val="28"/>
        </w:rPr>
        <w:t>Overall, the results of the focus group discussions indicate that a number of factors, such as convenience and accessibility, time constraints and workload, social and cultural influences, and others, affect the eating habits of postgraduate students at a public university. These findings have significant ramifications for programmed designed to encourage this population's adoption of healthier eating practices.</w:t>
      </w:r>
    </w:p>
    <w:p w:rsidR="7EBA4691" w:rsidP="3DFDA105" w:rsidRDefault="7EBA4691" w14:paraId="0D29DBAA" w14:textId="69D98BCC">
      <w:pPr>
        <w:jc w:val="both"/>
        <w:rPr>
          <w:rFonts w:ascii="Arial" w:hAnsi="Arial" w:eastAsia="Arial" w:cs="Arial"/>
          <w:sz w:val="28"/>
          <w:szCs w:val="28"/>
        </w:rPr>
      </w:pPr>
    </w:p>
    <w:p w:rsidR="7EBA4691" w:rsidP="3DFDA105" w:rsidRDefault="7EBA4691" w14:paraId="14E05779" w14:textId="46B9E021">
      <w:pPr>
        <w:jc w:val="both"/>
        <w:rPr>
          <w:rFonts w:ascii="Arial" w:hAnsi="Arial" w:eastAsia="Arial" w:cs="Arial"/>
          <w:sz w:val="28"/>
          <w:szCs w:val="28"/>
        </w:rPr>
      </w:pPr>
    </w:p>
    <w:p w:rsidR="7EBA4691" w:rsidP="3DFDA105" w:rsidRDefault="7EBA4691" w14:paraId="4B3AF8B1" w14:textId="2818529C">
      <w:pPr>
        <w:jc w:val="both"/>
        <w:rPr>
          <w:rFonts w:ascii="Arial" w:hAnsi="Arial" w:eastAsia="Arial" w:cs="Arial"/>
          <w:sz w:val="28"/>
          <w:szCs w:val="28"/>
        </w:rPr>
      </w:pPr>
    </w:p>
    <w:p w:rsidR="7EBA4691" w:rsidP="3DFDA105" w:rsidRDefault="353B4987" w14:paraId="6ED967C9" w14:textId="22AABDC0">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Discussion:</w:t>
      </w:r>
    </w:p>
    <w:p w:rsidR="00D5015B" w:rsidP="3DFDA105" w:rsidRDefault="353B4987" w14:paraId="32245E26" w14:textId="33662971">
      <w:pPr>
        <w:jc w:val="both"/>
        <w:rPr>
          <w:rFonts w:ascii="Arial" w:hAnsi="Arial" w:eastAsia="Arial" w:cs="Arial"/>
          <w:sz w:val="28"/>
          <w:szCs w:val="28"/>
        </w:rPr>
      </w:pPr>
      <w:r w:rsidRPr="3DFDA105" w:rsidR="3DFDA105">
        <w:rPr>
          <w:rFonts w:ascii="Arial" w:hAnsi="Arial" w:eastAsia="Arial" w:cs="Arial"/>
          <w:sz w:val="28"/>
          <w:szCs w:val="28"/>
        </w:rPr>
        <w:t xml:space="preserve">The main purpose of this group discussion was identifying determinants of eating behaviour in university students. Furthermore, we aimed to collect ideas and recommendation in order to facilitate the development of effective intervention programs that aimed to improve health eating behaviour in university students. </w:t>
      </w:r>
    </w:p>
    <w:p w:rsidR="00D5015B" w:rsidP="3DFDA105" w:rsidRDefault="353B4987" w14:paraId="51C5E0AB" w14:textId="08206305">
      <w:pPr>
        <w:jc w:val="both"/>
        <w:rPr>
          <w:rFonts w:ascii="Arial" w:hAnsi="Arial" w:eastAsia="Arial" w:cs="Arial"/>
          <w:sz w:val="28"/>
          <w:szCs w:val="28"/>
        </w:rPr>
      </w:pPr>
      <w:r w:rsidRPr="3DFDA105" w:rsidR="3DFDA105">
        <w:rPr>
          <w:rFonts w:ascii="Arial" w:hAnsi="Arial" w:eastAsia="Arial" w:cs="Arial"/>
          <w:sz w:val="28"/>
          <w:szCs w:val="28"/>
        </w:rPr>
        <w:t>The focus group discussion revealed a number of factors that affect postgraduate students' eating habits at a public university.</w:t>
      </w:r>
    </w:p>
    <w:p w:rsidR="00D5015B" w:rsidP="3DFDA105" w:rsidRDefault="353B4987" w14:paraId="2A55BB7A" w14:textId="5BFFBB9D">
      <w:pPr>
        <w:jc w:val="both"/>
        <w:rPr>
          <w:rFonts w:ascii="Arial" w:hAnsi="Arial" w:eastAsia="Arial" w:cs="Arial"/>
          <w:sz w:val="28"/>
          <w:szCs w:val="28"/>
        </w:rPr>
      </w:pPr>
      <w:r w:rsidRPr="3DFDA105" w:rsidR="3DFDA105">
        <w:rPr>
          <w:rFonts w:ascii="Arial" w:hAnsi="Arial" w:eastAsia="Arial" w:cs="Arial"/>
          <w:sz w:val="28"/>
          <w:szCs w:val="28"/>
        </w:rPr>
        <w:t>Time constraints were one of the important factors that were noted. The students' limited ability to prepare and consume healthy meals can be a result of their frequent busy schedules. Many of the participants admitted to frequently choosing fast and easy meals over ones that might not always be the healthiest.</w:t>
      </w:r>
    </w:p>
    <w:p w:rsidR="00D5015B" w:rsidP="3DFDA105" w:rsidRDefault="353B4987" w14:paraId="5C28CCE4" w14:textId="69A76BE0">
      <w:pPr>
        <w:jc w:val="both"/>
        <w:rPr>
          <w:rFonts w:ascii="Arial" w:hAnsi="Arial" w:eastAsia="Arial" w:cs="Arial"/>
          <w:sz w:val="28"/>
          <w:szCs w:val="28"/>
        </w:rPr>
      </w:pPr>
      <w:r w:rsidRPr="3DFDA105" w:rsidR="3DFDA105">
        <w:rPr>
          <w:rFonts w:ascii="Arial" w:hAnsi="Arial" w:eastAsia="Arial" w:cs="Arial"/>
          <w:sz w:val="28"/>
          <w:szCs w:val="28"/>
        </w:rPr>
        <w:t>Financial limitations were noted as another important factor. The students' food preferences may be impacted by their frequent financial constraints. As a result, many people claimed making less healthy food choices that were less expensive, which can result in bad eating habits and negative health effects.</w:t>
      </w:r>
    </w:p>
    <w:p w:rsidR="00D5015B" w:rsidP="3DFDA105" w:rsidRDefault="353B4987" w14:paraId="542DD06E" w14:textId="1FE3533F">
      <w:pPr>
        <w:jc w:val="both"/>
        <w:rPr>
          <w:rFonts w:ascii="Arial" w:hAnsi="Arial" w:eastAsia="Arial" w:cs="Arial"/>
          <w:sz w:val="28"/>
          <w:szCs w:val="28"/>
        </w:rPr>
      </w:pPr>
      <w:r w:rsidRPr="3DFDA105" w:rsidR="3DFDA105">
        <w:rPr>
          <w:rFonts w:ascii="Arial" w:hAnsi="Arial" w:eastAsia="Arial" w:cs="Arial"/>
          <w:sz w:val="28"/>
          <w:szCs w:val="28"/>
        </w:rPr>
        <w:t>Another factor that came up during the discussion was social influence. Participants acknowledged that their dietary preferences may be influenced by the eating habits of their friends and coworkers. For instance, they were more likely to follow suit if their peers regularly consumed unhealthy foods.</w:t>
      </w:r>
    </w:p>
    <w:p w:rsidR="00D5015B" w:rsidP="3DFDA105" w:rsidRDefault="353B4987" w14:paraId="6E78239C" w14:textId="235B4CCF">
      <w:pPr>
        <w:jc w:val="both"/>
        <w:rPr>
          <w:rFonts w:ascii="Arial" w:hAnsi="Arial" w:eastAsia="Arial" w:cs="Arial"/>
          <w:sz w:val="28"/>
          <w:szCs w:val="28"/>
        </w:rPr>
      </w:pPr>
      <w:r w:rsidRPr="3DFDA105" w:rsidR="3DFDA105">
        <w:rPr>
          <w:rFonts w:ascii="Arial" w:hAnsi="Arial" w:eastAsia="Arial" w:cs="Arial"/>
          <w:sz w:val="28"/>
          <w:szCs w:val="28"/>
        </w:rPr>
        <w:t>An additional factor influencing the participants' eating habits was their cultural background. Some people claimed that the foods they chose to eat or the times they ate at meals were affected by their cultural beliefs and practices.</w:t>
      </w:r>
    </w:p>
    <w:p w:rsidR="00D5015B" w:rsidP="3DFDA105" w:rsidRDefault="353B4987" w14:paraId="49346661" w14:textId="11911DBE">
      <w:pPr>
        <w:jc w:val="both"/>
        <w:rPr>
          <w:rFonts w:ascii="Arial" w:hAnsi="Arial" w:eastAsia="Arial" w:cs="Arial"/>
          <w:sz w:val="28"/>
          <w:szCs w:val="28"/>
        </w:rPr>
      </w:pPr>
      <w:r w:rsidRPr="3DFDA105" w:rsidR="3DFDA105">
        <w:rPr>
          <w:rFonts w:ascii="Arial" w:hAnsi="Arial" w:eastAsia="Arial" w:cs="Arial"/>
          <w:sz w:val="28"/>
          <w:szCs w:val="28"/>
        </w:rPr>
        <w:t>Significant influences on eating behaviour were also found to be stress and emotional factors. High levels of stress, according to the participants, can cause emotional eating and poor dietary decisions. Additionally, some students admitted to using food as a stress-reduction technique.</w:t>
      </w:r>
    </w:p>
    <w:p w:rsidR="00D5015B" w:rsidP="3DFDA105" w:rsidRDefault="353B4987" w14:paraId="6B2DB03B" w14:textId="0794BC84">
      <w:pPr>
        <w:jc w:val="both"/>
        <w:rPr>
          <w:rFonts w:ascii="Arial" w:hAnsi="Arial" w:eastAsia="Arial" w:cs="Arial"/>
          <w:sz w:val="28"/>
          <w:szCs w:val="28"/>
        </w:rPr>
      </w:pPr>
      <w:r w:rsidRPr="3DFDA105" w:rsidR="3DFDA105">
        <w:rPr>
          <w:rFonts w:ascii="Arial" w:hAnsi="Arial" w:eastAsia="Arial" w:cs="Arial"/>
          <w:sz w:val="28"/>
          <w:szCs w:val="28"/>
        </w:rPr>
        <w:t>It was also mentioned that having access to healthy food options was important. Some participants made the observation that their dietary decisions may be influenced by the availability of healthy food options on campus and in the neighborhood. Students might choose less nutrient-dense options if there were few or no accessible healthy options.</w:t>
      </w:r>
    </w:p>
    <w:p w:rsidR="00D5015B" w:rsidP="3DFDA105" w:rsidRDefault="353B4987" w14:paraId="57485A2D" w14:textId="2D2E4C46">
      <w:pPr>
        <w:jc w:val="both"/>
        <w:rPr>
          <w:rFonts w:ascii="Arial" w:hAnsi="Arial" w:eastAsia="Arial" w:cs="Arial"/>
          <w:sz w:val="28"/>
          <w:szCs w:val="28"/>
        </w:rPr>
      </w:pPr>
      <w:r w:rsidRPr="3DFDA105" w:rsidR="3DFDA105">
        <w:rPr>
          <w:rFonts w:ascii="Arial" w:hAnsi="Arial" w:eastAsia="Arial" w:cs="Arial"/>
          <w:sz w:val="28"/>
          <w:szCs w:val="28"/>
        </w:rPr>
        <w:t>Finally, participants' eating habits were influenced by their level of education and knowledge. Students were more likely to choose healthful foods if they had a better understanding of nutrition and good eating practices.</w:t>
      </w:r>
    </w:p>
    <w:p w:rsidR="00D5015B" w:rsidP="3DFDA105" w:rsidRDefault="353B4987" w14:paraId="2B06551B" w14:textId="2C4A6A97">
      <w:pPr>
        <w:jc w:val="both"/>
        <w:rPr>
          <w:rFonts w:ascii="Arial" w:hAnsi="Arial" w:eastAsia="Arial" w:cs="Arial"/>
          <w:sz w:val="28"/>
          <w:szCs w:val="28"/>
        </w:rPr>
      </w:pPr>
      <w:r w:rsidRPr="3DFDA105" w:rsidR="3DFDA105">
        <w:rPr>
          <w:rFonts w:ascii="Arial" w:hAnsi="Arial" w:eastAsia="Arial" w:cs="Arial"/>
          <w:sz w:val="28"/>
          <w:szCs w:val="28"/>
        </w:rPr>
        <w:t>Overall, the focus group discussion brought to light a number of factors that affect postgraduate students' eating habits at a public university. These results could be applied to the development of focused interventions to enhance students' eating behaviors and health outcomes, such as offering nutrition education programmers or introducing healthy food options on campus.</w:t>
      </w:r>
    </w:p>
    <w:p w:rsidR="00D5015B" w:rsidP="3DFDA105" w:rsidRDefault="353B4987" w14:paraId="5363CECA" w14:textId="177746F2">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Conclusion</w:t>
      </w:r>
    </w:p>
    <w:p w:rsidR="00D5015B" w:rsidP="3DFDA105" w:rsidRDefault="353B4987" w14:paraId="3AB05867" w14:textId="1CFF21A4">
      <w:pPr>
        <w:jc w:val="both"/>
        <w:rPr>
          <w:rFonts w:ascii="Arial" w:hAnsi="Arial" w:eastAsia="Arial" w:cs="Arial"/>
          <w:sz w:val="28"/>
          <w:szCs w:val="28"/>
        </w:rPr>
      </w:pPr>
      <w:r w:rsidRPr="3DFDA105" w:rsidR="3DFDA105">
        <w:rPr>
          <w:rFonts w:ascii="Arial" w:hAnsi="Arial" w:eastAsia="Arial" w:cs="Arial"/>
          <w:sz w:val="28"/>
          <w:szCs w:val="28"/>
        </w:rPr>
        <w:t>In conclusion, the study "Exploring the factors that influence eating behaviour among postgraduate students in a public university: a focus group discussion" clarifies the various aspects that affect postgraduate students' eating habits in a public university environment. The study's findings show that a variety of factors, including personal preferences and habits, social and cultural influences, time and financial restraints, the availability and accessibility of food, and knowledge and awareness of healthy eating habits, affect the eating behaviour of postgraduate students.</w:t>
      </w:r>
    </w:p>
    <w:p w:rsidR="00D5015B" w:rsidP="3DFDA105" w:rsidRDefault="353B4987" w14:paraId="254A9C89" w14:textId="416F41DF">
      <w:pPr>
        <w:jc w:val="both"/>
        <w:rPr>
          <w:rFonts w:ascii="Arial" w:hAnsi="Arial" w:eastAsia="Arial" w:cs="Arial"/>
          <w:sz w:val="28"/>
          <w:szCs w:val="28"/>
        </w:rPr>
      </w:pPr>
      <w:r w:rsidRPr="3DFDA105" w:rsidR="3DFDA105">
        <w:rPr>
          <w:rFonts w:ascii="Arial" w:hAnsi="Arial" w:eastAsia="Arial" w:cs="Arial"/>
          <w:sz w:val="28"/>
          <w:szCs w:val="28"/>
        </w:rPr>
        <w:t>The study emphasises the need for interventions and regulations that encourage postgraduate students to eat healthily, such as expanding the availability of healthy food options on campus, offering nutrition education, and promoting healthy eating through social and cultural activities. Universities can support the promotion of healthier lifestyles and enhance the general health and wellbeing of their student populations by addressing the various factors influencing eating behaviour among postgraduate students.</w:t>
      </w:r>
    </w:p>
    <w:p w:rsidR="00D5015B" w:rsidP="3DFDA105" w:rsidRDefault="00D5015B" w14:paraId="05645968" w14:textId="5FE94B85">
      <w:pPr>
        <w:jc w:val="both"/>
        <w:rPr>
          <w:rFonts w:ascii="Arial" w:hAnsi="Arial" w:eastAsia="Arial" w:cs="Arial"/>
          <w:sz w:val="28"/>
          <w:szCs w:val="28"/>
        </w:rPr>
      </w:pPr>
    </w:p>
    <w:p w:rsidR="00D5015B" w:rsidP="3DFDA105" w:rsidRDefault="00D5015B" w14:paraId="0FCD1B34" w14:textId="02471A53">
      <w:pPr>
        <w:jc w:val="both"/>
        <w:rPr>
          <w:rFonts w:ascii="Arial" w:hAnsi="Arial" w:eastAsia="Arial" w:cs="Arial"/>
          <w:sz w:val="28"/>
          <w:szCs w:val="28"/>
        </w:rPr>
      </w:pPr>
    </w:p>
    <w:p w:rsidR="00D5015B" w:rsidP="3DFDA105" w:rsidRDefault="00D5015B" w14:paraId="66665F0F" w14:textId="00F2D278">
      <w:pPr>
        <w:jc w:val="both"/>
        <w:rPr>
          <w:rFonts w:ascii="Arial" w:hAnsi="Arial" w:eastAsia="Arial" w:cs="Arial"/>
          <w:b w:val="1"/>
          <w:bCs w:val="1"/>
          <w:sz w:val="28"/>
          <w:szCs w:val="28"/>
        </w:rPr>
      </w:pPr>
    </w:p>
    <w:p w:rsidRPr="009B4D56" w:rsidR="00B329F2" w:rsidP="3DFDA105" w:rsidRDefault="00B329F2" w14:paraId="0E56649E" w14:textId="474D5F7A">
      <w:pPr>
        <w:jc w:val="both"/>
        <w:rPr>
          <w:rFonts w:ascii="Arial" w:hAnsi="Arial" w:eastAsia="Arial" w:cs="Arial"/>
          <w:b w:val="1"/>
          <w:bCs w:val="1"/>
          <w:sz w:val="28"/>
          <w:szCs w:val="28"/>
        </w:rPr>
      </w:pPr>
    </w:p>
    <w:p w:rsidR="0FCA3D47" w:rsidP="3DFDA105" w:rsidRDefault="0FCA3D47" w14:paraId="5579AC00" w14:textId="2F068F6B">
      <w:pPr>
        <w:jc w:val="both"/>
        <w:rPr>
          <w:rFonts w:ascii="Arial" w:hAnsi="Arial" w:eastAsia="Arial" w:cs="Arial"/>
          <w:b w:val="1"/>
          <w:bCs w:val="1"/>
          <w:sz w:val="28"/>
          <w:szCs w:val="28"/>
        </w:rPr>
      </w:pPr>
    </w:p>
    <w:p w:rsidR="0FCA3D47" w:rsidP="3DFDA105" w:rsidRDefault="0FCA3D47" w14:paraId="0774D5D1" w14:textId="0FF68821">
      <w:pPr>
        <w:jc w:val="both"/>
        <w:rPr>
          <w:rFonts w:ascii="Arial" w:hAnsi="Arial" w:eastAsia="Arial" w:cs="Arial"/>
          <w:b w:val="1"/>
          <w:bCs w:val="1"/>
          <w:sz w:val="28"/>
          <w:szCs w:val="28"/>
        </w:rPr>
      </w:pPr>
    </w:p>
    <w:p w:rsidR="0FCA3D47" w:rsidP="3DFDA105" w:rsidRDefault="0FCA3D47" w14:paraId="23A68434" w14:textId="616794AA">
      <w:pPr>
        <w:jc w:val="both"/>
        <w:rPr>
          <w:rFonts w:ascii="Arial" w:hAnsi="Arial" w:eastAsia="Arial" w:cs="Arial"/>
          <w:b w:val="1"/>
          <w:bCs w:val="1"/>
          <w:sz w:val="28"/>
          <w:szCs w:val="28"/>
        </w:rPr>
      </w:pPr>
    </w:p>
    <w:p w:rsidRPr="009B4D56" w:rsidR="007B6A42" w:rsidP="3DFDA105" w:rsidRDefault="353B4987" w14:paraId="5BBE3DC9" w14:textId="1CD99244">
      <w:pPr>
        <w:jc w:val="both"/>
        <w:rPr>
          <w:rFonts w:ascii="Arial" w:hAnsi="Arial" w:eastAsia="Arial" w:cs="Arial"/>
          <w:b w:val="1"/>
          <w:bCs w:val="1"/>
          <w:sz w:val="28"/>
          <w:szCs w:val="28"/>
        </w:rPr>
      </w:pPr>
      <w:r w:rsidRPr="3DFDA105" w:rsidR="3DFDA105">
        <w:rPr>
          <w:rFonts w:ascii="Arial" w:hAnsi="Arial" w:eastAsia="Arial" w:cs="Arial"/>
          <w:b w:val="1"/>
          <w:bCs w:val="1"/>
          <w:sz w:val="28"/>
          <w:szCs w:val="28"/>
        </w:rPr>
        <w:t xml:space="preserve">References </w:t>
      </w:r>
    </w:p>
    <w:p w:rsidR="353B4987" w:rsidP="3DFDA105" w:rsidRDefault="353B4987" w14:paraId="77FC938E" w14:textId="725C2783">
      <w:pPr>
        <w:jc w:val="both"/>
        <w:rPr>
          <w:rFonts w:ascii="Arial" w:hAnsi="Arial" w:eastAsia="Arial" w:cs="Arial"/>
          <w:sz w:val="28"/>
          <w:szCs w:val="28"/>
        </w:rPr>
      </w:pPr>
      <w:r w:rsidRPr="3DFDA105" w:rsidR="3DFDA105">
        <w:rPr>
          <w:rFonts w:ascii="Arial" w:hAnsi="Arial" w:eastAsia="Arial" w:cs="Arial"/>
          <w:sz w:val="28"/>
          <w:szCs w:val="28"/>
        </w:rPr>
        <w:t>Writing Group Members, Roger, V.L., Go, A.S., Lloyd-Jones, D.M., Benjamin, E.J., Berry, J.D., Borden, W.B., Bravata, D.M., Dai, S., Ford, E.S. and Fox, C.S., 2012. Heart disease and stroke statistics—2012 update: a report from the American Heart Association. Circulation, 125(1), pp.e2-e220.</w:t>
      </w:r>
    </w:p>
    <w:p w:rsidR="353B4987" w:rsidP="3DFDA105" w:rsidRDefault="353B4987" w14:paraId="5E3E0BC0" w14:textId="3ACEFB46">
      <w:pPr>
        <w:jc w:val="both"/>
        <w:rPr>
          <w:rFonts w:ascii="Arial" w:hAnsi="Arial" w:eastAsia="Arial" w:cs="Arial"/>
          <w:sz w:val="28"/>
          <w:szCs w:val="28"/>
        </w:rPr>
      </w:pPr>
      <w:r w:rsidRPr="3DFDA105" w:rsidR="3DFDA105">
        <w:rPr>
          <w:rFonts w:ascii="Arial" w:hAnsi="Arial" w:eastAsia="Arial" w:cs="Arial"/>
          <w:sz w:val="28"/>
          <w:szCs w:val="28"/>
        </w:rPr>
        <w:t>Lloyd-Richardson, E.E., Lucero, M.L., DiBello, J.R., Jacobson, A.E. and Wing, R.R., 2008. The relationship between alcohol use, eating habits and weight change in college freshmen. Eating behaviors, 9(4), pp.504-508.</w:t>
      </w:r>
    </w:p>
    <w:p w:rsidR="353B4987" w:rsidP="3DFDA105" w:rsidRDefault="353B4987" w14:paraId="4B1E64C6" w14:textId="56BBA16B">
      <w:pPr>
        <w:jc w:val="both"/>
        <w:rPr>
          <w:rFonts w:ascii="Arial" w:hAnsi="Arial" w:eastAsia="Arial" w:cs="Arial"/>
          <w:sz w:val="28"/>
          <w:szCs w:val="28"/>
        </w:rPr>
      </w:pPr>
      <w:r w:rsidRPr="3DFDA105" w:rsidR="3DFDA105">
        <w:rPr>
          <w:rFonts w:ascii="Arial" w:hAnsi="Arial" w:eastAsia="Arial" w:cs="Arial"/>
          <w:sz w:val="28"/>
          <w:szCs w:val="28"/>
        </w:rPr>
        <w:t>Jastreboff, A.M., Kotz, C.M., Kahan, S., Kelly, A.S. and Heymsfield, S.B. (2018). Obesity as a Disease: The Obesity Society 2018 Position Statement. Obesity, 27(1), pp.7–9.</w:t>
      </w:r>
    </w:p>
    <w:p w:rsidR="353B4987" w:rsidP="3DFDA105" w:rsidRDefault="353B4987" w14:paraId="5231A761" w14:textId="74E2729A">
      <w:pPr>
        <w:jc w:val="both"/>
        <w:rPr>
          <w:rFonts w:ascii="Arial" w:hAnsi="Arial" w:eastAsia="Arial" w:cs="Arial"/>
          <w:sz w:val="28"/>
          <w:szCs w:val="28"/>
        </w:rPr>
      </w:pPr>
      <w:r w:rsidRPr="3DFDA105" w:rsidR="3DFDA105">
        <w:rPr>
          <w:rFonts w:ascii="Arial" w:hAnsi="Arial" w:eastAsia="Arial" w:cs="Arial"/>
          <w:sz w:val="28"/>
          <w:szCs w:val="28"/>
        </w:rPr>
        <w:t>Egger, G. and Swinburn, B., 1997. An “ecological” approach to the obesity pandemic. Bmj, 315(7106), pp.477-480.</w:t>
      </w:r>
    </w:p>
    <w:p w:rsidR="353B4987" w:rsidP="3DFDA105" w:rsidRDefault="353B4987" w14:paraId="24F96D48" w14:textId="78D422AF">
      <w:pPr>
        <w:jc w:val="both"/>
        <w:rPr>
          <w:rFonts w:ascii="Arial" w:hAnsi="Arial" w:eastAsia="Arial" w:cs="Arial"/>
          <w:sz w:val="28"/>
          <w:szCs w:val="28"/>
        </w:rPr>
      </w:pPr>
      <w:r w:rsidRPr="3DFDA105" w:rsidR="3DFDA105">
        <w:rPr>
          <w:rFonts w:ascii="Arial" w:hAnsi="Arial" w:eastAsia="Arial" w:cs="Arial"/>
          <w:sz w:val="28"/>
          <w:szCs w:val="28"/>
        </w:rPr>
        <w:t>Morgan, D.L., Krueger, R.A., Scannell, A.U. and King, J.A., 1998. Planning focus groups. Sage.</w:t>
      </w:r>
    </w:p>
    <w:p w:rsidR="353B4987" w:rsidP="3DFDA105" w:rsidRDefault="353B4987" w14:paraId="76F8C492" w14:textId="5E208B91">
      <w:pPr>
        <w:jc w:val="both"/>
        <w:rPr>
          <w:rFonts w:ascii="Arial" w:hAnsi="Arial" w:eastAsia="Arial" w:cs="Arial"/>
          <w:sz w:val="28"/>
          <w:szCs w:val="28"/>
        </w:rPr>
      </w:pPr>
      <w:r w:rsidRPr="3DFDA105" w:rsidR="3DFDA105">
        <w:rPr>
          <w:rFonts w:ascii="Arial" w:hAnsi="Arial" w:eastAsia="Arial" w:cs="Arial"/>
          <w:sz w:val="28"/>
          <w:szCs w:val="28"/>
        </w:rPr>
        <w:t>Deliens, T., Clarys, P., De Bourdeaudhuij, I. et al. Determinants of eating behaviour in university students: a qualitative study using focus group discussions. BMC Public Health 14, 53 (2014).</w:t>
      </w:r>
    </w:p>
    <w:p w:rsidR="005F4EA2" w:rsidP="3DFDA105" w:rsidRDefault="353B4987" w14:paraId="772BFE71" w14:textId="50C4DFCC">
      <w:pPr>
        <w:jc w:val="both"/>
        <w:rPr>
          <w:rStyle w:val="Hyperlink"/>
          <w:rFonts w:ascii="Arial" w:hAnsi="Arial" w:eastAsia="Arial" w:cs="Arial"/>
          <w:sz w:val="28"/>
          <w:szCs w:val="28"/>
        </w:rPr>
      </w:pPr>
      <w:r w:rsidRPr="3DFDA105" w:rsidR="3DFDA105">
        <w:rPr>
          <w:rFonts w:ascii="Arial" w:hAnsi="Arial" w:eastAsia="Arial" w:cs="Arial"/>
          <w:sz w:val="28"/>
          <w:szCs w:val="28"/>
        </w:rPr>
        <w:t xml:space="preserve">Neumark-Sztainer, D., Butler, R.., Palti, H. 1995. Eating disturbances among adolescent girls: Evaluation of a school-based primary prevention program. Journal of Nutrition Education [ONLINE],27(1): 24. Available at: </w:t>
      </w:r>
      <w:hyperlink r:id="R9293a69c101b471d">
        <w:r w:rsidRPr="3DFDA105" w:rsidR="3DFDA105">
          <w:rPr>
            <w:rStyle w:val="Hyperlink"/>
            <w:rFonts w:ascii="Arial" w:hAnsi="Arial" w:eastAsia="Arial" w:cs="Arial"/>
            <w:sz w:val="28"/>
            <w:szCs w:val="28"/>
          </w:rPr>
          <w:t>https://goo.gl/kQZDyo.</w:t>
        </w:r>
      </w:hyperlink>
    </w:p>
    <w:p w:rsidR="005F4EA2" w:rsidP="3DFDA105" w:rsidRDefault="353B4987" w14:paraId="077D875C" w14:textId="3B220C5B">
      <w:pPr>
        <w:jc w:val="both"/>
        <w:rPr>
          <w:rFonts w:ascii="Arial" w:hAnsi="Arial" w:eastAsia="Arial" w:cs="Arial"/>
          <w:sz w:val="28"/>
          <w:szCs w:val="28"/>
        </w:rPr>
      </w:pPr>
      <w:r w:rsidRPr="3DFDA105" w:rsidR="3DFDA105">
        <w:rPr>
          <w:rFonts w:ascii="Arial" w:hAnsi="Arial" w:eastAsia="Arial" w:cs="Arial"/>
          <w:sz w:val="28"/>
          <w:szCs w:val="28"/>
        </w:rPr>
        <w:t>Steckler, A., McLeroy, K.R., Goodman, R.M., Bird, S.T. and McCormick, L., 1992. Toward integrating qualitative and quantitative methods: An introduction. Health education quarterly, 19(1), pp.1-8.</w:t>
      </w:r>
    </w:p>
    <w:p w:rsidR="353B4987" w:rsidP="3DFDA105" w:rsidRDefault="353B4987" w14:paraId="27E85994" w14:textId="41200E2D">
      <w:pPr>
        <w:jc w:val="both"/>
        <w:rPr>
          <w:rFonts w:ascii="Arial" w:hAnsi="Arial" w:eastAsia="Arial" w:cs="Arial"/>
          <w:sz w:val="28"/>
          <w:szCs w:val="28"/>
        </w:rPr>
      </w:pPr>
      <w:r w:rsidRPr="3DFDA105" w:rsidR="3DFDA105">
        <w:rPr>
          <w:rFonts w:ascii="Arial" w:hAnsi="Arial" w:eastAsia="Arial" w:cs="Arial"/>
          <w:sz w:val="28"/>
          <w:szCs w:val="28"/>
        </w:rPr>
        <w:t>Silverman, D., 2020. Qualitative research. Qualitative Research, pp.1-520.</w:t>
      </w:r>
    </w:p>
    <w:p w:rsidR="005F4EA2" w:rsidP="3DFDA105" w:rsidRDefault="353B4987" w14:paraId="5079095F" w14:textId="61CCF2AC">
      <w:pPr>
        <w:rPr>
          <w:rFonts w:ascii="Arial" w:hAnsi="Arial" w:eastAsia="Arial" w:cs="Arial"/>
          <w:sz w:val="28"/>
          <w:szCs w:val="28"/>
        </w:rPr>
      </w:pPr>
      <w:r w:rsidRPr="3DFDA105" w:rsidR="3DFDA105">
        <w:rPr>
          <w:rFonts w:ascii="Arial" w:hAnsi="Arial" w:eastAsia="Arial" w:cs="Arial"/>
          <w:sz w:val="28"/>
          <w:szCs w:val="28"/>
        </w:rPr>
        <w:t>Babbie, E.R., 2020. The practice of social research. Cengage learning.</w:t>
      </w:r>
    </w:p>
    <w:p w:rsidR="353B4987" w:rsidP="3DFDA105" w:rsidRDefault="353B4987" w14:paraId="54337674" w14:textId="4A15DB47">
      <w:pPr>
        <w:rPr>
          <w:rFonts w:ascii="Arial" w:hAnsi="Arial" w:eastAsia="Arial" w:cs="Arial"/>
          <w:sz w:val="28"/>
          <w:szCs w:val="28"/>
        </w:rPr>
      </w:pPr>
      <w:r w:rsidRPr="3DFDA105" w:rsidR="3DFDA105">
        <w:rPr>
          <w:rFonts w:ascii="Arial" w:hAnsi="Arial" w:eastAsia="Arial" w:cs="Arial"/>
          <w:sz w:val="28"/>
          <w:szCs w:val="28"/>
        </w:rPr>
        <w:t>Krueger Richard A, Casey Mary Anne. Focus Groups: A Practical Guide for Applied Research. SAGE, 2000</w:t>
      </w:r>
    </w:p>
    <w:p w:rsidR="353B4987" w:rsidP="3DFDA105" w:rsidRDefault="353B4987" w14:paraId="5A4C243D" w14:textId="5F5E4F41">
      <w:pPr>
        <w:rPr>
          <w:rFonts w:ascii="Arial" w:hAnsi="Arial" w:eastAsia="Arial" w:cs="Arial"/>
          <w:sz w:val="28"/>
          <w:szCs w:val="28"/>
        </w:rPr>
      </w:pPr>
      <w:r w:rsidRPr="3DFDA105" w:rsidR="3DFDA105">
        <w:rPr>
          <w:rFonts w:ascii="Arial" w:hAnsi="Arial" w:eastAsia="Arial" w:cs="Arial"/>
          <w:sz w:val="28"/>
          <w:szCs w:val="28"/>
        </w:rPr>
        <w:t>Morgan, David L., Richard A. Krueger, Alice U. Scannell, and Jean A. King. Planning focus groups. Sage, 1998.</w:t>
      </w:r>
    </w:p>
    <w:p w:rsidR="353B4987" w:rsidP="3DFDA105" w:rsidRDefault="353B4987" w14:paraId="19FCA150" w14:textId="23F8782E">
      <w:pPr>
        <w:rPr>
          <w:rFonts w:ascii="Arial" w:hAnsi="Arial" w:eastAsia="Arial" w:cs="Arial"/>
          <w:sz w:val="28"/>
          <w:szCs w:val="28"/>
        </w:rPr>
      </w:pPr>
      <w:r w:rsidRPr="3DFDA105" w:rsidR="3DFDA105">
        <w:rPr>
          <w:rFonts w:ascii="Arial" w:hAnsi="Arial" w:eastAsia="Arial" w:cs="Arial"/>
          <w:sz w:val="28"/>
          <w:szCs w:val="28"/>
        </w:rPr>
        <w:t>Deshpandey, S., 2009. Factors Influencing Healthy Eating Habits Among. Health Marketing Quarterly , Volume 26, p. 145–164.</w:t>
      </w:r>
    </w:p>
    <w:p w:rsidRPr="005F4EA2" w:rsidR="00D5015B" w:rsidP="3DFDA105" w:rsidRDefault="00D5015B" w14:paraId="0E86A4A0" w14:textId="26E9BE65">
      <w:pPr>
        <w:rPr>
          <w:rFonts w:ascii="Arial" w:hAnsi="Arial" w:eastAsia="Arial" w:cs="Arial"/>
          <w:sz w:val="28"/>
          <w:szCs w:val="28"/>
        </w:rPr>
      </w:pPr>
      <w:r w:rsidRPr="3DFDA105" w:rsidR="3DFDA105">
        <w:rPr>
          <w:rFonts w:ascii="Arial" w:hAnsi="Arial" w:eastAsia="Arial" w:cs="Arial"/>
          <w:sz w:val="28"/>
          <w:szCs w:val="28"/>
        </w:rPr>
        <w:t>Krefting, L., 1991. Rigor in qualitative research: The assessment of trustworthiness. The American journal of occupational therapy, 45(3), pp.214-222.</w:t>
      </w:r>
    </w:p>
    <w:p w:rsidRPr="009B4D56" w:rsidR="005F4EA2" w:rsidP="3DFDA105" w:rsidRDefault="005F4EA2" w14:paraId="5E5F5147" w14:textId="77777777">
      <w:pPr>
        <w:jc w:val="both"/>
        <w:rPr>
          <w:rFonts w:ascii="Arial" w:hAnsi="Arial" w:eastAsia="Arial" w:cs="Arial"/>
          <w:sz w:val="28"/>
          <w:szCs w:val="28"/>
        </w:rPr>
      </w:pPr>
    </w:p>
    <w:sectPr w:rsidRPr="009B4D56" w:rsidR="005F4EA2">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Ddp7hoq5uIuKHh" int2:id="0LAihoAB">
      <int2:state int2:value="Rejected" int2:type="AugLoop_Text_Critique"/>
    </int2:textHash>
    <int2:textHash int2:hashCode="v3jXqOAVqWKVSe" int2:id="9HeerHrK">
      <int2:state int2:value="Rejected" int2:type="AugLoop_Text_Critique"/>
    </int2:textHash>
    <int2:textHash int2:hashCode="PO8Stjo5dDOIjB" int2:id="OsM1Yuku">
      <int2:state int2:value="Rejected" int2:type="AugLoop_Text_Critique"/>
    </int2:textHash>
    <int2:textHash int2:hashCode="Z72qxggA2kACis" int2:id="RYDPkJMF">
      <int2:state int2:value="Rejected" int2:type="AugLoop_Text_Critique"/>
    </int2:textHash>
    <int2:textHash int2:hashCode="qnQ6Cq7I99eh8B" int2:id="YNDVVeWw">
      <int2:state int2:value="Rejected" int2:type="AugLoop_Text_Critique"/>
    </int2:textHash>
    <int2:bookmark int2:bookmarkName="_Int_wVltWM6I" int2:invalidationBookmarkName="" int2:hashCode="e0dMsLOcF3PXGS" int2:id="p9diRMpQ">
      <int2:state int2:value="Rejected" int2:type="AugLoop_Text_Critique"/>
    </int2:bookmark>
    <int2:bookmark int2:bookmarkName="_Int_zW72VudS" int2:invalidationBookmarkName="" int2:hashCode="GehOPKQyS+iz52" int2:id="uCGBjFU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7A641"/>
    <w:multiLevelType w:val="hybridMultilevel"/>
    <w:tmpl w:val="FFFFFFFF"/>
    <w:lvl w:ilvl="0" w:tplc="A2AC2E92">
      <w:start w:val="1"/>
      <w:numFmt w:val="decimal"/>
      <w:lvlText w:val="%1."/>
      <w:lvlJc w:val="left"/>
      <w:pPr>
        <w:ind w:left="720" w:hanging="360"/>
      </w:pPr>
    </w:lvl>
    <w:lvl w:ilvl="1" w:tplc="F2F07F1A">
      <w:start w:val="1"/>
      <w:numFmt w:val="lowerLetter"/>
      <w:lvlText w:val="%2."/>
      <w:lvlJc w:val="left"/>
      <w:pPr>
        <w:ind w:left="1440" w:hanging="360"/>
      </w:pPr>
    </w:lvl>
    <w:lvl w:ilvl="2" w:tplc="A14A0C6E">
      <w:start w:val="1"/>
      <w:numFmt w:val="lowerRoman"/>
      <w:lvlText w:val="%3."/>
      <w:lvlJc w:val="right"/>
      <w:pPr>
        <w:ind w:left="2160" w:hanging="180"/>
      </w:pPr>
    </w:lvl>
    <w:lvl w:ilvl="3" w:tplc="2244CF9E">
      <w:start w:val="1"/>
      <w:numFmt w:val="decimal"/>
      <w:lvlText w:val="%4."/>
      <w:lvlJc w:val="left"/>
      <w:pPr>
        <w:ind w:left="2880" w:hanging="360"/>
      </w:pPr>
    </w:lvl>
    <w:lvl w:ilvl="4" w:tplc="91AE2E4A">
      <w:start w:val="1"/>
      <w:numFmt w:val="lowerLetter"/>
      <w:lvlText w:val="%5."/>
      <w:lvlJc w:val="left"/>
      <w:pPr>
        <w:ind w:left="3600" w:hanging="360"/>
      </w:pPr>
    </w:lvl>
    <w:lvl w:ilvl="5" w:tplc="5640605E">
      <w:start w:val="1"/>
      <w:numFmt w:val="lowerRoman"/>
      <w:lvlText w:val="%6."/>
      <w:lvlJc w:val="right"/>
      <w:pPr>
        <w:ind w:left="4320" w:hanging="180"/>
      </w:pPr>
    </w:lvl>
    <w:lvl w:ilvl="6" w:tplc="8F6223A2">
      <w:start w:val="1"/>
      <w:numFmt w:val="decimal"/>
      <w:lvlText w:val="%7."/>
      <w:lvlJc w:val="left"/>
      <w:pPr>
        <w:ind w:left="5040" w:hanging="360"/>
      </w:pPr>
    </w:lvl>
    <w:lvl w:ilvl="7" w:tplc="6F3A7DF0">
      <w:start w:val="1"/>
      <w:numFmt w:val="lowerLetter"/>
      <w:lvlText w:val="%8."/>
      <w:lvlJc w:val="left"/>
      <w:pPr>
        <w:ind w:left="5760" w:hanging="360"/>
      </w:pPr>
    </w:lvl>
    <w:lvl w:ilvl="8" w:tplc="CCE63AE2">
      <w:start w:val="1"/>
      <w:numFmt w:val="lowerRoman"/>
      <w:lvlText w:val="%9."/>
      <w:lvlJc w:val="right"/>
      <w:pPr>
        <w:ind w:left="6480" w:hanging="180"/>
      </w:pPr>
    </w:lvl>
  </w:abstractNum>
  <w:abstractNum w:abstractNumId="1" w15:restartNumberingAfterBreak="0">
    <w:nsid w:val="2AA52891"/>
    <w:multiLevelType w:val="hybridMultilevel"/>
    <w:tmpl w:val="FFFFFFFF"/>
    <w:lvl w:ilvl="0" w:tplc="CDFE2F10">
      <w:start w:val="1"/>
      <w:numFmt w:val="lowerLetter"/>
      <w:lvlText w:val="%1."/>
      <w:lvlJc w:val="left"/>
      <w:pPr>
        <w:ind w:left="720" w:hanging="360"/>
      </w:pPr>
    </w:lvl>
    <w:lvl w:ilvl="1" w:tplc="02CA5D86">
      <w:start w:val="1"/>
      <w:numFmt w:val="lowerLetter"/>
      <w:lvlText w:val="%2."/>
      <w:lvlJc w:val="left"/>
      <w:pPr>
        <w:ind w:left="1440" w:hanging="360"/>
      </w:pPr>
    </w:lvl>
    <w:lvl w:ilvl="2" w:tplc="6E0670C6">
      <w:start w:val="1"/>
      <w:numFmt w:val="lowerRoman"/>
      <w:lvlText w:val="%3."/>
      <w:lvlJc w:val="right"/>
      <w:pPr>
        <w:ind w:left="2160" w:hanging="180"/>
      </w:pPr>
    </w:lvl>
    <w:lvl w:ilvl="3" w:tplc="E35CDACE">
      <w:start w:val="1"/>
      <w:numFmt w:val="decimal"/>
      <w:lvlText w:val="%4."/>
      <w:lvlJc w:val="left"/>
      <w:pPr>
        <w:ind w:left="2880" w:hanging="360"/>
      </w:pPr>
    </w:lvl>
    <w:lvl w:ilvl="4" w:tplc="C34485F2">
      <w:start w:val="1"/>
      <w:numFmt w:val="lowerLetter"/>
      <w:lvlText w:val="%5."/>
      <w:lvlJc w:val="left"/>
      <w:pPr>
        <w:ind w:left="3600" w:hanging="360"/>
      </w:pPr>
    </w:lvl>
    <w:lvl w:ilvl="5" w:tplc="17CA26A6">
      <w:start w:val="1"/>
      <w:numFmt w:val="lowerRoman"/>
      <w:lvlText w:val="%6."/>
      <w:lvlJc w:val="right"/>
      <w:pPr>
        <w:ind w:left="4320" w:hanging="180"/>
      </w:pPr>
    </w:lvl>
    <w:lvl w:ilvl="6" w:tplc="3724E7C6">
      <w:start w:val="1"/>
      <w:numFmt w:val="decimal"/>
      <w:lvlText w:val="%7."/>
      <w:lvlJc w:val="left"/>
      <w:pPr>
        <w:ind w:left="5040" w:hanging="360"/>
      </w:pPr>
    </w:lvl>
    <w:lvl w:ilvl="7" w:tplc="5BDEB820">
      <w:start w:val="1"/>
      <w:numFmt w:val="lowerLetter"/>
      <w:lvlText w:val="%8."/>
      <w:lvlJc w:val="left"/>
      <w:pPr>
        <w:ind w:left="5760" w:hanging="360"/>
      </w:pPr>
    </w:lvl>
    <w:lvl w:ilvl="8" w:tplc="3F34230A">
      <w:start w:val="1"/>
      <w:numFmt w:val="lowerRoman"/>
      <w:lvlText w:val="%9."/>
      <w:lvlJc w:val="right"/>
      <w:pPr>
        <w:ind w:left="6480" w:hanging="180"/>
      </w:pPr>
    </w:lvl>
  </w:abstractNum>
  <w:abstractNum w:abstractNumId="2" w15:restartNumberingAfterBreak="0">
    <w:nsid w:val="514B3A83"/>
    <w:multiLevelType w:val="hybridMultilevel"/>
    <w:tmpl w:val="FFFFFFFF"/>
    <w:lvl w:ilvl="0" w:tplc="55121932">
      <w:start w:val="1"/>
      <w:numFmt w:val="decimal"/>
      <w:lvlText w:val="%1."/>
      <w:lvlJc w:val="left"/>
      <w:pPr>
        <w:ind w:left="720" w:hanging="360"/>
      </w:pPr>
    </w:lvl>
    <w:lvl w:ilvl="1" w:tplc="0644990C">
      <w:start w:val="1"/>
      <w:numFmt w:val="lowerLetter"/>
      <w:lvlText w:val="%2."/>
      <w:lvlJc w:val="left"/>
      <w:pPr>
        <w:ind w:left="1440" w:hanging="360"/>
      </w:pPr>
    </w:lvl>
    <w:lvl w:ilvl="2" w:tplc="CCD82920">
      <w:start w:val="1"/>
      <w:numFmt w:val="lowerRoman"/>
      <w:lvlText w:val="%3."/>
      <w:lvlJc w:val="right"/>
      <w:pPr>
        <w:ind w:left="2160" w:hanging="180"/>
      </w:pPr>
    </w:lvl>
    <w:lvl w:ilvl="3" w:tplc="21668C34">
      <w:start w:val="1"/>
      <w:numFmt w:val="decimal"/>
      <w:lvlText w:val="%4."/>
      <w:lvlJc w:val="left"/>
      <w:pPr>
        <w:ind w:left="2880" w:hanging="360"/>
      </w:pPr>
    </w:lvl>
    <w:lvl w:ilvl="4" w:tplc="488C7F3C">
      <w:start w:val="1"/>
      <w:numFmt w:val="lowerLetter"/>
      <w:lvlText w:val="%5."/>
      <w:lvlJc w:val="left"/>
      <w:pPr>
        <w:ind w:left="3600" w:hanging="360"/>
      </w:pPr>
    </w:lvl>
    <w:lvl w:ilvl="5" w:tplc="AB3A6B08">
      <w:start w:val="1"/>
      <w:numFmt w:val="lowerRoman"/>
      <w:lvlText w:val="%6."/>
      <w:lvlJc w:val="right"/>
      <w:pPr>
        <w:ind w:left="4320" w:hanging="180"/>
      </w:pPr>
    </w:lvl>
    <w:lvl w:ilvl="6" w:tplc="87565180">
      <w:start w:val="1"/>
      <w:numFmt w:val="decimal"/>
      <w:lvlText w:val="%7."/>
      <w:lvlJc w:val="left"/>
      <w:pPr>
        <w:ind w:left="5040" w:hanging="360"/>
      </w:pPr>
    </w:lvl>
    <w:lvl w:ilvl="7" w:tplc="35A2FFE4">
      <w:start w:val="1"/>
      <w:numFmt w:val="lowerLetter"/>
      <w:lvlText w:val="%8."/>
      <w:lvlJc w:val="left"/>
      <w:pPr>
        <w:ind w:left="5760" w:hanging="360"/>
      </w:pPr>
    </w:lvl>
    <w:lvl w:ilvl="8" w:tplc="92A6939E">
      <w:start w:val="1"/>
      <w:numFmt w:val="lowerRoman"/>
      <w:lvlText w:val="%9."/>
      <w:lvlJc w:val="right"/>
      <w:pPr>
        <w:ind w:left="6480" w:hanging="180"/>
      </w:pPr>
    </w:lvl>
  </w:abstractNum>
  <w:num w:numId="1" w16cid:durableId="477461687">
    <w:abstractNumId w:val="0"/>
  </w:num>
  <w:num w:numId="2" w16cid:durableId="1604848460">
    <w:abstractNumId w:val="1"/>
  </w:num>
  <w:num w:numId="3" w16cid:durableId="19484659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B27"/>
    <w:rsid w:val="0000237E"/>
    <w:rsid w:val="00107A30"/>
    <w:rsid w:val="00117A1A"/>
    <w:rsid w:val="001304BE"/>
    <w:rsid w:val="0014643B"/>
    <w:rsid w:val="00206477"/>
    <w:rsid w:val="00242677"/>
    <w:rsid w:val="0025116C"/>
    <w:rsid w:val="002B5B27"/>
    <w:rsid w:val="002C2FE1"/>
    <w:rsid w:val="002E6BBA"/>
    <w:rsid w:val="00343725"/>
    <w:rsid w:val="00371564"/>
    <w:rsid w:val="00374F8E"/>
    <w:rsid w:val="0038025A"/>
    <w:rsid w:val="003E099A"/>
    <w:rsid w:val="004023E9"/>
    <w:rsid w:val="0040428D"/>
    <w:rsid w:val="00444D1A"/>
    <w:rsid w:val="004663F1"/>
    <w:rsid w:val="004B7638"/>
    <w:rsid w:val="004D2854"/>
    <w:rsid w:val="00534459"/>
    <w:rsid w:val="005B1391"/>
    <w:rsid w:val="005F2E86"/>
    <w:rsid w:val="005F4EA2"/>
    <w:rsid w:val="0060334D"/>
    <w:rsid w:val="006155FE"/>
    <w:rsid w:val="00624CAA"/>
    <w:rsid w:val="006C2E99"/>
    <w:rsid w:val="006C791D"/>
    <w:rsid w:val="00727D4E"/>
    <w:rsid w:val="00750068"/>
    <w:rsid w:val="0077431D"/>
    <w:rsid w:val="0078783B"/>
    <w:rsid w:val="007B633E"/>
    <w:rsid w:val="007B6A42"/>
    <w:rsid w:val="007B6A97"/>
    <w:rsid w:val="007C0E15"/>
    <w:rsid w:val="007D7447"/>
    <w:rsid w:val="008608BE"/>
    <w:rsid w:val="00953149"/>
    <w:rsid w:val="00964571"/>
    <w:rsid w:val="00967DAC"/>
    <w:rsid w:val="009B4D56"/>
    <w:rsid w:val="009D438B"/>
    <w:rsid w:val="009D64D5"/>
    <w:rsid w:val="009F01EC"/>
    <w:rsid w:val="009F358B"/>
    <w:rsid w:val="00A0273F"/>
    <w:rsid w:val="00A85A97"/>
    <w:rsid w:val="00B032DB"/>
    <w:rsid w:val="00B23559"/>
    <w:rsid w:val="00B27BE1"/>
    <w:rsid w:val="00B30DDF"/>
    <w:rsid w:val="00B329F2"/>
    <w:rsid w:val="00B32B7F"/>
    <w:rsid w:val="00B4529E"/>
    <w:rsid w:val="00B73978"/>
    <w:rsid w:val="00BA116E"/>
    <w:rsid w:val="00BB71EE"/>
    <w:rsid w:val="00BE37F7"/>
    <w:rsid w:val="00BF6E54"/>
    <w:rsid w:val="00C22BD0"/>
    <w:rsid w:val="00C453F3"/>
    <w:rsid w:val="00C92A9A"/>
    <w:rsid w:val="00CE64B0"/>
    <w:rsid w:val="00CF78CF"/>
    <w:rsid w:val="00D37C51"/>
    <w:rsid w:val="00D42903"/>
    <w:rsid w:val="00D5015B"/>
    <w:rsid w:val="00E14514"/>
    <w:rsid w:val="00E64F76"/>
    <w:rsid w:val="00E74BD8"/>
    <w:rsid w:val="00EB562C"/>
    <w:rsid w:val="00F92100"/>
    <w:rsid w:val="00FC1423"/>
    <w:rsid w:val="00FC28B7"/>
    <w:rsid w:val="00FF5AA6"/>
    <w:rsid w:val="0FCA3D47"/>
    <w:rsid w:val="205E26A7"/>
    <w:rsid w:val="353B4987"/>
    <w:rsid w:val="3DFDA105"/>
    <w:rsid w:val="6C9BAD35"/>
    <w:rsid w:val="75A5C001"/>
    <w:rsid w:val="7B9C1D9E"/>
    <w:rsid w:val="7EBA46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E6607"/>
  <w15:chartTrackingRefBased/>
  <w15:docId w15:val="{ED469304-E2B1-4224-8619-E5E70B2A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14643B"/>
    <w:rPr>
      <w:color w:val="0563C1" w:themeColor="hyperlink"/>
      <w:u w:val="single"/>
    </w:rPr>
  </w:style>
  <w:style w:type="character" w:styleId="UnresolvedMention1" w:customStyle="1">
    <w:name w:val="Unresolved Mention1"/>
    <w:basedOn w:val="DefaultParagraphFont"/>
    <w:uiPriority w:val="99"/>
    <w:semiHidden/>
    <w:unhideWhenUsed/>
    <w:rsid w:val="0014643B"/>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211183">
      <w:bodyDiv w:val="1"/>
      <w:marLeft w:val="0"/>
      <w:marRight w:val="0"/>
      <w:marTop w:val="0"/>
      <w:marBottom w:val="0"/>
      <w:divBdr>
        <w:top w:val="none" w:sz="0" w:space="0" w:color="auto"/>
        <w:left w:val="none" w:sz="0" w:space="0" w:color="auto"/>
        <w:bottom w:val="none" w:sz="0" w:space="0" w:color="auto"/>
        <w:right w:val="none" w:sz="0" w:space="0" w:color="auto"/>
      </w:divBdr>
      <w:divsChild>
        <w:div w:id="1238905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microsoft.com/office/2020/10/relationships/intelligence" Target="intelligence2.xml" Id="rId9" /><Relationship Type="http://schemas.openxmlformats.org/officeDocument/2006/relationships/image" Target="/media/image2.jpg" Id="R1ac05612706c4c1a" /><Relationship Type="http://schemas.openxmlformats.org/officeDocument/2006/relationships/hyperlink" Target="https://goo.gl/kQZDyo." TargetMode="External" Id="R9293a69c101b47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denish mangukiya</dc:creator>
  <keywords/>
  <dc:description/>
  <lastModifiedBy>denish mangukiya</lastModifiedBy>
  <revision>28</revision>
  <dcterms:created xsi:type="dcterms:W3CDTF">2023-03-27T23:13:00.0000000Z</dcterms:created>
  <dcterms:modified xsi:type="dcterms:W3CDTF">2023-03-31T10:48:19.3308889Z</dcterms:modified>
</coreProperties>
</file>