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3E6ADB" w14:textId="65172789" w:rsidR="008F2390" w:rsidRDefault="008F2390" w:rsidP="008F2390">
      <w:pPr>
        <w:pStyle w:val="NormalWeb"/>
        <w:spacing w:before="0" w:beforeAutospacing="0" w:after="0" w:afterAutospacing="0"/>
        <w:ind w:left="-180" w:right="-334"/>
        <w:rPr>
          <w:rFonts w:ascii="Trebuchet MS" w:hAnsi="Trebuchet MS" w:cs="Tahoma"/>
          <w:sz w:val="24"/>
          <w:szCs w:val="24"/>
        </w:rPr>
      </w:pPr>
      <w:r>
        <w:rPr>
          <w:noProof/>
        </w:rPr>
        <w:drawing>
          <wp:inline distT="0" distB="0" distL="0" distR="0" wp14:anchorId="18D6B730" wp14:editId="7B50C80A">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759612CC" w14:textId="77777777" w:rsidR="008F2390" w:rsidRDefault="008F2390" w:rsidP="008F2390">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14:paraId="195C01A4" w14:textId="77777777" w:rsidR="008F2390" w:rsidRPr="001E50BB" w:rsidRDefault="008F2390" w:rsidP="008F2390">
      <w:pPr>
        <w:jc w:val="center"/>
        <w:rPr>
          <w:rFonts w:ascii="Arial" w:hAnsi="Arial" w:cs="Arial"/>
          <w:b/>
          <w:lang w:val="cy-GB"/>
        </w:rPr>
      </w:pPr>
      <w:r w:rsidRPr="001E50BB">
        <w:rPr>
          <w:rFonts w:ascii="Arial" w:hAnsi="Arial" w:cs="Arial"/>
          <w:b/>
          <w:lang w:val="cy-GB"/>
        </w:rPr>
        <w:t>(to be completed by marker)</w:t>
      </w:r>
    </w:p>
    <w:p w14:paraId="79B7B73B" w14:textId="77777777" w:rsidR="008F2390" w:rsidRPr="001E50BB" w:rsidRDefault="008F2390" w:rsidP="008F2390">
      <w:pPr>
        <w:jc w:val="center"/>
        <w:rPr>
          <w:rFonts w:ascii="Arial" w:hAnsi="Arial" w:cs="Arial"/>
          <w:b/>
          <w:lang w:val="cy-GB"/>
        </w:rPr>
      </w:pPr>
    </w:p>
    <w:p w14:paraId="17FD5DA7" w14:textId="77777777" w:rsidR="008F2390" w:rsidRDefault="008F2390" w:rsidP="008F2390">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8F2390" w:rsidRPr="0065654E" w14:paraId="38671286" w14:textId="77777777" w:rsidTr="008A722E">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6DFE9606" w14:textId="77777777" w:rsidR="008F2390" w:rsidRDefault="008F2390" w:rsidP="008A722E">
            <w:pPr>
              <w:pStyle w:val="NormalWeb"/>
              <w:spacing w:before="0" w:beforeAutospacing="0" w:after="0" w:afterAutospacing="0"/>
              <w:ind w:right="34"/>
              <w:rPr>
                <w:rFonts w:ascii="Calibri" w:hAnsi="Calibri" w:cs="Tahoma"/>
                <w:i/>
                <w:sz w:val="24"/>
                <w:szCs w:val="24"/>
              </w:rPr>
            </w:pPr>
            <w:r w:rsidRPr="0065654E">
              <w:rPr>
                <w:rFonts w:ascii="Calibri" w:hAnsi="Calibri" w:cs="Tahoma"/>
                <w:i/>
                <w:sz w:val="24"/>
                <w:szCs w:val="24"/>
              </w:rPr>
              <w:t>Student Na</w:t>
            </w:r>
            <w:r>
              <w:rPr>
                <w:rFonts w:ascii="Calibri" w:hAnsi="Calibri" w:cs="Tahoma"/>
                <w:i/>
                <w:sz w:val="24"/>
                <w:szCs w:val="24"/>
              </w:rPr>
              <w:t>me: Hilary Slack</w:t>
            </w:r>
          </w:p>
          <w:p w14:paraId="5ACE5386" w14:textId="77777777" w:rsidR="008F2390" w:rsidRPr="0065654E" w:rsidRDefault="008F2390" w:rsidP="008A722E">
            <w:pPr>
              <w:pStyle w:val="NormalWeb"/>
              <w:spacing w:before="0" w:beforeAutospacing="0" w:after="0" w:afterAutospacing="0"/>
              <w:ind w:right="34"/>
              <w:rPr>
                <w:rFonts w:ascii="Calibri" w:hAnsi="Calibri" w:cs="Tahoma"/>
                <w:i/>
                <w:sz w:val="24"/>
                <w:szCs w:val="24"/>
              </w:rPr>
            </w:pPr>
          </w:p>
        </w:tc>
      </w:tr>
      <w:tr w:rsidR="008F2390" w:rsidRPr="0065654E" w14:paraId="5E3E0BED" w14:textId="77777777" w:rsidTr="008A722E">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653E6629" w14:textId="77777777" w:rsidR="008F2390" w:rsidRDefault="008F2390" w:rsidP="008A722E">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Module Code: HUSK6004</w:t>
            </w:r>
          </w:p>
          <w:p w14:paraId="25E217AD" w14:textId="77777777" w:rsidR="008F2390" w:rsidRDefault="008F2390" w:rsidP="008A722E">
            <w:pPr>
              <w:pStyle w:val="NormalWeb"/>
              <w:spacing w:before="0" w:beforeAutospacing="0" w:after="0" w:afterAutospacing="0"/>
              <w:ind w:right="34"/>
              <w:rPr>
                <w:rFonts w:ascii="Calibri" w:hAnsi="Calibri" w:cs="Tahoma"/>
                <w:i/>
                <w:sz w:val="24"/>
                <w:szCs w:val="24"/>
              </w:rPr>
            </w:pPr>
          </w:p>
          <w:p w14:paraId="6DB30716" w14:textId="77777777" w:rsidR="008F2390" w:rsidRDefault="008F2390" w:rsidP="008A722E">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 Roderic Bowen Centre: Archive and Research</w:t>
            </w:r>
          </w:p>
          <w:p w14:paraId="0823BC86" w14:textId="77777777" w:rsidR="008F2390" w:rsidRPr="0065654E" w:rsidRDefault="008F2390" w:rsidP="008A722E">
            <w:pPr>
              <w:pStyle w:val="NormalWeb"/>
              <w:spacing w:before="0" w:beforeAutospacing="0" w:after="0" w:afterAutospacing="0"/>
              <w:ind w:right="34"/>
              <w:rPr>
                <w:rFonts w:ascii="Calibri" w:hAnsi="Calibri" w:cs="Tahoma"/>
                <w:i/>
                <w:sz w:val="24"/>
                <w:szCs w:val="24"/>
              </w:rPr>
            </w:pPr>
          </w:p>
        </w:tc>
        <w:tc>
          <w:tcPr>
            <w:tcW w:w="3967" w:type="dxa"/>
            <w:gridSpan w:val="2"/>
            <w:tcBorders>
              <w:top w:val="single" w:sz="4" w:space="0" w:color="auto"/>
              <w:left w:val="single" w:sz="4" w:space="0" w:color="auto"/>
              <w:bottom w:val="single" w:sz="4" w:space="0" w:color="auto"/>
              <w:right w:val="single" w:sz="4" w:space="0" w:color="auto"/>
            </w:tcBorders>
          </w:tcPr>
          <w:p w14:paraId="5E0418F3" w14:textId="77777777" w:rsidR="008F2390" w:rsidRPr="0065654E" w:rsidRDefault="008F2390" w:rsidP="008A722E">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Student </w:t>
            </w:r>
            <w:r w:rsidRPr="0065654E">
              <w:rPr>
                <w:rFonts w:ascii="Calibri" w:hAnsi="Calibri" w:cs="Tahoma"/>
                <w:i/>
                <w:sz w:val="24"/>
                <w:szCs w:val="24"/>
              </w:rPr>
              <w:t>number:</w:t>
            </w:r>
            <w:r>
              <w:rPr>
                <w:rFonts w:ascii="Calibri" w:hAnsi="Calibri" w:cs="Tahoma"/>
                <w:i/>
                <w:sz w:val="24"/>
                <w:szCs w:val="24"/>
              </w:rPr>
              <w:t xml:space="preserve">  1500636</w:t>
            </w:r>
          </w:p>
        </w:tc>
      </w:tr>
      <w:tr w:rsidR="008F2390" w:rsidRPr="0065654E" w14:paraId="1FFCFFF9" w14:textId="77777777" w:rsidTr="008A722E">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0D5C6149" w14:textId="77777777" w:rsidR="008F2390" w:rsidRPr="0065654E" w:rsidRDefault="008F2390" w:rsidP="008A722E">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14:paraId="2C0CED5C" w14:textId="77777777" w:rsidR="008F2390" w:rsidRDefault="008F2390" w:rsidP="008A722E">
            <w:pPr>
              <w:pStyle w:val="NormalWeb"/>
              <w:rPr>
                <w:rFonts w:ascii="Calibri" w:hAnsi="Calibri" w:cs="Tahoma"/>
                <w:i/>
                <w:sz w:val="24"/>
                <w:szCs w:val="24"/>
              </w:rPr>
            </w:pPr>
            <w:r w:rsidRPr="0065654E">
              <w:rPr>
                <w:rFonts w:ascii="Calibri" w:hAnsi="Calibri" w:cs="Tahoma"/>
                <w:i/>
                <w:sz w:val="24"/>
                <w:szCs w:val="24"/>
              </w:rPr>
              <w:t>Comments:</w:t>
            </w:r>
          </w:p>
          <w:p w14:paraId="06FAB2F9" w14:textId="77777777" w:rsidR="008F2390" w:rsidRDefault="008F2390" w:rsidP="008A722E">
            <w:pPr>
              <w:pStyle w:val="NormalWeb"/>
              <w:rPr>
                <w:rFonts w:ascii="Calibri" w:hAnsi="Calibri" w:cs="Tahoma"/>
                <w:i/>
                <w:sz w:val="24"/>
                <w:szCs w:val="24"/>
              </w:rPr>
            </w:pPr>
          </w:p>
          <w:p w14:paraId="5AB0B80C" w14:textId="77777777" w:rsidR="008F2390" w:rsidRDefault="008F2390" w:rsidP="008A722E">
            <w:pPr>
              <w:pStyle w:val="NormalWeb"/>
              <w:rPr>
                <w:rFonts w:ascii="Calibri" w:hAnsi="Calibri" w:cs="Tahoma"/>
                <w:i/>
                <w:sz w:val="24"/>
                <w:szCs w:val="24"/>
              </w:rPr>
            </w:pPr>
          </w:p>
          <w:p w14:paraId="48918A09" w14:textId="77777777" w:rsidR="008F2390" w:rsidRDefault="008F2390" w:rsidP="008A722E">
            <w:pPr>
              <w:pStyle w:val="NormalWeb"/>
              <w:rPr>
                <w:rFonts w:ascii="Calibri" w:hAnsi="Calibri" w:cs="Tahoma"/>
                <w:i/>
                <w:sz w:val="24"/>
                <w:szCs w:val="24"/>
              </w:rPr>
            </w:pPr>
          </w:p>
          <w:p w14:paraId="126967C5" w14:textId="77777777" w:rsidR="008F2390" w:rsidRDefault="008F2390" w:rsidP="008A722E">
            <w:pPr>
              <w:pStyle w:val="NormalWeb"/>
              <w:rPr>
                <w:rFonts w:ascii="Calibri" w:hAnsi="Calibri" w:cs="Tahoma"/>
                <w:i/>
                <w:sz w:val="24"/>
                <w:szCs w:val="24"/>
              </w:rPr>
            </w:pPr>
          </w:p>
          <w:p w14:paraId="70BEA4A4" w14:textId="77777777" w:rsidR="008F2390" w:rsidRDefault="008F2390" w:rsidP="008A722E">
            <w:pPr>
              <w:pStyle w:val="NormalWeb"/>
              <w:rPr>
                <w:rFonts w:ascii="Calibri" w:hAnsi="Calibri" w:cs="Tahoma"/>
                <w:i/>
                <w:sz w:val="24"/>
                <w:szCs w:val="24"/>
              </w:rPr>
            </w:pPr>
          </w:p>
          <w:p w14:paraId="5CBF0AA2" w14:textId="77777777" w:rsidR="008F2390" w:rsidRDefault="008F2390" w:rsidP="008A722E">
            <w:pPr>
              <w:pStyle w:val="NormalWeb"/>
              <w:rPr>
                <w:rFonts w:ascii="Calibri" w:hAnsi="Calibri" w:cs="Tahoma"/>
                <w:i/>
                <w:sz w:val="24"/>
                <w:szCs w:val="24"/>
              </w:rPr>
            </w:pPr>
          </w:p>
          <w:p w14:paraId="2807C7CA" w14:textId="77777777" w:rsidR="008F2390" w:rsidRDefault="008F2390" w:rsidP="008A722E">
            <w:pPr>
              <w:pStyle w:val="NormalWeb"/>
              <w:rPr>
                <w:rFonts w:ascii="Calibri" w:hAnsi="Calibri" w:cs="Tahoma"/>
                <w:i/>
                <w:sz w:val="24"/>
                <w:szCs w:val="24"/>
              </w:rPr>
            </w:pPr>
          </w:p>
          <w:p w14:paraId="4D88492E" w14:textId="77777777" w:rsidR="008F2390" w:rsidRDefault="008F2390" w:rsidP="008A722E">
            <w:pPr>
              <w:pStyle w:val="NormalWeb"/>
              <w:rPr>
                <w:rFonts w:ascii="Calibri" w:hAnsi="Calibri" w:cs="Tahoma"/>
                <w:i/>
                <w:sz w:val="24"/>
                <w:szCs w:val="24"/>
              </w:rPr>
            </w:pPr>
          </w:p>
          <w:p w14:paraId="006C376A" w14:textId="77777777" w:rsidR="008F2390" w:rsidRDefault="008F2390" w:rsidP="008A722E">
            <w:pPr>
              <w:pStyle w:val="NormalWeb"/>
              <w:rPr>
                <w:rFonts w:ascii="Calibri" w:hAnsi="Calibri" w:cs="Tahoma"/>
                <w:i/>
                <w:sz w:val="24"/>
                <w:szCs w:val="24"/>
              </w:rPr>
            </w:pPr>
          </w:p>
          <w:p w14:paraId="52969ED8" w14:textId="77777777" w:rsidR="008F2390" w:rsidRDefault="008F2390" w:rsidP="008A722E">
            <w:pPr>
              <w:pStyle w:val="NormalWeb"/>
              <w:rPr>
                <w:rFonts w:ascii="Calibri" w:hAnsi="Calibri" w:cs="Tahoma"/>
                <w:i/>
                <w:sz w:val="24"/>
                <w:szCs w:val="24"/>
              </w:rPr>
            </w:pPr>
          </w:p>
          <w:p w14:paraId="7758AD4B" w14:textId="77777777" w:rsidR="008F2390" w:rsidRPr="0065654E" w:rsidRDefault="008F2390" w:rsidP="008A722E">
            <w:pPr>
              <w:pStyle w:val="NormalWeb"/>
              <w:rPr>
                <w:rFonts w:ascii="Calibri" w:hAnsi="Calibri" w:cs="Tahoma"/>
                <w:i/>
                <w:sz w:val="24"/>
                <w:szCs w:val="24"/>
              </w:rPr>
            </w:pPr>
          </w:p>
        </w:tc>
      </w:tr>
      <w:tr w:rsidR="008F2390" w:rsidRPr="0065654E" w14:paraId="2549F0E9" w14:textId="77777777" w:rsidTr="008A722E">
        <w:trPr>
          <w:trHeight w:val="492"/>
        </w:trPr>
        <w:tc>
          <w:tcPr>
            <w:tcW w:w="6768" w:type="dxa"/>
            <w:gridSpan w:val="2"/>
            <w:tcBorders>
              <w:top w:val="single" w:sz="4" w:space="0" w:color="auto"/>
            </w:tcBorders>
            <w:vAlign w:val="center"/>
          </w:tcPr>
          <w:p w14:paraId="47F4B252" w14:textId="77777777" w:rsidR="008F2390" w:rsidRPr="0065654E" w:rsidRDefault="008F2390" w:rsidP="008A722E">
            <w:pPr>
              <w:pStyle w:val="NormalWeb"/>
              <w:ind w:left="142" w:right="34"/>
              <w:rPr>
                <w:rFonts w:ascii="Calibri" w:hAnsi="Calibri" w:cs="Tahoma"/>
                <w:i/>
                <w:sz w:val="24"/>
                <w:szCs w:val="24"/>
              </w:rPr>
            </w:pPr>
            <w:r w:rsidRPr="0065654E">
              <w:rPr>
                <w:rFonts w:ascii="Calibri" w:hAnsi="Calibri" w:cs="Tahoma"/>
                <w:i/>
                <w:sz w:val="24"/>
                <w:szCs w:val="24"/>
              </w:rPr>
              <w:t>Marker</w:t>
            </w:r>
            <w:r>
              <w:rPr>
                <w:rFonts w:ascii="Calibri" w:hAnsi="Calibri" w:cs="Tahoma"/>
                <w:i/>
                <w:sz w:val="24"/>
                <w:szCs w:val="24"/>
              </w:rPr>
              <w:t xml:space="preserve">’s </w:t>
            </w:r>
            <w:r w:rsidRPr="0065654E">
              <w:rPr>
                <w:rFonts w:ascii="Calibri" w:hAnsi="Calibri" w:cs="Tahoma"/>
                <w:i/>
                <w:sz w:val="24"/>
                <w:szCs w:val="24"/>
              </w:rPr>
              <w:t>signature:</w:t>
            </w:r>
          </w:p>
        </w:tc>
        <w:tc>
          <w:tcPr>
            <w:tcW w:w="1987" w:type="dxa"/>
            <w:tcBorders>
              <w:top w:val="single" w:sz="4" w:space="0" w:color="auto"/>
            </w:tcBorders>
            <w:vAlign w:val="center"/>
          </w:tcPr>
          <w:p w14:paraId="1169DCD7" w14:textId="77777777" w:rsidR="008F2390" w:rsidRPr="0065654E" w:rsidRDefault="008F2390" w:rsidP="008A722E">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p>
        </w:tc>
      </w:tr>
      <w:tr w:rsidR="008F2390" w:rsidRPr="0065654E" w14:paraId="479BBE0C" w14:textId="77777777" w:rsidTr="008A722E">
        <w:tc>
          <w:tcPr>
            <w:tcW w:w="8755" w:type="dxa"/>
            <w:gridSpan w:val="3"/>
            <w:vAlign w:val="center"/>
          </w:tcPr>
          <w:p w14:paraId="20ABD517" w14:textId="77777777" w:rsidR="008F2390" w:rsidRDefault="008F2390" w:rsidP="008A722E">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p>
          <w:p w14:paraId="7B1AA0E7" w14:textId="77777777" w:rsidR="008F2390" w:rsidRPr="0065654E" w:rsidRDefault="008F2390" w:rsidP="008A722E">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tr>
    </w:tbl>
    <w:p w14:paraId="7AFF0A34" w14:textId="77777777" w:rsidR="008F2390" w:rsidRDefault="008F2390" w:rsidP="008F2390">
      <w:pPr>
        <w:rPr>
          <w:b/>
        </w:rPr>
      </w:pPr>
    </w:p>
    <w:p w14:paraId="3D3B05FF" w14:textId="605828CA" w:rsidR="00460BDF" w:rsidRDefault="008F2390" w:rsidP="008F2390">
      <w:pPr>
        <w:rPr>
          <w:b/>
        </w:rPr>
      </w:pPr>
      <w:r w:rsidRPr="008F2390">
        <w:rPr>
          <w:b/>
        </w:rPr>
        <w:lastRenderedPageBreak/>
        <w:t>Reflective Journal</w:t>
      </w:r>
    </w:p>
    <w:p w14:paraId="3121C678" w14:textId="77C7B172" w:rsidR="008F2390" w:rsidRDefault="008F2390" w:rsidP="008F2390">
      <w:pPr>
        <w:rPr>
          <w:b/>
        </w:rPr>
      </w:pPr>
    </w:p>
    <w:p w14:paraId="23B696FF" w14:textId="6044B75E" w:rsidR="00E819F5" w:rsidRDefault="008F2390" w:rsidP="00C927FF">
      <w:pPr>
        <w:spacing w:line="480" w:lineRule="auto"/>
        <w:jc w:val="both"/>
      </w:pPr>
      <w:r w:rsidRPr="008F2390">
        <w:t>Having used the Roderic Bowen Archive</w:t>
      </w:r>
      <w:r>
        <w:t xml:space="preserve">s for a couple of my undergraduate degree modules I felt that it would be very useful to learn more about them and how archives in general should be used and run. </w:t>
      </w:r>
      <w:r w:rsidR="00E819F5">
        <w:t>The first lecture on the archives themselves</w:t>
      </w:r>
      <w:r w:rsidR="00F5212C">
        <w:t>,</w:t>
      </w:r>
      <w:r w:rsidR="00E819F5">
        <w:t xml:space="preserve"> and the special collections that are housed in the Roderic Bowen Archives</w:t>
      </w:r>
      <w:r w:rsidR="00F5212C">
        <w:t>,</w:t>
      </w:r>
      <w:r w:rsidR="00E819F5">
        <w:t xml:space="preserve"> was very informative and gave me more </w:t>
      </w:r>
      <w:r w:rsidR="00241D84">
        <w:t>in-depth</w:t>
      </w:r>
      <w:r w:rsidR="00E819F5">
        <w:t xml:space="preserve"> information on the three main collections, donated by Bishop Thomas Burgess, Dr Thomas </w:t>
      </w:r>
      <w:proofErr w:type="spellStart"/>
      <w:r w:rsidR="00E819F5">
        <w:t>Bowdler</w:t>
      </w:r>
      <w:proofErr w:type="spellEnd"/>
      <w:r w:rsidR="00E819F5">
        <w:t xml:space="preserve"> and Thomas Phillips.</w:t>
      </w:r>
      <w:r w:rsidR="00241D84">
        <w:t xml:space="preserve"> It was interesting to hear how the special collections were once housed in the Founder’s Library in Old Building</w:t>
      </w:r>
      <w:r w:rsidR="00946136">
        <w:t>,</w:t>
      </w:r>
      <w:r w:rsidR="00241D84">
        <w:t xml:space="preserve"> but </w:t>
      </w:r>
      <w:r w:rsidR="00E4682E">
        <w:t xml:space="preserve">to help control any future damage to the collections a new purpose-built archive was built for their preservation </w:t>
      </w:r>
      <w:r w:rsidR="00F5212C">
        <w:t>i</w:t>
      </w:r>
      <w:r w:rsidR="00E4682E">
        <w:t xml:space="preserve">n the </w:t>
      </w:r>
      <w:r w:rsidR="00F5212C">
        <w:t>Roderic Bowen Centre</w:t>
      </w:r>
      <w:r w:rsidR="00E4682E">
        <w:t xml:space="preserve">. </w:t>
      </w:r>
      <w:r w:rsidR="00241D84">
        <w:t>Information on Saint David’s College is also housed in the Roderic Bowen Archive</w:t>
      </w:r>
      <w:r w:rsidR="00F5212C">
        <w:t>s</w:t>
      </w:r>
      <w:r w:rsidR="00241D84">
        <w:t xml:space="preserve"> </w:t>
      </w:r>
      <w:r w:rsidR="00F5212C">
        <w:t>and was very</w:t>
      </w:r>
      <w:r w:rsidR="00E4682E">
        <w:t xml:space="preserve"> useful for the first project of the module.</w:t>
      </w:r>
    </w:p>
    <w:p w14:paraId="43D32902" w14:textId="068697B3" w:rsidR="00C7531C" w:rsidRPr="00F5212C" w:rsidRDefault="00E47B66" w:rsidP="00C927FF">
      <w:pPr>
        <w:spacing w:line="480" w:lineRule="auto"/>
        <w:jc w:val="both"/>
        <w:rPr>
          <w:b/>
        </w:rPr>
      </w:pPr>
      <w:r w:rsidRPr="00E47B66">
        <w:rPr>
          <w:b/>
        </w:rPr>
        <w:t>The Student Biography</w:t>
      </w:r>
    </w:p>
    <w:p w14:paraId="27B4CF87" w14:textId="473B8896" w:rsidR="004F674A" w:rsidRDefault="00D33174" w:rsidP="00C927FF">
      <w:pPr>
        <w:spacing w:line="480" w:lineRule="auto"/>
        <w:jc w:val="both"/>
      </w:pPr>
      <w:r>
        <w:rPr>
          <w:noProof/>
        </w:rPr>
        <w:drawing>
          <wp:anchor distT="0" distB="0" distL="114300" distR="114300" simplePos="0" relativeHeight="251658240" behindDoc="1" locked="0" layoutInCell="1" allowOverlap="1" wp14:anchorId="53A19B27" wp14:editId="17FA4EC7">
            <wp:simplePos x="0" y="0"/>
            <wp:positionH relativeFrom="column">
              <wp:posOffset>0</wp:posOffset>
            </wp:positionH>
            <wp:positionV relativeFrom="paragraph">
              <wp:posOffset>-1905</wp:posOffset>
            </wp:positionV>
            <wp:extent cx="2384425" cy="2847975"/>
            <wp:effectExtent l="0" t="0" r="0" b="9525"/>
            <wp:wrapTight wrapText="bothSides">
              <wp:wrapPolygon edited="0">
                <wp:start x="0" y="0"/>
                <wp:lineTo x="0" y="21528"/>
                <wp:lineTo x="21399" y="21528"/>
                <wp:lineTo x="2139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84425" cy="2847975"/>
                    </a:xfrm>
                    <a:prstGeom prst="rect">
                      <a:avLst/>
                    </a:prstGeom>
                    <a:noFill/>
                    <a:ln>
                      <a:noFill/>
                    </a:ln>
                  </pic:spPr>
                </pic:pic>
              </a:graphicData>
            </a:graphic>
          </wp:anchor>
        </w:drawing>
      </w:r>
      <w:r w:rsidR="00E4682E">
        <w:t>T</w:t>
      </w:r>
      <w:r w:rsidR="00C7531C">
        <w:t xml:space="preserve">he student biography </w:t>
      </w:r>
      <w:r w:rsidR="00E4682E">
        <w:t>was one of the most enjoyable parts of the module;</w:t>
      </w:r>
      <w:r w:rsidR="00C7531C">
        <w:t xml:space="preserve"> I have an interest in family history and have undertaken to research a couple of my ancestors who fought in the First World War</w:t>
      </w:r>
      <w:r w:rsidR="00E4682E">
        <w:t>,</w:t>
      </w:r>
      <w:r w:rsidR="00C7531C">
        <w:t xml:space="preserve"> </w:t>
      </w:r>
      <w:r w:rsidR="00E4682E">
        <w:t xml:space="preserve">so </w:t>
      </w:r>
      <w:r w:rsidR="00C7531C">
        <w:t xml:space="preserve">this part of the module was not unfamiliar to me. I was </w:t>
      </w:r>
      <w:r w:rsidR="0025114E">
        <w:t>given the</w:t>
      </w:r>
      <w:r w:rsidR="00C7531C">
        <w:t xml:space="preserve"> Reverend Basil Jones </w:t>
      </w:r>
      <w:r w:rsidR="00E4682E">
        <w:t xml:space="preserve">to write about, </w:t>
      </w:r>
      <w:r w:rsidR="00C7531C">
        <w:t>who</w:t>
      </w:r>
      <w:r w:rsidR="00E4682E">
        <w:t>,</w:t>
      </w:r>
      <w:r w:rsidR="00C7531C">
        <w:t xml:space="preserve"> from research</w:t>
      </w:r>
      <w:r w:rsidR="00E4682E">
        <w:t xml:space="preserve">ing the Saint David’s registers, newspapers and Saint David’s </w:t>
      </w:r>
      <w:r w:rsidR="00F5212C">
        <w:t xml:space="preserve">school and college </w:t>
      </w:r>
      <w:r w:rsidR="00E4682E">
        <w:t>magazines,</w:t>
      </w:r>
      <w:r w:rsidR="00C7531C">
        <w:t xml:space="preserve"> was found to be a gentleman who had come a little later into education, </w:t>
      </w:r>
      <w:r w:rsidR="00E4682E">
        <w:t>worked hard at passing his degree and joined only the debating society, Christian Union and the Christian Men’s Club.</w:t>
      </w:r>
      <w:r w:rsidR="00C37895">
        <w:rPr>
          <w:rStyle w:val="FootnoteReference"/>
        </w:rPr>
        <w:footnoteReference w:id="1"/>
      </w:r>
      <w:r w:rsidR="00E4682E">
        <w:t xml:space="preserve"> After graduating with a </w:t>
      </w:r>
      <w:r w:rsidR="00DA76FB">
        <w:t>first-</w:t>
      </w:r>
      <w:r w:rsidR="00DA76FB">
        <w:lastRenderedPageBreak/>
        <w:t>class</w:t>
      </w:r>
      <w:r w:rsidR="00E4682E">
        <w:t xml:space="preserve"> degree in 1911</w:t>
      </w:r>
      <w:r w:rsidR="006D1532">
        <w:rPr>
          <w:rStyle w:val="FootnoteReference"/>
        </w:rPr>
        <w:footnoteReference w:id="2"/>
      </w:r>
      <w:r w:rsidR="00E4682E">
        <w:t xml:space="preserve"> he </w:t>
      </w:r>
      <w:r w:rsidR="00DA76FB">
        <w:t>went straight</w:t>
      </w:r>
      <w:r w:rsidR="00C7531C">
        <w:t xml:space="preserve"> into the ministry </w:t>
      </w:r>
      <w:r w:rsidR="00F5212C">
        <w:t xml:space="preserve">to </w:t>
      </w:r>
      <w:r w:rsidR="00DA76FB">
        <w:t>becom</w:t>
      </w:r>
      <w:r w:rsidR="00F5212C">
        <w:t>e</w:t>
      </w:r>
      <w:r w:rsidR="00DA76FB">
        <w:t xml:space="preserve"> a curate, first in Thame Oxfordshire followed by St James Church Gloucester,</w:t>
      </w:r>
      <w:r w:rsidR="006D1532">
        <w:rPr>
          <w:rStyle w:val="FootnoteReference"/>
        </w:rPr>
        <w:footnoteReference w:id="3"/>
      </w:r>
      <w:r w:rsidR="00DA76FB">
        <w:t xml:space="preserve"> </w:t>
      </w:r>
      <w:r w:rsidR="0025114E">
        <w:t>before joining the army as a chaplain towards the end of the war in October 1918.</w:t>
      </w:r>
      <w:r w:rsidR="006D1532">
        <w:rPr>
          <w:rStyle w:val="FootnoteReference"/>
        </w:rPr>
        <w:footnoteReference w:id="4"/>
      </w:r>
      <w:r w:rsidR="0025114E">
        <w:t xml:space="preserve"> </w:t>
      </w:r>
    </w:p>
    <w:p w14:paraId="4732BAA2" w14:textId="77777777" w:rsidR="00946136" w:rsidRDefault="0025114E" w:rsidP="00C927FF">
      <w:pPr>
        <w:spacing w:line="480" w:lineRule="auto"/>
        <w:jc w:val="both"/>
      </w:pPr>
      <w:r>
        <w:t xml:space="preserve">Although it was very interesting researching Basil, </w:t>
      </w:r>
      <w:r w:rsidR="00DA76FB">
        <w:t>I found it difficult to</w:t>
      </w:r>
      <w:r>
        <w:t xml:space="preserve"> find enough information about him to cover the one-thousand-word essay. After weeks of careful research through archival material, online newspaper archives and even emailing Wycliffe college in Oxford where it was reported that he had trained as a curate, I had only learned that he was a gentle, Christian soul who had a loving wife and baby daughter</w:t>
      </w:r>
      <w:r w:rsidR="00946136">
        <w:t>,</w:t>
      </w:r>
      <w:r>
        <w:t xml:space="preserve"> who was unlucky enough to catch pneumonia and die only a couple of weeks after landing in France; in fact I learned just as much about his wife after he had died as </w:t>
      </w:r>
      <w:r w:rsidR="00F5212C">
        <w:t xml:space="preserve">about </w:t>
      </w:r>
      <w:r>
        <w:t xml:space="preserve">Basil himself. </w:t>
      </w:r>
    </w:p>
    <w:p w14:paraId="1DB7CED8" w14:textId="0BE0B955" w:rsidR="00C7531C" w:rsidRDefault="0025114E" w:rsidP="00C927FF">
      <w:pPr>
        <w:spacing w:line="480" w:lineRule="auto"/>
        <w:jc w:val="both"/>
      </w:pPr>
      <w:r>
        <w:t xml:space="preserve">To fill out the biography I had to resort to books such as Madigan and Snape’s </w:t>
      </w:r>
      <w:r w:rsidRPr="0025114E">
        <w:rPr>
          <w:i/>
        </w:rPr>
        <w:t>The Clergy in Khaki: New Perspectives on British Army Chaplaincy in the First World War,</w:t>
      </w:r>
      <w:r w:rsidR="002E5DAE">
        <w:rPr>
          <w:rStyle w:val="FootnoteReference"/>
          <w:i/>
        </w:rPr>
        <w:footnoteReference w:id="5"/>
      </w:r>
      <w:r>
        <w:t xml:space="preserve"> and internet sites such as </w:t>
      </w:r>
      <w:r w:rsidR="002E5DAE" w:rsidRPr="002E5DAE">
        <w:rPr>
          <w:i/>
        </w:rPr>
        <w:t>The Long</w:t>
      </w:r>
      <w:r w:rsidR="002E5DAE">
        <w:rPr>
          <w:i/>
        </w:rPr>
        <w:t>,</w:t>
      </w:r>
      <w:r w:rsidR="002E5DAE" w:rsidRPr="002E5DAE">
        <w:rPr>
          <w:i/>
        </w:rPr>
        <w:t xml:space="preserve"> Long Trail</w:t>
      </w:r>
      <w:r w:rsidR="002E5DAE">
        <w:rPr>
          <w:rStyle w:val="FootnoteReference"/>
          <w:i/>
        </w:rPr>
        <w:footnoteReference w:id="6"/>
      </w:r>
      <w:r w:rsidR="002E5DAE">
        <w:rPr>
          <w:i/>
        </w:rPr>
        <w:t xml:space="preserve"> </w:t>
      </w:r>
      <w:r w:rsidR="002E5DAE" w:rsidRPr="002E5DAE">
        <w:t xml:space="preserve">to include information on artillery </w:t>
      </w:r>
      <w:r w:rsidR="00F5212C">
        <w:t>units</w:t>
      </w:r>
      <w:r w:rsidR="002E5DAE" w:rsidRPr="002E5DAE">
        <w:t>.</w:t>
      </w:r>
      <w:r w:rsidR="002E5DAE">
        <w:t xml:space="preserve"> </w:t>
      </w:r>
      <w:r w:rsidR="00DA76FB">
        <w:t xml:space="preserve">A month after handing this project in Wycliffe college finally got back to me with information on a totally different student, so they were especially unhelpful! </w:t>
      </w:r>
      <w:r w:rsidR="002E5DAE">
        <w:t xml:space="preserve">Doing this project has </w:t>
      </w:r>
      <w:r w:rsidR="00F5212C">
        <w:t>reminded me that every institution probably has their own war dead and it is important to remember them however insignificant they may appear.</w:t>
      </w:r>
    </w:p>
    <w:p w14:paraId="7C73C13D" w14:textId="4D23A656" w:rsidR="00E47B66" w:rsidRDefault="00E47B66" w:rsidP="00C927FF">
      <w:pPr>
        <w:spacing w:line="480" w:lineRule="auto"/>
        <w:jc w:val="both"/>
        <w:rPr>
          <w:b/>
        </w:rPr>
      </w:pPr>
      <w:r>
        <w:rPr>
          <w:b/>
        </w:rPr>
        <w:t>Archives and Records</w:t>
      </w:r>
    </w:p>
    <w:p w14:paraId="7FE15593" w14:textId="79F53B94" w:rsidR="009C239A" w:rsidRPr="00482CF6" w:rsidRDefault="00E47B66" w:rsidP="00C927FF">
      <w:pPr>
        <w:spacing w:line="480" w:lineRule="auto"/>
        <w:jc w:val="both"/>
      </w:pPr>
      <w:r w:rsidRPr="00E47B66">
        <w:t xml:space="preserve">Janet Burton’s lecture on </w:t>
      </w:r>
      <w:r>
        <w:t xml:space="preserve">archives and records </w:t>
      </w:r>
      <w:r w:rsidR="006A7E9D">
        <w:t xml:space="preserve">taught us to think of three questions when studying sources, what, where and when? Is it a manuscript that has been handwritten, in centuries past, or something that is more up to date, also handwritten or typeset? Are they </w:t>
      </w:r>
      <w:r w:rsidR="006A7E9D">
        <w:lastRenderedPageBreak/>
        <w:t xml:space="preserve">public records that have been kept by local government or ecclesiastical records kept by the church? </w:t>
      </w:r>
      <w:r w:rsidR="009C239A">
        <w:t xml:space="preserve">To help with my understanding of how archives work I read </w:t>
      </w:r>
      <w:proofErr w:type="spellStart"/>
      <w:r w:rsidR="009C239A">
        <w:t>Emmison’s</w:t>
      </w:r>
      <w:proofErr w:type="spellEnd"/>
      <w:r w:rsidR="009C239A">
        <w:t xml:space="preserve"> </w:t>
      </w:r>
      <w:r w:rsidR="009C239A" w:rsidRPr="009C239A">
        <w:rPr>
          <w:i/>
        </w:rPr>
        <w:t>Introduction to Archives</w:t>
      </w:r>
      <w:r w:rsidR="00482CF6">
        <w:rPr>
          <w:rStyle w:val="FootnoteReference"/>
          <w:i/>
        </w:rPr>
        <w:footnoteReference w:id="7"/>
      </w:r>
      <w:r w:rsidR="009C239A" w:rsidRPr="009C239A">
        <w:rPr>
          <w:i/>
        </w:rPr>
        <w:t xml:space="preserve"> </w:t>
      </w:r>
      <w:r w:rsidR="009C239A">
        <w:t xml:space="preserve">and Foster and Sheppard’s </w:t>
      </w:r>
      <w:r w:rsidR="009C239A" w:rsidRPr="009C239A">
        <w:rPr>
          <w:i/>
        </w:rPr>
        <w:t>British Archives: A Guide</w:t>
      </w:r>
      <w:r w:rsidR="009C239A">
        <w:rPr>
          <w:i/>
        </w:rPr>
        <w:t xml:space="preserve"> to the Archive Resources of the United Kingdom</w:t>
      </w:r>
      <w:r w:rsidR="00482CF6">
        <w:rPr>
          <w:i/>
        </w:rPr>
        <w:t>,</w:t>
      </w:r>
      <w:r w:rsidR="00482CF6">
        <w:rPr>
          <w:rStyle w:val="FootnoteReference"/>
          <w:i/>
        </w:rPr>
        <w:footnoteReference w:id="8"/>
      </w:r>
      <w:r w:rsidR="00482CF6">
        <w:rPr>
          <w:i/>
        </w:rPr>
        <w:t xml:space="preserve"> </w:t>
      </w:r>
      <w:r w:rsidR="00482CF6" w:rsidRPr="00482CF6">
        <w:t>both of which</w:t>
      </w:r>
      <w:r w:rsidR="00482CF6">
        <w:t xml:space="preserve"> reiterated everything Janet said about how to begin a research project.</w:t>
      </w:r>
    </w:p>
    <w:p w14:paraId="3ED5F6E5" w14:textId="6F6B3BC8" w:rsidR="00E47B66" w:rsidRPr="00E47B66" w:rsidRDefault="006A7E9D" w:rsidP="00C927FF">
      <w:pPr>
        <w:spacing w:line="480" w:lineRule="auto"/>
        <w:jc w:val="both"/>
      </w:pPr>
      <w:r>
        <w:t xml:space="preserve">It was an important lecture </w:t>
      </w:r>
      <w:r w:rsidR="00F5212C">
        <w:t>for</w:t>
      </w:r>
      <w:r>
        <w:t xml:space="preserve"> </w:t>
      </w:r>
      <w:r w:rsidR="00F5212C">
        <w:t>student researchers</w:t>
      </w:r>
      <w:r>
        <w:t xml:space="preserve"> </w:t>
      </w:r>
      <w:r w:rsidR="00F5212C">
        <w:t xml:space="preserve">as </w:t>
      </w:r>
      <w:r>
        <w:t xml:space="preserve">we will need to know where to go to find the relevant archival material to enrich our research. </w:t>
      </w:r>
      <w:r w:rsidR="00F5212C">
        <w:t>We will need to consider if</w:t>
      </w:r>
      <w:r>
        <w:t xml:space="preserve"> it </w:t>
      </w:r>
      <w:r w:rsidR="00F5212C">
        <w:t xml:space="preserve">is </w:t>
      </w:r>
      <w:r>
        <w:t xml:space="preserve">accessible or are there time constraints due to the sensitive nature of the records? </w:t>
      </w:r>
      <w:r w:rsidR="00F5212C">
        <w:t>Another</w:t>
      </w:r>
      <w:r>
        <w:t xml:space="preserve"> useful </w:t>
      </w:r>
      <w:r w:rsidR="00F5212C">
        <w:t xml:space="preserve">reminder was </w:t>
      </w:r>
      <w:r>
        <w:t>that unlike a library</w:t>
      </w:r>
      <w:r w:rsidR="00F5212C">
        <w:t>,</w:t>
      </w:r>
      <w:r>
        <w:t xml:space="preserve"> that arranges its sources by subject</w:t>
      </w:r>
      <w:r w:rsidR="00F5212C">
        <w:t>,</w:t>
      </w:r>
      <w:r>
        <w:t xml:space="preserve"> archives keep their material together by the body that generates it, for example during my dissertation I was viewing material from the Home Office (HO) and Criminal records (CRIM). </w:t>
      </w:r>
      <w:r w:rsidR="00D36469">
        <w:t>We were also reminded that i</w:t>
      </w:r>
      <w:r>
        <w:t xml:space="preserve">t is impossible to keep every </w:t>
      </w:r>
      <w:r w:rsidR="000F4D8E">
        <w:t>record,</w:t>
      </w:r>
      <w:r>
        <w:t xml:space="preserve"> or e</w:t>
      </w:r>
      <w:r w:rsidR="000F4D8E">
        <w:t>p</w:t>
      </w:r>
      <w:r>
        <w:t>hemera</w:t>
      </w:r>
      <w:r w:rsidR="000F4D8E">
        <w:t xml:space="preserve"> connected to a </w:t>
      </w:r>
      <w:proofErr w:type="gramStart"/>
      <w:r w:rsidR="000F4D8E">
        <w:t>particular subject</w:t>
      </w:r>
      <w:proofErr w:type="gramEnd"/>
      <w:r w:rsidR="000F4D8E">
        <w:t>, and it was quite sobering to learn that only five percent of all documents are kept, and that somebody has to take the important decision on what stays and what goes.</w:t>
      </w:r>
    </w:p>
    <w:p w14:paraId="62215AD4" w14:textId="0B26BEBA" w:rsidR="00E47B66" w:rsidRPr="00E47B66" w:rsidRDefault="00E47B66" w:rsidP="00C927FF">
      <w:pPr>
        <w:spacing w:line="480" w:lineRule="auto"/>
        <w:jc w:val="both"/>
        <w:rPr>
          <w:b/>
        </w:rPr>
      </w:pPr>
      <w:r w:rsidRPr="00E47B66">
        <w:rPr>
          <w:b/>
        </w:rPr>
        <w:t>Medieval Manuscripts</w:t>
      </w:r>
    </w:p>
    <w:p w14:paraId="72EDF695" w14:textId="77777777" w:rsidR="00D36469" w:rsidRDefault="00E47B66" w:rsidP="00C927FF">
      <w:pPr>
        <w:spacing w:line="480" w:lineRule="auto"/>
        <w:jc w:val="both"/>
      </w:pPr>
      <w:r>
        <w:t xml:space="preserve">I looked at and used </w:t>
      </w:r>
      <w:proofErr w:type="gramStart"/>
      <w:r>
        <w:t>a number of</w:t>
      </w:r>
      <w:proofErr w:type="gramEnd"/>
      <w:r>
        <w:t xml:space="preserve"> medieval manuscripts, or </w:t>
      </w:r>
      <w:r w:rsidRPr="00C7531C">
        <w:t xml:space="preserve">facsimiles </w:t>
      </w:r>
      <w:r w:rsidRPr="008F2390">
        <w:t>of them</w:t>
      </w:r>
      <w:r>
        <w:t>,</w:t>
      </w:r>
      <w:r w:rsidRPr="008F2390">
        <w:t xml:space="preserve"> </w:t>
      </w:r>
      <w:r>
        <w:t xml:space="preserve">in a presentation in the medieval manuscripts module in my second year, but it was useful to be reminded of what to look for when examining a manuscript. </w:t>
      </w:r>
      <w:r w:rsidR="000F4D8E">
        <w:t xml:space="preserve">It is important not to just take each medieval piece at face value and class it as a beautiful sample of artwork, it is important to </w:t>
      </w:r>
      <w:r>
        <w:t xml:space="preserve">research </w:t>
      </w:r>
      <w:r w:rsidR="000F4D8E">
        <w:t>around the piece,</w:t>
      </w:r>
      <w:r>
        <w:t xml:space="preserve"> find out where the manuscript was made and who it was made for; </w:t>
      </w:r>
      <w:r w:rsidR="000F4D8E">
        <w:t xml:space="preserve">what were the politics of that time, does the manuscript say something about fashion or religious beliefs of a </w:t>
      </w:r>
      <w:proofErr w:type="gramStart"/>
      <w:r w:rsidR="000F4D8E">
        <w:t>particular era</w:t>
      </w:r>
      <w:proofErr w:type="gramEnd"/>
      <w:r w:rsidR="000F4D8E">
        <w:t xml:space="preserve"> or geographical area? </w:t>
      </w:r>
    </w:p>
    <w:p w14:paraId="1702A5E7" w14:textId="54B14842" w:rsidR="00E47B66" w:rsidRDefault="000F4D8E" w:rsidP="00C927FF">
      <w:pPr>
        <w:spacing w:line="480" w:lineRule="auto"/>
        <w:jc w:val="both"/>
      </w:pPr>
      <w:r>
        <w:lastRenderedPageBreak/>
        <w:t xml:space="preserve">Having read a little around the subject of medieval manuscripts I have learnt from books such as Rudy’s </w:t>
      </w:r>
      <w:r w:rsidRPr="000F4D8E">
        <w:rPr>
          <w:i/>
        </w:rPr>
        <w:t>Piety in Pieces</w:t>
      </w:r>
      <w:r>
        <w:rPr>
          <w:i/>
        </w:rPr>
        <w:t xml:space="preserve"> </w:t>
      </w:r>
      <w:r w:rsidRPr="000F4D8E">
        <w:t>that a lot more</w:t>
      </w:r>
      <w:r>
        <w:t xml:space="preserve"> manuscripts were made than are known to us today,</w:t>
      </w:r>
      <w:r w:rsidR="000D4F03">
        <w:rPr>
          <w:rStyle w:val="FootnoteReference"/>
        </w:rPr>
        <w:footnoteReference w:id="9"/>
      </w:r>
      <w:r>
        <w:t xml:space="preserve"> it is only the best kept and often more ornate ones that are still in existence</w:t>
      </w:r>
      <w:r w:rsidR="00946136">
        <w:t>. T</w:t>
      </w:r>
      <w:bookmarkStart w:id="0" w:name="_GoBack"/>
      <w:bookmarkEnd w:id="0"/>
      <w:r>
        <w:t>hey were not just made for the elite</w:t>
      </w:r>
      <w:r w:rsidR="00D36469">
        <w:t>,</w:t>
      </w:r>
      <w:r>
        <w:t xml:space="preserve"> as the merchant classes grew more people had money to spend on luxury goods and one of the popular items was a </w:t>
      </w:r>
      <w:r w:rsidR="00660396">
        <w:t xml:space="preserve">psalter or a </w:t>
      </w:r>
      <w:r>
        <w:t>book of hours</w:t>
      </w:r>
      <w:r w:rsidR="00E47B66" w:rsidRPr="000F4D8E">
        <w:t>.</w:t>
      </w:r>
      <w:r w:rsidR="000D4F03">
        <w:rPr>
          <w:rStyle w:val="FootnoteReference"/>
        </w:rPr>
        <w:footnoteReference w:id="10"/>
      </w:r>
      <w:r>
        <w:t xml:space="preserve"> </w:t>
      </w:r>
      <w:r w:rsidR="004F674A">
        <w:t>Although we have an actual medieval bible in the archives t</w:t>
      </w:r>
      <w:r>
        <w:t xml:space="preserve">here are a number of facsimile books on </w:t>
      </w:r>
      <w:r w:rsidR="00660396">
        <w:t>the Roderic Bowen shelves including the Macclesfield psalter</w:t>
      </w:r>
      <w:r w:rsidR="00660396">
        <w:rPr>
          <w:rStyle w:val="FootnoteReference"/>
        </w:rPr>
        <w:footnoteReference w:id="11"/>
      </w:r>
      <w:r w:rsidR="00660396">
        <w:t xml:space="preserve"> and the Rohan book of hours</w:t>
      </w:r>
      <w:r w:rsidR="00660396">
        <w:rPr>
          <w:rStyle w:val="FootnoteReference"/>
        </w:rPr>
        <w:footnoteReference w:id="12"/>
      </w:r>
      <w:r w:rsidR="00660396">
        <w:t xml:space="preserve"> which display the amazing quality and rich colours in existence in medieval Europe.</w:t>
      </w:r>
    </w:p>
    <w:p w14:paraId="3506F127" w14:textId="77777777" w:rsidR="00482CF6" w:rsidRDefault="004F674A" w:rsidP="00C927FF">
      <w:pPr>
        <w:spacing w:line="480" w:lineRule="auto"/>
        <w:jc w:val="both"/>
      </w:pPr>
      <w:r>
        <w:t xml:space="preserve">From medieval manuscripts we progressed to manuscripts of vernacular literature of the fourteenth and fifteenth centuries; these were written in English, Latin and French and included such works as Chaucer’s Troilus and Criseyde. The text of these manuscripts </w:t>
      </w:r>
      <w:r w:rsidR="00D36469">
        <w:t>was</w:t>
      </w:r>
      <w:r>
        <w:t xml:space="preserve"> highly professional and mirrored the use of English becoming the language of culture and the courts.</w:t>
      </w:r>
    </w:p>
    <w:p w14:paraId="7E3690E5" w14:textId="49F3C5A0" w:rsidR="00482CF6" w:rsidRDefault="004F674A" w:rsidP="00C927FF">
      <w:pPr>
        <w:spacing w:line="480" w:lineRule="auto"/>
        <w:jc w:val="both"/>
      </w:pPr>
      <w:r w:rsidRPr="004F674A">
        <w:rPr>
          <w:b/>
        </w:rPr>
        <w:t>The Book Biography</w:t>
      </w:r>
    </w:p>
    <w:p w14:paraId="7F2EFD58" w14:textId="48B260C0" w:rsidR="004F674A" w:rsidRDefault="00C927FF" w:rsidP="00C927FF">
      <w:pPr>
        <w:spacing w:line="480" w:lineRule="auto"/>
        <w:jc w:val="both"/>
      </w:pPr>
      <w:r>
        <w:rPr>
          <w:noProof/>
        </w:rPr>
        <w:drawing>
          <wp:anchor distT="0" distB="0" distL="114300" distR="114300" simplePos="0" relativeHeight="251660288" behindDoc="1" locked="0" layoutInCell="1" allowOverlap="1" wp14:anchorId="34E2E2A9" wp14:editId="32149E14">
            <wp:simplePos x="0" y="0"/>
            <wp:positionH relativeFrom="column">
              <wp:posOffset>0</wp:posOffset>
            </wp:positionH>
            <wp:positionV relativeFrom="paragraph">
              <wp:posOffset>-3810</wp:posOffset>
            </wp:positionV>
            <wp:extent cx="1323975" cy="2656816"/>
            <wp:effectExtent l="0" t="0" r="0" b="0"/>
            <wp:wrapTight wrapText="bothSides">
              <wp:wrapPolygon edited="0">
                <wp:start x="0" y="0"/>
                <wp:lineTo x="0" y="21378"/>
                <wp:lineTo x="21134" y="21378"/>
                <wp:lineTo x="21134"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323975" cy="2656816"/>
                    </a:xfrm>
                    <a:prstGeom prst="rect">
                      <a:avLst/>
                    </a:prstGeom>
                    <a:noFill/>
                    <a:ln>
                      <a:noFill/>
                    </a:ln>
                  </pic:spPr>
                </pic:pic>
              </a:graphicData>
            </a:graphic>
            <wp14:sizeRelH relativeFrom="page">
              <wp14:pctWidth>0</wp14:pctWidth>
            </wp14:sizeRelH>
            <wp14:sizeRelV relativeFrom="page">
              <wp14:pctHeight>0</wp14:pctHeight>
            </wp14:sizeRelV>
          </wp:anchor>
        </w:drawing>
      </w:r>
      <w:r w:rsidR="00D63338">
        <w:t xml:space="preserve">The move from manuscripts to early printed books or </w:t>
      </w:r>
      <w:r w:rsidR="00D63338" w:rsidRPr="00D63338">
        <w:rPr>
          <w:i/>
        </w:rPr>
        <w:t xml:space="preserve">incunabular </w:t>
      </w:r>
      <w:r w:rsidR="00D63338" w:rsidRPr="00D63338">
        <w:t>in the fifteenth century</w:t>
      </w:r>
      <w:r w:rsidR="00D63338">
        <w:t xml:space="preserve"> brought us to the book biography project. It was interesting to see the array of early books that each student was assigned; some came from the Thomas Burgess collection which included theological and classical literature; others came from the Thomas Phillips collection, mine included, while a few had</w:t>
      </w:r>
      <w:r w:rsidR="008228C9">
        <w:t xml:space="preserve"> books from the ODS collection of various provenances. The </w:t>
      </w:r>
      <w:proofErr w:type="spellStart"/>
      <w:r w:rsidR="008228C9">
        <w:t>Conybeare</w:t>
      </w:r>
      <w:proofErr w:type="spellEnd"/>
      <w:r w:rsidR="008228C9">
        <w:t xml:space="preserve"> against Tindal book that was given to me to research was quite </w:t>
      </w:r>
      <w:r w:rsidR="00026E25">
        <w:t xml:space="preserve">a </w:t>
      </w:r>
      <w:r w:rsidR="00026E25">
        <w:lastRenderedPageBreak/>
        <w:t>straightforward incunabulum</w:t>
      </w:r>
      <w:r w:rsidR="008228C9">
        <w:t xml:space="preserve">, one that portrayed the mass production of books that coincided with the Renaissance of learning. </w:t>
      </w:r>
    </w:p>
    <w:p w14:paraId="40709FC8" w14:textId="53B5F05E" w:rsidR="00026E25" w:rsidRDefault="00026E25" w:rsidP="00C927FF">
      <w:pPr>
        <w:spacing w:line="480" w:lineRule="auto"/>
        <w:jc w:val="both"/>
      </w:pPr>
      <w:r>
        <w:t>To find out more about the book I first looked at the title and found that it was a treatise against works written by the philosopher, Matthew Tindall,</w:t>
      </w:r>
      <w:r w:rsidR="007B6EF8">
        <w:rPr>
          <w:rStyle w:val="FootnoteReference"/>
        </w:rPr>
        <w:footnoteReference w:id="13"/>
      </w:r>
      <w:r>
        <w:t xml:space="preserve"> by the Reverend John </w:t>
      </w:r>
      <w:proofErr w:type="spellStart"/>
      <w:r>
        <w:t>Conybeare</w:t>
      </w:r>
      <w:proofErr w:type="spellEnd"/>
      <w:r>
        <w:t>,</w:t>
      </w:r>
      <w:r w:rsidR="007B6EF8">
        <w:rPr>
          <w:rStyle w:val="FootnoteReference"/>
        </w:rPr>
        <w:footnoteReference w:id="14"/>
      </w:r>
      <w:r>
        <w:t xml:space="preserve"> who dedicated his book to the Bishop of London Edmund Gibson.</w:t>
      </w:r>
      <w:r w:rsidR="007B6EF8">
        <w:rPr>
          <w:rStyle w:val="FootnoteReference"/>
        </w:rPr>
        <w:footnoteReference w:id="15"/>
      </w:r>
      <w:r>
        <w:t xml:space="preserve"> </w:t>
      </w:r>
      <w:proofErr w:type="spellStart"/>
      <w:r>
        <w:t>Conybeare</w:t>
      </w:r>
      <w:proofErr w:type="spellEnd"/>
      <w:r>
        <w:t xml:space="preserve"> and Gibson were supporters of the established church’s tenet that God was a supernatural being who could be communicated with through prayer and meditation. </w:t>
      </w:r>
      <w:r w:rsidR="00D36469">
        <w:t>Tindall did not agree.</w:t>
      </w:r>
      <w:r>
        <w:t xml:space="preserve"> </w:t>
      </w:r>
      <w:r w:rsidR="00D36469">
        <w:t>W</w:t>
      </w:r>
      <w:r>
        <w:t xml:space="preserve">orks like these are no longer studied in school </w:t>
      </w:r>
      <w:r w:rsidR="00D36469">
        <w:t xml:space="preserve">so </w:t>
      </w:r>
      <w:r>
        <w:t xml:space="preserve">I had no idea what the book was about until I researched the three main characters, </w:t>
      </w:r>
      <w:proofErr w:type="spellStart"/>
      <w:r>
        <w:t>Conybeare</w:t>
      </w:r>
      <w:proofErr w:type="spellEnd"/>
      <w:r>
        <w:t>, Tindall and Gibson. There is not a lot of work written about these men, just enough to give me a basic idea of what the book was about.</w:t>
      </w:r>
    </w:p>
    <w:p w14:paraId="61C3C6EC" w14:textId="442DE6D9" w:rsidR="00026E25" w:rsidRDefault="00026E25" w:rsidP="00C927FF">
      <w:pPr>
        <w:spacing w:line="480" w:lineRule="auto"/>
        <w:jc w:val="both"/>
      </w:pPr>
      <w:r>
        <w:t xml:space="preserve">Further research was then undertaken to find out who the book had spent time with during it’s life; there was a name Thomas </w:t>
      </w:r>
      <w:proofErr w:type="spellStart"/>
      <w:r>
        <w:t>Millway</w:t>
      </w:r>
      <w:proofErr w:type="spellEnd"/>
      <w:r>
        <w:t xml:space="preserve"> and the date December 18</w:t>
      </w:r>
      <w:r w:rsidRPr="00026E25">
        <w:rPr>
          <w:vertAlign w:val="superscript"/>
        </w:rPr>
        <w:t>th</w:t>
      </w:r>
      <w:r w:rsidR="00D30160">
        <w:t>, 1732/4</w:t>
      </w:r>
      <w:r>
        <w:t xml:space="preserve"> </w:t>
      </w:r>
      <w:r w:rsidR="00D30160">
        <w:t xml:space="preserve">written in the top right-hand corner of the first blank page. Who was Thomas </w:t>
      </w:r>
      <w:proofErr w:type="spellStart"/>
      <w:r w:rsidR="00D30160">
        <w:t>Millway</w:t>
      </w:r>
      <w:proofErr w:type="spellEnd"/>
      <w:r w:rsidR="00D30160">
        <w:t xml:space="preserve">? As the date 1732/4 was just after the book was published I decided to see if there was a non-conformist connection </w:t>
      </w:r>
      <w:r w:rsidR="007B6EF8">
        <w:t xml:space="preserve">and </w:t>
      </w:r>
      <w:r w:rsidR="00D36469">
        <w:t xml:space="preserve">found a </w:t>
      </w:r>
      <w:r w:rsidR="007B6EF8">
        <w:t>Baptist</w:t>
      </w:r>
      <w:r w:rsidR="00D30160">
        <w:t xml:space="preserve"> Minister in Haverhill, Suffolk, named Thomas </w:t>
      </w:r>
      <w:proofErr w:type="spellStart"/>
      <w:r w:rsidR="00D30160">
        <w:t>Millway</w:t>
      </w:r>
      <w:proofErr w:type="spellEnd"/>
      <w:r w:rsidR="00D30160">
        <w:t xml:space="preserve"> who was preaching in 1732/4 and had the same theological beliefs as Matthew Tindall.</w:t>
      </w:r>
      <w:r w:rsidR="00D30160">
        <w:rPr>
          <w:rStyle w:val="FootnoteReference"/>
        </w:rPr>
        <w:footnoteReference w:id="16"/>
      </w:r>
    </w:p>
    <w:p w14:paraId="24C0F279" w14:textId="252F8FC1" w:rsidR="003C7A8B" w:rsidRDefault="003C7A8B" w:rsidP="00C927FF">
      <w:pPr>
        <w:spacing w:line="480" w:lineRule="auto"/>
        <w:jc w:val="both"/>
      </w:pPr>
      <w:r>
        <w:t>To find out how the binding process worked I reread the Alan Barton booklet</w:t>
      </w:r>
      <w:r w:rsidR="00C80F8B">
        <w:rPr>
          <w:rStyle w:val="FootnoteReference"/>
        </w:rPr>
        <w:footnoteReference w:id="17"/>
      </w:r>
      <w:r>
        <w:t xml:space="preserve"> </w:t>
      </w:r>
      <w:proofErr w:type="gramStart"/>
      <w:r>
        <w:t>and also</w:t>
      </w:r>
      <w:proofErr w:type="gramEnd"/>
      <w:r>
        <w:t xml:space="preserve"> watched a couple of YouTube videos</w:t>
      </w:r>
      <w:r w:rsidR="00C80F8B">
        <w:rPr>
          <w:rStyle w:val="FootnoteReference"/>
        </w:rPr>
        <w:footnoteReference w:id="18"/>
      </w:r>
      <w:r>
        <w:t xml:space="preserve"> then </w:t>
      </w:r>
      <w:r w:rsidR="00D36469">
        <w:t>compared them with</w:t>
      </w:r>
      <w:r>
        <w:t xml:space="preserve"> the </w:t>
      </w:r>
      <w:proofErr w:type="spellStart"/>
      <w:r>
        <w:t>Conybeare</w:t>
      </w:r>
      <w:proofErr w:type="spellEnd"/>
      <w:r>
        <w:t xml:space="preserve"> book </w:t>
      </w:r>
      <w:r w:rsidR="00D36469">
        <w:t xml:space="preserve">to see how it </w:t>
      </w:r>
      <w:r>
        <w:t xml:space="preserve">was bound. As I am from the town of Cambridge I particularly liked the fact that it had </w:t>
      </w:r>
      <w:r>
        <w:lastRenderedPageBreak/>
        <w:t>a classic ‘Cambridge Panel’ decoration which involves the use of fillet tools to make a specific series of patterns on the front and back of the walnut stained leather.</w:t>
      </w:r>
    </w:p>
    <w:p w14:paraId="183C5A66" w14:textId="2D758B84" w:rsidR="003C7A8B" w:rsidRPr="00D63338" w:rsidRDefault="003C7A8B" w:rsidP="00C927FF">
      <w:pPr>
        <w:spacing w:line="480" w:lineRule="auto"/>
        <w:jc w:val="both"/>
      </w:pPr>
      <w:r>
        <w:t xml:space="preserve">Since doing this module I have since looked at books in a different way </w:t>
      </w:r>
      <w:r w:rsidR="00AE2E09">
        <w:t>and am more aware of the way they are printed, bound and coloured.</w:t>
      </w:r>
    </w:p>
    <w:p w14:paraId="64CA614D" w14:textId="11760ED0" w:rsidR="00E47B66" w:rsidRPr="00C927FF" w:rsidRDefault="00E47B66" w:rsidP="00C927FF">
      <w:pPr>
        <w:spacing w:line="480" w:lineRule="auto"/>
        <w:jc w:val="both"/>
        <w:rPr>
          <w:b/>
        </w:rPr>
      </w:pPr>
      <w:r w:rsidRPr="00E47B66">
        <w:rPr>
          <w:b/>
        </w:rPr>
        <w:t xml:space="preserve">Presentation </w:t>
      </w:r>
    </w:p>
    <w:p w14:paraId="2C0B0F50" w14:textId="77777777" w:rsidR="00D36469" w:rsidRDefault="00E47B66" w:rsidP="00C927FF">
      <w:pPr>
        <w:spacing w:line="480" w:lineRule="auto"/>
        <w:jc w:val="both"/>
      </w:pPr>
      <w:r>
        <w:rPr>
          <w:noProof/>
        </w:rPr>
        <w:drawing>
          <wp:anchor distT="0" distB="0" distL="114300" distR="114300" simplePos="0" relativeHeight="251659264" behindDoc="1" locked="0" layoutInCell="1" allowOverlap="1" wp14:anchorId="7B8D18F5" wp14:editId="7EB9609E">
            <wp:simplePos x="0" y="0"/>
            <wp:positionH relativeFrom="column">
              <wp:posOffset>0</wp:posOffset>
            </wp:positionH>
            <wp:positionV relativeFrom="paragraph">
              <wp:posOffset>-3810</wp:posOffset>
            </wp:positionV>
            <wp:extent cx="2159000" cy="3067050"/>
            <wp:effectExtent l="0" t="0" r="0" b="0"/>
            <wp:wrapTight wrapText="bothSides">
              <wp:wrapPolygon edited="0">
                <wp:start x="0" y="0"/>
                <wp:lineTo x="0" y="21466"/>
                <wp:lineTo x="21346" y="21466"/>
                <wp:lineTo x="21346"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159000" cy="3067050"/>
                    </a:xfrm>
                    <a:prstGeom prst="rect">
                      <a:avLst/>
                    </a:prstGeom>
                    <a:noFill/>
                    <a:ln>
                      <a:noFill/>
                    </a:ln>
                  </pic:spPr>
                </pic:pic>
              </a:graphicData>
            </a:graphic>
          </wp:anchor>
        </w:drawing>
      </w:r>
      <w:r w:rsidR="00BE7B69">
        <w:t xml:space="preserve">The last piece of work </w:t>
      </w:r>
      <w:r w:rsidR="00E819F5">
        <w:t xml:space="preserve">of the module </w:t>
      </w:r>
      <w:r w:rsidR="00BE7B69">
        <w:t>was the presentation to be formulated around five slides that were connected in some way. For this part of the module I decided that it would be interesting to base my work around the island of Sardinia off the southern coast of Italy.</w:t>
      </w:r>
    </w:p>
    <w:p w14:paraId="7CCA1C7E" w14:textId="0CBC3A08" w:rsidR="002E5DAE" w:rsidRDefault="00BE7B69" w:rsidP="00C927FF">
      <w:pPr>
        <w:spacing w:line="480" w:lineRule="auto"/>
        <w:jc w:val="both"/>
      </w:pPr>
      <w:r>
        <w:t xml:space="preserve"> My first session of research was rather disastrous as one of the major pieces of work</w:t>
      </w:r>
      <w:r w:rsidRPr="00BE7B69">
        <w:t xml:space="preserve"> </w:t>
      </w:r>
      <w:r>
        <w:t xml:space="preserve">for my presentation, the </w:t>
      </w:r>
      <w:proofErr w:type="spellStart"/>
      <w:r>
        <w:t>Theatrum</w:t>
      </w:r>
      <w:proofErr w:type="spellEnd"/>
      <w:r>
        <w:t xml:space="preserve"> Orbis </w:t>
      </w:r>
      <w:proofErr w:type="spellStart"/>
      <w:r>
        <w:t>Terrarum</w:t>
      </w:r>
      <w:proofErr w:type="spellEnd"/>
      <w:r>
        <w:t xml:space="preserve"> by Abraham Ortelius,</w:t>
      </w:r>
      <w:r w:rsidR="00A46FC0">
        <w:rPr>
          <w:rStyle w:val="FootnoteReference"/>
        </w:rPr>
        <w:footnoteReference w:id="19"/>
      </w:r>
      <w:r>
        <w:t xml:space="preserve"> had unfortunately had the section on Sardinia neatly cut out of the atlas, whether this was for personal reasons or for holiday information no one will ever know. I decide</w:t>
      </w:r>
      <w:r w:rsidR="00AE2E09">
        <w:t>d</w:t>
      </w:r>
      <w:r>
        <w:t xml:space="preserve"> that the best way forward was to </w:t>
      </w:r>
      <w:r w:rsidR="00A46FC0">
        <w:t>regroup and</w:t>
      </w:r>
      <w:r>
        <w:t xml:space="preserve"> returned another day </w:t>
      </w:r>
      <w:r w:rsidR="00A46FC0">
        <w:t>to request a further three early atlases while retrieving a copy of the Sardinian page from the internet, I was determined not to give up on Sardinia!</w:t>
      </w:r>
    </w:p>
    <w:p w14:paraId="2A0691EB" w14:textId="066E8391" w:rsidR="00AE2E09" w:rsidRDefault="00AE2E09" w:rsidP="00C927FF">
      <w:pPr>
        <w:spacing w:line="480" w:lineRule="auto"/>
        <w:jc w:val="both"/>
      </w:pPr>
      <w:r>
        <w:t>To research for my presentation I decided to give it an historical slant and find out not only what was happening in Sardinia at the time that each map was being printed</w:t>
      </w:r>
      <w:r w:rsidR="00D36469">
        <w:t>,</w:t>
      </w:r>
      <w:r>
        <w:t xml:space="preserve"> but also research</w:t>
      </w:r>
      <w:r w:rsidR="00D36469">
        <w:t>ed</w:t>
      </w:r>
      <w:r>
        <w:t xml:space="preserve"> information on the cartographers and geographers, sometimes discovering</w:t>
      </w:r>
      <w:r w:rsidR="00F074C7">
        <w:t xml:space="preserve"> that they were the </w:t>
      </w:r>
      <w:r w:rsidR="00F074C7">
        <w:lastRenderedPageBreak/>
        <w:t xml:space="preserve">inventors of a </w:t>
      </w:r>
      <w:proofErr w:type="gramStart"/>
      <w:r w:rsidR="00F074C7">
        <w:t>particular system</w:t>
      </w:r>
      <w:proofErr w:type="gramEnd"/>
      <w:r w:rsidR="00F074C7">
        <w:t>, Abraham Ortelius was the first believer in the ‘Continental Drift,’</w:t>
      </w:r>
      <w:r w:rsidR="00F074C7">
        <w:rPr>
          <w:rStyle w:val="FootnoteReference"/>
        </w:rPr>
        <w:footnoteReference w:id="20"/>
      </w:r>
      <w:r w:rsidR="00F074C7">
        <w:t xml:space="preserve"> and Gerardus Mercator the projection of sailing routes as straight lines.</w:t>
      </w:r>
      <w:r w:rsidR="00F074C7">
        <w:rPr>
          <w:rStyle w:val="FootnoteReference"/>
        </w:rPr>
        <w:footnoteReference w:id="21"/>
      </w:r>
    </w:p>
    <w:p w14:paraId="6AE046F9" w14:textId="390FB8BE" w:rsidR="00AE2E09" w:rsidRDefault="00AE2E09" w:rsidP="00C927FF">
      <w:pPr>
        <w:spacing w:line="480" w:lineRule="auto"/>
        <w:jc w:val="both"/>
      </w:pPr>
    </w:p>
    <w:p w14:paraId="2B2F1549" w14:textId="70C3D919" w:rsidR="00AE2E09" w:rsidRDefault="00AE2E09" w:rsidP="00C927FF">
      <w:pPr>
        <w:spacing w:line="480" w:lineRule="auto"/>
        <w:jc w:val="both"/>
      </w:pPr>
      <w:r>
        <w:t xml:space="preserve">Overall this was a thoroughly enjoyable module, I feel that I </w:t>
      </w:r>
      <w:r w:rsidR="00D36469">
        <w:t>k</w:t>
      </w:r>
      <w:r>
        <w:t>now so much more about the workings of an archive. It has been especially useful having contact with Ruth and Sarah who have been invaluable in helping with project research while giving us an insight into the role of an archivist and collections manager. My summer break will be spent doing further research with a better idea of what kind of material will be available and how to use the resources to their best advantage. I am also spending two weeks with an archivist in the bowels of a stately home in Northamptonshire so will have more of an idea of what to look for.</w:t>
      </w:r>
    </w:p>
    <w:p w14:paraId="453E705D" w14:textId="076986D1" w:rsidR="002E5DAE" w:rsidRDefault="002E5DAE" w:rsidP="00C927FF">
      <w:pPr>
        <w:spacing w:line="480" w:lineRule="auto"/>
        <w:jc w:val="both"/>
      </w:pPr>
    </w:p>
    <w:p w14:paraId="7665AA08" w14:textId="3538F842" w:rsidR="002E5DAE" w:rsidRDefault="002E5DAE" w:rsidP="00C927FF">
      <w:pPr>
        <w:spacing w:line="480" w:lineRule="auto"/>
        <w:jc w:val="both"/>
      </w:pPr>
    </w:p>
    <w:p w14:paraId="6598BF7C" w14:textId="2FF6EB23" w:rsidR="002E5DAE" w:rsidRDefault="002E5DAE" w:rsidP="00C927FF">
      <w:pPr>
        <w:spacing w:line="480" w:lineRule="auto"/>
        <w:jc w:val="both"/>
      </w:pPr>
    </w:p>
    <w:p w14:paraId="2EA7778E" w14:textId="69A25441" w:rsidR="002E5DAE" w:rsidRDefault="002E5DAE" w:rsidP="00C927FF">
      <w:pPr>
        <w:spacing w:line="480" w:lineRule="auto"/>
        <w:jc w:val="both"/>
      </w:pPr>
    </w:p>
    <w:p w14:paraId="1387415E" w14:textId="46E38160" w:rsidR="002E5DAE" w:rsidRDefault="002E5DAE" w:rsidP="00C927FF">
      <w:pPr>
        <w:spacing w:line="480" w:lineRule="auto"/>
        <w:jc w:val="both"/>
      </w:pPr>
    </w:p>
    <w:p w14:paraId="20E70BA1" w14:textId="3681A917" w:rsidR="002E5DAE" w:rsidRDefault="002E5DAE" w:rsidP="00C927FF">
      <w:pPr>
        <w:spacing w:line="480" w:lineRule="auto"/>
        <w:jc w:val="both"/>
      </w:pPr>
    </w:p>
    <w:p w14:paraId="40469322" w14:textId="796CAF5A" w:rsidR="00482CF6" w:rsidRDefault="00482CF6" w:rsidP="00C927FF">
      <w:pPr>
        <w:spacing w:line="480" w:lineRule="auto"/>
        <w:jc w:val="both"/>
      </w:pPr>
    </w:p>
    <w:p w14:paraId="599005EE" w14:textId="05406D95" w:rsidR="00B43DC3" w:rsidRDefault="00B43DC3" w:rsidP="00C927FF">
      <w:pPr>
        <w:spacing w:line="480" w:lineRule="auto"/>
        <w:jc w:val="both"/>
      </w:pPr>
    </w:p>
    <w:p w14:paraId="13B892BF" w14:textId="2AE263E8" w:rsidR="00B43DC3" w:rsidRDefault="00B43DC3" w:rsidP="00C927FF">
      <w:pPr>
        <w:spacing w:line="480" w:lineRule="auto"/>
        <w:jc w:val="both"/>
      </w:pPr>
    </w:p>
    <w:p w14:paraId="4A1F8FCD" w14:textId="37DC811E" w:rsidR="00B43DC3" w:rsidRDefault="00B43DC3" w:rsidP="00C927FF">
      <w:pPr>
        <w:spacing w:line="480" w:lineRule="auto"/>
        <w:jc w:val="both"/>
      </w:pPr>
    </w:p>
    <w:p w14:paraId="215226FB" w14:textId="67AE1ECF" w:rsidR="00B43DC3" w:rsidRDefault="00B43DC3" w:rsidP="00C927FF">
      <w:pPr>
        <w:spacing w:line="480" w:lineRule="auto"/>
        <w:jc w:val="both"/>
      </w:pPr>
    </w:p>
    <w:p w14:paraId="1DE0CACF" w14:textId="53D13858" w:rsidR="00B43DC3" w:rsidRDefault="00B43DC3" w:rsidP="00C927FF">
      <w:pPr>
        <w:spacing w:line="480" w:lineRule="auto"/>
        <w:jc w:val="both"/>
      </w:pPr>
    </w:p>
    <w:p w14:paraId="1C6B7D4F" w14:textId="77777777" w:rsidR="00B43DC3" w:rsidRDefault="00B43DC3" w:rsidP="00C927FF">
      <w:pPr>
        <w:spacing w:line="480" w:lineRule="auto"/>
        <w:jc w:val="both"/>
      </w:pPr>
    </w:p>
    <w:p w14:paraId="1017151E" w14:textId="6065E672" w:rsidR="002E5DAE" w:rsidRDefault="00E70512" w:rsidP="00C927FF">
      <w:pPr>
        <w:spacing w:line="480" w:lineRule="auto"/>
        <w:jc w:val="both"/>
      </w:pPr>
      <w:r>
        <w:lastRenderedPageBreak/>
        <w:t>All photographs are the authors own.</w:t>
      </w:r>
    </w:p>
    <w:p w14:paraId="549AC4BA" w14:textId="507A0503" w:rsidR="002E5DAE" w:rsidRDefault="002E5DAE" w:rsidP="00C927FF">
      <w:pPr>
        <w:spacing w:line="480" w:lineRule="auto"/>
        <w:jc w:val="both"/>
      </w:pPr>
    </w:p>
    <w:p w14:paraId="683542E0" w14:textId="048CC72A" w:rsidR="002E5DAE" w:rsidRDefault="002E5DAE" w:rsidP="00C927FF">
      <w:pPr>
        <w:spacing w:line="480" w:lineRule="auto"/>
        <w:jc w:val="both"/>
        <w:rPr>
          <w:b/>
        </w:rPr>
      </w:pPr>
      <w:r w:rsidRPr="002E5DAE">
        <w:rPr>
          <w:b/>
        </w:rPr>
        <w:t>Bibliography</w:t>
      </w:r>
    </w:p>
    <w:p w14:paraId="76CF8E70" w14:textId="56C72C34" w:rsidR="00A46FC0" w:rsidRPr="00A46FC0" w:rsidRDefault="00A46FC0" w:rsidP="00C927FF">
      <w:pPr>
        <w:spacing w:line="480" w:lineRule="auto"/>
        <w:jc w:val="both"/>
        <w:rPr>
          <w:b/>
        </w:rPr>
      </w:pPr>
      <w:r w:rsidRPr="00A46FC0">
        <w:rPr>
          <w:b/>
        </w:rPr>
        <w:t>Primary Sources</w:t>
      </w:r>
    </w:p>
    <w:p w14:paraId="431E0BB6" w14:textId="5E5E0567" w:rsidR="003C7A8B" w:rsidRDefault="003C7A8B" w:rsidP="00C927FF">
      <w:pPr>
        <w:pStyle w:val="FootnoteText"/>
        <w:spacing w:line="480" w:lineRule="auto"/>
        <w:rPr>
          <w:sz w:val="24"/>
          <w:szCs w:val="24"/>
        </w:rPr>
      </w:pPr>
      <w:r w:rsidRPr="003C7A8B">
        <w:rPr>
          <w:i/>
          <w:sz w:val="24"/>
          <w:szCs w:val="24"/>
        </w:rPr>
        <w:t>The Baptist Magazine for 1824</w:t>
      </w:r>
      <w:r>
        <w:rPr>
          <w:sz w:val="24"/>
          <w:szCs w:val="24"/>
        </w:rPr>
        <w:t>, Vol XVI (London: J. Barfield, 1824).</w:t>
      </w:r>
    </w:p>
    <w:p w14:paraId="64B8DC02" w14:textId="3D22A1AF" w:rsidR="000D4F03" w:rsidRDefault="000D4F03" w:rsidP="000D4F03">
      <w:pPr>
        <w:pStyle w:val="FootnoteText"/>
        <w:rPr>
          <w:sz w:val="24"/>
          <w:szCs w:val="24"/>
        </w:rPr>
      </w:pPr>
      <w:r w:rsidRPr="000D4F03">
        <w:rPr>
          <w:sz w:val="24"/>
          <w:szCs w:val="24"/>
        </w:rPr>
        <w:t xml:space="preserve">‘Basil Jones’, </w:t>
      </w:r>
      <w:r w:rsidRPr="000D4F03">
        <w:rPr>
          <w:i/>
          <w:sz w:val="24"/>
          <w:szCs w:val="24"/>
        </w:rPr>
        <w:t>Chaplain’s Application Record</w:t>
      </w:r>
      <w:r w:rsidRPr="000D4F03">
        <w:rPr>
          <w:sz w:val="24"/>
          <w:szCs w:val="24"/>
        </w:rPr>
        <w:t xml:space="preserve"> (6</w:t>
      </w:r>
      <w:r w:rsidRPr="000D4F03">
        <w:rPr>
          <w:sz w:val="24"/>
          <w:szCs w:val="24"/>
          <w:vertAlign w:val="superscript"/>
        </w:rPr>
        <w:t>th</w:t>
      </w:r>
      <w:r w:rsidRPr="000D4F03">
        <w:rPr>
          <w:sz w:val="24"/>
          <w:szCs w:val="24"/>
        </w:rPr>
        <w:t xml:space="preserve"> February 1918), no 6163. </w:t>
      </w:r>
      <w:hyperlink r:id="rId11" w:history="1">
        <w:r w:rsidRPr="000D4F03">
          <w:rPr>
            <w:rStyle w:val="Hyperlink"/>
            <w:sz w:val="24"/>
            <w:szCs w:val="24"/>
          </w:rPr>
          <w:t>https://www.chaplains-museum.co.uk/entity/138493-b-jones?=B%20Jones</w:t>
        </w:r>
      </w:hyperlink>
      <w:r w:rsidRPr="000D4F03">
        <w:rPr>
          <w:sz w:val="24"/>
          <w:szCs w:val="24"/>
        </w:rPr>
        <w:t xml:space="preserve">  accessed 07/02/2018.</w:t>
      </w:r>
    </w:p>
    <w:p w14:paraId="74A18373" w14:textId="733CBA8D" w:rsidR="000D4F03" w:rsidRDefault="000D4F03" w:rsidP="000D4F03">
      <w:pPr>
        <w:pStyle w:val="FootnoteText"/>
        <w:rPr>
          <w:sz w:val="24"/>
          <w:szCs w:val="24"/>
        </w:rPr>
      </w:pPr>
    </w:p>
    <w:p w14:paraId="48047BAB" w14:textId="29EDEF76" w:rsidR="000D4F03" w:rsidRDefault="000D4F03" w:rsidP="00482CF6">
      <w:pPr>
        <w:pStyle w:val="FootnoteText"/>
        <w:rPr>
          <w:sz w:val="24"/>
          <w:szCs w:val="24"/>
        </w:rPr>
      </w:pPr>
      <w:r>
        <w:rPr>
          <w:sz w:val="24"/>
          <w:szCs w:val="24"/>
        </w:rPr>
        <w:t xml:space="preserve">‘Basil Jones,’ </w:t>
      </w:r>
      <w:r w:rsidRPr="000D4F03">
        <w:rPr>
          <w:i/>
          <w:sz w:val="24"/>
          <w:szCs w:val="24"/>
        </w:rPr>
        <w:t>Pass List, June 29</w:t>
      </w:r>
      <w:r w:rsidRPr="000D4F03">
        <w:rPr>
          <w:i/>
          <w:sz w:val="24"/>
          <w:szCs w:val="24"/>
          <w:vertAlign w:val="superscript"/>
        </w:rPr>
        <w:t>th</w:t>
      </w:r>
      <w:r w:rsidRPr="000D4F03">
        <w:rPr>
          <w:i/>
          <w:sz w:val="24"/>
          <w:szCs w:val="24"/>
        </w:rPr>
        <w:t>, 1911</w:t>
      </w:r>
      <w:r>
        <w:rPr>
          <w:sz w:val="24"/>
          <w:szCs w:val="24"/>
        </w:rPr>
        <w:t xml:space="preserve"> (Roderic Bowen Archive), UA/4/42.</w:t>
      </w:r>
    </w:p>
    <w:p w14:paraId="280845AE" w14:textId="77777777" w:rsidR="00482CF6" w:rsidRDefault="00482CF6" w:rsidP="00482CF6">
      <w:pPr>
        <w:pStyle w:val="FootnoteText"/>
        <w:rPr>
          <w:sz w:val="24"/>
          <w:szCs w:val="24"/>
        </w:rPr>
      </w:pPr>
    </w:p>
    <w:p w14:paraId="44E42C01" w14:textId="7F284C4F" w:rsidR="004F674A" w:rsidRDefault="004F674A" w:rsidP="00C927FF">
      <w:pPr>
        <w:pStyle w:val="FootnoteText"/>
        <w:spacing w:line="480" w:lineRule="auto"/>
        <w:rPr>
          <w:sz w:val="24"/>
          <w:szCs w:val="24"/>
        </w:rPr>
      </w:pPr>
      <w:r w:rsidRPr="004F674A">
        <w:rPr>
          <w:sz w:val="24"/>
          <w:szCs w:val="24"/>
        </w:rPr>
        <w:t xml:space="preserve">Carson, </w:t>
      </w:r>
      <w:r>
        <w:rPr>
          <w:sz w:val="24"/>
          <w:szCs w:val="24"/>
        </w:rPr>
        <w:t xml:space="preserve">K.W., </w:t>
      </w:r>
      <w:r w:rsidRPr="004F674A">
        <w:rPr>
          <w:sz w:val="24"/>
          <w:szCs w:val="24"/>
        </w:rPr>
        <w:t xml:space="preserve">Thomas, </w:t>
      </w:r>
      <w:r>
        <w:rPr>
          <w:sz w:val="24"/>
          <w:szCs w:val="24"/>
        </w:rPr>
        <w:t xml:space="preserve">M., </w:t>
      </w:r>
      <w:r w:rsidRPr="004F674A">
        <w:rPr>
          <w:i/>
          <w:sz w:val="24"/>
          <w:szCs w:val="24"/>
        </w:rPr>
        <w:t>The Rohan book of hours</w:t>
      </w:r>
      <w:r w:rsidRPr="004F674A">
        <w:rPr>
          <w:sz w:val="24"/>
          <w:szCs w:val="24"/>
        </w:rPr>
        <w:t xml:space="preserve"> (London: Thames and Hudson, 1973), Roderic Bowen Library and Archive Reference (Q 091 ROH).</w:t>
      </w:r>
    </w:p>
    <w:p w14:paraId="0583CC31" w14:textId="03A85F2A" w:rsidR="007B6EF8" w:rsidRDefault="007B6EF8" w:rsidP="00C927FF">
      <w:pPr>
        <w:pStyle w:val="FootnoteText"/>
        <w:spacing w:line="480" w:lineRule="auto"/>
        <w:rPr>
          <w:sz w:val="24"/>
          <w:szCs w:val="24"/>
        </w:rPr>
      </w:pPr>
      <w:r>
        <w:rPr>
          <w:sz w:val="24"/>
          <w:szCs w:val="24"/>
        </w:rPr>
        <w:t xml:space="preserve">Gibson, E., </w:t>
      </w:r>
      <w:r w:rsidRPr="007B6EF8">
        <w:rPr>
          <w:i/>
          <w:sz w:val="24"/>
          <w:szCs w:val="24"/>
        </w:rPr>
        <w:t xml:space="preserve">Directions Given by Edmund, Lord Bishop of London, to the Clergy of his Diocese </w:t>
      </w:r>
      <w:r>
        <w:rPr>
          <w:sz w:val="24"/>
          <w:szCs w:val="24"/>
        </w:rPr>
        <w:t>(London: S. Buckley, 1724).</w:t>
      </w:r>
    </w:p>
    <w:p w14:paraId="6BCB1C85" w14:textId="0E06E5F7" w:rsidR="00660396" w:rsidRDefault="00660396" w:rsidP="00C927FF">
      <w:pPr>
        <w:pStyle w:val="FootnoteText"/>
        <w:spacing w:line="480" w:lineRule="auto"/>
        <w:rPr>
          <w:sz w:val="24"/>
          <w:szCs w:val="24"/>
        </w:rPr>
      </w:pPr>
      <w:proofErr w:type="spellStart"/>
      <w:r w:rsidRPr="00660396">
        <w:rPr>
          <w:sz w:val="24"/>
          <w:szCs w:val="24"/>
        </w:rPr>
        <w:t>Panayotova</w:t>
      </w:r>
      <w:proofErr w:type="spellEnd"/>
      <w:r w:rsidRPr="00660396">
        <w:rPr>
          <w:sz w:val="24"/>
          <w:szCs w:val="24"/>
        </w:rPr>
        <w:t xml:space="preserve">, </w:t>
      </w:r>
      <w:r w:rsidR="004F674A">
        <w:rPr>
          <w:sz w:val="24"/>
          <w:szCs w:val="24"/>
        </w:rPr>
        <w:t xml:space="preserve">S., </w:t>
      </w:r>
      <w:r w:rsidRPr="00660396">
        <w:rPr>
          <w:i/>
          <w:sz w:val="24"/>
          <w:szCs w:val="24"/>
        </w:rPr>
        <w:t>Macclesfield Psalter</w:t>
      </w:r>
      <w:r w:rsidRPr="00660396">
        <w:rPr>
          <w:sz w:val="24"/>
          <w:szCs w:val="24"/>
        </w:rPr>
        <w:t>, (London: Thames and Hudson, 2008), Roderic Bowen Library and Archive Reference (Q 091 PAN).</w:t>
      </w:r>
    </w:p>
    <w:p w14:paraId="4240A8F4" w14:textId="79271EF6" w:rsidR="006D1532" w:rsidRDefault="006D1532" w:rsidP="00C927FF">
      <w:pPr>
        <w:pStyle w:val="FootnoteText"/>
        <w:spacing w:line="480" w:lineRule="auto"/>
        <w:rPr>
          <w:sz w:val="24"/>
          <w:szCs w:val="24"/>
        </w:rPr>
      </w:pPr>
      <w:r w:rsidRPr="006D1532">
        <w:rPr>
          <w:i/>
          <w:sz w:val="24"/>
          <w:szCs w:val="24"/>
        </w:rPr>
        <w:t>Saint David’s Magazine</w:t>
      </w:r>
      <w:r>
        <w:rPr>
          <w:sz w:val="24"/>
          <w:szCs w:val="24"/>
        </w:rPr>
        <w:t>, 1908 – 1912, Vol IX (Roderic Bowen Archive), UA/SP/1/8.</w:t>
      </w:r>
    </w:p>
    <w:p w14:paraId="6CDBC01F" w14:textId="33476A1D" w:rsidR="006D1532" w:rsidRDefault="006D1532" w:rsidP="00C927FF">
      <w:pPr>
        <w:pStyle w:val="FootnoteText"/>
        <w:spacing w:line="480" w:lineRule="auto"/>
        <w:rPr>
          <w:sz w:val="24"/>
          <w:szCs w:val="24"/>
        </w:rPr>
      </w:pPr>
      <w:r w:rsidRPr="006D1532">
        <w:rPr>
          <w:i/>
          <w:sz w:val="24"/>
          <w:szCs w:val="24"/>
        </w:rPr>
        <w:t>Saint David’s Magazine</w:t>
      </w:r>
      <w:r>
        <w:rPr>
          <w:sz w:val="24"/>
          <w:szCs w:val="24"/>
        </w:rPr>
        <w:t>, 1920 – 1926, Vol 12 (Roderic Bowen Archive), UA/SP/1/10.</w:t>
      </w:r>
    </w:p>
    <w:p w14:paraId="3BB67EB5" w14:textId="77777777" w:rsidR="007B6EF8" w:rsidRPr="00A46FC0" w:rsidRDefault="007B6EF8" w:rsidP="007B6EF8">
      <w:pPr>
        <w:pStyle w:val="FootnoteText"/>
        <w:spacing w:line="480" w:lineRule="auto"/>
        <w:rPr>
          <w:sz w:val="24"/>
          <w:szCs w:val="24"/>
        </w:rPr>
      </w:pPr>
      <w:proofErr w:type="spellStart"/>
      <w:r w:rsidRPr="00A46FC0">
        <w:rPr>
          <w:i/>
          <w:sz w:val="24"/>
          <w:szCs w:val="24"/>
        </w:rPr>
        <w:t>Theatrum</w:t>
      </w:r>
      <w:proofErr w:type="spellEnd"/>
      <w:r w:rsidRPr="00A46FC0">
        <w:rPr>
          <w:i/>
          <w:sz w:val="24"/>
          <w:szCs w:val="24"/>
        </w:rPr>
        <w:t xml:space="preserve"> Orbis </w:t>
      </w:r>
      <w:proofErr w:type="spellStart"/>
      <w:r w:rsidRPr="00A46FC0">
        <w:rPr>
          <w:i/>
          <w:sz w:val="24"/>
          <w:szCs w:val="24"/>
        </w:rPr>
        <w:t>Terrarum</w:t>
      </w:r>
      <w:proofErr w:type="spellEnd"/>
      <w:r w:rsidRPr="00A46FC0">
        <w:rPr>
          <w:i/>
          <w:sz w:val="24"/>
          <w:szCs w:val="24"/>
        </w:rPr>
        <w:t xml:space="preserve"> </w:t>
      </w:r>
      <w:proofErr w:type="spellStart"/>
      <w:r w:rsidRPr="00A46FC0">
        <w:rPr>
          <w:i/>
          <w:sz w:val="24"/>
          <w:szCs w:val="24"/>
        </w:rPr>
        <w:t>Abrahami</w:t>
      </w:r>
      <w:proofErr w:type="spellEnd"/>
      <w:r w:rsidRPr="00A46FC0">
        <w:rPr>
          <w:i/>
          <w:sz w:val="24"/>
          <w:szCs w:val="24"/>
        </w:rPr>
        <w:t xml:space="preserve"> </w:t>
      </w:r>
      <w:proofErr w:type="spellStart"/>
      <w:r w:rsidRPr="00A46FC0">
        <w:rPr>
          <w:i/>
          <w:sz w:val="24"/>
          <w:szCs w:val="24"/>
        </w:rPr>
        <w:t>Orteli</w:t>
      </w:r>
      <w:proofErr w:type="spellEnd"/>
      <w:r w:rsidRPr="00A46FC0">
        <w:rPr>
          <w:i/>
          <w:sz w:val="24"/>
          <w:szCs w:val="24"/>
        </w:rPr>
        <w:t xml:space="preserve"> </w:t>
      </w:r>
      <w:proofErr w:type="spellStart"/>
      <w:r w:rsidRPr="00A46FC0">
        <w:rPr>
          <w:i/>
          <w:sz w:val="24"/>
          <w:szCs w:val="24"/>
        </w:rPr>
        <w:t>Antuerp</w:t>
      </w:r>
      <w:proofErr w:type="spellEnd"/>
      <w:r w:rsidRPr="00A46FC0">
        <w:rPr>
          <w:i/>
          <w:sz w:val="24"/>
          <w:szCs w:val="24"/>
        </w:rPr>
        <w:t xml:space="preserve">. </w:t>
      </w:r>
      <w:proofErr w:type="spellStart"/>
      <w:r w:rsidRPr="00A46FC0">
        <w:rPr>
          <w:i/>
          <w:sz w:val="24"/>
          <w:szCs w:val="24"/>
        </w:rPr>
        <w:t>geographi</w:t>
      </w:r>
      <w:proofErr w:type="spellEnd"/>
      <w:r w:rsidRPr="00A46FC0">
        <w:rPr>
          <w:i/>
          <w:sz w:val="24"/>
          <w:szCs w:val="24"/>
        </w:rPr>
        <w:t xml:space="preserve"> </w:t>
      </w:r>
      <w:proofErr w:type="spellStart"/>
      <w:r w:rsidRPr="00A46FC0">
        <w:rPr>
          <w:i/>
          <w:sz w:val="24"/>
          <w:szCs w:val="24"/>
        </w:rPr>
        <w:t>regii</w:t>
      </w:r>
      <w:proofErr w:type="spellEnd"/>
      <w:r w:rsidRPr="00A46FC0">
        <w:rPr>
          <w:i/>
          <w:sz w:val="24"/>
          <w:szCs w:val="24"/>
        </w:rPr>
        <w:t>. = The Theatre of the Whole World</w:t>
      </w:r>
      <w:r w:rsidRPr="00A46FC0">
        <w:rPr>
          <w:sz w:val="24"/>
          <w:szCs w:val="24"/>
        </w:rPr>
        <w:t xml:space="preserve"> (London: John Norton, 1606).</w:t>
      </w:r>
    </w:p>
    <w:p w14:paraId="41036E97" w14:textId="77777777" w:rsidR="007B6EF8" w:rsidRPr="00660396" w:rsidRDefault="007B6EF8" w:rsidP="00C927FF">
      <w:pPr>
        <w:pStyle w:val="FootnoteText"/>
        <w:spacing w:line="480" w:lineRule="auto"/>
        <w:rPr>
          <w:sz w:val="24"/>
          <w:szCs w:val="24"/>
        </w:rPr>
      </w:pPr>
    </w:p>
    <w:p w14:paraId="3D02C54C" w14:textId="77777777" w:rsidR="00C927FF" w:rsidRDefault="00C927FF" w:rsidP="00C927FF">
      <w:pPr>
        <w:spacing w:line="480" w:lineRule="auto"/>
        <w:jc w:val="both"/>
      </w:pPr>
    </w:p>
    <w:p w14:paraId="2371A01F" w14:textId="27C14863" w:rsidR="00A46FC0" w:rsidRPr="00A46FC0" w:rsidRDefault="00A46FC0" w:rsidP="00C927FF">
      <w:pPr>
        <w:spacing w:line="480" w:lineRule="auto"/>
        <w:jc w:val="both"/>
        <w:rPr>
          <w:b/>
        </w:rPr>
      </w:pPr>
      <w:r w:rsidRPr="00A46FC0">
        <w:rPr>
          <w:b/>
        </w:rPr>
        <w:t>Secondary Sources</w:t>
      </w:r>
    </w:p>
    <w:p w14:paraId="5C915776" w14:textId="525E3BE2" w:rsidR="00482CF6" w:rsidRDefault="00482CF6" w:rsidP="003C7A8B">
      <w:pPr>
        <w:pStyle w:val="FootnoteText"/>
        <w:spacing w:line="480" w:lineRule="auto"/>
        <w:rPr>
          <w:sz w:val="24"/>
          <w:szCs w:val="24"/>
        </w:rPr>
      </w:pPr>
      <w:proofErr w:type="spellStart"/>
      <w:r>
        <w:rPr>
          <w:sz w:val="24"/>
          <w:szCs w:val="24"/>
        </w:rPr>
        <w:t>Emmison</w:t>
      </w:r>
      <w:proofErr w:type="spellEnd"/>
      <w:r>
        <w:rPr>
          <w:sz w:val="24"/>
          <w:szCs w:val="24"/>
        </w:rPr>
        <w:t xml:space="preserve">, F.G., </w:t>
      </w:r>
      <w:r w:rsidRPr="00482CF6">
        <w:rPr>
          <w:i/>
          <w:sz w:val="24"/>
          <w:szCs w:val="24"/>
        </w:rPr>
        <w:t>Introduction to Archives</w:t>
      </w:r>
      <w:r>
        <w:rPr>
          <w:sz w:val="24"/>
          <w:szCs w:val="24"/>
        </w:rPr>
        <w:t xml:space="preserve"> (London: Phillimore, 1978).</w:t>
      </w:r>
    </w:p>
    <w:p w14:paraId="042C23DF" w14:textId="061011B4" w:rsidR="00482CF6" w:rsidRDefault="00482CF6" w:rsidP="003C7A8B">
      <w:pPr>
        <w:pStyle w:val="FootnoteText"/>
        <w:spacing w:line="480" w:lineRule="auto"/>
        <w:rPr>
          <w:sz w:val="24"/>
          <w:szCs w:val="24"/>
        </w:rPr>
      </w:pPr>
      <w:r>
        <w:rPr>
          <w:sz w:val="24"/>
          <w:szCs w:val="24"/>
        </w:rPr>
        <w:t xml:space="preserve">Foster, J., Sheppard, J., eds., </w:t>
      </w:r>
      <w:r w:rsidRPr="00482CF6">
        <w:rPr>
          <w:i/>
          <w:sz w:val="24"/>
          <w:szCs w:val="24"/>
        </w:rPr>
        <w:t>British Archives: A Guide to the Archive Resources of the United Kingdom</w:t>
      </w:r>
      <w:r>
        <w:rPr>
          <w:sz w:val="24"/>
          <w:szCs w:val="24"/>
        </w:rPr>
        <w:t xml:space="preserve"> (Basingstoke: Macmillan, 1995).</w:t>
      </w:r>
    </w:p>
    <w:p w14:paraId="5A772B73" w14:textId="67D11EA4" w:rsidR="000D4F03" w:rsidRDefault="000D4F03" w:rsidP="003C7A8B">
      <w:pPr>
        <w:pStyle w:val="FootnoteText"/>
        <w:spacing w:line="480" w:lineRule="auto"/>
        <w:rPr>
          <w:sz w:val="24"/>
          <w:szCs w:val="24"/>
        </w:rPr>
      </w:pPr>
      <w:proofErr w:type="spellStart"/>
      <w:r>
        <w:rPr>
          <w:sz w:val="24"/>
          <w:szCs w:val="24"/>
        </w:rPr>
        <w:t>Harthan</w:t>
      </w:r>
      <w:proofErr w:type="spellEnd"/>
      <w:r>
        <w:rPr>
          <w:sz w:val="24"/>
          <w:szCs w:val="24"/>
        </w:rPr>
        <w:t xml:space="preserve">, J., </w:t>
      </w:r>
      <w:r w:rsidRPr="000D4F03">
        <w:rPr>
          <w:i/>
          <w:sz w:val="24"/>
          <w:szCs w:val="24"/>
        </w:rPr>
        <w:t>Books of Hours</w:t>
      </w:r>
      <w:r>
        <w:rPr>
          <w:sz w:val="24"/>
          <w:szCs w:val="24"/>
        </w:rPr>
        <w:t xml:space="preserve"> (London: Thames and Hudson, 1977).</w:t>
      </w:r>
    </w:p>
    <w:p w14:paraId="7163041E" w14:textId="646A3B70" w:rsidR="003C7A8B" w:rsidRPr="004F674A" w:rsidRDefault="003C7A8B" w:rsidP="003C7A8B">
      <w:pPr>
        <w:pStyle w:val="FootnoteText"/>
        <w:spacing w:line="480" w:lineRule="auto"/>
        <w:rPr>
          <w:sz w:val="24"/>
          <w:szCs w:val="24"/>
        </w:rPr>
      </w:pPr>
      <w:proofErr w:type="spellStart"/>
      <w:r>
        <w:rPr>
          <w:sz w:val="24"/>
          <w:szCs w:val="24"/>
        </w:rPr>
        <w:lastRenderedPageBreak/>
        <w:t>Lalor</w:t>
      </w:r>
      <w:proofErr w:type="spellEnd"/>
      <w:r>
        <w:rPr>
          <w:sz w:val="24"/>
          <w:szCs w:val="24"/>
        </w:rPr>
        <w:t xml:space="preserve">, S., </w:t>
      </w:r>
      <w:r w:rsidRPr="007B6EF8">
        <w:rPr>
          <w:i/>
          <w:sz w:val="24"/>
          <w:szCs w:val="24"/>
        </w:rPr>
        <w:t>Matthew Tindall, Freethinker: An Eighteenth-Century Assault on Religion</w:t>
      </w:r>
      <w:r>
        <w:rPr>
          <w:sz w:val="24"/>
          <w:szCs w:val="24"/>
        </w:rPr>
        <w:t xml:space="preserve"> (London: Continuum, 2006).</w:t>
      </w:r>
    </w:p>
    <w:p w14:paraId="4FAC7C16" w14:textId="24C880FB" w:rsidR="002E5DAE" w:rsidRDefault="002E5DAE" w:rsidP="00C927FF">
      <w:pPr>
        <w:spacing w:line="480" w:lineRule="auto"/>
        <w:jc w:val="both"/>
      </w:pPr>
      <w:r w:rsidRPr="002E5DAE">
        <w:t xml:space="preserve">Madigan, E., </w:t>
      </w:r>
      <w:r>
        <w:t xml:space="preserve">Snape, M., eds., </w:t>
      </w:r>
      <w:r w:rsidRPr="002E5DAE">
        <w:rPr>
          <w:i/>
        </w:rPr>
        <w:t>The Clergy in Khaki: New Perspectives on British Army Chaplaincy in the First World War</w:t>
      </w:r>
      <w:r>
        <w:t xml:space="preserve"> (London: Routledge, 2016).</w:t>
      </w:r>
    </w:p>
    <w:p w14:paraId="5E6A3BD9" w14:textId="77777777" w:rsidR="00F074C7" w:rsidRPr="00F074C7" w:rsidRDefault="00F074C7" w:rsidP="00F074C7">
      <w:pPr>
        <w:pStyle w:val="FootnoteText"/>
        <w:rPr>
          <w:sz w:val="24"/>
          <w:szCs w:val="24"/>
        </w:rPr>
      </w:pPr>
      <w:r w:rsidRPr="00F074C7">
        <w:rPr>
          <w:sz w:val="24"/>
          <w:szCs w:val="24"/>
        </w:rPr>
        <w:t xml:space="preserve">Mercator, Encyclopaedia Britannica </w:t>
      </w:r>
      <w:hyperlink r:id="rId12" w:history="1">
        <w:r w:rsidRPr="00F074C7">
          <w:rPr>
            <w:rStyle w:val="Hyperlink"/>
            <w:sz w:val="24"/>
            <w:szCs w:val="24"/>
          </w:rPr>
          <w:t>https://www.britannica.com/biography/Gerardus-Mercator</w:t>
        </w:r>
      </w:hyperlink>
      <w:r w:rsidRPr="00F074C7">
        <w:rPr>
          <w:sz w:val="24"/>
          <w:szCs w:val="24"/>
        </w:rPr>
        <w:t xml:space="preserve">  accessed 10/05/2018.</w:t>
      </w:r>
    </w:p>
    <w:p w14:paraId="3C0D61BD" w14:textId="77777777" w:rsidR="00F074C7" w:rsidRDefault="00F074C7" w:rsidP="00F074C7">
      <w:pPr>
        <w:pStyle w:val="FootnoteText"/>
        <w:rPr>
          <w:sz w:val="24"/>
          <w:szCs w:val="24"/>
        </w:rPr>
      </w:pPr>
    </w:p>
    <w:p w14:paraId="2C7467E5" w14:textId="6F0F611C" w:rsidR="00F074C7" w:rsidRPr="00F074C7" w:rsidRDefault="00F074C7" w:rsidP="00F074C7">
      <w:pPr>
        <w:pStyle w:val="FootnoteText"/>
        <w:rPr>
          <w:sz w:val="24"/>
          <w:szCs w:val="24"/>
        </w:rPr>
      </w:pPr>
      <w:proofErr w:type="spellStart"/>
      <w:r w:rsidRPr="00F074C7">
        <w:rPr>
          <w:sz w:val="24"/>
          <w:szCs w:val="24"/>
        </w:rPr>
        <w:t>Ortellius</w:t>
      </w:r>
      <w:proofErr w:type="spellEnd"/>
      <w:r w:rsidRPr="00F074C7">
        <w:rPr>
          <w:sz w:val="24"/>
          <w:szCs w:val="24"/>
        </w:rPr>
        <w:t xml:space="preserve">, Encyclopaedia Britannica </w:t>
      </w:r>
      <w:hyperlink r:id="rId13" w:history="1">
        <w:r w:rsidRPr="00F074C7">
          <w:rPr>
            <w:rStyle w:val="Hyperlink"/>
            <w:sz w:val="24"/>
            <w:szCs w:val="24"/>
          </w:rPr>
          <w:t>https://www.britannica.com/biography/Abraham-Ortellius</w:t>
        </w:r>
      </w:hyperlink>
      <w:r w:rsidRPr="00F074C7">
        <w:rPr>
          <w:sz w:val="24"/>
          <w:szCs w:val="24"/>
        </w:rPr>
        <w:t xml:space="preserve">  accessed 10/05/2018.</w:t>
      </w:r>
    </w:p>
    <w:p w14:paraId="698B9F8A" w14:textId="77777777" w:rsidR="00F074C7" w:rsidRDefault="00F074C7" w:rsidP="00C927FF">
      <w:pPr>
        <w:spacing w:line="480" w:lineRule="auto"/>
        <w:jc w:val="both"/>
      </w:pPr>
    </w:p>
    <w:p w14:paraId="5F0E7DC4" w14:textId="09DE0DE2" w:rsidR="003C7A8B" w:rsidRDefault="002E5DAE" w:rsidP="00C927FF">
      <w:pPr>
        <w:spacing w:line="480" w:lineRule="auto"/>
        <w:jc w:val="both"/>
      </w:pPr>
      <w:r>
        <w:t xml:space="preserve">‘The Royal Artillery in the First World War,’ </w:t>
      </w:r>
      <w:r w:rsidRPr="002E5DAE">
        <w:rPr>
          <w:i/>
        </w:rPr>
        <w:t>The Long, Long Trail,</w:t>
      </w:r>
      <w:r>
        <w:t xml:space="preserve"> </w:t>
      </w:r>
      <w:hyperlink r:id="rId14" w:history="1">
        <w:r w:rsidR="003C7A8B" w:rsidRPr="00FA61DA">
          <w:rPr>
            <w:rStyle w:val="Hyperlink"/>
          </w:rPr>
          <w:t xml:space="preserve">https://longlongtrail.co.uk/army/regiment-and-corps/the-royal-artillery-in-the-first-world-war   </w:t>
        </w:r>
      </w:hyperlink>
      <w:r w:rsidR="003C7A8B">
        <w:t xml:space="preserve">   accessed 14/02/2018.</w:t>
      </w:r>
    </w:p>
    <w:p w14:paraId="26C74EA0" w14:textId="35A3B52C" w:rsidR="000D4F03" w:rsidRPr="000D4F03" w:rsidRDefault="000D4F03" w:rsidP="000D4F03">
      <w:pPr>
        <w:pStyle w:val="FootnoteText"/>
        <w:spacing w:line="480" w:lineRule="auto"/>
        <w:rPr>
          <w:sz w:val="24"/>
          <w:szCs w:val="24"/>
        </w:rPr>
      </w:pPr>
      <w:r>
        <w:rPr>
          <w:sz w:val="24"/>
          <w:szCs w:val="24"/>
        </w:rPr>
        <w:t xml:space="preserve">Rudy, K.M., </w:t>
      </w:r>
      <w:r w:rsidRPr="000D4F03">
        <w:rPr>
          <w:i/>
          <w:sz w:val="24"/>
          <w:szCs w:val="24"/>
        </w:rPr>
        <w:t>Piety in Pieces: How Medieval Reader Customised Their Manuscripts</w:t>
      </w:r>
      <w:r>
        <w:rPr>
          <w:sz w:val="24"/>
          <w:szCs w:val="24"/>
        </w:rPr>
        <w:t xml:space="preserve"> (Cambridge: Open Books Publishers, 2016).</w:t>
      </w:r>
    </w:p>
    <w:p w14:paraId="74F8902F" w14:textId="77777777" w:rsidR="003C7A8B" w:rsidRDefault="003C7A8B" w:rsidP="003C7A8B">
      <w:pPr>
        <w:pStyle w:val="FootnoteText"/>
        <w:spacing w:line="480" w:lineRule="auto"/>
        <w:rPr>
          <w:sz w:val="24"/>
          <w:szCs w:val="24"/>
        </w:rPr>
      </w:pPr>
      <w:r>
        <w:rPr>
          <w:sz w:val="24"/>
          <w:szCs w:val="24"/>
        </w:rPr>
        <w:t xml:space="preserve">Taylor, S., ed., </w:t>
      </w:r>
      <w:r w:rsidRPr="003C7A8B">
        <w:rPr>
          <w:i/>
          <w:sz w:val="24"/>
          <w:szCs w:val="24"/>
        </w:rPr>
        <w:t>From Cranmer to Davidson: A Church of England Miscellany</w:t>
      </w:r>
      <w:r>
        <w:rPr>
          <w:sz w:val="24"/>
          <w:szCs w:val="24"/>
        </w:rPr>
        <w:t xml:space="preserve"> (Woodbridge: Boydell Press, 2007).</w:t>
      </w:r>
    </w:p>
    <w:p w14:paraId="4E5F29C5" w14:textId="7321B6B5" w:rsidR="009C239A" w:rsidRDefault="009C239A" w:rsidP="009C239A">
      <w:pPr>
        <w:pStyle w:val="FootnoteText"/>
        <w:rPr>
          <w:sz w:val="24"/>
          <w:szCs w:val="24"/>
        </w:rPr>
      </w:pPr>
      <w:r w:rsidRPr="009C239A">
        <w:rPr>
          <w:i/>
          <w:sz w:val="24"/>
          <w:szCs w:val="24"/>
        </w:rPr>
        <w:t>The MARTLET Bookbinding, Norfolk, England</w:t>
      </w:r>
      <w:r w:rsidRPr="009C239A">
        <w:rPr>
          <w:sz w:val="24"/>
          <w:szCs w:val="24"/>
        </w:rPr>
        <w:t xml:space="preserve">, </w:t>
      </w:r>
      <w:hyperlink r:id="rId15" w:history="1">
        <w:r w:rsidRPr="009C239A">
          <w:rPr>
            <w:rStyle w:val="Hyperlink"/>
            <w:sz w:val="24"/>
            <w:szCs w:val="24"/>
          </w:rPr>
          <w:t>https://www.youtube.com/watch?V=WUsQIQ2_3d8</w:t>
        </w:r>
      </w:hyperlink>
      <w:r w:rsidRPr="009C239A">
        <w:rPr>
          <w:sz w:val="24"/>
          <w:szCs w:val="24"/>
        </w:rPr>
        <w:t xml:space="preserve"> accessed 19/04/2018</w:t>
      </w:r>
      <w:r>
        <w:rPr>
          <w:sz w:val="24"/>
          <w:szCs w:val="24"/>
        </w:rPr>
        <w:t>.</w:t>
      </w:r>
    </w:p>
    <w:p w14:paraId="249CDB32" w14:textId="77777777" w:rsidR="009C239A" w:rsidRDefault="009C239A" w:rsidP="009C239A">
      <w:pPr>
        <w:pStyle w:val="FootnoteText"/>
        <w:rPr>
          <w:sz w:val="24"/>
          <w:szCs w:val="24"/>
        </w:rPr>
      </w:pPr>
    </w:p>
    <w:p w14:paraId="64C04CF7" w14:textId="33D2448E" w:rsidR="009C239A" w:rsidRPr="009C239A" w:rsidRDefault="009C239A" w:rsidP="009C239A">
      <w:pPr>
        <w:pStyle w:val="FootnoteText"/>
        <w:rPr>
          <w:sz w:val="24"/>
          <w:szCs w:val="24"/>
        </w:rPr>
      </w:pPr>
      <w:r w:rsidRPr="009C239A">
        <w:rPr>
          <w:i/>
          <w:sz w:val="24"/>
          <w:szCs w:val="24"/>
        </w:rPr>
        <w:t>Hands: A Dublin Bookbinder</w:t>
      </w:r>
      <w:r w:rsidRPr="009C239A">
        <w:rPr>
          <w:sz w:val="24"/>
          <w:szCs w:val="24"/>
        </w:rPr>
        <w:t xml:space="preserve">, </w:t>
      </w:r>
      <w:hyperlink r:id="rId16" w:history="1">
        <w:r w:rsidRPr="009C239A">
          <w:rPr>
            <w:rStyle w:val="Hyperlink"/>
            <w:sz w:val="24"/>
            <w:szCs w:val="24"/>
          </w:rPr>
          <w:t>https://youtube.com/watch?V=RBd67qQy96k</w:t>
        </w:r>
      </w:hyperlink>
      <w:r w:rsidRPr="009C239A">
        <w:rPr>
          <w:sz w:val="24"/>
          <w:szCs w:val="24"/>
        </w:rPr>
        <w:t xml:space="preserve"> accessed 19/04/2018.</w:t>
      </w:r>
    </w:p>
    <w:p w14:paraId="7D424B18" w14:textId="77777777" w:rsidR="003C7A8B" w:rsidRPr="002E5DAE" w:rsidRDefault="003C7A8B" w:rsidP="00C927FF">
      <w:pPr>
        <w:spacing w:line="480" w:lineRule="auto"/>
        <w:jc w:val="both"/>
      </w:pPr>
    </w:p>
    <w:sectPr w:rsidR="003C7A8B" w:rsidRPr="002E5DAE">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CD9B9F" w14:textId="77777777" w:rsidR="0046691C" w:rsidRDefault="0046691C" w:rsidP="008F2390">
      <w:r>
        <w:separator/>
      </w:r>
    </w:p>
  </w:endnote>
  <w:endnote w:type="continuationSeparator" w:id="0">
    <w:p w14:paraId="290AE5B9" w14:textId="77777777" w:rsidR="0046691C" w:rsidRDefault="0046691C" w:rsidP="008F23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01366967"/>
      <w:docPartObj>
        <w:docPartGallery w:val="Page Numbers (Bottom of Page)"/>
        <w:docPartUnique/>
      </w:docPartObj>
    </w:sdtPr>
    <w:sdtEndPr>
      <w:rPr>
        <w:noProof/>
      </w:rPr>
    </w:sdtEndPr>
    <w:sdtContent>
      <w:p w14:paraId="3531D917" w14:textId="5125096B" w:rsidR="008F2390" w:rsidRDefault="008F239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A0BBA1" w14:textId="77777777" w:rsidR="008F2390" w:rsidRDefault="008F23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FB2323" w14:textId="77777777" w:rsidR="0046691C" w:rsidRDefault="0046691C" w:rsidP="008F2390">
      <w:r>
        <w:separator/>
      </w:r>
    </w:p>
  </w:footnote>
  <w:footnote w:type="continuationSeparator" w:id="0">
    <w:p w14:paraId="06C3895C" w14:textId="77777777" w:rsidR="0046691C" w:rsidRDefault="0046691C" w:rsidP="008F2390">
      <w:r>
        <w:continuationSeparator/>
      </w:r>
    </w:p>
  </w:footnote>
  <w:footnote w:id="1">
    <w:p w14:paraId="3F2E78C1" w14:textId="7C2E7528" w:rsidR="00C37895" w:rsidRDefault="00C37895">
      <w:pPr>
        <w:pStyle w:val="FootnoteText"/>
      </w:pPr>
      <w:r>
        <w:rPr>
          <w:rStyle w:val="FootnoteReference"/>
        </w:rPr>
        <w:footnoteRef/>
      </w:r>
      <w:r>
        <w:t xml:space="preserve"> </w:t>
      </w:r>
      <w:r w:rsidR="006D1532" w:rsidRPr="006D1532">
        <w:rPr>
          <w:i/>
        </w:rPr>
        <w:t>Saint David’s Magazine</w:t>
      </w:r>
      <w:r w:rsidR="006D1532">
        <w:t xml:space="preserve"> 1908 – 1912, Vol X (Roderic Bowen Archives), UA/SP/1/8.</w:t>
      </w:r>
    </w:p>
  </w:footnote>
  <w:footnote w:id="2">
    <w:p w14:paraId="73CFE5DE" w14:textId="7A1AC53B" w:rsidR="006D1532" w:rsidRPr="000D4F03" w:rsidRDefault="006D1532">
      <w:pPr>
        <w:pStyle w:val="FootnoteText"/>
      </w:pPr>
      <w:r>
        <w:rPr>
          <w:rStyle w:val="FootnoteReference"/>
        </w:rPr>
        <w:footnoteRef/>
      </w:r>
      <w:r>
        <w:t xml:space="preserve"> ‘Basil Jones,’ </w:t>
      </w:r>
      <w:r w:rsidRPr="006D1532">
        <w:rPr>
          <w:i/>
        </w:rPr>
        <w:t>Pass List, June 29</w:t>
      </w:r>
      <w:r w:rsidRPr="006D1532">
        <w:rPr>
          <w:i/>
          <w:vertAlign w:val="superscript"/>
        </w:rPr>
        <w:t>th</w:t>
      </w:r>
      <w:r w:rsidR="000D4F03" w:rsidRPr="006D1532">
        <w:rPr>
          <w:i/>
        </w:rPr>
        <w:t>, 1911</w:t>
      </w:r>
      <w:r>
        <w:rPr>
          <w:i/>
        </w:rPr>
        <w:t xml:space="preserve"> </w:t>
      </w:r>
      <w:r w:rsidRPr="000D4F03">
        <w:t>(Roderic Bowen Archive), UA/</w:t>
      </w:r>
      <w:r w:rsidR="000D4F03" w:rsidRPr="000D4F03">
        <w:t>4/42.</w:t>
      </w:r>
    </w:p>
  </w:footnote>
  <w:footnote w:id="3">
    <w:p w14:paraId="58C9960C" w14:textId="683C4868" w:rsidR="006D1532" w:rsidRDefault="006D1532">
      <w:pPr>
        <w:pStyle w:val="FootnoteText"/>
      </w:pPr>
      <w:r>
        <w:rPr>
          <w:rStyle w:val="FootnoteReference"/>
        </w:rPr>
        <w:footnoteRef/>
      </w:r>
      <w:r>
        <w:t xml:space="preserve"> </w:t>
      </w:r>
      <w:r w:rsidRPr="006D1532">
        <w:rPr>
          <w:i/>
        </w:rPr>
        <w:t>Saint David’s Magazine</w:t>
      </w:r>
      <w:r>
        <w:t>, Vol 12, 1920 – 1926 (Roderic Bowen Archives), UA/SP/1/10.</w:t>
      </w:r>
    </w:p>
  </w:footnote>
  <w:footnote w:id="4">
    <w:p w14:paraId="0CEA3D47" w14:textId="499360C5" w:rsidR="006D1532" w:rsidRDefault="006D1532">
      <w:pPr>
        <w:pStyle w:val="FootnoteText"/>
      </w:pPr>
      <w:r>
        <w:rPr>
          <w:rStyle w:val="FootnoteReference"/>
        </w:rPr>
        <w:footnoteRef/>
      </w:r>
      <w:r>
        <w:t xml:space="preserve"> ‘Basil Jones’, </w:t>
      </w:r>
      <w:r w:rsidRPr="006D1532">
        <w:rPr>
          <w:i/>
        </w:rPr>
        <w:t>Chaplain’s Application Record</w:t>
      </w:r>
      <w:r>
        <w:t xml:space="preserve"> (6</w:t>
      </w:r>
      <w:r w:rsidRPr="006D1532">
        <w:rPr>
          <w:vertAlign w:val="superscript"/>
        </w:rPr>
        <w:t>th</w:t>
      </w:r>
      <w:r>
        <w:t xml:space="preserve"> February 1918), no 6163. </w:t>
      </w:r>
      <w:hyperlink r:id="rId1" w:history="1">
        <w:r w:rsidRPr="00F26E0A">
          <w:rPr>
            <w:rStyle w:val="Hyperlink"/>
          </w:rPr>
          <w:t>https://www.chaplains-museum.co.uk/entity/138493-b-jones?=B%20Jones</w:t>
        </w:r>
      </w:hyperlink>
      <w:r>
        <w:t xml:space="preserve">  accessed 07/02/2018.</w:t>
      </w:r>
    </w:p>
  </w:footnote>
  <w:footnote w:id="5">
    <w:p w14:paraId="698418C0" w14:textId="51A9971D" w:rsidR="002E5DAE" w:rsidRDefault="002E5DAE">
      <w:pPr>
        <w:pStyle w:val="FootnoteText"/>
      </w:pPr>
      <w:r>
        <w:rPr>
          <w:rStyle w:val="FootnoteReference"/>
        </w:rPr>
        <w:footnoteRef/>
      </w:r>
      <w:r>
        <w:t xml:space="preserve"> E. Madigan, M. Snape, eds., </w:t>
      </w:r>
      <w:r w:rsidRPr="002E5DAE">
        <w:rPr>
          <w:i/>
        </w:rPr>
        <w:t>The Clergy in Khaki: New Perspectives on British Army Chaplaincy in the First World War</w:t>
      </w:r>
      <w:r>
        <w:t xml:space="preserve"> (London: Routledge, 2016).</w:t>
      </w:r>
    </w:p>
  </w:footnote>
  <w:footnote w:id="6">
    <w:p w14:paraId="7C516C0C" w14:textId="0284C708" w:rsidR="002E5DAE" w:rsidRDefault="002E5DAE">
      <w:pPr>
        <w:pStyle w:val="FootnoteText"/>
      </w:pPr>
      <w:r>
        <w:rPr>
          <w:rStyle w:val="FootnoteReference"/>
        </w:rPr>
        <w:footnoteRef/>
      </w:r>
      <w:r>
        <w:t xml:space="preserve"> ‘The Royal Artillery in the First World War,’ </w:t>
      </w:r>
      <w:r w:rsidRPr="002E5DAE">
        <w:rPr>
          <w:i/>
        </w:rPr>
        <w:t>The Long, Long Trail</w:t>
      </w:r>
      <w:r>
        <w:t xml:space="preserve">, </w:t>
      </w:r>
      <w:hyperlink r:id="rId2" w:history="1">
        <w:r w:rsidRPr="00F51A03">
          <w:rPr>
            <w:rStyle w:val="Hyperlink"/>
          </w:rPr>
          <w:t>https://longlongtrail.co.uk/army/regiment-and-corps/the-royal-artillery-in-the-first-world-war</w:t>
        </w:r>
      </w:hyperlink>
      <w:r>
        <w:t xml:space="preserve"> accessed 14/02/2018.</w:t>
      </w:r>
    </w:p>
  </w:footnote>
  <w:footnote w:id="7">
    <w:p w14:paraId="4A17466A" w14:textId="19A72F3B" w:rsidR="00482CF6" w:rsidRDefault="00482CF6">
      <w:pPr>
        <w:pStyle w:val="FootnoteText"/>
      </w:pPr>
      <w:r>
        <w:rPr>
          <w:rStyle w:val="FootnoteReference"/>
        </w:rPr>
        <w:footnoteRef/>
      </w:r>
      <w:r>
        <w:t xml:space="preserve"> F.G. Emmerson, </w:t>
      </w:r>
      <w:r w:rsidRPr="00482CF6">
        <w:rPr>
          <w:i/>
        </w:rPr>
        <w:t>Introduction to Archives</w:t>
      </w:r>
      <w:r>
        <w:t xml:space="preserve"> (London: Phillimore, 1978).</w:t>
      </w:r>
    </w:p>
  </w:footnote>
  <w:footnote w:id="8">
    <w:p w14:paraId="4FFB8C42" w14:textId="3A1C395B" w:rsidR="00482CF6" w:rsidRDefault="00482CF6">
      <w:pPr>
        <w:pStyle w:val="FootnoteText"/>
      </w:pPr>
      <w:r>
        <w:rPr>
          <w:rStyle w:val="FootnoteReference"/>
        </w:rPr>
        <w:footnoteRef/>
      </w:r>
      <w:r>
        <w:t xml:space="preserve"> J. Foster, J. Sheppard, eds., </w:t>
      </w:r>
      <w:r w:rsidRPr="00482CF6">
        <w:rPr>
          <w:i/>
        </w:rPr>
        <w:t>British Archives: A Guide to the Archive Resources of the United Kingdom</w:t>
      </w:r>
      <w:r>
        <w:t xml:space="preserve"> (Basingstoke: Macmillan, 1995).</w:t>
      </w:r>
    </w:p>
  </w:footnote>
  <w:footnote w:id="9">
    <w:p w14:paraId="4DAEB474" w14:textId="2254106D" w:rsidR="000D4F03" w:rsidRDefault="000D4F03">
      <w:pPr>
        <w:pStyle w:val="FootnoteText"/>
      </w:pPr>
      <w:r>
        <w:rPr>
          <w:rStyle w:val="FootnoteReference"/>
        </w:rPr>
        <w:footnoteRef/>
      </w:r>
      <w:r>
        <w:t xml:space="preserve"> K.M. Rudy, </w:t>
      </w:r>
      <w:r w:rsidRPr="000D4F03">
        <w:rPr>
          <w:i/>
        </w:rPr>
        <w:t>Piety in Pieces: How Medieval Readers Customised Their Manuscripts</w:t>
      </w:r>
      <w:r>
        <w:t xml:space="preserve"> (Cambridge: Open Books Publisher, 2016).</w:t>
      </w:r>
    </w:p>
  </w:footnote>
  <w:footnote w:id="10">
    <w:p w14:paraId="793E2FD7" w14:textId="25CB6301" w:rsidR="000D4F03" w:rsidRDefault="000D4F03">
      <w:pPr>
        <w:pStyle w:val="FootnoteText"/>
      </w:pPr>
      <w:r>
        <w:rPr>
          <w:rStyle w:val="FootnoteReference"/>
        </w:rPr>
        <w:footnoteRef/>
      </w:r>
      <w:r>
        <w:t xml:space="preserve"> J. </w:t>
      </w:r>
      <w:proofErr w:type="spellStart"/>
      <w:r>
        <w:t>Harthan</w:t>
      </w:r>
      <w:proofErr w:type="spellEnd"/>
      <w:r>
        <w:t xml:space="preserve">, </w:t>
      </w:r>
      <w:r w:rsidRPr="000D4F03">
        <w:rPr>
          <w:i/>
        </w:rPr>
        <w:t>Books of Hours</w:t>
      </w:r>
      <w:r>
        <w:t xml:space="preserve"> (London: Thames and Hudson, 1977).</w:t>
      </w:r>
    </w:p>
  </w:footnote>
  <w:footnote w:id="11">
    <w:p w14:paraId="208000C1" w14:textId="51131421" w:rsidR="00660396" w:rsidRDefault="00660396">
      <w:pPr>
        <w:pStyle w:val="FootnoteText"/>
      </w:pPr>
      <w:r>
        <w:rPr>
          <w:rStyle w:val="FootnoteReference"/>
        </w:rPr>
        <w:footnoteRef/>
      </w:r>
      <w:r>
        <w:t xml:space="preserve"> </w:t>
      </w:r>
      <w:bookmarkStart w:id="1" w:name="_Hlk514755713"/>
      <w:r>
        <w:t xml:space="preserve">S. </w:t>
      </w:r>
      <w:proofErr w:type="spellStart"/>
      <w:r>
        <w:t>Panayotova</w:t>
      </w:r>
      <w:proofErr w:type="spellEnd"/>
      <w:r>
        <w:t xml:space="preserve">, </w:t>
      </w:r>
      <w:r w:rsidRPr="00660396">
        <w:rPr>
          <w:i/>
        </w:rPr>
        <w:t>Macclesfield Psalter</w:t>
      </w:r>
      <w:r>
        <w:t>, (London: Thames and Hudson, 2008), Roderic Bowen Library and Archive Reference (Q 091 PAN).</w:t>
      </w:r>
    </w:p>
    <w:bookmarkEnd w:id="1"/>
  </w:footnote>
  <w:footnote w:id="12">
    <w:p w14:paraId="5FA0E6A3" w14:textId="5821DFD0" w:rsidR="00660396" w:rsidRDefault="00660396">
      <w:pPr>
        <w:pStyle w:val="FootnoteText"/>
      </w:pPr>
      <w:r>
        <w:rPr>
          <w:rStyle w:val="FootnoteReference"/>
        </w:rPr>
        <w:footnoteRef/>
      </w:r>
      <w:r>
        <w:t xml:space="preserve"> K.W. Carson, M. Thomas, </w:t>
      </w:r>
      <w:r w:rsidRPr="00660396">
        <w:rPr>
          <w:i/>
        </w:rPr>
        <w:t>The Rohan book of hours</w:t>
      </w:r>
      <w:r>
        <w:t xml:space="preserve"> (London: Thames and Hudson, 1973), Roderic Bowen Library and Archive Reference (Q 091 ROH).</w:t>
      </w:r>
    </w:p>
  </w:footnote>
  <w:footnote w:id="13">
    <w:p w14:paraId="1C2A9626" w14:textId="0F52997A" w:rsidR="007B6EF8" w:rsidRDefault="007B6EF8">
      <w:pPr>
        <w:pStyle w:val="FootnoteText"/>
      </w:pPr>
      <w:r>
        <w:rPr>
          <w:rStyle w:val="FootnoteReference"/>
        </w:rPr>
        <w:footnoteRef/>
      </w:r>
      <w:r>
        <w:t xml:space="preserve"> S. </w:t>
      </w:r>
      <w:proofErr w:type="spellStart"/>
      <w:r>
        <w:t>Lalor</w:t>
      </w:r>
      <w:proofErr w:type="spellEnd"/>
      <w:r>
        <w:t xml:space="preserve">, </w:t>
      </w:r>
      <w:r w:rsidRPr="007B6EF8">
        <w:rPr>
          <w:i/>
        </w:rPr>
        <w:t>Matthew Tindall, Freethinker: An Eighteenth-Century Assault on Religion</w:t>
      </w:r>
      <w:r>
        <w:t xml:space="preserve"> (London: Continuum, 2006).</w:t>
      </w:r>
    </w:p>
  </w:footnote>
  <w:footnote w:id="14">
    <w:p w14:paraId="380AB8F4" w14:textId="58BA7FAB" w:rsidR="007B6EF8" w:rsidRDefault="007B6EF8">
      <w:pPr>
        <w:pStyle w:val="FootnoteText"/>
      </w:pPr>
      <w:r>
        <w:rPr>
          <w:rStyle w:val="FootnoteReference"/>
        </w:rPr>
        <w:footnoteRef/>
      </w:r>
      <w:r>
        <w:t xml:space="preserve"> S. Taylor, ed., </w:t>
      </w:r>
      <w:r w:rsidRPr="007B6EF8">
        <w:rPr>
          <w:i/>
        </w:rPr>
        <w:t>From Cranmer to Davidson: A Church of England Miscellany</w:t>
      </w:r>
      <w:r>
        <w:t xml:space="preserve"> (Woodbridge: Boydell Press, 2007).</w:t>
      </w:r>
    </w:p>
  </w:footnote>
  <w:footnote w:id="15">
    <w:p w14:paraId="4AD389B6" w14:textId="25CF33D8" w:rsidR="007B6EF8" w:rsidRDefault="007B6EF8">
      <w:pPr>
        <w:pStyle w:val="FootnoteText"/>
      </w:pPr>
      <w:r>
        <w:rPr>
          <w:rStyle w:val="FootnoteReference"/>
        </w:rPr>
        <w:footnoteRef/>
      </w:r>
      <w:r>
        <w:t xml:space="preserve"> E. Gibson, </w:t>
      </w:r>
      <w:r w:rsidRPr="007B6EF8">
        <w:rPr>
          <w:i/>
        </w:rPr>
        <w:t>Directions Given by Edmund Lord Bishop of London, to the Clergy of his Diocese</w:t>
      </w:r>
      <w:r>
        <w:t xml:space="preserve"> (London: S. Buckley, 1724).</w:t>
      </w:r>
    </w:p>
  </w:footnote>
  <w:footnote w:id="16">
    <w:p w14:paraId="48040F0B" w14:textId="424A4E12" w:rsidR="00D30160" w:rsidRDefault="00D30160">
      <w:pPr>
        <w:pStyle w:val="FootnoteText"/>
      </w:pPr>
      <w:r>
        <w:rPr>
          <w:rStyle w:val="FootnoteReference"/>
        </w:rPr>
        <w:footnoteRef/>
      </w:r>
      <w:r>
        <w:t xml:space="preserve"> </w:t>
      </w:r>
      <w:r w:rsidR="007B6EF8" w:rsidRPr="007B6EF8">
        <w:rPr>
          <w:i/>
        </w:rPr>
        <w:t>The Baptist Magazine for 1824</w:t>
      </w:r>
      <w:r w:rsidR="007B6EF8">
        <w:t>, Vol XVI (London: J. Barfield, 1824).</w:t>
      </w:r>
    </w:p>
  </w:footnote>
  <w:footnote w:id="17">
    <w:p w14:paraId="2FE8CB24" w14:textId="6AED1AF1" w:rsidR="00C80F8B" w:rsidRDefault="00C80F8B">
      <w:pPr>
        <w:pStyle w:val="FootnoteText"/>
      </w:pPr>
      <w:r>
        <w:rPr>
          <w:rStyle w:val="FootnoteReference"/>
        </w:rPr>
        <w:footnoteRef/>
      </w:r>
      <w:r>
        <w:t xml:space="preserve"> A. Barton, Bookbinding: </w:t>
      </w:r>
      <w:r w:rsidRPr="00C80F8B">
        <w:rPr>
          <w:i/>
        </w:rPr>
        <w:t>A Visual Guide to the Process, Terminology and Elements of Design</w:t>
      </w:r>
      <w:r>
        <w:t xml:space="preserve"> (Module Reader: Roderic Bowen Centre: Archives and Research).</w:t>
      </w:r>
    </w:p>
  </w:footnote>
  <w:footnote w:id="18">
    <w:p w14:paraId="2CAAB0DD" w14:textId="6ED75696" w:rsidR="00C80F8B" w:rsidRDefault="00C80F8B">
      <w:pPr>
        <w:pStyle w:val="FootnoteText"/>
      </w:pPr>
      <w:r>
        <w:rPr>
          <w:rStyle w:val="FootnoteReference"/>
        </w:rPr>
        <w:footnoteRef/>
      </w:r>
      <w:r>
        <w:t xml:space="preserve"> </w:t>
      </w:r>
      <w:r w:rsidRPr="009C239A">
        <w:rPr>
          <w:i/>
        </w:rPr>
        <w:t>The MARTLET Bookbinding, Norfolk, England</w:t>
      </w:r>
      <w:r>
        <w:t xml:space="preserve">, </w:t>
      </w:r>
      <w:hyperlink r:id="rId3" w:history="1">
        <w:r w:rsidRPr="00F26E0A">
          <w:rPr>
            <w:rStyle w:val="Hyperlink"/>
          </w:rPr>
          <w:t>https://www.youtube.com/watch?V=WUsQIQ2_3d8</w:t>
        </w:r>
      </w:hyperlink>
      <w:r>
        <w:t xml:space="preserve"> </w:t>
      </w:r>
      <w:proofErr w:type="spellStart"/>
      <w:r>
        <w:t>accesssed</w:t>
      </w:r>
      <w:proofErr w:type="spellEnd"/>
      <w:r w:rsidR="009C239A">
        <w:t xml:space="preserve"> 19/04/2018, </w:t>
      </w:r>
      <w:r w:rsidR="009C239A" w:rsidRPr="009C239A">
        <w:rPr>
          <w:i/>
        </w:rPr>
        <w:t>Hands: A Dublin Bookbinder</w:t>
      </w:r>
      <w:r w:rsidR="009C239A">
        <w:t xml:space="preserve">, </w:t>
      </w:r>
      <w:hyperlink r:id="rId4" w:history="1">
        <w:r w:rsidR="009C239A" w:rsidRPr="00F26E0A">
          <w:rPr>
            <w:rStyle w:val="Hyperlink"/>
          </w:rPr>
          <w:t>https://youtube.com/watch?V=RBd67qQy96k</w:t>
        </w:r>
      </w:hyperlink>
      <w:r w:rsidR="009C239A">
        <w:t xml:space="preserve"> accessed 19/04/2018.</w:t>
      </w:r>
    </w:p>
  </w:footnote>
  <w:footnote w:id="19">
    <w:p w14:paraId="53112062" w14:textId="250F9065" w:rsidR="00A46FC0" w:rsidRDefault="00A46FC0">
      <w:pPr>
        <w:pStyle w:val="FootnoteText"/>
      </w:pPr>
      <w:r>
        <w:rPr>
          <w:rStyle w:val="FootnoteReference"/>
        </w:rPr>
        <w:footnoteRef/>
      </w:r>
      <w:r>
        <w:t xml:space="preserve"> </w:t>
      </w:r>
      <w:proofErr w:type="spellStart"/>
      <w:r w:rsidRPr="00A46FC0">
        <w:rPr>
          <w:i/>
        </w:rPr>
        <w:t>Theatrum</w:t>
      </w:r>
      <w:proofErr w:type="spellEnd"/>
      <w:r w:rsidRPr="00A46FC0">
        <w:rPr>
          <w:i/>
        </w:rPr>
        <w:t xml:space="preserve"> Orbis </w:t>
      </w:r>
      <w:proofErr w:type="spellStart"/>
      <w:r w:rsidRPr="00A46FC0">
        <w:rPr>
          <w:i/>
        </w:rPr>
        <w:t>Terrarum</w:t>
      </w:r>
      <w:proofErr w:type="spellEnd"/>
      <w:r w:rsidRPr="00A46FC0">
        <w:rPr>
          <w:i/>
        </w:rPr>
        <w:t xml:space="preserve"> </w:t>
      </w:r>
      <w:proofErr w:type="spellStart"/>
      <w:r w:rsidRPr="00A46FC0">
        <w:rPr>
          <w:i/>
        </w:rPr>
        <w:t>Abrahami</w:t>
      </w:r>
      <w:proofErr w:type="spellEnd"/>
      <w:r w:rsidRPr="00A46FC0">
        <w:rPr>
          <w:i/>
        </w:rPr>
        <w:t xml:space="preserve"> </w:t>
      </w:r>
      <w:proofErr w:type="spellStart"/>
      <w:r w:rsidRPr="00A46FC0">
        <w:rPr>
          <w:i/>
        </w:rPr>
        <w:t>Orteli</w:t>
      </w:r>
      <w:proofErr w:type="spellEnd"/>
      <w:r w:rsidRPr="00A46FC0">
        <w:rPr>
          <w:i/>
        </w:rPr>
        <w:t xml:space="preserve"> </w:t>
      </w:r>
      <w:proofErr w:type="spellStart"/>
      <w:r w:rsidRPr="00A46FC0">
        <w:rPr>
          <w:i/>
        </w:rPr>
        <w:t>Antuerp</w:t>
      </w:r>
      <w:proofErr w:type="spellEnd"/>
      <w:r w:rsidRPr="00A46FC0">
        <w:rPr>
          <w:i/>
        </w:rPr>
        <w:t xml:space="preserve">. </w:t>
      </w:r>
      <w:proofErr w:type="spellStart"/>
      <w:r w:rsidRPr="00A46FC0">
        <w:rPr>
          <w:i/>
        </w:rPr>
        <w:t>geographi</w:t>
      </w:r>
      <w:proofErr w:type="spellEnd"/>
      <w:r w:rsidRPr="00A46FC0">
        <w:rPr>
          <w:i/>
        </w:rPr>
        <w:t xml:space="preserve"> </w:t>
      </w:r>
      <w:proofErr w:type="spellStart"/>
      <w:r w:rsidRPr="00A46FC0">
        <w:rPr>
          <w:i/>
        </w:rPr>
        <w:t>regii</w:t>
      </w:r>
      <w:proofErr w:type="spellEnd"/>
      <w:r w:rsidRPr="00A46FC0">
        <w:rPr>
          <w:i/>
        </w:rPr>
        <w:t>. = The Theatre of the Whole World</w:t>
      </w:r>
      <w:r>
        <w:t xml:space="preserve"> (London: John Norton, 1606).</w:t>
      </w:r>
    </w:p>
  </w:footnote>
  <w:footnote w:id="20">
    <w:p w14:paraId="706A66B8" w14:textId="42F782D2" w:rsidR="00F074C7" w:rsidRDefault="00F074C7">
      <w:pPr>
        <w:pStyle w:val="FootnoteText"/>
      </w:pPr>
      <w:r>
        <w:rPr>
          <w:rStyle w:val="FootnoteReference"/>
        </w:rPr>
        <w:footnoteRef/>
      </w:r>
      <w:r>
        <w:t xml:space="preserve"> </w:t>
      </w:r>
      <w:proofErr w:type="spellStart"/>
      <w:r>
        <w:t>Ortellius</w:t>
      </w:r>
      <w:proofErr w:type="spellEnd"/>
      <w:r>
        <w:t xml:space="preserve">, Encyclopaedia Britannica </w:t>
      </w:r>
      <w:hyperlink r:id="rId5" w:history="1">
        <w:r w:rsidRPr="00FA61DA">
          <w:rPr>
            <w:rStyle w:val="Hyperlink"/>
          </w:rPr>
          <w:t>https://www.britannica.com/biography/Abraham-Ortellius</w:t>
        </w:r>
      </w:hyperlink>
      <w:r>
        <w:t xml:space="preserve">  accessed 10/05/2018.</w:t>
      </w:r>
    </w:p>
  </w:footnote>
  <w:footnote w:id="21">
    <w:p w14:paraId="7DBEB0E7" w14:textId="5050B333" w:rsidR="00F074C7" w:rsidRDefault="00F074C7">
      <w:pPr>
        <w:pStyle w:val="FootnoteText"/>
      </w:pPr>
      <w:r>
        <w:rPr>
          <w:rStyle w:val="FootnoteReference"/>
        </w:rPr>
        <w:footnoteRef/>
      </w:r>
      <w:r>
        <w:t xml:space="preserve"> Mercator, Encyclopaedia Britannica </w:t>
      </w:r>
      <w:hyperlink r:id="rId6" w:history="1">
        <w:r w:rsidRPr="00FA61DA">
          <w:rPr>
            <w:rStyle w:val="Hyperlink"/>
          </w:rPr>
          <w:t>https://www.britannica.com/biography/Gerardus-Mercator</w:t>
        </w:r>
      </w:hyperlink>
      <w:r>
        <w:t xml:space="preserve">  accessed 10/05/2018.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84660E" w14:textId="77777777" w:rsidR="008F2390" w:rsidRDefault="008F2390">
    <w:pPr>
      <w:pStyle w:val="Header"/>
    </w:pPr>
    <w:r>
      <w:t>HUSK6004 – 4 – 1500636 - Slack</w:t>
    </w:r>
  </w:p>
  <w:p w14:paraId="0A4C1469" w14:textId="77777777" w:rsidR="008F2390" w:rsidRDefault="008F239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2390"/>
    <w:rsid w:val="00026E25"/>
    <w:rsid w:val="000D4F03"/>
    <w:rsid w:val="000F4D8E"/>
    <w:rsid w:val="00241D84"/>
    <w:rsid w:val="00246CF3"/>
    <w:rsid w:val="0025114E"/>
    <w:rsid w:val="002E5DAE"/>
    <w:rsid w:val="003C7A8B"/>
    <w:rsid w:val="00460BDF"/>
    <w:rsid w:val="0046691C"/>
    <w:rsid w:val="00482CF6"/>
    <w:rsid w:val="004F674A"/>
    <w:rsid w:val="00660396"/>
    <w:rsid w:val="006A7E9D"/>
    <w:rsid w:val="006D1532"/>
    <w:rsid w:val="007B6EF8"/>
    <w:rsid w:val="008228C9"/>
    <w:rsid w:val="00825CE3"/>
    <w:rsid w:val="008F2390"/>
    <w:rsid w:val="00946136"/>
    <w:rsid w:val="009C239A"/>
    <w:rsid w:val="00A46FC0"/>
    <w:rsid w:val="00AE2E09"/>
    <w:rsid w:val="00B43DC3"/>
    <w:rsid w:val="00BE7B69"/>
    <w:rsid w:val="00C33BF1"/>
    <w:rsid w:val="00C37895"/>
    <w:rsid w:val="00C7531C"/>
    <w:rsid w:val="00C80F8B"/>
    <w:rsid w:val="00C927FF"/>
    <w:rsid w:val="00D30160"/>
    <w:rsid w:val="00D33174"/>
    <w:rsid w:val="00D36469"/>
    <w:rsid w:val="00D563B7"/>
    <w:rsid w:val="00D63338"/>
    <w:rsid w:val="00DA76FB"/>
    <w:rsid w:val="00E4682E"/>
    <w:rsid w:val="00E46911"/>
    <w:rsid w:val="00E47B66"/>
    <w:rsid w:val="00E70512"/>
    <w:rsid w:val="00E819F5"/>
    <w:rsid w:val="00E82241"/>
    <w:rsid w:val="00F074C7"/>
    <w:rsid w:val="00F5212C"/>
    <w:rsid w:val="00FF14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877754"/>
  <w15:chartTrackingRefBased/>
  <w15:docId w15:val="{9AF3CEB4-FE68-44EB-B34A-85D23F96F1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F2390"/>
    <w:pPr>
      <w:spacing w:after="0" w:line="240" w:lineRule="auto"/>
    </w:pPr>
    <w:rPr>
      <w:rFonts w:ascii="Times New Roman" w:eastAsia="SimSun" w:hAnsi="Times New Roman" w:cs="Times New Roman"/>
      <w:sz w:val="24"/>
      <w:szCs w:val="24"/>
      <w:lang w:eastAsia="zh-CN"/>
    </w:rPr>
  </w:style>
  <w:style w:type="paragraph" w:styleId="Heading1">
    <w:name w:val="heading 1"/>
    <w:basedOn w:val="Normal"/>
    <w:next w:val="Normal"/>
    <w:link w:val="Heading1Char"/>
    <w:qFormat/>
    <w:rsid w:val="008F2390"/>
    <w:pPr>
      <w:keepNext/>
      <w:spacing w:before="240" w:after="60"/>
      <w:outlineLvl w:val="0"/>
    </w:pPr>
    <w:rPr>
      <w:rFonts w:ascii="Arial" w:hAnsi="Arial" w:cs="Arial"/>
      <w:b/>
      <w:bCs/>
      <w:kern w:val="32"/>
      <w:sz w:val="32"/>
      <w:szCs w:val="32"/>
    </w:rPr>
  </w:style>
  <w:style w:type="paragraph" w:styleId="Heading3">
    <w:name w:val="heading 3"/>
    <w:basedOn w:val="Normal"/>
    <w:link w:val="Heading3Char"/>
    <w:qFormat/>
    <w:rsid w:val="008F2390"/>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F2390"/>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8F2390"/>
  </w:style>
  <w:style w:type="paragraph" w:styleId="Footer">
    <w:name w:val="footer"/>
    <w:basedOn w:val="Normal"/>
    <w:link w:val="FooterChar"/>
    <w:uiPriority w:val="99"/>
    <w:unhideWhenUsed/>
    <w:rsid w:val="008F2390"/>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8F2390"/>
  </w:style>
  <w:style w:type="character" w:customStyle="1" w:styleId="Heading1Char">
    <w:name w:val="Heading 1 Char"/>
    <w:basedOn w:val="DefaultParagraphFont"/>
    <w:link w:val="Heading1"/>
    <w:rsid w:val="008F2390"/>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8F2390"/>
    <w:rPr>
      <w:rFonts w:ascii="Tahoma" w:eastAsia="SimSun" w:hAnsi="Tahoma" w:cs="Tahoma"/>
      <w:b/>
      <w:bCs/>
      <w:sz w:val="20"/>
      <w:szCs w:val="20"/>
      <w:lang w:eastAsia="zh-CN"/>
    </w:rPr>
  </w:style>
  <w:style w:type="paragraph" w:styleId="NormalWeb">
    <w:name w:val="Normal (Web)"/>
    <w:basedOn w:val="Normal"/>
    <w:rsid w:val="008F2390"/>
    <w:pPr>
      <w:spacing w:before="100" w:beforeAutospacing="1" w:after="100" w:afterAutospacing="1"/>
    </w:pPr>
    <w:rPr>
      <w:rFonts w:ascii="Georgia" w:hAnsi="Georgia"/>
      <w:color w:val="000000"/>
      <w:sz w:val="21"/>
      <w:szCs w:val="21"/>
    </w:rPr>
  </w:style>
  <w:style w:type="paragraph" w:styleId="FootnoteText">
    <w:name w:val="footnote text"/>
    <w:basedOn w:val="Normal"/>
    <w:link w:val="FootnoteTextChar"/>
    <w:uiPriority w:val="99"/>
    <w:unhideWhenUsed/>
    <w:rsid w:val="002E5DAE"/>
    <w:rPr>
      <w:sz w:val="20"/>
      <w:szCs w:val="20"/>
    </w:rPr>
  </w:style>
  <w:style w:type="character" w:customStyle="1" w:styleId="FootnoteTextChar">
    <w:name w:val="Footnote Text Char"/>
    <w:basedOn w:val="DefaultParagraphFont"/>
    <w:link w:val="FootnoteText"/>
    <w:uiPriority w:val="99"/>
    <w:rsid w:val="002E5DAE"/>
    <w:rPr>
      <w:rFonts w:ascii="Times New Roman" w:eastAsia="SimSun" w:hAnsi="Times New Roman" w:cs="Times New Roman"/>
      <w:sz w:val="20"/>
      <w:szCs w:val="20"/>
      <w:lang w:eastAsia="zh-CN"/>
    </w:rPr>
  </w:style>
  <w:style w:type="character" w:styleId="FootnoteReference">
    <w:name w:val="footnote reference"/>
    <w:basedOn w:val="DefaultParagraphFont"/>
    <w:uiPriority w:val="99"/>
    <w:semiHidden/>
    <w:unhideWhenUsed/>
    <w:rsid w:val="002E5DAE"/>
    <w:rPr>
      <w:vertAlign w:val="superscript"/>
    </w:rPr>
  </w:style>
  <w:style w:type="character" w:styleId="Hyperlink">
    <w:name w:val="Hyperlink"/>
    <w:basedOn w:val="DefaultParagraphFont"/>
    <w:uiPriority w:val="99"/>
    <w:unhideWhenUsed/>
    <w:rsid w:val="002E5DAE"/>
    <w:rPr>
      <w:color w:val="0563C1" w:themeColor="hyperlink"/>
      <w:u w:val="single"/>
    </w:rPr>
  </w:style>
  <w:style w:type="character" w:styleId="UnresolvedMention">
    <w:name w:val="Unresolved Mention"/>
    <w:basedOn w:val="DefaultParagraphFont"/>
    <w:uiPriority w:val="99"/>
    <w:semiHidden/>
    <w:unhideWhenUsed/>
    <w:rsid w:val="002E5DAE"/>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britannica.com/biography/Abraham-Ortellius"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britannica.com/biography/Gerardus-Mercator"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youtube.com/watch?V=RBd67qQy96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haplains-museum.co.uk/entity/138493-b-jones?=B%20Jones" TargetMode="External"/><Relationship Id="rId5" Type="http://schemas.openxmlformats.org/officeDocument/2006/relationships/footnotes" Target="footnotes.xml"/><Relationship Id="rId15" Type="http://schemas.openxmlformats.org/officeDocument/2006/relationships/hyperlink" Target="https://www.youtube.com/watch?V=WUsQIQ2_3d8" TargetMode="External"/><Relationship Id="rId10" Type="http://schemas.openxmlformats.org/officeDocument/2006/relationships/image" Target="media/image4.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longlongtrail.co.uk/army/regiment-and-corps/the-royal-artillery-in-the-first-world-war%20%20%20"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youtube.com/watch?V=WUsQIQ2_3d8" TargetMode="External"/><Relationship Id="rId2" Type="http://schemas.openxmlformats.org/officeDocument/2006/relationships/hyperlink" Target="https://longlongtrail.co.uk/army/regiment-and-corps/the-royal-artillery-in-the-first-world-war" TargetMode="External"/><Relationship Id="rId1" Type="http://schemas.openxmlformats.org/officeDocument/2006/relationships/hyperlink" Target="https://www.chaplains-museum.co.uk/entity/138493-b-jones?=B%20Jones" TargetMode="External"/><Relationship Id="rId6" Type="http://schemas.openxmlformats.org/officeDocument/2006/relationships/hyperlink" Target="https://www.britannica.com/biography/Gerardus-Mercator" TargetMode="External"/><Relationship Id="rId5" Type="http://schemas.openxmlformats.org/officeDocument/2006/relationships/hyperlink" Target="https://www.britannica.com/biography/Abraham-Ortellius" TargetMode="External"/><Relationship Id="rId4" Type="http://schemas.openxmlformats.org/officeDocument/2006/relationships/hyperlink" Target="https://youtube.com/watch?V=RBd67qQy96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91A49E-3567-4B3C-BB9D-F870701E70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431</TotalTime>
  <Pages>1</Pages>
  <Words>2080</Words>
  <Characters>11862</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Hilly Slack</dc:creator>
  <cp:keywords/>
  <dc:description/>
  <cp:lastModifiedBy>Hilly Slack</cp:lastModifiedBy>
  <cp:revision>7</cp:revision>
  <dcterms:created xsi:type="dcterms:W3CDTF">2018-05-20T14:50:00Z</dcterms:created>
  <dcterms:modified xsi:type="dcterms:W3CDTF">2018-05-23T18:23:00Z</dcterms:modified>
</cp:coreProperties>
</file>