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F04BF" w14:textId="77777777" w:rsidR="00FD5632" w:rsidRPr="00E43504" w:rsidRDefault="00FD5632" w:rsidP="00FD5632">
      <w:pPr>
        <w:pStyle w:val="Heading7"/>
        <w:jc w:val="center"/>
        <w:rPr>
          <w:lang w:val="en-GB"/>
        </w:rPr>
      </w:pPr>
      <w:r w:rsidRPr="00E43504">
        <w:rPr>
          <w:noProof/>
          <w:lang w:val="en-GB"/>
        </w:rPr>
        <w:drawing>
          <wp:inline distT="114300" distB="114300" distL="114300" distR="114300" wp14:anchorId="0FDEA1AD" wp14:editId="6AED3021">
            <wp:extent cx="3028950" cy="7143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5B7602A7" w14:textId="77777777" w:rsidR="00FD5632" w:rsidRPr="00E43504" w:rsidRDefault="00FD5632" w:rsidP="00FD5632">
      <w:pPr>
        <w:pStyle w:val="Title"/>
        <w:jc w:val="center"/>
        <w:rPr>
          <w:color w:val="000000"/>
          <w:sz w:val="28"/>
          <w:szCs w:val="28"/>
          <w:lang w:val="en-GB"/>
        </w:rPr>
      </w:pPr>
    </w:p>
    <w:p w14:paraId="5950B6D4" w14:textId="77777777" w:rsidR="00FD5632" w:rsidRPr="00E43504" w:rsidRDefault="00FD5632" w:rsidP="00FD5632">
      <w:pPr>
        <w:pStyle w:val="Title"/>
        <w:jc w:val="center"/>
        <w:rPr>
          <w:color w:val="000000"/>
          <w:sz w:val="28"/>
          <w:szCs w:val="28"/>
          <w:lang w:val="en-GB"/>
        </w:rPr>
      </w:pPr>
      <w:r w:rsidRPr="00E43504">
        <w:rPr>
          <w:color w:val="000000"/>
          <w:sz w:val="28"/>
          <w:szCs w:val="28"/>
          <w:lang w:val="en-GB"/>
        </w:rPr>
        <w:t>Master of Business Administration</w:t>
      </w:r>
    </w:p>
    <w:p w14:paraId="0882CE04" w14:textId="547105D1" w:rsidR="00FD5632" w:rsidRPr="00E43504" w:rsidRDefault="009B18A3" w:rsidP="00FD5632">
      <w:pPr>
        <w:pStyle w:val="Title"/>
        <w:jc w:val="center"/>
        <w:rPr>
          <w:color w:val="000000"/>
          <w:sz w:val="28"/>
          <w:szCs w:val="28"/>
          <w:lang w:val="en-GB"/>
        </w:rPr>
      </w:pPr>
      <w:r w:rsidRPr="009B18A3">
        <w:rPr>
          <w:color w:val="000000"/>
          <w:sz w:val="28"/>
          <w:szCs w:val="28"/>
          <w:lang w:val="en-GB"/>
        </w:rPr>
        <w:t xml:space="preserve">Strategic Management </w:t>
      </w:r>
      <w:r w:rsidR="00FD5632" w:rsidRPr="00E43504">
        <w:rPr>
          <w:color w:val="000000"/>
          <w:sz w:val="28"/>
          <w:szCs w:val="28"/>
          <w:lang w:val="en-GB"/>
        </w:rPr>
        <w:t>(LCMB70</w:t>
      </w:r>
      <w:r>
        <w:rPr>
          <w:color w:val="000000"/>
          <w:sz w:val="28"/>
          <w:szCs w:val="28"/>
          <w:lang w:val="en-GB"/>
        </w:rPr>
        <w:t>03</w:t>
      </w:r>
      <w:r w:rsidR="00FD5632" w:rsidRPr="00E43504">
        <w:rPr>
          <w:color w:val="000000"/>
          <w:sz w:val="28"/>
          <w:szCs w:val="28"/>
          <w:lang w:val="en-GB"/>
        </w:rPr>
        <w:t>)</w:t>
      </w:r>
    </w:p>
    <w:p w14:paraId="07A84321" w14:textId="479C3E48" w:rsidR="004B2CDA" w:rsidRDefault="003601E7" w:rsidP="004B2CDA">
      <w:pPr>
        <w:pStyle w:val="Title"/>
        <w:jc w:val="center"/>
        <w:rPr>
          <w:color w:val="000000"/>
          <w:sz w:val="28"/>
          <w:szCs w:val="28"/>
          <w:lang w:val="en-GB"/>
        </w:rPr>
      </w:pPr>
      <w:r w:rsidRPr="003601E7">
        <w:rPr>
          <w:color w:val="000000"/>
          <w:sz w:val="28"/>
          <w:szCs w:val="28"/>
          <w:lang w:val="en-GB"/>
        </w:rPr>
        <w:t>Assessment component:</w:t>
      </w:r>
      <w:r w:rsidR="004B2CDA">
        <w:rPr>
          <w:color w:val="000000"/>
          <w:sz w:val="28"/>
          <w:szCs w:val="28"/>
          <w:lang w:val="en-GB"/>
        </w:rPr>
        <w:t xml:space="preserve"> </w:t>
      </w:r>
      <w:r w:rsidRPr="003601E7">
        <w:rPr>
          <w:color w:val="000000"/>
          <w:sz w:val="28"/>
          <w:szCs w:val="28"/>
          <w:lang w:val="en-GB"/>
        </w:rPr>
        <w:t>Individual report</w:t>
      </w:r>
    </w:p>
    <w:p w14:paraId="5D4A3CC9" w14:textId="6AE5A999" w:rsidR="00FD5632" w:rsidRPr="00E43504" w:rsidRDefault="00FD5632" w:rsidP="003601E7">
      <w:pPr>
        <w:pStyle w:val="Title"/>
        <w:jc w:val="center"/>
        <w:rPr>
          <w:color w:val="000000"/>
          <w:sz w:val="28"/>
          <w:szCs w:val="28"/>
          <w:lang w:val="en-GB"/>
        </w:rPr>
      </w:pPr>
      <w:r w:rsidRPr="00E43504">
        <w:rPr>
          <w:color w:val="000000"/>
          <w:sz w:val="28"/>
          <w:szCs w:val="28"/>
          <w:lang w:val="en-GB"/>
        </w:rPr>
        <w:t xml:space="preserve">Company – </w:t>
      </w:r>
      <w:r w:rsidR="005C1730">
        <w:rPr>
          <w:color w:val="000000"/>
          <w:sz w:val="28"/>
          <w:szCs w:val="28"/>
          <w:lang w:val="en-GB"/>
        </w:rPr>
        <w:t>Tesla</w:t>
      </w:r>
    </w:p>
    <w:p w14:paraId="040AC251" w14:textId="0C551483" w:rsidR="00FD5632" w:rsidRPr="00E43504" w:rsidRDefault="00FD5632" w:rsidP="00FD5632">
      <w:pPr>
        <w:pStyle w:val="Title"/>
        <w:jc w:val="center"/>
        <w:rPr>
          <w:color w:val="000000"/>
          <w:sz w:val="28"/>
          <w:szCs w:val="28"/>
          <w:lang w:val="en-GB"/>
        </w:rPr>
      </w:pPr>
      <w:r w:rsidRPr="00E43504">
        <w:rPr>
          <w:color w:val="000000"/>
          <w:sz w:val="28"/>
          <w:szCs w:val="28"/>
          <w:lang w:val="en-GB"/>
        </w:rPr>
        <w:t>Student Name-</w:t>
      </w:r>
      <w:r w:rsidR="003E4997">
        <w:rPr>
          <w:color w:val="000000"/>
          <w:sz w:val="28"/>
          <w:szCs w:val="28"/>
          <w:lang w:val="en-GB"/>
        </w:rPr>
        <w:t xml:space="preserve"> Panchal Urval Rajivkumar </w:t>
      </w:r>
    </w:p>
    <w:p w14:paraId="2BCD41FE" w14:textId="22F2E231" w:rsidR="00FD5632" w:rsidRPr="00E43504" w:rsidRDefault="00FD5632" w:rsidP="00FD5632">
      <w:pPr>
        <w:pStyle w:val="Title"/>
        <w:jc w:val="center"/>
        <w:rPr>
          <w:color w:val="000000"/>
          <w:sz w:val="28"/>
          <w:szCs w:val="28"/>
          <w:lang w:val="en-GB"/>
        </w:rPr>
      </w:pPr>
      <w:r w:rsidRPr="00E43504">
        <w:rPr>
          <w:color w:val="000000"/>
          <w:sz w:val="28"/>
          <w:szCs w:val="28"/>
          <w:lang w:val="en-GB"/>
        </w:rPr>
        <w:t>Student ID-</w:t>
      </w:r>
      <w:r w:rsidR="003E4997">
        <w:rPr>
          <w:color w:val="000000"/>
          <w:sz w:val="28"/>
          <w:szCs w:val="28"/>
          <w:lang w:val="en-GB"/>
        </w:rPr>
        <w:t xml:space="preserve"> 2434583</w:t>
      </w:r>
    </w:p>
    <w:p w14:paraId="7C697953" w14:textId="36078668" w:rsidR="00FD5632" w:rsidRPr="00E43504" w:rsidRDefault="00FD5632" w:rsidP="00FD5632">
      <w:pPr>
        <w:pStyle w:val="Title"/>
        <w:jc w:val="center"/>
        <w:rPr>
          <w:color w:val="000000"/>
          <w:sz w:val="28"/>
          <w:szCs w:val="28"/>
          <w:lang w:val="en-GB"/>
        </w:rPr>
      </w:pPr>
      <w:r w:rsidRPr="00E43504">
        <w:rPr>
          <w:color w:val="000000"/>
          <w:sz w:val="28"/>
          <w:szCs w:val="28"/>
          <w:lang w:val="en-GB"/>
        </w:rPr>
        <w:t>Lecturer Name-</w:t>
      </w:r>
      <w:r w:rsidR="003E4997">
        <w:rPr>
          <w:color w:val="000000"/>
          <w:sz w:val="28"/>
          <w:szCs w:val="28"/>
          <w:lang w:val="en-GB"/>
        </w:rPr>
        <w:t xml:space="preserve"> Zulfiqar Khan </w:t>
      </w:r>
    </w:p>
    <w:p w14:paraId="75604D00" w14:textId="6FBFE51B" w:rsidR="00FD5632" w:rsidRPr="00E43504" w:rsidRDefault="00FD5632" w:rsidP="00FD5632">
      <w:pPr>
        <w:pStyle w:val="Title"/>
        <w:jc w:val="center"/>
        <w:rPr>
          <w:color w:val="000000"/>
          <w:sz w:val="28"/>
          <w:szCs w:val="28"/>
          <w:lang w:val="en-GB"/>
        </w:rPr>
      </w:pPr>
      <w:r w:rsidRPr="00E43504">
        <w:rPr>
          <w:color w:val="000000"/>
          <w:sz w:val="28"/>
          <w:szCs w:val="28"/>
          <w:lang w:val="en-GB"/>
        </w:rPr>
        <w:t xml:space="preserve">Word Count - </w:t>
      </w:r>
      <w:r w:rsidR="00EC3F74">
        <w:rPr>
          <w:color w:val="000000"/>
          <w:sz w:val="28"/>
          <w:szCs w:val="28"/>
          <w:lang w:val="en-GB"/>
        </w:rPr>
        <w:t>5125</w:t>
      </w:r>
    </w:p>
    <w:p w14:paraId="0A76EFEA" w14:textId="2E305E8E" w:rsidR="00FD5632" w:rsidRPr="00E43504" w:rsidRDefault="00FD5632" w:rsidP="00FD5632">
      <w:pPr>
        <w:pStyle w:val="Title"/>
        <w:jc w:val="center"/>
        <w:rPr>
          <w:color w:val="000000"/>
          <w:sz w:val="28"/>
          <w:szCs w:val="28"/>
          <w:lang w:val="en-GB"/>
        </w:rPr>
      </w:pPr>
      <w:r w:rsidRPr="00E43504">
        <w:rPr>
          <w:color w:val="000000"/>
          <w:sz w:val="28"/>
          <w:szCs w:val="28"/>
          <w:lang w:val="en-GB"/>
        </w:rPr>
        <w:t>Submission Date- 2</w:t>
      </w:r>
      <w:r w:rsidR="008C696C">
        <w:rPr>
          <w:color w:val="000000"/>
          <w:sz w:val="28"/>
          <w:szCs w:val="28"/>
          <w:lang w:val="en-GB"/>
        </w:rPr>
        <w:t>8</w:t>
      </w:r>
      <w:r w:rsidRPr="00E43504">
        <w:rPr>
          <w:color w:val="000000"/>
          <w:sz w:val="28"/>
          <w:szCs w:val="28"/>
          <w:lang w:val="en-GB"/>
        </w:rPr>
        <w:t xml:space="preserve"> November 2025</w:t>
      </w:r>
    </w:p>
    <w:p w14:paraId="4D9CFB10" w14:textId="57FC18C4" w:rsidR="009D501C" w:rsidRPr="00E43504" w:rsidRDefault="00E35567" w:rsidP="00FD5632">
      <w:pPr>
        <w:spacing w:line="360" w:lineRule="auto"/>
        <w:rPr>
          <w:rFonts w:eastAsia="Times New Roman"/>
          <w:b/>
          <w:bCs/>
          <w:sz w:val="32"/>
          <w:szCs w:val="32"/>
          <w:lang w:val="en-GB"/>
        </w:rPr>
      </w:pPr>
      <w:r w:rsidRPr="00E43504">
        <w:rPr>
          <w:lang w:val="en-GB"/>
        </w:rPr>
        <w:br w:type="page"/>
      </w:r>
    </w:p>
    <w:sdt>
      <w:sdtPr>
        <w:rPr>
          <w:rFonts w:ascii="Arial" w:eastAsia="Arial" w:hAnsi="Arial" w:cs="Arial"/>
          <w:b/>
          <w:bCs/>
          <w:color w:val="auto"/>
          <w:sz w:val="36"/>
          <w:szCs w:val="36"/>
          <w:lang w:val="en-GB" w:eastAsia="en-IN"/>
        </w:rPr>
        <w:id w:val="-384188129"/>
        <w:docPartObj>
          <w:docPartGallery w:val="Table of Contents"/>
          <w:docPartUnique/>
        </w:docPartObj>
      </w:sdtPr>
      <w:sdtEndPr>
        <w:rPr>
          <w:noProof/>
          <w:sz w:val="22"/>
          <w:szCs w:val="22"/>
        </w:rPr>
      </w:sdtEndPr>
      <w:sdtContent>
        <w:p w14:paraId="1A5877DF" w14:textId="77777777" w:rsidR="006E3E9B" w:rsidRPr="00E43504" w:rsidRDefault="006E3E9B" w:rsidP="006E3E9B">
          <w:pPr>
            <w:pStyle w:val="TOCHeading"/>
            <w:jc w:val="center"/>
            <w:rPr>
              <w:rFonts w:ascii="Arial" w:hAnsi="Arial" w:cs="Arial"/>
              <w:b/>
              <w:bCs/>
              <w:color w:val="auto"/>
              <w:sz w:val="28"/>
              <w:szCs w:val="28"/>
              <w:lang w:val="en-GB"/>
            </w:rPr>
          </w:pPr>
          <w:r w:rsidRPr="00E43504">
            <w:rPr>
              <w:rFonts w:ascii="Arial" w:hAnsi="Arial" w:cs="Arial"/>
              <w:b/>
              <w:bCs/>
              <w:color w:val="auto"/>
              <w:sz w:val="28"/>
              <w:szCs w:val="28"/>
              <w:lang w:val="en-GB"/>
            </w:rPr>
            <w:t>Table of Contents</w:t>
          </w:r>
        </w:p>
        <w:p w14:paraId="4EFB5E6F" w14:textId="77777777" w:rsidR="00011FFF" w:rsidRPr="00E43504" w:rsidRDefault="006E3E9B">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r w:rsidRPr="00E43504">
            <w:rPr>
              <w:sz w:val="24"/>
              <w:szCs w:val="24"/>
              <w:lang w:val="en-GB"/>
            </w:rPr>
            <w:fldChar w:fldCharType="begin"/>
          </w:r>
          <w:r w:rsidRPr="00E43504">
            <w:rPr>
              <w:sz w:val="24"/>
              <w:szCs w:val="24"/>
              <w:lang w:val="en-GB"/>
            </w:rPr>
            <w:instrText xml:space="preserve"> TOC \o "1-3" \h \z \u </w:instrText>
          </w:r>
          <w:r w:rsidRPr="00E43504">
            <w:rPr>
              <w:sz w:val="24"/>
              <w:szCs w:val="24"/>
              <w:lang w:val="en-GB"/>
            </w:rPr>
            <w:fldChar w:fldCharType="separate"/>
          </w:r>
          <w:hyperlink w:anchor="_Toc213780696" w:history="1">
            <w:r w:rsidR="00011FFF" w:rsidRPr="00E43504">
              <w:rPr>
                <w:rStyle w:val="Hyperlink"/>
                <w:noProof/>
                <w:sz w:val="24"/>
                <w:szCs w:val="24"/>
                <w:lang w:val="en-GB"/>
              </w:rPr>
              <w:t>1. Selection of Organisation and Target Market</w:t>
            </w:r>
            <w:r w:rsidR="00011FFF" w:rsidRPr="00E43504">
              <w:rPr>
                <w:noProof/>
                <w:webHidden/>
                <w:sz w:val="24"/>
                <w:szCs w:val="24"/>
                <w:lang w:val="en-GB"/>
              </w:rPr>
              <w:tab/>
            </w:r>
            <w:r w:rsidR="00011FFF" w:rsidRPr="00E43504">
              <w:rPr>
                <w:noProof/>
                <w:webHidden/>
                <w:sz w:val="24"/>
                <w:szCs w:val="24"/>
                <w:lang w:val="en-GB"/>
              </w:rPr>
              <w:fldChar w:fldCharType="begin"/>
            </w:r>
            <w:r w:rsidR="00011FFF" w:rsidRPr="00E43504">
              <w:rPr>
                <w:noProof/>
                <w:webHidden/>
                <w:sz w:val="24"/>
                <w:szCs w:val="24"/>
                <w:lang w:val="en-GB"/>
              </w:rPr>
              <w:instrText xml:space="preserve"> PAGEREF _Toc213780696 \h </w:instrText>
            </w:r>
            <w:r w:rsidR="00011FFF" w:rsidRPr="00E43504">
              <w:rPr>
                <w:noProof/>
                <w:webHidden/>
                <w:sz w:val="24"/>
                <w:szCs w:val="24"/>
                <w:lang w:val="en-GB"/>
              </w:rPr>
            </w:r>
            <w:r w:rsidR="00011FFF" w:rsidRPr="00E43504">
              <w:rPr>
                <w:noProof/>
                <w:webHidden/>
                <w:sz w:val="24"/>
                <w:szCs w:val="24"/>
                <w:lang w:val="en-GB"/>
              </w:rPr>
              <w:fldChar w:fldCharType="separate"/>
            </w:r>
            <w:r w:rsidR="00011FFF" w:rsidRPr="00E43504">
              <w:rPr>
                <w:noProof/>
                <w:webHidden/>
                <w:sz w:val="24"/>
                <w:szCs w:val="24"/>
                <w:lang w:val="en-GB"/>
              </w:rPr>
              <w:t>3</w:t>
            </w:r>
            <w:r w:rsidR="00011FFF" w:rsidRPr="00E43504">
              <w:rPr>
                <w:noProof/>
                <w:webHidden/>
                <w:sz w:val="24"/>
                <w:szCs w:val="24"/>
                <w:lang w:val="en-GB"/>
              </w:rPr>
              <w:fldChar w:fldCharType="end"/>
            </w:r>
          </w:hyperlink>
        </w:p>
        <w:p w14:paraId="1C62998D"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697" w:history="1">
            <w:r w:rsidRPr="00E43504">
              <w:rPr>
                <w:rStyle w:val="Hyperlink"/>
                <w:noProof/>
                <w:sz w:val="24"/>
                <w:szCs w:val="24"/>
                <w:lang w:val="en-GB"/>
              </w:rPr>
              <w:t>1.1 Background</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_Toc213780697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3</w:t>
            </w:r>
            <w:r w:rsidRPr="00E43504">
              <w:rPr>
                <w:noProof/>
                <w:webHidden/>
                <w:sz w:val="24"/>
                <w:szCs w:val="24"/>
                <w:lang w:val="en-GB"/>
              </w:rPr>
              <w:fldChar w:fldCharType="end"/>
            </w:r>
          </w:hyperlink>
        </w:p>
        <w:p w14:paraId="0DA965CE"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698" w:history="1">
            <w:r w:rsidRPr="00E43504">
              <w:rPr>
                <w:rStyle w:val="Hyperlink"/>
                <w:noProof/>
                <w:sz w:val="24"/>
                <w:szCs w:val="24"/>
                <w:lang w:val="en-GB"/>
              </w:rPr>
              <w:t>1.2 Financial Review</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_Toc213780698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4</w:t>
            </w:r>
            <w:r w:rsidRPr="00E43504">
              <w:rPr>
                <w:noProof/>
                <w:webHidden/>
                <w:sz w:val="24"/>
                <w:szCs w:val="24"/>
                <w:lang w:val="en-GB"/>
              </w:rPr>
              <w:fldChar w:fldCharType="end"/>
            </w:r>
          </w:hyperlink>
        </w:p>
        <w:p w14:paraId="36B3506D"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699" w:history="1">
            <w:r w:rsidRPr="00E43504">
              <w:rPr>
                <w:rStyle w:val="Hyperlink"/>
                <w:noProof/>
                <w:sz w:val="24"/>
                <w:szCs w:val="24"/>
                <w:lang w:val="en-GB"/>
              </w:rPr>
              <w:t>1.3 Rationale for Choosing Vietnam as Target Market</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_Toc213780699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5</w:t>
            </w:r>
            <w:r w:rsidRPr="00E43504">
              <w:rPr>
                <w:noProof/>
                <w:webHidden/>
                <w:sz w:val="24"/>
                <w:szCs w:val="24"/>
                <w:lang w:val="en-GB"/>
              </w:rPr>
              <w:fldChar w:fldCharType="end"/>
            </w:r>
          </w:hyperlink>
        </w:p>
        <w:p w14:paraId="18212F1B"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0" w:history="1">
            <w:r w:rsidRPr="00E43504">
              <w:rPr>
                <w:rStyle w:val="Hyperlink"/>
                <w:noProof/>
                <w:sz w:val="24"/>
                <w:szCs w:val="24"/>
                <w:lang w:val="en-GB"/>
              </w:rPr>
              <w:t>1.4 Tesla’s strategic alignment with the Vietnamese market</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_Toc213780700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6</w:t>
            </w:r>
            <w:r w:rsidRPr="00E43504">
              <w:rPr>
                <w:noProof/>
                <w:webHidden/>
                <w:sz w:val="24"/>
                <w:szCs w:val="24"/>
                <w:lang w:val="en-GB"/>
              </w:rPr>
              <w:fldChar w:fldCharType="end"/>
            </w:r>
          </w:hyperlink>
        </w:p>
        <w:p w14:paraId="4C18D98D" w14:textId="77777777" w:rsidR="00011FFF" w:rsidRPr="00E43504" w:rsidRDefault="00011FFF">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1" w:history="1">
            <w:r w:rsidRPr="00E43504">
              <w:rPr>
                <w:rStyle w:val="Hyperlink"/>
                <w:noProof/>
                <w:sz w:val="24"/>
                <w:szCs w:val="24"/>
                <w:lang w:val="en-GB"/>
              </w:rPr>
              <w:t>2. Comprehensive Strategic Environment Analysis</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_Toc213780701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7</w:t>
            </w:r>
            <w:r w:rsidRPr="00E43504">
              <w:rPr>
                <w:noProof/>
                <w:webHidden/>
                <w:sz w:val="24"/>
                <w:szCs w:val="24"/>
                <w:lang w:val="en-GB"/>
              </w:rPr>
              <w:fldChar w:fldCharType="end"/>
            </w:r>
          </w:hyperlink>
        </w:p>
        <w:p w14:paraId="705EDFA5"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2" w:history="1">
            <w:r w:rsidRPr="00E43504">
              <w:rPr>
                <w:rStyle w:val="Hyperlink"/>
                <w:noProof/>
                <w:sz w:val="24"/>
                <w:szCs w:val="24"/>
                <w:lang w:val="en-GB"/>
              </w:rPr>
              <w:t>2.1 PESTEL Analysis</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_Toc213780702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7</w:t>
            </w:r>
            <w:r w:rsidRPr="00E43504">
              <w:rPr>
                <w:noProof/>
                <w:webHidden/>
                <w:sz w:val="24"/>
                <w:szCs w:val="24"/>
                <w:lang w:val="en-GB"/>
              </w:rPr>
              <w:fldChar w:fldCharType="end"/>
            </w:r>
          </w:hyperlink>
        </w:p>
        <w:p w14:paraId="02B6AC97"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3" w:history="1">
            <w:r w:rsidRPr="00E43504">
              <w:rPr>
                <w:rStyle w:val="Hyperlink"/>
                <w:noProof/>
                <w:sz w:val="24"/>
                <w:szCs w:val="24"/>
                <w:lang w:val="en-GB"/>
              </w:rPr>
              <w:t>2.2 Porter’s Five Forces (Vietnam EV Market)</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_Toc213780703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9</w:t>
            </w:r>
            <w:r w:rsidRPr="00E43504">
              <w:rPr>
                <w:noProof/>
                <w:webHidden/>
                <w:sz w:val="24"/>
                <w:szCs w:val="24"/>
                <w:lang w:val="en-GB"/>
              </w:rPr>
              <w:fldChar w:fldCharType="end"/>
            </w:r>
          </w:hyperlink>
        </w:p>
        <w:p w14:paraId="3507C2D8"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4" w:history="1">
            <w:r w:rsidRPr="00E43504">
              <w:rPr>
                <w:rStyle w:val="Hyperlink"/>
                <w:noProof/>
                <w:sz w:val="24"/>
                <w:szCs w:val="24"/>
                <w:lang w:val="en-GB"/>
              </w:rPr>
              <w:t>2.3 Porter’s Diamond Model (Assessing National Competitive Advantage)</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_Toc213780704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10</w:t>
            </w:r>
            <w:r w:rsidRPr="00E43504">
              <w:rPr>
                <w:noProof/>
                <w:webHidden/>
                <w:sz w:val="24"/>
                <w:szCs w:val="24"/>
                <w:lang w:val="en-GB"/>
              </w:rPr>
              <w:fldChar w:fldCharType="end"/>
            </w:r>
          </w:hyperlink>
        </w:p>
        <w:p w14:paraId="05CAB5D6"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5" w:history="1">
            <w:r w:rsidRPr="00E43504">
              <w:rPr>
                <w:rStyle w:val="Hyperlink"/>
                <w:noProof/>
                <w:sz w:val="24"/>
                <w:szCs w:val="24"/>
                <w:lang w:val="en-GB"/>
              </w:rPr>
              <w:t>2.4 Critical Evaluation of Analytical Tool</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_Toc213780705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11</w:t>
            </w:r>
            <w:r w:rsidRPr="00E43504">
              <w:rPr>
                <w:noProof/>
                <w:webHidden/>
                <w:sz w:val="24"/>
                <w:szCs w:val="24"/>
                <w:lang w:val="en-GB"/>
              </w:rPr>
              <w:fldChar w:fldCharType="end"/>
            </w:r>
          </w:hyperlink>
        </w:p>
        <w:p w14:paraId="4CAE834C" w14:textId="77777777" w:rsidR="00011FFF" w:rsidRPr="00E43504" w:rsidRDefault="00011FFF">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6" w:history="1">
            <w:r w:rsidRPr="00E43504">
              <w:rPr>
                <w:rStyle w:val="Hyperlink"/>
                <w:noProof/>
                <w:sz w:val="24"/>
                <w:szCs w:val="24"/>
                <w:lang w:val="en-GB"/>
              </w:rPr>
              <w:t>3. Strategy Development and Formulation</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_Toc213780706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12</w:t>
            </w:r>
            <w:r w:rsidRPr="00E43504">
              <w:rPr>
                <w:noProof/>
                <w:webHidden/>
                <w:sz w:val="24"/>
                <w:szCs w:val="24"/>
                <w:lang w:val="en-GB"/>
              </w:rPr>
              <w:fldChar w:fldCharType="end"/>
            </w:r>
          </w:hyperlink>
        </w:p>
        <w:p w14:paraId="5DEFC90F"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7" w:history="1">
            <w:r w:rsidRPr="00E43504">
              <w:rPr>
                <w:rStyle w:val="Hyperlink"/>
                <w:noProof/>
                <w:sz w:val="24"/>
                <w:szCs w:val="24"/>
                <w:lang w:val="en-GB"/>
              </w:rPr>
              <w:t>3.1 Internal Environment Analysis</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_Toc213780707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12</w:t>
            </w:r>
            <w:r w:rsidRPr="00E43504">
              <w:rPr>
                <w:noProof/>
                <w:webHidden/>
                <w:sz w:val="24"/>
                <w:szCs w:val="24"/>
                <w:lang w:val="en-GB"/>
              </w:rPr>
              <w:fldChar w:fldCharType="end"/>
            </w:r>
          </w:hyperlink>
        </w:p>
        <w:p w14:paraId="5301251B"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8" w:history="1">
            <w:r w:rsidRPr="00E43504">
              <w:rPr>
                <w:rStyle w:val="Hyperlink"/>
                <w:noProof/>
                <w:sz w:val="24"/>
                <w:szCs w:val="24"/>
                <w:lang w:val="en-GB"/>
              </w:rPr>
              <w:t>3.2 Strategic Choice Models</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_Toc213780708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13</w:t>
            </w:r>
            <w:r w:rsidRPr="00E43504">
              <w:rPr>
                <w:noProof/>
                <w:webHidden/>
                <w:sz w:val="24"/>
                <w:szCs w:val="24"/>
                <w:lang w:val="en-GB"/>
              </w:rPr>
              <w:fldChar w:fldCharType="end"/>
            </w:r>
          </w:hyperlink>
        </w:p>
        <w:p w14:paraId="6DF962C9"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09" w:history="1">
            <w:r w:rsidRPr="00E43504">
              <w:rPr>
                <w:rStyle w:val="Hyperlink"/>
                <w:noProof/>
                <w:sz w:val="24"/>
                <w:szCs w:val="24"/>
                <w:lang w:val="en-GB"/>
              </w:rPr>
              <w:t>3.3 Market Entry Strategy for Vietnam</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_Toc213780709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14</w:t>
            </w:r>
            <w:r w:rsidRPr="00E43504">
              <w:rPr>
                <w:noProof/>
                <w:webHidden/>
                <w:sz w:val="24"/>
                <w:szCs w:val="24"/>
                <w:lang w:val="en-GB"/>
              </w:rPr>
              <w:fldChar w:fldCharType="end"/>
            </w:r>
          </w:hyperlink>
        </w:p>
        <w:p w14:paraId="134F9B07"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0" w:history="1">
            <w:r w:rsidRPr="00E43504">
              <w:rPr>
                <w:rStyle w:val="Hyperlink"/>
                <w:noProof/>
                <w:sz w:val="24"/>
                <w:szCs w:val="24"/>
                <w:lang w:val="en-GB"/>
              </w:rPr>
              <w:t>3.4 Risk Assessment and Mitigation</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_Toc213780710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15</w:t>
            </w:r>
            <w:r w:rsidRPr="00E43504">
              <w:rPr>
                <w:noProof/>
                <w:webHidden/>
                <w:sz w:val="24"/>
                <w:szCs w:val="24"/>
                <w:lang w:val="en-GB"/>
              </w:rPr>
              <w:fldChar w:fldCharType="end"/>
            </w:r>
          </w:hyperlink>
        </w:p>
        <w:p w14:paraId="6FFB257F" w14:textId="77777777" w:rsidR="00011FFF" w:rsidRPr="00E43504" w:rsidRDefault="00011FFF">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1" w:history="1">
            <w:r w:rsidRPr="00E43504">
              <w:rPr>
                <w:rStyle w:val="Hyperlink"/>
                <w:noProof/>
                <w:sz w:val="24"/>
                <w:szCs w:val="24"/>
                <w:lang w:val="en-GB"/>
              </w:rPr>
              <w:t>4. Performance Evaluation Framework</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_Toc213780711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16</w:t>
            </w:r>
            <w:r w:rsidRPr="00E43504">
              <w:rPr>
                <w:noProof/>
                <w:webHidden/>
                <w:sz w:val="24"/>
                <w:szCs w:val="24"/>
                <w:lang w:val="en-GB"/>
              </w:rPr>
              <w:fldChar w:fldCharType="end"/>
            </w:r>
          </w:hyperlink>
        </w:p>
        <w:p w14:paraId="10DA5DB2"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2" w:history="1">
            <w:r w:rsidRPr="00E43504">
              <w:rPr>
                <w:rStyle w:val="Hyperlink"/>
                <w:noProof/>
                <w:sz w:val="24"/>
                <w:szCs w:val="24"/>
                <w:lang w:val="en-GB"/>
              </w:rPr>
              <w:t>4.1 Balanced Scorecard Development</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_Toc213780712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17</w:t>
            </w:r>
            <w:r w:rsidRPr="00E43504">
              <w:rPr>
                <w:noProof/>
                <w:webHidden/>
                <w:sz w:val="24"/>
                <w:szCs w:val="24"/>
                <w:lang w:val="en-GB"/>
              </w:rPr>
              <w:fldChar w:fldCharType="end"/>
            </w:r>
          </w:hyperlink>
        </w:p>
        <w:p w14:paraId="24492027"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3" w:history="1">
            <w:r w:rsidRPr="00E43504">
              <w:rPr>
                <w:rStyle w:val="Hyperlink"/>
                <w:noProof/>
                <w:sz w:val="24"/>
                <w:szCs w:val="24"/>
                <w:lang w:val="en-GB"/>
              </w:rPr>
              <w:t>4.2 Sustainability and Environment Performance</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_Toc213780713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18</w:t>
            </w:r>
            <w:r w:rsidRPr="00E43504">
              <w:rPr>
                <w:noProof/>
                <w:webHidden/>
                <w:sz w:val="24"/>
                <w:szCs w:val="24"/>
                <w:lang w:val="en-GB"/>
              </w:rPr>
              <w:fldChar w:fldCharType="end"/>
            </w:r>
          </w:hyperlink>
        </w:p>
        <w:p w14:paraId="24632B45"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4" w:history="1">
            <w:r w:rsidRPr="00E43504">
              <w:rPr>
                <w:rStyle w:val="Hyperlink"/>
                <w:noProof/>
                <w:sz w:val="24"/>
                <w:szCs w:val="24"/>
                <w:lang w:val="en-GB"/>
              </w:rPr>
              <w:t>4.3 Strategic and Stakeholder Evaluation</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_Toc213780714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18</w:t>
            </w:r>
            <w:r w:rsidRPr="00E43504">
              <w:rPr>
                <w:noProof/>
                <w:webHidden/>
                <w:sz w:val="24"/>
                <w:szCs w:val="24"/>
                <w:lang w:val="en-GB"/>
              </w:rPr>
              <w:fldChar w:fldCharType="end"/>
            </w:r>
          </w:hyperlink>
        </w:p>
        <w:p w14:paraId="0B7FCB43"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5" w:history="1">
            <w:r w:rsidRPr="00E43504">
              <w:rPr>
                <w:rStyle w:val="Hyperlink"/>
                <w:noProof/>
                <w:sz w:val="24"/>
                <w:szCs w:val="24"/>
                <w:lang w:val="en-GB"/>
              </w:rPr>
              <w:t>4.4 Constant Review and Feedback System</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_Toc213780715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19</w:t>
            </w:r>
            <w:r w:rsidRPr="00E43504">
              <w:rPr>
                <w:noProof/>
                <w:webHidden/>
                <w:sz w:val="24"/>
                <w:szCs w:val="24"/>
                <w:lang w:val="en-GB"/>
              </w:rPr>
              <w:fldChar w:fldCharType="end"/>
            </w:r>
          </w:hyperlink>
        </w:p>
        <w:p w14:paraId="40A590F9" w14:textId="77777777" w:rsidR="00011FFF" w:rsidRPr="00E43504" w:rsidRDefault="00011FFF">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6" w:history="1">
            <w:r w:rsidRPr="00E43504">
              <w:rPr>
                <w:rStyle w:val="Hyperlink"/>
                <w:noProof/>
                <w:sz w:val="24"/>
                <w:szCs w:val="24"/>
                <w:lang w:val="en-GB"/>
              </w:rPr>
              <w:t>5. Recommendations and Conclusion</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_Toc213780716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19</w:t>
            </w:r>
            <w:r w:rsidRPr="00E43504">
              <w:rPr>
                <w:noProof/>
                <w:webHidden/>
                <w:sz w:val="24"/>
                <w:szCs w:val="24"/>
                <w:lang w:val="en-GB"/>
              </w:rPr>
              <w:fldChar w:fldCharType="end"/>
            </w:r>
          </w:hyperlink>
        </w:p>
        <w:p w14:paraId="2AB76CD0"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7" w:history="1">
            <w:r w:rsidRPr="00E43504">
              <w:rPr>
                <w:rStyle w:val="Hyperlink"/>
                <w:noProof/>
                <w:sz w:val="24"/>
                <w:szCs w:val="24"/>
                <w:lang w:val="en-GB"/>
              </w:rPr>
              <w:t>5.1 Strategic Recommendations</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_Toc213780717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19</w:t>
            </w:r>
            <w:r w:rsidRPr="00E43504">
              <w:rPr>
                <w:noProof/>
                <w:webHidden/>
                <w:sz w:val="24"/>
                <w:szCs w:val="24"/>
                <w:lang w:val="en-GB"/>
              </w:rPr>
              <w:fldChar w:fldCharType="end"/>
            </w:r>
          </w:hyperlink>
        </w:p>
        <w:p w14:paraId="59D61E8F" w14:textId="77777777" w:rsidR="00011FFF" w:rsidRPr="00E43504" w:rsidRDefault="00011FFF">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8" w:history="1">
            <w:r w:rsidRPr="00E43504">
              <w:rPr>
                <w:rStyle w:val="Hyperlink"/>
                <w:noProof/>
                <w:sz w:val="24"/>
                <w:szCs w:val="24"/>
                <w:lang w:val="en-GB"/>
              </w:rPr>
              <w:t>5.2 Conclusion</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_Toc213780718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20</w:t>
            </w:r>
            <w:r w:rsidRPr="00E43504">
              <w:rPr>
                <w:noProof/>
                <w:webHidden/>
                <w:sz w:val="24"/>
                <w:szCs w:val="24"/>
                <w:lang w:val="en-GB"/>
              </w:rPr>
              <w:fldChar w:fldCharType="end"/>
            </w:r>
          </w:hyperlink>
        </w:p>
        <w:p w14:paraId="065F3A3B" w14:textId="77777777" w:rsidR="00011FFF" w:rsidRPr="00E43504" w:rsidRDefault="00011FFF">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780719" w:history="1">
            <w:r w:rsidRPr="00E43504">
              <w:rPr>
                <w:rStyle w:val="Hyperlink"/>
                <w:noProof/>
                <w:sz w:val="24"/>
                <w:szCs w:val="24"/>
                <w:lang w:val="en-GB"/>
              </w:rPr>
              <w:t>6. References</w:t>
            </w:r>
            <w:r w:rsidRPr="00E43504">
              <w:rPr>
                <w:noProof/>
                <w:webHidden/>
                <w:sz w:val="24"/>
                <w:szCs w:val="24"/>
                <w:lang w:val="en-GB"/>
              </w:rPr>
              <w:tab/>
            </w:r>
            <w:r w:rsidRPr="00E43504">
              <w:rPr>
                <w:noProof/>
                <w:webHidden/>
                <w:sz w:val="24"/>
                <w:szCs w:val="24"/>
                <w:lang w:val="en-GB"/>
              </w:rPr>
              <w:fldChar w:fldCharType="begin"/>
            </w:r>
            <w:r w:rsidRPr="00E43504">
              <w:rPr>
                <w:noProof/>
                <w:webHidden/>
                <w:sz w:val="24"/>
                <w:szCs w:val="24"/>
                <w:lang w:val="en-GB"/>
              </w:rPr>
              <w:instrText xml:space="preserve"> PAGEREF _Toc213780719 \h </w:instrText>
            </w:r>
            <w:r w:rsidRPr="00E43504">
              <w:rPr>
                <w:noProof/>
                <w:webHidden/>
                <w:sz w:val="24"/>
                <w:szCs w:val="24"/>
                <w:lang w:val="en-GB"/>
              </w:rPr>
            </w:r>
            <w:r w:rsidRPr="00E43504">
              <w:rPr>
                <w:noProof/>
                <w:webHidden/>
                <w:sz w:val="24"/>
                <w:szCs w:val="24"/>
                <w:lang w:val="en-GB"/>
              </w:rPr>
              <w:fldChar w:fldCharType="separate"/>
            </w:r>
            <w:r w:rsidRPr="00E43504">
              <w:rPr>
                <w:noProof/>
                <w:webHidden/>
                <w:sz w:val="24"/>
                <w:szCs w:val="24"/>
                <w:lang w:val="en-GB"/>
              </w:rPr>
              <w:t>21</w:t>
            </w:r>
            <w:r w:rsidRPr="00E43504">
              <w:rPr>
                <w:noProof/>
                <w:webHidden/>
                <w:sz w:val="24"/>
                <w:szCs w:val="24"/>
                <w:lang w:val="en-GB"/>
              </w:rPr>
              <w:fldChar w:fldCharType="end"/>
            </w:r>
          </w:hyperlink>
        </w:p>
        <w:p w14:paraId="0E499A97" w14:textId="77777777" w:rsidR="006E3E9B" w:rsidRPr="00E43504" w:rsidRDefault="006E3E9B">
          <w:pPr>
            <w:rPr>
              <w:lang w:val="en-GB"/>
            </w:rPr>
          </w:pPr>
          <w:r w:rsidRPr="00E43504">
            <w:rPr>
              <w:b/>
              <w:bCs/>
              <w:noProof/>
              <w:sz w:val="24"/>
              <w:szCs w:val="24"/>
              <w:lang w:val="en-GB"/>
            </w:rPr>
            <w:fldChar w:fldCharType="end"/>
          </w:r>
        </w:p>
      </w:sdtContent>
    </w:sdt>
    <w:p w14:paraId="38BC4C54" w14:textId="77777777" w:rsidR="009D501C" w:rsidRPr="00E43504" w:rsidRDefault="006E3E9B" w:rsidP="006E3E9B">
      <w:pPr>
        <w:spacing w:line="360" w:lineRule="auto"/>
        <w:rPr>
          <w:rFonts w:eastAsia="Times New Roman"/>
          <w:b/>
          <w:bCs/>
          <w:sz w:val="28"/>
          <w:szCs w:val="28"/>
          <w:lang w:val="en-GB"/>
        </w:rPr>
      </w:pPr>
      <w:r w:rsidRPr="00E43504">
        <w:rPr>
          <w:rFonts w:eastAsia="Times New Roman"/>
          <w:b/>
          <w:bCs/>
          <w:sz w:val="28"/>
          <w:szCs w:val="28"/>
          <w:lang w:val="en-GB"/>
        </w:rPr>
        <w:br w:type="page"/>
      </w:r>
    </w:p>
    <w:p w14:paraId="2AC8F235" w14:textId="77777777" w:rsidR="009D501C" w:rsidRPr="00E43504" w:rsidRDefault="00E35567" w:rsidP="006E3E9B">
      <w:pPr>
        <w:pStyle w:val="Heading1"/>
        <w:rPr>
          <w:lang w:val="en-GB"/>
        </w:rPr>
      </w:pPr>
      <w:bookmarkStart w:id="0" w:name="_azdfyhheu6td" w:colFirst="0" w:colLast="0"/>
      <w:bookmarkStart w:id="1" w:name="_Toc213780696"/>
      <w:bookmarkEnd w:id="0"/>
      <w:r w:rsidRPr="00E43504">
        <w:rPr>
          <w:lang w:val="en-GB"/>
        </w:rPr>
        <w:lastRenderedPageBreak/>
        <w:t>1. Selection of Organisation and Target Market</w:t>
      </w:r>
      <w:bookmarkEnd w:id="1"/>
    </w:p>
    <w:p w14:paraId="7A009DDD" w14:textId="77777777" w:rsidR="009D501C" w:rsidRPr="00E43504" w:rsidRDefault="00E35567" w:rsidP="006E3E9B">
      <w:pPr>
        <w:pStyle w:val="Heading2"/>
        <w:rPr>
          <w:rFonts w:ascii="Arial" w:hAnsi="Arial" w:cs="Arial"/>
          <w:lang w:val="en-GB"/>
        </w:rPr>
      </w:pPr>
      <w:bookmarkStart w:id="2" w:name="_m19gcnygxtvr" w:colFirst="0" w:colLast="0"/>
      <w:bookmarkStart w:id="3" w:name="_Toc213780697"/>
      <w:bookmarkEnd w:id="2"/>
      <w:r w:rsidRPr="00E43504">
        <w:rPr>
          <w:rFonts w:ascii="Arial" w:hAnsi="Arial" w:cs="Arial"/>
          <w:lang w:val="en-GB"/>
        </w:rPr>
        <w:t>1.1 Background</w:t>
      </w:r>
      <w:bookmarkEnd w:id="3"/>
    </w:p>
    <w:p w14:paraId="04B5137C" w14:textId="3205E00C" w:rsidR="009D501C" w:rsidRPr="00E43504" w:rsidRDefault="00E35567" w:rsidP="006E3E9B">
      <w:pPr>
        <w:spacing w:line="360" w:lineRule="auto"/>
        <w:jc w:val="both"/>
        <w:rPr>
          <w:rFonts w:eastAsia="Times New Roman"/>
          <w:sz w:val="24"/>
          <w:szCs w:val="24"/>
          <w:lang w:val="en-GB"/>
        </w:rPr>
      </w:pPr>
      <w:r w:rsidRPr="00E43504">
        <w:rPr>
          <w:rFonts w:eastAsia="Times New Roman"/>
          <w:sz w:val="24"/>
          <w:szCs w:val="24"/>
          <w:lang w:val="en-GB"/>
        </w:rPr>
        <w:t xml:space="preserve">Tesla Inc. is an American electric vehicle company that was established in 2003 by Martin Eberhard and Marc Tarpenning. The headquarters of Tesla is situated in Austin, Texas (Forbes, 2022). The organisation was founded with the vision of transforming global transportation through sustainable energy systems and technological innovation. The core business of Tesla involves the design, manufacturing, and sale of battery-electric vehicles. The mission of the organisation is to push energy towards sustainable energy, and this mission is properly aligned with the concerns regarding carbon emissions as well as climate change. Tesla has reshaped the consumer expectations of automotive performance and design as well as influenced the traditional manufacturers to develop competitive EV technologies (Maradin </w:t>
      </w:r>
      <w:r w:rsidRPr="00E43504">
        <w:rPr>
          <w:rFonts w:eastAsia="Times New Roman"/>
          <w:i/>
          <w:iCs/>
          <w:sz w:val="24"/>
          <w:szCs w:val="24"/>
          <w:lang w:val="en-GB"/>
        </w:rPr>
        <w:t>et al</w:t>
      </w:r>
      <w:r w:rsidRPr="00E43504">
        <w:rPr>
          <w:rFonts w:eastAsia="Times New Roman"/>
          <w:sz w:val="24"/>
          <w:szCs w:val="24"/>
          <w:lang w:val="en-GB"/>
        </w:rPr>
        <w:t>., 2022). Elon Musk played a pivotal role in Tesla’s growth through his strategic vision and driving innovation in the electric vehicle domain. A few important product lines of Tesla are electric vehicles (EVs), Powerwall, Solar panel, solar roof, and Supercharger network. This report evaluated the potential expansion of Tesla into the Vietnamese market by analysing the organisation’s internal capacities and external market conditions.</w:t>
      </w:r>
    </w:p>
    <w:p w14:paraId="31B93A9D" w14:textId="77777777" w:rsidR="00B219E2" w:rsidRPr="00E43504" w:rsidRDefault="00B219E2" w:rsidP="006E3E9B">
      <w:pPr>
        <w:spacing w:line="360" w:lineRule="auto"/>
        <w:jc w:val="both"/>
        <w:rPr>
          <w:lang w:val="en-GB"/>
        </w:rPr>
      </w:pPr>
      <w:r w:rsidRPr="00E43504">
        <w:rPr>
          <w:noProof/>
          <w:lang w:val="en-GB"/>
        </w:rPr>
        <w:drawing>
          <wp:inline distT="0" distB="0" distL="0" distR="0" wp14:anchorId="01FDBF7D" wp14:editId="7EA7DDCC">
            <wp:extent cx="5943600" cy="2656840"/>
            <wp:effectExtent l="76200" t="76200" r="133350" b="124460"/>
            <wp:docPr id="120678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8572" name=""/>
                    <pic:cNvPicPr/>
                  </pic:nvPicPr>
                  <pic:blipFill>
                    <a:blip r:embed="rId9"/>
                    <a:stretch>
                      <a:fillRect/>
                    </a:stretch>
                  </pic:blipFill>
                  <pic:spPr>
                    <a:xfrm>
                      <a:off x="0" y="0"/>
                      <a:ext cx="5943600" cy="2656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0A6637" w14:textId="77777777" w:rsidR="00B219E2" w:rsidRPr="00E43504" w:rsidRDefault="00B219E2" w:rsidP="00B219E2">
      <w:pPr>
        <w:spacing w:line="360" w:lineRule="auto"/>
        <w:jc w:val="center"/>
        <w:rPr>
          <w:b/>
          <w:bCs/>
          <w:sz w:val="24"/>
          <w:szCs w:val="24"/>
          <w:lang w:val="en-GB"/>
        </w:rPr>
      </w:pPr>
      <w:r w:rsidRPr="00E43504">
        <w:rPr>
          <w:b/>
          <w:bCs/>
          <w:sz w:val="24"/>
          <w:szCs w:val="24"/>
          <w:lang w:val="en-GB"/>
        </w:rPr>
        <w:t>Figure 1: Tesla Car Features</w:t>
      </w:r>
    </w:p>
    <w:p w14:paraId="6C0002E7" w14:textId="189B76C1" w:rsidR="00B219E2" w:rsidRPr="00E43504" w:rsidRDefault="00B219E2" w:rsidP="00B219E2">
      <w:pPr>
        <w:spacing w:line="360" w:lineRule="auto"/>
        <w:jc w:val="center"/>
        <w:rPr>
          <w:sz w:val="24"/>
          <w:szCs w:val="24"/>
          <w:lang w:val="en-GB"/>
        </w:rPr>
      </w:pPr>
      <w:r w:rsidRPr="00E43504">
        <w:rPr>
          <w:sz w:val="24"/>
          <w:szCs w:val="24"/>
          <w:lang w:val="en-GB"/>
        </w:rPr>
        <w:t>(Source: Joaquinugalde, 2025)</w:t>
      </w:r>
    </w:p>
    <w:p w14:paraId="577C373A" w14:textId="77777777" w:rsidR="009D501C" w:rsidRPr="00E43504" w:rsidRDefault="00E35567" w:rsidP="006E3E9B">
      <w:pPr>
        <w:pStyle w:val="Heading2"/>
        <w:rPr>
          <w:rFonts w:ascii="Arial" w:hAnsi="Arial" w:cs="Arial"/>
          <w:lang w:val="en-GB"/>
        </w:rPr>
      </w:pPr>
      <w:bookmarkStart w:id="4" w:name="_v2cyvpmz79ab" w:colFirst="0" w:colLast="0"/>
      <w:bookmarkStart w:id="5" w:name="_Toc213780698"/>
      <w:bookmarkEnd w:id="4"/>
      <w:r w:rsidRPr="00E43504">
        <w:rPr>
          <w:rFonts w:ascii="Arial" w:hAnsi="Arial" w:cs="Arial"/>
          <w:lang w:val="en-GB"/>
        </w:rPr>
        <w:lastRenderedPageBreak/>
        <w:t>1.2 Financial Review</w:t>
      </w:r>
      <w:bookmarkEnd w:id="5"/>
    </w:p>
    <w:p w14:paraId="535F87B5" w14:textId="328488B8" w:rsidR="009D501C" w:rsidRPr="00E43504" w:rsidRDefault="00E35567" w:rsidP="006E3E9B">
      <w:pPr>
        <w:spacing w:line="360" w:lineRule="auto"/>
        <w:jc w:val="both"/>
        <w:rPr>
          <w:rFonts w:eastAsia="Times New Roman"/>
          <w:b/>
          <w:bCs/>
          <w:sz w:val="24"/>
          <w:szCs w:val="24"/>
          <w:lang w:val="en-GB"/>
        </w:rPr>
      </w:pPr>
      <w:r w:rsidRPr="00E43504">
        <w:rPr>
          <w:rFonts w:eastAsia="Times New Roman"/>
          <w:sz w:val="24"/>
          <w:szCs w:val="24"/>
          <w:lang w:val="en-GB"/>
        </w:rPr>
        <w:t>Tesla has demonstrated strong revenue growth over the past 5 years due to increasing demand for electric vehicles globally. The total revenue of the company has increased from $ 53.82 billion in 2021 to $ 81.46 billion in 2022. This revenue continued to grow in 2023 and reached $ 96.77 billion. For the latest financial year in 2024, Tesla's revenue was $ 97.69 billion. The gross profit increased from $ 13.61 billion in 2021 to $ 17.75 billion in 2024 (Nasdaq.com, 2024). The financial data indicate that Tesla remains in a positive revenue zone, and competitive pricing strategies have begun to impact profit margins. Tesla sold approximately 1.78 million vehicles in 2024 and holds a market share of 10.3 per cent globally (Autovistagroup</w:t>
      </w:r>
      <w:r w:rsidR="00BC4DC8">
        <w:rPr>
          <w:rFonts w:eastAsia="Times New Roman"/>
          <w:sz w:val="24"/>
          <w:szCs w:val="24"/>
          <w:lang w:val="en-GB"/>
        </w:rPr>
        <w:t xml:space="preserve">, </w:t>
      </w:r>
      <w:r w:rsidRPr="00E43504">
        <w:rPr>
          <w:rFonts w:eastAsia="Times New Roman"/>
          <w:sz w:val="24"/>
          <w:szCs w:val="24"/>
          <w:lang w:val="en-GB"/>
        </w:rPr>
        <w:t xml:space="preserve">2024). </w:t>
      </w:r>
      <w:r w:rsidR="00351C05" w:rsidRPr="00E43504">
        <w:rPr>
          <w:rFonts w:eastAsia="Times New Roman"/>
          <w:sz w:val="24"/>
          <w:szCs w:val="24"/>
          <w:lang w:val="en-GB"/>
        </w:rPr>
        <w:t>Tesla has a present annual manufacturing capacity of around 2.35 million vehicles and it is backed by its large Gigafactories worldwide (Insideevs, 2024).</w:t>
      </w:r>
    </w:p>
    <w:tbl>
      <w:tblPr>
        <w:tblStyle w:val="a"/>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2385"/>
        <w:gridCol w:w="2595"/>
        <w:gridCol w:w="2175"/>
      </w:tblGrid>
      <w:tr w:rsidR="009D501C" w:rsidRPr="00E43504" w14:paraId="2A164F78" w14:textId="77777777">
        <w:trPr>
          <w:trHeight w:val="690"/>
        </w:trPr>
        <w:tc>
          <w:tcPr>
            <w:tcW w:w="171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2E60A37"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Year</w:t>
            </w:r>
          </w:p>
        </w:tc>
        <w:tc>
          <w:tcPr>
            <w:tcW w:w="238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E22A332"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Total Revenue (USD)</w:t>
            </w:r>
          </w:p>
        </w:tc>
        <w:tc>
          <w:tcPr>
            <w:tcW w:w="259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1DB6605"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Cost of Revenue (USD)</w:t>
            </w:r>
          </w:p>
        </w:tc>
        <w:tc>
          <w:tcPr>
            <w:tcW w:w="217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8E591C7"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Gross Profit (USD)</w:t>
            </w:r>
          </w:p>
        </w:tc>
      </w:tr>
      <w:tr w:rsidR="009D501C" w:rsidRPr="00E43504" w14:paraId="79189A6B" w14:textId="77777777">
        <w:trPr>
          <w:trHeight w:val="435"/>
        </w:trPr>
        <w:tc>
          <w:tcPr>
            <w:tcW w:w="171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4F36FB5"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2024</w:t>
            </w:r>
          </w:p>
        </w:tc>
        <w:tc>
          <w:tcPr>
            <w:tcW w:w="2385" w:type="dxa"/>
            <w:tcBorders>
              <w:top w:val="nil"/>
              <w:left w:val="nil"/>
              <w:bottom w:val="single" w:sz="7" w:space="0" w:color="000000"/>
              <w:right w:val="single" w:sz="7" w:space="0" w:color="000000"/>
            </w:tcBorders>
            <w:tcMar>
              <w:top w:w="0" w:type="dxa"/>
              <w:left w:w="100" w:type="dxa"/>
              <w:bottom w:w="0" w:type="dxa"/>
              <w:right w:w="100" w:type="dxa"/>
            </w:tcMar>
          </w:tcPr>
          <w:p w14:paraId="7A1146AC"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$97,690,000</w:t>
            </w:r>
          </w:p>
        </w:tc>
        <w:tc>
          <w:tcPr>
            <w:tcW w:w="2595" w:type="dxa"/>
            <w:tcBorders>
              <w:top w:val="nil"/>
              <w:left w:val="nil"/>
              <w:bottom w:val="single" w:sz="7" w:space="0" w:color="000000"/>
              <w:right w:val="single" w:sz="7" w:space="0" w:color="000000"/>
            </w:tcBorders>
            <w:tcMar>
              <w:top w:w="0" w:type="dxa"/>
              <w:left w:w="100" w:type="dxa"/>
              <w:bottom w:w="0" w:type="dxa"/>
              <w:right w:w="100" w:type="dxa"/>
            </w:tcMar>
          </w:tcPr>
          <w:p w14:paraId="03D11F1D"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$80,240,000</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08A33AEF"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$17,450,000</w:t>
            </w:r>
          </w:p>
        </w:tc>
      </w:tr>
      <w:tr w:rsidR="009D501C" w:rsidRPr="00E43504" w14:paraId="4E1A5659" w14:textId="77777777">
        <w:trPr>
          <w:trHeight w:val="435"/>
        </w:trPr>
        <w:tc>
          <w:tcPr>
            <w:tcW w:w="171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FE8F288"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2023</w:t>
            </w:r>
          </w:p>
        </w:tc>
        <w:tc>
          <w:tcPr>
            <w:tcW w:w="2385" w:type="dxa"/>
            <w:tcBorders>
              <w:top w:val="nil"/>
              <w:left w:val="nil"/>
              <w:bottom w:val="single" w:sz="7" w:space="0" w:color="000000"/>
              <w:right w:val="single" w:sz="7" w:space="0" w:color="000000"/>
            </w:tcBorders>
            <w:tcMar>
              <w:top w:w="0" w:type="dxa"/>
              <w:left w:w="100" w:type="dxa"/>
              <w:bottom w:w="0" w:type="dxa"/>
              <w:right w:w="100" w:type="dxa"/>
            </w:tcMar>
          </w:tcPr>
          <w:p w14:paraId="66AD2864"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$96,773,000</w:t>
            </w:r>
          </w:p>
        </w:tc>
        <w:tc>
          <w:tcPr>
            <w:tcW w:w="2595" w:type="dxa"/>
            <w:tcBorders>
              <w:top w:val="nil"/>
              <w:left w:val="nil"/>
              <w:bottom w:val="single" w:sz="7" w:space="0" w:color="000000"/>
              <w:right w:val="single" w:sz="7" w:space="0" w:color="000000"/>
            </w:tcBorders>
            <w:tcMar>
              <w:top w:w="0" w:type="dxa"/>
              <w:left w:w="100" w:type="dxa"/>
              <w:bottom w:w="0" w:type="dxa"/>
              <w:right w:w="100" w:type="dxa"/>
            </w:tcMar>
          </w:tcPr>
          <w:p w14:paraId="1BF36E21"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$79,113,000</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64D4ADBF"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$17,660,000</w:t>
            </w:r>
          </w:p>
        </w:tc>
      </w:tr>
      <w:tr w:rsidR="009D501C" w:rsidRPr="00E43504" w14:paraId="2B810C8E" w14:textId="77777777">
        <w:trPr>
          <w:trHeight w:val="435"/>
        </w:trPr>
        <w:tc>
          <w:tcPr>
            <w:tcW w:w="171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36F65A1"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2022</w:t>
            </w:r>
          </w:p>
        </w:tc>
        <w:tc>
          <w:tcPr>
            <w:tcW w:w="2385" w:type="dxa"/>
            <w:tcBorders>
              <w:top w:val="nil"/>
              <w:left w:val="nil"/>
              <w:bottom w:val="single" w:sz="7" w:space="0" w:color="000000"/>
              <w:right w:val="single" w:sz="7" w:space="0" w:color="000000"/>
            </w:tcBorders>
            <w:tcMar>
              <w:top w:w="0" w:type="dxa"/>
              <w:left w:w="100" w:type="dxa"/>
              <w:bottom w:w="0" w:type="dxa"/>
              <w:right w:w="100" w:type="dxa"/>
            </w:tcMar>
          </w:tcPr>
          <w:p w14:paraId="439AAE66"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$81,462,000</w:t>
            </w:r>
          </w:p>
        </w:tc>
        <w:tc>
          <w:tcPr>
            <w:tcW w:w="2595" w:type="dxa"/>
            <w:tcBorders>
              <w:top w:val="nil"/>
              <w:left w:val="nil"/>
              <w:bottom w:val="single" w:sz="7" w:space="0" w:color="000000"/>
              <w:right w:val="single" w:sz="7" w:space="0" w:color="000000"/>
            </w:tcBorders>
            <w:tcMar>
              <w:top w:w="0" w:type="dxa"/>
              <w:left w:w="100" w:type="dxa"/>
              <w:bottom w:w="0" w:type="dxa"/>
              <w:right w:w="100" w:type="dxa"/>
            </w:tcMar>
          </w:tcPr>
          <w:p w14:paraId="202161E3"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$60,609,000</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3BB50B58"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$20,853,000</w:t>
            </w:r>
          </w:p>
        </w:tc>
      </w:tr>
      <w:tr w:rsidR="009D501C" w:rsidRPr="00E43504" w14:paraId="15F431F7" w14:textId="77777777">
        <w:trPr>
          <w:trHeight w:val="435"/>
        </w:trPr>
        <w:tc>
          <w:tcPr>
            <w:tcW w:w="171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0CB7868"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2021</w:t>
            </w:r>
          </w:p>
        </w:tc>
        <w:tc>
          <w:tcPr>
            <w:tcW w:w="2385" w:type="dxa"/>
            <w:tcBorders>
              <w:top w:val="nil"/>
              <w:left w:val="nil"/>
              <w:bottom w:val="single" w:sz="7" w:space="0" w:color="000000"/>
              <w:right w:val="single" w:sz="7" w:space="0" w:color="000000"/>
            </w:tcBorders>
            <w:tcMar>
              <w:top w:w="0" w:type="dxa"/>
              <w:left w:w="100" w:type="dxa"/>
              <w:bottom w:w="0" w:type="dxa"/>
              <w:right w:w="100" w:type="dxa"/>
            </w:tcMar>
          </w:tcPr>
          <w:p w14:paraId="68D6F8EF"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$53,823,000</w:t>
            </w:r>
          </w:p>
        </w:tc>
        <w:tc>
          <w:tcPr>
            <w:tcW w:w="2595" w:type="dxa"/>
            <w:tcBorders>
              <w:top w:val="nil"/>
              <w:left w:val="nil"/>
              <w:bottom w:val="single" w:sz="7" w:space="0" w:color="000000"/>
              <w:right w:val="single" w:sz="7" w:space="0" w:color="000000"/>
            </w:tcBorders>
            <w:tcMar>
              <w:top w:w="0" w:type="dxa"/>
              <w:left w:w="100" w:type="dxa"/>
              <w:bottom w:w="0" w:type="dxa"/>
              <w:right w:w="100" w:type="dxa"/>
            </w:tcMar>
          </w:tcPr>
          <w:p w14:paraId="1A18C9C9"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$40,217,000</w:t>
            </w:r>
          </w:p>
        </w:tc>
        <w:tc>
          <w:tcPr>
            <w:tcW w:w="2175" w:type="dxa"/>
            <w:tcBorders>
              <w:top w:val="nil"/>
              <w:left w:val="nil"/>
              <w:bottom w:val="single" w:sz="7" w:space="0" w:color="000000"/>
              <w:right w:val="single" w:sz="7" w:space="0" w:color="000000"/>
            </w:tcBorders>
            <w:tcMar>
              <w:top w:w="0" w:type="dxa"/>
              <w:left w:w="100" w:type="dxa"/>
              <w:bottom w:w="0" w:type="dxa"/>
              <w:right w:w="100" w:type="dxa"/>
            </w:tcMar>
          </w:tcPr>
          <w:p w14:paraId="4401D925"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$13,606,000</w:t>
            </w:r>
          </w:p>
        </w:tc>
      </w:tr>
    </w:tbl>
    <w:p w14:paraId="542D9C2F" w14:textId="77777777" w:rsidR="009D501C" w:rsidRPr="00E43504" w:rsidRDefault="00E35567" w:rsidP="006E3E9B">
      <w:pPr>
        <w:spacing w:line="360" w:lineRule="auto"/>
        <w:jc w:val="center"/>
        <w:rPr>
          <w:rFonts w:eastAsia="Times New Roman"/>
          <w:b/>
          <w:bCs/>
          <w:sz w:val="24"/>
          <w:szCs w:val="24"/>
          <w:lang w:val="en-GB"/>
        </w:rPr>
      </w:pPr>
      <w:r w:rsidRPr="00E43504">
        <w:rPr>
          <w:rFonts w:eastAsia="Times New Roman"/>
          <w:b/>
          <w:bCs/>
          <w:sz w:val="24"/>
          <w:szCs w:val="24"/>
          <w:lang w:val="en-GB"/>
        </w:rPr>
        <w:t>Table 1: Tesla Financial Performance Overview (2021–2024)</w:t>
      </w:r>
    </w:p>
    <w:p w14:paraId="74CD8D8A" w14:textId="77777777" w:rsidR="009D501C" w:rsidRPr="00E43504" w:rsidRDefault="00E35567" w:rsidP="006E3E9B">
      <w:pPr>
        <w:spacing w:line="360" w:lineRule="auto"/>
        <w:jc w:val="center"/>
        <w:rPr>
          <w:rFonts w:eastAsia="Times New Roman"/>
          <w:sz w:val="24"/>
          <w:szCs w:val="24"/>
          <w:lang w:val="en-GB"/>
        </w:rPr>
      </w:pPr>
      <w:r w:rsidRPr="00E43504">
        <w:rPr>
          <w:rFonts w:eastAsia="Times New Roman"/>
          <w:sz w:val="24"/>
          <w:szCs w:val="24"/>
          <w:lang w:val="en-GB"/>
        </w:rPr>
        <w:t>(Source: Nasdaq.com, 2024)</w:t>
      </w:r>
    </w:p>
    <w:p w14:paraId="0CBBD881" w14:textId="77777777" w:rsidR="009D501C" w:rsidRPr="00E43504" w:rsidRDefault="00351C05" w:rsidP="006E3E9B">
      <w:pPr>
        <w:spacing w:line="360" w:lineRule="auto"/>
        <w:jc w:val="both"/>
        <w:rPr>
          <w:rFonts w:eastAsia="Times New Roman"/>
          <w:sz w:val="24"/>
          <w:szCs w:val="24"/>
          <w:lang w:val="en-GB"/>
        </w:rPr>
      </w:pPr>
      <w:r w:rsidRPr="00E43504">
        <w:rPr>
          <w:rFonts w:eastAsia="Times New Roman"/>
          <w:sz w:val="24"/>
          <w:szCs w:val="24"/>
          <w:lang w:val="en-GB"/>
        </w:rPr>
        <w:t>Tesla enjoys a presence in the market with a great level of car sales in various foreign markets. According to the data of 2024, the United States is the largest market with 578644 units, followed by the second largest market with China with 460380 sales. In Canada, the UK, France, and Germany, Tesla is also not behind with sales of 48124, 41689, 34984 and 33669 respectively (Worldpopulationreview.com, 2024).</w:t>
      </w:r>
    </w:p>
    <w:p w14:paraId="1D6D7999" w14:textId="77777777" w:rsidR="009D501C" w:rsidRPr="00E43504" w:rsidRDefault="00E35567" w:rsidP="006E3E9B">
      <w:pPr>
        <w:spacing w:line="360" w:lineRule="auto"/>
        <w:jc w:val="center"/>
        <w:rPr>
          <w:rFonts w:eastAsia="Times New Roman"/>
          <w:sz w:val="24"/>
          <w:szCs w:val="24"/>
          <w:lang w:val="en-GB"/>
        </w:rPr>
      </w:pPr>
      <w:r w:rsidRPr="00E43504">
        <w:rPr>
          <w:rFonts w:eastAsia="Times New Roman"/>
          <w:noProof/>
          <w:sz w:val="24"/>
          <w:szCs w:val="24"/>
          <w:lang w:val="en-GB"/>
        </w:rPr>
        <w:lastRenderedPageBreak/>
        <w:drawing>
          <wp:inline distT="114300" distB="114300" distL="114300" distR="114300" wp14:anchorId="08F4CE94" wp14:editId="32A5CAB9">
            <wp:extent cx="5943600" cy="21082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108200"/>
                    </a:xfrm>
                    <a:prstGeom prst="rect">
                      <a:avLst/>
                    </a:prstGeom>
                    <a:ln w="25400">
                      <a:solidFill>
                        <a:srgbClr val="000000"/>
                      </a:solidFill>
                      <a:prstDash val="solid"/>
                    </a:ln>
                  </pic:spPr>
                </pic:pic>
              </a:graphicData>
            </a:graphic>
          </wp:inline>
        </w:drawing>
      </w:r>
    </w:p>
    <w:p w14:paraId="0BDEA6EC" w14:textId="77777777" w:rsidR="009D501C" w:rsidRPr="00E43504" w:rsidRDefault="00E35567" w:rsidP="006E3E9B">
      <w:pPr>
        <w:spacing w:line="360" w:lineRule="auto"/>
        <w:jc w:val="center"/>
        <w:rPr>
          <w:rFonts w:eastAsia="Times New Roman"/>
          <w:b/>
          <w:bCs/>
          <w:sz w:val="24"/>
          <w:szCs w:val="24"/>
          <w:lang w:val="en-GB"/>
        </w:rPr>
      </w:pPr>
      <w:r w:rsidRPr="00E43504">
        <w:rPr>
          <w:rFonts w:eastAsia="Times New Roman"/>
          <w:b/>
          <w:bCs/>
          <w:sz w:val="24"/>
          <w:szCs w:val="24"/>
          <w:lang w:val="en-GB"/>
        </w:rPr>
        <w:t xml:space="preserve">Figure </w:t>
      </w:r>
      <w:r w:rsidR="00B219E2" w:rsidRPr="00E43504">
        <w:rPr>
          <w:rFonts w:eastAsia="Times New Roman"/>
          <w:b/>
          <w:bCs/>
          <w:sz w:val="24"/>
          <w:szCs w:val="24"/>
          <w:lang w:val="en-GB"/>
        </w:rPr>
        <w:t>2</w:t>
      </w:r>
      <w:r w:rsidRPr="00E43504">
        <w:rPr>
          <w:rFonts w:eastAsia="Times New Roman"/>
          <w:b/>
          <w:bCs/>
          <w:sz w:val="24"/>
          <w:szCs w:val="24"/>
          <w:lang w:val="en-GB"/>
        </w:rPr>
        <w:t>: Tesla Sales by Country 2025</w:t>
      </w:r>
    </w:p>
    <w:p w14:paraId="77B65205" w14:textId="77777777" w:rsidR="009D501C" w:rsidRPr="00E43504" w:rsidRDefault="00E35567" w:rsidP="006E3E9B">
      <w:pPr>
        <w:spacing w:line="360" w:lineRule="auto"/>
        <w:jc w:val="center"/>
        <w:rPr>
          <w:rFonts w:eastAsia="Times New Roman"/>
          <w:sz w:val="24"/>
          <w:szCs w:val="24"/>
          <w:lang w:val="en-GB"/>
        </w:rPr>
      </w:pPr>
      <w:r w:rsidRPr="00E43504">
        <w:rPr>
          <w:rFonts w:eastAsia="Times New Roman"/>
          <w:sz w:val="24"/>
          <w:szCs w:val="24"/>
          <w:lang w:val="en-GB"/>
        </w:rPr>
        <w:t>(Source: Worldpopulationreview.com, 2024)</w:t>
      </w:r>
    </w:p>
    <w:p w14:paraId="2875830D" w14:textId="77777777" w:rsidR="009D501C" w:rsidRPr="00E43504" w:rsidRDefault="00E35567" w:rsidP="006E3E9B">
      <w:pPr>
        <w:pStyle w:val="Heading2"/>
        <w:rPr>
          <w:rFonts w:ascii="Arial" w:hAnsi="Arial" w:cs="Arial"/>
          <w:lang w:val="en-GB"/>
        </w:rPr>
      </w:pPr>
      <w:bookmarkStart w:id="6" w:name="_eiddqj4n48vp" w:colFirst="0" w:colLast="0"/>
      <w:bookmarkStart w:id="7" w:name="_Toc213780699"/>
      <w:bookmarkEnd w:id="6"/>
      <w:r w:rsidRPr="00E43504">
        <w:rPr>
          <w:rFonts w:ascii="Arial" w:hAnsi="Arial" w:cs="Arial"/>
          <w:lang w:val="en-GB"/>
        </w:rPr>
        <w:t>1.3 Rationale for Choosing Vietnam as Target Market</w:t>
      </w:r>
      <w:bookmarkEnd w:id="7"/>
    </w:p>
    <w:p w14:paraId="3F315FAA" w14:textId="03D5A57E" w:rsidR="009D501C" w:rsidRPr="00E43504" w:rsidRDefault="00351C05" w:rsidP="006E3E9B">
      <w:pPr>
        <w:spacing w:line="360" w:lineRule="auto"/>
        <w:jc w:val="both"/>
        <w:rPr>
          <w:rFonts w:eastAsia="Times New Roman"/>
          <w:sz w:val="24"/>
          <w:szCs w:val="24"/>
          <w:lang w:val="en-GB"/>
        </w:rPr>
      </w:pPr>
      <w:r w:rsidRPr="00E43504">
        <w:rPr>
          <w:rFonts w:eastAsia="Times New Roman"/>
          <w:sz w:val="24"/>
          <w:szCs w:val="24"/>
          <w:lang w:val="en-GB"/>
        </w:rPr>
        <w:t>Vietnam is a country with great opportunities to Tesla as the country has the good growth in the economy and favorable policy towards the electric mobility. The number of people in the middle-class is growing at high speeds, and it is expected to hit 26 per cent by 2026 (Vietnam-briefing.com, 2025). This has the capability of building a positive consumer base to the electric vehicle of Tesla. Vietnamese government is determined to reach the net-zero emission by 2050 and has been working towards transport sector electrification (Mae, 2025). They have reduced the excise tax of EVs currently 15 per cent to 3 per cent and removed import duty on EV parts (Tilleke.com, 2025). These projects demonstrate the keen interest of the government on electrification. Differences in the percentage of EVs sold annually between all vehicles stand at 42 per cent and this gives Tesla a definite opportunity (Tuoitre.vn, 2025). The consumer interest in EVs is growing, and it will assist Tesla to penetrate the Vietnamese market. Vietnam is strategically situated in the region ASEAN, and the country opens up the markets to more than 680 million consumers via established trade deals (Weforum.org, 2025). Competitive labour costs are also competitive as well as skilled workers in this country.</w:t>
      </w:r>
    </w:p>
    <w:p w14:paraId="642FE3B5" w14:textId="77777777" w:rsidR="009D501C" w:rsidRPr="00E43504" w:rsidRDefault="00E35567" w:rsidP="006E3E9B">
      <w:pPr>
        <w:pStyle w:val="Heading2"/>
        <w:rPr>
          <w:rFonts w:ascii="Arial" w:hAnsi="Arial" w:cs="Arial"/>
          <w:lang w:val="en-GB"/>
        </w:rPr>
      </w:pPr>
      <w:bookmarkStart w:id="8" w:name="_norx7o46q529" w:colFirst="0" w:colLast="0"/>
      <w:bookmarkStart w:id="9" w:name="_Toc213780700"/>
      <w:bookmarkEnd w:id="8"/>
      <w:r w:rsidRPr="00E43504">
        <w:rPr>
          <w:rFonts w:ascii="Arial" w:hAnsi="Arial" w:cs="Arial"/>
          <w:lang w:val="en-GB"/>
        </w:rPr>
        <w:lastRenderedPageBreak/>
        <w:t>1.4 Tesla’s strategic alignment with the Vietnamese market</w:t>
      </w:r>
      <w:bookmarkEnd w:id="9"/>
    </w:p>
    <w:p w14:paraId="1C3F86A0" w14:textId="77777777" w:rsidR="009D501C" w:rsidRPr="00E43504" w:rsidRDefault="00351C05" w:rsidP="006E3E9B">
      <w:pPr>
        <w:spacing w:line="360" w:lineRule="auto"/>
        <w:jc w:val="both"/>
        <w:rPr>
          <w:rFonts w:eastAsia="Times New Roman"/>
          <w:b/>
          <w:bCs/>
          <w:sz w:val="28"/>
          <w:szCs w:val="28"/>
          <w:highlight w:val="yellow"/>
          <w:lang w:val="en-GB"/>
        </w:rPr>
      </w:pPr>
      <w:r w:rsidRPr="00E43504">
        <w:rPr>
          <w:rFonts w:eastAsia="Times New Roman"/>
          <w:sz w:val="24"/>
          <w:szCs w:val="24"/>
          <w:lang w:val="en-GB"/>
        </w:rPr>
        <w:t>Vietnam offers a high strategic match to Tesla since the climate goals of the country and Tesla sustainability mission mirrored each other. The Vietnamese government has set a goal of reaching a net-zero by 2050 and it is highly promoting the use of electric vehicles to cut the increasing pollution rates in the large urban areas. Such policy direction will provide Tesla with a good opportunity to launch its clean energy mobility solutions. Besides, Vietnam provides the possibility to build the Gigafactory or assembly industry with powerful industrial zones and governmental incentives. The existing inadequate EV charging network presents a definite avenue that Tesla can use to increase its Supercharger network and reinforce its market position.</w:t>
      </w:r>
      <w:r w:rsidRPr="00E43504">
        <w:rPr>
          <w:highlight w:val="yellow"/>
          <w:lang w:val="en-GB"/>
        </w:rPr>
        <w:br w:type="page"/>
      </w:r>
    </w:p>
    <w:p w14:paraId="4C1C62DE" w14:textId="77777777" w:rsidR="009D501C" w:rsidRPr="00E43504" w:rsidRDefault="00E35567" w:rsidP="006E3E9B">
      <w:pPr>
        <w:pStyle w:val="Heading1"/>
        <w:rPr>
          <w:lang w:val="en-GB"/>
        </w:rPr>
      </w:pPr>
      <w:bookmarkStart w:id="10" w:name="_qob8mxlmu0dv" w:colFirst="0" w:colLast="0"/>
      <w:bookmarkStart w:id="11" w:name="_Toc213780701"/>
      <w:bookmarkEnd w:id="10"/>
      <w:r w:rsidRPr="00E43504">
        <w:rPr>
          <w:lang w:val="en-GB"/>
        </w:rPr>
        <w:lastRenderedPageBreak/>
        <w:t>2. Comprehensive Strategic Environment Analysis</w:t>
      </w:r>
      <w:bookmarkEnd w:id="11"/>
    </w:p>
    <w:p w14:paraId="7809C812" w14:textId="77777777" w:rsidR="009D501C" w:rsidRPr="00E43504" w:rsidRDefault="00E35567" w:rsidP="006E3E9B">
      <w:pPr>
        <w:pStyle w:val="Heading2"/>
        <w:rPr>
          <w:rFonts w:ascii="Arial" w:hAnsi="Arial" w:cs="Arial"/>
          <w:lang w:val="en-GB"/>
        </w:rPr>
      </w:pPr>
      <w:bookmarkStart w:id="12" w:name="_vdn17pfyn2vx" w:colFirst="0" w:colLast="0"/>
      <w:bookmarkStart w:id="13" w:name="_Toc213780702"/>
      <w:bookmarkEnd w:id="12"/>
      <w:r w:rsidRPr="00E43504">
        <w:rPr>
          <w:rFonts w:ascii="Arial" w:hAnsi="Arial" w:cs="Arial"/>
          <w:lang w:val="en-GB"/>
        </w:rPr>
        <w:t>2.1 PESTEL Analysis</w:t>
      </w:r>
      <w:bookmarkEnd w:id="13"/>
    </w:p>
    <w:tbl>
      <w:tblPr>
        <w:tblStyle w:val="a0"/>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65"/>
        <w:gridCol w:w="1755"/>
        <w:gridCol w:w="2610"/>
        <w:gridCol w:w="2850"/>
      </w:tblGrid>
      <w:tr w:rsidR="009D501C" w:rsidRPr="00E43504" w14:paraId="1D82496B" w14:textId="77777777">
        <w:trPr>
          <w:trHeight w:val="690"/>
        </w:trPr>
        <w:tc>
          <w:tcPr>
            <w:tcW w:w="166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2A4D4A2F"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Factors</w:t>
            </w:r>
          </w:p>
        </w:tc>
        <w:tc>
          <w:tcPr>
            <w:tcW w:w="175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223B96C"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Key Points</w:t>
            </w:r>
          </w:p>
        </w:tc>
        <w:tc>
          <w:tcPr>
            <w:tcW w:w="26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F8D67F5"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Data / Policy / Evidence</w:t>
            </w:r>
          </w:p>
        </w:tc>
        <w:tc>
          <w:tcPr>
            <w:tcW w:w="285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EDA086E"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Implications for Tesla</w:t>
            </w:r>
          </w:p>
        </w:tc>
      </w:tr>
      <w:tr w:rsidR="009D501C" w:rsidRPr="00E43504" w14:paraId="38923A4A" w14:textId="77777777">
        <w:trPr>
          <w:trHeight w:val="1455"/>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A473F1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Political</w:t>
            </w:r>
          </w:p>
        </w:tc>
        <w:tc>
          <w:tcPr>
            <w:tcW w:w="1755" w:type="dxa"/>
            <w:tcBorders>
              <w:top w:val="nil"/>
              <w:left w:val="nil"/>
              <w:bottom w:val="single" w:sz="7" w:space="0" w:color="000000"/>
              <w:right w:val="single" w:sz="7" w:space="0" w:color="000000"/>
            </w:tcBorders>
            <w:tcMar>
              <w:top w:w="0" w:type="dxa"/>
              <w:left w:w="100" w:type="dxa"/>
              <w:bottom w:w="0" w:type="dxa"/>
              <w:right w:w="100" w:type="dxa"/>
            </w:tcMar>
          </w:tcPr>
          <w:p w14:paraId="0A4C88E3"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Strong government support for EV transition</w:t>
            </w:r>
          </w:p>
        </w:tc>
        <w:tc>
          <w:tcPr>
            <w:tcW w:w="2610" w:type="dxa"/>
            <w:tcBorders>
              <w:top w:val="nil"/>
              <w:left w:val="nil"/>
              <w:bottom w:val="single" w:sz="7" w:space="0" w:color="000000"/>
              <w:right w:val="single" w:sz="7" w:space="0" w:color="000000"/>
            </w:tcBorders>
            <w:tcMar>
              <w:top w:w="0" w:type="dxa"/>
              <w:left w:w="100" w:type="dxa"/>
              <w:bottom w:w="0" w:type="dxa"/>
              <w:right w:w="100" w:type="dxa"/>
            </w:tcMar>
          </w:tcPr>
          <w:p w14:paraId="352C2809"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Special Consumption Tax on EVs from 15% to 3% for 5 years (Vietnam-briefing.com, 2025).</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7A08A441"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Encourages Tesla to enter with cost advantages and favourable policy support.</w:t>
            </w:r>
          </w:p>
        </w:tc>
      </w:tr>
      <w:tr w:rsidR="009D501C" w:rsidRPr="00E43504" w14:paraId="731E680F" w14:textId="77777777">
        <w:trPr>
          <w:trHeight w:val="198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CD2F948"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Economical</w:t>
            </w:r>
          </w:p>
        </w:tc>
        <w:tc>
          <w:tcPr>
            <w:tcW w:w="1755" w:type="dxa"/>
            <w:tcBorders>
              <w:top w:val="nil"/>
              <w:left w:val="nil"/>
              <w:bottom w:val="single" w:sz="7" w:space="0" w:color="000000"/>
              <w:right w:val="single" w:sz="7" w:space="0" w:color="000000"/>
            </w:tcBorders>
            <w:tcMar>
              <w:top w:w="0" w:type="dxa"/>
              <w:left w:w="100" w:type="dxa"/>
              <w:bottom w:w="0" w:type="dxa"/>
              <w:right w:w="100" w:type="dxa"/>
            </w:tcMar>
          </w:tcPr>
          <w:p w14:paraId="24B2152D"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A growing middle class and strong GDP growth</w:t>
            </w:r>
          </w:p>
        </w:tc>
        <w:tc>
          <w:tcPr>
            <w:tcW w:w="2610" w:type="dxa"/>
            <w:tcBorders>
              <w:top w:val="nil"/>
              <w:left w:val="nil"/>
              <w:bottom w:val="single" w:sz="7" w:space="0" w:color="000000"/>
              <w:right w:val="single" w:sz="7" w:space="0" w:color="000000"/>
            </w:tcBorders>
            <w:tcMar>
              <w:top w:w="0" w:type="dxa"/>
              <w:left w:w="100" w:type="dxa"/>
              <w:bottom w:w="0" w:type="dxa"/>
              <w:right w:w="100" w:type="dxa"/>
            </w:tcMar>
          </w:tcPr>
          <w:p w14:paraId="5EE326E7"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Vietnam’s middle class is expected to reach 26% of the population by 2026 (Vietnam-briefing.com, 2025)</w:t>
            </w:r>
          </w:p>
          <w:p w14:paraId="4B5857A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GDP growth is projected to be 6.5% annually in 2026 (Worldbank.org, 2025).</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1727F63E"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Higher purchasing power increases demand for premium EVs like the Tesla Model 3/Y.</w:t>
            </w:r>
          </w:p>
        </w:tc>
      </w:tr>
      <w:tr w:rsidR="009D501C" w:rsidRPr="00E43504" w14:paraId="3DE9EF09" w14:textId="77777777">
        <w:trPr>
          <w:trHeight w:val="171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08B08D9"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Social</w:t>
            </w:r>
          </w:p>
        </w:tc>
        <w:tc>
          <w:tcPr>
            <w:tcW w:w="1755" w:type="dxa"/>
            <w:tcBorders>
              <w:top w:val="nil"/>
              <w:left w:val="nil"/>
              <w:bottom w:val="single" w:sz="7" w:space="0" w:color="000000"/>
              <w:right w:val="single" w:sz="7" w:space="0" w:color="000000"/>
            </w:tcBorders>
            <w:tcMar>
              <w:top w:w="0" w:type="dxa"/>
              <w:left w:w="100" w:type="dxa"/>
              <w:bottom w:w="0" w:type="dxa"/>
              <w:right w:w="100" w:type="dxa"/>
            </w:tcMar>
          </w:tcPr>
          <w:p w14:paraId="20DF6159"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Increasing environmental awareness and urbanisation</w:t>
            </w:r>
          </w:p>
        </w:tc>
        <w:tc>
          <w:tcPr>
            <w:tcW w:w="2610" w:type="dxa"/>
            <w:tcBorders>
              <w:top w:val="nil"/>
              <w:left w:val="nil"/>
              <w:bottom w:val="single" w:sz="7" w:space="0" w:color="000000"/>
              <w:right w:val="single" w:sz="7" w:space="0" w:color="000000"/>
            </w:tcBorders>
            <w:tcMar>
              <w:top w:w="0" w:type="dxa"/>
              <w:left w:w="100" w:type="dxa"/>
              <w:bottom w:w="0" w:type="dxa"/>
              <w:right w:w="100" w:type="dxa"/>
            </w:tcMar>
          </w:tcPr>
          <w:p w14:paraId="34A65831"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 xml:space="preserve">37% of the population lives in urban areas, projected to reach 45% by 2030 (Opendevelopmentmekong.net, 2024). </w:t>
            </w:r>
            <w:r w:rsidRPr="00E43504">
              <w:rPr>
                <w:rFonts w:eastAsia="Times New Roman"/>
                <w:sz w:val="24"/>
                <w:szCs w:val="24"/>
                <w:lang w:val="en-GB"/>
              </w:rPr>
              <w:lastRenderedPageBreak/>
              <w:t>Pollution is among the top public health concerns.</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6C9226DD"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lastRenderedPageBreak/>
              <w:t>Social shift toward clean mobility supports Tesla’s sustainability value proposition.</w:t>
            </w:r>
          </w:p>
        </w:tc>
      </w:tr>
      <w:tr w:rsidR="009D501C" w:rsidRPr="00E43504" w14:paraId="16C36B11" w14:textId="77777777">
        <w:trPr>
          <w:trHeight w:val="171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28404C2"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Technological</w:t>
            </w:r>
          </w:p>
        </w:tc>
        <w:tc>
          <w:tcPr>
            <w:tcW w:w="1755" w:type="dxa"/>
            <w:tcBorders>
              <w:top w:val="nil"/>
              <w:left w:val="nil"/>
              <w:bottom w:val="single" w:sz="7" w:space="0" w:color="000000"/>
              <w:right w:val="single" w:sz="7" w:space="0" w:color="000000"/>
            </w:tcBorders>
            <w:tcMar>
              <w:top w:w="0" w:type="dxa"/>
              <w:left w:w="100" w:type="dxa"/>
              <w:bottom w:w="0" w:type="dxa"/>
              <w:right w:w="100" w:type="dxa"/>
            </w:tcMar>
          </w:tcPr>
          <w:p w14:paraId="2DB7742C"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Growing high-tech manufacturing capabilities</w:t>
            </w:r>
          </w:p>
        </w:tc>
        <w:tc>
          <w:tcPr>
            <w:tcW w:w="2610" w:type="dxa"/>
            <w:tcBorders>
              <w:top w:val="nil"/>
              <w:left w:val="nil"/>
              <w:bottom w:val="single" w:sz="7" w:space="0" w:color="000000"/>
              <w:right w:val="single" w:sz="7" w:space="0" w:color="000000"/>
            </w:tcBorders>
            <w:tcMar>
              <w:top w:w="0" w:type="dxa"/>
              <w:left w:w="100" w:type="dxa"/>
              <w:bottom w:w="0" w:type="dxa"/>
              <w:right w:w="100" w:type="dxa"/>
            </w:tcMar>
          </w:tcPr>
          <w:p w14:paraId="71F092D3"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Vietnam attracted $6.17 billion in high-tech FDI in 2023, with major EV battery investments (Vneconomy.vn, 2024)</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353D9680"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Opportunity for Tesla to develop local battery/assembly operations and reduce production costs.</w:t>
            </w:r>
          </w:p>
        </w:tc>
      </w:tr>
      <w:tr w:rsidR="009D501C" w:rsidRPr="00E43504" w14:paraId="7BC2159A" w14:textId="77777777">
        <w:trPr>
          <w:trHeight w:val="171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1EF385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Environmental</w:t>
            </w:r>
          </w:p>
        </w:tc>
        <w:tc>
          <w:tcPr>
            <w:tcW w:w="1755" w:type="dxa"/>
            <w:tcBorders>
              <w:top w:val="nil"/>
              <w:left w:val="nil"/>
              <w:bottom w:val="single" w:sz="7" w:space="0" w:color="000000"/>
              <w:right w:val="single" w:sz="7" w:space="0" w:color="000000"/>
            </w:tcBorders>
            <w:tcMar>
              <w:top w:w="0" w:type="dxa"/>
              <w:left w:w="100" w:type="dxa"/>
              <w:bottom w:w="0" w:type="dxa"/>
              <w:right w:w="100" w:type="dxa"/>
            </w:tcMar>
          </w:tcPr>
          <w:p w14:paraId="3151B1FB"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Strong climate commitments</w:t>
            </w:r>
          </w:p>
        </w:tc>
        <w:tc>
          <w:tcPr>
            <w:tcW w:w="2610" w:type="dxa"/>
            <w:tcBorders>
              <w:top w:val="nil"/>
              <w:left w:val="nil"/>
              <w:bottom w:val="single" w:sz="7" w:space="0" w:color="000000"/>
              <w:right w:val="single" w:sz="7" w:space="0" w:color="000000"/>
            </w:tcBorders>
            <w:tcMar>
              <w:top w:w="0" w:type="dxa"/>
              <w:left w:w="100" w:type="dxa"/>
              <w:bottom w:w="0" w:type="dxa"/>
              <w:right w:w="100" w:type="dxa"/>
            </w:tcMar>
          </w:tcPr>
          <w:p w14:paraId="2625C97F"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Vietnam committed to Net Zero by 2050 at COP26.</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12AFC26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Alignment with Tesla’s mission strengthens brand fit and government compatibility.</w:t>
            </w:r>
          </w:p>
        </w:tc>
      </w:tr>
      <w:tr w:rsidR="009D501C" w:rsidRPr="00E43504" w14:paraId="064BBB7E" w14:textId="77777777">
        <w:trPr>
          <w:trHeight w:val="198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FC39E85"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Legal</w:t>
            </w:r>
          </w:p>
        </w:tc>
        <w:tc>
          <w:tcPr>
            <w:tcW w:w="1755" w:type="dxa"/>
            <w:tcBorders>
              <w:top w:val="nil"/>
              <w:left w:val="nil"/>
              <w:bottom w:val="single" w:sz="7" w:space="0" w:color="000000"/>
              <w:right w:val="single" w:sz="7" w:space="0" w:color="000000"/>
            </w:tcBorders>
            <w:tcMar>
              <w:top w:w="0" w:type="dxa"/>
              <w:left w:w="100" w:type="dxa"/>
              <w:bottom w:w="0" w:type="dxa"/>
              <w:right w:w="100" w:type="dxa"/>
            </w:tcMar>
          </w:tcPr>
          <w:p w14:paraId="6EA52B9B"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Investment incentives for EV manufacturing</w:t>
            </w:r>
          </w:p>
        </w:tc>
        <w:tc>
          <w:tcPr>
            <w:tcW w:w="2610" w:type="dxa"/>
            <w:tcBorders>
              <w:top w:val="nil"/>
              <w:left w:val="nil"/>
              <w:bottom w:val="single" w:sz="7" w:space="0" w:color="000000"/>
              <w:right w:val="single" w:sz="7" w:space="0" w:color="000000"/>
            </w:tcBorders>
            <w:tcMar>
              <w:top w:w="0" w:type="dxa"/>
              <w:left w:w="100" w:type="dxa"/>
              <w:bottom w:w="0" w:type="dxa"/>
              <w:right w:w="100" w:type="dxa"/>
            </w:tcMar>
          </w:tcPr>
          <w:p w14:paraId="5186CA99" w14:textId="22DAD74D"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The tax on electric vehicles remains at 70 per cent of the rate applied to petrol or diesel cars (English, 2024).</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3B174200"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Tesla can benefit from reduced operating costs if it establishes a Gigafactory/assembly plant.</w:t>
            </w:r>
          </w:p>
        </w:tc>
      </w:tr>
    </w:tbl>
    <w:p w14:paraId="22647ACF" w14:textId="77777777" w:rsidR="006E3E9B" w:rsidRPr="00E43504" w:rsidRDefault="006E3E9B" w:rsidP="006E3E9B">
      <w:pPr>
        <w:spacing w:line="360" w:lineRule="auto"/>
        <w:jc w:val="center"/>
        <w:rPr>
          <w:rFonts w:eastAsia="Times New Roman"/>
          <w:b/>
          <w:bCs/>
          <w:sz w:val="24"/>
          <w:szCs w:val="24"/>
          <w:lang w:val="en-GB"/>
        </w:rPr>
      </w:pPr>
      <w:r w:rsidRPr="00E43504">
        <w:rPr>
          <w:rFonts w:eastAsia="Times New Roman"/>
          <w:b/>
          <w:bCs/>
          <w:sz w:val="24"/>
          <w:szCs w:val="24"/>
          <w:lang w:val="en-GB"/>
        </w:rPr>
        <w:t>Table 2: PESTEL Analysis</w:t>
      </w:r>
    </w:p>
    <w:p w14:paraId="03C82D39" w14:textId="77777777" w:rsidR="006E3E9B" w:rsidRPr="00E43504" w:rsidRDefault="006E3E9B" w:rsidP="006E3E9B">
      <w:pPr>
        <w:spacing w:line="360" w:lineRule="auto"/>
        <w:jc w:val="center"/>
        <w:rPr>
          <w:rFonts w:eastAsia="Times New Roman"/>
          <w:sz w:val="24"/>
          <w:szCs w:val="24"/>
          <w:lang w:val="en-GB"/>
        </w:rPr>
      </w:pPr>
      <w:r w:rsidRPr="00E43504">
        <w:rPr>
          <w:rFonts w:eastAsia="Times New Roman"/>
          <w:sz w:val="24"/>
          <w:szCs w:val="24"/>
          <w:lang w:val="en-GB"/>
        </w:rPr>
        <w:t>(Source: self-developed)</w:t>
      </w:r>
    </w:p>
    <w:p w14:paraId="0C13AE6A" w14:textId="730E61BE" w:rsidR="001652AF"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Vietnam serves as an ideal gateway for Tesla to sell their EV products. The government policies for the EV operations in Vietnam are becoming more widely used such as lower special consumption tax and investment incentives remaining. The middle class is increasing, GDP is growing, and the purchasing power of the public, visible in premium EV products. Consumer readiness for cleaner mobility options is also propelled by </w:t>
      </w:r>
      <w:r w:rsidRPr="00E43504">
        <w:rPr>
          <w:rFonts w:eastAsia="Times New Roman"/>
          <w:sz w:val="24"/>
          <w:szCs w:val="24"/>
          <w:lang w:val="en-GB"/>
        </w:rPr>
        <w:lastRenderedPageBreak/>
        <w:t>societal trends like urbanisation and increasing environmental consciousness. Tesla’s sustainability mission aligns well with Vietnam’s commitment to Net Zero by 2050 and provides a beneficial legal environment to make the establishment of a Gigafactory or assembly plant economically attractive.</w:t>
      </w:r>
      <w:r w:rsidR="001652AF">
        <w:rPr>
          <w:rFonts w:eastAsia="Times New Roman"/>
          <w:sz w:val="24"/>
          <w:szCs w:val="24"/>
          <w:lang w:val="en-GB"/>
        </w:rPr>
        <w:t xml:space="preserve"> </w:t>
      </w:r>
      <w:r w:rsidR="001652AF" w:rsidRPr="00AD0A74">
        <w:rPr>
          <w:rFonts w:eastAsia="Times New Roman"/>
          <w:color w:val="000000" w:themeColor="text1"/>
          <w:sz w:val="24"/>
          <w:szCs w:val="24"/>
          <w:lang w:val="en-GB"/>
        </w:rPr>
        <w:t xml:space="preserve">It is also important for Tesla to account for </w:t>
      </w:r>
      <w:r w:rsidR="00D73B12" w:rsidRPr="00AD0A74">
        <w:rPr>
          <w:rFonts w:eastAsia="Times New Roman"/>
          <w:color w:val="000000" w:themeColor="text1"/>
          <w:sz w:val="24"/>
          <w:szCs w:val="24"/>
          <w:lang w:val="en-GB"/>
        </w:rPr>
        <w:t xml:space="preserve">the </w:t>
      </w:r>
      <w:r w:rsidR="001652AF" w:rsidRPr="00AD0A74">
        <w:rPr>
          <w:rFonts w:eastAsia="Times New Roman"/>
          <w:color w:val="000000" w:themeColor="text1"/>
          <w:sz w:val="24"/>
          <w:szCs w:val="24"/>
          <w:lang w:val="en-GB"/>
        </w:rPr>
        <w:t xml:space="preserve">underlying structural issues that exist within Vietnam. A weak charging ecosystem, higher setup costs relative to other countries, uncertain enforcement of public policy and upwardly priced competition from VinFast, BYD and other Chinese brands will all make it difficult for Tesla to </w:t>
      </w:r>
      <w:r w:rsidR="00D73B12" w:rsidRPr="00AD0A74">
        <w:rPr>
          <w:rFonts w:eastAsia="Times New Roman"/>
          <w:color w:val="000000" w:themeColor="text1"/>
          <w:sz w:val="24"/>
          <w:szCs w:val="24"/>
          <w:lang w:val="en-GB"/>
        </w:rPr>
        <w:t>scale up</w:t>
      </w:r>
      <w:r w:rsidR="001652AF" w:rsidRPr="00AD0A74">
        <w:rPr>
          <w:rFonts w:eastAsia="Times New Roman"/>
          <w:color w:val="000000" w:themeColor="text1"/>
          <w:sz w:val="24"/>
          <w:szCs w:val="24"/>
          <w:lang w:val="en-GB"/>
        </w:rPr>
        <w:t xml:space="preserve"> quickly in Vietnam. These considerations create strategic ambiguity and indicate that the company should not presume an initial success in the market. it should proceed with its investments cautiously and via a staged approach. </w:t>
      </w:r>
    </w:p>
    <w:p w14:paraId="6AA6574D" w14:textId="77777777" w:rsidR="009D501C" w:rsidRPr="00E43504" w:rsidRDefault="00E35567" w:rsidP="006E3E9B">
      <w:pPr>
        <w:pStyle w:val="Heading2"/>
        <w:rPr>
          <w:rFonts w:ascii="Arial" w:hAnsi="Arial" w:cs="Arial"/>
          <w:lang w:val="en-GB"/>
        </w:rPr>
      </w:pPr>
      <w:bookmarkStart w:id="14" w:name="_e70qb0fuwy38" w:colFirst="0" w:colLast="0"/>
      <w:bookmarkStart w:id="15" w:name="_Toc213780703"/>
      <w:bookmarkEnd w:id="14"/>
      <w:r w:rsidRPr="00E43504">
        <w:rPr>
          <w:rFonts w:ascii="Arial" w:hAnsi="Arial" w:cs="Arial"/>
          <w:lang w:val="en-GB"/>
        </w:rPr>
        <w:t>2.2 Porter’s Five Forces (Vietnam EV Market)</w:t>
      </w:r>
      <w:bookmarkEnd w:id="15"/>
    </w:p>
    <w:p w14:paraId="0A700675"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Competitive Rivalry (High)</w:t>
      </w:r>
    </w:p>
    <w:p w14:paraId="06B4760C"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The EV market of Vietnam is becoming highly competitive. VinFast is a powerful first-mover company that can be backed by the government and has an actively growing charging network (Vinfastauto.us, 2025). Low-cost EV models offered by Chinese manufacturers, including BYD and Wuling, are competing on price, which is becoming very high. Tesla needs to fight based on superior technology, brand prestige, and software ecosystem to differentiate rather than only on price. </w:t>
      </w:r>
    </w:p>
    <w:p w14:paraId="54215F08"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Threat of New Entrants (Medium)</w:t>
      </w:r>
    </w:p>
    <w:p w14:paraId="1F47AA59"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Vietnam provides some incentives and tax reductions to make EV production effective. But to enter the market, the company should make a considerable investment in the manufacturing plant, research and development, and charging networks. For breaking these barriers, high capital and technologies are required. Nevertheless, due to the new industry of EV and supported by policy reforms, there is still a possibility of new players, particularly the Chinese, to enter the market as long as they are able to scale effectively.</w:t>
      </w:r>
    </w:p>
    <w:p w14:paraId="1B5ED627"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Bargaining Power of Suppliers (Medium to High)</w:t>
      </w:r>
    </w:p>
    <w:p w14:paraId="204A4407"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lastRenderedPageBreak/>
        <w:t>Vietnam is highly dependent on imported lithium-ion batteries, semiconductors and electric drives. This reliance enhances the power of suppliers because a reduction of products arising from a shortage or a global supply network could lead to an increase in the cost of production. Nevertheless, the long-term impacts of supplier power may be minimised with continuous investments in local battery production such as LG and VinES. Localised supply partnerships and battery production in Vietnam can be effective for achieving lower costs.</w:t>
      </w:r>
    </w:p>
    <w:p w14:paraId="5C207A50"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Bargaining Power of Buyers (Medium)</w:t>
      </w:r>
    </w:p>
    <w:p w14:paraId="65012A9F"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The Vietnamese consumers are increasingly knowledgeable and environmentally conscious. But the price sensitivity is high in the middle-income market. People have now been comparing EVs in terms of price, performance, range, serviceability and charge access. Tesla needs to convince effectively with its value proposal and may consider localised assembly or a lower-cost model to enhance consumer acquisition.</w:t>
      </w:r>
    </w:p>
    <w:p w14:paraId="78CD149D"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Threat of Substitutes (High)</w:t>
      </w:r>
    </w:p>
    <w:p w14:paraId="6E9CB8BA" w14:textId="0384E129" w:rsidR="009D501C"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Over 85% of the Vietnamese motorcycle market is occupied by petrol-powered motorcycles, and it is claimed that traditional gasoline-powered cars are cheaper (Theicct.org, 2022). Alternatives also include public transport and hybrid cars. To minimise this threat, Tesla should promote the development of charging infrastructure, cooperate with the government, and focus on the long-term cost-effectiveness and environmental usefulness of EVs </w:t>
      </w:r>
      <w:r w:rsidR="00B1046F">
        <w:rPr>
          <w:rFonts w:eastAsia="Times New Roman"/>
          <w:sz w:val="24"/>
          <w:szCs w:val="24"/>
          <w:lang w:val="en-GB"/>
        </w:rPr>
        <w:t>to</w:t>
      </w:r>
      <w:r w:rsidRPr="00E43504">
        <w:rPr>
          <w:rFonts w:eastAsia="Times New Roman"/>
          <w:sz w:val="24"/>
          <w:szCs w:val="24"/>
          <w:lang w:val="en-GB"/>
        </w:rPr>
        <w:t xml:space="preserve"> address the shift in the behaviour of consumers.</w:t>
      </w:r>
    </w:p>
    <w:p w14:paraId="461AEE29" w14:textId="3BE18AFE" w:rsidR="006B7BA6" w:rsidRPr="00AD0A74" w:rsidRDefault="006B7BA6" w:rsidP="006E3E9B">
      <w:pPr>
        <w:spacing w:before="240" w:after="240" w:line="360" w:lineRule="auto"/>
        <w:jc w:val="both"/>
        <w:rPr>
          <w:rFonts w:eastAsia="Times New Roman"/>
          <w:color w:val="000000" w:themeColor="text1"/>
          <w:sz w:val="24"/>
          <w:szCs w:val="24"/>
          <w:lang w:val="en-GB"/>
        </w:rPr>
      </w:pPr>
      <w:r w:rsidRPr="00AD0A74">
        <w:rPr>
          <w:rFonts w:eastAsia="Times New Roman"/>
          <w:color w:val="000000" w:themeColor="text1"/>
          <w:sz w:val="24"/>
          <w:szCs w:val="24"/>
          <w:lang w:val="en-GB"/>
        </w:rPr>
        <w:t>Furthermore, Vietnam's competitive environment indicates that Tesla must prepare for fast-moving market change and pricing disruption. The government may structure support increasingly around domestic firms while global supply chain volatility may exacerbate costs. Thus, long-run competitiveness for Tesla will need to include proactive localisation, cooperation arrangements and ongoing technological advantages rather than originally entering a market.</w:t>
      </w:r>
    </w:p>
    <w:p w14:paraId="0D67B4C7" w14:textId="77777777" w:rsidR="009D501C" w:rsidRPr="00E43504" w:rsidRDefault="00E35567" w:rsidP="006E3E9B">
      <w:pPr>
        <w:pStyle w:val="Heading2"/>
        <w:rPr>
          <w:rFonts w:ascii="Arial" w:hAnsi="Arial" w:cs="Arial"/>
          <w:lang w:val="en-GB"/>
        </w:rPr>
      </w:pPr>
      <w:bookmarkStart w:id="16" w:name="_xe32glhrgy3g" w:colFirst="0" w:colLast="0"/>
      <w:bookmarkStart w:id="17" w:name="_Toc213780704"/>
      <w:bookmarkEnd w:id="16"/>
      <w:r w:rsidRPr="00E43504">
        <w:rPr>
          <w:rFonts w:ascii="Arial" w:hAnsi="Arial" w:cs="Arial"/>
          <w:lang w:val="en-GB"/>
        </w:rPr>
        <w:lastRenderedPageBreak/>
        <w:t>2.3 Porter’s Diamond Model (Assessing National Competitive Advantage)</w:t>
      </w:r>
      <w:bookmarkEnd w:id="17"/>
    </w:p>
    <w:p w14:paraId="5E8EFDD9"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Factor Conditions</w:t>
      </w:r>
    </w:p>
    <w:p w14:paraId="2EAD5995" w14:textId="2AA357F8"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Vietnam offers cost-efficient labour, and the wages of the labourers are also lower than in Thailand and China. This provides Tesla the ability to decrease production and assembly costs. Vietnam is also investing in EV-related talent development through the National Technology Innovation Fund and partnerships (NATIF) (Fundit</w:t>
      </w:r>
      <w:r w:rsidR="00D2614B">
        <w:rPr>
          <w:rFonts w:eastAsia="Times New Roman"/>
          <w:sz w:val="24"/>
          <w:szCs w:val="24"/>
          <w:lang w:val="en-GB"/>
        </w:rPr>
        <w:t xml:space="preserve">, </w:t>
      </w:r>
      <w:r w:rsidRPr="00E43504">
        <w:rPr>
          <w:rFonts w:eastAsia="Times New Roman"/>
          <w:sz w:val="24"/>
          <w:szCs w:val="24"/>
          <w:lang w:val="en-GB"/>
        </w:rPr>
        <w:t>2025). This initiative can combine the thoughts of automotive companies and universities to develop software skills and battery engineering.</w:t>
      </w:r>
    </w:p>
    <w:p w14:paraId="4B52643F"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Demand Conditions</w:t>
      </w:r>
    </w:p>
    <w:p w14:paraId="32DCAACA"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Consumer awareness related to EV is still in an early stage, and increasing urbanisation, environmental awareness are encouraging adoption. EV sales have rapidly increased after the tax reduction on electric cars, and this indicates a door for projecting a premium EV brand. Vietnam recorded approximately a 7000 per cent increase in EV registrations between 2021 and 2023. A total of 167units were sold in 2021, and 12585 units were sold in 2023 (Theinvestor.vn, 2025).</w:t>
      </w:r>
    </w:p>
    <w:p w14:paraId="5690E26B"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b/>
          <w:bCs/>
          <w:sz w:val="24"/>
          <w:szCs w:val="24"/>
          <w:lang w:val="en-GB"/>
        </w:rPr>
        <w:t>Related and Supporting Industries</w:t>
      </w:r>
    </w:p>
    <w:p w14:paraId="0F4B1750"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The automotive and EV ecosystem is strengthened by </w:t>
      </w:r>
      <w:proofErr w:type="spellStart"/>
      <w:r w:rsidRPr="00E43504">
        <w:rPr>
          <w:rFonts w:eastAsia="Times New Roman"/>
          <w:sz w:val="24"/>
          <w:szCs w:val="24"/>
          <w:lang w:val="en-GB"/>
        </w:rPr>
        <w:t>VinFast’s</w:t>
      </w:r>
      <w:proofErr w:type="spellEnd"/>
      <w:r w:rsidRPr="00E43504">
        <w:rPr>
          <w:rFonts w:eastAsia="Times New Roman"/>
          <w:sz w:val="24"/>
          <w:szCs w:val="24"/>
          <w:lang w:val="en-GB"/>
        </w:rPr>
        <w:t xml:space="preserve"> local supply chain development. Foreign direct investment in battery manufacturing and the electronics cluster in Ho Chi Minh City opens the door for many opportunities. The presence of suppliers, logistics networks, and renewable energy players provides Tesla opportunities for local sourcing, joint ventures, and supply chain localisation. These can decrease the dependency on imports.</w:t>
      </w:r>
    </w:p>
    <w:p w14:paraId="4ECA15E1"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Firm Strategy, Structure, and Rivalry</w:t>
      </w:r>
    </w:p>
    <w:p w14:paraId="39B62CF5" w14:textId="77777777" w:rsidR="009D501C"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The business environment of Vietnam encourages competition and innovation through the supportive government industrialisation policies and entrepreneurial activities. Local players </w:t>
      </w:r>
      <w:r w:rsidR="00351C05" w:rsidRPr="00E43504">
        <w:rPr>
          <w:rFonts w:eastAsia="Times New Roman"/>
          <w:sz w:val="24"/>
          <w:szCs w:val="24"/>
          <w:lang w:val="en-GB"/>
        </w:rPr>
        <w:t>such as</w:t>
      </w:r>
      <w:r w:rsidRPr="00E43504">
        <w:rPr>
          <w:rFonts w:eastAsia="Times New Roman"/>
          <w:sz w:val="24"/>
          <w:szCs w:val="24"/>
          <w:lang w:val="en-GB"/>
        </w:rPr>
        <w:t xml:space="preserve"> VinFast and foreign brands such as BYD and MG have developed a competitive as well as a growth-oriented market. This competitive environment can push </w:t>
      </w:r>
      <w:r w:rsidRPr="00E43504">
        <w:rPr>
          <w:rFonts w:eastAsia="Times New Roman"/>
          <w:sz w:val="24"/>
          <w:szCs w:val="24"/>
          <w:lang w:val="en-GB"/>
        </w:rPr>
        <w:lastRenderedPageBreak/>
        <w:t>companies to enhance their quality, innovations, and charging infrastructure. This rivalry can drive Tesla to strengthen its brand identity through technology superiority and premium performance positioning.</w:t>
      </w:r>
    </w:p>
    <w:p w14:paraId="22F15536" w14:textId="609CB38B" w:rsidR="00C8631E" w:rsidRPr="00AD0A74" w:rsidRDefault="00C8631E" w:rsidP="006E3E9B">
      <w:pPr>
        <w:spacing w:before="240" w:after="240" w:line="360" w:lineRule="auto"/>
        <w:jc w:val="both"/>
        <w:rPr>
          <w:rFonts w:eastAsia="Times New Roman"/>
          <w:color w:val="000000" w:themeColor="text1"/>
          <w:sz w:val="24"/>
          <w:szCs w:val="24"/>
          <w:lang w:val="en-GB"/>
        </w:rPr>
      </w:pPr>
      <w:r w:rsidRPr="00AD0A74">
        <w:rPr>
          <w:rFonts w:eastAsia="Times New Roman"/>
          <w:color w:val="000000" w:themeColor="text1"/>
          <w:sz w:val="24"/>
          <w:szCs w:val="24"/>
          <w:lang w:val="en-GB"/>
        </w:rPr>
        <w:t xml:space="preserve">Vietnam's developing EV ecosystem also poses a number of challenges. Skills gaps in specialised battery engineering, uneven regional infrastructure and heavy dependence on imported raw materials may inhibit rapid scaling. </w:t>
      </w:r>
      <w:r w:rsidR="00D47823" w:rsidRPr="00AD0A74">
        <w:rPr>
          <w:rFonts w:eastAsia="Times New Roman"/>
          <w:color w:val="000000" w:themeColor="text1"/>
          <w:sz w:val="24"/>
          <w:szCs w:val="24"/>
          <w:lang w:val="en-GB"/>
        </w:rPr>
        <w:t>Furthermore,</w:t>
      </w:r>
      <w:r w:rsidRPr="00AD0A74">
        <w:rPr>
          <w:rFonts w:eastAsia="Times New Roman"/>
          <w:color w:val="000000" w:themeColor="text1"/>
          <w:sz w:val="24"/>
          <w:szCs w:val="24"/>
          <w:lang w:val="en-GB"/>
        </w:rPr>
        <w:t xml:space="preserve"> the prioritisation of local manufacturers may increase</w:t>
      </w:r>
      <w:r w:rsidR="00D47823" w:rsidRPr="00AD0A74">
        <w:rPr>
          <w:rFonts w:eastAsia="Times New Roman"/>
          <w:color w:val="000000" w:themeColor="text1"/>
          <w:sz w:val="24"/>
          <w:szCs w:val="24"/>
          <w:lang w:val="en-GB"/>
        </w:rPr>
        <w:t xml:space="preserve"> which</w:t>
      </w:r>
      <w:r w:rsidRPr="00AD0A74">
        <w:rPr>
          <w:rFonts w:eastAsia="Times New Roman"/>
          <w:color w:val="000000" w:themeColor="text1"/>
          <w:sz w:val="24"/>
          <w:szCs w:val="24"/>
          <w:lang w:val="en-GB"/>
        </w:rPr>
        <w:t xml:space="preserve"> leav</w:t>
      </w:r>
      <w:r w:rsidR="00D47823" w:rsidRPr="00AD0A74">
        <w:rPr>
          <w:rFonts w:eastAsia="Times New Roman"/>
          <w:color w:val="000000" w:themeColor="text1"/>
          <w:sz w:val="24"/>
          <w:szCs w:val="24"/>
          <w:lang w:val="en-GB"/>
        </w:rPr>
        <w:t>es</w:t>
      </w:r>
      <w:r w:rsidRPr="00AD0A74">
        <w:rPr>
          <w:rFonts w:eastAsia="Times New Roman"/>
          <w:color w:val="000000" w:themeColor="text1"/>
          <w:sz w:val="24"/>
          <w:szCs w:val="24"/>
          <w:lang w:val="en-GB"/>
        </w:rPr>
        <w:t xml:space="preserve"> Tesla to balance localisation costs with its global technology standards and premium position</w:t>
      </w:r>
      <w:r w:rsidR="00D47823" w:rsidRPr="00AD0A74">
        <w:rPr>
          <w:rFonts w:eastAsia="Times New Roman"/>
          <w:color w:val="000000" w:themeColor="text1"/>
          <w:sz w:val="24"/>
          <w:szCs w:val="24"/>
          <w:lang w:val="en-GB"/>
        </w:rPr>
        <w:t xml:space="preserve"> as the domestic policy environment develops</w:t>
      </w:r>
      <w:r w:rsidRPr="00AD0A74">
        <w:rPr>
          <w:rFonts w:eastAsia="Times New Roman"/>
          <w:color w:val="000000" w:themeColor="text1"/>
          <w:sz w:val="24"/>
          <w:szCs w:val="24"/>
          <w:lang w:val="en-GB"/>
        </w:rPr>
        <w:t>.</w:t>
      </w:r>
    </w:p>
    <w:p w14:paraId="1CE79324" w14:textId="77777777" w:rsidR="009D501C" w:rsidRPr="00E43504" w:rsidRDefault="00E35567" w:rsidP="006E3E9B">
      <w:pPr>
        <w:pStyle w:val="Heading2"/>
        <w:rPr>
          <w:rFonts w:ascii="Arial" w:hAnsi="Arial" w:cs="Arial"/>
          <w:lang w:val="en-GB"/>
        </w:rPr>
      </w:pPr>
      <w:bookmarkStart w:id="18" w:name="_nh8lqayo3g4v" w:colFirst="0" w:colLast="0"/>
      <w:bookmarkStart w:id="19" w:name="_Toc213780705"/>
      <w:bookmarkEnd w:id="18"/>
      <w:r w:rsidRPr="00E43504">
        <w:rPr>
          <w:rFonts w:ascii="Arial" w:hAnsi="Arial" w:cs="Arial"/>
          <w:lang w:val="en-GB"/>
        </w:rPr>
        <w:t>2.4 Critical Evaluation of Analytical Tool</w:t>
      </w:r>
      <w:bookmarkEnd w:id="19"/>
    </w:p>
    <w:p w14:paraId="7B048146"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PESTEL analysis provides a comprehensive understanding of macro macroeconomic environmental conditions of Vietnam. This analysis highlights the government incentives, rising environmental awareness, and economic growth. It helps recognise external opportunities and risks that influence the strategic decision-making of Tesla. The limitation of PESTEL lies in its broad and descriptive nature, but it does not examine firm-level competitive behaviour. It explains only the current situation but does not analyse the factors that directly shape the competitive advantages of Tesla.</w:t>
      </w:r>
    </w:p>
    <w:p w14:paraId="76E05948"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The Five Forces of Porter give a better idea of the competitive reality, including the intensity of rivalry, the force of the suppliers, and the expectations of buyers. This assists Tesla in assessing the attractiveness and probable competitive rivalry of the industry by VinFast, BYD and conventional automaker substitutes. Nonetheless, the model assumes a comparatively stable market, though the EV industry in Vietnam is developing at an extremely high pace. Competitive changes can be brought by technology upgrades, policy changes and new entrants, and the predictive reliability of this framework can diminish rather fast.</w:t>
      </w:r>
    </w:p>
    <w:p w14:paraId="17CE0CEE" w14:textId="581FACA8" w:rsidR="009D501C"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The Diamond Model of Porter can be useful to evaluate the longer-term prospects of Vietnam as an EV production and innovation centre. It is efficient in showing that the availability of labour, industrial clusters, government support and local competition lead </w:t>
      </w:r>
      <w:r w:rsidRPr="00E43504">
        <w:rPr>
          <w:rFonts w:eastAsia="Times New Roman"/>
          <w:sz w:val="24"/>
          <w:szCs w:val="24"/>
          <w:lang w:val="en-GB"/>
        </w:rPr>
        <w:lastRenderedPageBreak/>
        <w:t>to national competitive advantage. Its weakness is that it is mainly used to represent structural and long-term industry conditions, and so is not of much use in short-term operational decisions</w:t>
      </w:r>
      <w:r w:rsidR="000B76E8">
        <w:rPr>
          <w:rFonts w:eastAsia="Times New Roman"/>
          <w:sz w:val="24"/>
          <w:szCs w:val="24"/>
          <w:lang w:val="en-GB"/>
        </w:rPr>
        <w:t xml:space="preserve">. </w:t>
      </w:r>
    </w:p>
    <w:p w14:paraId="0114A7D1" w14:textId="43535880" w:rsidR="00C00C00" w:rsidRPr="00AD0A74" w:rsidRDefault="00C00C00" w:rsidP="006E3E9B">
      <w:pPr>
        <w:spacing w:before="240" w:after="240" w:line="360" w:lineRule="auto"/>
        <w:jc w:val="both"/>
        <w:rPr>
          <w:rFonts w:eastAsia="Times New Roman"/>
          <w:color w:val="000000" w:themeColor="text1"/>
          <w:sz w:val="24"/>
          <w:szCs w:val="24"/>
          <w:lang w:val="en-GB"/>
        </w:rPr>
      </w:pPr>
      <w:r w:rsidRPr="00AD0A74">
        <w:rPr>
          <w:rFonts w:eastAsia="Times New Roman"/>
          <w:color w:val="000000" w:themeColor="text1"/>
          <w:sz w:val="24"/>
          <w:szCs w:val="24"/>
          <w:lang w:val="en-GB"/>
        </w:rPr>
        <w:t xml:space="preserve">Furthermore, these models taken together establish a more balanced and multi-dimensional assessment of Tesla’s strategic context. The PESTEL model highlights the macro forces at play in relation to EV adoption while the Five Forces model helps to clarify the competitive pressure Tesla faces and the sensitivity of each buyer. The Diamond Model provides insight into the potential for Vietnam to emerge as an EV hub of innovation. However, each of the three frameworks </w:t>
      </w:r>
      <w:r w:rsidR="007E1D70" w:rsidRPr="00AD0A74">
        <w:rPr>
          <w:rFonts w:eastAsia="Times New Roman"/>
          <w:color w:val="000000" w:themeColor="text1"/>
          <w:sz w:val="24"/>
          <w:szCs w:val="24"/>
          <w:lang w:val="en-GB"/>
        </w:rPr>
        <w:t>uses</w:t>
      </w:r>
      <w:r w:rsidRPr="00AD0A74">
        <w:rPr>
          <w:rFonts w:eastAsia="Times New Roman"/>
          <w:color w:val="000000" w:themeColor="text1"/>
          <w:sz w:val="24"/>
          <w:szCs w:val="24"/>
          <w:lang w:val="en-GB"/>
        </w:rPr>
        <w:t xml:space="preserve"> baseline assumptions that may not be applicable </w:t>
      </w:r>
      <w:r w:rsidR="007E1D70" w:rsidRPr="00AD0A74">
        <w:rPr>
          <w:rFonts w:eastAsia="Times New Roman"/>
          <w:color w:val="000000" w:themeColor="text1"/>
          <w:sz w:val="24"/>
          <w:szCs w:val="24"/>
          <w:lang w:val="en-GB"/>
        </w:rPr>
        <w:t>on the ground</w:t>
      </w:r>
      <w:r w:rsidRPr="00AD0A74">
        <w:rPr>
          <w:rFonts w:eastAsia="Times New Roman"/>
          <w:color w:val="000000" w:themeColor="text1"/>
          <w:sz w:val="24"/>
          <w:szCs w:val="24"/>
          <w:lang w:val="en-GB"/>
        </w:rPr>
        <w:t xml:space="preserve"> due to Vietnam's fast-moving EV environment where regulatory and governmental </w:t>
      </w:r>
      <w:r w:rsidR="007E1D70" w:rsidRPr="00AD0A74">
        <w:rPr>
          <w:rFonts w:eastAsia="Times New Roman"/>
          <w:color w:val="000000" w:themeColor="text1"/>
          <w:sz w:val="24"/>
          <w:szCs w:val="24"/>
          <w:lang w:val="en-GB"/>
        </w:rPr>
        <w:t>impact</w:t>
      </w:r>
      <w:r w:rsidRPr="00AD0A74">
        <w:rPr>
          <w:rFonts w:eastAsia="Times New Roman"/>
          <w:color w:val="000000" w:themeColor="text1"/>
          <w:sz w:val="24"/>
          <w:szCs w:val="24"/>
          <w:lang w:val="en-GB"/>
        </w:rPr>
        <w:t xml:space="preserve"> and disruptive pricing can change continuously. Therefore,</w:t>
      </w:r>
      <w:r w:rsidR="007E1D70" w:rsidRPr="00AD0A74">
        <w:rPr>
          <w:rFonts w:eastAsia="Times New Roman"/>
          <w:color w:val="000000" w:themeColor="text1"/>
          <w:sz w:val="24"/>
          <w:szCs w:val="24"/>
          <w:lang w:val="en-GB"/>
        </w:rPr>
        <w:t xml:space="preserve"> it can be </w:t>
      </w:r>
      <w:r w:rsidRPr="00AD0A74">
        <w:rPr>
          <w:rFonts w:eastAsia="Times New Roman"/>
          <w:color w:val="000000" w:themeColor="text1"/>
          <w:sz w:val="24"/>
          <w:szCs w:val="24"/>
          <w:lang w:val="en-GB"/>
        </w:rPr>
        <w:t>underst</w:t>
      </w:r>
      <w:r w:rsidR="007E1D70" w:rsidRPr="00AD0A74">
        <w:rPr>
          <w:rFonts w:eastAsia="Times New Roman"/>
          <w:color w:val="000000" w:themeColor="text1"/>
          <w:sz w:val="24"/>
          <w:szCs w:val="24"/>
          <w:lang w:val="en-GB"/>
        </w:rPr>
        <w:t>ood</w:t>
      </w:r>
      <w:r w:rsidRPr="00AD0A74">
        <w:rPr>
          <w:rFonts w:eastAsia="Times New Roman"/>
          <w:color w:val="000000" w:themeColor="text1"/>
          <w:sz w:val="24"/>
          <w:szCs w:val="24"/>
          <w:lang w:val="en-GB"/>
        </w:rPr>
        <w:t xml:space="preserve"> that Tesla needs to triangulate its findings with each model and support findings with </w:t>
      </w:r>
      <w:r w:rsidR="007E1D70" w:rsidRPr="00AD0A74">
        <w:rPr>
          <w:rFonts w:eastAsia="Times New Roman"/>
          <w:color w:val="000000" w:themeColor="text1"/>
          <w:sz w:val="24"/>
          <w:szCs w:val="24"/>
          <w:lang w:val="en-GB"/>
        </w:rPr>
        <w:t>real-time</w:t>
      </w:r>
      <w:r w:rsidRPr="00AD0A74">
        <w:rPr>
          <w:rFonts w:eastAsia="Times New Roman"/>
          <w:color w:val="000000" w:themeColor="text1"/>
          <w:sz w:val="24"/>
          <w:szCs w:val="24"/>
          <w:lang w:val="en-GB"/>
        </w:rPr>
        <w:t xml:space="preserve"> market data to avoid overstating theoretical conclusions on a given framework. </w:t>
      </w:r>
    </w:p>
    <w:p w14:paraId="56D2BDFB" w14:textId="77777777" w:rsidR="009D501C" w:rsidRPr="00E43504" w:rsidRDefault="00E35567" w:rsidP="006E3E9B">
      <w:pPr>
        <w:pStyle w:val="Heading1"/>
        <w:rPr>
          <w:lang w:val="en-GB"/>
        </w:rPr>
      </w:pPr>
      <w:bookmarkStart w:id="20" w:name="_17g65xrs48fm" w:colFirst="0" w:colLast="0"/>
      <w:bookmarkStart w:id="21" w:name="_Toc213780706"/>
      <w:bookmarkEnd w:id="20"/>
      <w:r w:rsidRPr="00E43504">
        <w:rPr>
          <w:lang w:val="en-GB"/>
        </w:rPr>
        <w:t>3. Strategy Development and Formulation</w:t>
      </w:r>
      <w:bookmarkEnd w:id="21"/>
    </w:p>
    <w:p w14:paraId="6DCF36E0" w14:textId="77777777" w:rsidR="009D501C" w:rsidRPr="00E43504" w:rsidRDefault="00E35567" w:rsidP="006E3E9B">
      <w:pPr>
        <w:pStyle w:val="Heading2"/>
        <w:rPr>
          <w:rFonts w:ascii="Arial" w:hAnsi="Arial" w:cs="Arial"/>
          <w:lang w:val="en-GB"/>
        </w:rPr>
      </w:pPr>
      <w:bookmarkStart w:id="22" w:name="_l9zuel9yeaj1" w:colFirst="0" w:colLast="0"/>
      <w:bookmarkStart w:id="23" w:name="_Toc213780707"/>
      <w:bookmarkEnd w:id="22"/>
      <w:r w:rsidRPr="00E43504">
        <w:rPr>
          <w:rFonts w:ascii="Arial" w:hAnsi="Arial" w:cs="Arial"/>
          <w:lang w:val="en-GB"/>
        </w:rPr>
        <w:t>3.1 Internal Environment Analysis</w:t>
      </w:r>
      <w:bookmarkEnd w:id="23"/>
    </w:p>
    <w:tbl>
      <w:tblPr>
        <w:tblStyle w:val="a1"/>
        <w:tblW w:w="906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9"/>
        <w:gridCol w:w="1596"/>
        <w:gridCol w:w="855"/>
        <w:gridCol w:w="1305"/>
        <w:gridCol w:w="1488"/>
      </w:tblGrid>
      <w:tr w:rsidR="009D501C" w:rsidRPr="00E43504" w14:paraId="4489CF4F" w14:textId="77777777" w:rsidTr="0071678A">
        <w:trPr>
          <w:trHeight w:val="435"/>
        </w:trPr>
        <w:tc>
          <w:tcPr>
            <w:tcW w:w="3819"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1791068"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Resource</w:t>
            </w:r>
          </w:p>
        </w:tc>
        <w:tc>
          <w:tcPr>
            <w:tcW w:w="1596"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C77484F"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Valuable</w:t>
            </w:r>
          </w:p>
        </w:tc>
        <w:tc>
          <w:tcPr>
            <w:tcW w:w="85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71DF96E"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Rare</w:t>
            </w:r>
          </w:p>
        </w:tc>
        <w:tc>
          <w:tcPr>
            <w:tcW w:w="130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3F6DF09"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Inimitable</w:t>
            </w:r>
          </w:p>
        </w:tc>
        <w:tc>
          <w:tcPr>
            <w:tcW w:w="1488"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0D7093A" w14:textId="77777777" w:rsidR="009D501C" w:rsidRPr="00E43504" w:rsidRDefault="00E35567" w:rsidP="006E3E9B">
            <w:pPr>
              <w:spacing w:before="240" w:after="160" w:line="360" w:lineRule="auto"/>
              <w:jc w:val="both"/>
              <w:rPr>
                <w:rFonts w:eastAsia="Times New Roman"/>
                <w:b/>
                <w:bCs/>
                <w:sz w:val="24"/>
                <w:szCs w:val="24"/>
                <w:lang w:val="en-GB"/>
              </w:rPr>
            </w:pPr>
            <w:r w:rsidRPr="00E43504">
              <w:rPr>
                <w:rFonts w:eastAsia="Times New Roman"/>
                <w:b/>
                <w:bCs/>
                <w:sz w:val="24"/>
                <w:szCs w:val="24"/>
                <w:lang w:val="en-GB"/>
              </w:rPr>
              <w:t>Organised</w:t>
            </w:r>
          </w:p>
        </w:tc>
      </w:tr>
      <w:tr w:rsidR="009D501C" w:rsidRPr="00E43504" w14:paraId="30E8F4F8" w14:textId="77777777" w:rsidTr="0071678A">
        <w:trPr>
          <w:trHeight w:val="690"/>
        </w:trPr>
        <w:tc>
          <w:tcPr>
            <w:tcW w:w="381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5E2F059"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Battery Technology and Powertrain Efficiency</w:t>
            </w:r>
          </w:p>
        </w:tc>
        <w:tc>
          <w:tcPr>
            <w:tcW w:w="1596" w:type="dxa"/>
            <w:tcBorders>
              <w:top w:val="nil"/>
              <w:left w:val="nil"/>
              <w:bottom w:val="single" w:sz="7" w:space="0" w:color="000000"/>
              <w:right w:val="single" w:sz="7" w:space="0" w:color="000000"/>
            </w:tcBorders>
            <w:tcMar>
              <w:top w:w="0" w:type="dxa"/>
              <w:left w:w="100" w:type="dxa"/>
              <w:bottom w:w="0" w:type="dxa"/>
              <w:right w:w="100" w:type="dxa"/>
            </w:tcMar>
          </w:tcPr>
          <w:p w14:paraId="1E2B80B1"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855" w:type="dxa"/>
            <w:tcBorders>
              <w:top w:val="nil"/>
              <w:left w:val="nil"/>
              <w:bottom w:val="single" w:sz="7" w:space="0" w:color="000000"/>
              <w:right w:val="single" w:sz="7" w:space="0" w:color="000000"/>
            </w:tcBorders>
            <w:tcMar>
              <w:top w:w="0" w:type="dxa"/>
              <w:left w:w="100" w:type="dxa"/>
              <w:bottom w:w="0" w:type="dxa"/>
              <w:right w:w="100" w:type="dxa"/>
            </w:tcMar>
          </w:tcPr>
          <w:p w14:paraId="05F4D19C"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305" w:type="dxa"/>
            <w:tcBorders>
              <w:top w:val="nil"/>
              <w:left w:val="nil"/>
              <w:bottom w:val="single" w:sz="7" w:space="0" w:color="000000"/>
              <w:right w:val="single" w:sz="7" w:space="0" w:color="000000"/>
            </w:tcBorders>
            <w:tcMar>
              <w:top w:w="0" w:type="dxa"/>
              <w:left w:w="100" w:type="dxa"/>
              <w:bottom w:w="0" w:type="dxa"/>
              <w:right w:w="100" w:type="dxa"/>
            </w:tcMar>
          </w:tcPr>
          <w:p w14:paraId="1C19EFD7"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488" w:type="dxa"/>
            <w:tcBorders>
              <w:top w:val="nil"/>
              <w:left w:val="nil"/>
              <w:bottom w:val="single" w:sz="7" w:space="0" w:color="000000"/>
              <w:right w:val="single" w:sz="7" w:space="0" w:color="000000"/>
            </w:tcBorders>
            <w:tcMar>
              <w:top w:w="0" w:type="dxa"/>
              <w:left w:w="100" w:type="dxa"/>
              <w:bottom w:w="0" w:type="dxa"/>
              <w:right w:w="100" w:type="dxa"/>
            </w:tcMar>
          </w:tcPr>
          <w:p w14:paraId="2A12DE5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r>
      <w:tr w:rsidR="009D501C" w:rsidRPr="00E43504" w14:paraId="0FC03207" w14:textId="77777777" w:rsidTr="0071678A">
        <w:trPr>
          <w:trHeight w:val="435"/>
        </w:trPr>
        <w:tc>
          <w:tcPr>
            <w:tcW w:w="381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40A9280"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Supercharger Network</w:t>
            </w:r>
          </w:p>
        </w:tc>
        <w:tc>
          <w:tcPr>
            <w:tcW w:w="1596" w:type="dxa"/>
            <w:tcBorders>
              <w:top w:val="nil"/>
              <w:left w:val="nil"/>
              <w:bottom w:val="single" w:sz="7" w:space="0" w:color="000000"/>
              <w:right w:val="single" w:sz="7" w:space="0" w:color="000000"/>
            </w:tcBorders>
            <w:tcMar>
              <w:top w:w="0" w:type="dxa"/>
              <w:left w:w="100" w:type="dxa"/>
              <w:bottom w:w="0" w:type="dxa"/>
              <w:right w:w="100" w:type="dxa"/>
            </w:tcMar>
          </w:tcPr>
          <w:p w14:paraId="54A3327B"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855" w:type="dxa"/>
            <w:tcBorders>
              <w:top w:val="nil"/>
              <w:left w:val="nil"/>
              <w:bottom w:val="single" w:sz="7" w:space="0" w:color="000000"/>
              <w:right w:val="single" w:sz="7" w:space="0" w:color="000000"/>
            </w:tcBorders>
            <w:tcMar>
              <w:top w:w="0" w:type="dxa"/>
              <w:left w:w="100" w:type="dxa"/>
              <w:bottom w:w="0" w:type="dxa"/>
              <w:right w:w="100" w:type="dxa"/>
            </w:tcMar>
          </w:tcPr>
          <w:p w14:paraId="13D48DCD"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305" w:type="dxa"/>
            <w:tcBorders>
              <w:top w:val="nil"/>
              <w:left w:val="nil"/>
              <w:bottom w:val="single" w:sz="7" w:space="0" w:color="000000"/>
              <w:right w:val="single" w:sz="7" w:space="0" w:color="000000"/>
            </w:tcBorders>
            <w:tcMar>
              <w:top w:w="0" w:type="dxa"/>
              <w:left w:w="100" w:type="dxa"/>
              <w:bottom w:w="0" w:type="dxa"/>
              <w:right w:w="100" w:type="dxa"/>
            </w:tcMar>
          </w:tcPr>
          <w:p w14:paraId="5C50A147"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No</w:t>
            </w:r>
          </w:p>
        </w:tc>
        <w:tc>
          <w:tcPr>
            <w:tcW w:w="1488" w:type="dxa"/>
            <w:tcBorders>
              <w:top w:val="nil"/>
              <w:left w:val="nil"/>
              <w:bottom w:val="single" w:sz="7" w:space="0" w:color="000000"/>
              <w:right w:val="single" w:sz="7" w:space="0" w:color="000000"/>
            </w:tcBorders>
            <w:tcMar>
              <w:top w:w="0" w:type="dxa"/>
              <w:left w:w="100" w:type="dxa"/>
              <w:bottom w:w="0" w:type="dxa"/>
              <w:right w:w="100" w:type="dxa"/>
            </w:tcMar>
          </w:tcPr>
          <w:p w14:paraId="1C47F64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r>
      <w:tr w:rsidR="009D501C" w:rsidRPr="00E43504" w14:paraId="23A2A429" w14:textId="77777777" w:rsidTr="0071678A">
        <w:trPr>
          <w:trHeight w:val="435"/>
        </w:trPr>
        <w:tc>
          <w:tcPr>
            <w:tcW w:w="381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B4BF269"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Brand Image &amp; Innovation Leadership</w:t>
            </w:r>
          </w:p>
        </w:tc>
        <w:tc>
          <w:tcPr>
            <w:tcW w:w="1596" w:type="dxa"/>
            <w:tcBorders>
              <w:top w:val="nil"/>
              <w:left w:val="nil"/>
              <w:bottom w:val="single" w:sz="7" w:space="0" w:color="000000"/>
              <w:right w:val="single" w:sz="7" w:space="0" w:color="000000"/>
            </w:tcBorders>
            <w:tcMar>
              <w:top w:w="0" w:type="dxa"/>
              <w:left w:w="100" w:type="dxa"/>
              <w:bottom w:w="0" w:type="dxa"/>
              <w:right w:w="100" w:type="dxa"/>
            </w:tcMar>
          </w:tcPr>
          <w:p w14:paraId="0B9F8502"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855" w:type="dxa"/>
            <w:tcBorders>
              <w:top w:val="nil"/>
              <w:left w:val="nil"/>
              <w:bottom w:val="single" w:sz="7" w:space="0" w:color="000000"/>
              <w:right w:val="single" w:sz="7" w:space="0" w:color="000000"/>
            </w:tcBorders>
            <w:tcMar>
              <w:top w:w="0" w:type="dxa"/>
              <w:left w:w="100" w:type="dxa"/>
              <w:bottom w:w="0" w:type="dxa"/>
              <w:right w:w="100" w:type="dxa"/>
            </w:tcMar>
          </w:tcPr>
          <w:p w14:paraId="01BE4F8F"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305" w:type="dxa"/>
            <w:tcBorders>
              <w:top w:val="nil"/>
              <w:left w:val="nil"/>
              <w:bottom w:val="single" w:sz="7" w:space="0" w:color="000000"/>
              <w:right w:val="single" w:sz="7" w:space="0" w:color="000000"/>
            </w:tcBorders>
            <w:tcMar>
              <w:top w:w="0" w:type="dxa"/>
              <w:left w:w="100" w:type="dxa"/>
              <w:bottom w:w="0" w:type="dxa"/>
              <w:right w:w="100" w:type="dxa"/>
            </w:tcMar>
          </w:tcPr>
          <w:p w14:paraId="7CFECC67"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488" w:type="dxa"/>
            <w:tcBorders>
              <w:top w:val="nil"/>
              <w:left w:val="nil"/>
              <w:bottom w:val="single" w:sz="7" w:space="0" w:color="000000"/>
              <w:right w:val="single" w:sz="7" w:space="0" w:color="000000"/>
            </w:tcBorders>
            <w:tcMar>
              <w:top w:w="0" w:type="dxa"/>
              <w:left w:w="100" w:type="dxa"/>
              <w:bottom w:w="0" w:type="dxa"/>
              <w:right w:w="100" w:type="dxa"/>
            </w:tcMar>
          </w:tcPr>
          <w:p w14:paraId="55F4991C"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r>
      <w:tr w:rsidR="009D501C" w:rsidRPr="00E43504" w14:paraId="058097E6" w14:textId="77777777" w:rsidTr="0071678A">
        <w:trPr>
          <w:trHeight w:val="435"/>
        </w:trPr>
        <w:tc>
          <w:tcPr>
            <w:tcW w:w="381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1807C55"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lastRenderedPageBreak/>
              <w:t>Autonomous Driving Software (FSD)</w:t>
            </w:r>
          </w:p>
        </w:tc>
        <w:tc>
          <w:tcPr>
            <w:tcW w:w="1596" w:type="dxa"/>
            <w:tcBorders>
              <w:top w:val="nil"/>
              <w:left w:val="nil"/>
              <w:bottom w:val="single" w:sz="7" w:space="0" w:color="000000"/>
              <w:right w:val="single" w:sz="7" w:space="0" w:color="000000"/>
            </w:tcBorders>
            <w:tcMar>
              <w:top w:w="0" w:type="dxa"/>
              <w:left w:w="100" w:type="dxa"/>
              <w:bottom w:w="0" w:type="dxa"/>
              <w:right w:w="100" w:type="dxa"/>
            </w:tcMar>
          </w:tcPr>
          <w:p w14:paraId="292E8EA4"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855" w:type="dxa"/>
            <w:tcBorders>
              <w:top w:val="nil"/>
              <w:left w:val="nil"/>
              <w:bottom w:val="single" w:sz="7" w:space="0" w:color="000000"/>
              <w:right w:val="single" w:sz="7" w:space="0" w:color="000000"/>
            </w:tcBorders>
            <w:tcMar>
              <w:top w:w="0" w:type="dxa"/>
              <w:left w:w="100" w:type="dxa"/>
              <w:bottom w:w="0" w:type="dxa"/>
              <w:right w:w="100" w:type="dxa"/>
            </w:tcMar>
          </w:tcPr>
          <w:p w14:paraId="7A22E12C"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305" w:type="dxa"/>
            <w:tcBorders>
              <w:top w:val="nil"/>
              <w:left w:val="nil"/>
              <w:bottom w:val="single" w:sz="7" w:space="0" w:color="000000"/>
              <w:right w:val="single" w:sz="7" w:space="0" w:color="000000"/>
            </w:tcBorders>
            <w:tcMar>
              <w:top w:w="0" w:type="dxa"/>
              <w:left w:w="100" w:type="dxa"/>
              <w:bottom w:w="0" w:type="dxa"/>
              <w:right w:w="100" w:type="dxa"/>
            </w:tcMar>
          </w:tcPr>
          <w:p w14:paraId="27254CA6"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488" w:type="dxa"/>
            <w:tcBorders>
              <w:top w:val="nil"/>
              <w:left w:val="nil"/>
              <w:bottom w:val="single" w:sz="7" w:space="0" w:color="000000"/>
              <w:right w:val="single" w:sz="7" w:space="0" w:color="000000"/>
            </w:tcBorders>
            <w:tcMar>
              <w:top w:w="0" w:type="dxa"/>
              <w:left w:w="100" w:type="dxa"/>
              <w:bottom w:w="0" w:type="dxa"/>
              <w:right w:w="100" w:type="dxa"/>
            </w:tcMar>
          </w:tcPr>
          <w:p w14:paraId="5CFA32ED"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r>
      <w:tr w:rsidR="009D501C" w:rsidRPr="00E43504" w14:paraId="6BC72F95" w14:textId="77777777" w:rsidTr="0071678A">
        <w:trPr>
          <w:trHeight w:val="690"/>
        </w:trPr>
        <w:tc>
          <w:tcPr>
            <w:tcW w:w="381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1501850"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Global Supply Chain and Gigafactory Model</w:t>
            </w:r>
          </w:p>
        </w:tc>
        <w:tc>
          <w:tcPr>
            <w:tcW w:w="1596" w:type="dxa"/>
            <w:tcBorders>
              <w:top w:val="nil"/>
              <w:left w:val="nil"/>
              <w:bottom w:val="single" w:sz="7" w:space="0" w:color="000000"/>
              <w:right w:val="single" w:sz="7" w:space="0" w:color="000000"/>
            </w:tcBorders>
            <w:tcMar>
              <w:top w:w="0" w:type="dxa"/>
              <w:left w:w="100" w:type="dxa"/>
              <w:bottom w:w="0" w:type="dxa"/>
              <w:right w:w="100" w:type="dxa"/>
            </w:tcMar>
          </w:tcPr>
          <w:p w14:paraId="68C19305"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855" w:type="dxa"/>
            <w:tcBorders>
              <w:top w:val="nil"/>
              <w:left w:val="nil"/>
              <w:bottom w:val="single" w:sz="7" w:space="0" w:color="000000"/>
              <w:right w:val="single" w:sz="7" w:space="0" w:color="000000"/>
            </w:tcBorders>
            <w:tcMar>
              <w:top w:w="0" w:type="dxa"/>
              <w:left w:w="100" w:type="dxa"/>
              <w:bottom w:w="0" w:type="dxa"/>
              <w:right w:w="100" w:type="dxa"/>
            </w:tcMar>
          </w:tcPr>
          <w:p w14:paraId="65321E7A"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Partial</w:t>
            </w:r>
          </w:p>
        </w:tc>
        <w:tc>
          <w:tcPr>
            <w:tcW w:w="1305" w:type="dxa"/>
            <w:tcBorders>
              <w:top w:val="nil"/>
              <w:left w:val="nil"/>
              <w:bottom w:val="single" w:sz="7" w:space="0" w:color="000000"/>
              <w:right w:val="single" w:sz="7" w:space="0" w:color="000000"/>
            </w:tcBorders>
            <w:tcMar>
              <w:top w:w="0" w:type="dxa"/>
              <w:left w:w="100" w:type="dxa"/>
              <w:bottom w:w="0" w:type="dxa"/>
              <w:right w:w="100" w:type="dxa"/>
            </w:tcMar>
          </w:tcPr>
          <w:p w14:paraId="4EC80B3B"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c>
          <w:tcPr>
            <w:tcW w:w="1488" w:type="dxa"/>
            <w:tcBorders>
              <w:top w:val="nil"/>
              <w:left w:val="nil"/>
              <w:bottom w:val="single" w:sz="7" w:space="0" w:color="000000"/>
              <w:right w:val="single" w:sz="7" w:space="0" w:color="000000"/>
            </w:tcBorders>
            <w:tcMar>
              <w:top w:w="0" w:type="dxa"/>
              <w:left w:w="100" w:type="dxa"/>
              <w:bottom w:w="0" w:type="dxa"/>
              <w:right w:w="100" w:type="dxa"/>
            </w:tcMar>
          </w:tcPr>
          <w:p w14:paraId="6B63B943" w14:textId="77777777" w:rsidR="009D501C" w:rsidRPr="00E43504" w:rsidRDefault="00E35567" w:rsidP="006E3E9B">
            <w:pPr>
              <w:spacing w:before="240" w:after="160" w:line="360" w:lineRule="auto"/>
              <w:jc w:val="both"/>
              <w:rPr>
                <w:rFonts w:eastAsia="Times New Roman"/>
                <w:sz w:val="24"/>
                <w:szCs w:val="24"/>
                <w:lang w:val="en-GB"/>
              </w:rPr>
            </w:pPr>
            <w:r w:rsidRPr="00E43504">
              <w:rPr>
                <w:rFonts w:eastAsia="Times New Roman"/>
                <w:sz w:val="24"/>
                <w:szCs w:val="24"/>
                <w:lang w:val="en-GB"/>
              </w:rPr>
              <w:t>Yes</w:t>
            </w:r>
          </w:p>
        </w:tc>
      </w:tr>
    </w:tbl>
    <w:p w14:paraId="537944DD" w14:textId="77777777" w:rsidR="006E3E9B" w:rsidRPr="00E43504" w:rsidRDefault="006E3E9B" w:rsidP="006E3E9B">
      <w:pPr>
        <w:spacing w:line="360" w:lineRule="auto"/>
        <w:jc w:val="center"/>
        <w:rPr>
          <w:rFonts w:eastAsia="Times New Roman"/>
          <w:b/>
          <w:bCs/>
          <w:sz w:val="24"/>
          <w:szCs w:val="24"/>
          <w:lang w:val="en-GB"/>
        </w:rPr>
      </w:pPr>
      <w:r w:rsidRPr="00E43504">
        <w:rPr>
          <w:rFonts w:eastAsia="Times New Roman"/>
          <w:b/>
          <w:bCs/>
          <w:sz w:val="24"/>
          <w:szCs w:val="24"/>
          <w:lang w:val="en-GB"/>
        </w:rPr>
        <w:t>Table 2: VRIO Framework</w:t>
      </w:r>
    </w:p>
    <w:p w14:paraId="6E53B51D" w14:textId="77777777" w:rsidR="006E3E9B" w:rsidRPr="00E43504" w:rsidRDefault="006E3E9B" w:rsidP="006E3E9B">
      <w:pPr>
        <w:spacing w:line="360" w:lineRule="auto"/>
        <w:jc w:val="center"/>
        <w:rPr>
          <w:rFonts w:eastAsia="Times New Roman"/>
          <w:sz w:val="24"/>
          <w:szCs w:val="24"/>
          <w:lang w:val="en-GB"/>
        </w:rPr>
      </w:pPr>
      <w:r w:rsidRPr="00E43504">
        <w:rPr>
          <w:rFonts w:eastAsia="Times New Roman"/>
          <w:sz w:val="24"/>
          <w:szCs w:val="24"/>
          <w:lang w:val="en-GB"/>
        </w:rPr>
        <w:t>(Source: self-developed)</w:t>
      </w:r>
    </w:p>
    <w:p w14:paraId="1C5809C8" w14:textId="77777777" w:rsidR="009D501C"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Tesla has great internal resources that help to succeed in international expansion. Asian competitors of EVs have battery technology and powertrain efficiency, and it has higher performance than many other EVs. The Supercharger network offers an infrastructure edge that should be essential in adoption in new markets like Vietnam where there are still a few charging stations (Tesla.com, 2025). The brand equity of Tesla as an innovation and sustainability leader enhances the appeal to consumers in the rising middle-income societies. Full Self-Driving (FSD) software and a system of updating software in the air ensure that Tesla integrates continuous product improvement without physical service interventions (Tesla.com, 2025). The vertically integrated Gigafactory model of production minimises reliance on third-party suppliers and enables local assemblage to reduce taxes on imports. The VRIO analysis reveals that Tesla has several retained competitive advantages that make it well-positioned for successful entry into the Vietnamese market and its further development in the long term.</w:t>
      </w:r>
    </w:p>
    <w:p w14:paraId="60828DBA" w14:textId="752DC73C" w:rsidR="000E506D" w:rsidRPr="00AD0A74" w:rsidRDefault="000E506D" w:rsidP="006E3E9B">
      <w:pPr>
        <w:spacing w:before="240" w:after="240" w:line="360" w:lineRule="auto"/>
        <w:jc w:val="both"/>
        <w:rPr>
          <w:rFonts w:eastAsia="Times New Roman"/>
          <w:color w:val="000000" w:themeColor="text1"/>
          <w:sz w:val="24"/>
          <w:szCs w:val="24"/>
          <w:lang w:val="en-GB"/>
        </w:rPr>
      </w:pPr>
      <w:r w:rsidRPr="00AD0A74">
        <w:rPr>
          <w:rFonts w:eastAsia="Times New Roman"/>
          <w:color w:val="000000" w:themeColor="text1"/>
          <w:sz w:val="24"/>
          <w:szCs w:val="24"/>
          <w:lang w:val="en-GB"/>
        </w:rPr>
        <w:t xml:space="preserve">Tesla's software capability has presented a core competitive advantage through the continuous addition of features, predictive maintenance, autonomous driving development and enhanced algorithms as well as the differentiation capabilities that come with planned capital upgrades. Unlike most rivals, Tesla's software ecosystem creates </w:t>
      </w:r>
      <w:r w:rsidR="00CD71D9" w:rsidRPr="00AD0A74">
        <w:rPr>
          <w:rFonts w:eastAsia="Times New Roman"/>
          <w:color w:val="000000" w:themeColor="text1"/>
          <w:sz w:val="24"/>
          <w:szCs w:val="24"/>
          <w:lang w:val="en-GB"/>
        </w:rPr>
        <w:t>commitments</w:t>
      </w:r>
      <w:r w:rsidRPr="00AD0A74">
        <w:rPr>
          <w:rFonts w:eastAsia="Times New Roman"/>
          <w:color w:val="000000" w:themeColor="text1"/>
          <w:sz w:val="24"/>
          <w:szCs w:val="24"/>
          <w:lang w:val="en-GB"/>
        </w:rPr>
        <w:t xml:space="preserve"> where the value of the vehicle increases over time which fosters customer loyalty and lifetime revenue potential (Tesla.com, 2025). This is an important strategic consideration in Vietnam as technological sophistication can </w:t>
      </w:r>
      <w:r w:rsidR="00A66058" w:rsidRPr="00AD0A74">
        <w:rPr>
          <w:rFonts w:eastAsia="Times New Roman"/>
          <w:color w:val="000000" w:themeColor="text1"/>
          <w:sz w:val="24"/>
          <w:szCs w:val="24"/>
          <w:lang w:val="en-GB"/>
        </w:rPr>
        <w:t>impact</w:t>
      </w:r>
      <w:r w:rsidRPr="00AD0A74">
        <w:rPr>
          <w:rFonts w:eastAsia="Times New Roman"/>
          <w:color w:val="000000" w:themeColor="text1"/>
          <w:sz w:val="24"/>
          <w:szCs w:val="24"/>
          <w:lang w:val="en-GB"/>
        </w:rPr>
        <w:t xml:space="preserve"> pricing </w:t>
      </w:r>
      <w:r w:rsidR="00A66058" w:rsidRPr="00AD0A74">
        <w:rPr>
          <w:rFonts w:eastAsia="Times New Roman"/>
          <w:color w:val="000000" w:themeColor="text1"/>
          <w:sz w:val="24"/>
          <w:szCs w:val="24"/>
          <w:lang w:val="en-GB"/>
        </w:rPr>
        <w:t xml:space="preserve">strategy </w:t>
      </w:r>
      <w:r w:rsidRPr="00AD0A74">
        <w:rPr>
          <w:rFonts w:eastAsia="Times New Roman"/>
          <w:color w:val="000000" w:themeColor="text1"/>
          <w:sz w:val="24"/>
          <w:szCs w:val="24"/>
          <w:lang w:val="en-GB"/>
        </w:rPr>
        <w:t>in higher premium consumer satisfaction segments.</w:t>
      </w:r>
    </w:p>
    <w:p w14:paraId="787BF506" w14:textId="77777777" w:rsidR="009D501C" w:rsidRPr="00E43504" w:rsidRDefault="00E35567" w:rsidP="006E3E9B">
      <w:pPr>
        <w:pStyle w:val="Heading2"/>
        <w:rPr>
          <w:rFonts w:ascii="Arial" w:hAnsi="Arial" w:cs="Arial"/>
          <w:lang w:val="en-GB"/>
        </w:rPr>
      </w:pPr>
      <w:bookmarkStart w:id="24" w:name="_psr4aka130zn" w:colFirst="0" w:colLast="0"/>
      <w:bookmarkStart w:id="25" w:name="_Toc213780708"/>
      <w:bookmarkEnd w:id="24"/>
      <w:r w:rsidRPr="00E43504">
        <w:rPr>
          <w:rFonts w:ascii="Arial" w:hAnsi="Arial" w:cs="Arial"/>
          <w:lang w:val="en-GB"/>
        </w:rPr>
        <w:lastRenderedPageBreak/>
        <w:t>3.2 Strategic Choice Models</w:t>
      </w:r>
      <w:bookmarkEnd w:id="25"/>
    </w:p>
    <w:p w14:paraId="4673F04C"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Porter’s Generic Strategy (Differentiation)</w:t>
      </w:r>
    </w:p>
    <w:p w14:paraId="68D67D08"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Tesla operates using a differentiation strategy and focuses on superior technology, performance, and brand reputation rather than low price competition. A few important features such as advanced autonomous driving capabilities, long-range battery efficiency, and over-the-air software updates. A premium digital user experience differentiates Tesla from existing players in Vietnam such as VinFast and BYD. This strategy positions Tesla as an aspirational brand appealing to growing middle-class consumers in Vietnam.</w:t>
      </w:r>
    </w:p>
    <w:p w14:paraId="07878B8E"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Ansoff Matrix (Market Development)</w:t>
      </w:r>
    </w:p>
    <w:p w14:paraId="76016C6C"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Applying the Ansoff Matrix, Tesla's expansion to Vietnam falls in the category of Market Development where the already designed products (Model 3 and Model Y) are sold in a new geographical location. Tesla does not require significant changes in designing their main product offering, yet they should change pricing, financing means, and accessibility to after-sales services according to the local market expectations. The formation of charging infrastructure and local assembling premises partnerships would also consolidate the penetration of the market and minimise expenses related to imports.</w:t>
      </w:r>
    </w:p>
    <w:p w14:paraId="2FA96106"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BCG Matrix (Product Positioning)</w:t>
      </w:r>
    </w:p>
    <w:p w14:paraId="0FFBEB57"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For the case of Vietnam, Star products of Tesla are Model 3 and Model Y. These models already dominate the market in most sales of the EV sector in most global markets because they offer a balance between price, performance and energy efficiency. The models will capture high initial market share and push the brand into Vietnam where the EV segment is developing rapidly, yet still underdeveloped, and these models will make a splash. Exclusive models like the Model S and Model X can come in later at the question mark of a niche luxury client since the brand presence and charging network of Tesla is well established.</w:t>
      </w:r>
    </w:p>
    <w:p w14:paraId="4E801902" w14:textId="77777777" w:rsidR="009D501C" w:rsidRPr="00E43504" w:rsidRDefault="00E35567" w:rsidP="006E3E9B">
      <w:pPr>
        <w:pStyle w:val="Heading2"/>
        <w:rPr>
          <w:rFonts w:ascii="Arial" w:hAnsi="Arial" w:cs="Arial"/>
          <w:lang w:val="en-GB"/>
        </w:rPr>
      </w:pPr>
      <w:bookmarkStart w:id="26" w:name="_d24f82esvida" w:colFirst="0" w:colLast="0"/>
      <w:bookmarkStart w:id="27" w:name="_Toc213780709"/>
      <w:bookmarkEnd w:id="26"/>
      <w:r w:rsidRPr="00E43504">
        <w:rPr>
          <w:rFonts w:ascii="Arial" w:hAnsi="Arial" w:cs="Arial"/>
          <w:lang w:val="en-GB"/>
        </w:rPr>
        <w:t>3.3 Market Entry Strategy for Vietnam</w:t>
      </w:r>
      <w:bookmarkEnd w:id="27"/>
    </w:p>
    <w:p w14:paraId="234C489B"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Entry Mode</w:t>
      </w:r>
    </w:p>
    <w:p w14:paraId="408A24D8"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sz w:val="24"/>
          <w:szCs w:val="24"/>
          <w:lang w:val="en-GB"/>
        </w:rPr>
        <w:lastRenderedPageBreak/>
        <w:t>Tesla should adopt a Joint Venture (JV) entry mode with a local industrial or energy partner to observe Vietnam’s regulatory environment and government incentives. A JV reduces initial capital exposure and enables Tesla to understand local customer preferences. This strategy also checks the pricing sensitivities and operational constraints. The partnership can transition into full local assembly to optimise production costs and reduce import duties over time.</w:t>
      </w:r>
    </w:p>
    <w:p w14:paraId="0EB457B3"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Phase 1: Import and Brand Establishment</w:t>
      </w:r>
    </w:p>
    <w:p w14:paraId="379530B7"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During the first stage, Tesla can bring in the Model 3 and Model Y and open flagship stores and service stations in the large cities. Where it is possible to buy the EV and where the income level is higher such as Hanoi and Ho Chi Minh City. Tesla must also roll out some flexible financing and leasing programs to work around price sensitivity alongside showrooms. This step can help to create brand recognition, initial market acceptance, and customer loyalty to the high-end EV brand Tesla.</w:t>
      </w:r>
    </w:p>
    <w:p w14:paraId="717AA947"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Phase 2: Charging Infrastructure Expansion</w:t>
      </w:r>
    </w:p>
    <w:p w14:paraId="09BD0FF8" w14:textId="77777777" w:rsidR="009D501C" w:rsidRPr="00E43504"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Having reached the initial traction, Tesla should establish Supercharger networks all over the major economic and transit routes of Vietnam to overcome the challenges of access related to charging and to stand out among the rivals. Tesla can partner with retail chains, hotels, industrial parks and highway service stations to rapidly implement the project and reduce land acquisition difficulties. It must be supported by a visible and trustworthy charging system that enhances the brand and triggers the adoption of EVs.</w:t>
      </w:r>
    </w:p>
    <w:p w14:paraId="351A4448" w14:textId="77777777" w:rsidR="009D501C" w:rsidRPr="00E43504" w:rsidRDefault="00E35567" w:rsidP="006E3E9B">
      <w:pPr>
        <w:spacing w:before="240" w:after="240" w:line="360" w:lineRule="auto"/>
        <w:jc w:val="both"/>
        <w:rPr>
          <w:rFonts w:eastAsia="Times New Roman"/>
          <w:b/>
          <w:bCs/>
          <w:sz w:val="24"/>
          <w:szCs w:val="24"/>
          <w:lang w:val="en-GB"/>
        </w:rPr>
      </w:pPr>
      <w:r w:rsidRPr="00E43504">
        <w:rPr>
          <w:rFonts w:eastAsia="Times New Roman"/>
          <w:b/>
          <w:bCs/>
          <w:sz w:val="24"/>
          <w:szCs w:val="24"/>
          <w:lang w:val="en-GB"/>
        </w:rPr>
        <w:t>Phase 3: Local Assembly and Battery Production</w:t>
      </w:r>
    </w:p>
    <w:p w14:paraId="4BBA57EC" w14:textId="77777777" w:rsidR="009D501C" w:rsidRDefault="00E35567" w:rsidP="006E3E9B">
      <w:pPr>
        <w:spacing w:before="240" w:after="240" w:line="360" w:lineRule="auto"/>
        <w:jc w:val="both"/>
        <w:rPr>
          <w:rFonts w:eastAsia="Times New Roman"/>
          <w:sz w:val="24"/>
          <w:szCs w:val="24"/>
          <w:lang w:val="en-GB"/>
        </w:rPr>
      </w:pPr>
      <w:r w:rsidRPr="00E43504">
        <w:rPr>
          <w:rFonts w:eastAsia="Times New Roman"/>
          <w:sz w:val="24"/>
          <w:szCs w:val="24"/>
          <w:lang w:val="en-GB"/>
        </w:rPr>
        <w:t>It is advisable that Tesla, when demand stabilises, should switch the trend to supply of local assembly to capitalise on the low tariffs, government subsidies and economy in the supply chain. A battery pack assembly- and vehicle final assembly-style Gigafactory-style facility located on a local scale can be used to cut down on costs and allow Tesla to further enter into the developing EV component manufacturing sector in Vietnam. Tesla can enter into energy storage products like Powerwall and Powerpack as a way of diversifying its revenue and improving its sustainability.</w:t>
      </w:r>
    </w:p>
    <w:p w14:paraId="7CC3CD30" w14:textId="68EBBE7A" w:rsidR="0045674D" w:rsidRPr="00AD0A74" w:rsidRDefault="0045674D" w:rsidP="006E3E9B">
      <w:pPr>
        <w:spacing w:before="240" w:after="240" w:line="360" w:lineRule="auto"/>
        <w:jc w:val="both"/>
        <w:rPr>
          <w:rFonts w:eastAsia="Times New Roman"/>
          <w:color w:val="000000" w:themeColor="text1"/>
          <w:sz w:val="24"/>
          <w:szCs w:val="24"/>
          <w:lang w:val="en-GB"/>
        </w:rPr>
      </w:pPr>
      <w:r w:rsidRPr="00AD0A74">
        <w:rPr>
          <w:rFonts w:eastAsia="Times New Roman"/>
          <w:color w:val="000000" w:themeColor="text1"/>
          <w:sz w:val="24"/>
          <w:szCs w:val="24"/>
          <w:lang w:val="en-GB"/>
        </w:rPr>
        <w:lastRenderedPageBreak/>
        <w:t xml:space="preserve">A Joint Venture is strategically justified for Tesla as it combines some control over the operation while allowing for faster entry into an emerging market. Risk is mitigated by sharing assessment of investment capital, operational responsibilities, financial exposure and government regulatory burdens while rapid local partner networks are utilised for </w:t>
      </w:r>
      <w:r w:rsidR="008E5B83" w:rsidRPr="00AD0A74">
        <w:rPr>
          <w:rFonts w:eastAsia="Times New Roman"/>
          <w:color w:val="000000" w:themeColor="text1"/>
          <w:sz w:val="24"/>
          <w:szCs w:val="24"/>
          <w:lang w:val="en-GB"/>
        </w:rPr>
        <w:t>increased</w:t>
      </w:r>
      <w:r w:rsidRPr="00AD0A74">
        <w:rPr>
          <w:rFonts w:eastAsia="Times New Roman"/>
          <w:color w:val="000000" w:themeColor="text1"/>
          <w:sz w:val="24"/>
          <w:szCs w:val="24"/>
          <w:lang w:val="en-GB"/>
        </w:rPr>
        <w:t xml:space="preserve"> operations. </w:t>
      </w:r>
      <w:r w:rsidR="008E5B83" w:rsidRPr="00AD0A74">
        <w:rPr>
          <w:rFonts w:eastAsia="Times New Roman"/>
          <w:color w:val="000000" w:themeColor="text1"/>
          <w:sz w:val="24"/>
          <w:szCs w:val="24"/>
          <w:lang w:val="en-GB"/>
        </w:rPr>
        <w:t>Furthermore,</w:t>
      </w:r>
      <w:r w:rsidRPr="00AD0A74">
        <w:rPr>
          <w:rFonts w:eastAsia="Times New Roman"/>
          <w:color w:val="000000" w:themeColor="text1"/>
          <w:sz w:val="24"/>
          <w:szCs w:val="24"/>
          <w:lang w:val="en-GB"/>
        </w:rPr>
        <w:t xml:space="preserve"> JVs increase eligibility for government incentives</w:t>
      </w:r>
      <w:r w:rsidR="008E5B83" w:rsidRPr="00AD0A74">
        <w:rPr>
          <w:rFonts w:eastAsia="Times New Roman"/>
          <w:color w:val="000000" w:themeColor="text1"/>
          <w:sz w:val="24"/>
          <w:szCs w:val="24"/>
          <w:lang w:val="en-GB"/>
        </w:rPr>
        <w:t xml:space="preserve"> and</w:t>
      </w:r>
      <w:r w:rsidR="002E0DD2" w:rsidRPr="00AD0A74">
        <w:rPr>
          <w:rFonts w:eastAsia="Times New Roman"/>
          <w:color w:val="000000" w:themeColor="text1"/>
          <w:sz w:val="24"/>
          <w:szCs w:val="24"/>
          <w:lang w:val="en-GB"/>
        </w:rPr>
        <w:t xml:space="preserve"> </w:t>
      </w:r>
      <w:r w:rsidRPr="00AD0A74">
        <w:rPr>
          <w:rFonts w:eastAsia="Times New Roman"/>
          <w:color w:val="000000" w:themeColor="text1"/>
          <w:sz w:val="24"/>
          <w:szCs w:val="24"/>
          <w:lang w:val="en-GB"/>
        </w:rPr>
        <w:t>policies</w:t>
      </w:r>
      <w:r w:rsidR="008E5B83" w:rsidRPr="00AD0A74">
        <w:rPr>
          <w:rFonts w:eastAsia="Times New Roman"/>
          <w:color w:val="000000" w:themeColor="text1"/>
          <w:sz w:val="24"/>
          <w:szCs w:val="24"/>
          <w:lang w:val="en-GB"/>
        </w:rPr>
        <w:t xml:space="preserve"> </w:t>
      </w:r>
      <w:r w:rsidRPr="00AD0A74">
        <w:rPr>
          <w:rFonts w:eastAsia="Times New Roman"/>
          <w:color w:val="000000" w:themeColor="text1"/>
          <w:sz w:val="24"/>
          <w:szCs w:val="24"/>
          <w:lang w:val="en-GB"/>
        </w:rPr>
        <w:t xml:space="preserve">that would not be available to foreign companies. </w:t>
      </w:r>
      <w:r w:rsidR="008E1794" w:rsidRPr="00AD0A74">
        <w:rPr>
          <w:rFonts w:eastAsia="Times New Roman"/>
          <w:color w:val="000000" w:themeColor="text1"/>
          <w:sz w:val="24"/>
          <w:szCs w:val="24"/>
          <w:lang w:val="en-GB"/>
        </w:rPr>
        <w:t>Joint ventures</w:t>
      </w:r>
      <w:r w:rsidRPr="00AD0A74">
        <w:rPr>
          <w:rFonts w:eastAsia="Times New Roman"/>
          <w:color w:val="000000" w:themeColor="text1"/>
          <w:sz w:val="24"/>
          <w:szCs w:val="24"/>
          <w:lang w:val="en-GB"/>
        </w:rPr>
        <w:t xml:space="preserve"> lessen the burden of upfront investment capital</w:t>
      </w:r>
      <w:r w:rsidR="002E0DD2" w:rsidRPr="00AD0A74">
        <w:rPr>
          <w:rFonts w:eastAsia="Times New Roman"/>
          <w:color w:val="000000" w:themeColor="text1"/>
          <w:sz w:val="24"/>
          <w:szCs w:val="24"/>
          <w:lang w:val="en-GB"/>
        </w:rPr>
        <w:t xml:space="preserve"> </w:t>
      </w:r>
      <w:r w:rsidRPr="00AD0A74">
        <w:rPr>
          <w:rFonts w:eastAsia="Times New Roman"/>
          <w:color w:val="000000" w:themeColor="text1"/>
          <w:sz w:val="24"/>
          <w:szCs w:val="24"/>
          <w:lang w:val="en-GB"/>
        </w:rPr>
        <w:t xml:space="preserve">and allow for retaining operational control over the technology while supporting a commitment to gradually </w:t>
      </w:r>
      <w:r w:rsidR="002E0DD2" w:rsidRPr="00AD0A74">
        <w:rPr>
          <w:rFonts w:eastAsia="Times New Roman"/>
          <w:color w:val="000000" w:themeColor="text1"/>
          <w:sz w:val="24"/>
          <w:szCs w:val="24"/>
          <w:lang w:val="en-GB"/>
        </w:rPr>
        <w:t>optimising localisation</w:t>
      </w:r>
      <w:r w:rsidRPr="00AD0A74">
        <w:rPr>
          <w:rFonts w:eastAsia="Times New Roman"/>
          <w:color w:val="000000" w:themeColor="text1"/>
          <w:sz w:val="24"/>
          <w:szCs w:val="24"/>
          <w:lang w:val="en-GB"/>
        </w:rPr>
        <w:t xml:space="preserve"> as conditions </w:t>
      </w:r>
      <w:r w:rsidR="002E0DD2" w:rsidRPr="00AD0A74">
        <w:rPr>
          <w:rFonts w:eastAsia="Times New Roman"/>
          <w:color w:val="000000" w:themeColor="text1"/>
          <w:sz w:val="24"/>
          <w:szCs w:val="24"/>
          <w:lang w:val="en-GB"/>
        </w:rPr>
        <w:t>stabilise</w:t>
      </w:r>
      <w:r w:rsidRPr="00AD0A74">
        <w:rPr>
          <w:rFonts w:eastAsia="Times New Roman"/>
          <w:color w:val="000000" w:themeColor="text1"/>
          <w:sz w:val="24"/>
          <w:szCs w:val="24"/>
          <w:lang w:val="en-GB"/>
        </w:rPr>
        <w:t>.</w:t>
      </w:r>
    </w:p>
    <w:p w14:paraId="46CBC370" w14:textId="77777777" w:rsidR="006E3E9B" w:rsidRPr="00E43504" w:rsidRDefault="006E3E9B" w:rsidP="006E3E9B">
      <w:pPr>
        <w:pStyle w:val="Heading2"/>
        <w:rPr>
          <w:rFonts w:ascii="Arial" w:hAnsi="Arial" w:cs="Arial"/>
          <w:lang w:val="en-GB"/>
        </w:rPr>
      </w:pPr>
      <w:bookmarkStart w:id="28" w:name="_Toc213778195"/>
      <w:bookmarkStart w:id="29" w:name="_Toc213780710"/>
      <w:r w:rsidRPr="00E43504">
        <w:rPr>
          <w:rFonts w:ascii="Arial" w:hAnsi="Arial" w:cs="Arial"/>
          <w:lang w:val="en-GB"/>
        </w:rPr>
        <w:t>3.4 Risk Assessment and Mitigation</w:t>
      </w:r>
      <w:bookmarkEnd w:id="28"/>
      <w:bookmarkEnd w:id="29"/>
      <w:r w:rsidRPr="00E43504">
        <w:rPr>
          <w:rFonts w:ascii="Arial" w:hAnsi="Arial" w:cs="Arial"/>
          <w:lang w:val="en-GB"/>
        </w:rPr>
        <w:t> </w:t>
      </w:r>
    </w:p>
    <w:p w14:paraId="12157D33" w14:textId="77777777" w:rsidR="006E3E9B" w:rsidRDefault="006E3E9B" w:rsidP="006E3E9B">
      <w:pPr>
        <w:spacing w:line="360" w:lineRule="auto"/>
        <w:jc w:val="both"/>
        <w:rPr>
          <w:rFonts w:eastAsia="Times New Roman"/>
          <w:color w:val="000000"/>
          <w:sz w:val="24"/>
          <w:szCs w:val="24"/>
          <w:lang w:val="en-GB"/>
        </w:rPr>
      </w:pPr>
      <w:r w:rsidRPr="00E43504">
        <w:rPr>
          <w:rFonts w:eastAsia="Times New Roman"/>
          <w:color w:val="000000"/>
          <w:sz w:val="24"/>
          <w:szCs w:val="24"/>
          <w:lang w:val="en-GB"/>
        </w:rPr>
        <w:t>The entry of Tesla in Vietnam has both potential opportunities and a few strategy risks which need to be mitigated. The regulatory and policy risks are related to the changes in EV taxation and import regulations. Tesla should therefore remain well coordinated with the Ministry of Industry and Trade (MOIT) in Vietnam and align with Decision No. 876/QĐ-TTg (2022) and the National Green Growth Strategy (2021-2030). Limited consumer awareness of EVs and sensitive prices are some of the market risks. Tesla can reduce this by engaging in strategic marketing, partnerships in government financing and launching entry-level models or localistic models. The issue of infrastructure risks are also high as there are not many EV chargers. Tesla will need to install Superchargers in stages along major highways and cooperate with energy industries such as EVN to guarantee grid availability. </w:t>
      </w:r>
    </w:p>
    <w:tbl>
      <w:tblPr>
        <w:tblStyle w:val="TableGrid"/>
        <w:tblW w:w="0" w:type="auto"/>
        <w:tblLook w:val="04A0" w:firstRow="1" w:lastRow="0" w:firstColumn="1" w:lastColumn="0" w:noHBand="0" w:noVBand="1"/>
      </w:tblPr>
      <w:tblGrid>
        <w:gridCol w:w="2093"/>
        <w:gridCol w:w="1416"/>
        <w:gridCol w:w="1070"/>
        <w:gridCol w:w="1230"/>
        <w:gridCol w:w="3541"/>
      </w:tblGrid>
      <w:tr w:rsidR="00123906" w:rsidRPr="00123906" w14:paraId="6D662BC1" w14:textId="77777777" w:rsidTr="008139AF">
        <w:tc>
          <w:tcPr>
            <w:tcW w:w="0" w:type="auto"/>
            <w:hideMark/>
          </w:tcPr>
          <w:p w14:paraId="58DE5595" w14:textId="77777777" w:rsidR="008139AF" w:rsidRPr="008139AF" w:rsidRDefault="008139AF" w:rsidP="008139AF">
            <w:pPr>
              <w:spacing w:line="360" w:lineRule="auto"/>
              <w:jc w:val="both"/>
              <w:rPr>
                <w:rFonts w:eastAsia="Times New Roman"/>
                <w:b/>
                <w:bCs/>
                <w:color w:val="FF0000"/>
                <w:sz w:val="24"/>
                <w:szCs w:val="24"/>
                <w:lang w:val="en-IN"/>
              </w:rPr>
            </w:pPr>
            <w:r w:rsidRPr="007A0ADC">
              <w:rPr>
                <w:rFonts w:eastAsia="Times New Roman"/>
                <w:b/>
                <w:bCs/>
                <w:color w:val="000000" w:themeColor="text1"/>
                <w:sz w:val="24"/>
                <w:szCs w:val="24"/>
                <w:lang w:val="en-IN"/>
              </w:rPr>
              <w:t>Risk</w:t>
            </w:r>
            <w:r w:rsidRPr="008139AF">
              <w:rPr>
                <w:rFonts w:eastAsia="Times New Roman"/>
                <w:b/>
                <w:bCs/>
                <w:color w:val="FF0000"/>
                <w:sz w:val="24"/>
                <w:szCs w:val="24"/>
                <w:lang w:val="en-IN"/>
              </w:rPr>
              <w:t xml:space="preserve"> </w:t>
            </w:r>
            <w:r w:rsidRPr="007A0ADC">
              <w:rPr>
                <w:rFonts w:eastAsia="Times New Roman"/>
                <w:b/>
                <w:bCs/>
                <w:color w:val="000000" w:themeColor="text1"/>
                <w:sz w:val="24"/>
                <w:szCs w:val="24"/>
                <w:lang w:val="en-IN"/>
              </w:rPr>
              <w:t>Category</w:t>
            </w:r>
          </w:p>
        </w:tc>
        <w:tc>
          <w:tcPr>
            <w:tcW w:w="0" w:type="auto"/>
            <w:hideMark/>
          </w:tcPr>
          <w:p w14:paraId="64862538" w14:textId="77777777" w:rsidR="008139AF" w:rsidRPr="008139AF" w:rsidRDefault="008139AF" w:rsidP="008139AF">
            <w:pPr>
              <w:spacing w:line="360" w:lineRule="auto"/>
              <w:jc w:val="both"/>
              <w:rPr>
                <w:rFonts w:eastAsia="Times New Roman"/>
                <w:b/>
                <w:bCs/>
                <w:color w:val="FF0000"/>
                <w:sz w:val="24"/>
                <w:szCs w:val="24"/>
                <w:lang w:val="en-IN"/>
              </w:rPr>
            </w:pPr>
            <w:r w:rsidRPr="007A0ADC">
              <w:rPr>
                <w:rFonts w:eastAsia="Times New Roman"/>
                <w:b/>
                <w:bCs/>
                <w:color w:val="000000" w:themeColor="text1"/>
                <w:sz w:val="24"/>
                <w:szCs w:val="24"/>
                <w:lang w:val="en-IN"/>
              </w:rPr>
              <w:t>Likelihood</w:t>
            </w:r>
          </w:p>
        </w:tc>
        <w:tc>
          <w:tcPr>
            <w:tcW w:w="0" w:type="auto"/>
            <w:hideMark/>
          </w:tcPr>
          <w:p w14:paraId="094ECB5C" w14:textId="77777777" w:rsidR="008139AF" w:rsidRPr="008139AF" w:rsidRDefault="008139AF" w:rsidP="008139AF">
            <w:pPr>
              <w:spacing w:line="360" w:lineRule="auto"/>
              <w:jc w:val="both"/>
              <w:rPr>
                <w:rFonts w:eastAsia="Times New Roman"/>
                <w:b/>
                <w:bCs/>
                <w:color w:val="FF0000"/>
                <w:sz w:val="24"/>
                <w:szCs w:val="24"/>
                <w:lang w:val="en-IN"/>
              </w:rPr>
            </w:pPr>
            <w:r w:rsidRPr="007A0ADC">
              <w:rPr>
                <w:rFonts w:eastAsia="Times New Roman"/>
                <w:b/>
                <w:bCs/>
                <w:color w:val="000000" w:themeColor="text1"/>
                <w:sz w:val="24"/>
                <w:szCs w:val="24"/>
                <w:lang w:val="en-IN"/>
              </w:rPr>
              <w:t>Impact</w:t>
            </w:r>
          </w:p>
        </w:tc>
        <w:tc>
          <w:tcPr>
            <w:tcW w:w="0" w:type="auto"/>
            <w:hideMark/>
          </w:tcPr>
          <w:p w14:paraId="2EDC3F1F" w14:textId="77777777" w:rsidR="008139AF" w:rsidRPr="008139AF" w:rsidRDefault="008139AF" w:rsidP="008139AF">
            <w:pPr>
              <w:spacing w:line="360" w:lineRule="auto"/>
              <w:jc w:val="both"/>
              <w:rPr>
                <w:rFonts w:eastAsia="Times New Roman"/>
                <w:b/>
                <w:bCs/>
                <w:color w:val="FF0000"/>
                <w:sz w:val="24"/>
                <w:szCs w:val="24"/>
                <w:lang w:val="en-IN"/>
              </w:rPr>
            </w:pPr>
            <w:r w:rsidRPr="007A0ADC">
              <w:rPr>
                <w:rFonts w:eastAsia="Times New Roman"/>
                <w:b/>
                <w:bCs/>
                <w:color w:val="000000" w:themeColor="text1"/>
                <w:sz w:val="24"/>
                <w:szCs w:val="24"/>
                <w:lang w:val="en-IN"/>
              </w:rPr>
              <w:t>Priority</w:t>
            </w:r>
          </w:p>
        </w:tc>
        <w:tc>
          <w:tcPr>
            <w:tcW w:w="0" w:type="auto"/>
            <w:hideMark/>
          </w:tcPr>
          <w:p w14:paraId="526E52AA" w14:textId="77777777" w:rsidR="008139AF" w:rsidRPr="008139AF" w:rsidRDefault="008139AF" w:rsidP="008139AF">
            <w:pPr>
              <w:spacing w:line="360" w:lineRule="auto"/>
              <w:jc w:val="both"/>
              <w:rPr>
                <w:rFonts w:eastAsia="Times New Roman"/>
                <w:b/>
                <w:bCs/>
                <w:color w:val="FF0000"/>
                <w:sz w:val="24"/>
                <w:szCs w:val="24"/>
                <w:lang w:val="en-IN"/>
              </w:rPr>
            </w:pPr>
            <w:r w:rsidRPr="007A0ADC">
              <w:rPr>
                <w:rFonts w:eastAsia="Times New Roman"/>
                <w:b/>
                <w:bCs/>
                <w:color w:val="000000" w:themeColor="text1"/>
                <w:sz w:val="24"/>
                <w:szCs w:val="24"/>
                <w:lang w:val="en-IN"/>
              </w:rPr>
              <w:t>Mitigation</w:t>
            </w:r>
            <w:r w:rsidRPr="008139AF">
              <w:rPr>
                <w:rFonts w:eastAsia="Times New Roman"/>
                <w:b/>
                <w:bCs/>
                <w:color w:val="FF0000"/>
                <w:sz w:val="24"/>
                <w:szCs w:val="24"/>
                <w:lang w:val="en-IN"/>
              </w:rPr>
              <w:t xml:space="preserve"> </w:t>
            </w:r>
            <w:r w:rsidRPr="007A0ADC">
              <w:rPr>
                <w:rFonts w:eastAsia="Times New Roman"/>
                <w:b/>
                <w:bCs/>
                <w:color w:val="000000" w:themeColor="text1"/>
                <w:sz w:val="24"/>
                <w:szCs w:val="24"/>
                <w:lang w:val="en-IN"/>
              </w:rPr>
              <w:t>Action</w:t>
            </w:r>
          </w:p>
        </w:tc>
      </w:tr>
      <w:tr w:rsidR="00123906" w:rsidRPr="00123906" w14:paraId="0447F0C1" w14:textId="77777777" w:rsidTr="008139AF">
        <w:tc>
          <w:tcPr>
            <w:tcW w:w="0" w:type="auto"/>
            <w:hideMark/>
          </w:tcPr>
          <w:p w14:paraId="03A98FD1" w14:textId="067F604E"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Policy or Regulatory Changes</w:t>
            </w:r>
          </w:p>
        </w:tc>
        <w:tc>
          <w:tcPr>
            <w:tcW w:w="0" w:type="auto"/>
            <w:hideMark/>
          </w:tcPr>
          <w:p w14:paraId="1AFEEC6A"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High</w:t>
            </w:r>
          </w:p>
        </w:tc>
        <w:tc>
          <w:tcPr>
            <w:tcW w:w="0" w:type="auto"/>
            <w:hideMark/>
          </w:tcPr>
          <w:p w14:paraId="40C06DC8"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High</w:t>
            </w:r>
          </w:p>
        </w:tc>
        <w:tc>
          <w:tcPr>
            <w:tcW w:w="0" w:type="auto"/>
            <w:hideMark/>
          </w:tcPr>
          <w:p w14:paraId="3140723D"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Critical</w:t>
            </w:r>
          </w:p>
        </w:tc>
        <w:tc>
          <w:tcPr>
            <w:tcW w:w="0" w:type="auto"/>
            <w:hideMark/>
          </w:tcPr>
          <w:p w14:paraId="106B6D2C" w14:textId="37CF8D53" w:rsidR="008139AF" w:rsidRPr="008139AF" w:rsidRDefault="008139AF" w:rsidP="008139AF">
            <w:pPr>
              <w:spacing w:line="360" w:lineRule="auto"/>
              <w:jc w:val="both"/>
              <w:rPr>
                <w:rFonts w:eastAsia="Times New Roman"/>
                <w:color w:val="FF0000"/>
                <w:sz w:val="24"/>
                <w:szCs w:val="24"/>
                <w:lang w:val="en-IN"/>
              </w:rPr>
            </w:pPr>
            <w:r w:rsidRPr="00BD28B6">
              <w:rPr>
                <w:rFonts w:eastAsia="Times New Roman"/>
                <w:color w:val="000000" w:themeColor="text1"/>
                <w:sz w:val="24"/>
                <w:szCs w:val="24"/>
                <w:lang w:val="en-IN"/>
              </w:rPr>
              <w:t xml:space="preserve">Continuous </w:t>
            </w:r>
            <w:r w:rsidR="00DC11FB">
              <w:rPr>
                <w:rFonts w:eastAsia="Times New Roman"/>
                <w:color w:val="000000" w:themeColor="text1"/>
                <w:sz w:val="24"/>
                <w:szCs w:val="24"/>
                <w:lang w:val="en-IN"/>
              </w:rPr>
              <w:t xml:space="preserve">government </w:t>
            </w:r>
            <w:r w:rsidRPr="00BD28B6">
              <w:rPr>
                <w:rFonts w:eastAsia="Times New Roman"/>
                <w:color w:val="000000" w:themeColor="text1"/>
                <w:sz w:val="24"/>
                <w:szCs w:val="24"/>
                <w:lang w:val="en-IN"/>
              </w:rPr>
              <w:t>engagement and compliance alignment</w:t>
            </w:r>
            <w:r w:rsidR="00123906" w:rsidRPr="00BD28B6">
              <w:rPr>
                <w:rFonts w:eastAsia="Times New Roman"/>
                <w:color w:val="000000" w:themeColor="text1"/>
                <w:sz w:val="24"/>
                <w:szCs w:val="24"/>
                <w:lang w:val="en-IN"/>
              </w:rPr>
              <w:t xml:space="preserve"> (</w:t>
            </w:r>
            <w:r w:rsidR="00123906" w:rsidRPr="00BD28B6">
              <w:rPr>
                <w:rFonts w:eastAsia="Times New Roman"/>
                <w:color w:val="000000" w:themeColor="text1"/>
                <w:sz w:val="24"/>
                <w:szCs w:val="24"/>
                <w:shd w:val="clear" w:color="auto" w:fill="FFFFFF"/>
                <w:lang w:val="en-GB"/>
              </w:rPr>
              <w:t>George,</w:t>
            </w:r>
            <w:r w:rsidR="00123906" w:rsidRPr="00123906">
              <w:rPr>
                <w:rFonts w:eastAsia="Times New Roman"/>
                <w:color w:val="FF0000"/>
                <w:sz w:val="24"/>
                <w:szCs w:val="24"/>
                <w:shd w:val="clear" w:color="auto" w:fill="FFFFFF"/>
                <w:lang w:val="en-GB"/>
              </w:rPr>
              <w:t xml:space="preserve"> </w:t>
            </w:r>
            <w:r w:rsidR="00123906" w:rsidRPr="00BD28B6">
              <w:rPr>
                <w:rFonts w:eastAsia="Times New Roman"/>
                <w:color w:val="000000" w:themeColor="text1"/>
                <w:sz w:val="24"/>
                <w:szCs w:val="24"/>
                <w:shd w:val="clear" w:color="auto" w:fill="FFFFFF"/>
                <w:lang w:val="en-GB"/>
              </w:rPr>
              <w:t>2024</w:t>
            </w:r>
            <w:r w:rsidR="00123906" w:rsidRPr="00BD28B6">
              <w:rPr>
                <w:rFonts w:eastAsia="Times New Roman"/>
                <w:color w:val="000000" w:themeColor="text1"/>
                <w:sz w:val="24"/>
                <w:szCs w:val="24"/>
                <w:lang w:val="en-IN"/>
              </w:rPr>
              <w:t xml:space="preserve">). </w:t>
            </w:r>
          </w:p>
        </w:tc>
      </w:tr>
      <w:tr w:rsidR="00123906" w:rsidRPr="00123906" w14:paraId="1311511A" w14:textId="77777777" w:rsidTr="008139AF">
        <w:tc>
          <w:tcPr>
            <w:tcW w:w="0" w:type="auto"/>
            <w:hideMark/>
          </w:tcPr>
          <w:p w14:paraId="56EBBF54"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Price</w:t>
            </w:r>
            <w:r w:rsidRPr="008139AF">
              <w:rPr>
                <w:rFonts w:eastAsia="Times New Roman"/>
                <w:color w:val="FF0000"/>
                <w:sz w:val="24"/>
                <w:szCs w:val="24"/>
                <w:lang w:val="en-IN"/>
              </w:rPr>
              <w:t xml:space="preserve"> </w:t>
            </w:r>
            <w:r w:rsidRPr="007A0ADC">
              <w:rPr>
                <w:rFonts w:eastAsia="Times New Roman"/>
                <w:color w:val="000000" w:themeColor="text1"/>
                <w:sz w:val="24"/>
                <w:szCs w:val="24"/>
                <w:lang w:val="en-IN"/>
              </w:rPr>
              <w:t>Competition</w:t>
            </w:r>
          </w:p>
        </w:tc>
        <w:tc>
          <w:tcPr>
            <w:tcW w:w="0" w:type="auto"/>
            <w:hideMark/>
          </w:tcPr>
          <w:p w14:paraId="2D17E198"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High</w:t>
            </w:r>
          </w:p>
        </w:tc>
        <w:tc>
          <w:tcPr>
            <w:tcW w:w="0" w:type="auto"/>
            <w:hideMark/>
          </w:tcPr>
          <w:p w14:paraId="0836432A"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Medium</w:t>
            </w:r>
          </w:p>
        </w:tc>
        <w:tc>
          <w:tcPr>
            <w:tcW w:w="0" w:type="auto"/>
            <w:hideMark/>
          </w:tcPr>
          <w:p w14:paraId="24BB458D"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High</w:t>
            </w:r>
          </w:p>
        </w:tc>
        <w:tc>
          <w:tcPr>
            <w:tcW w:w="0" w:type="auto"/>
            <w:hideMark/>
          </w:tcPr>
          <w:p w14:paraId="3F67FAE7" w14:textId="61F1F91A" w:rsidR="008139AF" w:rsidRPr="008139AF" w:rsidRDefault="008139AF" w:rsidP="008139AF">
            <w:pPr>
              <w:spacing w:line="360" w:lineRule="auto"/>
              <w:jc w:val="both"/>
              <w:rPr>
                <w:rFonts w:eastAsia="Times New Roman"/>
                <w:color w:val="FF0000"/>
                <w:sz w:val="24"/>
                <w:szCs w:val="24"/>
                <w:lang w:val="en-IN"/>
              </w:rPr>
            </w:pPr>
            <w:r w:rsidRPr="00BD28B6">
              <w:rPr>
                <w:rFonts w:eastAsia="Times New Roman"/>
                <w:color w:val="000000" w:themeColor="text1"/>
                <w:sz w:val="24"/>
                <w:szCs w:val="24"/>
                <w:lang w:val="en-IN"/>
              </w:rPr>
              <w:t xml:space="preserve">Local assembly </w:t>
            </w:r>
            <w:r w:rsidR="00991820" w:rsidRPr="00BD28B6">
              <w:rPr>
                <w:rFonts w:eastAsia="Times New Roman"/>
                <w:color w:val="000000" w:themeColor="text1"/>
                <w:sz w:val="24"/>
                <w:szCs w:val="24"/>
                <w:lang w:val="en-IN"/>
              </w:rPr>
              <w:t>and</w:t>
            </w:r>
            <w:r w:rsidRPr="00BD28B6">
              <w:rPr>
                <w:rFonts w:eastAsia="Times New Roman"/>
                <w:color w:val="000000" w:themeColor="text1"/>
                <w:sz w:val="24"/>
                <w:szCs w:val="24"/>
                <w:lang w:val="en-IN"/>
              </w:rPr>
              <w:t xml:space="preserve"> competitive financing</w:t>
            </w:r>
            <w:r w:rsidR="00123906" w:rsidRPr="00BD28B6">
              <w:rPr>
                <w:rFonts w:eastAsia="Times New Roman"/>
                <w:color w:val="000000" w:themeColor="text1"/>
                <w:sz w:val="24"/>
                <w:szCs w:val="24"/>
                <w:lang w:val="en-IN"/>
              </w:rPr>
              <w:t>.</w:t>
            </w:r>
            <w:r w:rsidR="00123906" w:rsidRPr="00123906">
              <w:rPr>
                <w:rFonts w:eastAsia="Times New Roman"/>
                <w:color w:val="FF0000"/>
                <w:sz w:val="24"/>
                <w:szCs w:val="24"/>
                <w:lang w:val="en-IN"/>
              </w:rPr>
              <w:t xml:space="preserve"> </w:t>
            </w:r>
          </w:p>
        </w:tc>
      </w:tr>
      <w:tr w:rsidR="00123906" w:rsidRPr="00123906" w14:paraId="1C2C6B55" w14:textId="77777777" w:rsidTr="008139AF">
        <w:tc>
          <w:tcPr>
            <w:tcW w:w="0" w:type="auto"/>
            <w:hideMark/>
          </w:tcPr>
          <w:p w14:paraId="1A611C7A"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Supply</w:t>
            </w:r>
            <w:r w:rsidRPr="008139AF">
              <w:rPr>
                <w:rFonts w:eastAsia="Times New Roman"/>
                <w:color w:val="FF0000"/>
                <w:sz w:val="24"/>
                <w:szCs w:val="24"/>
                <w:lang w:val="en-IN"/>
              </w:rPr>
              <w:t xml:space="preserve"> </w:t>
            </w:r>
            <w:r w:rsidRPr="007A0ADC">
              <w:rPr>
                <w:rFonts w:eastAsia="Times New Roman"/>
                <w:color w:val="000000" w:themeColor="text1"/>
                <w:sz w:val="24"/>
                <w:szCs w:val="24"/>
                <w:lang w:val="en-IN"/>
              </w:rPr>
              <w:t>Chain</w:t>
            </w:r>
            <w:r w:rsidRPr="008139AF">
              <w:rPr>
                <w:rFonts w:eastAsia="Times New Roman"/>
                <w:color w:val="FF0000"/>
                <w:sz w:val="24"/>
                <w:szCs w:val="24"/>
                <w:lang w:val="en-IN"/>
              </w:rPr>
              <w:t xml:space="preserve"> </w:t>
            </w:r>
            <w:r w:rsidRPr="007A0ADC">
              <w:rPr>
                <w:rFonts w:eastAsia="Times New Roman"/>
                <w:color w:val="000000" w:themeColor="text1"/>
                <w:sz w:val="24"/>
                <w:szCs w:val="24"/>
                <w:lang w:val="en-IN"/>
              </w:rPr>
              <w:t>Dependence</w:t>
            </w:r>
          </w:p>
        </w:tc>
        <w:tc>
          <w:tcPr>
            <w:tcW w:w="0" w:type="auto"/>
            <w:hideMark/>
          </w:tcPr>
          <w:p w14:paraId="1A8E397B"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Medium</w:t>
            </w:r>
          </w:p>
        </w:tc>
        <w:tc>
          <w:tcPr>
            <w:tcW w:w="0" w:type="auto"/>
            <w:hideMark/>
          </w:tcPr>
          <w:p w14:paraId="5D3FF042"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High</w:t>
            </w:r>
          </w:p>
        </w:tc>
        <w:tc>
          <w:tcPr>
            <w:tcW w:w="0" w:type="auto"/>
            <w:hideMark/>
          </w:tcPr>
          <w:p w14:paraId="78F1063D" w14:textId="77777777" w:rsidR="008139AF" w:rsidRPr="008139AF" w:rsidRDefault="008139AF" w:rsidP="008139AF">
            <w:pPr>
              <w:spacing w:line="360" w:lineRule="auto"/>
              <w:jc w:val="both"/>
              <w:rPr>
                <w:rFonts w:eastAsia="Times New Roman"/>
                <w:color w:val="FF0000"/>
                <w:sz w:val="24"/>
                <w:szCs w:val="24"/>
                <w:lang w:val="en-IN"/>
              </w:rPr>
            </w:pPr>
            <w:r w:rsidRPr="007A0ADC">
              <w:rPr>
                <w:rFonts w:eastAsia="Times New Roman"/>
                <w:color w:val="000000" w:themeColor="text1"/>
                <w:sz w:val="24"/>
                <w:szCs w:val="24"/>
                <w:lang w:val="en-IN"/>
              </w:rPr>
              <w:t>High</w:t>
            </w:r>
          </w:p>
        </w:tc>
        <w:tc>
          <w:tcPr>
            <w:tcW w:w="0" w:type="auto"/>
            <w:hideMark/>
          </w:tcPr>
          <w:p w14:paraId="51895270" w14:textId="7E09150B"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 xml:space="preserve">JV sourcing </w:t>
            </w:r>
            <w:r w:rsidR="00991820" w:rsidRPr="00666C83">
              <w:rPr>
                <w:rFonts w:eastAsia="Times New Roman"/>
                <w:color w:val="000000" w:themeColor="text1"/>
                <w:sz w:val="24"/>
                <w:szCs w:val="24"/>
                <w:lang w:val="en-IN"/>
              </w:rPr>
              <w:t>and</w:t>
            </w:r>
            <w:r w:rsidRPr="00666C83">
              <w:rPr>
                <w:rFonts w:eastAsia="Times New Roman"/>
                <w:color w:val="000000" w:themeColor="text1"/>
                <w:sz w:val="24"/>
                <w:szCs w:val="24"/>
                <w:lang w:val="en-IN"/>
              </w:rPr>
              <w:t xml:space="preserve"> localisation</w:t>
            </w:r>
            <w:r w:rsidR="00123906" w:rsidRPr="00666C83">
              <w:rPr>
                <w:rFonts w:eastAsia="Times New Roman"/>
                <w:color w:val="000000" w:themeColor="text1"/>
                <w:sz w:val="24"/>
                <w:szCs w:val="24"/>
                <w:lang w:val="en-IN"/>
              </w:rPr>
              <w:t xml:space="preserve"> (</w:t>
            </w:r>
            <w:r w:rsidR="00123906" w:rsidRPr="00666C83">
              <w:rPr>
                <w:rFonts w:eastAsia="Times New Roman"/>
                <w:color w:val="000000" w:themeColor="text1"/>
                <w:sz w:val="24"/>
                <w:szCs w:val="24"/>
                <w:shd w:val="clear" w:color="auto" w:fill="FFFFFF"/>
                <w:lang w:val="en-GB"/>
              </w:rPr>
              <w:t>Nguyen and Pham,</w:t>
            </w:r>
            <w:r w:rsidR="00123906" w:rsidRPr="00123906">
              <w:rPr>
                <w:rFonts w:eastAsia="Times New Roman"/>
                <w:color w:val="FF0000"/>
                <w:sz w:val="24"/>
                <w:szCs w:val="24"/>
                <w:shd w:val="clear" w:color="auto" w:fill="FFFFFF"/>
                <w:lang w:val="en-GB"/>
              </w:rPr>
              <w:t xml:space="preserve"> </w:t>
            </w:r>
            <w:r w:rsidR="00123906" w:rsidRPr="00666C83">
              <w:rPr>
                <w:rFonts w:eastAsia="Times New Roman"/>
                <w:color w:val="000000" w:themeColor="text1"/>
                <w:sz w:val="24"/>
                <w:szCs w:val="24"/>
                <w:shd w:val="clear" w:color="auto" w:fill="FFFFFF"/>
                <w:lang w:val="en-GB"/>
              </w:rPr>
              <w:t>2022</w:t>
            </w:r>
            <w:r w:rsidR="00123906" w:rsidRPr="00666C83">
              <w:rPr>
                <w:rFonts w:eastAsia="Times New Roman"/>
                <w:color w:val="000000" w:themeColor="text1"/>
                <w:sz w:val="24"/>
                <w:szCs w:val="24"/>
                <w:lang w:val="en-IN"/>
              </w:rPr>
              <w:t>).</w:t>
            </w:r>
          </w:p>
        </w:tc>
      </w:tr>
      <w:tr w:rsidR="00123906" w:rsidRPr="00123906" w14:paraId="3AC1090D" w14:textId="77777777" w:rsidTr="008139AF">
        <w:tc>
          <w:tcPr>
            <w:tcW w:w="0" w:type="auto"/>
            <w:hideMark/>
          </w:tcPr>
          <w:p w14:paraId="6F1E4AC8"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lastRenderedPageBreak/>
              <w:t>Infrastructure</w:t>
            </w:r>
            <w:r w:rsidRPr="008139AF">
              <w:rPr>
                <w:rFonts w:eastAsia="Times New Roman"/>
                <w:color w:val="FF0000"/>
                <w:sz w:val="24"/>
                <w:szCs w:val="24"/>
                <w:lang w:val="en-IN"/>
              </w:rPr>
              <w:t xml:space="preserve"> </w:t>
            </w:r>
            <w:r w:rsidRPr="00666C83">
              <w:rPr>
                <w:rFonts w:eastAsia="Times New Roman"/>
                <w:color w:val="000000" w:themeColor="text1"/>
                <w:sz w:val="24"/>
                <w:szCs w:val="24"/>
                <w:lang w:val="en-IN"/>
              </w:rPr>
              <w:t>Gaps</w:t>
            </w:r>
          </w:p>
        </w:tc>
        <w:tc>
          <w:tcPr>
            <w:tcW w:w="0" w:type="auto"/>
            <w:hideMark/>
          </w:tcPr>
          <w:p w14:paraId="7827CF9E"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Medium</w:t>
            </w:r>
          </w:p>
        </w:tc>
        <w:tc>
          <w:tcPr>
            <w:tcW w:w="0" w:type="auto"/>
            <w:hideMark/>
          </w:tcPr>
          <w:p w14:paraId="2A54CF12"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High</w:t>
            </w:r>
          </w:p>
        </w:tc>
        <w:tc>
          <w:tcPr>
            <w:tcW w:w="0" w:type="auto"/>
            <w:hideMark/>
          </w:tcPr>
          <w:p w14:paraId="1298A3F5"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High</w:t>
            </w:r>
          </w:p>
        </w:tc>
        <w:tc>
          <w:tcPr>
            <w:tcW w:w="0" w:type="auto"/>
            <w:hideMark/>
          </w:tcPr>
          <w:p w14:paraId="04D6AD3F" w14:textId="3D7934FE"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Phased</w:t>
            </w:r>
            <w:r w:rsidRPr="008139AF">
              <w:rPr>
                <w:rFonts w:eastAsia="Times New Roman"/>
                <w:color w:val="FF0000"/>
                <w:sz w:val="24"/>
                <w:szCs w:val="24"/>
                <w:lang w:val="en-IN"/>
              </w:rPr>
              <w:t xml:space="preserve"> </w:t>
            </w:r>
            <w:r w:rsidRPr="00666C83">
              <w:rPr>
                <w:rFonts w:eastAsia="Times New Roman"/>
                <w:color w:val="000000" w:themeColor="text1"/>
                <w:sz w:val="24"/>
                <w:szCs w:val="24"/>
                <w:lang w:val="en-IN"/>
              </w:rPr>
              <w:t>Supercharger</w:t>
            </w:r>
            <w:r w:rsidRPr="008139AF">
              <w:rPr>
                <w:rFonts w:eastAsia="Times New Roman"/>
                <w:color w:val="FF0000"/>
                <w:sz w:val="24"/>
                <w:szCs w:val="24"/>
                <w:lang w:val="en-IN"/>
              </w:rPr>
              <w:t xml:space="preserve"> </w:t>
            </w:r>
            <w:r w:rsidRPr="00C329BA">
              <w:rPr>
                <w:rFonts w:eastAsia="Times New Roman"/>
                <w:color w:val="000000" w:themeColor="text1"/>
                <w:sz w:val="24"/>
                <w:szCs w:val="24"/>
                <w:lang w:val="en-IN"/>
              </w:rPr>
              <w:t>rollout</w:t>
            </w:r>
            <w:r w:rsidR="00123906" w:rsidRPr="00C329BA">
              <w:rPr>
                <w:rFonts w:eastAsia="Times New Roman"/>
                <w:color w:val="000000" w:themeColor="text1"/>
                <w:sz w:val="24"/>
                <w:szCs w:val="24"/>
                <w:lang w:val="en-IN"/>
              </w:rPr>
              <w:t>.</w:t>
            </w:r>
          </w:p>
        </w:tc>
      </w:tr>
      <w:tr w:rsidR="00123906" w:rsidRPr="00123906" w14:paraId="74804E4A" w14:textId="77777777" w:rsidTr="008139AF">
        <w:tc>
          <w:tcPr>
            <w:tcW w:w="0" w:type="auto"/>
            <w:hideMark/>
          </w:tcPr>
          <w:p w14:paraId="1A851649"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Consumer Awareness</w:t>
            </w:r>
            <w:r w:rsidRPr="008139AF">
              <w:rPr>
                <w:rFonts w:eastAsia="Times New Roman"/>
                <w:color w:val="FF0000"/>
                <w:sz w:val="24"/>
                <w:szCs w:val="24"/>
                <w:lang w:val="en-IN"/>
              </w:rPr>
              <w:t xml:space="preserve"> </w:t>
            </w:r>
            <w:r w:rsidRPr="00666C83">
              <w:rPr>
                <w:rFonts w:eastAsia="Times New Roman"/>
                <w:color w:val="000000" w:themeColor="text1"/>
                <w:sz w:val="24"/>
                <w:szCs w:val="24"/>
                <w:lang w:val="en-IN"/>
              </w:rPr>
              <w:t>Gap</w:t>
            </w:r>
          </w:p>
        </w:tc>
        <w:tc>
          <w:tcPr>
            <w:tcW w:w="0" w:type="auto"/>
            <w:hideMark/>
          </w:tcPr>
          <w:p w14:paraId="7EB4AAD5"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Medium</w:t>
            </w:r>
          </w:p>
        </w:tc>
        <w:tc>
          <w:tcPr>
            <w:tcW w:w="0" w:type="auto"/>
            <w:hideMark/>
          </w:tcPr>
          <w:p w14:paraId="740AB60C"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Medium</w:t>
            </w:r>
          </w:p>
        </w:tc>
        <w:tc>
          <w:tcPr>
            <w:tcW w:w="0" w:type="auto"/>
            <w:hideMark/>
          </w:tcPr>
          <w:p w14:paraId="59F6D030" w14:textId="77777777"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Moderate</w:t>
            </w:r>
          </w:p>
        </w:tc>
        <w:tc>
          <w:tcPr>
            <w:tcW w:w="0" w:type="auto"/>
            <w:hideMark/>
          </w:tcPr>
          <w:p w14:paraId="6C9D9594" w14:textId="708CC6E1" w:rsidR="008139AF" w:rsidRPr="008139AF" w:rsidRDefault="008139AF" w:rsidP="008139AF">
            <w:pPr>
              <w:spacing w:line="360" w:lineRule="auto"/>
              <w:jc w:val="both"/>
              <w:rPr>
                <w:rFonts w:eastAsia="Times New Roman"/>
                <w:color w:val="FF0000"/>
                <w:sz w:val="24"/>
                <w:szCs w:val="24"/>
                <w:lang w:val="en-IN"/>
              </w:rPr>
            </w:pPr>
            <w:r w:rsidRPr="00666C83">
              <w:rPr>
                <w:rFonts w:eastAsia="Times New Roman"/>
                <w:color w:val="000000" w:themeColor="text1"/>
                <w:sz w:val="24"/>
                <w:szCs w:val="24"/>
                <w:lang w:val="en-IN"/>
              </w:rPr>
              <w:t>Education</w:t>
            </w:r>
            <w:r w:rsidRPr="008139AF">
              <w:rPr>
                <w:rFonts w:eastAsia="Times New Roman"/>
                <w:color w:val="FF0000"/>
                <w:sz w:val="24"/>
                <w:szCs w:val="24"/>
                <w:lang w:val="en-IN"/>
              </w:rPr>
              <w:t xml:space="preserve"> </w:t>
            </w:r>
            <w:r w:rsidRPr="00666C83">
              <w:rPr>
                <w:rFonts w:eastAsia="Times New Roman"/>
                <w:color w:val="000000" w:themeColor="text1"/>
                <w:sz w:val="24"/>
                <w:szCs w:val="24"/>
                <w:lang w:val="en-IN"/>
              </w:rPr>
              <w:t>campaigns</w:t>
            </w:r>
            <w:r w:rsidRPr="008139AF">
              <w:rPr>
                <w:rFonts w:eastAsia="Times New Roman"/>
                <w:color w:val="FF0000"/>
                <w:sz w:val="24"/>
                <w:szCs w:val="24"/>
                <w:lang w:val="en-IN"/>
              </w:rPr>
              <w:t xml:space="preserve"> </w:t>
            </w:r>
            <w:r w:rsidR="00123906" w:rsidRPr="00C329BA">
              <w:rPr>
                <w:rFonts w:eastAsia="Times New Roman"/>
                <w:color w:val="000000" w:themeColor="text1"/>
                <w:sz w:val="24"/>
                <w:szCs w:val="24"/>
                <w:lang w:val="en-IN"/>
              </w:rPr>
              <w:t>and</w:t>
            </w:r>
            <w:r w:rsidRPr="008139AF">
              <w:rPr>
                <w:rFonts w:eastAsia="Times New Roman"/>
                <w:color w:val="FF0000"/>
                <w:sz w:val="24"/>
                <w:szCs w:val="24"/>
                <w:lang w:val="en-IN"/>
              </w:rPr>
              <w:t xml:space="preserve"> </w:t>
            </w:r>
            <w:r w:rsidRPr="00C329BA">
              <w:rPr>
                <w:rFonts w:eastAsia="Times New Roman"/>
                <w:color w:val="000000" w:themeColor="text1"/>
                <w:sz w:val="24"/>
                <w:szCs w:val="24"/>
                <w:lang w:val="en-IN"/>
              </w:rPr>
              <w:t>partnerships</w:t>
            </w:r>
            <w:r w:rsidR="00DC11FB">
              <w:rPr>
                <w:rFonts w:eastAsia="Times New Roman"/>
                <w:color w:val="000000" w:themeColor="text1"/>
                <w:sz w:val="24"/>
                <w:szCs w:val="24"/>
                <w:lang w:val="en-IN"/>
              </w:rPr>
              <w:t xml:space="preserve">. </w:t>
            </w:r>
          </w:p>
        </w:tc>
      </w:tr>
    </w:tbl>
    <w:p w14:paraId="4641342F" w14:textId="3E801D81" w:rsidR="008139AF" w:rsidRPr="007A0ADC" w:rsidRDefault="00991820" w:rsidP="00991820">
      <w:pPr>
        <w:spacing w:line="360" w:lineRule="auto"/>
        <w:jc w:val="center"/>
        <w:rPr>
          <w:rFonts w:eastAsia="Times New Roman"/>
          <w:b/>
          <w:bCs/>
          <w:color w:val="000000" w:themeColor="text1"/>
          <w:sz w:val="24"/>
          <w:szCs w:val="24"/>
          <w:lang w:val="en-GB"/>
        </w:rPr>
      </w:pPr>
      <w:r w:rsidRPr="007A0ADC">
        <w:rPr>
          <w:rFonts w:eastAsia="Times New Roman"/>
          <w:b/>
          <w:bCs/>
          <w:color w:val="000000" w:themeColor="text1"/>
          <w:sz w:val="24"/>
          <w:szCs w:val="24"/>
          <w:lang w:val="en-GB"/>
        </w:rPr>
        <w:t>Table 3: Risk matrix table</w:t>
      </w:r>
    </w:p>
    <w:p w14:paraId="314F31BB" w14:textId="06AD3969" w:rsidR="00991820" w:rsidRPr="007A0ADC" w:rsidRDefault="00991820" w:rsidP="00991820">
      <w:pPr>
        <w:spacing w:line="360" w:lineRule="auto"/>
        <w:jc w:val="center"/>
        <w:rPr>
          <w:rFonts w:eastAsia="Times New Roman"/>
          <w:color w:val="000000" w:themeColor="text1"/>
          <w:sz w:val="24"/>
          <w:szCs w:val="24"/>
          <w:lang w:val="en-GB"/>
        </w:rPr>
      </w:pPr>
      <w:r w:rsidRPr="007A0ADC">
        <w:rPr>
          <w:rFonts w:eastAsia="Times New Roman"/>
          <w:color w:val="000000" w:themeColor="text1"/>
          <w:sz w:val="24"/>
          <w:szCs w:val="24"/>
          <w:lang w:val="en-GB"/>
        </w:rPr>
        <w:t>(Source: Self-developed)</w:t>
      </w:r>
    </w:p>
    <w:p w14:paraId="5D70DB60" w14:textId="77777777" w:rsidR="006E3E9B" w:rsidRDefault="006E3E9B" w:rsidP="006E3E9B">
      <w:pPr>
        <w:spacing w:line="360" w:lineRule="auto"/>
        <w:jc w:val="both"/>
        <w:rPr>
          <w:rFonts w:eastAsia="Times New Roman"/>
          <w:color w:val="000000"/>
          <w:sz w:val="24"/>
          <w:szCs w:val="24"/>
          <w:lang w:val="en-GB"/>
        </w:rPr>
      </w:pPr>
      <w:r w:rsidRPr="00E43504">
        <w:rPr>
          <w:rFonts w:eastAsia="Times New Roman"/>
          <w:color w:val="000000"/>
          <w:sz w:val="24"/>
          <w:szCs w:val="24"/>
          <w:lang w:val="en-GB"/>
        </w:rPr>
        <w:t>Joint ventures with domestic suppliers and localization of component production can help eliminate operational risks such as supply chain disruptions and reliance on imported batteries (</w:t>
      </w:r>
      <w:r w:rsidRPr="00E43504">
        <w:rPr>
          <w:rFonts w:eastAsia="Times New Roman"/>
          <w:color w:val="222222"/>
          <w:sz w:val="24"/>
          <w:szCs w:val="24"/>
          <w:shd w:val="clear" w:color="auto" w:fill="FFFFFF"/>
          <w:lang w:val="en-GB"/>
        </w:rPr>
        <w:t>George, 2024</w:t>
      </w:r>
      <w:r w:rsidRPr="00E43504">
        <w:rPr>
          <w:rFonts w:eastAsia="Times New Roman"/>
          <w:color w:val="000000"/>
          <w:sz w:val="24"/>
          <w:szCs w:val="24"/>
          <w:lang w:val="en-GB"/>
        </w:rPr>
        <w:t>). The domestic competitors such as VinFast and the emerging brands of Chinese EV are at competitive risk (</w:t>
      </w:r>
      <w:r w:rsidRPr="00E43504">
        <w:rPr>
          <w:rFonts w:eastAsia="Times New Roman"/>
          <w:color w:val="222222"/>
          <w:sz w:val="24"/>
          <w:szCs w:val="24"/>
          <w:shd w:val="clear" w:color="auto" w:fill="FFFFFF"/>
          <w:lang w:val="en-GB"/>
        </w:rPr>
        <w:t>Nguyen and Pham, 2022</w:t>
      </w:r>
      <w:r w:rsidRPr="00E43504">
        <w:rPr>
          <w:rFonts w:eastAsia="Times New Roman"/>
          <w:color w:val="000000"/>
          <w:sz w:val="24"/>
          <w:szCs w:val="24"/>
          <w:lang w:val="en-GB"/>
        </w:rPr>
        <w:t>). Tesla has an opportunity to distinguish based on the high level of autonomy, battery efficiency and after-sales service. Finally, the currency and geopolitical risks associated with exchange rate fluctuations and trade tension may be averted through utilisation of hedging instruments and sourcing locally. Tesla will be able to balance between the opportunity and resilience through the dynamic risk management structure and flexible operation that will bring success to its business in the long-term in the fast-changing EV market in Vietnam. </w:t>
      </w:r>
    </w:p>
    <w:p w14:paraId="2BB69239" w14:textId="471ABDD6" w:rsidR="00123906" w:rsidRPr="007A0ADC" w:rsidRDefault="00123906" w:rsidP="006E3E9B">
      <w:pPr>
        <w:spacing w:line="360" w:lineRule="auto"/>
        <w:jc w:val="both"/>
        <w:rPr>
          <w:rFonts w:eastAsia="Times New Roman"/>
          <w:color w:val="000000" w:themeColor="text1"/>
          <w:sz w:val="24"/>
          <w:szCs w:val="24"/>
          <w:lang w:val="en-GB"/>
        </w:rPr>
      </w:pPr>
      <w:r w:rsidRPr="007A0ADC">
        <w:rPr>
          <w:rFonts w:eastAsia="Times New Roman"/>
          <w:color w:val="000000" w:themeColor="text1"/>
          <w:sz w:val="24"/>
          <w:szCs w:val="24"/>
          <w:lang w:val="en-GB"/>
        </w:rPr>
        <w:t>The risks would be prioritised using a likelihood impact risk matrix as a first step to strengthen the analysis [Table 3]. The principal threats to Tesla's potential operations in Vietnam are political risk, competitive pricing, supply chain dependency and limited infrastructure for charging.  Each can be mitigated by including plans for risk mitigation. As per instance, political risk can be mitigated by continuously engaging the new regulatory environment and pricing pressure can be mitigated by considering localisation and modular applications. Supply chain dependency can be mitigated by sourcing through joint ventures and limited charging infrastructure can be addressed through the phased-in expansion of Superchargers. The prioritisation of the risks demonstrates the structured and proactive approach to risk mitigation for a market-entry strategy for Tesla.</w:t>
      </w:r>
    </w:p>
    <w:p w14:paraId="4D9CE783" w14:textId="77777777" w:rsidR="006E3E9B" w:rsidRPr="00E43504" w:rsidRDefault="006E3E9B" w:rsidP="006E3E9B">
      <w:pPr>
        <w:pStyle w:val="Heading1"/>
        <w:rPr>
          <w:lang w:val="en-GB"/>
        </w:rPr>
      </w:pPr>
      <w:bookmarkStart w:id="30" w:name="_Toc213778196"/>
      <w:bookmarkStart w:id="31" w:name="_Toc213780711"/>
      <w:r w:rsidRPr="00E43504">
        <w:rPr>
          <w:lang w:val="en-GB"/>
        </w:rPr>
        <w:t>4. Performance Evaluation Framework</w:t>
      </w:r>
      <w:bookmarkEnd w:id="30"/>
      <w:bookmarkEnd w:id="31"/>
      <w:r w:rsidRPr="00E43504">
        <w:rPr>
          <w:lang w:val="en-GB"/>
        </w:rPr>
        <w:t> </w:t>
      </w:r>
    </w:p>
    <w:p w14:paraId="176A6D2D"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 xml:space="preserve">A performance assessment system should be adopted to facilitate the successful entry of Tesla in the Vietnamese market and guarantee its sustainability. The framework will be used as a strategic monitoring instrument to evaluate the effectiveness of Tesla </w:t>
      </w:r>
      <w:r w:rsidRPr="00E43504">
        <w:rPr>
          <w:rFonts w:eastAsia="Times New Roman"/>
          <w:color w:val="000000"/>
          <w:sz w:val="24"/>
          <w:szCs w:val="24"/>
          <w:lang w:val="en-GB"/>
        </w:rPr>
        <w:lastRenderedPageBreak/>
        <w:t>operations on the global mission of speeding up the global transition to sustainable energy and the business profitability and market expansion in the Vietnamese background. The performance framework is a combination of financial, operation, environmental and strategic indicators through both qualitative and quantitative methodologies including the Balanced Scorecard and the Key Performance Indicators (KPIs).</w:t>
      </w:r>
    </w:p>
    <w:p w14:paraId="68EB0FFE" w14:textId="77777777" w:rsidR="006E3E9B" w:rsidRPr="00E43504" w:rsidRDefault="006E3E9B" w:rsidP="006E3E9B">
      <w:pPr>
        <w:pStyle w:val="Heading2"/>
        <w:rPr>
          <w:rFonts w:ascii="Arial" w:hAnsi="Arial" w:cs="Arial"/>
          <w:lang w:val="en-GB"/>
        </w:rPr>
      </w:pPr>
      <w:bookmarkStart w:id="32" w:name="_Toc213778197"/>
      <w:bookmarkStart w:id="33" w:name="_Toc213780712"/>
      <w:r w:rsidRPr="00E43504">
        <w:rPr>
          <w:rFonts w:ascii="Arial" w:hAnsi="Arial" w:cs="Arial"/>
          <w:lang w:val="en-GB"/>
        </w:rPr>
        <w:t>4.1 Balanced Scorecard Development</w:t>
      </w:r>
      <w:bookmarkEnd w:id="32"/>
      <w:bookmarkEnd w:id="33"/>
    </w:p>
    <w:p w14:paraId="1CD16967"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The balanced scorecard framework, proposed by Kaplan and Norton, would be appropriate in the case of Tesla going global as it connects the strategic goals to the quantifiable results in four perspectives such as financial, customer, internal process and learning and growth (</w:t>
      </w:r>
      <w:r w:rsidRPr="00E43504">
        <w:rPr>
          <w:rFonts w:eastAsia="Times New Roman"/>
          <w:color w:val="222222"/>
          <w:sz w:val="24"/>
          <w:szCs w:val="24"/>
          <w:shd w:val="clear" w:color="auto" w:fill="FFFFFF"/>
          <w:lang w:val="en-GB"/>
        </w:rPr>
        <w:t>Madsen, 2025</w:t>
      </w:r>
      <w:r w:rsidRPr="00E43504">
        <w:rPr>
          <w:rFonts w:eastAsia="Times New Roman"/>
          <w:color w:val="000000"/>
          <w:sz w:val="24"/>
          <w:szCs w:val="24"/>
          <w:lang w:val="en-GB"/>
        </w:rPr>
        <w:t>).</w:t>
      </w:r>
    </w:p>
    <w:p w14:paraId="28C55E00" w14:textId="77777777" w:rsidR="006E3E9B" w:rsidRPr="00E43504" w:rsidRDefault="006E3E9B" w:rsidP="006E3E9B">
      <w:pPr>
        <w:spacing w:line="360" w:lineRule="auto"/>
        <w:jc w:val="center"/>
        <w:rPr>
          <w:rFonts w:eastAsia="Times New Roman"/>
          <w:lang w:val="en-GB"/>
        </w:rPr>
      </w:pPr>
      <w:r w:rsidRPr="00E43504">
        <w:rPr>
          <w:rFonts w:eastAsia="Times New Roman"/>
          <w:noProof/>
          <w:color w:val="000000"/>
          <w:bdr w:val="none" w:sz="0" w:space="0" w:color="auto" w:frame="1"/>
          <w:lang w:val="en-GB"/>
        </w:rPr>
        <w:drawing>
          <wp:inline distT="0" distB="0" distL="0" distR="0" wp14:anchorId="1D5EF593" wp14:editId="5EFFBE20">
            <wp:extent cx="3819525" cy="18478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9525" cy="1847850"/>
                    </a:xfrm>
                    <a:prstGeom prst="rect">
                      <a:avLst/>
                    </a:prstGeom>
                    <a:noFill/>
                    <a:ln>
                      <a:noFill/>
                    </a:ln>
                  </pic:spPr>
                </pic:pic>
              </a:graphicData>
            </a:graphic>
          </wp:inline>
        </w:drawing>
      </w:r>
    </w:p>
    <w:p w14:paraId="36B3E7B7" w14:textId="77777777" w:rsidR="006E3E9B" w:rsidRPr="00E43504" w:rsidRDefault="006E3E9B" w:rsidP="006E3E9B">
      <w:pPr>
        <w:spacing w:line="360" w:lineRule="auto"/>
        <w:jc w:val="center"/>
        <w:rPr>
          <w:rFonts w:eastAsia="Times New Roman"/>
          <w:sz w:val="24"/>
          <w:szCs w:val="24"/>
          <w:lang w:val="en-GB"/>
        </w:rPr>
      </w:pPr>
      <w:r w:rsidRPr="00E43504">
        <w:rPr>
          <w:rFonts w:eastAsia="Times New Roman"/>
          <w:b/>
          <w:bCs/>
          <w:color w:val="000000"/>
          <w:sz w:val="24"/>
          <w:szCs w:val="24"/>
          <w:lang w:val="en-GB"/>
        </w:rPr>
        <w:t xml:space="preserve">Figure </w:t>
      </w:r>
      <w:r w:rsidR="00B219E2" w:rsidRPr="00E43504">
        <w:rPr>
          <w:rFonts w:eastAsia="Times New Roman"/>
          <w:b/>
          <w:bCs/>
          <w:color w:val="000000"/>
          <w:sz w:val="24"/>
          <w:szCs w:val="24"/>
          <w:lang w:val="en-GB"/>
        </w:rPr>
        <w:t>3</w:t>
      </w:r>
      <w:r w:rsidRPr="00E43504">
        <w:rPr>
          <w:rFonts w:eastAsia="Times New Roman"/>
          <w:b/>
          <w:bCs/>
          <w:color w:val="000000"/>
          <w:sz w:val="24"/>
          <w:szCs w:val="24"/>
          <w:lang w:val="en-GB"/>
        </w:rPr>
        <w:t>: Four aspects of Balanced Scorecard</w:t>
      </w:r>
    </w:p>
    <w:p w14:paraId="2ECD166C" w14:textId="77777777" w:rsidR="006E3E9B" w:rsidRPr="00E43504" w:rsidRDefault="006E3E9B" w:rsidP="006E3E9B">
      <w:pPr>
        <w:spacing w:line="360" w:lineRule="auto"/>
        <w:jc w:val="center"/>
        <w:rPr>
          <w:rFonts w:eastAsia="Times New Roman"/>
          <w:sz w:val="24"/>
          <w:szCs w:val="24"/>
          <w:lang w:val="en-GB"/>
        </w:rPr>
      </w:pPr>
      <w:r w:rsidRPr="00E43504">
        <w:rPr>
          <w:rFonts w:eastAsia="Times New Roman"/>
          <w:color w:val="000000"/>
          <w:sz w:val="24"/>
          <w:szCs w:val="24"/>
          <w:lang w:val="en-GB"/>
        </w:rPr>
        <w:t xml:space="preserve">(Source: </w:t>
      </w:r>
      <w:r w:rsidRPr="00E43504">
        <w:rPr>
          <w:rFonts w:eastAsia="Times New Roman"/>
          <w:color w:val="222222"/>
          <w:sz w:val="24"/>
          <w:szCs w:val="24"/>
          <w:shd w:val="clear" w:color="auto" w:fill="FFFFFF"/>
          <w:lang w:val="en-GB"/>
        </w:rPr>
        <w:t>Madsen, 2025</w:t>
      </w:r>
      <w:r w:rsidRPr="00E43504">
        <w:rPr>
          <w:rFonts w:eastAsia="Times New Roman"/>
          <w:color w:val="000000"/>
          <w:sz w:val="24"/>
          <w:szCs w:val="24"/>
          <w:lang w:val="en-GB"/>
        </w:rPr>
        <w:t>)</w:t>
      </w:r>
    </w:p>
    <w:p w14:paraId="0CE1F6E4" w14:textId="77777777" w:rsidR="006E3E9B" w:rsidRPr="00E43504" w:rsidRDefault="006E3E9B" w:rsidP="006E3E9B">
      <w:pPr>
        <w:spacing w:line="360" w:lineRule="auto"/>
        <w:jc w:val="both"/>
        <w:rPr>
          <w:rFonts w:eastAsia="Times New Roman"/>
          <w:lang w:val="en-GB"/>
        </w:rPr>
      </w:pPr>
      <w:r w:rsidRPr="00E43504">
        <w:rPr>
          <w:rFonts w:eastAsia="Times New Roman"/>
          <w:b/>
          <w:bCs/>
          <w:color w:val="000000"/>
          <w:lang w:val="en-GB"/>
        </w:rPr>
        <w:t>Financial Perspective</w:t>
      </w:r>
    </w:p>
    <w:p w14:paraId="53C95182"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The measures Tesla has to follow include the growth of the revenues, return-on-investment (ROI) and operating margins within the framework of its operations in Vietnam. Financial success can be estimated in the short-term in terms of the sales volume of both model 3 and model Y vehicles in quarters and long-term sustainability in terms of realizing positive cash flow and breakeven in 3-5 years. The creation of a local Gigafactory or assembly plant will also ensure the prices of importation will be lower and this will help enhance profitability in the long-term.</w:t>
      </w:r>
    </w:p>
    <w:p w14:paraId="6D48C968" w14:textId="77777777" w:rsidR="006E3E9B" w:rsidRPr="00E43504" w:rsidRDefault="006E3E9B" w:rsidP="006E3E9B">
      <w:pPr>
        <w:spacing w:line="360" w:lineRule="auto"/>
        <w:jc w:val="both"/>
        <w:rPr>
          <w:rFonts w:eastAsia="Times New Roman"/>
          <w:lang w:val="en-GB"/>
        </w:rPr>
      </w:pPr>
      <w:r w:rsidRPr="00E43504">
        <w:rPr>
          <w:rFonts w:eastAsia="Times New Roman"/>
          <w:b/>
          <w:bCs/>
          <w:color w:val="000000"/>
          <w:lang w:val="en-GB"/>
        </w:rPr>
        <w:t>Customer Perspective</w:t>
      </w:r>
    </w:p>
    <w:p w14:paraId="1C638B2D"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lastRenderedPageBreak/>
        <w:t>The success of Tesla depends on customer satisfaction and brand loyalty. KPIs in this dimension are Net Promoter Score (NPS), customer retention rate and customer satisfaction ratings. Tesla will need to invest in education and brand awareness initiatives to improve the perception of the people given that EV adoption in Vietnam is still at its infancy. Customer acceptance will be measured by such metrics as test drive participation rates, social media engagements and sales conversion rates (</w:t>
      </w:r>
      <w:r w:rsidRPr="00E43504">
        <w:rPr>
          <w:rFonts w:eastAsia="Times New Roman"/>
          <w:color w:val="222222"/>
          <w:sz w:val="24"/>
          <w:szCs w:val="24"/>
          <w:shd w:val="clear" w:color="auto" w:fill="FFFFFF"/>
          <w:lang w:val="en-GB"/>
        </w:rPr>
        <w:t xml:space="preserve">Prasetio </w:t>
      </w:r>
      <w:r w:rsidRPr="00E43504">
        <w:rPr>
          <w:rFonts w:eastAsia="Times New Roman"/>
          <w:i/>
          <w:iCs/>
          <w:color w:val="222222"/>
          <w:sz w:val="24"/>
          <w:szCs w:val="24"/>
          <w:shd w:val="clear" w:color="auto" w:fill="FFFFFF"/>
          <w:lang w:val="en-GB"/>
        </w:rPr>
        <w:t>et al</w:t>
      </w:r>
      <w:r w:rsidRPr="00E43504">
        <w:rPr>
          <w:rFonts w:eastAsia="Times New Roman"/>
          <w:color w:val="222222"/>
          <w:sz w:val="24"/>
          <w:szCs w:val="24"/>
          <w:shd w:val="clear" w:color="auto" w:fill="FFFFFF"/>
          <w:lang w:val="en-GB"/>
        </w:rPr>
        <w:t>., 2025</w:t>
      </w:r>
      <w:r w:rsidRPr="00E43504">
        <w:rPr>
          <w:rFonts w:eastAsia="Times New Roman"/>
          <w:color w:val="000000"/>
          <w:sz w:val="24"/>
          <w:szCs w:val="24"/>
          <w:lang w:val="en-GB"/>
        </w:rPr>
        <w:t>).</w:t>
      </w:r>
    </w:p>
    <w:p w14:paraId="31DF0282" w14:textId="77777777" w:rsidR="006E3E9B" w:rsidRPr="00E43504" w:rsidRDefault="006E3E9B" w:rsidP="006E3E9B">
      <w:pPr>
        <w:spacing w:line="360" w:lineRule="auto"/>
        <w:jc w:val="both"/>
        <w:rPr>
          <w:rFonts w:eastAsia="Times New Roman"/>
          <w:lang w:val="en-GB"/>
        </w:rPr>
      </w:pPr>
      <w:r w:rsidRPr="00E43504">
        <w:rPr>
          <w:rFonts w:eastAsia="Times New Roman"/>
          <w:b/>
          <w:bCs/>
          <w:color w:val="000000"/>
          <w:lang w:val="en-GB"/>
        </w:rPr>
        <w:t>Internal process Perspective</w:t>
      </w:r>
    </w:p>
    <w:p w14:paraId="537001CD"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 A major success factor of a competitive EV market is its operational excellence. Some of the performance indicators ought to be production efficiency, lead time of delivery, supply chain reliability, and rate of expansion of the charging network. The staged approach of Tesla such as importation, infrastructure implementation, and the local manufacturing, should be followed with the assistance of such milestones as the number of Supercharger stations installed per quarter and the output of the local assembly lines. The primary focus of this dimension will entail maintaining quality standards across the globe at a cheaper cost by local partnerships.</w:t>
      </w:r>
    </w:p>
    <w:p w14:paraId="0B0207BE" w14:textId="77777777" w:rsidR="006E3E9B" w:rsidRPr="00E43504" w:rsidRDefault="006E3E9B" w:rsidP="006E3E9B">
      <w:pPr>
        <w:spacing w:line="360" w:lineRule="auto"/>
        <w:jc w:val="both"/>
        <w:rPr>
          <w:rFonts w:eastAsia="Times New Roman"/>
          <w:lang w:val="en-GB"/>
        </w:rPr>
      </w:pPr>
    </w:p>
    <w:p w14:paraId="67EFB792" w14:textId="77777777" w:rsidR="006E3E9B" w:rsidRPr="00E43504" w:rsidRDefault="006E3E9B" w:rsidP="006E3E9B">
      <w:pPr>
        <w:spacing w:line="360" w:lineRule="auto"/>
        <w:jc w:val="both"/>
        <w:rPr>
          <w:rFonts w:eastAsia="Times New Roman"/>
          <w:lang w:val="en-GB"/>
        </w:rPr>
      </w:pPr>
      <w:r w:rsidRPr="00E43504">
        <w:rPr>
          <w:rFonts w:eastAsia="Times New Roman"/>
          <w:b/>
          <w:bCs/>
          <w:color w:val="000000"/>
          <w:lang w:val="en-GB"/>
        </w:rPr>
        <w:t>Learning and growth Perspective</w:t>
      </w:r>
    </w:p>
    <w:p w14:paraId="72625B0A"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Human resource development and innovation capabilities are strategic when Tesla is establishing itself in Vietnam. Some of the KPIs can encompass the number of hours an employee has been trained, the amount of R&amp;D spent on battery optimisation as well as the local skill development programs in cooperation with Vietnamese universities. </w:t>
      </w:r>
    </w:p>
    <w:p w14:paraId="424B8A44" w14:textId="77777777" w:rsidR="006E3E9B" w:rsidRPr="00E43504" w:rsidRDefault="006E3E9B" w:rsidP="006E3E9B">
      <w:pPr>
        <w:pStyle w:val="Heading2"/>
        <w:rPr>
          <w:rFonts w:ascii="Arial" w:hAnsi="Arial" w:cs="Arial"/>
          <w:lang w:val="en-GB"/>
        </w:rPr>
      </w:pPr>
      <w:bookmarkStart w:id="34" w:name="_Toc213778198"/>
      <w:bookmarkStart w:id="35" w:name="_Toc213780713"/>
      <w:r w:rsidRPr="00E43504">
        <w:rPr>
          <w:rFonts w:ascii="Arial" w:hAnsi="Arial" w:cs="Arial"/>
          <w:lang w:val="en-GB"/>
        </w:rPr>
        <w:t>4.2 Sustainability and Environment Performance</w:t>
      </w:r>
      <w:bookmarkEnd w:id="34"/>
      <w:bookmarkEnd w:id="35"/>
    </w:p>
    <w:p w14:paraId="67042173"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Since the mission of Tesla is in place, environmental performance assessment is part of it. This consists of monitoring a decrease in CO</w:t>
      </w:r>
      <w:r w:rsidRPr="00E43504">
        <w:rPr>
          <w:rFonts w:eastAsia="Times New Roman"/>
          <w:color w:val="000000"/>
          <w:sz w:val="24"/>
          <w:szCs w:val="24"/>
          <w:vertAlign w:val="subscript"/>
          <w:lang w:val="en-GB"/>
        </w:rPr>
        <w:t>2</w:t>
      </w:r>
      <w:r w:rsidRPr="00E43504">
        <w:rPr>
          <w:rFonts w:eastAsia="Times New Roman"/>
          <w:color w:val="000000"/>
          <w:sz w:val="24"/>
          <w:szCs w:val="24"/>
          <w:lang w:val="en-GB"/>
        </w:rPr>
        <w:t xml:space="preserve"> emissions with the adoption of EVs in Vietnam, the proportion of renewable energy utilized in production and adherence to the environmental standards in accordance with the National Strategy on Green Growth in Vietnam (2021-2030) (</w:t>
      </w:r>
      <w:r w:rsidRPr="00E43504">
        <w:rPr>
          <w:rFonts w:eastAsia="Times New Roman"/>
          <w:color w:val="222222"/>
          <w:sz w:val="24"/>
          <w:szCs w:val="24"/>
          <w:shd w:val="clear" w:color="auto" w:fill="FFFFFF"/>
          <w:lang w:val="en-GB"/>
        </w:rPr>
        <w:t xml:space="preserve">Hiep </w:t>
      </w:r>
      <w:r w:rsidRPr="00E43504">
        <w:rPr>
          <w:rFonts w:eastAsia="Times New Roman"/>
          <w:i/>
          <w:iCs/>
          <w:color w:val="222222"/>
          <w:sz w:val="24"/>
          <w:szCs w:val="24"/>
          <w:shd w:val="clear" w:color="auto" w:fill="FFFFFF"/>
          <w:lang w:val="en-GB"/>
        </w:rPr>
        <w:t>et al</w:t>
      </w:r>
      <w:r w:rsidRPr="00E43504">
        <w:rPr>
          <w:rFonts w:eastAsia="Times New Roman"/>
          <w:color w:val="222222"/>
          <w:sz w:val="24"/>
          <w:szCs w:val="24"/>
          <w:shd w:val="clear" w:color="auto" w:fill="FFFFFF"/>
          <w:lang w:val="en-GB"/>
        </w:rPr>
        <w:t>., 2023</w:t>
      </w:r>
      <w:r w:rsidRPr="00E43504">
        <w:rPr>
          <w:rFonts w:eastAsia="Times New Roman"/>
          <w:color w:val="000000"/>
          <w:sz w:val="24"/>
          <w:szCs w:val="24"/>
          <w:lang w:val="en-GB"/>
        </w:rPr>
        <w:t xml:space="preserve">). Together with SolarCity to implement renewable energy and build solar-powered Supercharger stations will help Tesla to strengthen its green brand image. There should be quantitative goals which should be the goals that </w:t>
      </w:r>
      <w:r w:rsidRPr="00E43504">
        <w:rPr>
          <w:rFonts w:eastAsia="Times New Roman"/>
          <w:color w:val="000000"/>
          <w:sz w:val="24"/>
          <w:szCs w:val="24"/>
          <w:lang w:val="en-GB"/>
        </w:rPr>
        <w:lastRenderedPageBreak/>
        <w:t>need to be reached in the form of a 30% reduction in carbon emission within the operations in the first five years which are to be publicly reported.</w:t>
      </w:r>
    </w:p>
    <w:p w14:paraId="2484354F" w14:textId="77777777" w:rsidR="006E3E9B" w:rsidRPr="00E43504" w:rsidRDefault="006E3E9B" w:rsidP="006E3E9B">
      <w:pPr>
        <w:pStyle w:val="Heading2"/>
        <w:rPr>
          <w:rFonts w:ascii="Arial" w:hAnsi="Arial" w:cs="Arial"/>
          <w:lang w:val="en-GB"/>
        </w:rPr>
      </w:pPr>
      <w:bookmarkStart w:id="36" w:name="_Toc213778199"/>
      <w:bookmarkStart w:id="37" w:name="_Toc213780714"/>
      <w:r w:rsidRPr="00E43504">
        <w:rPr>
          <w:rFonts w:ascii="Arial" w:hAnsi="Arial" w:cs="Arial"/>
          <w:lang w:val="en-GB"/>
        </w:rPr>
        <w:t>4.3 Strategic and Stakeholder Evaluation</w:t>
      </w:r>
      <w:bookmarkEnd w:id="36"/>
      <w:bookmarkEnd w:id="37"/>
    </w:p>
    <w:p w14:paraId="7EFDED30"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Strategic alignment and stakeholder engagement should also be incorporated in the performance assessment. The success of Tesla will rely on the fact that it maintains a positive relationship with the Vietnamese government, suppliers and local communities. The areas of key evaluation are the adherence to the Decision No. 876/QĐ-TTg (2022) on electric mobility incentives, the contentment with the local partners, as well as the contribution of Tesla to the national sustainability objectives. </w:t>
      </w:r>
    </w:p>
    <w:p w14:paraId="6E81544E" w14:textId="77777777" w:rsidR="006E3E9B" w:rsidRPr="00E43504" w:rsidRDefault="006E3E9B" w:rsidP="006E3E9B">
      <w:pPr>
        <w:pStyle w:val="Heading2"/>
        <w:rPr>
          <w:rFonts w:ascii="Arial" w:hAnsi="Arial" w:cs="Arial"/>
          <w:lang w:val="en-GB"/>
        </w:rPr>
      </w:pPr>
      <w:bookmarkStart w:id="38" w:name="_Toc213778200"/>
      <w:bookmarkStart w:id="39" w:name="_Toc213780715"/>
      <w:r w:rsidRPr="00E43504">
        <w:rPr>
          <w:rFonts w:ascii="Arial" w:hAnsi="Arial" w:cs="Arial"/>
          <w:lang w:val="en-GB"/>
        </w:rPr>
        <w:t>4.4 Constant Review and Feedback System</w:t>
      </w:r>
      <w:bookmarkEnd w:id="38"/>
      <w:bookmarkEnd w:id="39"/>
    </w:p>
    <w:p w14:paraId="728C1690" w14:textId="77777777" w:rsidR="006E3E9B" w:rsidRPr="00E43504" w:rsidRDefault="006E3E9B" w:rsidP="006E3E9B">
      <w:pPr>
        <w:spacing w:line="360" w:lineRule="auto"/>
        <w:jc w:val="both"/>
        <w:rPr>
          <w:rFonts w:eastAsia="Times New Roman"/>
          <w:sz w:val="24"/>
          <w:szCs w:val="24"/>
          <w:lang w:val="en-GB"/>
        </w:rPr>
      </w:pPr>
      <w:r w:rsidRPr="00E43504">
        <w:rPr>
          <w:rFonts w:eastAsia="Times New Roman"/>
          <w:color w:val="000000"/>
          <w:sz w:val="24"/>
          <w:szCs w:val="24"/>
          <w:lang w:val="en-GB"/>
        </w:rPr>
        <w:t>Tesla will need to have a local performance management office to gather, analyze and report on key performance data on a regular basis. The real-time analytics integration with the digital systems will enable the management to monitor the KPIs in real-time data on sales, energy consumption and network availability. </w:t>
      </w:r>
    </w:p>
    <w:p w14:paraId="034A979D" w14:textId="77777777" w:rsidR="006E3E9B" w:rsidRPr="00E43504" w:rsidRDefault="006E3E9B" w:rsidP="006E3E9B">
      <w:pPr>
        <w:pStyle w:val="Heading1"/>
        <w:rPr>
          <w:lang w:val="en-GB"/>
        </w:rPr>
      </w:pPr>
      <w:bookmarkStart w:id="40" w:name="_Toc213778201"/>
      <w:bookmarkStart w:id="41" w:name="_Toc213780716"/>
      <w:r w:rsidRPr="00E43504">
        <w:rPr>
          <w:lang w:val="en-GB"/>
        </w:rPr>
        <w:t>5. Recommendations and Conclusion</w:t>
      </w:r>
      <w:bookmarkEnd w:id="40"/>
      <w:bookmarkEnd w:id="41"/>
    </w:p>
    <w:p w14:paraId="5FA71AE7" w14:textId="77777777" w:rsidR="006E3E9B" w:rsidRPr="00E43504" w:rsidRDefault="006E3E9B" w:rsidP="006E3E9B">
      <w:pPr>
        <w:pStyle w:val="Heading2"/>
        <w:rPr>
          <w:rFonts w:ascii="Arial" w:hAnsi="Arial" w:cs="Arial"/>
          <w:lang w:val="en-GB"/>
        </w:rPr>
      </w:pPr>
      <w:bookmarkStart w:id="42" w:name="_Toc213778202"/>
      <w:bookmarkStart w:id="43" w:name="_Toc213780717"/>
      <w:r w:rsidRPr="00E43504">
        <w:rPr>
          <w:rFonts w:ascii="Arial" w:hAnsi="Arial" w:cs="Arial"/>
          <w:lang w:val="en-GB"/>
        </w:rPr>
        <w:t>5.1 Strategic Recommendations</w:t>
      </w:r>
      <w:bookmarkEnd w:id="42"/>
      <w:bookmarkEnd w:id="43"/>
    </w:p>
    <w:p w14:paraId="28C00AF4" w14:textId="77777777" w:rsidR="006E3E9B" w:rsidRPr="00E43504" w:rsidRDefault="006E3E9B"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It can be recommended, </w:t>
      </w:r>
    </w:p>
    <w:p w14:paraId="6A7106DC" w14:textId="77777777" w:rsidR="006E3E9B" w:rsidRPr="00E43504" w:rsidRDefault="006E3E9B" w:rsidP="006E3E9B">
      <w:pPr>
        <w:numPr>
          <w:ilvl w:val="0"/>
          <w:numId w:val="1"/>
        </w:numPr>
        <w:spacing w:before="240" w:line="360" w:lineRule="auto"/>
        <w:jc w:val="both"/>
        <w:rPr>
          <w:rFonts w:eastAsia="Times New Roman"/>
          <w:sz w:val="24"/>
          <w:szCs w:val="24"/>
          <w:lang w:val="en-GB"/>
        </w:rPr>
      </w:pPr>
      <w:r w:rsidRPr="00E43504">
        <w:rPr>
          <w:rFonts w:eastAsia="Times New Roman"/>
          <w:sz w:val="24"/>
          <w:szCs w:val="24"/>
          <w:lang w:val="en-GB"/>
        </w:rPr>
        <w:t xml:space="preserve">Tesla needs to utilise a complex strategy which consists of infrastructural development, affordability programs, localisation and innovation alliances to have a successful market entry and sustainable business in Vietnam (Su, 2024). </w:t>
      </w:r>
    </w:p>
    <w:p w14:paraId="0D21060F" w14:textId="77777777" w:rsidR="006E3E9B" w:rsidRPr="00E43504" w:rsidRDefault="006E3E9B" w:rsidP="006E3E9B">
      <w:pPr>
        <w:numPr>
          <w:ilvl w:val="0"/>
          <w:numId w:val="1"/>
        </w:numPr>
        <w:spacing w:line="360" w:lineRule="auto"/>
        <w:jc w:val="both"/>
        <w:rPr>
          <w:rFonts w:eastAsia="Times New Roman"/>
          <w:sz w:val="24"/>
          <w:szCs w:val="24"/>
          <w:lang w:val="en-GB"/>
        </w:rPr>
      </w:pPr>
      <w:r w:rsidRPr="00E43504">
        <w:rPr>
          <w:rFonts w:eastAsia="Times New Roman"/>
          <w:sz w:val="24"/>
          <w:szCs w:val="24"/>
          <w:lang w:val="en-GB"/>
        </w:rPr>
        <w:t xml:space="preserve">It is essential to scale EV charging infrastructure by collaborating with Vietnamese energy companies such as EVN and Petrolimex. Tesla ought to roll out Superchargers in key highways and cities such as Hanoi and Ho Chi Minh City in accordance with the National Electric Vehicle Infrastructure Development Plan (2024-2030) of Vietnam. This would make it more convenient and faster to embrace EVs.  </w:t>
      </w:r>
    </w:p>
    <w:p w14:paraId="46F222A6" w14:textId="77777777" w:rsidR="006E3E9B" w:rsidRPr="00E43504" w:rsidRDefault="006E3E9B" w:rsidP="006E3E9B">
      <w:pPr>
        <w:numPr>
          <w:ilvl w:val="0"/>
          <w:numId w:val="1"/>
        </w:numPr>
        <w:spacing w:line="360" w:lineRule="auto"/>
        <w:jc w:val="both"/>
        <w:rPr>
          <w:rFonts w:eastAsia="Times New Roman"/>
          <w:sz w:val="24"/>
          <w:szCs w:val="24"/>
          <w:lang w:val="en-GB"/>
        </w:rPr>
      </w:pPr>
      <w:r w:rsidRPr="00E43504">
        <w:rPr>
          <w:rFonts w:eastAsia="Times New Roman"/>
          <w:sz w:val="24"/>
          <w:szCs w:val="24"/>
          <w:lang w:val="en-GB"/>
        </w:rPr>
        <w:lastRenderedPageBreak/>
        <w:t xml:space="preserve">Middle-income consumers who constitute the fastest-growing section of the Vietnamese economy can be persuaded by the introduction of cheaper financing and leasing schemes (Dennis </w:t>
      </w:r>
      <w:r w:rsidRPr="00E43504">
        <w:rPr>
          <w:rFonts w:eastAsia="Times New Roman"/>
          <w:i/>
          <w:iCs/>
          <w:sz w:val="24"/>
          <w:szCs w:val="24"/>
          <w:lang w:val="en-GB"/>
        </w:rPr>
        <w:t>et al</w:t>
      </w:r>
      <w:r w:rsidRPr="00E43504">
        <w:rPr>
          <w:rFonts w:eastAsia="Times New Roman"/>
          <w:sz w:val="24"/>
          <w:szCs w:val="24"/>
          <w:lang w:val="en-GB"/>
        </w:rPr>
        <w:t xml:space="preserve">. 2024). </w:t>
      </w:r>
    </w:p>
    <w:p w14:paraId="522812CB" w14:textId="77777777" w:rsidR="006E3E9B" w:rsidRDefault="006E3E9B" w:rsidP="006E3E9B">
      <w:pPr>
        <w:numPr>
          <w:ilvl w:val="0"/>
          <w:numId w:val="1"/>
        </w:numPr>
        <w:spacing w:line="360" w:lineRule="auto"/>
        <w:jc w:val="both"/>
        <w:rPr>
          <w:rFonts w:eastAsia="Times New Roman"/>
          <w:sz w:val="24"/>
          <w:szCs w:val="24"/>
          <w:lang w:val="en-GB"/>
        </w:rPr>
      </w:pPr>
      <w:r w:rsidRPr="00E43504">
        <w:rPr>
          <w:rFonts w:eastAsia="Times New Roman"/>
          <w:sz w:val="24"/>
          <w:szCs w:val="24"/>
          <w:lang w:val="en-GB"/>
        </w:rPr>
        <w:t xml:space="preserve">Localising marketing through sustainability and innovation will enable the Tesla vehicle to become more accessible by collaborating with local banks such as Vietcombank to provide EV loans at a low-interest rate or instalment payments. Mobilisation efforts with clean mobility, the integration of renewable energy and high technology will attract the eco-friendly urban population (Kumar, 2025). </w:t>
      </w:r>
    </w:p>
    <w:p w14:paraId="735C131D" w14:textId="5F387F64" w:rsidR="00A31A4B" w:rsidRPr="005423D6" w:rsidRDefault="00A31A4B" w:rsidP="006E3E9B">
      <w:pPr>
        <w:numPr>
          <w:ilvl w:val="0"/>
          <w:numId w:val="1"/>
        </w:numPr>
        <w:spacing w:line="360" w:lineRule="auto"/>
        <w:jc w:val="both"/>
        <w:rPr>
          <w:rFonts w:eastAsia="Times New Roman"/>
          <w:color w:val="000000" w:themeColor="text1"/>
          <w:sz w:val="24"/>
          <w:szCs w:val="24"/>
          <w:lang w:val="en-GB"/>
        </w:rPr>
      </w:pPr>
      <w:r w:rsidRPr="005423D6">
        <w:rPr>
          <w:rFonts w:eastAsia="Times New Roman"/>
          <w:color w:val="000000" w:themeColor="text1"/>
          <w:sz w:val="24"/>
          <w:szCs w:val="24"/>
          <w:lang w:val="en-GB"/>
        </w:rPr>
        <w:t>Tesla's roadmap should specify stages over time as milestones including Year 1 joint venture establishment and market rollout, Year 3 localisation and assembly expansion and Year 5 growth in the market share to 7-10%. All actions should progress with Balanced Scorecard traits including financial performance, customer adoption and internal process efficiency for continuous innovation.</w:t>
      </w:r>
    </w:p>
    <w:p w14:paraId="142ED0EF" w14:textId="69B81B87" w:rsidR="00A31A4B" w:rsidRPr="00A31A4B" w:rsidRDefault="006E3E9B" w:rsidP="00A31A4B">
      <w:pPr>
        <w:numPr>
          <w:ilvl w:val="0"/>
          <w:numId w:val="1"/>
        </w:numPr>
        <w:spacing w:line="360" w:lineRule="auto"/>
        <w:jc w:val="both"/>
        <w:rPr>
          <w:rFonts w:eastAsia="Times New Roman"/>
          <w:sz w:val="24"/>
          <w:szCs w:val="24"/>
          <w:lang w:val="en-GB"/>
        </w:rPr>
      </w:pPr>
      <w:r w:rsidRPr="00E43504">
        <w:rPr>
          <w:rFonts w:eastAsia="Times New Roman"/>
          <w:sz w:val="24"/>
          <w:szCs w:val="24"/>
          <w:lang w:val="en-GB"/>
        </w:rPr>
        <w:t xml:space="preserve">The establishment of research partnerships with Vietnamese universities and technology schools including the Vietnam National University (VNU) would help to create innovative battery, AI-assisted mobility and renewable integration. </w:t>
      </w:r>
    </w:p>
    <w:p w14:paraId="6DD33CE4" w14:textId="77777777" w:rsidR="006E3E9B" w:rsidRPr="00E43504" w:rsidRDefault="006E3E9B" w:rsidP="006E3E9B">
      <w:pPr>
        <w:numPr>
          <w:ilvl w:val="0"/>
          <w:numId w:val="1"/>
        </w:numPr>
        <w:spacing w:after="240" w:line="360" w:lineRule="auto"/>
        <w:jc w:val="both"/>
        <w:rPr>
          <w:rFonts w:eastAsia="Times New Roman"/>
          <w:sz w:val="24"/>
          <w:szCs w:val="24"/>
          <w:lang w:val="en-GB"/>
        </w:rPr>
      </w:pPr>
      <w:r w:rsidRPr="00E43504">
        <w:rPr>
          <w:rFonts w:eastAsia="Times New Roman"/>
          <w:sz w:val="24"/>
          <w:szCs w:val="24"/>
          <w:lang w:val="en-GB"/>
        </w:rPr>
        <w:t>This strategy helps to achieve the government's objectives of developing high-tech industries and developing a professional local labour force. All of these strategies will enhance a stronger brand of Tesla, align policy and achieve long-term competitiveness in the fast-growing Vietnamese EV market.</w:t>
      </w:r>
    </w:p>
    <w:p w14:paraId="5BD3E4AC" w14:textId="77777777" w:rsidR="006E3E9B" w:rsidRPr="00E43504" w:rsidRDefault="006E3E9B" w:rsidP="006E3E9B">
      <w:pPr>
        <w:pStyle w:val="Heading2"/>
        <w:rPr>
          <w:rFonts w:ascii="Arial" w:hAnsi="Arial" w:cs="Arial"/>
          <w:lang w:val="en-GB"/>
        </w:rPr>
      </w:pPr>
      <w:bookmarkStart w:id="44" w:name="_Toc213778203"/>
      <w:bookmarkStart w:id="45" w:name="_Toc213780718"/>
      <w:r w:rsidRPr="00E43504">
        <w:rPr>
          <w:rFonts w:ascii="Arial" w:hAnsi="Arial" w:cs="Arial"/>
          <w:lang w:val="en-GB"/>
        </w:rPr>
        <w:t>5.2 Conclusion</w:t>
      </w:r>
      <w:bookmarkEnd w:id="44"/>
      <w:bookmarkEnd w:id="45"/>
    </w:p>
    <w:p w14:paraId="5A3CD2AF" w14:textId="2986FEA1" w:rsidR="006E3E9B" w:rsidRPr="00E2762E" w:rsidRDefault="006E3E9B" w:rsidP="00E2762E">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There is a mutually beneficial opportunity in Tesla's strategic alignment with the sustainability and economic modernisation goals of Vietnam. The fact that the country is highly committed to Net Zero 2050, has powerful government initiatives and a growing middle class, presents a favourable environment for EV adoption. The Tesla logo on green mobility is a direct complement to the vision of the company to fast-track the world to the sustainable energy source, thus the brand is a natural fit in the clean energy transition of Vietnam. Expansion of infrastructure, financial availability, local relationships and cooperation in research are the key points that will help Tesla become a leader in the growing EV market in Vietnam. These strategies are capable of guaranteeing instant </w:t>
      </w:r>
      <w:r w:rsidRPr="00E43504">
        <w:rPr>
          <w:rFonts w:eastAsia="Times New Roman"/>
          <w:sz w:val="24"/>
          <w:szCs w:val="24"/>
          <w:lang w:val="en-GB"/>
        </w:rPr>
        <w:lastRenderedPageBreak/>
        <w:t>penetration in the market while creating a base upon which ASEAN can be the leader in the region in the long term. Vietnam provides a market-sharing opportunity for Tesla with a strategic move towards the achievement of its universal goal of sustainable mobility and innovation.</w:t>
      </w:r>
    </w:p>
    <w:p w14:paraId="71BC2D59" w14:textId="77777777" w:rsidR="008B7E85" w:rsidRDefault="008B7E85">
      <w:pPr>
        <w:rPr>
          <w:rFonts w:eastAsia="Times New Roman"/>
          <w:b/>
          <w:bCs/>
          <w:sz w:val="28"/>
          <w:szCs w:val="28"/>
          <w:lang w:val="en-GB"/>
        </w:rPr>
      </w:pPr>
      <w:bookmarkStart w:id="46" w:name="_Toc213780719"/>
      <w:r>
        <w:rPr>
          <w:lang w:val="en-GB"/>
        </w:rPr>
        <w:br w:type="page"/>
      </w:r>
    </w:p>
    <w:p w14:paraId="20B11023" w14:textId="1A23AA82" w:rsidR="00465194" w:rsidRPr="008E4267" w:rsidRDefault="00011FFF" w:rsidP="008E4267">
      <w:pPr>
        <w:pStyle w:val="Heading1"/>
        <w:rPr>
          <w:lang w:val="en-GB"/>
        </w:rPr>
      </w:pPr>
      <w:r w:rsidRPr="00E43504">
        <w:rPr>
          <w:lang w:val="en-GB"/>
        </w:rPr>
        <w:lastRenderedPageBreak/>
        <w:t xml:space="preserve">6. </w:t>
      </w:r>
      <w:r w:rsidR="006E3E9B" w:rsidRPr="00E43504">
        <w:rPr>
          <w:lang w:val="en-GB"/>
        </w:rPr>
        <w:t>References</w:t>
      </w:r>
      <w:bookmarkEnd w:id="46"/>
      <w:r w:rsidR="006E3E9B" w:rsidRPr="00E43504">
        <w:rPr>
          <w:lang w:val="en-GB"/>
        </w:rPr>
        <w:t xml:space="preserve"> </w:t>
      </w:r>
    </w:p>
    <w:p w14:paraId="43C4CCFB"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Autovistagroup</w:t>
      </w:r>
      <w:r>
        <w:rPr>
          <w:rFonts w:eastAsia="Times New Roman"/>
          <w:sz w:val="24"/>
          <w:szCs w:val="24"/>
          <w:lang w:val="en-GB"/>
        </w:rPr>
        <w:t xml:space="preserve">., </w:t>
      </w:r>
      <w:r w:rsidRPr="00E43504">
        <w:rPr>
          <w:rFonts w:eastAsia="Times New Roman"/>
          <w:sz w:val="24"/>
          <w:szCs w:val="24"/>
          <w:lang w:val="en-GB"/>
        </w:rPr>
        <w:t xml:space="preserve">2024. </w:t>
      </w:r>
      <w:r w:rsidRPr="00E43504">
        <w:rPr>
          <w:rFonts w:eastAsia="Times New Roman"/>
          <w:i/>
          <w:iCs/>
          <w:sz w:val="24"/>
          <w:szCs w:val="24"/>
          <w:lang w:val="en-GB"/>
        </w:rPr>
        <w:t>What are the global EV market’s most successful brands?</w:t>
      </w:r>
      <w:r w:rsidRPr="00E43504">
        <w:rPr>
          <w:rFonts w:eastAsia="Times New Roman"/>
          <w:sz w:val="24"/>
          <w:szCs w:val="24"/>
          <w:lang w:val="en-GB"/>
        </w:rPr>
        <w:t xml:space="preserve">. Available at: </w:t>
      </w:r>
      <w:hyperlink r:id="rId12" w:history="1">
        <w:r w:rsidRPr="00E43504">
          <w:rPr>
            <w:rStyle w:val="Hyperlink"/>
            <w:rFonts w:eastAsia="Times New Roman"/>
            <w:sz w:val="24"/>
            <w:szCs w:val="24"/>
            <w:lang w:val="en-GB"/>
          </w:rPr>
          <w:t>https://autovista24.autovistagroup.com/news/what-are-the-global-ev-markets-most-successful-brands/</w:t>
        </w:r>
      </w:hyperlink>
    </w:p>
    <w:p w14:paraId="6FF890D9" w14:textId="56CC6944" w:rsidR="00465194" w:rsidRPr="00E43504" w:rsidRDefault="00465194" w:rsidP="006E3E9B">
      <w:pPr>
        <w:spacing w:line="360" w:lineRule="auto"/>
        <w:jc w:val="both"/>
        <w:rPr>
          <w:rFonts w:eastAsia="Times New Roman"/>
          <w:sz w:val="24"/>
          <w:szCs w:val="24"/>
          <w:lang w:val="en-GB"/>
        </w:rPr>
      </w:pPr>
      <w:r w:rsidRPr="00E43504">
        <w:rPr>
          <w:rFonts w:eastAsia="Times New Roman"/>
          <w:sz w:val="24"/>
          <w:szCs w:val="24"/>
          <w:lang w:val="en-GB"/>
        </w:rPr>
        <w:t>Dennis, M., Metcalfe, R. and Ruiz, A.C., 2024. BUILDING AND IMPLEMENTING A RESEARCH AGENDA ON TRANSPORTATION DECARBONIZATION.</w:t>
      </w:r>
      <w:r w:rsidR="00D935B5">
        <w:rPr>
          <w:rFonts w:eastAsia="Times New Roman"/>
          <w:sz w:val="24"/>
          <w:szCs w:val="24"/>
          <w:lang w:val="en-GB"/>
        </w:rPr>
        <w:t xml:space="preserve"> Available at:</w:t>
      </w:r>
      <w:r w:rsidRPr="00E43504">
        <w:rPr>
          <w:rFonts w:eastAsia="Times New Roman"/>
          <w:sz w:val="24"/>
          <w:szCs w:val="24"/>
          <w:lang w:val="en-GB"/>
        </w:rPr>
        <w:t xml:space="preserve"> </w:t>
      </w:r>
      <w:hyperlink r:id="rId13">
        <w:r w:rsidRPr="00E43504">
          <w:rPr>
            <w:rFonts w:eastAsia="Times New Roman"/>
            <w:color w:val="1155CC"/>
            <w:sz w:val="24"/>
            <w:szCs w:val="24"/>
            <w:u w:val="single"/>
            <w:lang w:val="en-GB"/>
          </w:rPr>
          <w:t>https://www.povertyactionlab.org/sites/default/files/publication/Transportation_White_Paper_Nov_2024_V2_0.pdf</w:t>
        </w:r>
      </w:hyperlink>
      <w:r w:rsidRPr="00E43504">
        <w:rPr>
          <w:rFonts w:eastAsia="Times New Roman"/>
          <w:sz w:val="24"/>
          <w:szCs w:val="24"/>
          <w:lang w:val="en-GB"/>
        </w:rPr>
        <w:t xml:space="preserve"> </w:t>
      </w:r>
    </w:p>
    <w:p w14:paraId="2DD9C29A"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English.</w:t>
      </w:r>
      <w:r>
        <w:rPr>
          <w:rFonts w:eastAsia="Times New Roman"/>
          <w:sz w:val="24"/>
          <w:szCs w:val="24"/>
          <w:lang w:val="en-GB"/>
        </w:rPr>
        <w:t>,</w:t>
      </w:r>
      <w:r w:rsidRPr="00E43504">
        <w:rPr>
          <w:rFonts w:eastAsia="Times New Roman"/>
          <w:sz w:val="24"/>
          <w:szCs w:val="24"/>
          <w:lang w:val="en-GB"/>
        </w:rPr>
        <w:t xml:space="preserve"> 2024. Available at: </w:t>
      </w:r>
      <w:hyperlink r:id="rId14" w:history="1">
        <w:r w:rsidRPr="00E43504">
          <w:rPr>
            <w:rStyle w:val="Hyperlink"/>
            <w:rFonts w:eastAsia="Times New Roman"/>
            <w:sz w:val="24"/>
            <w:szCs w:val="24"/>
            <w:lang w:val="en-GB"/>
          </w:rPr>
          <w:t>https://english.news.cn/20240906/02f540add5674726908eb5469e9e0a87/c.html</w:t>
        </w:r>
      </w:hyperlink>
    </w:p>
    <w:p w14:paraId="160B6BD5"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Forbes.</w:t>
      </w:r>
      <w:r>
        <w:rPr>
          <w:rFonts w:eastAsia="Times New Roman"/>
          <w:sz w:val="24"/>
          <w:szCs w:val="24"/>
          <w:lang w:val="en-GB"/>
        </w:rPr>
        <w:t xml:space="preserve">, </w:t>
      </w:r>
      <w:r w:rsidRPr="00E43504">
        <w:rPr>
          <w:rFonts w:eastAsia="Times New Roman"/>
          <w:sz w:val="24"/>
          <w:szCs w:val="24"/>
          <w:lang w:val="en-GB"/>
        </w:rPr>
        <w:t xml:space="preserve">2022. </w:t>
      </w:r>
      <w:r w:rsidRPr="00E43504">
        <w:rPr>
          <w:rFonts w:eastAsia="Times New Roman"/>
          <w:i/>
          <w:iCs/>
          <w:sz w:val="24"/>
          <w:szCs w:val="24"/>
          <w:lang w:val="en-GB"/>
        </w:rPr>
        <w:t>Tesla: A History Of Innovation (and Headaches)</w:t>
      </w:r>
      <w:r w:rsidRPr="00E43504">
        <w:rPr>
          <w:rFonts w:eastAsia="Times New Roman"/>
          <w:sz w:val="24"/>
          <w:szCs w:val="24"/>
          <w:lang w:val="en-GB"/>
        </w:rPr>
        <w:t xml:space="preserve">. Available at: </w:t>
      </w:r>
      <w:hyperlink r:id="rId15" w:history="1">
        <w:r w:rsidRPr="00E43504">
          <w:rPr>
            <w:rStyle w:val="Hyperlink"/>
            <w:rFonts w:eastAsia="Times New Roman"/>
            <w:sz w:val="24"/>
            <w:szCs w:val="24"/>
            <w:lang w:val="en-GB"/>
          </w:rPr>
          <w:t>https://www.forbes.com/sites/qai/2022/09/29/tesla-a-history-of-innovation-and-headaches/</w:t>
        </w:r>
      </w:hyperlink>
    </w:p>
    <w:p w14:paraId="4F3494B5"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Fundit.</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National Technology Innovation Foundation (Vietnam) (NATIF)</w:t>
      </w:r>
      <w:r w:rsidRPr="00E43504">
        <w:rPr>
          <w:rFonts w:eastAsia="Times New Roman"/>
          <w:sz w:val="24"/>
          <w:szCs w:val="24"/>
          <w:lang w:val="en-GB"/>
        </w:rPr>
        <w:t xml:space="preserve">. Available at: </w:t>
      </w:r>
      <w:hyperlink r:id="rId16" w:history="1">
        <w:r w:rsidRPr="00E43504">
          <w:rPr>
            <w:rStyle w:val="Hyperlink"/>
            <w:rFonts w:eastAsia="Times New Roman"/>
            <w:sz w:val="24"/>
            <w:szCs w:val="24"/>
            <w:lang w:val="en-GB"/>
          </w:rPr>
          <w:t>https://fundit.fr/en/institutions/national-technology-innovation-foundation-vietnam-natif</w:t>
        </w:r>
      </w:hyperlink>
    </w:p>
    <w:p w14:paraId="2F39C4CA" w14:textId="7C774AF9" w:rsidR="00465194" w:rsidRDefault="00465194" w:rsidP="006E3E9B">
      <w:pPr>
        <w:spacing w:line="360" w:lineRule="auto"/>
        <w:jc w:val="both"/>
      </w:pPr>
      <w:r w:rsidRPr="00E43504">
        <w:rPr>
          <w:rFonts w:eastAsia="Times New Roman"/>
          <w:sz w:val="24"/>
          <w:szCs w:val="24"/>
          <w:lang w:val="en-GB"/>
        </w:rPr>
        <w:t xml:space="preserve">George, A.S., 2024. Strategic battery autarky: Reducing foreign dependence in the electric vehicle supply chain. </w:t>
      </w:r>
      <w:r w:rsidRPr="00E43504">
        <w:rPr>
          <w:rFonts w:eastAsia="Times New Roman"/>
          <w:i/>
          <w:iCs/>
          <w:sz w:val="24"/>
          <w:szCs w:val="24"/>
          <w:lang w:val="en-GB"/>
        </w:rPr>
        <w:t>Partners Universal International Research Journal</w:t>
      </w:r>
      <w:r w:rsidRPr="00E43504">
        <w:rPr>
          <w:rFonts w:eastAsia="Times New Roman"/>
          <w:sz w:val="24"/>
          <w:szCs w:val="24"/>
          <w:lang w:val="en-GB"/>
        </w:rPr>
        <w:t xml:space="preserve">, </w:t>
      </w:r>
      <w:r w:rsidRPr="00E43504">
        <w:rPr>
          <w:rFonts w:eastAsia="Times New Roman"/>
          <w:i/>
          <w:iCs/>
          <w:sz w:val="24"/>
          <w:szCs w:val="24"/>
          <w:lang w:val="en-GB"/>
        </w:rPr>
        <w:t>3</w:t>
      </w:r>
      <w:r w:rsidRPr="00E43504">
        <w:rPr>
          <w:rFonts w:eastAsia="Times New Roman"/>
          <w:sz w:val="24"/>
          <w:szCs w:val="24"/>
          <w:lang w:val="en-GB"/>
        </w:rPr>
        <w:t>(1), pp.168-182.</w:t>
      </w:r>
      <w:r w:rsidR="00EE2F5D">
        <w:rPr>
          <w:rFonts w:eastAsia="Times New Roman"/>
          <w:sz w:val="24"/>
          <w:szCs w:val="24"/>
          <w:lang w:val="en-GB"/>
        </w:rPr>
        <w:t xml:space="preserve"> Available at: </w:t>
      </w:r>
      <w:hyperlink r:id="rId17" w:history="1">
        <w:r w:rsidR="00EE2F5D" w:rsidRPr="00D122BC">
          <w:rPr>
            <w:rStyle w:val="Hyperlink"/>
            <w:rFonts w:eastAsia="Times New Roman"/>
            <w:sz w:val="24"/>
            <w:szCs w:val="24"/>
            <w:lang w:val="en-GB"/>
          </w:rPr>
          <w:t>https://www.puirj.com/index.php/research/article/download/177/139</w:t>
        </w:r>
      </w:hyperlink>
    </w:p>
    <w:p w14:paraId="0296D24B" w14:textId="77777777" w:rsidR="00E52EAF" w:rsidRPr="00E43504" w:rsidRDefault="00E52EAF" w:rsidP="006E3E9B">
      <w:pPr>
        <w:spacing w:line="360" w:lineRule="auto"/>
        <w:jc w:val="both"/>
        <w:rPr>
          <w:rFonts w:eastAsia="Times New Roman"/>
          <w:sz w:val="24"/>
          <w:szCs w:val="24"/>
          <w:lang w:val="en-GB"/>
        </w:rPr>
      </w:pPr>
    </w:p>
    <w:p w14:paraId="563F3579" w14:textId="184B9F1A" w:rsidR="00465194" w:rsidRPr="00E43504" w:rsidRDefault="00465194" w:rsidP="006E3E9B">
      <w:pPr>
        <w:spacing w:line="360" w:lineRule="auto"/>
        <w:jc w:val="both"/>
        <w:rPr>
          <w:rFonts w:eastAsia="Times New Roman"/>
          <w:sz w:val="24"/>
          <w:szCs w:val="24"/>
          <w:lang w:val="en-GB"/>
        </w:rPr>
      </w:pPr>
      <w:r w:rsidRPr="00E43504">
        <w:rPr>
          <w:rFonts w:eastAsia="Times New Roman"/>
          <w:sz w:val="24"/>
          <w:szCs w:val="24"/>
          <w:lang w:val="en-GB"/>
        </w:rPr>
        <w:t xml:space="preserve">Hiep, D.V., Tran, N.H., Tuan, N.A., Hung, T.M., Duc, N.V. and Tung, H., 2023. Assessment of electric two-wheelers development in establishing a national e-mobility roadmap to promote sustainable transport in Vietnam. </w:t>
      </w:r>
      <w:r w:rsidRPr="00E43504">
        <w:rPr>
          <w:rFonts w:eastAsia="Times New Roman"/>
          <w:i/>
          <w:iCs/>
          <w:sz w:val="24"/>
          <w:szCs w:val="24"/>
          <w:lang w:val="en-GB"/>
        </w:rPr>
        <w:t>Sustainability</w:t>
      </w:r>
      <w:r w:rsidRPr="00E43504">
        <w:rPr>
          <w:rFonts w:eastAsia="Times New Roman"/>
          <w:sz w:val="24"/>
          <w:szCs w:val="24"/>
          <w:lang w:val="en-GB"/>
        </w:rPr>
        <w:t xml:space="preserve">, </w:t>
      </w:r>
      <w:r w:rsidRPr="00E43504">
        <w:rPr>
          <w:rFonts w:eastAsia="Times New Roman"/>
          <w:i/>
          <w:iCs/>
          <w:sz w:val="24"/>
          <w:szCs w:val="24"/>
          <w:lang w:val="en-GB"/>
        </w:rPr>
        <w:t>15</w:t>
      </w:r>
      <w:r w:rsidRPr="00E43504">
        <w:rPr>
          <w:rFonts w:eastAsia="Times New Roman"/>
          <w:sz w:val="24"/>
          <w:szCs w:val="24"/>
          <w:lang w:val="en-GB"/>
        </w:rPr>
        <w:t>(9), p.7411.</w:t>
      </w:r>
      <w:r w:rsidR="00EE2F5D">
        <w:rPr>
          <w:rFonts w:eastAsia="Times New Roman"/>
          <w:sz w:val="24"/>
          <w:szCs w:val="24"/>
          <w:lang w:val="en-GB"/>
        </w:rPr>
        <w:t xml:space="preserve"> Available at: </w:t>
      </w:r>
      <w:hyperlink r:id="rId18" w:history="1">
        <w:r w:rsidR="00A121DB" w:rsidRPr="00D122BC">
          <w:rPr>
            <w:rStyle w:val="Hyperlink"/>
            <w:rFonts w:eastAsia="Times New Roman"/>
            <w:sz w:val="24"/>
            <w:szCs w:val="24"/>
            <w:lang w:val="en-GB"/>
          </w:rPr>
          <w:t>https://doi.org/10.3390/su15097411</w:t>
        </w:r>
      </w:hyperlink>
    </w:p>
    <w:p w14:paraId="51F356B8"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Insideevs.</w:t>
      </w:r>
      <w:r>
        <w:rPr>
          <w:rFonts w:eastAsia="Times New Roman"/>
          <w:sz w:val="24"/>
          <w:szCs w:val="24"/>
          <w:lang w:val="en-GB"/>
        </w:rPr>
        <w:t xml:space="preserve">, </w:t>
      </w:r>
      <w:r w:rsidRPr="00E43504">
        <w:rPr>
          <w:rFonts w:eastAsia="Times New Roman"/>
          <w:sz w:val="24"/>
          <w:szCs w:val="24"/>
          <w:lang w:val="en-GB"/>
        </w:rPr>
        <w:t xml:space="preserve">2024. </w:t>
      </w:r>
      <w:r w:rsidRPr="00E43504">
        <w:rPr>
          <w:rFonts w:eastAsia="Times New Roman"/>
          <w:i/>
          <w:iCs/>
          <w:sz w:val="24"/>
          <w:szCs w:val="24"/>
          <w:lang w:val="en-GB"/>
        </w:rPr>
        <w:t>Tesla's Annual EV Production Capacity Is Set To Reach Almost 3 Million Units.</w:t>
      </w:r>
      <w:r w:rsidRPr="00E43504">
        <w:rPr>
          <w:rFonts w:eastAsia="Times New Roman"/>
          <w:sz w:val="24"/>
          <w:szCs w:val="24"/>
          <w:lang w:val="en-GB"/>
        </w:rPr>
        <w:t xml:space="preserve"> Available at: </w:t>
      </w:r>
      <w:hyperlink r:id="rId19" w:history="1">
        <w:r w:rsidRPr="00E43504">
          <w:rPr>
            <w:rStyle w:val="Hyperlink"/>
            <w:rFonts w:eastAsia="Times New Roman"/>
            <w:sz w:val="24"/>
            <w:szCs w:val="24"/>
            <w:lang w:val="en-GB"/>
          </w:rPr>
          <w:t>https://insideevs.com/news/717446/tesla-annual-vehicle-capacity-2024q1/</w:t>
        </w:r>
      </w:hyperlink>
    </w:p>
    <w:p w14:paraId="7F52C308"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lastRenderedPageBreak/>
        <w:t>Joaquinugalde.</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Tesla Journeys</w:t>
      </w:r>
      <w:r w:rsidRPr="00E43504">
        <w:rPr>
          <w:rFonts w:eastAsia="Times New Roman"/>
          <w:sz w:val="24"/>
          <w:szCs w:val="24"/>
          <w:lang w:val="en-GB"/>
        </w:rPr>
        <w:t xml:space="preserve">. Available at: </w:t>
      </w:r>
      <w:hyperlink r:id="rId20" w:history="1">
        <w:r w:rsidRPr="00405BB6">
          <w:rPr>
            <w:rStyle w:val="Hyperlink"/>
            <w:rFonts w:eastAsia="Times New Roman"/>
            <w:sz w:val="24"/>
            <w:szCs w:val="24"/>
            <w:lang w:val="en-GB"/>
          </w:rPr>
          <w:t>https://www.joaquinugalde.com/tesla-journeys</w:t>
        </w:r>
      </w:hyperlink>
      <w:r>
        <w:rPr>
          <w:rFonts w:eastAsia="Times New Roman"/>
          <w:sz w:val="24"/>
          <w:szCs w:val="24"/>
          <w:lang w:val="en-GB"/>
        </w:rPr>
        <w:t xml:space="preserve"> </w:t>
      </w:r>
    </w:p>
    <w:p w14:paraId="25110338" w14:textId="0D472711" w:rsidR="00465194" w:rsidRDefault="00465194" w:rsidP="006E3E9B">
      <w:pPr>
        <w:spacing w:line="360" w:lineRule="auto"/>
        <w:jc w:val="both"/>
        <w:rPr>
          <w:rFonts w:eastAsia="Times New Roman"/>
          <w:sz w:val="24"/>
          <w:szCs w:val="24"/>
          <w:lang w:val="en-GB"/>
        </w:rPr>
      </w:pPr>
      <w:r w:rsidRPr="00E43504">
        <w:rPr>
          <w:rFonts w:eastAsia="Times New Roman"/>
          <w:sz w:val="24"/>
          <w:szCs w:val="24"/>
          <w:lang w:val="en-GB"/>
        </w:rPr>
        <w:t xml:space="preserve">Kumar, V., 2025. Electric Transportation Paving the Way for Eco-Friendly Mobility. In </w:t>
      </w:r>
      <w:r w:rsidRPr="00E43504">
        <w:rPr>
          <w:rFonts w:eastAsia="Times New Roman"/>
          <w:i/>
          <w:iCs/>
          <w:sz w:val="24"/>
          <w:szCs w:val="24"/>
          <w:lang w:val="en-GB"/>
        </w:rPr>
        <w:t>Powering Future: Clean Energy Solutions for a Sustainable Planet</w:t>
      </w:r>
      <w:r w:rsidRPr="00E43504">
        <w:rPr>
          <w:rFonts w:eastAsia="Times New Roman"/>
          <w:sz w:val="24"/>
          <w:szCs w:val="24"/>
          <w:lang w:val="en-GB"/>
        </w:rPr>
        <w:t xml:space="preserve"> (pp. 277-300). Singapore: Springer Nature Singapore.</w:t>
      </w:r>
      <w:r w:rsidR="00A121DB">
        <w:rPr>
          <w:rFonts w:eastAsia="Times New Roman"/>
          <w:sz w:val="24"/>
          <w:szCs w:val="24"/>
          <w:lang w:val="en-GB"/>
        </w:rPr>
        <w:t xml:space="preserve"> Available at: </w:t>
      </w:r>
      <w:hyperlink r:id="rId21">
        <w:r w:rsidRPr="00E43504">
          <w:rPr>
            <w:rFonts w:eastAsia="Times New Roman"/>
            <w:color w:val="1155CC"/>
            <w:sz w:val="24"/>
            <w:szCs w:val="24"/>
            <w:u w:val="single"/>
            <w:lang w:val="en-GB"/>
          </w:rPr>
          <w:t>https://doi.org/10.1007/978-981-96-5055-2_16</w:t>
        </w:r>
      </w:hyperlink>
      <w:r w:rsidRPr="00E43504">
        <w:rPr>
          <w:rFonts w:eastAsia="Times New Roman"/>
          <w:sz w:val="24"/>
          <w:szCs w:val="24"/>
          <w:lang w:val="en-GB"/>
        </w:rPr>
        <w:t xml:space="preserve"> </w:t>
      </w:r>
    </w:p>
    <w:p w14:paraId="11512CFA" w14:textId="77777777" w:rsidR="00E52EAF" w:rsidRPr="00E43504" w:rsidRDefault="00E52EAF" w:rsidP="006E3E9B">
      <w:pPr>
        <w:spacing w:line="360" w:lineRule="auto"/>
        <w:jc w:val="both"/>
        <w:rPr>
          <w:rFonts w:eastAsia="Times New Roman"/>
          <w:sz w:val="24"/>
          <w:szCs w:val="24"/>
          <w:lang w:val="en-GB"/>
        </w:rPr>
      </w:pPr>
    </w:p>
    <w:p w14:paraId="18B531D2" w14:textId="35AF3DB1" w:rsidR="00465194" w:rsidRPr="00E43504" w:rsidRDefault="00465194" w:rsidP="006E3E9B">
      <w:pPr>
        <w:spacing w:line="360" w:lineRule="auto"/>
        <w:jc w:val="both"/>
        <w:rPr>
          <w:rFonts w:eastAsia="Times New Roman"/>
          <w:sz w:val="24"/>
          <w:szCs w:val="24"/>
          <w:lang w:val="en-GB"/>
        </w:rPr>
      </w:pPr>
      <w:r w:rsidRPr="00E43504">
        <w:rPr>
          <w:rFonts w:eastAsia="Times New Roman"/>
          <w:sz w:val="24"/>
          <w:szCs w:val="24"/>
          <w:lang w:val="en-GB"/>
        </w:rPr>
        <w:t xml:space="preserve">Madsen, D.Ø., 2025. Balanced Scorecard: History, Implementation, and Impact. </w:t>
      </w:r>
      <w:r w:rsidRPr="00E43504">
        <w:rPr>
          <w:rFonts w:eastAsia="Times New Roman"/>
          <w:i/>
          <w:iCs/>
          <w:sz w:val="24"/>
          <w:szCs w:val="24"/>
          <w:lang w:val="en-GB"/>
        </w:rPr>
        <w:t>Encyclopedia</w:t>
      </w:r>
      <w:r w:rsidRPr="00E43504">
        <w:rPr>
          <w:rFonts w:eastAsia="Times New Roman"/>
          <w:sz w:val="24"/>
          <w:szCs w:val="24"/>
          <w:lang w:val="en-GB"/>
        </w:rPr>
        <w:t xml:space="preserve">, </w:t>
      </w:r>
      <w:r w:rsidRPr="00E43504">
        <w:rPr>
          <w:rFonts w:eastAsia="Times New Roman"/>
          <w:i/>
          <w:iCs/>
          <w:sz w:val="24"/>
          <w:szCs w:val="24"/>
          <w:lang w:val="en-GB"/>
        </w:rPr>
        <w:t>5</w:t>
      </w:r>
      <w:r w:rsidRPr="00E43504">
        <w:rPr>
          <w:rFonts w:eastAsia="Times New Roman"/>
          <w:sz w:val="24"/>
          <w:szCs w:val="24"/>
          <w:lang w:val="en-GB"/>
        </w:rPr>
        <w:t>(1), p.39.</w:t>
      </w:r>
      <w:r w:rsidR="00A121DB">
        <w:rPr>
          <w:rFonts w:eastAsia="Times New Roman"/>
          <w:sz w:val="24"/>
          <w:szCs w:val="24"/>
          <w:lang w:val="en-GB"/>
        </w:rPr>
        <w:t xml:space="preserve"> Available at: </w:t>
      </w:r>
      <w:hyperlink r:id="rId22" w:history="1">
        <w:r w:rsidR="00A06665" w:rsidRPr="00D122BC">
          <w:rPr>
            <w:rStyle w:val="Hyperlink"/>
            <w:rFonts w:eastAsia="Times New Roman"/>
            <w:sz w:val="24"/>
            <w:szCs w:val="24"/>
            <w:lang w:val="en-GB"/>
          </w:rPr>
          <w:t>https://doi.org/10.3390/encyclopedia5010039</w:t>
        </w:r>
      </w:hyperlink>
    </w:p>
    <w:p w14:paraId="7A44FAC9"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Mae.</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Fulfilling climate commitments at COP26: Vietnam’s comprehensive, cross-sector, and whole-of-society action.</w:t>
      </w:r>
      <w:r w:rsidRPr="00E43504">
        <w:rPr>
          <w:rFonts w:eastAsia="Times New Roman"/>
          <w:sz w:val="24"/>
          <w:szCs w:val="24"/>
          <w:lang w:val="en-GB"/>
        </w:rPr>
        <w:t xml:space="preserve"> Available at: </w:t>
      </w:r>
      <w:hyperlink r:id="rId23" w:history="1">
        <w:r w:rsidRPr="00E43504">
          <w:rPr>
            <w:rStyle w:val="Hyperlink"/>
            <w:rFonts w:eastAsia="Times New Roman"/>
            <w:sz w:val="24"/>
            <w:szCs w:val="24"/>
            <w:lang w:val="en-GB"/>
          </w:rPr>
          <w:t>https://en.mae.gov.vn/fulfilling-climate-commitments-at-cop26-vietnams-comprehensive-crosssector-and-wholeofsociety-action-9035.htm</w:t>
        </w:r>
      </w:hyperlink>
    </w:p>
    <w:p w14:paraId="4355E562" w14:textId="4FC79000"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 xml:space="preserve">Maradin, D., Malnar, A. and Kaštelan, A., 2022. Sustainable and clean energy: the case of tesla company. </w:t>
      </w:r>
      <w:r w:rsidRPr="00E43504">
        <w:rPr>
          <w:rFonts w:eastAsia="Times New Roman"/>
          <w:i/>
          <w:iCs/>
          <w:sz w:val="24"/>
          <w:szCs w:val="24"/>
          <w:lang w:val="en-GB"/>
        </w:rPr>
        <w:t>Journal of economics, finance and management studies</w:t>
      </w:r>
      <w:r w:rsidRPr="00E43504">
        <w:rPr>
          <w:rFonts w:eastAsia="Times New Roman"/>
          <w:sz w:val="24"/>
          <w:szCs w:val="24"/>
          <w:lang w:val="en-GB"/>
        </w:rPr>
        <w:t xml:space="preserve">, </w:t>
      </w:r>
      <w:r w:rsidRPr="00E43504">
        <w:rPr>
          <w:rFonts w:eastAsia="Times New Roman"/>
          <w:i/>
          <w:iCs/>
          <w:sz w:val="24"/>
          <w:szCs w:val="24"/>
          <w:lang w:val="en-GB"/>
        </w:rPr>
        <w:t>5</w:t>
      </w:r>
      <w:r w:rsidRPr="00E43504">
        <w:rPr>
          <w:rFonts w:eastAsia="Times New Roman"/>
          <w:sz w:val="24"/>
          <w:szCs w:val="24"/>
          <w:lang w:val="en-GB"/>
        </w:rPr>
        <w:t xml:space="preserve">(12), pp.3531-3542. </w:t>
      </w:r>
      <w:r w:rsidR="00A06665">
        <w:rPr>
          <w:rFonts w:eastAsia="Times New Roman"/>
          <w:sz w:val="24"/>
          <w:szCs w:val="24"/>
          <w:lang w:val="en-GB"/>
        </w:rPr>
        <w:t xml:space="preserve">Available </w:t>
      </w:r>
      <w:r w:rsidR="000D6318">
        <w:rPr>
          <w:rFonts w:eastAsia="Times New Roman"/>
          <w:sz w:val="24"/>
          <w:szCs w:val="24"/>
          <w:lang w:val="en-GB"/>
        </w:rPr>
        <w:t xml:space="preserve">at: </w:t>
      </w:r>
      <w:hyperlink r:id="rId24" w:history="1">
        <w:r w:rsidR="009E2D53" w:rsidRPr="00D122BC">
          <w:rPr>
            <w:rStyle w:val="Hyperlink"/>
            <w:rFonts w:eastAsia="Times New Roman"/>
            <w:sz w:val="24"/>
            <w:szCs w:val="24"/>
            <w:lang w:val="en-GB"/>
          </w:rPr>
          <w:t>https://doi.org/10.47191/jefms/v5-i12-10</w:t>
        </w:r>
      </w:hyperlink>
      <w:r w:rsidR="009E2D53">
        <w:rPr>
          <w:rFonts w:eastAsia="Times New Roman"/>
          <w:sz w:val="24"/>
          <w:szCs w:val="24"/>
          <w:lang w:val="en-GB"/>
        </w:rPr>
        <w:t xml:space="preserve"> </w:t>
      </w:r>
    </w:p>
    <w:p w14:paraId="514DBDE3"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Nasdaq.com</w:t>
      </w:r>
      <w:r>
        <w:rPr>
          <w:rFonts w:eastAsia="Times New Roman"/>
          <w:sz w:val="24"/>
          <w:szCs w:val="24"/>
          <w:lang w:val="en-GB"/>
        </w:rPr>
        <w:t xml:space="preserve">., </w:t>
      </w:r>
      <w:r w:rsidRPr="00E43504">
        <w:rPr>
          <w:rFonts w:eastAsia="Times New Roman"/>
          <w:sz w:val="24"/>
          <w:szCs w:val="24"/>
          <w:lang w:val="en-GB"/>
        </w:rPr>
        <w:t xml:space="preserve">2024. </w:t>
      </w:r>
      <w:r w:rsidRPr="00E43504">
        <w:rPr>
          <w:rFonts w:eastAsia="Times New Roman"/>
          <w:i/>
          <w:iCs/>
          <w:sz w:val="24"/>
          <w:szCs w:val="24"/>
          <w:lang w:val="en-GB"/>
        </w:rPr>
        <w:t>Tesla, Inc. Common Stock (TSLA) Financials</w:t>
      </w:r>
      <w:r w:rsidRPr="00E43504">
        <w:rPr>
          <w:rFonts w:eastAsia="Times New Roman"/>
          <w:sz w:val="24"/>
          <w:szCs w:val="24"/>
          <w:lang w:val="en-GB"/>
        </w:rPr>
        <w:t xml:space="preserve">. Available at: </w:t>
      </w:r>
      <w:hyperlink r:id="rId25" w:history="1">
        <w:r w:rsidRPr="00E43504">
          <w:rPr>
            <w:rStyle w:val="Hyperlink"/>
            <w:rFonts w:eastAsia="Times New Roman"/>
            <w:sz w:val="24"/>
            <w:szCs w:val="24"/>
            <w:lang w:val="en-GB"/>
          </w:rPr>
          <w:t>https://www.nasdaq.com/market-activity/stocks/tsla/financials</w:t>
        </w:r>
      </w:hyperlink>
    </w:p>
    <w:p w14:paraId="2E7A8CC6" w14:textId="3BB0769A" w:rsidR="00465194" w:rsidRDefault="00465194" w:rsidP="006E3E9B">
      <w:pPr>
        <w:spacing w:line="360" w:lineRule="auto"/>
        <w:jc w:val="both"/>
      </w:pPr>
      <w:r w:rsidRPr="00E43504">
        <w:rPr>
          <w:rFonts w:eastAsia="Times New Roman"/>
          <w:sz w:val="24"/>
          <w:szCs w:val="24"/>
          <w:lang w:val="en-GB"/>
        </w:rPr>
        <w:t xml:space="preserve">Nguyen, H. and Pham, L., 2022. Entering the Finnish car market: case: VinFast electric </w:t>
      </w:r>
      <w:r w:rsidR="004368C9">
        <w:rPr>
          <w:rFonts w:eastAsia="Times New Roman"/>
          <w:sz w:val="24"/>
          <w:szCs w:val="24"/>
          <w:lang w:val="en-GB"/>
        </w:rPr>
        <w:t xml:space="preserve">cars. Available at: </w:t>
      </w:r>
      <w:hyperlink r:id="rId26" w:history="1">
        <w:r w:rsidR="004368C9" w:rsidRPr="00D122BC">
          <w:rPr>
            <w:rStyle w:val="Hyperlink"/>
            <w:rFonts w:eastAsia="Times New Roman"/>
            <w:sz w:val="24"/>
            <w:szCs w:val="24"/>
            <w:lang w:val="en-GB"/>
          </w:rPr>
          <w:t>https://www.theseus.fi/bitstream/handle/10024/755950/Nguyen_Pham.pdf</w:t>
        </w:r>
      </w:hyperlink>
    </w:p>
    <w:p w14:paraId="7847CFC3" w14:textId="77777777" w:rsidR="004368C9" w:rsidRPr="00E43504" w:rsidRDefault="004368C9" w:rsidP="006E3E9B">
      <w:pPr>
        <w:spacing w:line="360" w:lineRule="auto"/>
        <w:jc w:val="both"/>
        <w:rPr>
          <w:rFonts w:eastAsia="Times New Roman"/>
          <w:sz w:val="24"/>
          <w:szCs w:val="24"/>
          <w:lang w:val="en-GB"/>
        </w:rPr>
      </w:pPr>
    </w:p>
    <w:p w14:paraId="2E776392" w14:textId="24E43BDE" w:rsidR="00465194" w:rsidRPr="00E43504" w:rsidRDefault="00465194" w:rsidP="006E3E9B">
      <w:pPr>
        <w:spacing w:line="360" w:lineRule="auto"/>
        <w:jc w:val="both"/>
        <w:rPr>
          <w:rFonts w:eastAsia="Times New Roman"/>
          <w:sz w:val="24"/>
          <w:szCs w:val="24"/>
          <w:lang w:val="en-GB"/>
        </w:rPr>
      </w:pPr>
      <w:r w:rsidRPr="00E43504">
        <w:rPr>
          <w:rFonts w:eastAsia="Times New Roman"/>
          <w:sz w:val="24"/>
          <w:szCs w:val="24"/>
          <w:lang w:val="en-GB"/>
        </w:rPr>
        <w:t xml:space="preserve">Prasetio, A.B., bin Mohd Aboobaider, B. and bin Ahmad, A., 2025. Predicting Customer Conversion in Digital Marketing: Analyzing the Impact of Engagement Metrics Using Logistic Regression, Decision Trees, and Random Forests. </w:t>
      </w:r>
      <w:r w:rsidRPr="00E43504">
        <w:rPr>
          <w:rFonts w:eastAsia="Times New Roman"/>
          <w:i/>
          <w:iCs/>
          <w:sz w:val="24"/>
          <w:szCs w:val="24"/>
          <w:lang w:val="en-GB"/>
        </w:rPr>
        <w:t>Journal of Digital Market and Digital Currency</w:t>
      </w:r>
      <w:r w:rsidRPr="00E43504">
        <w:rPr>
          <w:rFonts w:eastAsia="Times New Roman"/>
          <w:sz w:val="24"/>
          <w:szCs w:val="24"/>
          <w:lang w:val="en-GB"/>
        </w:rPr>
        <w:t xml:space="preserve">, </w:t>
      </w:r>
      <w:r w:rsidRPr="00E43504">
        <w:rPr>
          <w:rFonts w:eastAsia="Times New Roman"/>
          <w:i/>
          <w:iCs/>
          <w:sz w:val="24"/>
          <w:szCs w:val="24"/>
          <w:lang w:val="en-GB"/>
        </w:rPr>
        <w:t>2</w:t>
      </w:r>
      <w:r w:rsidRPr="00E43504">
        <w:rPr>
          <w:rFonts w:eastAsia="Times New Roman"/>
          <w:sz w:val="24"/>
          <w:szCs w:val="24"/>
          <w:lang w:val="en-GB"/>
        </w:rPr>
        <w:t>(2), pp.181-204.</w:t>
      </w:r>
      <w:r w:rsidR="00A805EE">
        <w:rPr>
          <w:rFonts w:eastAsia="Times New Roman"/>
          <w:sz w:val="24"/>
          <w:szCs w:val="24"/>
          <w:lang w:val="en-GB"/>
        </w:rPr>
        <w:t xml:space="preserve"> Available at: </w:t>
      </w:r>
      <w:hyperlink r:id="rId27" w:history="1">
        <w:r w:rsidR="00A805EE" w:rsidRPr="00D122BC">
          <w:rPr>
            <w:rStyle w:val="Hyperlink"/>
            <w:rFonts w:eastAsia="Times New Roman"/>
            <w:sz w:val="24"/>
            <w:szCs w:val="24"/>
            <w:lang w:val="en-GB"/>
          </w:rPr>
          <w:t>http://jdmdc.com/index.php/JDMDC/article/download/34/25</w:t>
        </w:r>
      </w:hyperlink>
    </w:p>
    <w:p w14:paraId="35339123" w14:textId="019CFA75" w:rsidR="00465194" w:rsidRPr="00E43504" w:rsidRDefault="00465194" w:rsidP="006E3E9B">
      <w:pPr>
        <w:spacing w:line="360" w:lineRule="auto"/>
        <w:jc w:val="both"/>
        <w:rPr>
          <w:rFonts w:eastAsia="Times New Roman"/>
          <w:sz w:val="24"/>
          <w:szCs w:val="24"/>
          <w:lang w:val="en-GB"/>
        </w:rPr>
      </w:pPr>
      <w:r w:rsidRPr="00E43504">
        <w:rPr>
          <w:rFonts w:eastAsia="Times New Roman"/>
          <w:sz w:val="24"/>
          <w:szCs w:val="24"/>
          <w:lang w:val="en-GB"/>
        </w:rPr>
        <w:lastRenderedPageBreak/>
        <w:t>Su, Y., 2024. Key drivers of EV market growth: insight from ASEAN countries.</w:t>
      </w:r>
      <w:r w:rsidR="006D0899">
        <w:rPr>
          <w:rFonts w:eastAsia="Times New Roman"/>
          <w:sz w:val="24"/>
          <w:szCs w:val="24"/>
          <w:lang w:val="en-GB"/>
        </w:rPr>
        <w:t xml:space="preserve"> Available at:</w:t>
      </w:r>
      <w:r w:rsidRPr="00E43504">
        <w:rPr>
          <w:rFonts w:eastAsia="Times New Roman"/>
          <w:sz w:val="24"/>
          <w:szCs w:val="24"/>
          <w:lang w:val="en-GB"/>
        </w:rPr>
        <w:t xml:space="preserve"> </w:t>
      </w:r>
      <w:hyperlink r:id="rId28">
        <w:r w:rsidRPr="00E43504">
          <w:rPr>
            <w:rFonts w:eastAsia="Times New Roman"/>
            <w:color w:val="1155CC"/>
            <w:sz w:val="24"/>
            <w:szCs w:val="24"/>
            <w:u w:val="single"/>
            <w:lang w:val="en-GB"/>
          </w:rPr>
          <w:t>https://digital.car.chula.ac.th/chulaetd/73495/</w:t>
        </w:r>
      </w:hyperlink>
      <w:r w:rsidRPr="00E43504">
        <w:rPr>
          <w:rFonts w:eastAsia="Times New Roman"/>
          <w:sz w:val="24"/>
          <w:szCs w:val="24"/>
          <w:lang w:val="en-GB"/>
        </w:rPr>
        <w:t xml:space="preserve"> </w:t>
      </w:r>
    </w:p>
    <w:p w14:paraId="1653AEEE"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Tesla.com</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Full Self-Driving</w:t>
      </w:r>
      <w:r w:rsidRPr="00E43504">
        <w:rPr>
          <w:rFonts w:eastAsia="Times New Roman"/>
          <w:sz w:val="24"/>
          <w:szCs w:val="24"/>
          <w:lang w:val="en-GB"/>
        </w:rPr>
        <w:t xml:space="preserve">. Available at: </w:t>
      </w:r>
      <w:hyperlink r:id="rId29" w:history="1">
        <w:r w:rsidRPr="00E43504">
          <w:rPr>
            <w:rStyle w:val="Hyperlink"/>
            <w:rFonts w:eastAsia="Times New Roman"/>
            <w:sz w:val="24"/>
            <w:szCs w:val="24"/>
            <w:lang w:val="en-GB"/>
          </w:rPr>
          <w:t>https://www.tesla.com/fsd</w:t>
        </w:r>
      </w:hyperlink>
    </w:p>
    <w:p w14:paraId="236A9151" w14:textId="23D8A69B"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Tesla.com</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Supercharger</w:t>
      </w:r>
      <w:r w:rsidRPr="00E43504">
        <w:rPr>
          <w:rFonts w:eastAsia="Times New Roman"/>
          <w:sz w:val="24"/>
          <w:szCs w:val="24"/>
          <w:lang w:val="en-GB"/>
        </w:rPr>
        <w:t xml:space="preserve">. Available at: </w:t>
      </w:r>
      <w:hyperlink r:id="rId30" w:history="1">
        <w:r w:rsidR="00A46297" w:rsidRPr="00D122BC">
          <w:rPr>
            <w:rStyle w:val="Hyperlink"/>
            <w:rFonts w:eastAsia="Times New Roman"/>
            <w:sz w:val="24"/>
            <w:szCs w:val="24"/>
            <w:lang w:val="en-GB"/>
          </w:rPr>
          <w:t>https://www.tesla.com/en_in/supercharger</w:t>
        </w:r>
      </w:hyperlink>
      <w:r w:rsidR="00A46297">
        <w:rPr>
          <w:rFonts w:eastAsia="Times New Roman"/>
          <w:sz w:val="24"/>
          <w:szCs w:val="24"/>
          <w:lang w:val="en-GB"/>
        </w:rPr>
        <w:t xml:space="preserve"> </w:t>
      </w:r>
    </w:p>
    <w:p w14:paraId="4A559463"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Theicct.org</w:t>
      </w:r>
      <w:r>
        <w:rPr>
          <w:rFonts w:eastAsia="Times New Roman"/>
          <w:sz w:val="24"/>
          <w:szCs w:val="24"/>
          <w:lang w:val="en-GB"/>
        </w:rPr>
        <w:t xml:space="preserve">., </w:t>
      </w:r>
      <w:r w:rsidRPr="00E43504">
        <w:rPr>
          <w:rFonts w:eastAsia="Times New Roman"/>
          <w:sz w:val="24"/>
          <w:szCs w:val="24"/>
          <w:lang w:val="en-GB"/>
        </w:rPr>
        <w:t xml:space="preserve">2022. Two-wheelers in Vietnam: A baseline analysis of fleet characteristics and fuel consumption in 2019 and 2020. Available at: </w:t>
      </w:r>
      <w:hyperlink r:id="rId31" w:history="1">
        <w:r w:rsidRPr="00E43504">
          <w:rPr>
            <w:rStyle w:val="Hyperlink"/>
            <w:rFonts w:eastAsia="Times New Roman"/>
            <w:sz w:val="24"/>
            <w:szCs w:val="24"/>
            <w:lang w:val="en-GB"/>
          </w:rPr>
          <w:t>https://theicct.org/publication/2w-lvs-vietnam-asia-baseline-feb22/</w:t>
        </w:r>
      </w:hyperlink>
    </w:p>
    <w:p w14:paraId="502A6A23"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Theinvestor.vn</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Electric vehicles in Vietnam: 7 years of development and double-digit growth prospect</w:t>
      </w:r>
      <w:r w:rsidRPr="00E43504">
        <w:rPr>
          <w:rFonts w:eastAsia="Times New Roman"/>
          <w:sz w:val="24"/>
          <w:szCs w:val="24"/>
          <w:lang w:val="en-GB"/>
        </w:rPr>
        <w:t xml:space="preserve">. Available at: </w:t>
      </w:r>
      <w:hyperlink r:id="rId32" w:history="1">
        <w:r w:rsidRPr="00E43504">
          <w:rPr>
            <w:rStyle w:val="Hyperlink"/>
            <w:rFonts w:eastAsia="Times New Roman"/>
            <w:sz w:val="24"/>
            <w:szCs w:val="24"/>
            <w:lang w:val="en-GB"/>
          </w:rPr>
          <w:t>https://theinvestor.vn/electric-vehicles-in-vietnam-7-years-of-development-and-double-digit-growth-prospect-d16323.html</w:t>
        </w:r>
      </w:hyperlink>
    </w:p>
    <w:p w14:paraId="0636A832"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Tilleke.com</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Vietnam’s Legal Framework on Electric Vehicles Offers New Opportunities for Investors</w:t>
      </w:r>
      <w:r w:rsidRPr="00E43504">
        <w:rPr>
          <w:rFonts w:eastAsia="Times New Roman"/>
          <w:sz w:val="24"/>
          <w:szCs w:val="24"/>
          <w:lang w:val="en-GB"/>
        </w:rPr>
        <w:t xml:space="preserve">. Available at: </w:t>
      </w:r>
      <w:hyperlink r:id="rId33" w:history="1">
        <w:r w:rsidRPr="00E43504">
          <w:rPr>
            <w:rStyle w:val="Hyperlink"/>
            <w:rFonts w:eastAsia="Times New Roman"/>
            <w:sz w:val="24"/>
            <w:szCs w:val="24"/>
            <w:lang w:val="en-GB"/>
          </w:rPr>
          <w:t>https://www.tilleke.com/insights/vietnams-legal-framework-on-electric-vehicles-offers-new-opportunities-for-investors/11/</w:t>
        </w:r>
      </w:hyperlink>
    </w:p>
    <w:p w14:paraId="79DF33B8"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Tuoitre.vn</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Vietnam leads world in EV sales share in H1 2025: report</w:t>
      </w:r>
      <w:r w:rsidRPr="00E43504">
        <w:rPr>
          <w:rFonts w:eastAsia="Times New Roman"/>
          <w:sz w:val="24"/>
          <w:szCs w:val="24"/>
          <w:lang w:val="en-GB"/>
        </w:rPr>
        <w:t xml:space="preserve">. Available at: </w:t>
      </w:r>
      <w:hyperlink r:id="rId34" w:history="1">
        <w:r w:rsidRPr="00E43504">
          <w:rPr>
            <w:rStyle w:val="Hyperlink"/>
            <w:rFonts w:eastAsia="Times New Roman"/>
            <w:sz w:val="24"/>
            <w:szCs w:val="24"/>
            <w:lang w:val="en-GB"/>
          </w:rPr>
          <w:t>https://news.tuoitre.vn/vietnam-leads-world-in-ev-sales-share-in-h1-2025-report-103250919151645547.htm</w:t>
        </w:r>
      </w:hyperlink>
    </w:p>
    <w:p w14:paraId="02D00479"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Vietnam.opendevelopmentmekong.net</w:t>
      </w:r>
      <w:r>
        <w:rPr>
          <w:rFonts w:eastAsia="Times New Roman"/>
          <w:sz w:val="24"/>
          <w:szCs w:val="24"/>
          <w:lang w:val="en-GB"/>
        </w:rPr>
        <w:t xml:space="preserve">., </w:t>
      </w:r>
      <w:r w:rsidRPr="00E43504">
        <w:rPr>
          <w:rFonts w:eastAsia="Times New Roman"/>
          <w:sz w:val="24"/>
          <w:szCs w:val="24"/>
          <w:lang w:val="en-GB"/>
        </w:rPr>
        <w:t xml:space="preserve">2024. </w:t>
      </w:r>
      <w:r w:rsidRPr="00E43504">
        <w:rPr>
          <w:rFonts w:eastAsia="Times New Roman"/>
          <w:i/>
          <w:iCs/>
          <w:sz w:val="24"/>
          <w:szCs w:val="24"/>
          <w:lang w:val="en-GB"/>
        </w:rPr>
        <w:t>Urbanization in Vietnam</w:t>
      </w:r>
      <w:r w:rsidRPr="00E43504">
        <w:rPr>
          <w:rFonts w:eastAsia="Times New Roman"/>
          <w:sz w:val="24"/>
          <w:szCs w:val="24"/>
          <w:lang w:val="en-GB"/>
        </w:rPr>
        <w:t xml:space="preserve">. Available at: </w:t>
      </w:r>
      <w:hyperlink r:id="rId35" w:history="1">
        <w:r w:rsidRPr="00E43504">
          <w:rPr>
            <w:rStyle w:val="Hyperlink"/>
            <w:rFonts w:eastAsia="Times New Roman"/>
            <w:sz w:val="24"/>
            <w:szCs w:val="24"/>
            <w:lang w:val="en-GB"/>
          </w:rPr>
          <w:t>https://vietnam.opendevelopmentmekong.net/topics/urbanization-in-vietnam/</w:t>
        </w:r>
      </w:hyperlink>
    </w:p>
    <w:p w14:paraId="0148355B"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Vietnam-briefing.com</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Understanding Vietnam’s Middle Class in 2025: Size, Spending Patterns, and Opportunities for Businesses.</w:t>
      </w:r>
      <w:r w:rsidRPr="00E43504">
        <w:rPr>
          <w:rFonts w:eastAsia="Times New Roman"/>
          <w:sz w:val="24"/>
          <w:szCs w:val="24"/>
          <w:lang w:val="en-GB"/>
        </w:rPr>
        <w:t xml:space="preserve"> Available at: </w:t>
      </w:r>
      <w:hyperlink r:id="rId36" w:history="1">
        <w:r w:rsidRPr="00E43504">
          <w:rPr>
            <w:rStyle w:val="Hyperlink"/>
            <w:rFonts w:eastAsia="Times New Roman"/>
            <w:sz w:val="24"/>
            <w:szCs w:val="24"/>
            <w:lang w:val="en-GB"/>
          </w:rPr>
          <w:t>https://www.vietnam-briefing.com/news/understanding-vietnams-middle-class-size-spending-patterns-and-opportunities-for-businesses.html/</w:t>
        </w:r>
      </w:hyperlink>
    </w:p>
    <w:p w14:paraId="4A339BA8"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Vietnam-briefing.com</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Vietnam Updates Special Consumption Tax System: New Compliance in 2026</w:t>
      </w:r>
      <w:r w:rsidRPr="00E43504">
        <w:rPr>
          <w:rFonts w:eastAsia="Times New Roman"/>
          <w:sz w:val="24"/>
          <w:szCs w:val="24"/>
          <w:lang w:val="en-GB"/>
        </w:rPr>
        <w:t xml:space="preserve">. Available at: </w:t>
      </w:r>
      <w:hyperlink r:id="rId37" w:history="1">
        <w:r w:rsidRPr="00E43504">
          <w:rPr>
            <w:rStyle w:val="Hyperlink"/>
            <w:rFonts w:eastAsia="Times New Roman"/>
            <w:sz w:val="24"/>
            <w:szCs w:val="24"/>
            <w:lang w:val="en-GB"/>
          </w:rPr>
          <w:t>https://www.vietnam-briefing.com/news/vietnam-updates-special-consumption-tax-system-new-compliance-starts-in-2026.html/</w:t>
        </w:r>
      </w:hyperlink>
    </w:p>
    <w:p w14:paraId="38E76454"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lastRenderedPageBreak/>
        <w:t>Vinfastauto.us</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Vinfastauto</w:t>
      </w:r>
      <w:r w:rsidRPr="00E43504">
        <w:rPr>
          <w:rFonts w:eastAsia="Times New Roman"/>
          <w:sz w:val="24"/>
          <w:szCs w:val="24"/>
          <w:lang w:val="en-GB"/>
        </w:rPr>
        <w:t xml:space="preserve">. Available at: </w:t>
      </w:r>
      <w:hyperlink r:id="rId38" w:history="1">
        <w:r w:rsidRPr="00E43504">
          <w:rPr>
            <w:rStyle w:val="Hyperlink"/>
            <w:rFonts w:eastAsia="Times New Roman"/>
            <w:sz w:val="24"/>
            <w:szCs w:val="24"/>
            <w:lang w:val="en-GB"/>
          </w:rPr>
          <w:t>https://vinfastauto.us/</w:t>
        </w:r>
      </w:hyperlink>
    </w:p>
    <w:p w14:paraId="2000AB42"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Vneconomy.vn</w:t>
      </w:r>
      <w:r>
        <w:rPr>
          <w:rFonts w:eastAsia="Times New Roman"/>
          <w:sz w:val="24"/>
          <w:szCs w:val="24"/>
          <w:lang w:val="en-GB"/>
        </w:rPr>
        <w:t xml:space="preserve">., </w:t>
      </w:r>
      <w:r w:rsidRPr="00E43504">
        <w:rPr>
          <w:rFonts w:eastAsia="Times New Roman"/>
          <w:sz w:val="24"/>
          <w:szCs w:val="24"/>
          <w:lang w:val="en-GB"/>
        </w:rPr>
        <w:t xml:space="preserve">2024. </w:t>
      </w:r>
      <w:r w:rsidRPr="00E43504">
        <w:rPr>
          <w:rFonts w:eastAsia="Times New Roman"/>
          <w:i/>
          <w:iCs/>
          <w:sz w:val="24"/>
          <w:szCs w:val="24"/>
          <w:lang w:val="en-GB"/>
        </w:rPr>
        <w:t>A highlight in attracting foreign investment</w:t>
      </w:r>
      <w:r w:rsidRPr="00E43504">
        <w:rPr>
          <w:rFonts w:eastAsia="Times New Roman"/>
          <w:sz w:val="24"/>
          <w:szCs w:val="24"/>
          <w:lang w:val="en-GB"/>
        </w:rPr>
        <w:t xml:space="preserve">. Available at: </w:t>
      </w:r>
      <w:hyperlink r:id="rId39" w:history="1">
        <w:r w:rsidRPr="00E43504">
          <w:rPr>
            <w:rStyle w:val="Hyperlink"/>
            <w:rFonts w:eastAsia="Times New Roman"/>
            <w:sz w:val="24"/>
            <w:szCs w:val="24"/>
            <w:lang w:val="en-GB"/>
          </w:rPr>
          <w:t>https://en.vneconomy.vn/a-highlight-in-attracting-foreign-investment.htm</w:t>
        </w:r>
      </w:hyperlink>
    </w:p>
    <w:p w14:paraId="54B6B40E"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Weforum.org</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ASEAN takes major step toward landmark digital economy pact</w:t>
      </w:r>
      <w:r w:rsidRPr="00E43504">
        <w:rPr>
          <w:rFonts w:eastAsia="Times New Roman"/>
          <w:sz w:val="24"/>
          <w:szCs w:val="24"/>
          <w:lang w:val="en-GB"/>
        </w:rPr>
        <w:t xml:space="preserve">. Available at: </w:t>
      </w:r>
      <w:hyperlink r:id="rId40" w:history="1">
        <w:r w:rsidRPr="00E43504">
          <w:rPr>
            <w:rStyle w:val="Hyperlink"/>
            <w:rFonts w:eastAsia="Times New Roman"/>
            <w:sz w:val="24"/>
            <w:szCs w:val="24"/>
            <w:lang w:val="en-GB"/>
          </w:rPr>
          <w:t>https://www.weforum.org/stories/2025/10/asean-defa-digital-economy-pact-negotiations/</w:t>
        </w:r>
      </w:hyperlink>
    </w:p>
    <w:p w14:paraId="002655F5" w14:textId="77777777" w:rsidR="00465194" w:rsidRPr="00E43504" w:rsidRDefault="00465194" w:rsidP="006E3E9B">
      <w:pPr>
        <w:spacing w:before="240" w:after="240" w:line="360" w:lineRule="auto"/>
        <w:jc w:val="both"/>
        <w:rPr>
          <w:rFonts w:eastAsia="Times New Roman"/>
          <w:sz w:val="24"/>
          <w:szCs w:val="24"/>
          <w:lang w:val="en-GB"/>
        </w:rPr>
      </w:pPr>
      <w:r w:rsidRPr="00E43504">
        <w:rPr>
          <w:rFonts w:eastAsia="Times New Roman"/>
          <w:sz w:val="24"/>
          <w:szCs w:val="24"/>
          <w:lang w:val="en-GB"/>
        </w:rPr>
        <w:t>Worldbank.org</w:t>
      </w:r>
      <w:r>
        <w:rPr>
          <w:rFonts w:eastAsia="Times New Roman"/>
          <w:sz w:val="24"/>
          <w:szCs w:val="24"/>
          <w:lang w:val="en-GB"/>
        </w:rPr>
        <w:t xml:space="preserve">., </w:t>
      </w:r>
      <w:r w:rsidRPr="00E43504">
        <w:rPr>
          <w:rFonts w:eastAsia="Times New Roman"/>
          <w:sz w:val="24"/>
          <w:szCs w:val="24"/>
          <w:lang w:val="en-GB"/>
        </w:rPr>
        <w:t xml:space="preserve">2025. </w:t>
      </w:r>
      <w:r w:rsidRPr="00E43504">
        <w:rPr>
          <w:rFonts w:eastAsia="Times New Roman"/>
          <w:i/>
          <w:iCs/>
          <w:sz w:val="24"/>
          <w:szCs w:val="24"/>
          <w:lang w:val="en-GB"/>
        </w:rPr>
        <w:t>Viet Nam’s Economy Forecast to Grow 6.8 Percent In 2025: WB</w:t>
      </w:r>
      <w:r w:rsidRPr="00E43504">
        <w:rPr>
          <w:rFonts w:eastAsia="Times New Roman"/>
          <w:sz w:val="24"/>
          <w:szCs w:val="24"/>
          <w:lang w:val="en-GB"/>
        </w:rPr>
        <w:t xml:space="preserve">. Available at: </w:t>
      </w:r>
      <w:hyperlink r:id="rId41" w:history="1">
        <w:r w:rsidRPr="00E43504">
          <w:rPr>
            <w:rStyle w:val="Hyperlink"/>
            <w:rFonts w:eastAsia="Times New Roman"/>
            <w:sz w:val="24"/>
            <w:szCs w:val="24"/>
            <w:lang w:val="en-GB"/>
          </w:rPr>
          <w:t>https://www.worldbank.org/en/news/press-release/2025/03/12/viet-nam-s-economy-forecast-to-grow-6-8-percent-in-2025-wb</w:t>
        </w:r>
      </w:hyperlink>
    </w:p>
    <w:p w14:paraId="59BC3573" w14:textId="77777777" w:rsidR="00465194" w:rsidRPr="00E43504" w:rsidRDefault="00465194" w:rsidP="006E3E9B">
      <w:pPr>
        <w:spacing w:before="240" w:after="240" w:line="360" w:lineRule="auto"/>
        <w:jc w:val="both"/>
        <w:rPr>
          <w:sz w:val="24"/>
          <w:szCs w:val="24"/>
          <w:lang w:val="en-GB"/>
        </w:rPr>
      </w:pPr>
      <w:r w:rsidRPr="00E43504">
        <w:rPr>
          <w:rFonts w:eastAsia="Times New Roman"/>
          <w:sz w:val="24"/>
          <w:szCs w:val="24"/>
          <w:lang w:val="en-GB"/>
        </w:rPr>
        <w:t>Worldpopulationreview.com</w:t>
      </w:r>
      <w:r>
        <w:rPr>
          <w:rFonts w:eastAsia="Times New Roman"/>
          <w:sz w:val="24"/>
          <w:szCs w:val="24"/>
          <w:lang w:val="en-GB"/>
        </w:rPr>
        <w:t xml:space="preserve">., </w:t>
      </w:r>
      <w:r w:rsidRPr="00E43504">
        <w:rPr>
          <w:rFonts w:eastAsia="Times New Roman"/>
          <w:sz w:val="24"/>
          <w:szCs w:val="24"/>
          <w:lang w:val="en-GB"/>
        </w:rPr>
        <w:t xml:space="preserve">2024. </w:t>
      </w:r>
      <w:r w:rsidRPr="00E43504">
        <w:rPr>
          <w:rFonts w:eastAsia="Times New Roman"/>
          <w:i/>
          <w:iCs/>
          <w:sz w:val="24"/>
          <w:szCs w:val="24"/>
          <w:lang w:val="en-GB"/>
        </w:rPr>
        <w:t>Tesla Sales by Country 2025</w:t>
      </w:r>
      <w:r w:rsidRPr="00E43504">
        <w:rPr>
          <w:rFonts w:eastAsia="Times New Roman"/>
          <w:sz w:val="24"/>
          <w:szCs w:val="24"/>
          <w:lang w:val="en-GB"/>
        </w:rPr>
        <w:t xml:space="preserve">. Available at: </w:t>
      </w:r>
      <w:hyperlink r:id="rId42" w:history="1">
        <w:r w:rsidRPr="00E43504">
          <w:rPr>
            <w:rStyle w:val="Hyperlink"/>
            <w:rFonts w:eastAsia="Times New Roman"/>
            <w:sz w:val="24"/>
            <w:szCs w:val="24"/>
            <w:lang w:val="en-GB"/>
          </w:rPr>
          <w:t>https://worldpopulationreview.com/country-rankings/tesla-sales-by-country</w:t>
        </w:r>
      </w:hyperlink>
    </w:p>
    <w:sectPr w:rsidR="00465194" w:rsidRPr="00E43504" w:rsidSect="00632960">
      <w:footerReference w:type="default" r:id="rId43"/>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7BAD" w14:textId="77777777" w:rsidR="007F5230" w:rsidRDefault="007F5230" w:rsidP="006E3E9B">
      <w:pPr>
        <w:spacing w:line="240" w:lineRule="auto"/>
      </w:pPr>
      <w:r>
        <w:separator/>
      </w:r>
    </w:p>
  </w:endnote>
  <w:endnote w:type="continuationSeparator" w:id="0">
    <w:p w14:paraId="61F1B6CD" w14:textId="77777777" w:rsidR="007F5230" w:rsidRDefault="007F5230" w:rsidP="006E3E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7D05078-53EA-44DA-8C86-7B660314A97B}"/>
    <w:embedItalic r:id="rId2" w:fontKey="{B5AA0152-56CA-4D2C-B5C8-C336ABB63176}"/>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5" w:fontKey="{5BC8789C-B68B-8442-9B80-C693224521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644087"/>
      <w:docPartObj>
        <w:docPartGallery w:val="Page Numbers (Bottom of Page)"/>
        <w:docPartUnique/>
      </w:docPartObj>
    </w:sdtPr>
    <w:sdtEndPr>
      <w:rPr>
        <w:noProof/>
      </w:rPr>
    </w:sdtEndPr>
    <w:sdtContent>
      <w:p w14:paraId="12C6AB83" w14:textId="77777777" w:rsidR="006E3E9B" w:rsidRDefault="006E3E9B">
        <w:pPr>
          <w:pStyle w:val="Footer"/>
          <w:jc w:val="right"/>
        </w:pPr>
        <w:r w:rsidRPr="006E3E9B">
          <w:rPr>
            <w:sz w:val="24"/>
            <w:szCs w:val="24"/>
          </w:rPr>
          <w:fldChar w:fldCharType="begin"/>
        </w:r>
        <w:r w:rsidRPr="006E3E9B">
          <w:rPr>
            <w:sz w:val="24"/>
            <w:szCs w:val="24"/>
          </w:rPr>
          <w:instrText xml:space="preserve"> PAGE   \* MERGEFORMAT </w:instrText>
        </w:r>
        <w:r w:rsidRPr="006E3E9B">
          <w:rPr>
            <w:sz w:val="24"/>
            <w:szCs w:val="24"/>
          </w:rPr>
          <w:fldChar w:fldCharType="separate"/>
        </w:r>
        <w:r w:rsidRPr="006E3E9B">
          <w:rPr>
            <w:noProof/>
            <w:sz w:val="24"/>
            <w:szCs w:val="24"/>
          </w:rPr>
          <w:t>2</w:t>
        </w:r>
        <w:r w:rsidRPr="006E3E9B">
          <w:rPr>
            <w:noProof/>
            <w:sz w:val="24"/>
            <w:szCs w:val="24"/>
          </w:rPr>
          <w:fldChar w:fldCharType="end"/>
        </w:r>
      </w:p>
    </w:sdtContent>
  </w:sdt>
  <w:p w14:paraId="6AAE7CC1" w14:textId="77777777" w:rsidR="006E3E9B" w:rsidRDefault="006E3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4D48" w14:textId="77777777" w:rsidR="007F5230" w:rsidRDefault="007F5230" w:rsidP="006E3E9B">
      <w:pPr>
        <w:spacing w:line="240" w:lineRule="auto"/>
      </w:pPr>
      <w:r>
        <w:separator/>
      </w:r>
    </w:p>
  </w:footnote>
  <w:footnote w:type="continuationSeparator" w:id="0">
    <w:p w14:paraId="49A44FC8" w14:textId="77777777" w:rsidR="007F5230" w:rsidRDefault="007F5230" w:rsidP="006E3E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56D45"/>
    <w:multiLevelType w:val="multilevel"/>
    <w:tmpl w:val="64882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6028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01C"/>
    <w:rsid w:val="00011FFF"/>
    <w:rsid w:val="00085E9F"/>
    <w:rsid w:val="000B76E8"/>
    <w:rsid w:val="000D6318"/>
    <w:rsid w:val="000E2C86"/>
    <w:rsid w:val="000E506D"/>
    <w:rsid w:val="000F3105"/>
    <w:rsid w:val="001231FC"/>
    <w:rsid w:val="00123906"/>
    <w:rsid w:val="001652AF"/>
    <w:rsid w:val="0019481A"/>
    <w:rsid w:val="0019792B"/>
    <w:rsid w:val="001E4F26"/>
    <w:rsid w:val="001F0A64"/>
    <w:rsid w:val="0024255B"/>
    <w:rsid w:val="0026162E"/>
    <w:rsid w:val="002E0DD2"/>
    <w:rsid w:val="00351C05"/>
    <w:rsid w:val="003601E7"/>
    <w:rsid w:val="003A0B9A"/>
    <w:rsid w:val="003E4997"/>
    <w:rsid w:val="003F5FBA"/>
    <w:rsid w:val="004079C6"/>
    <w:rsid w:val="004368C9"/>
    <w:rsid w:val="00437971"/>
    <w:rsid w:val="0044234B"/>
    <w:rsid w:val="0045674D"/>
    <w:rsid w:val="00465194"/>
    <w:rsid w:val="00494332"/>
    <w:rsid w:val="004B2CDA"/>
    <w:rsid w:val="004E1F33"/>
    <w:rsid w:val="004E5574"/>
    <w:rsid w:val="004F2AD0"/>
    <w:rsid w:val="005423D6"/>
    <w:rsid w:val="00560015"/>
    <w:rsid w:val="005A2FA2"/>
    <w:rsid w:val="005B492A"/>
    <w:rsid w:val="005C1730"/>
    <w:rsid w:val="00632960"/>
    <w:rsid w:val="00666C83"/>
    <w:rsid w:val="006B49A5"/>
    <w:rsid w:val="006B7BA6"/>
    <w:rsid w:val="006D0899"/>
    <w:rsid w:val="006E3E9B"/>
    <w:rsid w:val="006E4850"/>
    <w:rsid w:val="0071678A"/>
    <w:rsid w:val="007A0ADC"/>
    <w:rsid w:val="007A2D56"/>
    <w:rsid w:val="007B0915"/>
    <w:rsid w:val="007D17DF"/>
    <w:rsid w:val="007E1D70"/>
    <w:rsid w:val="007F5230"/>
    <w:rsid w:val="008139AF"/>
    <w:rsid w:val="0083364C"/>
    <w:rsid w:val="00863A89"/>
    <w:rsid w:val="008B7E85"/>
    <w:rsid w:val="008C459B"/>
    <w:rsid w:val="008C696C"/>
    <w:rsid w:val="008E1794"/>
    <w:rsid w:val="008E343B"/>
    <w:rsid w:val="008E4267"/>
    <w:rsid w:val="008E49DD"/>
    <w:rsid w:val="008E5B83"/>
    <w:rsid w:val="00956ACE"/>
    <w:rsid w:val="00964EF8"/>
    <w:rsid w:val="00991820"/>
    <w:rsid w:val="009B18A3"/>
    <w:rsid w:val="009D1168"/>
    <w:rsid w:val="009D501C"/>
    <w:rsid w:val="009E2D53"/>
    <w:rsid w:val="00A06665"/>
    <w:rsid w:val="00A121DB"/>
    <w:rsid w:val="00A31A4B"/>
    <w:rsid w:val="00A46297"/>
    <w:rsid w:val="00A62FAD"/>
    <w:rsid w:val="00A66058"/>
    <w:rsid w:val="00A67E3F"/>
    <w:rsid w:val="00A805EE"/>
    <w:rsid w:val="00AD0A74"/>
    <w:rsid w:val="00AE5526"/>
    <w:rsid w:val="00B1046F"/>
    <w:rsid w:val="00B219E2"/>
    <w:rsid w:val="00B21F4B"/>
    <w:rsid w:val="00B241D4"/>
    <w:rsid w:val="00B62E00"/>
    <w:rsid w:val="00B86AE6"/>
    <w:rsid w:val="00BC4DC8"/>
    <w:rsid w:val="00BD28B6"/>
    <w:rsid w:val="00BF33A3"/>
    <w:rsid w:val="00C00C00"/>
    <w:rsid w:val="00C0520B"/>
    <w:rsid w:val="00C329BA"/>
    <w:rsid w:val="00C8631E"/>
    <w:rsid w:val="00C96A04"/>
    <w:rsid w:val="00CD4E4D"/>
    <w:rsid w:val="00CD71D9"/>
    <w:rsid w:val="00D2614B"/>
    <w:rsid w:val="00D47823"/>
    <w:rsid w:val="00D73B12"/>
    <w:rsid w:val="00D935B5"/>
    <w:rsid w:val="00DA2F43"/>
    <w:rsid w:val="00DC11FB"/>
    <w:rsid w:val="00DD3102"/>
    <w:rsid w:val="00E2427E"/>
    <w:rsid w:val="00E2762E"/>
    <w:rsid w:val="00E35567"/>
    <w:rsid w:val="00E42401"/>
    <w:rsid w:val="00E43504"/>
    <w:rsid w:val="00E501B0"/>
    <w:rsid w:val="00E52EAF"/>
    <w:rsid w:val="00E7726D"/>
    <w:rsid w:val="00EC3F74"/>
    <w:rsid w:val="00EE2F5D"/>
    <w:rsid w:val="00F10E77"/>
    <w:rsid w:val="00F316B1"/>
    <w:rsid w:val="00FB6895"/>
    <w:rsid w:val="00FD563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57E62"/>
  <w15:docId w15:val="{BA4DDF1F-8CFF-4A94-BDBC-AFE0EF2B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E3E9B"/>
    <w:pPr>
      <w:keepNext/>
      <w:keepLines/>
      <w:spacing w:line="360" w:lineRule="auto"/>
      <w:jc w:val="both"/>
      <w:outlineLvl w:val="0"/>
    </w:pPr>
    <w:rPr>
      <w:rFonts w:eastAsia="Times New Roman"/>
      <w:b/>
      <w:bCs/>
      <w:sz w:val="28"/>
      <w:szCs w:val="28"/>
    </w:rPr>
  </w:style>
  <w:style w:type="paragraph" w:styleId="Heading2">
    <w:name w:val="heading 2"/>
    <w:basedOn w:val="Normal"/>
    <w:next w:val="Normal"/>
    <w:uiPriority w:val="9"/>
    <w:unhideWhenUsed/>
    <w:qFormat/>
    <w:pPr>
      <w:keepNext/>
      <w:keepLines/>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paragraph" w:styleId="Heading7">
    <w:name w:val="heading 7"/>
    <w:basedOn w:val="Normal"/>
    <w:next w:val="Normal"/>
    <w:link w:val="Heading7Char"/>
    <w:uiPriority w:val="9"/>
    <w:unhideWhenUsed/>
    <w:qFormat/>
    <w:rsid w:val="00FD5632"/>
    <w:pPr>
      <w:keepNext/>
      <w:keepLines/>
      <w:spacing w:before="40"/>
      <w:jc w:val="both"/>
      <w:outlineLvl w:val="6"/>
    </w:pPr>
    <w:rPr>
      <w:rFonts w:asciiTheme="majorHAnsi" w:eastAsiaTheme="majorEastAsia" w:hAnsiTheme="majorHAnsi" w:cstheme="majorBidi"/>
      <w:i/>
      <w:iCs/>
      <w:color w:val="243F60" w:themeColor="accent1" w:themeShade="7F"/>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character" w:styleId="Hyperlink">
    <w:name w:val="Hyperlink"/>
    <w:basedOn w:val="DefaultParagraphFont"/>
    <w:uiPriority w:val="99"/>
    <w:unhideWhenUsed/>
    <w:rsid w:val="006E3E9B"/>
    <w:rPr>
      <w:color w:val="0000FF" w:themeColor="hyperlink"/>
      <w:u w:val="single"/>
    </w:rPr>
  </w:style>
  <w:style w:type="character" w:styleId="UnresolvedMention">
    <w:name w:val="Unresolved Mention"/>
    <w:basedOn w:val="DefaultParagraphFont"/>
    <w:uiPriority w:val="99"/>
    <w:semiHidden/>
    <w:unhideWhenUsed/>
    <w:rsid w:val="006E3E9B"/>
    <w:rPr>
      <w:color w:val="605E5C"/>
      <w:shd w:val="clear" w:color="auto" w:fill="E1DFDD"/>
    </w:rPr>
  </w:style>
  <w:style w:type="paragraph" w:styleId="Header">
    <w:name w:val="header"/>
    <w:basedOn w:val="Normal"/>
    <w:link w:val="HeaderChar"/>
    <w:uiPriority w:val="99"/>
    <w:unhideWhenUsed/>
    <w:rsid w:val="006E3E9B"/>
    <w:pPr>
      <w:tabs>
        <w:tab w:val="center" w:pos="4513"/>
        <w:tab w:val="right" w:pos="9026"/>
      </w:tabs>
      <w:spacing w:line="240" w:lineRule="auto"/>
    </w:pPr>
  </w:style>
  <w:style w:type="character" w:customStyle="1" w:styleId="HeaderChar">
    <w:name w:val="Header Char"/>
    <w:basedOn w:val="DefaultParagraphFont"/>
    <w:link w:val="Header"/>
    <w:uiPriority w:val="99"/>
    <w:rsid w:val="006E3E9B"/>
  </w:style>
  <w:style w:type="paragraph" w:styleId="Footer">
    <w:name w:val="footer"/>
    <w:basedOn w:val="Normal"/>
    <w:link w:val="FooterChar"/>
    <w:uiPriority w:val="99"/>
    <w:unhideWhenUsed/>
    <w:rsid w:val="006E3E9B"/>
    <w:pPr>
      <w:tabs>
        <w:tab w:val="center" w:pos="4513"/>
        <w:tab w:val="right" w:pos="9026"/>
      </w:tabs>
      <w:spacing w:line="240" w:lineRule="auto"/>
    </w:pPr>
  </w:style>
  <w:style w:type="character" w:customStyle="1" w:styleId="FooterChar">
    <w:name w:val="Footer Char"/>
    <w:basedOn w:val="DefaultParagraphFont"/>
    <w:link w:val="Footer"/>
    <w:uiPriority w:val="99"/>
    <w:rsid w:val="006E3E9B"/>
  </w:style>
  <w:style w:type="paragraph" w:styleId="TOCHeading">
    <w:name w:val="TOC Heading"/>
    <w:basedOn w:val="Heading1"/>
    <w:next w:val="Normal"/>
    <w:uiPriority w:val="39"/>
    <w:unhideWhenUsed/>
    <w:qFormat/>
    <w:rsid w:val="006E3E9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E3E9B"/>
    <w:pPr>
      <w:spacing w:after="100"/>
    </w:pPr>
  </w:style>
  <w:style w:type="paragraph" w:styleId="TOC2">
    <w:name w:val="toc 2"/>
    <w:basedOn w:val="Normal"/>
    <w:next w:val="Normal"/>
    <w:autoRedefine/>
    <w:uiPriority w:val="39"/>
    <w:unhideWhenUsed/>
    <w:rsid w:val="006E3E9B"/>
    <w:pPr>
      <w:spacing w:after="100"/>
      <w:ind w:left="220"/>
    </w:pPr>
  </w:style>
  <w:style w:type="character" w:customStyle="1" w:styleId="Heading7Char">
    <w:name w:val="Heading 7 Char"/>
    <w:basedOn w:val="DefaultParagraphFont"/>
    <w:link w:val="Heading7"/>
    <w:uiPriority w:val="9"/>
    <w:rsid w:val="00FD5632"/>
    <w:rPr>
      <w:rFonts w:asciiTheme="majorHAnsi" w:eastAsiaTheme="majorEastAsia" w:hAnsiTheme="majorHAnsi" w:cstheme="majorBidi"/>
      <w:i/>
      <w:iCs/>
      <w:color w:val="243F60" w:themeColor="accent1" w:themeShade="7F"/>
      <w:sz w:val="24"/>
      <w:szCs w:val="24"/>
      <w:lang w:val="en-IN"/>
    </w:rPr>
  </w:style>
  <w:style w:type="table" w:styleId="TableGrid">
    <w:name w:val="Table Grid"/>
    <w:basedOn w:val="TableNormal"/>
    <w:uiPriority w:val="39"/>
    <w:rsid w:val="008139A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944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povertyactionlab.org/sites/default/files/publication/Transportation_White_Paper_Nov_2024_V2_0.pdf" TargetMode="External" /><Relationship Id="rId18" Type="http://schemas.openxmlformats.org/officeDocument/2006/relationships/hyperlink" Target="https://doi.org/10.3390/su15097411" TargetMode="External" /><Relationship Id="rId26" Type="http://schemas.openxmlformats.org/officeDocument/2006/relationships/hyperlink" Target="https://www.theseus.fi/bitstream/handle/10024/755950/Nguyen_Pham.pdf" TargetMode="External" /><Relationship Id="rId39" Type="http://schemas.openxmlformats.org/officeDocument/2006/relationships/hyperlink" Target="https://en.vneconomy.vn/a-highlight-in-attracting-foreign-investment.htm" TargetMode="External" /><Relationship Id="rId3" Type="http://schemas.openxmlformats.org/officeDocument/2006/relationships/styles" Target="styles.xml" /><Relationship Id="rId21" Type="http://schemas.openxmlformats.org/officeDocument/2006/relationships/hyperlink" Target="https://doi.org/10.1007/978-981-96-5055-2_16" TargetMode="External" /><Relationship Id="rId34" Type="http://schemas.openxmlformats.org/officeDocument/2006/relationships/hyperlink" Target="https://news.tuoitre.vn/vietnam-leads-world-in-ev-sales-share-in-h1-2025-report-103250919151645547.htm" TargetMode="External" /><Relationship Id="rId42" Type="http://schemas.openxmlformats.org/officeDocument/2006/relationships/hyperlink" Target="https://worldpopulationreview.com/country-rankings/tesla-sales-by-country" TargetMode="External" /><Relationship Id="rId7" Type="http://schemas.openxmlformats.org/officeDocument/2006/relationships/endnotes" Target="endnotes.xml" /><Relationship Id="rId12" Type="http://schemas.openxmlformats.org/officeDocument/2006/relationships/hyperlink" Target="https://autovista24.autovistagroup.com/news/what-are-the-global-ev-markets-most-successful-brands/" TargetMode="External" /><Relationship Id="rId17" Type="http://schemas.openxmlformats.org/officeDocument/2006/relationships/hyperlink" Target="https://www.puirj.com/index.php/research/article/download/177/139" TargetMode="External" /><Relationship Id="rId25" Type="http://schemas.openxmlformats.org/officeDocument/2006/relationships/hyperlink" Target="https://www.nasdaq.com/market-activity/stocks/tsla/financials" TargetMode="External" /><Relationship Id="rId33" Type="http://schemas.openxmlformats.org/officeDocument/2006/relationships/hyperlink" Target="https://www.tilleke.com/insights/vietnams-legal-framework-on-electric-vehicles-offers-new-opportunities-for-investors/11/" TargetMode="External" /><Relationship Id="rId38" Type="http://schemas.openxmlformats.org/officeDocument/2006/relationships/hyperlink" Target="https://vinfastauto.us/" TargetMode="External" /><Relationship Id="rId2" Type="http://schemas.openxmlformats.org/officeDocument/2006/relationships/numbering" Target="numbering.xml" /><Relationship Id="rId16" Type="http://schemas.openxmlformats.org/officeDocument/2006/relationships/hyperlink" Target="https://fundit.fr/en/institutions/national-technology-innovation-foundation-vietnam-natif" TargetMode="External" /><Relationship Id="rId20" Type="http://schemas.openxmlformats.org/officeDocument/2006/relationships/hyperlink" Target="https://www.joaquinugalde.com/tesla-journeys" TargetMode="External" /><Relationship Id="rId29" Type="http://schemas.openxmlformats.org/officeDocument/2006/relationships/hyperlink" Target="https://www.tesla.com/fsd" TargetMode="External" /><Relationship Id="rId41" Type="http://schemas.openxmlformats.org/officeDocument/2006/relationships/hyperlink" Target="https://www.worldbank.org/en/news/press-release/2025/03/12/viet-nam-s-economy-forecast-to-grow-6-8-percent-in-2025-wb"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47191/jefms/v5-i12-10" TargetMode="External" /><Relationship Id="rId32" Type="http://schemas.openxmlformats.org/officeDocument/2006/relationships/hyperlink" Target="https://theinvestor.vn/electric-vehicles-in-vietnam-7-years-of-development-and-double-digit-growth-prospect-d16323.html" TargetMode="External" /><Relationship Id="rId37" Type="http://schemas.openxmlformats.org/officeDocument/2006/relationships/hyperlink" Target="https://www.vietnam-briefing.com/news/vietnam-updates-special-consumption-tax-system-new-compliance-starts-in-2026.html/" TargetMode="External" /><Relationship Id="rId40" Type="http://schemas.openxmlformats.org/officeDocument/2006/relationships/hyperlink" Target="https://www.weforum.org/stories/2025/10/asean-defa-digital-economy-pact-negotiations/" TargetMode="External" /><Relationship Id="rId45"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forbes.com/sites/qai/2022/09/29/tesla-a-history-of-innovation-and-headaches/" TargetMode="External" /><Relationship Id="rId23" Type="http://schemas.openxmlformats.org/officeDocument/2006/relationships/hyperlink" Target="https://en.mae.gov.vn/fulfilling-climate-commitments-at-cop26-vietnams-comprehensive-crosssector-and-wholeofsociety-action-9035.htm" TargetMode="External" /><Relationship Id="rId28" Type="http://schemas.openxmlformats.org/officeDocument/2006/relationships/hyperlink" Target="https://digital.car.chula.ac.th/chulaetd/73495/" TargetMode="External" /><Relationship Id="rId36" Type="http://schemas.openxmlformats.org/officeDocument/2006/relationships/hyperlink" Target="https://www.vietnam-briefing.com/news/understanding-vietnams-middle-class-size-spending-patterns-and-opportunities-for-businesses.html/" TargetMode="External" /><Relationship Id="rId10" Type="http://schemas.openxmlformats.org/officeDocument/2006/relationships/image" Target="media/image3.png" /><Relationship Id="rId19" Type="http://schemas.openxmlformats.org/officeDocument/2006/relationships/hyperlink" Target="https://insideevs.com/news/717446/tesla-annual-vehicle-capacity-2024q1/" TargetMode="External" /><Relationship Id="rId31" Type="http://schemas.openxmlformats.org/officeDocument/2006/relationships/hyperlink" Target="https://theicct.org/publication/2w-lvs-vietnam-asia-baseline-feb22/" TargetMode="External" /><Relationship Id="rId44"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english.news.cn/20240906/02f540add5674726908eb5469e9e0a87/c.html" TargetMode="External" /><Relationship Id="rId22" Type="http://schemas.openxmlformats.org/officeDocument/2006/relationships/hyperlink" Target="https://doi.org/10.3390/encyclopedia5010039" TargetMode="External" /><Relationship Id="rId27" Type="http://schemas.openxmlformats.org/officeDocument/2006/relationships/hyperlink" Target="http://jdmdc.com/index.php/JDMDC/article/download/34/25" TargetMode="External" /><Relationship Id="rId30" Type="http://schemas.openxmlformats.org/officeDocument/2006/relationships/hyperlink" Target="https://www.tesla.com/en_in/supercharger" TargetMode="External" /><Relationship Id="rId35" Type="http://schemas.openxmlformats.org/officeDocument/2006/relationships/hyperlink" Target="https://vietnam.opendevelopmentmekong.net/topics/urbanization-in-vietnam/" TargetMode="External" /><Relationship Id="rId43"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AE11B9E-DE02-4CC6-ABA4-9EACDC554F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5827</Words>
  <Characters>40878</Characters>
  <Application>Microsoft Office Word</Application>
  <DocSecurity>0</DocSecurity>
  <Lines>340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Urval Panchal</cp:lastModifiedBy>
  <cp:revision>2</cp:revision>
  <dcterms:created xsi:type="dcterms:W3CDTF">2025-11-25T15:22:00Z</dcterms:created>
  <dcterms:modified xsi:type="dcterms:W3CDTF">2025-11-25T15:22:00Z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cf5a3c9d-3679-4914-b11e-55728c9b78f5</vt:lpwstr>
  </property>
</Properties>
</file>