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DB66CF" w14:textId="711014DC" w:rsidR="00A0234A" w:rsidRDefault="00A0234A" w:rsidP="00A0234A">
      <w:pPr>
        <w:jc w:val="center"/>
        <w:rPr>
          <w:sz w:val="44"/>
          <w:szCs w:val="44"/>
        </w:rPr>
      </w:pPr>
      <w:r>
        <w:rPr>
          <w:sz w:val="44"/>
          <w:szCs w:val="44"/>
        </w:rPr>
        <w:t>Understanding the Business Context of Human Resources</w:t>
      </w:r>
    </w:p>
    <w:p w14:paraId="0603C495" w14:textId="77777777" w:rsidR="00A0234A" w:rsidRDefault="00A0234A" w:rsidP="00A0234A">
      <w:pPr>
        <w:jc w:val="center"/>
        <w:rPr>
          <w:sz w:val="44"/>
          <w:szCs w:val="44"/>
        </w:rPr>
      </w:pPr>
    </w:p>
    <w:p w14:paraId="59993024" w14:textId="77777777" w:rsidR="00A0234A" w:rsidRDefault="00A0234A" w:rsidP="00A0234A"/>
    <w:p w14:paraId="64D8AEC4" w14:textId="77777777" w:rsidR="00A0234A" w:rsidRDefault="00A0234A" w:rsidP="00A0234A">
      <w:pPr>
        <w:jc w:val="center"/>
        <w:rPr>
          <w:sz w:val="28"/>
          <w:szCs w:val="28"/>
        </w:rPr>
      </w:pPr>
      <w:r>
        <w:rPr>
          <w:sz w:val="28"/>
          <w:szCs w:val="28"/>
        </w:rPr>
        <w:t>Jodie Barnett</w:t>
      </w:r>
    </w:p>
    <w:p w14:paraId="67B57F4D" w14:textId="77777777" w:rsidR="00A0234A" w:rsidRDefault="00A0234A" w:rsidP="00A0234A">
      <w:pPr>
        <w:jc w:val="center"/>
        <w:rPr>
          <w:sz w:val="28"/>
          <w:szCs w:val="28"/>
        </w:rPr>
      </w:pPr>
    </w:p>
    <w:p w14:paraId="38E18E9B" w14:textId="52C117B8" w:rsidR="00A0234A" w:rsidRDefault="00A0234A" w:rsidP="00A0234A">
      <w:pPr>
        <w:jc w:val="center"/>
        <w:rPr>
          <w:sz w:val="28"/>
          <w:szCs w:val="28"/>
        </w:rPr>
      </w:pPr>
      <w:r>
        <w:rPr>
          <w:sz w:val="28"/>
          <w:szCs w:val="28"/>
        </w:rPr>
        <w:t>CIPD course number: 5CBIC</w:t>
      </w:r>
    </w:p>
    <w:p w14:paraId="40289DC9" w14:textId="77777777" w:rsidR="00A0234A" w:rsidRDefault="00A0234A" w:rsidP="00A0234A">
      <w:pPr>
        <w:jc w:val="center"/>
        <w:rPr>
          <w:sz w:val="28"/>
          <w:szCs w:val="28"/>
        </w:rPr>
      </w:pPr>
    </w:p>
    <w:p w14:paraId="7139FAD0" w14:textId="77777777" w:rsidR="00A0234A" w:rsidRDefault="00A0234A" w:rsidP="00A0234A">
      <w:pPr>
        <w:jc w:val="center"/>
        <w:rPr>
          <w:sz w:val="28"/>
          <w:szCs w:val="28"/>
        </w:rPr>
      </w:pPr>
      <w:r>
        <w:rPr>
          <w:sz w:val="28"/>
          <w:szCs w:val="28"/>
        </w:rPr>
        <w:t>CIPD Membership number: 2224083X</w:t>
      </w:r>
    </w:p>
    <w:p w14:paraId="5857F2C0" w14:textId="77777777" w:rsidR="00A0234A" w:rsidRDefault="00A0234A" w:rsidP="00A0234A">
      <w:pPr>
        <w:jc w:val="center"/>
        <w:rPr>
          <w:sz w:val="28"/>
          <w:szCs w:val="28"/>
        </w:rPr>
      </w:pPr>
    </w:p>
    <w:p w14:paraId="41088CE3" w14:textId="05728B64" w:rsidR="00A0234A" w:rsidRDefault="00A0234A" w:rsidP="00A0234A">
      <w:pPr>
        <w:rPr>
          <w:sz w:val="28"/>
          <w:szCs w:val="28"/>
        </w:rPr>
      </w:pPr>
      <w:r>
        <w:rPr>
          <w:sz w:val="28"/>
          <w:szCs w:val="28"/>
        </w:rPr>
        <w:t>Activity 1 - word count</w:t>
      </w:r>
      <w:r w:rsidR="00AE3794">
        <w:rPr>
          <w:sz w:val="28"/>
          <w:szCs w:val="28"/>
        </w:rPr>
        <w:t xml:space="preserve"> excluding cover sheet and reference list</w:t>
      </w:r>
      <w:r>
        <w:rPr>
          <w:sz w:val="28"/>
          <w:szCs w:val="28"/>
        </w:rPr>
        <w:t xml:space="preserve">: </w:t>
      </w:r>
      <w:r w:rsidR="00EF029F" w:rsidRPr="00AE3794">
        <w:rPr>
          <w:b/>
          <w:bCs/>
          <w:sz w:val="28"/>
          <w:szCs w:val="28"/>
        </w:rPr>
        <w:t>1,7</w:t>
      </w:r>
      <w:r w:rsidR="00B21612">
        <w:rPr>
          <w:b/>
          <w:bCs/>
          <w:sz w:val="28"/>
          <w:szCs w:val="28"/>
        </w:rPr>
        <w:t>87</w:t>
      </w:r>
      <w:r w:rsidR="00EF029F">
        <w:rPr>
          <w:sz w:val="28"/>
          <w:szCs w:val="28"/>
        </w:rPr>
        <w:t xml:space="preserve"> </w:t>
      </w:r>
      <w:r>
        <w:rPr>
          <w:sz w:val="28"/>
          <w:szCs w:val="28"/>
        </w:rPr>
        <w:t xml:space="preserve">(maximum 2000 words) </w:t>
      </w:r>
    </w:p>
    <w:p w14:paraId="0011B1D7" w14:textId="1879E442" w:rsidR="00A0234A" w:rsidRDefault="00A0234A" w:rsidP="00A0234A">
      <w:pPr>
        <w:rPr>
          <w:sz w:val="28"/>
          <w:szCs w:val="28"/>
        </w:rPr>
      </w:pPr>
      <w:r>
        <w:rPr>
          <w:sz w:val="28"/>
          <w:szCs w:val="28"/>
        </w:rPr>
        <w:t xml:space="preserve">Activity 2 – word count: </w:t>
      </w:r>
      <w:r w:rsidR="006050CF" w:rsidRPr="006050CF">
        <w:rPr>
          <w:b/>
          <w:bCs/>
          <w:sz w:val="28"/>
          <w:szCs w:val="28"/>
        </w:rPr>
        <w:t>3</w:t>
      </w:r>
      <w:r w:rsidR="004548DE">
        <w:rPr>
          <w:b/>
          <w:bCs/>
          <w:sz w:val="28"/>
          <w:szCs w:val="28"/>
        </w:rPr>
        <w:t>6</w:t>
      </w:r>
      <w:r w:rsidR="006050CF" w:rsidRPr="006050CF">
        <w:rPr>
          <w:b/>
          <w:bCs/>
          <w:sz w:val="28"/>
          <w:szCs w:val="28"/>
        </w:rPr>
        <w:t xml:space="preserve">0 </w:t>
      </w:r>
      <w:r>
        <w:rPr>
          <w:sz w:val="28"/>
          <w:szCs w:val="28"/>
        </w:rPr>
        <w:t>(500 words)</w:t>
      </w:r>
    </w:p>
    <w:p w14:paraId="41E0429F" w14:textId="77777777" w:rsidR="00A0234A" w:rsidRDefault="00A0234A" w:rsidP="00A0234A">
      <w:pPr>
        <w:rPr>
          <w:rFonts w:cs="Arial"/>
          <w:sz w:val="28"/>
          <w:szCs w:val="28"/>
        </w:rPr>
      </w:pPr>
    </w:p>
    <w:p w14:paraId="5368AC79" w14:textId="77777777" w:rsidR="00A0234A" w:rsidRDefault="00A0234A" w:rsidP="00A0234A">
      <w:pPr>
        <w:rPr>
          <w:rFonts w:cs="Arial"/>
          <w:sz w:val="28"/>
          <w:szCs w:val="28"/>
        </w:rPr>
      </w:pPr>
      <w:r>
        <w:rPr>
          <w:rFonts w:cs="Arial"/>
          <w:sz w:val="28"/>
          <w:szCs w:val="28"/>
        </w:rPr>
        <w:t>By signing below, I confirm that the work/evidence presented is my own, unaided work. I understand the regulations pertaining to candidate malpractice and the action that may be taken as a result.</w:t>
      </w:r>
    </w:p>
    <w:p w14:paraId="71AD75D8" w14:textId="77777777" w:rsidR="00A0234A" w:rsidRDefault="00A0234A" w:rsidP="00A0234A">
      <w:pPr>
        <w:rPr>
          <w:rFonts w:cs="Arial"/>
          <w:sz w:val="28"/>
          <w:szCs w:val="28"/>
        </w:rPr>
      </w:pPr>
    </w:p>
    <w:p w14:paraId="268EE225" w14:textId="278B6524" w:rsidR="00A0234A" w:rsidRDefault="00A0234A" w:rsidP="00A0234A">
      <w:pPr>
        <w:rPr>
          <w:rFonts w:cs="Arial"/>
          <w:sz w:val="28"/>
          <w:szCs w:val="28"/>
        </w:rPr>
      </w:pPr>
      <w:r>
        <w:rPr>
          <w:rFonts w:cs="Arial"/>
          <w:sz w:val="28"/>
          <w:szCs w:val="28"/>
        </w:rPr>
        <w:t xml:space="preserve">Signed: </w:t>
      </w:r>
      <w:r>
        <w:rPr>
          <w:noProof/>
          <w:lang w:eastAsia="en-GB"/>
        </w:rPr>
        <w:drawing>
          <wp:inline distT="0" distB="0" distL="0" distR="0" wp14:anchorId="12BA5F01" wp14:editId="03F9F728">
            <wp:extent cx="1362075" cy="571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571500"/>
                    </a:xfrm>
                    <a:prstGeom prst="rect">
                      <a:avLst/>
                    </a:prstGeom>
                    <a:noFill/>
                    <a:ln>
                      <a:noFill/>
                    </a:ln>
                  </pic:spPr>
                </pic:pic>
              </a:graphicData>
            </a:graphic>
          </wp:inline>
        </w:drawing>
      </w:r>
    </w:p>
    <w:p w14:paraId="528676E3" w14:textId="1C905DF4" w:rsidR="00A0234A" w:rsidRDefault="00A0234A" w:rsidP="00A0234A">
      <w:pPr>
        <w:rPr>
          <w:rFonts w:cs="Arial"/>
          <w:sz w:val="28"/>
          <w:szCs w:val="28"/>
        </w:rPr>
      </w:pPr>
      <w:r>
        <w:rPr>
          <w:rFonts w:cs="Arial"/>
          <w:sz w:val="28"/>
          <w:szCs w:val="28"/>
        </w:rPr>
        <w:t xml:space="preserve">Date: </w:t>
      </w:r>
      <w:r w:rsidR="004548DE">
        <w:rPr>
          <w:rFonts w:cs="Arial"/>
          <w:sz w:val="28"/>
          <w:szCs w:val="28"/>
        </w:rPr>
        <w:t>16</w:t>
      </w:r>
      <w:r w:rsidR="004548DE" w:rsidRPr="004548DE">
        <w:rPr>
          <w:rFonts w:cs="Arial"/>
          <w:sz w:val="28"/>
          <w:szCs w:val="28"/>
          <w:vertAlign w:val="superscript"/>
        </w:rPr>
        <w:t>th</w:t>
      </w:r>
      <w:r w:rsidR="004548DE">
        <w:rPr>
          <w:rFonts w:cs="Arial"/>
          <w:sz w:val="28"/>
          <w:szCs w:val="28"/>
        </w:rPr>
        <w:t xml:space="preserve"> March 2020</w:t>
      </w:r>
    </w:p>
    <w:p w14:paraId="59F80395" w14:textId="457794A8" w:rsidR="00CF6705" w:rsidRDefault="00CF6705"/>
    <w:p w14:paraId="178ED5E3" w14:textId="5DB02BAC" w:rsidR="00A0234A" w:rsidRDefault="00A0234A"/>
    <w:p w14:paraId="4A8846E4" w14:textId="691477C3" w:rsidR="00A0234A" w:rsidRDefault="00A0234A"/>
    <w:p w14:paraId="514352FF" w14:textId="1ED3F4B4" w:rsidR="00A0234A" w:rsidRDefault="00A0234A"/>
    <w:p w14:paraId="445F5EBA" w14:textId="19C1EE66" w:rsidR="00A0234A" w:rsidRDefault="00A0234A"/>
    <w:p w14:paraId="4D5F1FE5" w14:textId="77777777" w:rsidR="00A0234A" w:rsidRDefault="00A0234A" w:rsidP="00A0234A"/>
    <w:p w14:paraId="4D940FBD" w14:textId="3272C918" w:rsidR="00A0234A" w:rsidRDefault="00A0234A" w:rsidP="00A0234A">
      <w:pPr>
        <w:pStyle w:val="ListParagraph"/>
        <w:numPr>
          <w:ilvl w:val="0"/>
          <w:numId w:val="5"/>
        </w:numPr>
        <w:ind w:left="284"/>
        <w:rPr>
          <w:rFonts w:ascii="Arial" w:hAnsi="Arial" w:cs="Arial"/>
          <w:b/>
          <w:bCs/>
          <w:sz w:val="24"/>
          <w:szCs w:val="24"/>
        </w:rPr>
      </w:pPr>
      <w:r w:rsidRPr="00A0234A">
        <w:rPr>
          <w:rFonts w:ascii="Arial" w:hAnsi="Arial" w:cs="Arial"/>
          <w:b/>
          <w:bCs/>
          <w:sz w:val="24"/>
          <w:szCs w:val="24"/>
        </w:rPr>
        <w:lastRenderedPageBreak/>
        <w:t>Comparison of two different types of organisation and their operational/business purpose.</w:t>
      </w:r>
    </w:p>
    <w:p w14:paraId="2A0D3461" w14:textId="121669FB" w:rsidR="00244524" w:rsidRDefault="00A0234A" w:rsidP="00244524">
      <w:pPr>
        <w:ind w:left="-76"/>
        <w:rPr>
          <w:rFonts w:ascii="Arial" w:hAnsi="Arial" w:cs="Arial"/>
          <w:sz w:val="24"/>
          <w:szCs w:val="24"/>
        </w:rPr>
      </w:pPr>
      <w:r w:rsidRPr="00445BB2">
        <w:rPr>
          <w:rFonts w:ascii="Arial" w:hAnsi="Arial" w:cs="Arial"/>
          <w:b/>
          <w:bCs/>
          <w:sz w:val="24"/>
          <w:szCs w:val="24"/>
        </w:rPr>
        <w:t>Neath Port Talbot County Borough Council</w:t>
      </w:r>
      <w:r w:rsidR="00742067" w:rsidRPr="00445BB2">
        <w:rPr>
          <w:rFonts w:ascii="Arial" w:hAnsi="Arial" w:cs="Arial"/>
          <w:b/>
          <w:bCs/>
          <w:sz w:val="24"/>
          <w:szCs w:val="24"/>
        </w:rPr>
        <w:t xml:space="preserve"> (NPTCBC)</w:t>
      </w:r>
      <w:r w:rsidRPr="00A0234A">
        <w:rPr>
          <w:rFonts w:ascii="Arial" w:hAnsi="Arial" w:cs="Arial"/>
          <w:sz w:val="24"/>
          <w:szCs w:val="24"/>
        </w:rPr>
        <w:t xml:space="preserve"> </w:t>
      </w:r>
      <w:r>
        <w:rPr>
          <w:rFonts w:ascii="Arial" w:hAnsi="Arial" w:cs="Arial"/>
          <w:sz w:val="24"/>
          <w:szCs w:val="24"/>
        </w:rPr>
        <w:t>is a</w:t>
      </w:r>
      <w:r w:rsidR="001531AE">
        <w:rPr>
          <w:rFonts w:ascii="Arial" w:hAnsi="Arial" w:cs="Arial"/>
          <w:sz w:val="24"/>
          <w:szCs w:val="24"/>
        </w:rPr>
        <w:t xml:space="preserve"> large </w:t>
      </w:r>
      <w:r>
        <w:rPr>
          <w:rFonts w:ascii="Arial" w:hAnsi="Arial" w:cs="Arial"/>
          <w:sz w:val="24"/>
          <w:szCs w:val="24"/>
        </w:rPr>
        <w:t>public sector organisation employing over 5000 individuals.</w:t>
      </w:r>
      <w:r w:rsidR="00742067">
        <w:rPr>
          <w:rFonts w:ascii="Arial" w:hAnsi="Arial" w:cs="Arial"/>
          <w:sz w:val="24"/>
          <w:szCs w:val="24"/>
        </w:rPr>
        <w:t xml:space="preserve"> As a Local Authority, it offers a wide range of public services across 5 directorates: Chief Executives, Social Services, Health and Housing, Finance and Corporate, Education, Leisure and Lifelong Learning and Environment.</w:t>
      </w:r>
      <w:r w:rsidR="00AF1F7F">
        <w:rPr>
          <w:rFonts w:ascii="Arial" w:hAnsi="Arial" w:cs="Arial"/>
          <w:sz w:val="24"/>
          <w:szCs w:val="24"/>
        </w:rPr>
        <w:t xml:space="preserve"> The Council’s </w:t>
      </w:r>
      <w:r w:rsidR="00244524">
        <w:rPr>
          <w:rFonts w:ascii="Arial" w:hAnsi="Arial" w:cs="Arial"/>
          <w:sz w:val="24"/>
          <w:szCs w:val="24"/>
        </w:rPr>
        <w:t>hierarchy consists of a Chief Executive and 4 Directors responsible for the day to day management of the Council and its services. Each Directorate will have their own structure/teams with some Directorates operating between two i.e. Financial Services interlink between Directorates for budgetary purposes.</w:t>
      </w:r>
    </w:p>
    <w:p w14:paraId="39C9E790" w14:textId="6E43A5B8" w:rsidR="00AF1F7F" w:rsidRPr="00AF1F7F" w:rsidRDefault="00AF1F7F" w:rsidP="00AF1F7F">
      <w:pPr>
        <w:ind w:left="-76"/>
        <w:rPr>
          <w:rFonts w:ascii="Arial" w:hAnsi="Arial" w:cs="Arial"/>
          <w:color w:val="000000" w:themeColor="text1"/>
          <w:sz w:val="24"/>
          <w:szCs w:val="24"/>
        </w:rPr>
      </w:pPr>
      <w:r w:rsidRPr="00AF1F7F">
        <w:rPr>
          <w:rFonts w:ascii="Arial" w:hAnsi="Arial" w:cs="Arial"/>
          <w:color w:val="000000" w:themeColor="text1"/>
          <w:sz w:val="24"/>
          <w:szCs w:val="24"/>
        </w:rPr>
        <w:t>The Council publishes a yearly Corporate Plan which sets out the Council’s priorities for improv</w:t>
      </w:r>
      <w:r w:rsidR="00244524">
        <w:rPr>
          <w:rFonts w:ascii="Arial" w:hAnsi="Arial" w:cs="Arial"/>
          <w:color w:val="000000" w:themeColor="text1"/>
          <w:sz w:val="24"/>
          <w:szCs w:val="24"/>
        </w:rPr>
        <w:t xml:space="preserve">ing the </w:t>
      </w:r>
      <w:r w:rsidRPr="00AF1F7F">
        <w:rPr>
          <w:rFonts w:ascii="Arial" w:hAnsi="Arial" w:cs="Arial"/>
          <w:color w:val="000000" w:themeColor="text1"/>
          <w:sz w:val="24"/>
          <w:szCs w:val="24"/>
        </w:rPr>
        <w:t>services delivered to the public and communities (NPTCBC 2020b). </w:t>
      </w:r>
    </w:p>
    <w:p w14:paraId="3CE8190D" w14:textId="3EA43F85" w:rsidR="00F14188" w:rsidRDefault="00F14188" w:rsidP="00F14188">
      <w:pPr>
        <w:ind w:left="-76"/>
        <w:rPr>
          <w:rFonts w:ascii="Arial" w:hAnsi="Arial" w:cs="Arial"/>
          <w:color w:val="000000" w:themeColor="text1"/>
          <w:sz w:val="24"/>
          <w:szCs w:val="24"/>
        </w:rPr>
      </w:pPr>
      <w:r w:rsidRPr="00F14188">
        <w:rPr>
          <w:rFonts w:ascii="Arial" w:hAnsi="Arial" w:cs="Arial"/>
          <w:color w:val="000000" w:themeColor="text1"/>
          <w:sz w:val="24"/>
          <w:szCs w:val="24"/>
          <w:shd w:val="clear" w:color="auto" w:fill="FFFFFF"/>
        </w:rPr>
        <w:t>The Council is made up of 64 locally elected Councillors who represent 42 divisions of Neath and Port Talbot. They make decisions on how the Council is run and how to improve local services on behalf of local people. The way in which Councillors make decisions is informed by the ideas of the political parties they represent</w:t>
      </w:r>
      <w:r w:rsidR="00AF1F7F">
        <w:rPr>
          <w:rFonts w:ascii="Arial" w:hAnsi="Arial" w:cs="Arial"/>
          <w:color w:val="000000" w:themeColor="text1"/>
          <w:sz w:val="24"/>
          <w:szCs w:val="24"/>
          <w:shd w:val="clear" w:color="auto" w:fill="FFFFFF"/>
        </w:rPr>
        <w:t xml:space="preserve"> (NPTCBC 2020a)</w:t>
      </w:r>
      <w:r w:rsidRPr="00F14188">
        <w:rPr>
          <w:rFonts w:ascii="Arial" w:hAnsi="Arial" w:cs="Arial"/>
          <w:color w:val="000000" w:themeColor="text1"/>
          <w:sz w:val="24"/>
          <w:szCs w:val="24"/>
          <w:shd w:val="clear" w:color="auto" w:fill="FFFFFF"/>
        </w:rPr>
        <w:t>.</w:t>
      </w:r>
      <w:r w:rsidR="00742067" w:rsidRPr="00F14188">
        <w:rPr>
          <w:rFonts w:ascii="Arial" w:hAnsi="Arial" w:cs="Arial"/>
          <w:color w:val="000000" w:themeColor="text1"/>
          <w:sz w:val="24"/>
          <w:szCs w:val="24"/>
        </w:rPr>
        <w:t xml:space="preserve">  </w:t>
      </w:r>
      <w:r w:rsidR="00A0234A" w:rsidRPr="00F14188">
        <w:rPr>
          <w:rFonts w:ascii="Arial" w:hAnsi="Arial" w:cs="Arial"/>
          <w:color w:val="000000" w:themeColor="text1"/>
          <w:sz w:val="24"/>
          <w:szCs w:val="24"/>
        </w:rPr>
        <w:t xml:space="preserve"> </w:t>
      </w:r>
    </w:p>
    <w:p w14:paraId="3E25AF5A" w14:textId="632ECD3C" w:rsidR="00244524" w:rsidRDefault="00244524" w:rsidP="00F14188">
      <w:pPr>
        <w:ind w:left="-76"/>
        <w:rPr>
          <w:rFonts w:ascii="Arial" w:hAnsi="Arial" w:cs="Arial"/>
          <w:color w:val="000000" w:themeColor="text1"/>
          <w:sz w:val="24"/>
          <w:szCs w:val="24"/>
        </w:rPr>
      </w:pPr>
      <w:r>
        <w:rPr>
          <w:rFonts w:ascii="Arial" w:hAnsi="Arial" w:cs="Arial"/>
          <w:color w:val="000000" w:themeColor="text1"/>
          <w:sz w:val="24"/>
          <w:szCs w:val="24"/>
        </w:rPr>
        <w:t xml:space="preserve">(Local Government Group 2010) refers to </w:t>
      </w:r>
      <w:r w:rsidR="0047668E">
        <w:rPr>
          <w:rFonts w:ascii="Arial" w:hAnsi="Arial" w:cs="Arial"/>
          <w:color w:val="000000" w:themeColor="text1"/>
          <w:sz w:val="24"/>
          <w:szCs w:val="24"/>
        </w:rPr>
        <w:t xml:space="preserve">most council services being mandatory </w:t>
      </w:r>
      <w:r w:rsidR="0027318C">
        <w:rPr>
          <w:rFonts w:ascii="Arial" w:hAnsi="Arial" w:cs="Arial"/>
          <w:color w:val="000000" w:themeColor="text1"/>
          <w:sz w:val="24"/>
          <w:szCs w:val="24"/>
        </w:rPr>
        <w:t xml:space="preserve">as </w:t>
      </w:r>
      <w:r w:rsidR="0047668E" w:rsidRPr="0047668E">
        <w:rPr>
          <w:rFonts w:ascii="Arial" w:hAnsi="Arial" w:cs="Arial"/>
          <w:color w:val="000000" w:themeColor="text1"/>
          <w:sz w:val="24"/>
          <w:szCs w:val="24"/>
        </w:rPr>
        <w:t>they are under a duty to do so by law</w:t>
      </w:r>
      <w:r w:rsidR="0047668E">
        <w:rPr>
          <w:rFonts w:ascii="Arial" w:hAnsi="Arial" w:cs="Arial"/>
          <w:color w:val="000000" w:themeColor="text1"/>
          <w:sz w:val="24"/>
          <w:szCs w:val="24"/>
        </w:rPr>
        <w:t>.</w:t>
      </w:r>
    </w:p>
    <w:p w14:paraId="410371A9" w14:textId="77777777" w:rsidR="001531AE" w:rsidRPr="00F14188" w:rsidRDefault="001531AE" w:rsidP="00F14188">
      <w:pPr>
        <w:ind w:left="-76"/>
        <w:rPr>
          <w:rFonts w:ascii="Arial" w:hAnsi="Arial" w:cs="Arial"/>
          <w:color w:val="000000" w:themeColor="text1"/>
          <w:sz w:val="24"/>
          <w:szCs w:val="24"/>
        </w:rPr>
      </w:pPr>
    </w:p>
    <w:p w14:paraId="4B961419" w14:textId="77FF9D55" w:rsidR="00F14188" w:rsidRDefault="00AA270E" w:rsidP="00F14188">
      <w:pPr>
        <w:ind w:left="-76"/>
        <w:rPr>
          <w:rFonts w:ascii="Arial" w:hAnsi="Arial" w:cs="Arial"/>
          <w:sz w:val="24"/>
          <w:szCs w:val="24"/>
        </w:rPr>
      </w:pPr>
      <w:r w:rsidRPr="00AA270E">
        <w:rPr>
          <w:rFonts w:ascii="Arial" w:hAnsi="Arial" w:cs="Arial"/>
          <w:b/>
          <w:bCs/>
          <w:sz w:val="24"/>
          <w:szCs w:val="24"/>
        </w:rPr>
        <w:t>Mind</w:t>
      </w:r>
      <w:r>
        <w:rPr>
          <w:rFonts w:ascii="Arial" w:hAnsi="Arial" w:cs="Arial"/>
          <w:sz w:val="24"/>
          <w:szCs w:val="24"/>
        </w:rPr>
        <w:t xml:space="preserve"> is a mental health charity known as a third sector </w:t>
      </w:r>
      <w:r w:rsidR="001531AE">
        <w:rPr>
          <w:rFonts w:ascii="Arial" w:hAnsi="Arial" w:cs="Arial"/>
          <w:sz w:val="24"/>
          <w:szCs w:val="24"/>
        </w:rPr>
        <w:t xml:space="preserve">small </w:t>
      </w:r>
      <w:r>
        <w:rPr>
          <w:rFonts w:ascii="Arial" w:hAnsi="Arial" w:cs="Arial"/>
          <w:sz w:val="24"/>
          <w:szCs w:val="24"/>
        </w:rPr>
        <w:t>voluntary organisation employing an average of 420 employees in 2019</w:t>
      </w:r>
      <w:r w:rsidR="001531AE">
        <w:rPr>
          <w:rFonts w:ascii="Arial" w:hAnsi="Arial" w:cs="Arial"/>
          <w:sz w:val="24"/>
          <w:szCs w:val="24"/>
        </w:rPr>
        <w:t xml:space="preserve"> (Mind 2020a)</w:t>
      </w:r>
      <w:r>
        <w:rPr>
          <w:rFonts w:ascii="Arial" w:hAnsi="Arial" w:cs="Arial"/>
          <w:sz w:val="24"/>
          <w:szCs w:val="24"/>
        </w:rPr>
        <w:t xml:space="preserve">. </w:t>
      </w:r>
      <w:r w:rsidR="005E2DE0">
        <w:rPr>
          <w:rFonts w:ascii="Arial" w:hAnsi="Arial" w:cs="Arial"/>
          <w:sz w:val="24"/>
          <w:szCs w:val="24"/>
        </w:rPr>
        <w:t>As a charity, Mind relies on donations</w:t>
      </w:r>
      <w:r w:rsidR="00344848">
        <w:rPr>
          <w:rFonts w:ascii="Arial" w:hAnsi="Arial" w:cs="Arial"/>
          <w:sz w:val="24"/>
          <w:szCs w:val="24"/>
        </w:rPr>
        <w:t xml:space="preserve"> from the public, </w:t>
      </w:r>
      <w:r w:rsidR="00D22245">
        <w:rPr>
          <w:rFonts w:ascii="Arial" w:hAnsi="Arial" w:cs="Arial"/>
          <w:sz w:val="24"/>
          <w:szCs w:val="24"/>
        </w:rPr>
        <w:t xml:space="preserve">companies, other funders and sales from their charity shops. </w:t>
      </w:r>
    </w:p>
    <w:p w14:paraId="06597BA8" w14:textId="71970C62" w:rsidR="00325192" w:rsidRDefault="00E854C0" w:rsidP="0027318C">
      <w:pPr>
        <w:ind w:left="-76"/>
        <w:rPr>
          <w:rFonts w:ascii="Arial" w:hAnsi="Arial" w:cs="Arial"/>
          <w:sz w:val="24"/>
          <w:szCs w:val="24"/>
        </w:rPr>
      </w:pPr>
      <w:r w:rsidRPr="00FF20D6">
        <w:rPr>
          <w:rFonts w:ascii="Arial" w:hAnsi="Arial" w:cs="Arial"/>
          <w:sz w:val="24"/>
          <w:szCs w:val="24"/>
          <w:shd w:val="clear" w:color="auto" w:fill="FFFFFF"/>
        </w:rPr>
        <w:t>The</w:t>
      </w:r>
      <w:r w:rsidR="00FF20D6" w:rsidRPr="00FF20D6">
        <w:rPr>
          <w:rFonts w:ascii="Arial" w:hAnsi="Arial" w:cs="Arial"/>
          <w:sz w:val="24"/>
          <w:szCs w:val="24"/>
          <w:shd w:val="clear" w:color="auto" w:fill="FFFFFF"/>
        </w:rPr>
        <w:t>y have 8 members of their</w:t>
      </w:r>
      <w:r w:rsidRPr="00FF20D6">
        <w:rPr>
          <w:rFonts w:ascii="Arial" w:hAnsi="Arial" w:cs="Arial"/>
          <w:sz w:val="24"/>
          <w:szCs w:val="24"/>
          <w:shd w:val="clear" w:color="auto" w:fill="FFFFFF"/>
        </w:rPr>
        <w:t xml:space="preserve"> Senior Management team</w:t>
      </w:r>
      <w:r w:rsidR="00FF20D6" w:rsidRPr="00FF20D6">
        <w:rPr>
          <w:rFonts w:ascii="Arial" w:hAnsi="Arial" w:cs="Arial"/>
          <w:sz w:val="24"/>
          <w:szCs w:val="24"/>
          <w:shd w:val="clear" w:color="auto" w:fill="FFFFFF"/>
        </w:rPr>
        <w:t xml:space="preserve"> that has</w:t>
      </w:r>
      <w:r w:rsidRPr="00FF20D6">
        <w:rPr>
          <w:rFonts w:ascii="Arial" w:hAnsi="Arial" w:cs="Arial"/>
          <w:sz w:val="24"/>
          <w:szCs w:val="24"/>
        </w:rPr>
        <w:t xml:space="preserve"> overall corporate responsibility for </w:t>
      </w:r>
      <w:r w:rsidR="00FF20D6" w:rsidRPr="00FF20D6">
        <w:rPr>
          <w:rFonts w:ascii="Arial" w:hAnsi="Arial" w:cs="Arial"/>
          <w:sz w:val="24"/>
          <w:szCs w:val="24"/>
        </w:rPr>
        <w:t>their charity’s</w:t>
      </w:r>
      <w:r w:rsidRPr="00FF20D6">
        <w:rPr>
          <w:rFonts w:ascii="Arial" w:hAnsi="Arial" w:cs="Arial"/>
          <w:sz w:val="24"/>
          <w:szCs w:val="24"/>
        </w:rPr>
        <w:t xml:space="preserve"> strategy, leadership, management and organisation performance. </w:t>
      </w:r>
      <w:r w:rsidR="00FF20D6">
        <w:rPr>
          <w:rFonts w:ascii="Arial" w:hAnsi="Arial" w:cs="Arial"/>
          <w:sz w:val="24"/>
          <w:szCs w:val="24"/>
        </w:rPr>
        <w:t xml:space="preserve">They have a board of trustees known as the Council of Management </w:t>
      </w:r>
      <w:r w:rsidR="0027318C">
        <w:rPr>
          <w:rFonts w:ascii="Arial" w:hAnsi="Arial" w:cs="Arial"/>
          <w:sz w:val="24"/>
          <w:szCs w:val="24"/>
        </w:rPr>
        <w:t xml:space="preserve">that is accountable for everything they do and support and empower the Senior Management team by setting strategic direction and scrutinising performance. Mind is a federated network, with over 130 Mind’s delivering services and supporting local communities. </w:t>
      </w:r>
    </w:p>
    <w:p w14:paraId="3D979660" w14:textId="6DF44359" w:rsidR="00D8354D" w:rsidRDefault="0027318C" w:rsidP="00D8354D">
      <w:pPr>
        <w:ind w:left="-76"/>
        <w:rPr>
          <w:rFonts w:ascii="Arial" w:hAnsi="Arial" w:cs="Arial"/>
          <w:sz w:val="24"/>
          <w:szCs w:val="24"/>
        </w:rPr>
      </w:pPr>
      <w:r>
        <w:rPr>
          <w:rFonts w:ascii="Arial" w:hAnsi="Arial" w:cs="Arial"/>
          <w:sz w:val="24"/>
          <w:szCs w:val="24"/>
        </w:rPr>
        <w:t>Mind’s 2016-21 strategy is called ‘building on change’ sets out the charity’s vision and values to reduce the stigma associated with mental health and promote awareness (Mind 2020b).</w:t>
      </w:r>
    </w:p>
    <w:p w14:paraId="4EC892C9" w14:textId="7FB400C2" w:rsidR="00D8354D" w:rsidRDefault="00D8354D" w:rsidP="00D8354D">
      <w:pPr>
        <w:ind w:left="-76"/>
        <w:rPr>
          <w:rFonts w:ascii="Arial" w:hAnsi="Arial" w:cs="Arial"/>
          <w:sz w:val="24"/>
          <w:szCs w:val="24"/>
        </w:rPr>
      </w:pPr>
    </w:p>
    <w:p w14:paraId="378E0737" w14:textId="59E184FC" w:rsidR="00D8354D" w:rsidRPr="00D8354D" w:rsidRDefault="00D8354D" w:rsidP="00D8354D">
      <w:pPr>
        <w:ind w:left="-76"/>
        <w:rPr>
          <w:rFonts w:ascii="Arial" w:hAnsi="Arial" w:cs="Arial"/>
          <w:sz w:val="24"/>
          <w:szCs w:val="24"/>
        </w:rPr>
      </w:pPr>
      <w:r w:rsidRPr="00D8354D">
        <w:rPr>
          <w:rFonts w:ascii="Arial" w:hAnsi="Arial" w:cs="Arial"/>
          <w:b/>
          <w:bCs/>
          <w:sz w:val="24"/>
          <w:szCs w:val="24"/>
        </w:rPr>
        <w:t>2. Assess how business type and purpose affects the HR function</w:t>
      </w:r>
    </w:p>
    <w:p w14:paraId="0B0D1CF2" w14:textId="67066DB8" w:rsidR="0000253B" w:rsidRDefault="00C46FD1" w:rsidP="00C379EB">
      <w:pPr>
        <w:ind w:left="-76"/>
        <w:rPr>
          <w:rFonts w:ascii="Arial" w:hAnsi="Arial" w:cs="Arial"/>
          <w:sz w:val="24"/>
          <w:szCs w:val="24"/>
        </w:rPr>
      </w:pPr>
      <w:r>
        <w:rPr>
          <w:rFonts w:ascii="Arial" w:hAnsi="Arial" w:cs="Arial"/>
          <w:sz w:val="24"/>
          <w:szCs w:val="24"/>
        </w:rPr>
        <w:t xml:space="preserve">(CIPD 2015) acknowledges that there </w:t>
      </w:r>
      <w:r w:rsidR="00944115">
        <w:rPr>
          <w:rFonts w:ascii="Arial" w:hAnsi="Arial" w:cs="Arial"/>
          <w:sz w:val="24"/>
          <w:szCs w:val="24"/>
        </w:rPr>
        <w:t xml:space="preserve">are </w:t>
      </w:r>
      <w:r w:rsidR="000243C4">
        <w:rPr>
          <w:rFonts w:ascii="Arial" w:hAnsi="Arial" w:cs="Arial"/>
          <w:sz w:val="24"/>
          <w:szCs w:val="24"/>
        </w:rPr>
        <w:t>several</w:t>
      </w:r>
      <w:r w:rsidR="00944115">
        <w:rPr>
          <w:rFonts w:ascii="Arial" w:hAnsi="Arial" w:cs="Arial"/>
          <w:sz w:val="24"/>
          <w:szCs w:val="24"/>
        </w:rPr>
        <w:t xml:space="preserve"> factors an organisation need</w:t>
      </w:r>
      <w:r>
        <w:rPr>
          <w:rFonts w:ascii="Arial" w:hAnsi="Arial" w:cs="Arial"/>
          <w:sz w:val="24"/>
          <w:szCs w:val="24"/>
        </w:rPr>
        <w:t>s</w:t>
      </w:r>
      <w:r w:rsidR="00944115">
        <w:rPr>
          <w:rFonts w:ascii="Arial" w:hAnsi="Arial" w:cs="Arial"/>
          <w:sz w:val="24"/>
          <w:szCs w:val="24"/>
        </w:rPr>
        <w:t xml:space="preserve"> to </w:t>
      </w:r>
      <w:r w:rsidR="000243C4">
        <w:rPr>
          <w:rFonts w:ascii="Arial" w:hAnsi="Arial" w:cs="Arial"/>
          <w:sz w:val="24"/>
          <w:szCs w:val="24"/>
        </w:rPr>
        <w:t xml:space="preserve">consider, </w:t>
      </w:r>
      <w:r w:rsidR="00944115">
        <w:rPr>
          <w:rFonts w:ascii="Arial" w:hAnsi="Arial" w:cs="Arial"/>
          <w:sz w:val="24"/>
          <w:szCs w:val="24"/>
        </w:rPr>
        <w:t xml:space="preserve">and these may have an influence on </w:t>
      </w:r>
      <w:r w:rsidR="00D376A8">
        <w:rPr>
          <w:rFonts w:ascii="Arial" w:hAnsi="Arial" w:cs="Arial"/>
          <w:sz w:val="24"/>
          <w:szCs w:val="24"/>
        </w:rPr>
        <w:t xml:space="preserve">their </w:t>
      </w:r>
      <w:r w:rsidR="00944115">
        <w:rPr>
          <w:rFonts w:ascii="Arial" w:hAnsi="Arial" w:cs="Arial"/>
          <w:sz w:val="24"/>
          <w:szCs w:val="24"/>
        </w:rPr>
        <w:t>HR structure, agenda and practices</w:t>
      </w:r>
      <w:r w:rsidR="008148D7">
        <w:rPr>
          <w:rFonts w:ascii="Arial" w:hAnsi="Arial" w:cs="Arial"/>
          <w:sz w:val="24"/>
          <w:szCs w:val="24"/>
        </w:rPr>
        <w:t xml:space="preserve"> i.e. type of sector,</w:t>
      </w:r>
      <w:r w:rsidR="000B5584">
        <w:rPr>
          <w:rFonts w:ascii="Arial" w:hAnsi="Arial" w:cs="Arial"/>
          <w:sz w:val="24"/>
          <w:szCs w:val="24"/>
        </w:rPr>
        <w:t xml:space="preserve"> size and l</w:t>
      </w:r>
      <w:r w:rsidR="008148D7">
        <w:rPr>
          <w:rFonts w:ascii="Arial" w:hAnsi="Arial" w:cs="Arial"/>
          <w:sz w:val="24"/>
          <w:szCs w:val="24"/>
        </w:rPr>
        <w:t>ocation of sites</w:t>
      </w:r>
      <w:r w:rsidR="00D376A8">
        <w:rPr>
          <w:rFonts w:ascii="Arial" w:hAnsi="Arial" w:cs="Arial"/>
          <w:sz w:val="24"/>
          <w:szCs w:val="24"/>
        </w:rPr>
        <w:t xml:space="preserve">. </w:t>
      </w:r>
      <w:r w:rsidR="0000253B">
        <w:rPr>
          <w:rFonts w:ascii="Arial" w:hAnsi="Arial" w:cs="Arial"/>
          <w:sz w:val="24"/>
          <w:szCs w:val="24"/>
        </w:rPr>
        <w:t xml:space="preserve">CIPD refer to the importance of organisation design ‘The process and the outcome of shaping an organisational </w:t>
      </w:r>
      <w:r w:rsidR="0000253B">
        <w:rPr>
          <w:rFonts w:ascii="Arial" w:hAnsi="Arial" w:cs="Arial"/>
          <w:sz w:val="24"/>
          <w:szCs w:val="24"/>
        </w:rPr>
        <w:lastRenderedPageBreak/>
        <w:t>structure, to align it with the purpose of the business and its context in which the organisation exists’.</w:t>
      </w:r>
    </w:p>
    <w:p w14:paraId="310106D9" w14:textId="2A9E0406" w:rsidR="00C379EB" w:rsidRDefault="001971BE" w:rsidP="00C379EB">
      <w:pPr>
        <w:ind w:left="-76"/>
        <w:rPr>
          <w:rFonts w:ascii="Arial" w:hAnsi="Arial" w:cs="Arial"/>
          <w:sz w:val="24"/>
          <w:szCs w:val="24"/>
        </w:rPr>
      </w:pPr>
      <w:sdt>
        <w:sdtPr>
          <w:rPr>
            <w:rFonts w:ascii="Arial" w:hAnsi="Arial" w:cs="Arial"/>
            <w:sz w:val="24"/>
            <w:szCs w:val="24"/>
          </w:rPr>
          <w:id w:val="-454646391"/>
          <w:citation/>
        </w:sdtPr>
        <w:sdtEndPr/>
        <w:sdtContent>
          <w:r w:rsidR="000243C4">
            <w:rPr>
              <w:rFonts w:ascii="Arial" w:hAnsi="Arial" w:cs="Arial"/>
              <w:sz w:val="24"/>
              <w:szCs w:val="24"/>
            </w:rPr>
            <w:fldChar w:fldCharType="begin"/>
          </w:r>
          <w:r w:rsidR="000243C4">
            <w:rPr>
              <w:rFonts w:ascii="Arial" w:hAnsi="Arial" w:cs="Arial"/>
              <w:sz w:val="24"/>
              <w:szCs w:val="24"/>
            </w:rPr>
            <w:instrText xml:space="preserve"> CITATION Tay16 \l 2057 </w:instrText>
          </w:r>
          <w:r w:rsidR="000243C4">
            <w:rPr>
              <w:rFonts w:ascii="Arial" w:hAnsi="Arial" w:cs="Arial"/>
              <w:sz w:val="24"/>
              <w:szCs w:val="24"/>
            </w:rPr>
            <w:fldChar w:fldCharType="separate"/>
          </w:r>
          <w:r w:rsidR="000243C4" w:rsidRPr="000243C4">
            <w:rPr>
              <w:rFonts w:ascii="Arial" w:hAnsi="Arial" w:cs="Arial"/>
              <w:noProof/>
              <w:sz w:val="24"/>
              <w:szCs w:val="24"/>
            </w:rPr>
            <w:t>(Taylor &amp; Wilkinson, 2016)</w:t>
          </w:r>
          <w:r w:rsidR="000243C4">
            <w:rPr>
              <w:rFonts w:ascii="Arial" w:hAnsi="Arial" w:cs="Arial"/>
              <w:sz w:val="24"/>
              <w:szCs w:val="24"/>
            </w:rPr>
            <w:fldChar w:fldCharType="end"/>
          </w:r>
        </w:sdtContent>
      </w:sdt>
      <w:r w:rsidR="000243C4">
        <w:rPr>
          <w:rFonts w:ascii="Arial" w:hAnsi="Arial" w:cs="Arial"/>
          <w:sz w:val="24"/>
          <w:szCs w:val="24"/>
        </w:rPr>
        <w:t xml:space="preserve"> argues that although HR practices are carried out similarly across all types of organisations, it is important to recognise that business objectives vary noticeably. Different organisations vary vastly with diverse commercial and regulatory pressures</w:t>
      </w:r>
      <w:r w:rsidR="00E72D4D">
        <w:rPr>
          <w:rFonts w:ascii="Arial" w:hAnsi="Arial" w:cs="Arial"/>
          <w:sz w:val="24"/>
          <w:szCs w:val="24"/>
        </w:rPr>
        <w:t xml:space="preserve"> and gaining an understanding of the business objectives and the </w:t>
      </w:r>
      <w:r w:rsidR="00CB69D6">
        <w:rPr>
          <w:rFonts w:ascii="Arial" w:hAnsi="Arial" w:cs="Arial"/>
          <w:sz w:val="24"/>
          <w:szCs w:val="24"/>
        </w:rPr>
        <w:t>contexts</w:t>
      </w:r>
      <w:r w:rsidR="00E72D4D">
        <w:rPr>
          <w:rFonts w:ascii="Arial" w:hAnsi="Arial" w:cs="Arial"/>
          <w:sz w:val="24"/>
          <w:szCs w:val="24"/>
        </w:rPr>
        <w:t xml:space="preserve"> in which they operate is fundamental to an effective HR</w:t>
      </w:r>
      <w:r w:rsidR="00272EA5">
        <w:rPr>
          <w:rFonts w:ascii="Arial" w:hAnsi="Arial" w:cs="Arial"/>
          <w:sz w:val="24"/>
          <w:szCs w:val="24"/>
        </w:rPr>
        <w:t>.</w:t>
      </w:r>
    </w:p>
    <w:p w14:paraId="0FBF1932" w14:textId="34B833BF" w:rsidR="00CB69D6" w:rsidRDefault="00CB69D6" w:rsidP="00CB69D6">
      <w:pPr>
        <w:ind w:left="-76"/>
        <w:rPr>
          <w:rFonts w:ascii="Arial" w:hAnsi="Arial" w:cs="Arial"/>
          <w:sz w:val="24"/>
          <w:szCs w:val="24"/>
        </w:rPr>
      </w:pPr>
      <w:r>
        <w:rPr>
          <w:rFonts w:ascii="Arial" w:hAnsi="Arial" w:cs="Arial"/>
          <w:sz w:val="24"/>
          <w:szCs w:val="24"/>
        </w:rPr>
        <w:t xml:space="preserve">(Taylor &amp; Wilkinson, 2016) refer to </w:t>
      </w:r>
      <w:r w:rsidR="005775F6">
        <w:rPr>
          <w:rFonts w:ascii="Arial" w:hAnsi="Arial" w:cs="Arial"/>
          <w:sz w:val="24"/>
          <w:szCs w:val="24"/>
        </w:rPr>
        <w:t xml:space="preserve">large </w:t>
      </w:r>
      <w:r>
        <w:rPr>
          <w:rFonts w:ascii="Arial" w:hAnsi="Arial" w:cs="Arial"/>
          <w:sz w:val="24"/>
          <w:szCs w:val="24"/>
        </w:rPr>
        <w:t xml:space="preserve">private sector </w:t>
      </w:r>
      <w:r w:rsidR="005775F6">
        <w:rPr>
          <w:rFonts w:ascii="Arial" w:hAnsi="Arial" w:cs="Arial"/>
          <w:sz w:val="24"/>
          <w:szCs w:val="24"/>
        </w:rPr>
        <w:t>companies</w:t>
      </w:r>
      <w:r>
        <w:rPr>
          <w:rFonts w:ascii="Arial" w:hAnsi="Arial" w:cs="Arial"/>
          <w:sz w:val="24"/>
          <w:szCs w:val="24"/>
        </w:rPr>
        <w:t xml:space="preserve"> employing teams of HR specialists to carry out people management work with the HR functions assuming a higher profile</w:t>
      </w:r>
      <w:r w:rsidR="002C0768">
        <w:rPr>
          <w:rFonts w:ascii="Arial" w:hAnsi="Arial" w:cs="Arial"/>
          <w:sz w:val="24"/>
          <w:szCs w:val="24"/>
        </w:rPr>
        <w:t xml:space="preserve"> with a </w:t>
      </w:r>
      <w:r>
        <w:rPr>
          <w:rFonts w:ascii="Arial" w:hAnsi="Arial" w:cs="Arial"/>
          <w:sz w:val="24"/>
          <w:szCs w:val="24"/>
        </w:rPr>
        <w:t xml:space="preserve">strategic </w:t>
      </w:r>
      <w:r w:rsidR="002C0768">
        <w:rPr>
          <w:rFonts w:ascii="Arial" w:hAnsi="Arial" w:cs="Arial"/>
          <w:sz w:val="24"/>
          <w:szCs w:val="24"/>
        </w:rPr>
        <w:t>focus on key business objectives</w:t>
      </w:r>
      <w:r>
        <w:rPr>
          <w:rFonts w:ascii="Arial" w:hAnsi="Arial" w:cs="Arial"/>
          <w:sz w:val="24"/>
          <w:szCs w:val="24"/>
        </w:rPr>
        <w:t>.</w:t>
      </w:r>
      <w:r w:rsidR="000B5584">
        <w:rPr>
          <w:rFonts w:ascii="Arial" w:hAnsi="Arial" w:cs="Arial"/>
          <w:sz w:val="24"/>
          <w:szCs w:val="24"/>
        </w:rPr>
        <w:t xml:space="preserve"> Administration duties tend to be delegated to line managers, outsourced or centralised.</w:t>
      </w:r>
      <w:r w:rsidR="005775F6">
        <w:rPr>
          <w:rFonts w:ascii="Arial" w:hAnsi="Arial" w:cs="Arial"/>
          <w:sz w:val="24"/>
          <w:szCs w:val="24"/>
        </w:rPr>
        <w:t xml:space="preserve"> Smaller companies do not have a significant HR function and may employ a HR specialist to undertake basic HR tasks and rely on outside help when managing HRM. </w:t>
      </w:r>
    </w:p>
    <w:p w14:paraId="0E2ADAED" w14:textId="24F97D9D" w:rsidR="005775F6" w:rsidRDefault="00B12AD0" w:rsidP="005A2730">
      <w:pPr>
        <w:ind w:left="-76"/>
        <w:rPr>
          <w:rFonts w:ascii="Arial" w:hAnsi="Arial" w:cs="Arial"/>
          <w:sz w:val="24"/>
          <w:szCs w:val="24"/>
        </w:rPr>
      </w:pPr>
      <w:r>
        <w:rPr>
          <w:rFonts w:ascii="Arial" w:hAnsi="Arial" w:cs="Arial"/>
          <w:sz w:val="24"/>
          <w:szCs w:val="24"/>
        </w:rPr>
        <w:t>(Taylor &amp; Wilkinson, 2016) refer to p</w:t>
      </w:r>
      <w:r w:rsidR="00C46FD1">
        <w:rPr>
          <w:rFonts w:ascii="Arial" w:hAnsi="Arial" w:cs="Arial"/>
          <w:sz w:val="24"/>
          <w:szCs w:val="24"/>
        </w:rPr>
        <w:t xml:space="preserve">ublic sector organisations </w:t>
      </w:r>
      <w:r>
        <w:rPr>
          <w:rFonts w:ascii="Arial" w:hAnsi="Arial" w:cs="Arial"/>
          <w:sz w:val="24"/>
          <w:szCs w:val="24"/>
        </w:rPr>
        <w:t xml:space="preserve">being </w:t>
      </w:r>
      <w:r w:rsidR="00C46FD1">
        <w:rPr>
          <w:rFonts w:ascii="Arial" w:hAnsi="Arial" w:cs="Arial"/>
          <w:sz w:val="24"/>
          <w:szCs w:val="24"/>
        </w:rPr>
        <w:t xml:space="preserve">largely funded by taxpayers and </w:t>
      </w:r>
      <w:r>
        <w:rPr>
          <w:rFonts w:ascii="Arial" w:hAnsi="Arial" w:cs="Arial"/>
          <w:sz w:val="24"/>
          <w:szCs w:val="24"/>
        </w:rPr>
        <w:t xml:space="preserve">are </w:t>
      </w:r>
      <w:r w:rsidR="00C46FD1">
        <w:rPr>
          <w:rFonts w:ascii="Arial" w:hAnsi="Arial" w:cs="Arial"/>
          <w:sz w:val="24"/>
          <w:szCs w:val="24"/>
        </w:rPr>
        <w:t>subject to public accountability. These usually have large HR functions and includes influential and prominent HR director</w:t>
      </w:r>
      <w:r>
        <w:rPr>
          <w:rFonts w:ascii="Arial" w:hAnsi="Arial" w:cs="Arial"/>
          <w:sz w:val="24"/>
          <w:szCs w:val="24"/>
        </w:rPr>
        <w:t>s who promote good practice i.e. legal compliance. A combination of specialists and generalists will undertake a wide range of tasks</w:t>
      </w:r>
      <w:r w:rsidR="005A2730">
        <w:rPr>
          <w:rFonts w:ascii="Arial" w:hAnsi="Arial" w:cs="Arial"/>
          <w:sz w:val="24"/>
          <w:szCs w:val="24"/>
        </w:rPr>
        <w:t xml:space="preserve">. </w:t>
      </w:r>
      <w:r w:rsidR="00270215">
        <w:rPr>
          <w:rFonts w:ascii="Arial" w:hAnsi="Arial" w:cs="Arial"/>
          <w:sz w:val="24"/>
          <w:szCs w:val="24"/>
        </w:rPr>
        <w:t xml:space="preserve">NPTCBC has a large HR function which operates with </w:t>
      </w:r>
      <w:r w:rsidR="00F53F4D">
        <w:rPr>
          <w:rFonts w:ascii="Arial" w:hAnsi="Arial" w:cs="Arial"/>
          <w:sz w:val="24"/>
          <w:szCs w:val="24"/>
        </w:rPr>
        <w:t xml:space="preserve">both </w:t>
      </w:r>
      <w:r w:rsidR="00270215">
        <w:rPr>
          <w:rFonts w:ascii="Arial" w:hAnsi="Arial" w:cs="Arial"/>
          <w:sz w:val="24"/>
          <w:szCs w:val="24"/>
        </w:rPr>
        <w:t xml:space="preserve">generalists and specialists. The Head of HR makes strategic decisions as part of the board of directors. Line managers are more involved in HR activities </w:t>
      </w:r>
      <w:r w:rsidR="00D62592">
        <w:rPr>
          <w:rFonts w:ascii="Arial" w:hAnsi="Arial" w:cs="Arial"/>
          <w:sz w:val="24"/>
          <w:szCs w:val="24"/>
        </w:rPr>
        <w:t>such as recruitment and training</w:t>
      </w:r>
      <w:r w:rsidR="00641B27">
        <w:rPr>
          <w:rFonts w:ascii="Arial" w:hAnsi="Arial" w:cs="Arial"/>
          <w:sz w:val="24"/>
          <w:szCs w:val="24"/>
        </w:rPr>
        <w:t xml:space="preserve"> and development</w:t>
      </w:r>
      <w:r w:rsidR="00D62592">
        <w:rPr>
          <w:rFonts w:ascii="Arial" w:hAnsi="Arial" w:cs="Arial"/>
          <w:sz w:val="24"/>
          <w:szCs w:val="24"/>
        </w:rPr>
        <w:t>.</w:t>
      </w:r>
    </w:p>
    <w:p w14:paraId="2FBBE38B" w14:textId="627B8057" w:rsidR="00D95109" w:rsidRDefault="005A2730" w:rsidP="00D95109">
      <w:pPr>
        <w:ind w:left="-76"/>
        <w:rPr>
          <w:rFonts w:ascii="Arial" w:hAnsi="Arial" w:cs="Arial"/>
          <w:sz w:val="24"/>
          <w:szCs w:val="24"/>
        </w:rPr>
      </w:pPr>
      <w:r>
        <w:rPr>
          <w:rFonts w:ascii="Arial" w:hAnsi="Arial" w:cs="Arial"/>
          <w:sz w:val="24"/>
          <w:szCs w:val="24"/>
        </w:rPr>
        <w:t xml:space="preserve">HR </w:t>
      </w:r>
      <w:r w:rsidR="00012AC0">
        <w:rPr>
          <w:rFonts w:ascii="Arial" w:hAnsi="Arial" w:cs="Arial"/>
          <w:sz w:val="24"/>
          <w:szCs w:val="24"/>
        </w:rPr>
        <w:t>is</w:t>
      </w:r>
      <w:r>
        <w:rPr>
          <w:rFonts w:ascii="Arial" w:hAnsi="Arial" w:cs="Arial"/>
          <w:sz w:val="24"/>
          <w:szCs w:val="24"/>
        </w:rPr>
        <w:t xml:space="preserve"> mainly used to undertake administrative duties in the third sector and resources can be limited are these organisations are operated on a not-for-profit basis.</w:t>
      </w:r>
    </w:p>
    <w:p w14:paraId="36F779C6" w14:textId="4F07778C" w:rsidR="00D95109" w:rsidRDefault="00D95109" w:rsidP="00D95109">
      <w:pPr>
        <w:ind w:left="-76"/>
        <w:rPr>
          <w:rFonts w:ascii="Arial" w:hAnsi="Arial" w:cs="Arial"/>
          <w:sz w:val="24"/>
          <w:szCs w:val="24"/>
        </w:rPr>
      </w:pPr>
    </w:p>
    <w:p w14:paraId="43129344" w14:textId="13D9F129" w:rsidR="00F03364" w:rsidRDefault="00D95109" w:rsidP="00F03364">
      <w:pPr>
        <w:ind w:left="-76"/>
        <w:rPr>
          <w:rFonts w:ascii="Arial" w:hAnsi="Arial" w:cs="Arial"/>
          <w:b/>
          <w:bCs/>
          <w:sz w:val="24"/>
          <w:szCs w:val="24"/>
        </w:rPr>
      </w:pPr>
      <w:r w:rsidRPr="00D95109">
        <w:rPr>
          <w:rFonts w:ascii="Arial" w:hAnsi="Arial" w:cs="Arial"/>
          <w:b/>
          <w:bCs/>
          <w:sz w:val="24"/>
          <w:szCs w:val="24"/>
        </w:rPr>
        <w:t>3. Explain how different organisational structures and management roles can impact on the HR functi</w:t>
      </w:r>
      <w:r w:rsidR="00F03364">
        <w:rPr>
          <w:rFonts w:ascii="Arial" w:hAnsi="Arial" w:cs="Arial"/>
          <w:b/>
          <w:bCs/>
          <w:sz w:val="24"/>
          <w:szCs w:val="24"/>
        </w:rPr>
        <w:t>on.</w:t>
      </w:r>
    </w:p>
    <w:p w14:paraId="3E70E519" w14:textId="72E54619" w:rsidR="003E2264" w:rsidRDefault="003E2264" w:rsidP="003E2264">
      <w:pPr>
        <w:ind w:left="-76"/>
        <w:rPr>
          <w:rFonts w:ascii="Arial" w:hAnsi="Arial" w:cs="Arial"/>
          <w:sz w:val="24"/>
          <w:szCs w:val="24"/>
        </w:rPr>
      </w:pPr>
      <w:r>
        <w:rPr>
          <w:rFonts w:ascii="Arial" w:hAnsi="Arial" w:cs="Arial"/>
          <w:sz w:val="24"/>
          <w:szCs w:val="24"/>
        </w:rPr>
        <w:t>(Kew &amp; Stredwick, 2016) refers to different models of organisational structure:</w:t>
      </w:r>
    </w:p>
    <w:p w14:paraId="69CE92CD" w14:textId="49C2BEDA"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Bureaucracy</w:t>
      </w:r>
    </w:p>
    <w:p w14:paraId="4F207E5F" w14:textId="54499151"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Divisionalisation</w:t>
      </w:r>
    </w:p>
    <w:p w14:paraId="2558AADE" w14:textId="20DAC8C5"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Matrix</w:t>
      </w:r>
    </w:p>
    <w:p w14:paraId="0454F3EE" w14:textId="6AE5DE38"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Networks</w:t>
      </w:r>
    </w:p>
    <w:p w14:paraId="57CA173F" w14:textId="7C2AFCB2"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 xml:space="preserve">Virtual </w:t>
      </w:r>
    </w:p>
    <w:p w14:paraId="59D879EA" w14:textId="7E94B93B"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Strategic Alliances</w:t>
      </w:r>
    </w:p>
    <w:p w14:paraId="2A93194D" w14:textId="3ED18F52" w:rsidR="00487BB6" w:rsidRPr="00487BB6" w:rsidRDefault="00487BB6" w:rsidP="00487BB6">
      <w:pPr>
        <w:rPr>
          <w:rFonts w:ascii="Arial" w:hAnsi="Arial" w:cs="Arial"/>
          <w:sz w:val="24"/>
          <w:szCs w:val="24"/>
        </w:rPr>
      </w:pPr>
      <w:r>
        <w:rPr>
          <w:rFonts w:ascii="Arial" w:hAnsi="Arial" w:cs="Arial"/>
          <w:sz w:val="24"/>
          <w:szCs w:val="24"/>
        </w:rPr>
        <w:t xml:space="preserve">Different structures </w:t>
      </w:r>
      <w:r w:rsidR="00305764">
        <w:rPr>
          <w:rFonts w:ascii="Arial" w:hAnsi="Arial" w:cs="Arial"/>
          <w:sz w:val="24"/>
          <w:szCs w:val="24"/>
        </w:rPr>
        <w:t>can</w:t>
      </w:r>
      <w:r>
        <w:rPr>
          <w:rFonts w:ascii="Arial" w:hAnsi="Arial" w:cs="Arial"/>
          <w:sz w:val="24"/>
          <w:szCs w:val="24"/>
        </w:rPr>
        <w:t xml:space="preserve"> shape the HR function within an organisation. </w:t>
      </w:r>
      <w:r w:rsidR="009D2768">
        <w:rPr>
          <w:rFonts w:ascii="Arial" w:hAnsi="Arial" w:cs="Arial"/>
          <w:sz w:val="24"/>
          <w:szCs w:val="24"/>
        </w:rPr>
        <w:t>For example,</w:t>
      </w:r>
      <w:r>
        <w:rPr>
          <w:rFonts w:ascii="Arial" w:hAnsi="Arial" w:cs="Arial"/>
          <w:sz w:val="24"/>
          <w:szCs w:val="24"/>
        </w:rPr>
        <w:t xml:space="preserve"> (Kew &amp; Stredwick, 2016) refer to large divisionalised organisations setting up </w:t>
      </w:r>
      <w:r w:rsidR="00305764">
        <w:rPr>
          <w:rFonts w:ascii="Arial" w:hAnsi="Arial" w:cs="Arial"/>
          <w:sz w:val="24"/>
          <w:szCs w:val="24"/>
        </w:rPr>
        <w:t>several</w:t>
      </w:r>
      <w:r>
        <w:rPr>
          <w:rFonts w:ascii="Arial" w:hAnsi="Arial" w:cs="Arial"/>
          <w:sz w:val="24"/>
          <w:szCs w:val="24"/>
        </w:rPr>
        <w:t xml:space="preserve"> separate divisions which are each responsible for operational decisions including HR.</w:t>
      </w:r>
      <w:r w:rsidR="00305764">
        <w:rPr>
          <w:rFonts w:ascii="Arial" w:hAnsi="Arial" w:cs="Arial"/>
          <w:sz w:val="24"/>
          <w:szCs w:val="24"/>
        </w:rPr>
        <w:t xml:space="preserve"> This reduces the need for a HR function as management are responsible for HR decisions.</w:t>
      </w:r>
      <w:r>
        <w:rPr>
          <w:rFonts w:ascii="Arial" w:hAnsi="Arial" w:cs="Arial"/>
          <w:sz w:val="24"/>
          <w:szCs w:val="24"/>
        </w:rPr>
        <w:t xml:space="preserve"> </w:t>
      </w:r>
      <w:r w:rsidR="00D27772">
        <w:rPr>
          <w:rFonts w:ascii="Arial" w:hAnsi="Arial" w:cs="Arial"/>
          <w:sz w:val="24"/>
          <w:szCs w:val="24"/>
        </w:rPr>
        <w:t xml:space="preserve"> </w:t>
      </w:r>
      <w:r>
        <w:rPr>
          <w:rFonts w:ascii="Arial" w:hAnsi="Arial" w:cs="Arial"/>
          <w:sz w:val="24"/>
          <w:szCs w:val="24"/>
        </w:rPr>
        <w:t xml:space="preserve"> </w:t>
      </w:r>
    </w:p>
    <w:p w14:paraId="719A6B7E" w14:textId="77777777" w:rsidR="00867769" w:rsidRDefault="00F53F4D" w:rsidP="00CB69D6">
      <w:pPr>
        <w:ind w:left="-76"/>
        <w:rPr>
          <w:rFonts w:ascii="Arial" w:hAnsi="Arial" w:cs="Arial"/>
          <w:sz w:val="24"/>
          <w:szCs w:val="24"/>
        </w:rPr>
      </w:pPr>
      <w:r>
        <w:rPr>
          <w:rFonts w:ascii="Arial" w:hAnsi="Arial" w:cs="Arial"/>
          <w:sz w:val="24"/>
          <w:szCs w:val="24"/>
        </w:rPr>
        <w:t xml:space="preserve"> </w:t>
      </w:r>
      <w:r w:rsidR="00EE78BE">
        <w:rPr>
          <w:rFonts w:ascii="Arial" w:hAnsi="Arial" w:cs="Arial"/>
          <w:sz w:val="24"/>
          <w:szCs w:val="24"/>
        </w:rPr>
        <w:t>(Farnham, 2015) argues that it is widely recognised that managerial roles cover ten fields of activity and this includes managing people or human resources tas</w:t>
      </w:r>
      <w:r w:rsidR="00DC048C">
        <w:rPr>
          <w:rFonts w:ascii="Arial" w:hAnsi="Arial" w:cs="Arial"/>
          <w:sz w:val="24"/>
          <w:szCs w:val="24"/>
        </w:rPr>
        <w:t xml:space="preserve">ks. He </w:t>
      </w:r>
      <w:r w:rsidR="00DC048C">
        <w:rPr>
          <w:rFonts w:ascii="Arial" w:hAnsi="Arial" w:cs="Arial"/>
          <w:sz w:val="24"/>
          <w:szCs w:val="24"/>
        </w:rPr>
        <w:lastRenderedPageBreak/>
        <w:t>refers to management roles being very much dependant on the organisational structure and their standing varies widely in different organisations - what the HR departments do, how they are structured, their role in strategy determination, their size, their relationships with senior management, line managers and employees</w:t>
      </w:r>
      <w:r w:rsidR="00867769">
        <w:rPr>
          <w:rFonts w:ascii="Arial" w:hAnsi="Arial" w:cs="Arial"/>
          <w:sz w:val="24"/>
          <w:szCs w:val="24"/>
        </w:rPr>
        <w:t xml:space="preserve">. </w:t>
      </w:r>
    </w:p>
    <w:p w14:paraId="152B6EF7" w14:textId="3FA9D698" w:rsidR="007E413F" w:rsidRDefault="00DC048C" w:rsidP="00CB69D6">
      <w:pPr>
        <w:ind w:left="-76"/>
        <w:rPr>
          <w:rFonts w:ascii="Arial" w:hAnsi="Arial" w:cs="Arial"/>
          <w:sz w:val="24"/>
          <w:szCs w:val="24"/>
        </w:rPr>
      </w:pPr>
      <w:r>
        <w:rPr>
          <w:rFonts w:ascii="Arial" w:hAnsi="Arial" w:cs="Arial"/>
          <w:sz w:val="24"/>
          <w:szCs w:val="24"/>
        </w:rPr>
        <w:t>NPTCBC</w:t>
      </w:r>
      <w:r w:rsidR="00363159">
        <w:rPr>
          <w:rFonts w:ascii="Arial" w:hAnsi="Arial" w:cs="Arial"/>
          <w:sz w:val="24"/>
          <w:szCs w:val="24"/>
        </w:rPr>
        <w:t xml:space="preserve"> adopts a hierarchical bureaucratic organisation and the HR function very much applies the same. Those higher in the function will give instruction to those lower down.</w:t>
      </w:r>
    </w:p>
    <w:p w14:paraId="5E6EA76A" w14:textId="77777777" w:rsidR="00363159" w:rsidRDefault="00363159" w:rsidP="00CB69D6">
      <w:pPr>
        <w:ind w:left="-76"/>
        <w:rPr>
          <w:rFonts w:ascii="Arial" w:hAnsi="Arial" w:cs="Arial"/>
          <w:sz w:val="24"/>
          <w:szCs w:val="24"/>
        </w:rPr>
      </w:pPr>
    </w:p>
    <w:p w14:paraId="1FD40DF6" w14:textId="3998C94C" w:rsidR="007E413F" w:rsidRPr="007E413F" w:rsidRDefault="007E413F" w:rsidP="00CB69D6">
      <w:pPr>
        <w:ind w:left="-76"/>
        <w:rPr>
          <w:rFonts w:ascii="Arial" w:hAnsi="Arial" w:cs="Arial"/>
          <w:b/>
          <w:bCs/>
          <w:sz w:val="24"/>
          <w:szCs w:val="24"/>
        </w:rPr>
      </w:pPr>
      <w:r w:rsidRPr="007E413F">
        <w:rPr>
          <w:rFonts w:ascii="Arial" w:hAnsi="Arial" w:cs="Arial"/>
          <w:b/>
          <w:bCs/>
          <w:sz w:val="24"/>
          <w:szCs w:val="24"/>
        </w:rPr>
        <w:t>4. Explain the role of the HR function in formulating organisational strategy.</w:t>
      </w:r>
    </w:p>
    <w:p w14:paraId="4F3F0ED6" w14:textId="331D571F" w:rsidR="00177CBD" w:rsidRDefault="00177CBD" w:rsidP="002A5A41">
      <w:pPr>
        <w:ind w:left="-76"/>
        <w:rPr>
          <w:rFonts w:ascii="Arial" w:hAnsi="Arial" w:cs="Arial"/>
          <w:sz w:val="24"/>
          <w:szCs w:val="24"/>
        </w:rPr>
      </w:pPr>
      <w:r>
        <w:rPr>
          <w:rFonts w:ascii="Arial" w:hAnsi="Arial" w:cs="Arial"/>
          <w:sz w:val="24"/>
          <w:szCs w:val="24"/>
        </w:rPr>
        <w:t xml:space="preserve">(Farnham, 2015) acknowledges that organisations approach to strategy formulation differs depending on the type of markets they operate in, culture, management style, external context and so forth. </w:t>
      </w:r>
    </w:p>
    <w:p w14:paraId="4B502B37" w14:textId="4240E933" w:rsidR="002A5A41" w:rsidRDefault="005B34AF" w:rsidP="002A5A41">
      <w:pPr>
        <w:ind w:left="-76"/>
        <w:rPr>
          <w:rFonts w:ascii="Arial" w:hAnsi="Arial" w:cs="Arial"/>
          <w:sz w:val="24"/>
          <w:szCs w:val="24"/>
        </w:rPr>
      </w:pPr>
      <w:r>
        <w:rPr>
          <w:rFonts w:ascii="Arial" w:hAnsi="Arial" w:cs="Arial"/>
          <w:sz w:val="24"/>
          <w:szCs w:val="24"/>
        </w:rPr>
        <w:t xml:space="preserve">(Taylor &amp; Wilkinson, 2016) argues that there are three basic approaches to </w:t>
      </w:r>
      <w:r w:rsidR="002A5A41">
        <w:rPr>
          <w:rFonts w:ascii="Arial" w:hAnsi="Arial" w:cs="Arial"/>
          <w:sz w:val="24"/>
          <w:szCs w:val="24"/>
        </w:rPr>
        <w:t>distinguish when strategy is formulated by organisations:</w:t>
      </w:r>
    </w:p>
    <w:p w14:paraId="425C52A9" w14:textId="3F46F6F0" w:rsidR="002A5A41" w:rsidRDefault="002A5A41" w:rsidP="002A5A41">
      <w:pPr>
        <w:pStyle w:val="ListParagraph"/>
        <w:numPr>
          <w:ilvl w:val="0"/>
          <w:numId w:val="7"/>
        </w:numPr>
        <w:rPr>
          <w:rFonts w:ascii="Arial" w:hAnsi="Arial" w:cs="Arial"/>
          <w:sz w:val="24"/>
          <w:szCs w:val="24"/>
        </w:rPr>
      </w:pPr>
      <w:r>
        <w:rPr>
          <w:rFonts w:ascii="Arial" w:hAnsi="Arial" w:cs="Arial"/>
          <w:sz w:val="24"/>
          <w:szCs w:val="24"/>
        </w:rPr>
        <w:t>Rational/classica</w:t>
      </w:r>
      <w:r w:rsidR="006165E9">
        <w:rPr>
          <w:rFonts w:ascii="Arial" w:hAnsi="Arial" w:cs="Arial"/>
          <w:sz w:val="24"/>
          <w:szCs w:val="24"/>
        </w:rPr>
        <w:t>l</w:t>
      </w:r>
    </w:p>
    <w:p w14:paraId="6F6E7C12" w14:textId="125227CA" w:rsidR="002A5A41" w:rsidRDefault="002A5A41" w:rsidP="002A5A41">
      <w:pPr>
        <w:pStyle w:val="ListParagraph"/>
        <w:numPr>
          <w:ilvl w:val="0"/>
          <w:numId w:val="7"/>
        </w:numPr>
        <w:rPr>
          <w:rFonts w:ascii="Arial" w:hAnsi="Arial" w:cs="Arial"/>
          <w:sz w:val="24"/>
          <w:szCs w:val="24"/>
        </w:rPr>
      </w:pPr>
      <w:r>
        <w:rPr>
          <w:rFonts w:ascii="Arial" w:hAnsi="Arial" w:cs="Arial"/>
          <w:sz w:val="24"/>
          <w:szCs w:val="24"/>
        </w:rPr>
        <w:t>Symbolic/radical</w:t>
      </w:r>
    </w:p>
    <w:p w14:paraId="0D038754" w14:textId="15A0AC8E" w:rsidR="002A5A41" w:rsidRDefault="002A5A41" w:rsidP="002A5A41">
      <w:pPr>
        <w:pStyle w:val="ListParagraph"/>
        <w:numPr>
          <w:ilvl w:val="0"/>
          <w:numId w:val="7"/>
        </w:numPr>
        <w:rPr>
          <w:rFonts w:ascii="Arial" w:hAnsi="Arial" w:cs="Arial"/>
          <w:sz w:val="24"/>
          <w:szCs w:val="24"/>
        </w:rPr>
      </w:pPr>
      <w:r>
        <w:rPr>
          <w:rFonts w:ascii="Arial" w:hAnsi="Arial" w:cs="Arial"/>
          <w:sz w:val="24"/>
          <w:szCs w:val="24"/>
        </w:rPr>
        <w:t xml:space="preserve">Emergent/logical incrementalism </w:t>
      </w:r>
    </w:p>
    <w:p w14:paraId="7ED25722" w14:textId="64C615DA" w:rsidR="007408AE" w:rsidRDefault="006165E9" w:rsidP="002A5A41">
      <w:pPr>
        <w:rPr>
          <w:rFonts w:ascii="Arial" w:hAnsi="Arial" w:cs="Arial"/>
          <w:sz w:val="24"/>
          <w:szCs w:val="24"/>
        </w:rPr>
      </w:pPr>
      <w:r>
        <w:rPr>
          <w:rFonts w:ascii="Arial" w:hAnsi="Arial" w:cs="Arial"/>
          <w:sz w:val="24"/>
          <w:szCs w:val="24"/>
        </w:rPr>
        <w:t xml:space="preserve">Mintzberg is known to be the most influential thinker in this field. He is known for formulating a contingency model which sets out the </w:t>
      </w:r>
      <w:r w:rsidR="009276C3">
        <w:rPr>
          <w:rFonts w:ascii="Arial" w:hAnsi="Arial" w:cs="Arial"/>
          <w:sz w:val="24"/>
          <w:szCs w:val="24"/>
        </w:rPr>
        <w:t xml:space="preserve">circumstances when the above types of formulation processes are appropriate. Mintzberg in 1994 referred to key variables being the complexity of the organisation, its environment and the rate of change in that environment. </w:t>
      </w:r>
    </w:p>
    <w:p w14:paraId="1E4149A1" w14:textId="207F5A49" w:rsidR="007408AE" w:rsidRDefault="007408AE" w:rsidP="002A5A41">
      <w:pPr>
        <w:rPr>
          <w:rFonts w:ascii="Arial" w:hAnsi="Arial" w:cs="Arial"/>
          <w:sz w:val="24"/>
          <w:szCs w:val="24"/>
        </w:rPr>
      </w:pPr>
      <w:r>
        <w:rPr>
          <w:rFonts w:ascii="Arial" w:hAnsi="Arial" w:cs="Arial"/>
          <w:sz w:val="24"/>
          <w:szCs w:val="24"/>
        </w:rPr>
        <w:t>In 1985, Larry D. Alexander, identified 5 main features of successful strategy implementation and HR plays an important role in this process:</w:t>
      </w:r>
    </w:p>
    <w:p w14:paraId="2C83BD04" w14:textId="539B8351" w:rsidR="007408AE" w:rsidRDefault="007408AE" w:rsidP="007408AE">
      <w:pPr>
        <w:pStyle w:val="ListParagraph"/>
        <w:numPr>
          <w:ilvl w:val="0"/>
          <w:numId w:val="8"/>
        </w:numPr>
        <w:rPr>
          <w:rFonts w:ascii="Arial" w:hAnsi="Arial" w:cs="Arial"/>
          <w:sz w:val="24"/>
          <w:szCs w:val="24"/>
        </w:rPr>
      </w:pPr>
      <w:r>
        <w:rPr>
          <w:rFonts w:ascii="Arial" w:hAnsi="Arial" w:cs="Arial"/>
          <w:sz w:val="24"/>
          <w:szCs w:val="24"/>
        </w:rPr>
        <w:t>Communicating</w:t>
      </w:r>
    </w:p>
    <w:p w14:paraId="10099325" w14:textId="0A45CB22" w:rsidR="007408AE" w:rsidRDefault="007408AE" w:rsidP="007408AE">
      <w:pPr>
        <w:pStyle w:val="ListParagraph"/>
        <w:numPr>
          <w:ilvl w:val="0"/>
          <w:numId w:val="8"/>
        </w:numPr>
        <w:rPr>
          <w:rFonts w:ascii="Arial" w:hAnsi="Arial" w:cs="Arial"/>
          <w:sz w:val="24"/>
          <w:szCs w:val="24"/>
        </w:rPr>
      </w:pPr>
      <w:r>
        <w:rPr>
          <w:rFonts w:ascii="Arial" w:hAnsi="Arial" w:cs="Arial"/>
          <w:sz w:val="24"/>
          <w:szCs w:val="24"/>
        </w:rPr>
        <w:t>Starting with a good idea</w:t>
      </w:r>
    </w:p>
    <w:p w14:paraId="328E9611" w14:textId="17C22DFA" w:rsidR="007408AE" w:rsidRDefault="007408AE" w:rsidP="007408AE">
      <w:pPr>
        <w:pStyle w:val="ListParagraph"/>
        <w:numPr>
          <w:ilvl w:val="0"/>
          <w:numId w:val="8"/>
        </w:numPr>
        <w:rPr>
          <w:rFonts w:ascii="Arial" w:hAnsi="Arial" w:cs="Arial"/>
          <w:sz w:val="24"/>
          <w:szCs w:val="24"/>
        </w:rPr>
      </w:pPr>
      <w:r>
        <w:rPr>
          <w:rFonts w:ascii="Arial" w:hAnsi="Arial" w:cs="Arial"/>
          <w:sz w:val="24"/>
          <w:szCs w:val="24"/>
        </w:rPr>
        <w:t>Gaining employee commitment and involvement</w:t>
      </w:r>
    </w:p>
    <w:p w14:paraId="0F6A7FDB" w14:textId="6AA0AAB8" w:rsidR="007408AE" w:rsidRDefault="007408AE" w:rsidP="007408AE">
      <w:pPr>
        <w:pStyle w:val="ListParagraph"/>
        <w:numPr>
          <w:ilvl w:val="0"/>
          <w:numId w:val="8"/>
        </w:numPr>
        <w:rPr>
          <w:rFonts w:ascii="Arial" w:hAnsi="Arial" w:cs="Arial"/>
          <w:sz w:val="24"/>
          <w:szCs w:val="24"/>
        </w:rPr>
      </w:pPr>
      <w:r>
        <w:rPr>
          <w:rFonts w:ascii="Arial" w:hAnsi="Arial" w:cs="Arial"/>
          <w:sz w:val="24"/>
          <w:szCs w:val="24"/>
        </w:rPr>
        <w:t>Providing sufficient resources</w:t>
      </w:r>
    </w:p>
    <w:p w14:paraId="30C252F3" w14:textId="3B70C011" w:rsidR="007408AE" w:rsidRPr="007408AE" w:rsidRDefault="007408AE" w:rsidP="007408AE">
      <w:pPr>
        <w:pStyle w:val="ListParagraph"/>
        <w:numPr>
          <w:ilvl w:val="0"/>
          <w:numId w:val="8"/>
        </w:numPr>
        <w:rPr>
          <w:rFonts w:ascii="Arial" w:hAnsi="Arial" w:cs="Arial"/>
          <w:sz w:val="24"/>
          <w:szCs w:val="24"/>
        </w:rPr>
      </w:pPr>
      <w:r>
        <w:rPr>
          <w:rFonts w:ascii="Arial" w:hAnsi="Arial" w:cs="Arial"/>
          <w:sz w:val="24"/>
          <w:szCs w:val="24"/>
        </w:rPr>
        <w:t>Developing an implementation plan</w:t>
      </w:r>
    </w:p>
    <w:p w14:paraId="0FB39428" w14:textId="1C2E00DF" w:rsidR="0038480B" w:rsidRDefault="001971BE" w:rsidP="002A5A41">
      <w:pPr>
        <w:rPr>
          <w:rFonts w:ascii="Arial" w:hAnsi="Arial" w:cs="Arial"/>
          <w:sz w:val="24"/>
          <w:szCs w:val="24"/>
        </w:rPr>
      </w:pPr>
      <w:sdt>
        <w:sdtPr>
          <w:rPr>
            <w:rFonts w:ascii="Arial" w:hAnsi="Arial" w:cs="Arial"/>
            <w:sz w:val="24"/>
            <w:szCs w:val="24"/>
          </w:rPr>
          <w:id w:val="-608199205"/>
          <w:citation/>
        </w:sdtPr>
        <w:sdtEndPr/>
        <w:sdtContent>
          <w:r w:rsidR="009276C3">
            <w:rPr>
              <w:rFonts w:ascii="Arial" w:hAnsi="Arial" w:cs="Arial"/>
              <w:sz w:val="24"/>
              <w:szCs w:val="24"/>
            </w:rPr>
            <w:fldChar w:fldCharType="begin"/>
          </w:r>
          <w:r w:rsidR="009276C3">
            <w:rPr>
              <w:rFonts w:ascii="Arial" w:hAnsi="Arial" w:cs="Arial"/>
              <w:sz w:val="24"/>
              <w:szCs w:val="24"/>
            </w:rPr>
            <w:instrText xml:space="preserve"> CITATION Dav15 \l 2057 </w:instrText>
          </w:r>
          <w:r w:rsidR="009276C3">
            <w:rPr>
              <w:rFonts w:ascii="Arial" w:hAnsi="Arial" w:cs="Arial"/>
              <w:sz w:val="24"/>
              <w:szCs w:val="24"/>
            </w:rPr>
            <w:fldChar w:fldCharType="separate"/>
          </w:r>
          <w:r w:rsidR="009276C3" w:rsidRPr="009276C3">
            <w:rPr>
              <w:rFonts w:ascii="Arial" w:hAnsi="Arial" w:cs="Arial"/>
              <w:noProof/>
              <w:sz w:val="24"/>
              <w:szCs w:val="24"/>
            </w:rPr>
            <w:t>(Farnham, 2015)</w:t>
          </w:r>
          <w:r w:rsidR="009276C3">
            <w:rPr>
              <w:rFonts w:ascii="Arial" w:hAnsi="Arial" w:cs="Arial"/>
              <w:sz w:val="24"/>
              <w:szCs w:val="24"/>
            </w:rPr>
            <w:fldChar w:fldCharType="end"/>
          </w:r>
        </w:sdtContent>
      </w:sdt>
      <w:r w:rsidR="0038480B">
        <w:rPr>
          <w:rFonts w:ascii="Arial" w:hAnsi="Arial" w:cs="Arial"/>
          <w:sz w:val="24"/>
          <w:szCs w:val="24"/>
        </w:rPr>
        <w:t xml:space="preserve"> argues that to be effective in the business world, HR professionals need to understand the external</w:t>
      </w:r>
      <w:r w:rsidR="00485B4A">
        <w:rPr>
          <w:rFonts w:ascii="Arial" w:hAnsi="Arial" w:cs="Arial"/>
          <w:sz w:val="24"/>
          <w:szCs w:val="24"/>
        </w:rPr>
        <w:t xml:space="preserve"> and internal</w:t>
      </w:r>
      <w:r w:rsidR="0038480B">
        <w:rPr>
          <w:rFonts w:ascii="Arial" w:hAnsi="Arial" w:cs="Arial"/>
          <w:sz w:val="24"/>
          <w:szCs w:val="24"/>
        </w:rPr>
        <w:t xml:space="preserve"> contexts i.e. PESTLE</w:t>
      </w:r>
      <w:r w:rsidR="00920271">
        <w:rPr>
          <w:rFonts w:ascii="Arial" w:hAnsi="Arial" w:cs="Arial"/>
          <w:sz w:val="24"/>
          <w:szCs w:val="24"/>
        </w:rPr>
        <w:t>/SWOT</w:t>
      </w:r>
      <w:r w:rsidR="0038480B">
        <w:rPr>
          <w:rFonts w:ascii="Arial" w:hAnsi="Arial" w:cs="Arial"/>
          <w:sz w:val="24"/>
          <w:szCs w:val="24"/>
        </w:rPr>
        <w:t xml:space="preserve"> analysis, in which their organisation operates and the levers driving change within it. He refers to current good practice indicates that the HR function is critical to the formulation and deliverance of business and HR objectives and promoting appropriate HR activities.</w:t>
      </w:r>
      <w:r w:rsidR="005E0DF3">
        <w:rPr>
          <w:rFonts w:ascii="Arial" w:hAnsi="Arial" w:cs="Arial"/>
          <w:sz w:val="24"/>
          <w:szCs w:val="24"/>
        </w:rPr>
        <w:t xml:space="preserve"> (Taylor &amp; Wilkinson, 2016) refers to </w:t>
      </w:r>
      <w:r w:rsidR="006D6085">
        <w:rPr>
          <w:rFonts w:ascii="Arial" w:hAnsi="Arial" w:cs="Arial"/>
          <w:sz w:val="24"/>
          <w:szCs w:val="24"/>
        </w:rPr>
        <w:t xml:space="preserve">a success </w:t>
      </w:r>
      <w:r w:rsidR="005E0DF3">
        <w:rPr>
          <w:rFonts w:ascii="Arial" w:hAnsi="Arial" w:cs="Arial"/>
          <w:sz w:val="24"/>
          <w:szCs w:val="24"/>
        </w:rPr>
        <w:t>strategy being entrusted to senior managers and that their job is to undertake a continual appraisal of both the external and internal environments by using an analysis tool such as the SWOT analysis (</w:t>
      </w:r>
      <w:r w:rsidR="005E0DF3" w:rsidRPr="005E0DF3">
        <w:rPr>
          <w:rFonts w:ascii="Arial" w:hAnsi="Arial" w:cs="Arial"/>
          <w:b/>
          <w:bCs/>
          <w:i/>
          <w:iCs/>
          <w:sz w:val="24"/>
          <w:szCs w:val="24"/>
        </w:rPr>
        <w:t xml:space="preserve">figure </w:t>
      </w:r>
      <w:r w:rsidR="006D6085">
        <w:rPr>
          <w:rFonts w:ascii="Arial" w:hAnsi="Arial" w:cs="Arial"/>
          <w:b/>
          <w:bCs/>
          <w:i/>
          <w:iCs/>
          <w:sz w:val="24"/>
          <w:szCs w:val="24"/>
        </w:rPr>
        <w:t>1</w:t>
      </w:r>
      <w:r w:rsidR="005E0DF3">
        <w:rPr>
          <w:rFonts w:ascii="Arial" w:hAnsi="Arial" w:cs="Arial"/>
          <w:sz w:val="24"/>
          <w:szCs w:val="24"/>
        </w:rPr>
        <w:t>) and the use of such information will formulate goals, aims and objectives for the organisation.</w:t>
      </w:r>
    </w:p>
    <w:p w14:paraId="5A740821" w14:textId="3F148A07" w:rsidR="006D6085" w:rsidRDefault="006D6085" w:rsidP="002A5A41">
      <w:pPr>
        <w:rPr>
          <w:rFonts w:ascii="Arial" w:hAnsi="Arial" w:cs="Arial"/>
          <w:sz w:val="24"/>
          <w:szCs w:val="24"/>
        </w:rPr>
      </w:pPr>
      <w:r>
        <w:rPr>
          <w:noProof/>
        </w:rPr>
        <w:lastRenderedPageBreak/>
        <w:drawing>
          <wp:inline distT="0" distB="0" distL="0" distR="0" wp14:anchorId="1E5438D2" wp14:editId="10B61A3F">
            <wp:extent cx="3867150" cy="3563620"/>
            <wp:effectExtent l="57150" t="19050" r="57150" b="939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2074" t="21280" r="33359" b="17537"/>
                    <a:stretch/>
                  </pic:blipFill>
                  <pic:spPr bwMode="auto">
                    <a:xfrm>
                      <a:off x="0" y="0"/>
                      <a:ext cx="3874942" cy="3570800"/>
                    </a:xfrm>
                    <a:prstGeom prst="rect">
                      <a:avLst/>
                    </a:prstGeom>
                    <a:ln>
                      <a:no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00C5215" w14:textId="7FFFB8AB" w:rsidR="006D6085" w:rsidRDefault="006D6085" w:rsidP="002A5A41">
      <w:pPr>
        <w:rPr>
          <w:rFonts w:ascii="Arial" w:hAnsi="Arial" w:cs="Arial"/>
          <w:b/>
          <w:bCs/>
          <w:i/>
          <w:iCs/>
          <w:sz w:val="20"/>
          <w:szCs w:val="20"/>
        </w:rPr>
      </w:pPr>
      <w:r w:rsidRPr="006D6085">
        <w:rPr>
          <w:rFonts w:ascii="Arial" w:hAnsi="Arial" w:cs="Arial"/>
          <w:b/>
          <w:bCs/>
          <w:i/>
          <w:iCs/>
          <w:sz w:val="20"/>
          <w:szCs w:val="20"/>
        </w:rPr>
        <w:t xml:space="preserve">Figure </w:t>
      </w:r>
      <w:r>
        <w:rPr>
          <w:rFonts w:ascii="Arial" w:hAnsi="Arial" w:cs="Arial"/>
          <w:b/>
          <w:bCs/>
          <w:i/>
          <w:iCs/>
          <w:sz w:val="20"/>
          <w:szCs w:val="20"/>
        </w:rPr>
        <w:t>1</w:t>
      </w:r>
      <w:r w:rsidRPr="006D6085">
        <w:rPr>
          <w:rFonts w:ascii="Arial" w:hAnsi="Arial" w:cs="Arial"/>
          <w:b/>
          <w:bCs/>
          <w:i/>
          <w:iCs/>
          <w:sz w:val="20"/>
          <w:szCs w:val="20"/>
        </w:rPr>
        <w:t xml:space="preserve">: Source: </w:t>
      </w:r>
      <w:hyperlink r:id="rId8" w:history="1">
        <w:r w:rsidRPr="004E606E">
          <w:rPr>
            <w:rStyle w:val="Hyperlink"/>
            <w:rFonts w:ascii="Arial" w:hAnsi="Arial" w:cs="Arial"/>
            <w:b/>
            <w:bCs/>
            <w:i/>
            <w:iCs/>
            <w:sz w:val="20"/>
            <w:szCs w:val="20"/>
          </w:rPr>
          <w:t>www.mindtool.com</w:t>
        </w:r>
      </w:hyperlink>
    </w:p>
    <w:p w14:paraId="632F54F1" w14:textId="77777777" w:rsidR="006D6085" w:rsidRPr="006D6085" w:rsidRDefault="006D6085" w:rsidP="002A5A41">
      <w:pPr>
        <w:rPr>
          <w:rFonts w:ascii="Arial" w:hAnsi="Arial" w:cs="Arial"/>
          <w:b/>
          <w:bCs/>
          <w:i/>
          <w:iCs/>
          <w:sz w:val="20"/>
          <w:szCs w:val="20"/>
        </w:rPr>
      </w:pPr>
    </w:p>
    <w:p w14:paraId="5641510C" w14:textId="51FB2E44" w:rsidR="00C81A38" w:rsidRPr="00C4799C" w:rsidRDefault="00FD00C2" w:rsidP="00C454D6">
      <w:pPr>
        <w:rPr>
          <w:rFonts w:ascii="Arial" w:hAnsi="Arial" w:cs="Arial"/>
          <w:color w:val="FF0000"/>
          <w:sz w:val="24"/>
          <w:szCs w:val="24"/>
        </w:rPr>
      </w:pPr>
      <w:r>
        <w:rPr>
          <w:rFonts w:ascii="Arial" w:hAnsi="Arial" w:cs="Arial"/>
          <w:sz w:val="24"/>
          <w:szCs w:val="24"/>
        </w:rPr>
        <w:t>HR needs to understand the business, its markets and the forces driving the sector where the business operates</w:t>
      </w:r>
      <w:r w:rsidR="007954E9">
        <w:rPr>
          <w:rFonts w:ascii="Arial" w:hAnsi="Arial" w:cs="Arial"/>
          <w:sz w:val="24"/>
          <w:szCs w:val="24"/>
        </w:rPr>
        <w:t xml:space="preserve"> to carry out their role</w:t>
      </w:r>
      <w:r>
        <w:rPr>
          <w:rFonts w:ascii="Arial" w:hAnsi="Arial" w:cs="Arial"/>
          <w:sz w:val="24"/>
          <w:szCs w:val="24"/>
        </w:rPr>
        <w:t>.</w:t>
      </w:r>
      <w:r w:rsidR="00C454D6">
        <w:rPr>
          <w:rFonts w:ascii="Arial" w:hAnsi="Arial" w:cs="Arial"/>
          <w:sz w:val="24"/>
          <w:szCs w:val="24"/>
        </w:rPr>
        <w:t xml:space="preserve"> </w:t>
      </w:r>
      <w:r w:rsidR="00C454D6" w:rsidRPr="00485B4A">
        <w:rPr>
          <w:rFonts w:ascii="Arial" w:hAnsi="Arial" w:cs="Arial"/>
          <w:sz w:val="24"/>
          <w:szCs w:val="24"/>
        </w:rPr>
        <w:t xml:space="preserve">HR can contribute </w:t>
      </w:r>
      <w:r w:rsidR="00252624" w:rsidRPr="00485B4A">
        <w:rPr>
          <w:rFonts w:ascii="Arial" w:hAnsi="Arial" w:cs="Arial"/>
          <w:sz w:val="24"/>
          <w:szCs w:val="24"/>
        </w:rPr>
        <w:t>and influence on organisational strategy by participating at different levels i.e. HR board member,</w:t>
      </w:r>
      <w:r w:rsidR="006833F5" w:rsidRPr="00485B4A">
        <w:rPr>
          <w:rFonts w:ascii="Arial" w:hAnsi="Arial" w:cs="Arial"/>
          <w:sz w:val="24"/>
          <w:szCs w:val="24"/>
        </w:rPr>
        <w:t xml:space="preserve"> providing data and information on current skills and capability of the current workforce i.e. workforce planning. HR will need to develop policies and procedures that assist with the organisational strategy as well as assist with consultation of strategy by communicating this</w:t>
      </w:r>
      <w:r w:rsidR="00485B4A" w:rsidRPr="00485B4A">
        <w:rPr>
          <w:rFonts w:ascii="Arial" w:hAnsi="Arial" w:cs="Arial"/>
          <w:sz w:val="24"/>
          <w:szCs w:val="24"/>
        </w:rPr>
        <w:t xml:space="preserve"> to senior/line managers</w:t>
      </w:r>
      <w:r w:rsidR="006833F5" w:rsidRPr="00485B4A">
        <w:rPr>
          <w:rFonts w:ascii="Arial" w:hAnsi="Arial" w:cs="Arial"/>
          <w:sz w:val="24"/>
          <w:szCs w:val="24"/>
        </w:rPr>
        <w:t xml:space="preserve">. </w:t>
      </w:r>
    </w:p>
    <w:p w14:paraId="536DCCF2" w14:textId="3D56281A" w:rsidR="00867769" w:rsidRDefault="00867769" w:rsidP="00867769">
      <w:pPr>
        <w:rPr>
          <w:rFonts w:ascii="Arial" w:hAnsi="Arial" w:cs="Arial"/>
          <w:sz w:val="24"/>
          <w:szCs w:val="24"/>
        </w:rPr>
      </w:pPr>
      <w:r>
        <w:rPr>
          <w:rFonts w:ascii="Arial" w:hAnsi="Arial" w:cs="Arial"/>
          <w:sz w:val="24"/>
          <w:szCs w:val="24"/>
        </w:rPr>
        <w:t xml:space="preserve">(CIPD 2020) refers to the organisation’s culture affecting every aspect of how an organisation operates and how work gets done. In the pursuit of sustainable performance, ensuring the culture is fit for the future is a high priority for many. </w:t>
      </w:r>
    </w:p>
    <w:p w14:paraId="0DFD71CF" w14:textId="05BC34FC" w:rsidR="00867769" w:rsidRDefault="00867769" w:rsidP="00867769">
      <w:pPr>
        <w:rPr>
          <w:rFonts w:ascii="Arial" w:hAnsi="Arial" w:cs="Arial"/>
          <w:sz w:val="24"/>
          <w:szCs w:val="24"/>
        </w:rPr>
      </w:pPr>
      <w:r>
        <w:rPr>
          <w:rFonts w:ascii="Arial" w:hAnsi="Arial" w:cs="Arial"/>
          <w:sz w:val="24"/>
          <w:szCs w:val="24"/>
        </w:rPr>
        <w:t>It is worth acknowledging “The Cultural Web” (</w:t>
      </w:r>
      <w:r w:rsidRPr="00A6326C">
        <w:rPr>
          <w:rFonts w:ascii="Arial" w:hAnsi="Arial" w:cs="Arial"/>
          <w:b/>
          <w:bCs/>
          <w:i/>
          <w:iCs/>
          <w:sz w:val="24"/>
          <w:szCs w:val="24"/>
        </w:rPr>
        <w:t xml:space="preserve">figure </w:t>
      </w:r>
      <w:r w:rsidR="005E0DF3">
        <w:rPr>
          <w:rFonts w:ascii="Arial" w:hAnsi="Arial" w:cs="Arial"/>
          <w:b/>
          <w:bCs/>
          <w:i/>
          <w:iCs/>
          <w:sz w:val="24"/>
          <w:szCs w:val="24"/>
        </w:rPr>
        <w:t>2</w:t>
      </w:r>
      <w:r>
        <w:rPr>
          <w:rFonts w:ascii="Arial" w:hAnsi="Arial" w:cs="Arial"/>
          <w:sz w:val="24"/>
          <w:szCs w:val="24"/>
        </w:rPr>
        <w:t xml:space="preserve">) designed by Johnson and Scholes in 1992 which helps approach organisational culture and can play a key role in formulating strategy.   </w:t>
      </w:r>
    </w:p>
    <w:p w14:paraId="4F03DC87" w14:textId="77777777" w:rsidR="00867769" w:rsidRDefault="00867769" w:rsidP="00867769">
      <w:pPr>
        <w:rPr>
          <w:rFonts w:ascii="Arial" w:hAnsi="Arial" w:cs="Arial"/>
          <w:sz w:val="20"/>
          <w:szCs w:val="20"/>
        </w:rPr>
      </w:pPr>
      <w:r>
        <w:rPr>
          <w:noProof/>
        </w:rPr>
        <w:lastRenderedPageBreak/>
        <w:drawing>
          <wp:inline distT="0" distB="0" distL="0" distR="0" wp14:anchorId="67B2A35B" wp14:editId="4B31CDD3">
            <wp:extent cx="3187700" cy="2162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566" t="42562" r="36351" b="20197"/>
                    <a:stretch/>
                  </pic:blipFill>
                  <pic:spPr bwMode="auto">
                    <a:xfrm>
                      <a:off x="0" y="0"/>
                      <a:ext cx="3195097" cy="2167192"/>
                    </a:xfrm>
                    <a:prstGeom prst="rect">
                      <a:avLst/>
                    </a:prstGeom>
                    <a:ln>
                      <a:noFill/>
                    </a:ln>
                    <a:extLst>
                      <a:ext uri="{53640926-AAD7-44D8-BBD7-CCE9431645EC}">
                        <a14:shadowObscured xmlns:a14="http://schemas.microsoft.com/office/drawing/2010/main"/>
                      </a:ext>
                    </a:extLst>
                  </pic:spPr>
                </pic:pic>
              </a:graphicData>
            </a:graphic>
          </wp:inline>
        </w:drawing>
      </w:r>
    </w:p>
    <w:p w14:paraId="62300813" w14:textId="7219D31A" w:rsidR="00867769" w:rsidRPr="00867769" w:rsidRDefault="00867769" w:rsidP="00867769">
      <w:pPr>
        <w:rPr>
          <w:rFonts w:ascii="Arial" w:hAnsi="Arial" w:cs="Arial"/>
          <w:i/>
          <w:iCs/>
          <w:sz w:val="20"/>
          <w:szCs w:val="20"/>
        </w:rPr>
      </w:pPr>
      <w:r w:rsidRPr="00A6326C">
        <w:rPr>
          <w:rFonts w:ascii="Arial" w:hAnsi="Arial" w:cs="Arial"/>
          <w:b/>
          <w:bCs/>
          <w:i/>
          <w:iCs/>
          <w:sz w:val="20"/>
          <w:szCs w:val="20"/>
        </w:rPr>
        <w:t xml:space="preserve">Figure </w:t>
      </w:r>
      <w:r w:rsidR="005E0DF3">
        <w:rPr>
          <w:rFonts w:ascii="Arial" w:hAnsi="Arial" w:cs="Arial"/>
          <w:b/>
          <w:bCs/>
          <w:i/>
          <w:iCs/>
          <w:sz w:val="20"/>
          <w:szCs w:val="20"/>
        </w:rPr>
        <w:t>2</w:t>
      </w:r>
      <w:r w:rsidRPr="00A6326C">
        <w:rPr>
          <w:rFonts w:ascii="Arial" w:hAnsi="Arial" w:cs="Arial"/>
          <w:i/>
          <w:iCs/>
          <w:sz w:val="20"/>
          <w:szCs w:val="20"/>
        </w:rPr>
        <w:t>: Source: www.mindtools.com</w:t>
      </w:r>
    </w:p>
    <w:p w14:paraId="08392761" w14:textId="04F4E14C" w:rsidR="00445BB2" w:rsidRDefault="00445BB2" w:rsidP="00F14188">
      <w:pPr>
        <w:ind w:left="-76"/>
        <w:rPr>
          <w:rFonts w:ascii="Arial" w:hAnsi="Arial" w:cs="Arial"/>
          <w:sz w:val="24"/>
          <w:szCs w:val="24"/>
        </w:rPr>
      </w:pPr>
    </w:p>
    <w:p w14:paraId="3A2B8CA1" w14:textId="3BB40B1A" w:rsidR="00C81DB9" w:rsidRDefault="0000253B" w:rsidP="00C81DB9">
      <w:pPr>
        <w:ind w:left="-76"/>
        <w:rPr>
          <w:rFonts w:ascii="Arial" w:hAnsi="Arial" w:cs="Arial"/>
          <w:b/>
          <w:bCs/>
          <w:sz w:val="24"/>
          <w:szCs w:val="24"/>
        </w:rPr>
      </w:pPr>
      <w:r w:rsidRPr="0000253B">
        <w:rPr>
          <w:rFonts w:ascii="Arial" w:hAnsi="Arial" w:cs="Arial"/>
          <w:b/>
          <w:bCs/>
          <w:sz w:val="24"/>
          <w:szCs w:val="24"/>
        </w:rPr>
        <w:t>5. Explain how organisational strategy is translated into HR strategy and policy</w:t>
      </w:r>
    </w:p>
    <w:p w14:paraId="18C00FA9" w14:textId="77777777" w:rsidR="00FA10F7" w:rsidRDefault="008E0401" w:rsidP="00C81DB9">
      <w:pPr>
        <w:ind w:left="-76"/>
        <w:rPr>
          <w:rFonts w:ascii="Arial" w:hAnsi="Arial" w:cs="Arial"/>
          <w:sz w:val="24"/>
          <w:szCs w:val="24"/>
        </w:rPr>
      </w:pPr>
      <w:r w:rsidRPr="008E0401">
        <w:rPr>
          <w:rFonts w:ascii="Arial" w:hAnsi="Arial" w:cs="Arial"/>
          <w:sz w:val="24"/>
          <w:szCs w:val="24"/>
        </w:rPr>
        <w:t>(Farnham, 2015)</w:t>
      </w:r>
      <w:r>
        <w:rPr>
          <w:rFonts w:ascii="Arial" w:hAnsi="Arial" w:cs="Arial"/>
          <w:sz w:val="24"/>
          <w:szCs w:val="24"/>
        </w:rPr>
        <w:t xml:space="preserve"> defines HR strategy as a “set of ideas, policies and practices which management adopt in order to achieve a people- management objective”. A main characteristic of an effective HR strategy is its assimilation with the business strategy.</w:t>
      </w:r>
    </w:p>
    <w:p w14:paraId="1B2587A9" w14:textId="77777777" w:rsidR="00FA10F7" w:rsidRPr="00A90166" w:rsidRDefault="00FA10F7" w:rsidP="00FA10F7">
      <w:pPr>
        <w:ind w:left="-76"/>
        <w:rPr>
          <w:rFonts w:ascii="Arial" w:hAnsi="Arial" w:cs="Arial"/>
          <w:sz w:val="24"/>
          <w:szCs w:val="24"/>
        </w:rPr>
      </w:pPr>
      <w:r>
        <w:rPr>
          <w:rFonts w:ascii="Arial" w:hAnsi="Arial" w:cs="Arial"/>
          <w:sz w:val="24"/>
          <w:szCs w:val="24"/>
        </w:rPr>
        <w:t xml:space="preserve">(Farnham, 2015) argues that the idea of using ‘best practice models’ is the claim that a number of specific HR strategies and practices can bring improved organisational performance.     </w:t>
      </w:r>
    </w:p>
    <w:p w14:paraId="051AAF87" w14:textId="5D42191C" w:rsidR="008E0401" w:rsidRDefault="008E0401" w:rsidP="00C81DB9">
      <w:pPr>
        <w:ind w:left="-76"/>
        <w:rPr>
          <w:rFonts w:ascii="Arial" w:hAnsi="Arial" w:cs="Arial"/>
          <w:sz w:val="24"/>
          <w:szCs w:val="24"/>
        </w:rPr>
      </w:pPr>
      <w:r>
        <w:rPr>
          <w:rFonts w:ascii="Arial" w:hAnsi="Arial" w:cs="Arial"/>
          <w:sz w:val="24"/>
          <w:szCs w:val="24"/>
        </w:rPr>
        <w:t>(Farnham, 2015) refers to there being a number of models for HR strategy and each is supported by the theory that HR policies and practices needs to support the organisation goals, in order to be effective. He refers to HR strategies needing to have some element of “external fi</w:t>
      </w:r>
      <w:r w:rsidR="00FA10F7">
        <w:rPr>
          <w:rFonts w:ascii="Arial" w:hAnsi="Arial" w:cs="Arial"/>
          <w:sz w:val="24"/>
          <w:szCs w:val="24"/>
        </w:rPr>
        <w:t>t</w:t>
      </w:r>
      <w:r>
        <w:rPr>
          <w:rFonts w:ascii="Arial" w:hAnsi="Arial" w:cs="Arial"/>
          <w:sz w:val="24"/>
          <w:szCs w:val="24"/>
        </w:rPr>
        <w:t xml:space="preserve">” with business strategies as well as being “vertically” integrated with them. </w:t>
      </w:r>
      <w:r w:rsidR="00FA10F7">
        <w:rPr>
          <w:rFonts w:ascii="Arial" w:hAnsi="Arial" w:cs="Arial"/>
          <w:sz w:val="24"/>
          <w:szCs w:val="24"/>
        </w:rPr>
        <w:t>Vertical integration therefore refers to the links between business strategy, external contexts and HR policies and practices.</w:t>
      </w:r>
    </w:p>
    <w:p w14:paraId="41C757E9" w14:textId="17845033" w:rsidR="00FA10F7" w:rsidRPr="008E0401" w:rsidRDefault="00FA10F7" w:rsidP="00FA10F7">
      <w:pPr>
        <w:ind w:left="-76"/>
        <w:rPr>
          <w:rFonts w:ascii="Arial" w:hAnsi="Arial" w:cs="Arial"/>
          <w:sz w:val="24"/>
          <w:szCs w:val="24"/>
        </w:rPr>
      </w:pPr>
      <w:r>
        <w:rPr>
          <w:rFonts w:ascii="Arial" w:hAnsi="Arial" w:cs="Arial"/>
          <w:sz w:val="24"/>
          <w:szCs w:val="24"/>
        </w:rPr>
        <w:t xml:space="preserve">An “internal fit” relates to the need to be horizontally aligned with all aspects of HR strategy so that there is consistency and support within. </w:t>
      </w:r>
    </w:p>
    <w:p w14:paraId="06DB4538" w14:textId="310A12C9" w:rsidR="00C81DB9" w:rsidRDefault="00AE7244" w:rsidP="00C81DB9">
      <w:pPr>
        <w:ind w:left="-76"/>
        <w:rPr>
          <w:rFonts w:ascii="Arial" w:hAnsi="Arial" w:cs="Arial"/>
          <w:sz w:val="24"/>
          <w:szCs w:val="24"/>
        </w:rPr>
      </w:pPr>
      <w:r>
        <w:rPr>
          <w:rFonts w:ascii="Arial" w:hAnsi="Arial" w:cs="Arial"/>
          <w:sz w:val="24"/>
          <w:szCs w:val="24"/>
        </w:rPr>
        <w:t xml:space="preserve">(Taylor &amp; Wilkinson, 2016) acknowledges that an organisation enhances the likelihood of successfully achieving should they established a meaningful HR strategy to support the wider organisational strategy. For many </w:t>
      </w:r>
      <w:r w:rsidR="000A265B">
        <w:rPr>
          <w:rFonts w:ascii="Arial" w:hAnsi="Arial" w:cs="Arial"/>
          <w:sz w:val="24"/>
          <w:szCs w:val="24"/>
        </w:rPr>
        <w:t>years’</w:t>
      </w:r>
      <w:r>
        <w:rPr>
          <w:rFonts w:ascii="Arial" w:hAnsi="Arial" w:cs="Arial"/>
          <w:sz w:val="24"/>
          <w:szCs w:val="24"/>
        </w:rPr>
        <w:t xml:space="preserve"> managers have made use of contingency thinking and models in order to help a</w:t>
      </w:r>
      <w:r w:rsidR="001A4BBF">
        <w:rPr>
          <w:rFonts w:ascii="Arial" w:hAnsi="Arial" w:cs="Arial"/>
          <w:sz w:val="24"/>
          <w:szCs w:val="24"/>
        </w:rPr>
        <w:t xml:space="preserve">lign HR strategies with </w:t>
      </w:r>
      <w:r>
        <w:rPr>
          <w:rFonts w:ascii="Arial" w:hAnsi="Arial" w:cs="Arial"/>
          <w:sz w:val="24"/>
          <w:szCs w:val="24"/>
        </w:rPr>
        <w:t xml:space="preserve">the </w:t>
      </w:r>
      <w:r w:rsidR="001A4BBF">
        <w:rPr>
          <w:rFonts w:ascii="Arial" w:hAnsi="Arial" w:cs="Arial"/>
          <w:sz w:val="24"/>
          <w:szCs w:val="24"/>
        </w:rPr>
        <w:t>business strateg</w:t>
      </w:r>
      <w:r>
        <w:rPr>
          <w:rFonts w:ascii="Arial" w:hAnsi="Arial" w:cs="Arial"/>
          <w:sz w:val="24"/>
          <w:szCs w:val="24"/>
        </w:rPr>
        <w:t xml:space="preserve">ies. </w:t>
      </w:r>
    </w:p>
    <w:p w14:paraId="6C2537ED" w14:textId="77777777" w:rsidR="00AE7244" w:rsidRDefault="00AE7244" w:rsidP="00C81DB9">
      <w:pPr>
        <w:ind w:left="-76"/>
        <w:rPr>
          <w:rFonts w:ascii="Arial" w:hAnsi="Arial" w:cs="Arial"/>
          <w:sz w:val="24"/>
          <w:szCs w:val="24"/>
        </w:rPr>
      </w:pPr>
      <w:r>
        <w:rPr>
          <w:rFonts w:ascii="Arial" w:hAnsi="Arial" w:cs="Arial"/>
          <w:sz w:val="24"/>
          <w:szCs w:val="24"/>
        </w:rPr>
        <w:t>Michael Porter adopted a highly influential model in 1985 and this focuses on alternative ways that organisations gain competitive advantage. He identified three core strategies that firms follow:</w:t>
      </w:r>
    </w:p>
    <w:p w14:paraId="350A3803" w14:textId="14EB8E1D" w:rsidR="00AE7244" w:rsidRDefault="00AE7244" w:rsidP="00AE7244">
      <w:pPr>
        <w:pStyle w:val="ListParagraph"/>
        <w:numPr>
          <w:ilvl w:val="0"/>
          <w:numId w:val="9"/>
        </w:numPr>
        <w:rPr>
          <w:rFonts w:ascii="Arial" w:hAnsi="Arial" w:cs="Arial"/>
          <w:sz w:val="24"/>
          <w:szCs w:val="24"/>
        </w:rPr>
      </w:pPr>
      <w:r>
        <w:rPr>
          <w:rFonts w:ascii="Arial" w:hAnsi="Arial" w:cs="Arial"/>
          <w:sz w:val="24"/>
          <w:szCs w:val="24"/>
        </w:rPr>
        <w:t>Cost leadership (value for money)</w:t>
      </w:r>
    </w:p>
    <w:p w14:paraId="71FC8B4F" w14:textId="1A6A4557" w:rsidR="00AE7244" w:rsidRDefault="00A90166" w:rsidP="00AE7244">
      <w:pPr>
        <w:pStyle w:val="ListParagraph"/>
        <w:numPr>
          <w:ilvl w:val="0"/>
          <w:numId w:val="9"/>
        </w:numPr>
        <w:rPr>
          <w:rFonts w:ascii="Arial" w:hAnsi="Arial" w:cs="Arial"/>
          <w:sz w:val="24"/>
          <w:szCs w:val="24"/>
        </w:rPr>
      </w:pPr>
      <w:r>
        <w:rPr>
          <w:rFonts w:ascii="Arial" w:hAnsi="Arial" w:cs="Arial"/>
          <w:sz w:val="24"/>
          <w:szCs w:val="24"/>
        </w:rPr>
        <w:t>Differentiation (through quality enhancement or innovation)</w:t>
      </w:r>
    </w:p>
    <w:p w14:paraId="17F405F1" w14:textId="412F2C8E" w:rsidR="00A90166" w:rsidRDefault="00A90166" w:rsidP="00A90166">
      <w:pPr>
        <w:pStyle w:val="ListParagraph"/>
        <w:numPr>
          <w:ilvl w:val="0"/>
          <w:numId w:val="9"/>
        </w:numPr>
        <w:rPr>
          <w:rFonts w:ascii="Arial" w:hAnsi="Arial" w:cs="Arial"/>
          <w:sz w:val="24"/>
          <w:szCs w:val="24"/>
        </w:rPr>
      </w:pPr>
      <w:r>
        <w:rPr>
          <w:rFonts w:ascii="Arial" w:hAnsi="Arial" w:cs="Arial"/>
          <w:sz w:val="24"/>
          <w:szCs w:val="24"/>
        </w:rPr>
        <w:t>Focus (using cost leadership or differentiation in a niche market)</w:t>
      </w:r>
    </w:p>
    <w:p w14:paraId="49CD2D3C" w14:textId="4B9404F4" w:rsidR="00A90166" w:rsidRDefault="005D4846" w:rsidP="005D4846">
      <w:pPr>
        <w:rPr>
          <w:rFonts w:ascii="Arial" w:hAnsi="Arial" w:cs="Arial"/>
          <w:sz w:val="24"/>
          <w:szCs w:val="24"/>
        </w:rPr>
      </w:pPr>
      <w:r>
        <w:rPr>
          <w:rFonts w:ascii="Arial" w:hAnsi="Arial" w:cs="Arial"/>
          <w:sz w:val="24"/>
          <w:szCs w:val="24"/>
        </w:rPr>
        <w:lastRenderedPageBreak/>
        <w:t xml:space="preserve">The kind of HR policies and procedures that need to be in place in order to effectively support the three will be different. For example, (Taylor &amp; Wilkinson, 2016) go on to add that an organisation that pursues a cost leadership strategy, the HR strategy will certainly be focused on keeping the wage bill as low as possible.  </w:t>
      </w:r>
    </w:p>
    <w:p w14:paraId="71F742B1" w14:textId="7D103B76" w:rsidR="00C81DB9" w:rsidRPr="00C81DB9" w:rsidRDefault="00C81DB9" w:rsidP="00C81DB9">
      <w:pPr>
        <w:ind w:left="-76"/>
        <w:rPr>
          <w:rFonts w:ascii="Arial" w:hAnsi="Arial" w:cs="Arial"/>
          <w:sz w:val="24"/>
          <w:szCs w:val="24"/>
        </w:rPr>
      </w:pPr>
      <w:r>
        <w:rPr>
          <w:rFonts w:ascii="Arial" w:hAnsi="Arial" w:cs="Arial"/>
          <w:sz w:val="24"/>
          <w:szCs w:val="24"/>
        </w:rPr>
        <w:t>(Deloitte, 2018) outlines that future HR strategies and policies should be preparing for tomorrow’s workforce and the Fourth Industrial Revolution. Such strategies should align with the changing landscape of youth globally and this includes developing promising talent strategies as well as investing strategically in workforce training approaches.</w:t>
      </w:r>
    </w:p>
    <w:p w14:paraId="26111A41" w14:textId="61B677A6" w:rsidR="0000253B" w:rsidRDefault="005F6286" w:rsidP="00F14188">
      <w:pPr>
        <w:ind w:left="-76"/>
        <w:rPr>
          <w:rFonts w:ascii="Arial" w:hAnsi="Arial" w:cs="Arial"/>
          <w:sz w:val="24"/>
          <w:szCs w:val="24"/>
        </w:rPr>
      </w:pPr>
      <w:r>
        <w:rPr>
          <w:rFonts w:ascii="Arial" w:hAnsi="Arial" w:cs="Arial"/>
          <w:sz w:val="24"/>
          <w:szCs w:val="24"/>
        </w:rPr>
        <w:t xml:space="preserve">(Phillips &amp; Phillips, 2014) refer </w:t>
      </w:r>
      <w:r w:rsidR="00B21612">
        <w:rPr>
          <w:rFonts w:ascii="Arial" w:hAnsi="Arial" w:cs="Arial"/>
          <w:sz w:val="24"/>
          <w:szCs w:val="24"/>
        </w:rPr>
        <w:t xml:space="preserve">human capital being the most critical part of an organisation and HR’s role and influence needs to change relative to the environment. The challenge is to connect important external changes to the human capital strategy. Other forces to be addressed and included in a such strategy include engagement, turnover, productivity and the business impact this has on the entire organisation. Such forces are best addressed and managed by HR and should incorporate in the organisations practices and policies. </w:t>
      </w:r>
    </w:p>
    <w:p w14:paraId="3600EF26" w14:textId="5CE34C49" w:rsidR="00F14188" w:rsidRDefault="00F14188" w:rsidP="00F14188">
      <w:pPr>
        <w:ind w:left="-76"/>
        <w:rPr>
          <w:rFonts w:ascii="Arial" w:hAnsi="Arial" w:cs="Arial"/>
          <w:sz w:val="24"/>
          <w:szCs w:val="24"/>
        </w:rPr>
      </w:pPr>
    </w:p>
    <w:p w14:paraId="16F2714D" w14:textId="6DF15636" w:rsidR="00F14188" w:rsidRDefault="00F14188" w:rsidP="00F14188">
      <w:pPr>
        <w:ind w:left="-76"/>
        <w:rPr>
          <w:rFonts w:ascii="Arial" w:hAnsi="Arial" w:cs="Arial"/>
          <w:sz w:val="24"/>
          <w:szCs w:val="24"/>
        </w:rPr>
      </w:pPr>
    </w:p>
    <w:p w14:paraId="5E853B25" w14:textId="383AD914" w:rsidR="00F14188" w:rsidRDefault="00F14188" w:rsidP="00F14188">
      <w:pPr>
        <w:ind w:left="-76"/>
        <w:rPr>
          <w:rFonts w:ascii="Arial" w:hAnsi="Arial" w:cs="Arial"/>
          <w:sz w:val="24"/>
          <w:szCs w:val="24"/>
        </w:rPr>
      </w:pPr>
    </w:p>
    <w:p w14:paraId="44A6978D" w14:textId="4610DA68" w:rsidR="00F14188" w:rsidRDefault="00F14188" w:rsidP="00F14188">
      <w:pPr>
        <w:ind w:left="-76"/>
        <w:rPr>
          <w:rFonts w:ascii="Arial" w:hAnsi="Arial" w:cs="Arial"/>
          <w:sz w:val="24"/>
          <w:szCs w:val="24"/>
        </w:rPr>
      </w:pPr>
    </w:p>
    <w:p w14:paraId="0F97ADFD" w14:textId="48FA6D18" w:rsidR="00F14188" w:rsidRDefault="00F14188" w:rsidP="00F14188">
      <w:pPr>
        <w:ind w:left="-76"/>
        <w:rPr>
          <w:rFonts w:ascii="Arial" w:hAnsi="Arial" w:cs="Arial"/>
          <w:sz w:val="24"/>
          <w:szCs w:val="24"/>
        </w:rPr>
      </w:pPr>
    </w:p>
    <w:p w14:paraId="4A3815AC" w14:textId="64A44D29" w:rsidR="00F14188" w:rsidRDefault="00F14188" w:rsidP="00F14188">
      <w:pPr>
        <w:ind w:left="-76"/>
        <w:rPr>
          <w:rFonts w:ascii="Arial" w:hAnsi="Arial" w:cs="Arial"/>
          <w:sz w:val="24"/>
          <w:szCs w:val="24"/>
        </w:rPr>
      </w:pPr>
    </w:p>
    <w:p w14:paraId="0E310A65" w14:textId="0A6878C5" w:rsidR="00F14188" w:rsidRDefault="00F14188" w:rsidP="00F14188">
      <w:pPr>
        <w:ind w:left="-76"/>
        <w:rPr>
          <w:rFonts w:ascii="Arial" w:hAnsi="Arial" w:cs="Arial"/>
          <w:sz w:val="24"/>
          <w:szCs w:val="24"/>
        </w:rPr>
      </w:pPr>
    </w:p>
    <w:p w14:paraId="5EACE42B" w14:textId="3F1AF4B3" w:rsidR="000243C4" w:rsidRDefault="000243C4" w:rsidP="000243C4"/>
    <w:p w14:paraId="64EDDA42" w14:textId="13DAF4C4" w:rsidR="00F14188" w:rsidRDefault="00F14188" w:rsidP="00F14188">
      <w:pPr>
        <w:ind w:left="-76"/>
        <w:rPr>
          <w:rFonts w:ascii="Arial" w:hAnsi="Arial" w:cs="Arial"/>
          <w:sz w:val="24"/>
          <w:szCs w:val="24"/>
        </w:rPr>
      </w:pPr>
    </w:p>
    <w:p w14:paraId="51ECAE10" w14:textId="7FDE71C0" w:rsidR="00F14188" w:rsidRDefault="00F14188" w:rsidP="00F14188">
      <w:pPr>
        <w:ind w:left="-76"/>
        <w:rPr>
          <w:rFonts w:ascii="Arial" w:hAnsi="Arial" w:cs="Arial"/>
          <w:sz w:val="24"/>
          <w:szCs w:val="24"/>
        </w:rPr>
      </w:pPr>
    </w:p>
    <w:p w14:paraId="13BEE011" w14:textId="1CA6B5D5" w:rsidR="00F14188" w:rsidRDefault="00F14188" w:rsidP="00F14188">
      <w:pPr>
        <w:ind w:left="-76"/>
        <w:rPr>
          <w:rFonts w:ascii="Arial" w:hAnsi="Arial" w:cs="Arial"/>
          <w:sz w:val="24"/>
          <w:szCs w:val="24"/>
        </w:rPr>
      </w:pPr>
    </w:p>
    <w:p w14:paraId="429A750F" w14:textId="3A89A1A2" w:rsidR="00F14188" w:rsidRDefault="00F14188" w:rsidP="00F14188">
      <w:pPr>
        <w:ind w:left="-76"/>
        <w:rPr>
          <w:rFonts w:ascii="Arial" w:hAnsi="Arial" w:cs="Arial"/>
          <w:sz w:val="24"/>
          <w:szCs w:val="24"/>
        </w:rPr>
      </w:pPr>
    </w:p>
    <w:p w14:paraId="4D0A8DE1" w14:textId="28F1DC43" w:rsidR="00F14188" w:rsidRDefault="00F14188" w:rsidP="00F14188">
      <w:pPr>
        <w:ind w:left="-76"/>
        <w:rPr>
          <w:rFonts w:ascii="Arial" w:hAnsi="Arial" w:cs="Arial"/>
          <w:sz w:val="24"/>
          <w:szCs w:val="24"/>
        </w:rPr>
      </w:pPr>
    </w:p>
    <w:p w14:paraId="619BC2EA" w14:textId="2F917D46" w:rsidR="00F14188" w:rsidRDefault="00F14188" w:rsidP="00F14188">
      <w:pPr>
        <w:ind w:left="-76"/>
        <w:rPr>
          <w:rFonts w:ascii="Arial" w:hAnsi="Arial" w:cs="Arial"/>
          <w:sz w:val="24"/>
          <w:szCs w:val="24"/>
        </w:rPr>
      </w:pPr>
    </w:p>
    <w:p w14:paraId="7B7FC057" w14:textId="6F02C89B" w:rsidR="00F14188" w:rsidRDefault="00F14188" w:rsidP="00F14188">
      <w:pPr>
        <w:ind w:left="-76"/>
        <w:rPr>
          <w:rFonts w:ascii="Arial" w:hAnsi="Arial" w:cs="Arial"/>
          <w:sz w:val="24"/>
          <w:szCs w:val="24"/>
        </w:rPr>
      </w:pPr>
    </w:p>
    <w:p w14:paraId="58D6DE04" w14:textId="46101519" w:rsidR="00F14188" w:rsidRDefault="00F14188" w:rsidP="00F14188">
      <w:pPr>
        <w:ind w:left="-76"/>
        <w:rPr>
          <w:rFonts w:ascii="Arial" w:hAnsi="Arial" w:cs="Arial"/>
          <w:sz w:val="24"/>
          <w:szCs w:val="24"/>
        </w:rPr>
      </w:pPr>
    </w:p>
    <w:p w14:paraId="2CA9B172" w14:textId="77777777" w:rsidR="00EF029F" w:rsidRDefault="00EF029F" w:rsidP="00ED0C58">
      <w:pPr>
        <w:ind w:left="-76"/>
        <w:rPr>
          <w:rFonts w:ascii="Arial" w:hAnsi="Arial" w:cs="Arial"/>
          <w:b/>
          <w:bCs/>
          <w:sz w:val="24"/>
          <w:szCs w:val="24"/>
        </w:rPr>
      </w:pPr>
    </w:p>
    <w:p w14:paraId="4AAA85B4" w14:textId="77777777" w:rsidR="00EF029F" w:rsidRDefault="00EF029F" w:rsidP="00ED0C58">
      <w:pPr>
        <w:ind w:left="-76"/>
        <w:rPr>
          <w:rFonts w:ascii="Arial" w:hAnsi="Arial" w:cs="Arial"/>
          <w:b/>
          <w:bCs/>
          <w:sz w:val="24"/>
          <w:szCs w:val="24"/>
        </w:rPr>
      </w:pPr>
    </w:p>
    <w:p w14:paraId="223A6E5D" w14:textId="77777777" w:rsidR="00EF029F" w:rsidRDefault="00EF029F" w:rsidP="00ED0C58">
      <w:pPr>
        <w:ind w:left="-76"/>
        <w:rPr>
          <w:rFonts w:ascii="Arial" w:hAnsi="Arial" w:cs="Arial"/>
          <w:b/>
          <w:bCs/>
          <w:sz w:val="24"/>
          <w:szCs w:val="24"/>
        </w:rPr>
      </w:pPr>
    </w:p>
    <w:p w14:paraId="088DB0CA" w14:textId="7A039BF4" w:rsidR="008679FB" w:rsidRDefault="001971BE" w:rsidP="00860A5B">
      <w:pPr>
        <w:pStyle w:val="Bibliography"/>
        <w:ind w:left="-142"/>
        <w:rPr>
          <w:rFonts w:ascii="Arial" w:hAnsi="Arial" w:cs="Arial"/>
          <w:b/>
          <w:bCs/>
          <w:sz w:val="24"/>
          <w:szCs w:val="24"/>
        </w:rPr>
      </w:pPr>
      <w:sdt>
        <w:sdtPr>
          <w:id w:val="-1852790922"/>
          <w:showingPlcHdr/>
          <w:bibliography/>
        </w:sdtPr>
        <w:sdtEndPr/>
        <w:sdtContent>
          <w:r w:rsidR="006050CF">
            <w:t xml:space="preserve">     </w:t>
          </w:r>
        </w:sdtContent>
      </w:sdt>
      <w:r w:rsidR="002C120B" w:rsidRPr="002C120B">
        <w:rPr>
          <w:rFonts w:ascii="Arial" w:hAnsi="Arial" w:cs="Arial"/>
          <w:b/>
          <w:bCs/>
          <w:sz w:val="24"/>
          <w:szCs w:val="24"/>
        </w:rPr>
        <w:t>Activity 2</w:t>
      </w:r>
    </w:p>
    <w:p w14:paraId="6CFA09A3" w14:textId="251915FF" w:rsidR="004D4E7A" w:rsidRDefault="004D4E7A" w:rsidP="008679FB">
      <w:pPr>
        <w:pStyle w:val="ListParagraph"/>
        <w:numPr>
          <w:ilvl w:val="0"/>
          <w:numId w:val="14"/>
        </w:numPr>
        <w:rPr>
          <w:rFonts w:ascii="Arial" w:hAnsi="Arial" w:cs="Arial"/>
          <w:b/>
          <w:bCs/>
          <w:sz w:val="24"/>
          <w:szCs w:val="24"/>
        </w:rPr>
      </w:pPr>
      <w:r>
        <w:rPr>
          <w:rFonts w:ascii="Arial" w:hAnsi="Arial" w:cs="Arial"/>
          <w:b/>
          <w:bCs/>
          <w:sz w:val="24"/>
          <w:szCs w:val="24"/>
        </w:rPr>
        <w:t>Identify an organisation of your choice, and using 2 analysis techniques, such as PESTLE or SWOT, identify the current external factors impacting on the organisation. Your analysis should, as a minimum, consider market forces, social trends, technological developments, legislation and globalisation / international factors.</w:t>
      </w:r>
    </w:p>
    <w:p w14:paraId="4E32C634" w14:textId="7E7F8663" w:rsidR="008679FB" w:rsidRPr="004D4E7A" w:rsidRDefault="008679FB" w:rsidP="004D4E7A">
      <w:pPr>
        <w:ind w:left="-76"/>
        <w:rPr>
          <w:rFonts w:ascii="Arial" w:hAnsi="Arial" w:cs="Arial"/>
          <w:sz w:val="24"/>
          <w:szCs w:val="24"/>
        </w:rPr>
      </w:pPr>
      <w:r w:rsidRPr="004D4E7A">
        <w:rPr>
          <w:rFonts w:ascii="Arial" w:hAnsi="Arial" w:cs="Arial"/>
          <w:sz w:val="24"/>
          <w:szCs w:val="24"/>
        </w:rPr>
        <w:t xml:space="preserve">PESTLE / SWOT analysis undertaken on Pembrokeshire County Council </w:t>
      </w:r>
      <w:r w:rsidR="004D4E7A">
        <w:rPr>
          <w:rFonts w:ascii="Arial" w:hAnsi="Arial" w:cs="Arial"/>
          <w:sz w:val="24"/>
          <w:szCs w:val="24"/>
        </w:rPr>
        <w:t xml:space="preserve">in a group with other </w:t>
      </w:r>
      <w:r w:rsidRPr="004D4E7A">
        <w:rPr>
          <w:rFonts w:ascii="Arial" w:hAnsi="Arial" w:cs="Arial"/>
          <w:sz w:val="24"/>
          <w:szCs w:val="24"/>
        </w:rPr>
        <w:t>students.</w:t>
      </w:r>
    </w:p>
    <w:tbl>
      <w:tblPr>
        <w:tblStyle w:val="TableGrid"/>
        <w:tblW w:w="10981" w:type="dxa"/>
        <w:tblInd w:w="-998" w:type="dxa"/>
        <w:tblLook w:val="04A0" w:firstRow="1" w:lastRow="0" w:firstColumn="1" w:lastColumn="0" w:noHBand="0" w:noVBand="1"/>
      </w:tblPr>
      <w:tblGrid>
        <w:gridCol w:w="1633"/>
        <w:gridCol w:w="2788"/>
        <w:gridCol w:w="3531"/>
        <w:gridCol w:w="3029"/>
      </w:tblGrid>
      <w:tr w:rsidR="008679FB" w14:paraId="7ED528EE" w14:textId="77777777" w:rsidTr="00CF6705">
        <w:trPr>
          <w:trHeight w:val="510"/>
        </w:trPr>
        <w:tc>
          <w:tcPr>
            <w:tcW w:w="10981" w:type="dxa"/>
            <w:gridSpan w:val="4"/>
          </w:tcPr>
          <w:p w14:paraId="74D086ED" w14:textId="77777777" w:rsidR="008679FB" w:rsidRPr="00F81873" w:rsidRDefault="008679FB" w:rsidP="00CF6705">
            <w:pPr>
              <w:spacing w:line="276" w:lineRule="auto"/>
              <w:jc w:val="center"/>
              <w:rPr>
                <w:rFonts w:ascii="Arial" w:hAnsi="Arial" w:cs="Arial"/>
                <w:b/>
                <w:sz w:val="32"/>
              </w:rPr>
            </w:pPr>
            <w:r w:rsidRPr="00F81873">
              <w:rPr>
                <w:rFonts w:ascii="Arial" w:hAnsi="Arial" w:cs="Arial"/>
                <w:b/>
                <w:sz w:val="32"/>
              </w:rPr>
              <w:t>Pembrokeshire County Council</w:t>
            </w:r>
          </w:p>
        </w:tc>
      </w:tr>
      <w:tr w:rsidR="008679FB" w14:paraId="0172EFD2" w14:textId="77777777" w:rsidTr="00CF6705">
        <w:trPr>
          <w:trHeight w:val="510"/>
        </w:trPr>
        <w:tc>
          <w:tcPr>
            <w:tcW w:w="10981" w:type="dxa"/>
            <w:gridSpan w:val="4"/>
          </w:tcPr>
          <w:p w14:paraId="529035F6" w14:textId="77777777" w:rsidR="008679FB" w:rsidRPr="00F81873" w:rsidRDefault="008679FB" w:rsidP="00CF6705">
            <w:pPr>
              <w:spacing w:line="276" w:lineRule="auto"/>
              <w:jc w:val="center"/>
              <w:rPr>
                <w:rFonts w:ascii="Arial" w:hAnsi="Arial" w:cs="Arial"/>
                <w:b/>
                <w:sz w:val="32"/>
              </w:rPr>
            </w:pPr>
            <w:r w:rsidRPr="00F81873">
              <w:rPr>
                <w:rFonts w:ascii="Arial" w:hAnsi="Arial" w:cs="Arial"/>
                <w:b/>
                <w:sz w:val="32"/>
              </w:rPr>
              <w:t>PESTLE Analysis</w:t>
            </w:r>
          </w:p>
        </w:tc>
      </w:tr>
      <w:tr w:rsidR="008679FB" w14:paraId="3E9272D5" w14:textId="77777777" w:rsidTr="00CF6705">
        <w:trPr>
          <w:trHeight w:val="346"/>
        </w:trPr>
        <w:tc>
          <w:tcPr>
            <w:tcW w:w="1633" w:type="dxa"/>
          </w:tcPr>
          <w:p w14:paraId="3166E969" w14:textId="77777777" w:rsidR="008679FB" w:rsidRDefault="008679FB" w:rsidP="00CF6705">
            <w:pPr>
              <w:rPr>
                <w:rFonts w:ascii="Arial" w:hAnsi="Arial" w:cs="Arial"/>
              </w:rPr>
            </w:pPr>
          </w:p>
        </w:tc>
        <w:tc>
          <w:tcPr>
            <w:tcW w:w="2788" w:type="dxa"/>
          </w:tcPr>
          <w:p w14:paraId="54153BBC" w14:textId="77777777" w:rsidR="008679FB" w:rsidRPr="003347A0" w:rsidRDefault="008679FB" w:rsidP="00CF6705">
            <w:pPr>
              <w:spacing w:line="276" w:lineRule="auto"/>
              <w:jc w:val="center"/>
              <w:rPr>
                <w:rFonts w:ascii="Arial" w:hAnsi="Arial" w:cs="Arial"/>
                <w:b/>
                <w:u w:val="single"/>
              </w:rPr>
            </w:pPr>
            <w:r>
              <w:rPr>
                <w:rFonts w:ascii="Arial" w:hAnsi="Arial" w:cs="Arial"/>
                <w:b/>
                <w:u w:val="single"/>
              </w:rPr>
              <w:t>External Factor</w:t>
            </w:r>
          </w:p>
        </w:tc>
        <w:tc>
          <w:tcPr>
            <w:tcW w:w="3531" w:type="dxa"/>
          </w:tcPr>
          <w:p w14:paraId="4DA1716D" w14:textId="77777777" w:rsidR="008679FB" w:rsidRPr="003347A0" w:rsidRDefault="008679FB" w:rsidP="00CF6705">
            <w:pPr>
              <w:spacing w:line="276" w:lineRule="auto"/>
              <w:jc w:val="center"/>
              <w:rPr>
                <w:rFonts w:ascii="Arial" w:hAnsi="Arial" w:cs="Arial"/>
                <w:b/>
                <w:u w:val="single"/>
              </w:rPr>
            </w:pPr>
            <w:r>
              <w:rPr>
                <w:rFonts w:ascii="Arial" w:hAnsi="Arial" w:cs="Arial"/>
                <w:b/>
                <w:u w:val="single"/>
              </w:rPr>
              <w:t>Internal Factor</w:t>
            </w:r>
            <w:r w:rsidRPr="003347A0">
              <w:rPr>
                <w:rFonts w:ascii="Arial" w:hAnsi="Arial" w:cs="Arial"/>
                <w:b/>
                <w:u w:val="single"/>
              </w:rPr>
              <w:t xml:space="preserve"> on PCC</w:t>
            </w:r>
          </w:p>
        </w:tc>
        <w:tc>
          <w:tcPr>
            <w:tcW w:w="3029" w:type="dxa"/>
          </w:tcPr>
          <w:p w14:paraId="458947C0" w14:textId="77777777" w:rsidR="008679FB" w:rsidRPr="003347A0" w:rsidRDefault="008679FB" w:rsidP="00CF6705">
            <w:pPr>
              <w:spacing w:line="276" w:lineRule="auto"/>
              <w:jc w:val="center"/>
              <w:rPr>
                <w:rFonts w:ascii="Arial" w:hAnsi="Arial" w:cs="Arial"/>
                <w:b/>
                <w:u w:val="single"/>
              </w:rPr>
            </w:pPr>
            <w:r>
              <w:rPr>
                <w:rFonts w:ascii="Arial" w:hAnsi="Arial" w:cs="Arial"/>
                <w:b/>
                <w:u w:val="single"/>
              </w:rPr>
              <w:t>Importance to organisation – PCC HR</w:t>
            </w:r>
          </w:p>
        </w:tc>
      </w:tr>
      <w:tr w:rsidR="008679FB" w14:paraId="190C5A45" w14:textId="77777777" w:rsidTr="00CF6705">
        <w:trPr>
          <w:trHeight w:val="382"/>
        </w:trPr>
        <w:tc>
          <w:tcPr>
            <w:tcW w:w="1633" w:type="dxa"/>
          </w:tcPr>
          <w:p w14:paraId="134C264E" w14:textId="77777777" w:rsidR="008679FB" w:rsidRPr="00CE1051" w:rsidRDefault="008679FB" w:rsidP="00CF6705">
            <w:pPr>
              <w:rPr>
                <w:rFonts w:ascii="Arial" w:hAnsi="Arial" w:cs="Arial"/>
              </w:rPr>
            </w:pPr>
            <w:r w:rsidRPr="00CE1051">
              <w:rPr>
                <w:rFonts w:ascii="Arial" w:hAnsi="Arial" w:cs="Arial"/>
                <w:b/>
                <w:sz w:val="28"/>
              </w:rPr>
              <w:t>P</w:t>
            </w:r>
            <w:r w:rsidRPr="004057A8">
              <w:rPr>
                <w:rFonts w:ascii="Arial" w:hAnsi="Arial" w:cs="Arial"/>
                <w:i/>
              </w:rPr>
              <w:t>olitical</w:t>
            </w:r>
          </w:p>
        </w:tc>
        <w:tc>
          <w:tcPr>
            <w:tcW w:w="2788" w:type="dxa"/>
          </w:tcPr>
          <w:p w14:paraId="6B663867" w14:textId="77777777" w:rsidR="008679FB" w:rsidRDefault="008679FB" w:rsidP="00CF6705">
            <w:pPr>
              <w:rPr>
                <w:rFonts w:cs="Arial"/>
              </w:rPr>
            </w:pPr>
            <w:r>
              <w:rPr>
                <w:rFonts w:cs="Arial"/>
              </w:rPr>
              <w:t xml:space="preserve"> GOVERNMENT FUNDING</w:t>
            </w:r>
          </w:p>
          <w:p w14:paraId="4B8EBEDA" w14:textId="77777777" w:rsidR="008679FB" w:rsidRDefault="008679FB" w:rsidP="00CF6705">
            <w:pPr>
              <w:rPr>
                <w:rFonts w:cs="Arial"/>
              </w:rPr>
            </w:pPr>
          </w:p>
          <w:p w14:paraId="3E3C9FB7" w14:textId="77777777" w:rsidR="008679FB" w:rsidRDefault="008679FB" w:rsidP="00CF6705">
            <w:pPr>
              <w:rPr>
                <w:rFonts w:cs="Arial"/>
              </w:rPr>
            </w:pPr>
          </w:p>
          <w:p w14:paraId="36C80640" w14:textId="77777777" w:rsidR="008679FB" w:rsidRDefault="008679FB" w:rsidP="00CF6705">
            <w:pPr>
              <w:rPr>
                <w:rFonts w:cs="Arial"/>
              </w:rPr>
            </w:pPr>
          </w:p>
          <w:p w14:paraId="32A485C4" w14:textId="77777777" w:rsidR="008679FB" w:rsidRDefault="008679FB" w:rsidP="00CF6705">
            <w:pPr>
              <w:rPr>
                <w:rFonts w:cs="Arial"/>
              </w:rPr>
            </w:pPr>
          </w:p>
          <w:p w14:paraId="6CAC72BD" w14:textId="77777777" w:rsidR="008679FB" w:rsidRDefault="008679FB" w:rsidP="00CF6705">
            <w:pPr>
              <w:rPr>
                <w:rFonts w:cs="Arial"/>
              </w:rPr>
            </w:pPr>
          </w:p>
          <w:p w14:paraId="2EBAA1E4" w14:textId="77777777" w:rsidR="008679FB" w:rsidRDefault="008679FB" w:rsidP="00CF6705">
            <w:pPr>
              <w:rPr>
                <w:rFonts w:cs="Arial"/>
              </w:rPr>
            </w:pPr>
          </w:p>
          <w:p w14:paraId="48E16A97" w14:textId="77777777" w:rsidR="008679FB" w:rsidRDefault="008679FB" w:rsidP="00CF6705">
            <w:pPr>
              <w:rPr>
                <w:rFonts w:cs="Arial"/>
              </w:rPr>
            </w:pPr>
          </w:p>
          <w:p w14:paraId="0AC2F6A1" w14:textId="77777777" w:rsidR="008679FB" w:rsidRDefault="008679FB" w:rsidP="00CF6705">
            <w:pPr>
              <w:rPr>
                <w:rFonts w:cs="Arial"/>
              </w:rPr>
            </w:pPr>
          </w:p>
          <w:p w14:paraId="747C34CF" w14:textId="77777777" w:rsidR="008679FB" w:rsidRDefault="008679FB" w:rsidP="00CF6705">
            <w:pPr>
              <w:rPr>
                <w:rFonts w:cs="Arial"/>
              </w:rPr>
            </w:pPr>
          </w:p>
          <w:p w14:paraId="5C02DD7D" w14:textId="77777777" w:rsidR="008679FB" w:rsidRDefault="008679FB" w:rsidP="00CF6705">
            <w:pPr>
              <w:rPr>
                <w:rFonts w:cs="Arial"/>
              </w:rPr>
            </w:pPr>
          </w:p>
          <w:p w14:paraId="74F7DAA6" w14:textId="77777777" w:rsidR="008679FB" w:rsidRDefault="008679FB" w:rsidP="00CF6705">
            <w:pPr>
              <w:rPr>
                <w:rFonts w:cs="Arial"/>
              </w:rPr>
            </w:pPr>
          </w:p>
          <w:p w14:paraId="638C1521" w14:textId="77777777" w:rsidR="008679FB" w:rsidRDefault="008679FB" w:rsidP="00CF6705">
            <w:pPr>
              <w:rPr>
                <w:rFonts w:cs="Arial"/>
              </w:rPr>
            </w:pPr>
          </w:p>
          <w:p w14:paraId="10137286" w14:textId="77777777" w:rsidR="008679FB" w:rsidRDefault="008679FB" w:rsidP="00CF6705">
            <w:pPr>
              <w:rPr>
                <w:rFonts w:cs="Arial"/>
              </w:rPr>
            </w:pPr>
          </w:p>
          <w:p w14:paraId="551D48DC" w14:textId="77777777" w:rsidR="008679FB" w:rsidRDefault="008679FB" w:rsidP="00CF6705">
            <w:pPr>
              <w:rPr>
                <w:rFonts w:cs="Arial"/>
                <w:b/>
              </w:rPr>
            </w:pPr>
          </w:p>
          <w:p w14:paraId="5F80F304" w14:textId="77777777" w:rsidR="008679FB" w:rsidRDefault="008679FB" w:rsidP="00CF6705">
            <w:pPr>
              <w:rPr>
                <w:rFonts w:cs="Arial"/>
                <w:b/>
              </w:rPr>
            </w:pPr>
          </w:p>
          <w:p w14:paraId="70F7CB26" w14:textId="77777777" w:rsidR="008679FB" w:rsidRDefault="008679FB" w:rsidP="00CF6705">
            <w:pPr>
              <w:rPr>
                <w:rFonts w:cs="Arial"/>
                <w:b/>
              </w:rPr>
            </w:pPr>
          </w:p>
          <w:p w14:paraId="6D3963D1" w14:textId="77777777" w:rsidR="008679FB" w:rsidRPr="00BB794E" w:rsidRDefault="008679FB" w:rsidP="00CF6705">
            <w:pPr>
              <w:rPr>
                <w:rFonts w:cs="Arial"/>
              </w:rPr>
            </w:pPr>
            <w:r>
              <w:rPr>
                <w:rFonts w:cs="Arial"/>
              </w:rPr>
              <w:t xml:space="preserve"> BREXIT – staff</w:t>
            </w:r>
          </w:p>
        </w:tc>
        <w:tc>
          <w:tcPr>
            <w:tcW w:w="3531" w:type="dxa"/>
          </w:tcPr>
          <w:p w14:paraId="4DB7423C" w14:textId="77777777" w:rsidR="008679FB" w:rsidRPr="00F472C8" w:rsidRDefault="008679FB" w:rsidP="00CF6705">
            <w:pPr>
              <w:rPr>
                <w:rFonts w:cs="Arial"/>
              </w:rPr>
            </w:pPr>
            <w:r w:rsidRPr="00F472C8">
              <w:rPr>
                <w:rFonts w:cs="Arial"/>
              </w:rPr>
              <w:t>The budget for the Local Authority is set by Government/Welsh Government. Last year the budget for PCC was reduced by 0.5%, as highlighted by broadcast on ITV Wales (2019).</w:t>
            </w:r>
          </w:p>
          <w:p w14:paraId="0A74D4A3" w14:textId="77777777" w:rsidR="008679FB" w:rsidRPr="00F472C8" w:rsidRDefault="008679FB" w:rsidP="00CF6705">
            <w:pPr>
              <w:rPr>
                <w:rFonts w:cs="Arial"/>
              </w:rPr>
            </w:pPr>
            <w:r w:rsidRPr="00F472C8">
              <w:rPr>
                <w:rFonts w:cs="Arial"/>
              </w:rPr>
              <w:t xml:space="preserve">The impact of such cuts has been highlighted with the suggested increase in Council Tax in Pembrokeshire of 5%. </w:t>
            </w:r>
          </w:p>
          <w:p w14:paraId="3F0E26B7" w14:textId="77777777" w:rsidR="008679FB" w:rsidRPr="00F472C8" w:rsidRDefault="008679FB" w:rsidP="00CF6705">
            <w:pPr>
              <w:rPr>
                <w:rFonts w:cs="Arial"/>
              </w:rPr>
            </w:pPr>
            <w:r w:rsidRPr="00F472C8">
              <w:rPr>
                <w:rFonts w:cs="Arial"/>
              </w:rPr>
              <w:t>A flat budget has also been in place since 2018/19 with in the intention that department will have to make further staff cuts to meet their budget.</w:t>
            </w:r>
          </w:p>
          <w:p w14:paraId="1CF0087C" w14:textId="4C0877CA" w:rsidR="008679FB" w:rsidRDefault="008679FB" w:rsidP="00CF6705">
            <w:pPr>
              <w:rPr>
                <w:rFonts w:cs="Arial"/>
                <w:b/>
              </w:rPr>
            </w:pPr>
          </w:p>
          <w:p w14:paraId="7BE85C2B" w14:textId="77777777" w:rsidR="008679FB" w:rsidRPr="00F472C8" w:rsidRDefault="008679FB" w:rsidP="00CF6705">
            <w:pPr>
              <w:rPr>
                <w:rFonts w:cs="Arial"/>
                <w:b/>
              </w:rPr>
            </w:pPr>
          </w:p>
          <w:p w14:paraId="3F8233E5" w14:textId="77777777" w:rsidR="008679FB" w:rsidRPr="00F472C8" w:rsidRDefault="008679FB" w:rsidP="00CF6705">
            <w:pPr>
              <w:rPr>
                <w:rFonts w:cs="Arial"/>
                <w:b/>
              </w:rPr>
            </w:pPr>
            <w:r>
              <w:rPr>
                <w:rFonts w:cs="Arial"/>
              </w:rPr>
              <w:t xml:space="preserve">PCC employs </w:t>
            </w:r>
            <w:r w:rsidRPr="00F472C8">
              <w:rPr>
                <w:rFonts w:cs="Arial"/>
              </w:rPr>
              <w:t>a large amount of staff who come from the European Union (EU) which will mean that when the UK leaves the EU many of these staff will be affected.</w:t>
            </w:r>
            <w:r w:rsidRPr="00F472C8">
              <w:rPr>
                <w:rFonts w:cs="Arial"/>
                <w:b/>
              </w:rPr>
              <w:t xml:space="preserve"> </w:t>
            </w:r>
          </w:p>
        </w:tc>
        <w:tc>
          <w:tcPr>
            <w:tcW w:w="3029" w:type="dxa"/>
          </w:tcPr>
          <w:p w14:paraId="010DB089" w14:textId="77777777" w:rsidR="008679FB" w:rsidRDefault="008679FB" w:rsidP="00CF6705">
            <w:pPr>
              <w:rPr>
                <w:rFonts w:cs="Arial"/>
              </w:rPr>
            </w:pPr>
            <w:r>
              <w:rPr>
                <w:rFonts w:cs="Arial"/>
                <w:b/>
              </w:rPr>
              <w:t xml:space="preserve"> </w:t>
            </w:r>
            <w:r w:rsidRPr="00F472C8">
              <w:rPr>
                <w:rFonts w:cs="Arial"/>
              </w:rPr>
              <w:t>The HR function will have to assist with any employee implication e.g. redeployment, restructuring, redundancy</w:t>
            </w:r>
            <w:r>
              <w:rPr>
                <w:rFonts w:cs="Arial"/>
              </w:rPr>
              <w:t>.</w:t>
            </w:r>
          </w:p>
          <w:p w14:paraId="053A312B" w14:textId="77777777" w:rsidR="008679FB" w:rsidRPr="00F472C8" w:rsidRDefault="008679FB" w:rsidP="00CF6705">
            <w:pPr>
              <w:rPr>
                <w:rFonts w:cs="Arial"/>
              </w:rPr>
            </w:pPr>
            <w:r>
              <w:rPr>
                <w:rFonts w:cs="Arial"/>
              </w:rPr>
              <w:t>This will include employee consultations, working with unions etc.</w:t>
            </w:r>
          </w:p>
          <w:p w14:paraId="247CF758" w14:textId="77777777" w:rsidR="008679FB" w:rsidRDefault="008679FB" w:rsidP="00CF6705">
            <w:pPr>
              <w:rPr>
                <w:rFonts w:cs="Arial"/>
              </w:rPr>
            </w:pPr>
          </w:p>
          <w:p w14:paraId="6929BD32" w14:textId="77777777" w:rsidR="008679FB" w:rsidRDefault="008679FB" w:rsidP="00CF6705">
            <w:pPr>
              <w:rPr>
                <w:rFonts w:cs="Arial"/>
              </w:rPr>
            </w:pPr>
          </w:p>
          <w:p w14:paraId="014C19FF" w14:textId="77777777" w:rsidR="008679FB" w:rsidRDefault="008679FB" w:rsidP="00CF6705">
            <w:pPr>
              <w:rPr>
                <w:rFonts w:cs="Arial"/>
              </w:rPr>
            </w:pPr>
          </w:p>
          <w:p w14:paraId="5F8DF9F1" w14:textId="77777777" w:rsidR="008679FB" w:rsidRDefault="008679FB" w:rsidP="00CF6705">
            <w:pPr>
              <w:rPr>
                <w:rFonts w:cs="Arial"/>
              </w:rPr>
            </w:pPr>
          </w:p>
          <w:p w14:paraId="64BA7621" w14:textId="77777777" w:rsidR="008679FB" w:rsidRDefault="008679FB" w:rsidP="00CF6705">
            <w:pPr>
              <w:rPr>
                <w:rFonts w:cs="Arial"/>
              </w:rPr>
            </w:pPr>
          </w:p>
          <w:p w14:paraId="6052C4A6" w14:textId="77777777" w:rsidR="008679FB" w:rsidRDefault="008679FB" w:rsidP="00CF6705">
            <w:pPr>
              <w:rPr>
                <w:rFonts w:cs="Arial"/>
              </w:rPr>
            </w:pPr>
          </w:p>
          <w:p w14:paraId="624F0D63" w14:textId="77777777" w:rsidR="008679FB" w:rsidRDefault="008679FB" w:rsidP="00CF6705">
            <w:pPr>
              <w:rPr>
                <w:rFonts w:cs="Arial"/>
              </w:rPr>
            </w:pPr>
          </w:p>
          <w:p w14:paraId="0DC17D30" w14:textId="77777777" w:rsidR="008679FB" w:rsidRDefault="008679FB" w:rsidP="00CF6705">
            <w:pPr>
              <w:rPr>
                <w:rFonts w:cs="Arial"/>
              </w:rPr>
            </w:pPr>
          </w:p>
          <w:p w14:paraId="52EC5555" w14:textId="1C24CB05" w:rsidR="008679FB" w:rsidRDefault="008679FB" w:rsidP="00CF6705">
            <w:pPr>
              <w:rPr>
                <w:rFonts w:cs="Arial"/>
              </w:rPr>
            </w:pPr>
          </w:p>
          <w:p w14:paraId="4A8D39C9" w14:textId="77777777" w:rsidR="008679FB" w:rsidRDefault="008679FB" w:rsidP="00CF6705">
            <w:pPr>
              <w:rPr>
                <w:rFonts w:cs="Arial"/>
              </w:rPr>
            </w:pPr>
          </w:p>
          <w:p w14:paraId="4F926EE0" w14:textId="77777777" w:rsidR="008679FB" w:rsidRDefault="008679FB" w:rsidP="00CF6705">
            <w:pPr>
              <w:rPr>
                <w:rFonts w:cs="Arial"/>
              </w:rPr>
            </w:pPr>
            <w:r>
              <w:rPr>
                <w:rFonts w:cs="Arial"/>
              </w:rPr>
              <w:t>Recruitment to replace staff who choose/are unable to continue working.</w:t>
            </w:r>
          </w:p>
          <w:p w14:paraId="3FB46EC7" w14:textId="77777777" w:rsidR="008679FB" w:rsidRDefault="008679FB" w:rsidP="00CF6705">
            <w:pPr>
              <w:rPr>
                <w:rFonts w:cs="Arial"/>
              </w:rPr>
            </w:pPr>
            <w:r>
              <w:rPr>
                <w:rFonts w:cs="Arial"/>
              </w:rPr>
              <w:t>Policies will need to be updated introduced</w:t>
            </w:r>
          </w:p>
          <w:p w14:paraId="080A9540" w14:textId="77777777" w:rsidR="008679FB" w:rsidRPr="009577A2" w:rsidRDefault="008679FB" w:rsidP="00CF6705">
            <w:pPr>
              <w:rPr>
                <w:rFonts w:cs="Arial"/>
              </w:rPr>
            </w:pPr>
            <w:r>
              <w:rPr>
                <w:rFonts w:cs="Arial"/>
              </w:rPr>
              <w:t>Regulatory paperwork completed to meet new guidelines for those employees who remain.</w:t>
            </w:r>
          </w:p>
        </w:tc>
      </w:tr>
      <w:tr w:rsidR="008679FB" w14:paraId="5F4FC96B" w14:textId="77777777" w:rsidTr="00CF6705">
        <w:trPr>
          <w:trHeight w:val="382"/>
        </w:trPr>
        <w:tc>
          <w:tcPr>
            <w:tcW w:w="1633" w:type="dxa"/>
          </w:tcPr>
          <w:p w14:paraId="09EFCE61" w14:textId="77777777" w:rsidR="008679FB" w:rsidRPr="00CE1051" w:rsidRDefault="008679FB" w:rsidP="00CF6705">
            <w:pPr>
              <w:rPr>
                <w:rFonts w:ascii="Arial" w:hAnsi="Arial" w:cs="Arial"/>
              </w:rPr>
            </w:pPr>
            <w:r w:rsidRPr="00CE1051">
              <w:rPr>
                <w:rFonts w:ascii="Arial" w:hAnsi="Arial" w:cs="Arial"/>
                <w:b/>
                <w:sz w:val="28"/>
              </w:rPr>
              <w:t>E</w:t>
            </w:r>
            <w:r w:rsidRPr="004057A8">
              <w:rPr>
                <w:rFonts w:ascii="Arial" w:hAnsi="Arial" w:cs="Arial"/>
                <w:i/>
              </w:rPr>
              <w:t>conomic</w:t>
            </w:r>
          </w:p>
        </w:tc>
        <w:tc>
          <w:tcPr>
            <w:tcW w:w="2788" w:type="dxa"/>
          </w:tcPr>
          <w:p w14:paraId="4FCD1363" w14:textId="77777777" w:rsidR="008679FB" w:rsidRPr="00BB2B63" w:rsidRDefault="008679FB" w:rsidP="00CF6705">
            <w:pPr>
              <w:rPr>
                <w:rFonts w:cs="Arial"/>
              </w:rPr>
            </w:pPr>
            <w:r>
              <w:rPr>
                <w:rFonts w:cs="Arial"/>
              </w:rPr>
              <w:t xml:space="preserve"> Living wage</w:t>
            </w:r>
          </w:p>
        </w:tc>
        <w:tc>
          <w:tcPr>
            <w:tcW w:w="3531" w:type="dxa"/>
          </w:tcPr>
          <w:p w14:paraId="096DA6FE" w14:textId="77777777" w:rsidR="008679FB" w:rsidRDefault="008679FB" w:rsidP="00CF6705">
            <w:pPr>
              <w:rPr>
                <w:rFonts w:cs="Arial"/>
              </w:rPr>
            </w:pPr>
            <w:r w:rsidRPr="00FB1E48">
              <w:rPr>
                <w:rFonts w:cs="Arial"/>
                <w:b/>
              </w:rPr>
              <w:t xml:space="preserve"> </w:t>
            </w:r>
            <w:r w:rsidRPr="00FB1E48">
              <w:rPr>
                <w:rFonts w:cs="Arial"/>
              </w:rPr>
              <w:t>As evident in an article by the Press Association (2019)</w:t>
            </w:r>
            <w:r>
              <w:rPr>
                <w:rFonts w:cs="Arial"/>
              </w:rPr>
              <w:t xml:space="preserve"> the national living wage has increased. Although implementation of this wage is voluntary, PCC honours it to ensure that all staff are paid at least £9 per </w:t>
            </w:r>
            <w:r>
              <w:rPr>
                <w:rFonts w:cs="Arial"/>
              </w:rPr>
              <w:lastRenderedPageBreak/>
              <w:t xml:space="preserve">hour which has a big impact in a large amount of staff employed by the organisation. </w:t>
            </w:r>
          </w:p>
          <w:p w14:paraId="4EAC1293" w14:textId="77777777" w:rsidR="008679FB" w:rsidRPr="00FB1E48" w:rsidRDefault="008679FB" w:rsidP="00CF6705">
            <w:pPr>
              <w:rPr>
                <w:rFonts w:cs="Arial"/>
              </w:rPr>
            </w:pPr>
          </w:p>
        </w:tc>
        <w:tc>
          <w:tcPr>
            <w:tcW w:w="3029" w:type="dxa"/>
          </w:tcPr>
          <w:p w14:paraId="3A516300" w14:textId="77777777" w:rsidR="008679FB" w:rsidRPr="002C46AA" w:rsidRDefault="008679FB" w:rsidP="00CF6705">
            <w:pPr>
              <w:rPr>
                <w:rFonts w:cs="Arial"/>
              </w:rPr>
            </w:pPr>
            <w:r w:rsidRPr="002C46AA">
              <w:rPr>
                <w:rFonts w:cs="Arial"/>
                <w:b/>
              </w:rPr>
              <w:lastRenderedPageBreak/>
              <w:t xml:space="preserve"> </w:t>
            </w:r>
            <w:r>
              <w:rPr>
                <w:rFonts w:cs="Arial"/>
              </w:rPr>
              <w:t xml:space="preserve">As a result of the new living wage HR will need to develop and implement new pay scales and policies to reflect the change. </w:t>
            </w:r>
          </w:p>
        </w:tc>
      </w:tr>
      <w:tr w:rsidR="008679FB" w14:paraId="1EAC95AB" w14:textId="77777777" w:rsidTr="00CF6705">
        <w:trPr>
          <w:trHeight w:val="382"/>
        </w:trPr>
        <w:tc>
          <w:tcPr>
            <w:tcW w:w="1633" w:type="dxa"/>
          </w:tcPr>
          <w:p w14:paraId="12EF0695" w14:textId="77777777" w:rsidR="008679FB" w:rsidRPr="004057A8" w:rsidRDefault="008679FB" w:rsidP="00CF6705">
            <w:pPr>
              <w:rPr>
                <w:rFonts w:ascii="Arial" w:hAnsi="Arial" w:cs="Arial"/>
                <w:b/>
                <w:i/>
                <w:sz w:val="28"/>
              </w:rPr>
            </w:pPr>
            <w:r w:rsidRPr="004057A8">
              <w:rPr>
                <w:rFonts w:ascii="Arial" w:hAnsi="Arial" w:cs="Arial"/>
                <w:b/>
                <w:sz w:val="28"/>
              </w:rPr>
              <w:t>S</w:t>
            </w:r>
            <w:r w:rsidRPr="004057A8">
              <w:rPr>
                <w:rStyle w:val="Strong"/>
                <w:i/>
              </w:rPr>
              <w:t>ociological</w:t>
            </w:r>
          </w:p>
        </w:tc>
        <w:tc>
          <w:tcPr>
            <w:tcW w:w="2788" w:type="dxa"/>
          </w:tcPr>
          <w:p w14:paraId="76DC4D81" w14:textId="77777777" w:rsidR="008679FB" w:rsidRDefault="008679FB" w:rsidP="00CF6705">
            <w:pPr>
              <w:rPr>
                <w:rFonts w:cs="Arial"/>
              </w:rPr>
            </w:pPr>
            <w:r>
              <w:rPr>
                <w:rFonts w:cs="Arial"/>
              </w:rPr>
              <w:t>Welsh Language</w:t>
            </w:r>
          </w:p>
          <w:p w14:paraId="7C9643B9" w14:textId="77777777" w:rsidR="008679FB" w:rsidRDefault="008679FB" w:rsidP="00CF6705">
            <w:pPr>
              <w:rPr>
                <w:rFonts w:cs="Arial"/>
              </w:rPr>
            </w:pPr>
          </w:p>
          <w:p w14:paraId="2BB105C5" w14:textId="77777777" w:rsidR="008679FB" w:rsidRDefault="008679FB" w:rsidP="00CF6705">
            <w:pPr>
              <w:rPr>
                <w:rFonts w:cs="Arial"/>
              </w:rPr>
            </w:pPr>
          </w:p>
          <w:p w14:paraId="41373041" w14:textId="77777777" w:rsidR="008679FB" w:rsidRDefault="008679FB" w:rsidP="00CF6705">
            <w:pPr>
              <w:rPr>
                <w:rFonts w:cs="Arial"/>
              </w:rPr>
            </w:pPr>
          </w:p>
          <w:p w14:paraId="7D4317B5" w14:textId="77777777" w:rsidR="008679FB" w:rsidRDefault="008679FB" w:rsidP="00CF6705">
            <w:pPr>
              <w:rPr>
                <w:rFonts w:cs="Arial"/>
              </w:rPr>
            </w:pPr>
          </w:p>
          <w:p w14:paraId="11F182C0" w14:textId="77777777" w:rsidR="008679FB" w:rsidRDefault="008679FB" w:rsidP="00CF6705">
            <w:pPr>
              <w:rPr>
                <w:rFonts w:cs="Arial"/>
              </w:rPr>
            </w:pPr>
          </w:p>
          <w:p w14:paraId="7931CD4C" w14:textId="77777777" w:rsidR="008679FB" w:rsidRDefault="008679FB" w:rsidP="00CF6705">
            <w:pPr>
              <w:rPr>
                <w:rFonts w:cs="Arial"/>
              </w:rPr>
            </w:pPr>
          </w:p>
          <w:p w14:paraId="069DDCBE" w14:textId="77777777" w:rsidR="008679FB" w:rsidRDefault="008679FB" w:rsidP="00CF6705">
            <w:pPr>
              <w:rPr>
                <w:rFonts w:cs="Arial"/>
              </w:rPr>
            </w:pPr>
          </w:p>
          <w:p w14:paraId="712A0983" w14:textId="77777777" w:rsidR="008679FB" w:rsidRDefault="008679FB" w:rsidP="00CF6705">
            <w:pPr>
              <w:rPr>
                <w:rFonts w:cs="Arial"/>
              </w:rPr>
            </w:pPr>
          </w:p>
          <w:p w14:paraId="74BBD209" w14:textId="77777777" w:rsidR="008679FB" w:rsidRDefault="008679FB" w:rsidP="00CF6705">
            <w:pPr>
              <w:rPr>
                <w:rFonts w:cs="Arial"/>
              </w:rPr>
            </w:pPr>
          </w:p>
          <w:p w14:paraId="64758F64" w14:textId="77777777" w:rsidR="008679FB" w:rsidRDefault="008679FB" w:rsidP="00CF6705">
            <w:pPr>
              <w:rPr>
                <w:rFonts w:cs="Arial"/>
              </w:rPr>
            </w:pPr>
          </w:p>
          <w:p w14:paraId="0D0ACD5E" w14:textId="77777777" w:rsidR="008679FB" w:rsidRDefault="008679FB" w:rsidP="00CF6705">
            <w:pPr>
              <w:rPr>
                <w:rFonts w:cs="Arial"/>
              </w:rPr>
            </w:pPr>
          </w:p>
          <w:p w14:paraId="7275410C" w14:textId="77777777" w:rsidR="008679FB" w:rsidRDefault="008679FB" w:rsidP="00CF6705">
            <w:pPr>
              <w:rPr>
                <w:rFonts w:cs="Arial"/>
              </w:rPr>
            </w:pPr>
          </w:p>
          <w:p w14:paraId="174D6884" w14:textId="77777777" w:rsidR="008679FB" w:rsidRDefault="008679FB" w:rsidP="00CF6705">
            <w:pPr>
              <w:rPr>
                <w:rFonts w:cs="Arial"/>
              </w:rPr>
            </w:pPr>
          </w:p>
          <w:p w14:paraId="0FAF4CE0" w14:textId="77777777" w:rsidR="008679FB" w:rsidRDefault="008679FB" w:rsidP="00CF6705">
            <w:pPr>
              <w:rPr>
                <w:rFonts w:cs="Arial"/>
                <w:b/>
              </w:rPr>
            </w:pPr>
          </w:p>
          <w:p w14:paraId="5324D456" w14:textId="77777777" w:rsidR="008679FB" w:rsidRDefault="008679FB" w:rsidP="00CF6705">
            <w:pPr>
              <w:rPr>
                <w:rFonts w:cs="Arial"/>
                <w:b/>
              </w:rPr>
            </w:pPr>
          </w:p>
          <w:p w14:paraId="46F2D277" w14:textId="77777777" w:rsidR="008679FB" w:rsidRDefault="008679FB" w:rsidP="00CF6705">
            <w:pPr>
              <w:rPr>
                <w:rFonts w:cs="Arial"/>
                <w:b/>
              </w:rPr>
            </w:pPr>
          </w:p>
          <w:p w14:paraId="6C80F64B" w14:textId="77777777" w:rsidR="008679FB" w:rsidRDefault="008679FB" w:rsidP="00CF6705">
            <w:pPr>
              <w:rPr>
                <w:rFonts w:cs="Arial"/>
                <w:b/>
              </w:rPr>
            </w:pPr>
          </w:p>
          <w:p w14:paraId="2A759DFF" w14:textId="77777777" w:rsidR="008679FB" w:rsidRPr="003B317E" w:rsidRDefault="008679FB" w:rsidP="00CF6705">
            <w:pPr>
              <w:rPr>
                <w:rFonts w:cs="Arial"/>
                <w:b/>
              </w:rPr>
            </w:pPr>
            <w:r>
              <w:rPr>
                <w:rFonts w:cs="Arial"/>
                <w:b/>
              </w:rPr>
              <w:t xml:space="preserve"> </w:t>
            </w:r>
            <w:r>
              <w:rPr>
                <w:rFonts w:cs="Arial"/>
              </w:rPr>
              <w:t>AGILE WORKING</w:t>
            </w:r>
          </w:p>
        </w:tc>
        <w:tc>
          <w:tcPr>
            <w:tcW w:w="3531" w:type="dxa"/>
          </w:tcPr>
          <w:p w14:paraId="7D3B1820" w14:textId="77777777" w:rsidR="008679FB" w:rsidRDefault="008679FB" w:rsidP="00CF6705">
            <w:pPr>
              <w:rPr>
                <w:rFonts w:cs="Arial"/>
              </w:rPr>
            </w:pPr>
            <w:r>
              <w:rPr>
                <w:rFonts w:cs="Arial"/>
              </w:rPr>
              <w:t>As a Local Authority, PCC have a responsibility to adhere to the Welsh Language Standards. These are a set of legally binding requirements which apply to Welsh Government since March 2016. The consequences of meeting these standards can be a significant fine.</w:t>
            </w:r>
          </w:p>
          <w:p w14:paraId="5F197152" w14:textId="77777777" w:rsidR="008679FB" w:rsidRDefault="008679FB" w:rsidP="00CF6705">
            <w:pPr>
              <w:rPr>
                <w:rFonts w:cs="Arial"/>
              </w:rPr>
            </w:pPr>
          </w:p>
          <w:p w14:paraId="6E1D2DA1" w14:textId="77777777" w:rsidR="008679FB" w:rsidRDefault="008679FB" w:rsidP="00CF6705">
            <w:pPr>
              <w:rPr>
                <w:rFonts w:cs="Arial"/>
              </w:rPr>
            </w:pPr>
          </w:p>
          <w:p w14:paraId="706C6755" w14:textId="77777777" w:rsidR="008679FB" w:rsidRDefault="008679FB" w:rsidP="00CF6705">
            <w:pPr>
              <w:rPr>
                <w:rFonts w:cs="Arial"/>
              </w:rPr>
            </w:pPr>
          </w:p>
          <w:p w14:paraId="09C50CD0" w14:textId="77777777" w:rsidR="008679FB" w:rsidRDefault="008679FB" w:rsidP="00CF6705">
            <w:pPr>
              <w:rPr>
                <w:rFonts w:cs="Arial"/>
              </w:rPr>
            </w:pPr>
          </w:p>
          <w:p w14:paraId="67892E73" w14:textId="77777777" w:rsidR="008679FB" w:rsidRDefault="008679FB" w:rsidP="00CF6705">
            <w:pPr>
              <w:rPr>
                <w:rFonts w:cs="Arial"/>
              </w:rPr>
            </w:pPr>
          </w:p>
          <w:p w14:paraId="14C7D609" w14:textId="77777777" w:rsidR="008679FB" w:rsidRDefault="008679FB" w:rsidP="00CF6705">
            <w:pPr>
              <w:rPr>
                <w:rFonts w:cs="Arial"/>
              </w:rPr>
            </w:pPr>
          </w:p>
          <w:p w14:paraId="516ACC18" w14:textId="77777777" w:rsidR="008679FB" w:rsidRDefault="008679FB" w:rsidP="00CF6705">
            <w:pPr>
              <w:rPr>
                <w:rFonts w:cs="Arial"/>
              </w:rPr>
            </w:pPr>
          </w:p>
          <w:p w14:paraId="092490BC" w14:textId="77777777" w:rsidR="008679FB" w:rsidRDefault="008679FB" w:rsidP="00CF6705">
            <w:pPr>
              <w:rPr>
                <w:rFonts w:cs="Arial"/>
              </w:rPr>
            </w:pPr>
          </w:p>
          <w:p w14:paraId="5AD131DF" w14:textId="77777777" w:rsidR="008679FB" w:rsidRDefault="008679FB" w:rsidP="00CF6705">
            <w:pPr>
              <w:rPr>
                <w:rFonts w:cs="Arial"/>
                <w:b/>
              </w:rPr>
            </w:pPr>
          </w:p>
          <w:p w14:paraId="26730CFB" w14:textId="77777777" w:rsidR="008679FB" w:rsidRDefault="008679FB" w:rsidP="00CF6705">
            <w:pPr>
              <w:rPr>
                <w:rFonts w:cs="Arial"/>
                <w:b/>
              </w:rPr>
            </w:pPr>
          </w:p>
          <w:p w14:paraId="26C5D246" w14:textId="77777777" w:rsidR="008679FB" w:rsidRDefault="008679FB" w:rsidP="00CF6705">
            <w:pPr>
              <w:rPr>
                <w:rFonts w:cs="Arial"/>
                <w:b/>
              </w:rPr>
            </w:pPr>
            <w:r>
              <w:rPr>
                <w:rFonts w:cs="Arial"/>
              </w:rPr>
              <w:t>The advancement of technology has resulted in staff at PCC being able to work in a more agile way. As stated in an article by Rigby et al (2018) working agile gives employers the opportunity to be able to work from various locations that suit both their needs and the needs of the business.</w:t>
            </w:r>
          </w:p>
          <w:p w14:paraId="0E20A026" w14:textId="77777777" w:rsidR="008679FB" w:rsidRPr="003B317E" w:rsidRDefault="008679FB" w:rsidP="00CF6705">
            <w:pPr>
              <w:rPr>
                <w:rFonts w:cs="Arial"/>
              </w:rPr>
            </w:pPr>
          </w:p>
        </w:tc>
        <w:tc>
          <w:tcPr>
            <w:tcW w:w="3029" w:type="dxa"/>
          </w:tcPr>
          <w:p w14:paraId="14AC87AE" w14:textId="77777777" w:rsidR="008679FB" w:rsidRDefault="008679FB" w:rsidP="00CF6705">
            <w:pPr>
              <w:rPr>
                <w:rFonts w:cs="Arial"/>
              </w:rPr>
            </w:pPr>
            <w:r>
              <w:rPr>
                <w:rFonts w:cs="Arial"/>
              </w:rPr>
              <w:t>New internal policies and procedures have been introduced. HR have been required to update their recruitment policy to include Welsh as ‘Essential’ to some role and desirable to most. Staff in customer facing roles have been identified to undertake Welsh classes which have to be delivered within their working hours and at no cost to the employee.</w:t>
            </w:r>
          </w:p>
          <w:p w14:paraId="39DDE8B1" w14:textId="77777777" w:rsidR="008679FB" w:rsidRPr="008E61D1" w:rsidRDefault="008679FB" w:rsidP="00CF6705">
            <w:pPr>
              <w:rPr>
                <w:rFonts w:cs="Arial"/>
              </w:rPr>
            </w:pPr>
            <w:r>
              <w:rPr>
                <w:rFonts w:cs="Arial"/>
              </w:rPr>
              <w:t>HR are also involved with issues linked to those employees who have challenged learning Welsh.</w:t>
            </w:r>
          </w:p>
          <w:p w14:paraId="113496E9" w14:textId="77777777" w:rsidR="008679FB" w:rsidRDefault="008679FB" w:rsidP="00CF6705">
            <w:pPr>
              <w:rPr>
                <w:rFonts w:cs="Arial"/>
                <w:b/>
              </w:rPr>
            </w:pPr>
          </w:p>
          <w:p w14:paraId="298E1C7F" w14:textId="3B93CDB3" w:rsidR="008679FB" w:rsidRDefault="008679FB" w:rsidP="00CF6705">
            <w:pPr>
              <w:rPr>
                <w:rFonts w:cs="Arial"/>
              </w:rPr>
            </w:pPr>
            <w:r w:rsidRPr="00FF11DA">
              <w:rPr>
                <w:rFonts w:cs="Arial"/>
              </w:rPr>
              <w:t xml:space="preserve"> This will affect HR as it will mean that an appropriate policy and procedure around agile working will need to be implemented. HR will also have to deal with any complaints from employees who have been refused the opportunity to work in an agile way.</w:t>
            </w:r>
          </w:p>
          <w:p w14:paraId="304717B5" w14:textId="77777777" w:rsidR="00D17E29" w:rsidRPr="00FF11DA" w:rsidRDefault="00D17E29" w:rsidP="00CF6705">
            <w:pPr>
              <w:rPr>
                <w:rFonts w:cs="Arial"/>
              </w:rPr>
            </w:pPr>
          </w:p>
          <w:p w14:paraId="4BE80249" w14:textId="77777777" w:rsidR="008679FB" w:rsidRPr="004A5474" w:rsidRDefault="008679FB" w:rsidP="00CF6705">
            <w:pPr>
              <w:rPr>
                <w:rFonts w:cs="Arial"/>
              </w:rPr>
            </w:pPr>
          </w:p>
        </w:tc>
      </w:tr>
      <w:tr w:rsidR="00D17E29" w14:paraId="31C85905" w14:textId="77777777" w:rsidTr="00CF6705">
        <w:trPr>
          <w:trHeight w:val="382"/>
        </w:trPr>
        <w:tc>
          <w:tcPr>
            <w:tcW w:w="1633" w:type="dxa"/>
          </w:tcPr>
          <w:p w14:paraId="76708614" w14:textId="6BC7EEF3" w:rsidR="00D17E29" w:rsidRPr="004057A8" w:rsidRDefault="00D17E29" w:rsidP="00CF6705">
            <w:pPr>
              <w:rPr>
                <w:rFonts w:ascii="Arial" w:hAnsi="Arial" w:cs="Arial"/>
                <w:b/>
                <w:sz w:val="28"/>
              </w:rPr>
            </w:pPr>
            <w:r>
              <w:rPr>
                <w:rFonts w:ascii="Arial" w:hAnsi="Arial" w:cs="Arial"/>
                <w:b/>
                <w:sz w:val="28"/>
              </w:rPr>
              <w:t>T</w:t>
            </w:r>
            <w:r w:rsidRPr="00D17E29">
              <w:rPr>
                <w:rFonts w:ascii="Arial" w:hAnsi="Arial" w:cs="Arial"/>
                <w:b/>
                <w:i/>
                <w:iCs/>
                <w:sz w:val="20"/>
                <w:szCs w:val="20"/>
              </w:rPr>
              <w:t>echnological</w:t>
            </w:r>
            <w:r>
              <w:rPr>
                <w:rFonts w:ascii="Arial" w:hAnsi="Arial" w:cs="Arial"/>
                <w:b/>
                <w:sz w:val="28"/>
              </w:rPr>
              <w:t xml:space="preserve"> </w:t>
            </w:r>
          </w:p>
        </w:tc>
        <w:tc>
          <w:tcPr>
            <w:tcW w:w="2788" w:type="dxa"/>
          </w:tcPr>
          <w:p w14:paraId="55D4A79F" w14:textId="118AAAC9" w:rsidR="00D17E29" w:rsidRDefault="00D17E29" w:rsidP="00CF6705">
            <w:pPr>
              <w:rPr>
                <w:rFonts w:cs="Arial"/>
              </w:rPr>
            </w:pPr>
            <w:r>
              <w:rPr>
                <w:rFonts w:cs="Arial"/>
              </w:rPr>
              <w:t>ARTIFICIAL INTELLIGENCE/ ROBOTICS</w:t>
            </w:r>
          </w:p>
        </w:tc>
        <w:tc>
          <w:tcPr>
            <w:tcW w:w="3531" w:type="dxa"/>
          </w:tcPr>
          <w:p w14:paraId="0D64F862" w14:textId="5D4AE1FE" w:rsidR="00D17E29" w:rsidRDefault="00D17E29" w:rsidP="00CF6705">
            <w:pPr>
              <w:rPr>
                <w:rFonts w:cs="Arial"/>
              </w:rPr>
            </w:pPr>
            <w:r>
              <w:rPr>
                <w:rFonts w:cs="Arial"/>
              </w:rPr>
              <w:t>Technology is evolving and the information we output for statistical purposes is high demand. PCC has developed a robotic system known as ‘penfro’ which will be used to respond to common questions through the customer service centre.</w:t>
            </w:r>
          </w:p>
          <w:p w14:paraId="1ACEAE8E" w14:textId="77777777" w:rsidR="00D17E29" w:rsidRDefault="00D17E29" w:rsidP="00CF6705">
            <w:pPr>
              <w:rPr>
                <w:rFonts w:cs="Arial"/>
              </w:rPr>
            </w:pPr>
          </w:p>
          <w:p w14:paraId="5A2F706D" w14:textId="7599729C" w:rsidR="00D17E29" w:rsidRDefault="00D17E29" w:rsidP="00CF6705">
            <w:pPr>
              <w:rPr>
                <w:rFonts w:cs="Arial"/>
              </w:rPr>
            </w:pPr>
          </w:p>
        </w:tc>
        <w:tc>
          <w:tcPr>
            <w:tcW w:w="3029" w:type="dxa"/>
          </w:tcPr>
          <w:p w14:paraId="68F8F47D" w14:textId="5F1CAD00" w:rsidR="00D17E29" w:rsidRDefault="00D17E29" w:rsidP="00CF6705">
            <w:pPr>
              <w:rPr>
                <w:rFonts w:cs="Arial"/>
              </w:rPr>
            </w:pPr>
            <w:r>
              <w:rPr>
                <w:rFonts w:cs="Arial"/>
              </w:rPr>
              <w:t>HR will be required to communicate such changes to line managers/employees and ensure that employees remain engaged in their roles.</w:t>
            </w:r>
            <w:r w:rsidR="001971BE">
              <w:rPr>
                <w:rFonts w:cs="Arial"/>
              </w:rPr>
              <w:t xml:space="preserve"> Developing this system could put potential jobs at risk, but save money.</w:t>
            </w:r>
          </w:p>
        </w:tc>
      </w:tr>
      <w:tr w:rsidR="008679FB" w14:paraId="3059A56F" w14:textId="77777777" w:rsidTr="00CF6705">
        <w:trPr>
          <w:trHeight w:val="382"/>
        </w:trPr>
        <w:tc>
          <w:tcPr>
            <w:tcW w:w="1633" w:type="dxa"/>
          </w:tcPr>
          <w:p w14:paraId="5DF69138" w14:textId="77777777" w:rsidR="008679FB" w:rsidRPr="00CE1051" w:rsidRDefault="008679FB" w:rsidP="00CF6705">
            <w:pPr>
              <w:rPr>
                <w:rFonts w:ascii="Arial" w:hAnsi="Arial" w:cs="Arial"/>
                <w:b/>
                <w:sz w:val="28"/>
              </w:rPr>
            </w:pPr>
            <w:r w:rsidRPr="00CE1051">
              <w:rPr>
                <w:rFonts w:ascii="Arial" w:hAnsi="Arial" w:cs="Arial"/>
                <w:b/>
                <w:sz w:val="28"/>
              </w:rPr>
              <w:t>L</w:t>
            </w:r>
            <w:r w:rsidRPr="004057A8">
              <w:rPr>
                <w:rStyle w:val="Strong"/>
                <w:i/>
              </w:rPr>
              <w:t>egal</w:t>
            </w:r>
          </w:p>
        </w:tc>
        <w:tc>
          <w:tcPr>
            <w:tcW w:w="2788" w:type="dxa"/>
          </w:tcPr>
          <w:p w14:paraId="572DF1DA" w14:textId="77777777" w:rsidR="008679FB" w:rsidRDefault="008679FB" w:rsidP="00CF6705">
            <w:pPr>
              <w:rPr>
                <w:rFonts w:cs="Arial"/>
              </w:rPr>
            </w:pPr>
            <w:r>
              <w:rPr>
                <w:rFonts w:cs="Arial"/>
                <w:b/>
              </w:rPr>
              <w:t xml:space="preserve"> </w:t>
            </w:r>
            <w:r>
              <w:rPr>
                <w:rFonts w:cs="Arial"/>
              </w:rPr>
              <w:t>EMPLOYMENT LAW – Parental bereavement leave</w:t>
            </w:r>
          </w:p>
          <w:p w14:paraId="18A4103D" w14:textId="77777777" w:rsidR="008679FB" w:rsidRDefault="008679FB" w:rsidP="00CF6705">
            <w:pPr>
              <w:rPr>
                <w:rFonts w:cs="Arial"/>
              </w:rPr>
            </w:pPr>
          </w:p>
          <w:p w14:paraId="690FB80B" w14:textId="77777777" w:rsidR="008679FB" w:rsidRDefault="008679FB" w:rsidP="00CF6705">
            <w:pPr>
              <w:rPr>
                <w:rFonts w:cs="Arial"/>
              </w:rPr>
            </w:pPr>
          </w:p>
          <w:p w14:paraId="1B146D91" w14:textId="77777777" w:rsidR="008679FB" w:rsidRDefault="008679FB" w:rsidP="00CF6705">
            <w:pPr>
              <w:rPr>
                <w:rFonts w:cs="Arial"/>
              </w:rPr>
            </w:pPr>
          </w:p>
          <w:p w14:paraId="79BC18E8" w14:textId="77777777" w:rsidR="008679FB" w:rsidRDefault="008679FB" w:rsidP="00CF6705">
            <w:pPr>
              <w:rPr>
                <w:rFonts w:cs="Arial"/>
              </w:rPr>
            </w:pPr>
          </w:p>
          <w:p w14:paraId="40147631" w14:textId="77777777" w:rsidR="008679FB" w:rsidRDefault="008679FB" w:rsidP="00CF6705">
            <w:pPr>
              <w:rPr>
                <w:rFonts w:cs="Arial"/>
              </w:rPr>
            </w:pPr>
          </w:p>
          <w:p w14:paraId="6C06FDA8" w14:textId="77777777" w:rsidR="008679FB" w:rsidRDefault="008679FB" w:rsidP="00CF6705">
            <w:pPr>
              <w:rPr>
                <w:rFonts w:cs="Arial"/>
              </w:rPr>
            </w:pPr>
          </w:p>
          <w:p w14:paraId="633DF749" w14:textId="77777777" w:rsidR="008679FB" w:rsidRDefault="008679FB" w:rsidP="00CF6705">
            <w:pPr>
              <w:rPr>
                <w:rFonts w:cs="Arial"/>
              </w:rPr>
            </w:pPr>
          </w:p>
          <w:p w14:paraId="5B44A307" w14:textId="77777777" w:rsidR="008679FB" w:rsidRDefault="008679FB" w:rsidP="00CF6705">
            <w:pPr>
              <w:rPr>
                <w:rFonts w:cs="Arial"/>
              </w:rPr>
            </w:pPr>
          </w:p>
          <w:p w14:paraId="732F38E1" w14:textId="77777777" w:rsidR="008679FB" w:rsidRDefault="008679FB" w:rsidP="00CF6705">
            <w:pPr>
              <w:rPr>
                <w:rFonts w:cs="Arial"/>
                <w:b/>
              </w:rPr>
            </w:pPr>
          </w:p>
          <w:p w14:paraId="75A5FACF" w14:textId="77777777" w:rsidR="008679FB" w:rsidRPr="002414DF" w:rsidRDefault="008679FB" w:rsidP="00CF6705">
            <w:pPr>
              <w:rPr>
                <w:rFonts w:cs="Arial"/>
              </w:rPr>
            </w:pPr>
            <w:r>
              <w:rPr>
                <w:rFonts w:cs="Arial"/>
                <w:b/>
              </w:rPr>
              <w:t xml:space="preserve"> </w:t>
            </w:r>
          </w:p>
        </w:tc>
        <w:tc>
          <w:tcPr>
            <w:tcW w:w="3531" w:type="dxa"/>
          </w:tcPr>
          <w:p w14:paraId="7B93C6C4" w14:textId="154F2CA3" w:rsidR="008679FB" w:rsidRDefault="008679FB" w:rsidP="00CF6705">
            <w:pPr>
              <w:rPr>
                <w:rFonts w:cs="Arial"/>
              </w:rPr>
            </w:pPr>
            <w:r>
              <w:rPr>
                <w:rFonts w:cs="Arial"/>
                <w:b/>
              </w:rPr>
              <w:lastRenderedPageBreak/>
              <w:t xml:space="preserve"> </w:t>
            </w:r>
            <w:r>
              <w:rPr>
                <w:rFonts w:cs="Arial"/>
              </w:rPr>
              <w:t xml:space="preserve">Whenever different laws are developed staff at PCC will need to ensure they are abiding by them. An example of this is the new parental bereavement leave and pay that will </w:t>
            </w:r>
            <w:r>
              <w:rPr>
                <w:rFonts w:cs="Arial"/>
              </w:rPr>
              <w:lastRenderedPageBreak/>
              <w:t>come into force on 6</w:t>
            </w:r>
            <w:r w:rsidRPr="003D20D2">
              <w:rPr>
                <w:rFonts w:cs="Arial"/>
                <w:vertAlign w:val="superscript"/>
              </w:rPr>
              <w:t>th</w:t>
            </w:r>
            <w:r>
              <w:rPr>
                <w:rFonts w:cs="Arial"/>
              </w:rPr>
              <w:t xml:space="preserve"> April 2020 subject to approval being laid today (23/01/20) </w:t>
            </w:r>
            <w:hyperlink r:id="rId10" w:history="1">
              <w:r w:rsidRPr="001B6BB1">
                <w:rPr>
                  <w:rStyle w:val="Hyperlink"/>
                  <w:rFonts w:cs="Arial"/>
                </w:rPr>
                <w:t>www.gov.uk.news</w:t>
              </w:r>
            </w:hyperlink>
            <w:r>
              <w:rPr>
                <w:rFonts w:cs="Arial"/>
              </w:rPr>
              <w:t xml:space="preserve"> </w:t>
            </w:r>
          </w:p>
          <w:p w14:paraId="6F3D38DF" w14:textId="77777777" w:rsidR="008679FB" w:rsidRPr="006163ED" w:rsidRDefault="008679FB" w:rsidP="00CF6705">
            <w:pPr>
              <w:rPr>
                <w:rFonts w:cs="Arial"/>
              </w:rPr>
            </w:pPr>
          </w:p>
        </w:tc>
        <w:tc>
          <w:tcPr>
            <w:tcW w:w="3029" w:type="dxa"/>
          </w:tcPr>
          <w:p w14:paraId="1ABBC3F7" w14:textId="77777777" w:rsidR="008679FB" w:rsidRPr="006163ED" w:rsidRDefault="008679FB" w:rsidP="00CF6705">
            <w:pPr>
              <w:rPr>
                <w:rFonts w:cs="Arial"/>
              </w:rPr>
            </w:pPr>
            <w:r w:rsidRPr="003D20D2">
              <w:rPr>
                <w:rFonts w:cs="Arial"/>
              </w:rPr>
              <w:lastRenderedPageBreak/>
              <w:t xml:space="preserve">HR are responsible for updating policies relating to any changes in rules rule &amp; regulations. A new policy will need to be written to meet the </w:t>
            </w:r>
            <w:r w:rsidRPr="003D20D2">
              <w:rPr>
                <w:rFonts w:cs="Arial"/>
              </w:rPr>
              <w:lastRenderedPageBreak/>
              <w:t>introduction of parental bereavement leave and pay.</w:t>
            </w:r>
          </w:p>
        </w:tc>
      </w:tr>
      <w:tr w:rsidR="008679FB" w14:paraId="5418BB3F" w14:textId="77777777" w:rsidTr="00CF6705">
        <w:trPr>
          <w:trHeight w:val="382"/>
        </w:trPr>
        <w:tc>
          <w:tcPr>
            <w:tcW w:w="1633" w:type="dxa"/>
          </w:tcPr>
          <w:p w14:paraId="7A2C70D5" w14:textId="77777777" w:rsidR="008679FB" w:rsidRPr="00CE1051" w:rsidRDefault="008679FB" w:rsidP="00CF6705">
            <w:pPr>
              <w:rPr>
                <w:rFonts w:ascii="Arial" w:hAnsi="Arial" w:cs="Arial"/>
                <w:b/>
                <w:sz w:val="28"/>
              </w:rPr>
            </w:pPr>
            <w:r w:rsidRPr="00CE1051">
              <w:rPr>
                <w:rFonts w:ascii="Arial" w:hAnsi="Arial" w:cs="Arial"/>
                <w:b/>
                <w:sz w:val="28"/>
              </w:rPr>
              <w:t>E</w:t>
            </w:r>
            <w:r w:rsidRPr="003347A0">
              <w:rPr>
                <w:rStyle w:val="Strong"/>
                <w:i/>
              </w:rPr>
              <w:t>nvironmental</w:t>
            </w:r>
          </w:p>
        </w:tc>
        <w:tc>
          <w:tcPr>
            <w:tcW w:w="2788" w:type="dxa"/>
          </w:tcPr>
          <w:p w14:paraId="15F18F98" w14:textId="77777777" w:rsidR="008679FB" w:rsidRPr="00725F05" w:rsidRDefault="008679FB" w:rsidP="00CF6705">
            <w:pPr>
              <w:rPr>
                <w:rFonts w:cs="Arial"/>
              </w:rPr>
            </w:pPr>
            <w:r>
              <w:rPr>
                <w:rFonts w:cs="Arial"/>
                <w:b/>
              </w:rPr>
              <w:t xml:space="preserve"> </w:t>
            </w:r>
            <w:r>
              <w:rPr>
                <w:rFonts w:cs="Arial"/>
              </w:rPr>
              <w:t>RECYCLING TARGETS</w:t>
            </w:r>
          </w:p>
        </w:tc>
        <w:tc>
          <w:tcPr>
            <w:tcW w:w="3531" w:type="dxa"/>
          </w:tcPr>
          <w:p w14:paraId="6F1E8991" w14:textId="77777777" w:rsidR="008679FB" w:rsidRDefault="008679FB" w:rsidP="00CF6705">
            <w:pPr>
              <w:rPr>
                <w:rFonts w:cs="Arial"/>
              </w:rPr>
            </w:pPr>
            <w:r>
              <w:rPr>
                <w:rFonts w:cs="Arial"/>
              </w:rPr>
              <w:t>PCC are set targets to ensure they are abiding by the recycling regulations (2019). In order to help meet the required standards PCC recently went through a huge recruitment initiative to employ a further 30 staff in this area.</w:t>
            </w:r>
          </w:p>
          <w:p w14:paraId="0190673B" w14:textId="77777777" w:rsidR="008679FB" w:rsidRPr="00725F05" w:rsidRDefault="008679FB" w:rsidP="00CF6705">
            <w:pPr>
              <w:rPr>
                <w:rFonts w:cs="Arial"/>
              </w:rPr>
            </w:pPr>
          </w:p>
        </w:tc>
        <w:tc>
          <w:tcPr>
            <w:tcW w:w="3029" w:type="dxa"/>
          </w:tcPr>
          <w:p w14:paraId="1BD4F71C" w14:textId="748148AB" w:rsidR="008679FB" w:rsidRPr="003D20D2" w:rsidRDefault="008679FB" w:rsidP="00CF6705">
            <w:pPr>
              <w:rPr>
                <w:rFonts w:cs="Arial"/>
              </w:rPr>
            </w:pPr>
            <w:r>
              <w:rPr>
                <w:rFonts w:cs="Arial"/>
              </w:rPr>
              <w:t>The HR function has been involved in all areas of specialism from recruitment, payroll and training to support this initiative.</w:t>
            </w:r>
          </w:p>
        </w:tc>
      </w:tr>
    </w:tbl>
    <w:p w14:paraId="4A69B9E3" w14:textId="77777777" w:rsidR="008679FB" w:rsidRDefault="008679FB" w:rsidP="008679FB"/>
    <w:p w14:paraId="550D16D3" w14:textId="77777777" w:rsidR="008679FB" w:rsidRDefault="008679FB" w:rsidP="008679FB"/>
    <w:tbl>
      <w:tblPr>
        <w:tblStyle w:val="TableGrid"/>
        <w:tblW w:w="10981" w:type="dxa"/>
        <w:tblInd w:w="-998" w:type="dxa"/>
        <w:tblLook w:val="04A0" w:firstRow="1" w:lastRow="0" w:firstColumn="1" w:lastColumn="0" w:noHBand="0" w:noVBand="1"/>
      </w:tblPr>
      <w:tblGrid>
        <w:gridCol w:w="1584"/>
        <w:gridCol w:w="2846"/>
        <w:gridCol w:w="3509"/>
        <w:gridCol w:w="3042"/>
      </w:tblGrid>
      <w:tr w:rsidR="008679FB" w14:paraId="7078BBF9" w14:textId="77777777" w:rsidTr="00CF6705">
        <w:trPr>
          <w:trHeight w:val="575"/>
        </w:trPr>
        <w:tc>
          <w:tcPr>
            <w:tcW w:w="10981" w:type="dxa"/>
            <w:gridSpan w:val="4"/>
            <w:tcBorders>
              <w:top w:val="single" w:sz="4" w:space="0" w:color="auto"/>
              <w:left w:val="single" w:sz="4" w:space="0" w:color="auto"/>
              <w:bottom w:val="single" w:sz="4" w:space="0" w:color="auto"/>
              <w:right w:val="single" w:sz="4" w:space="0" w:color="auto"/>
            </w:tcBorders>
            <w:hideMark/>
          </w:tcPr>
          <w:p w14:paraId="723182ED" w14:textId="77777777" w:rsidR="008679FB" w:rsidRDefault="008679FB" w:rsidP="00CF6705">
            <w:pPr>
              <w:spacing w:line="276" w:lineRule="auto"/>
              <w:jc w:val="center"/>
              <w:rPr>
                <w:rFonts w:ascii="Arial" w:hAnsi="Arial" w:cs="Arial"/>
                <w:sz w:val="32"/>
                <w:szCs w:val="32"/>
              </w:rPr>
            </w:pPr>
            <w:r>
              <w:rPr>
                <w:rFonts w:ascii="Arial" w:hAnsi="Arial" w:cs="Arial"/>
                <w:b/>
                <w:sz w:val="32"/>
                <w:szCs w:val="32"/>
              </w:rPr>
              <w:t>Pembrokeshire County Council</w:t>
            </w:r>
          </w:p>
        </w:tc>
      </w:tr>
      <w:tr w:rsidR="008679FB" w14:paraId="6B0CFDCB" w14:textId="77777777" w:rsidTr="00CF6705">
        <w:trPr>
          <w:trHeight w:val="519"/>
        </w:trPr>
        <w:tc>
          <w:tcPr>
            <w:tcW w:w="10981" w:type="dxa"/>
            <w:gridSpan w:val="4"/>
            <w:tcBorders>
              <w:top w:val="single" w:sz="4" w:space="0" w:color="auto"/>
              <w:left w:val="single" w:sz="4" w:space="0" w:color="auto"/>
              <w:bottom w:val="single" w:sz="4" w:space="0" w:color="auto"/>
              <w:right w:val="single" w:sz="4" w:space="0" w:color="auto"/>
            </w:tcBorders>
            <w:hideMark/>
          </w:tcPr>
          <w:p w14:paraId="62D045A7" w14:textId="77777777" w:rsidR="008679FB" w:rsidRDefault="008679FB" w:rsidP="00CF6705">
            <w:pPr>
              <w:spacing w:line="276" w:lineRule="auto"/>
              <w:jc w:val="center"/>
              <w:rPr>
                <w:rFonts w:ascii="Arial" w:hAnsi="Arial" w:cs="Arial"/>
                <w:b/>
                <w:sz w:val="32"/>
                <w:szCs w:val="32"/>
              </w:rPr>
            </w:pPr>
            <w:r>
              <w:rPr>
                <w:rFonts w:ascii="Arial" w:hAnsi="Arial" w:cs="Arial"/>
                <w:b/>
                <w:sz w:val="32"/>
                <w:szCs w:val="32"/>
              </w:rPr>
              <w:t>SWOT Analysis</w:t>
            </w:r>
          </w:p>
        </w:tc>
      </w:tr>
      <w:tr w:rsidR="008679FB" w14:paraId="7870E94E" w14:textId="77777777" w:rsidTr="00CF6705">
        <w:trPr>
          <w:trHeight w:val="520"/>
        </w:trPr>
        <w:tc>
          <w:tcPr>
            <w:tcW w:w="1584" w:type="dxa"/>
            <w:tcBorders>
              <w:top w:val="single" w:sz="4" w:space="0" w:color="auto"/>
              <w:left w:val="single" w:sz="4" w:space="0" w:color="auto"/>
              <w:bottom w:val="single" w:sz="4" w:space="0" w:color="auto"/>
              <w:right w:val="single" w:sz="4" w:space="0" w:color="auto"/>
            </w:tcBorders>
          </w:tcPr>
          <w:p w14:paraId="6C7144B0" w14:textId="77777777" w:rsidR="008679FB" w:rsidRDefault="008679FB" w:rsidP="00CF6705">
            <w:pPr>
              <w:rPr>
                <w:rFonts w:ascii="Arial" w:hAnsi="Arial" w:cs="Arial"/>
              </w:rPr>
            </w:pPr>
          </w:p>
        </w:tc>
        <w:tc>
          <w:tcPr>
            <w:tcW w:w="2846" w:type="dxa"/>
            <w:tcBorders>
              <w:top w:val="single" w:sz="4" w:space="0" w:color="auto"/>
              <w:left w:val="single" w:sz="4" w:space="0" w:color="auto"/>
              <w:bottom w:val="single" w:sz="4" w:space="0" w:color="auto"/>
              <w:right w:val="single" w:sz="4" w:space="0" w:color="auto"/>
            </w:tcBorders>
            <w:hideMark/>
          </w:tcPr>
          <w:p w14:paraId="5064FC29" w14:textId="77777777" w:rsidR="008679FB" w:rsidRDefault="008679FB" w:rsidP="00CF6705">
            <w:pPr>
              <w:spacing w:line="276" w:lineRule="auto"/>
              <w:jc w:val="center"/>
              <w:rPr>
                <w:rFonts w:ascii="Arial" w:hAnsi="Arial" w:cs="Arial"/>
                <w:b/>
                <w:u w:val="single"/>
              </w:rPr>
            </w:pPr>
            <w:r>
              <w:rPr>
                <w:rFonts w:ascii="Arial" w:hAnsi="Arial" w:cs="Arial"/>
                <w:b/>
                <w:u w:val="single"/>
              </w:rPr>
              <w:t>Factor</w:t>
            </w:r>
          </w:p>
        </w:tc>
        <w:tc>
          <w:tcPr>
            <w:tcW w:w="3509" w:type="dxa"/>
            <w:tcBorders>
              <w:top w:val="single" w:sz="4" w:space="0" w:color="auto"/>
              <w:left w:val="single" w:sz="4" w:space="0" w:color="auto"/>
              <w:bottom w:val="single" w:sz="4" w:space="0" w:color="auto"/>
              <w:right w:val="single" w:sz="4" w:space="0" w:color="auto"/>
            </w:tcBorders>
            <w:hideMark/>
          </w:tcPr>
          <w:p w14:paraId="4D2AA435" w14:textId="77777777" w:rsidR="008679FB" w:rsidRDefault="008679FB" w:rsidP="00CF6705">
            <w:pPr>
              <w:jc w:val="center"/>
              <w:rPr>
                <w:rFonts w:ascii="Arial" w:hAnsi="Arial" w:cs="Arial"/>
                <w:b/>
                <w:u w:val="single"/>
              </w:rPr>
            </w:pPr>
            <w:r>
              <w:rPr>
                <w:rFonts w:ascii="Arial" w:hAnsi="Arial" w:cs="Arial"/>
                <w:b/>
                <w:u w:val="single"/>
              </w:rPr>
              <w:t>Impact on PCC</w:t>
            </w:r>
          </w:p>
        </w:tc>
        <w:tc>
          <w:tcPr>
            <w:tcW w:w="3042" w:type="dxa"/>
            <w:tcBorders>
              <w:top w:val="single" w:sz="4" w:space="0" w:color="auto"/>
              <w:left w:val="single" w:sz="4" w:space="0" w:color="auto"/>
              <w:bottom w:val="single" w:sz="4" w:space="0" w:color="auto"/>
              <w:right w:val="single" w:sz="4" w:space="0" w:color="auto"/>
            </w:tcBorders>
            <w:hideMark/>
          </w:tcPr>
          <w:p w14:paraId="77EA73FF" w14:textId="77777777" w:rsidR="008679FB" w:rsidRDefault="008679FB" w:rsidP="00CF6705">
            <w:pPr>
              <w:spacing w:line="276" w:lineRule="auto"/>
              <w:jc w:val="center"/>
              <w:rPr>
                <w:rFonts w:ascii="Arial" w:hAnsi="Arial" w:cs="Arial"/>
                <w:b/>
                <w:u w:val="single"/>
              </w:rPr>
            </w:pPr>
            <w:r>
              <w:rPr>
                <w:rFonts w:ascii="Arial" w:hAnsi="Arial" w:cs="Arial"/>
                <w:b/>
                <w:u w:val="single"/>
              </w:rPr>
              <w:t>Impact on HR</w:t>
            </w:r>
          </w:p>
        </w:tc>
      </w:tr>
      <w:tr w:rsidR="008679FB" w14:paraId="398617C4" w14:textId="77777777" w:rsidTr="00CF6705">
        <w:trPr>
          <w:trHeight w:val="877"/>
        </w:trPr>
        <w:tc>
          <w:tcPr>
            <w:tcW w:w="1584" w:type="dxa"/>
            <w:tcBorders>
              <w:top w:val="single" w:sz="4" w:space="0" w:color="auto"/>
              <w:left w:val="single" w:sz="4" w:space="0" w:color="auto"/>
              <w:bottom w:val="single" w:sz="4" w:space="0" w:color="auto"/>
              <w:right w:val="single" w:sz="4" w:space="0" w:color="auto"/>
            </w:tcBorders>
            <w:hideMark/>
          </w:tcPr>
          <w:p w14:paraId="1EB3564A" w14:textId="77777777" w:rsidR="008679FB" w:rsidRDefault="008679FB" w:rsidP="00CF6705">
            <w:pPr>
              <w:rPr>
                <w:rFonts w:ascii="Arial" w:hAnsi="Arial" w:cs="Arial"/>
              </w:rPr>
            </w:pPr>
            <w:r>
              <w:rPr>
                <w:rFonts w:ascii="Arial" w:hAnsi="Arial" w:cs="Arial"/>
                <w:b/>
                <w:sz w:val="28"/>
              </w:rPr>
              <w:t>S</w:t>
            </w:r>
            <w:r>
              <w:rPr>
                <w:rFonts w:ascii="Arial" w:hAnsi="Arial" w:cs="Arial"/>
                <w:i/>
              </w:rPr>
              <w:t>trengths</w:t>
            </w:r>
          </w:p>
        </w:tc>
        <w:tc>
          <w:tcPr>
            <w:tcW w:w="2846" w:type="dxa"/>
            <w:tcBorders>
              <w:top w:val="single" w:sz="4" w:space="0" w:color="auto"/>
              <w:left w:val="single" w:sz="4" w:space="0" w:color="auto"/>
              <w:bottom w:val="single" w:sz="4" w:space="0" w:color="auto"/>
              <w:right w:val="single" w:sz="4" w:space="0" w:color="auto"/>
            </w:tcBorders>
          </w:tcPr>
          <w:p w14:paraId="61021F96" w14:textId="77777777" w:rsidR="008679FB" w:rsidRDefault="008679FB" w:rsidP="00CF6705">
            <w:pPr>
              <w:rPr>
                <w:rFonts w:cs="Arial"/>
              </w:rPr>
            </w:pPr>
            <w:r>
              <w:rPr>
                <w:rFonts w:cs="Arial"/>
              </w:rPr>
              <w:t>EMPLOYMENT</w:t>
            </w:r>
          </w:p>
          <w:p w14:paraId="29829B01" w14:textId="77777777" w:rsidR="008679FB" w:rsidRDefault="008679FB" w:rsidP="00CF6705">
            <w:pPr>
              <w:rPr>
                <w:rFonts w:cs="Arial"/>
              </w:rPr>
            </w:pPr>
          </w:p>
          <w:p w14:paraId="12814338" w14:textId="77777777" w:rsidR="008679FB" w:rsidRDefault="008679FB" w:rsidP="00CF6705">
            <w:pPr>
              <w:rPr>
                <w:rFonts w:cs="Arial"/>
              </w:rPr>
            </w:pPr>
          </w:p>
          <w:p w14:paraId="03FC6442" w14:textId="77777777" w:rsidR="008679FB" w:rsidRDefault="008679FB" w:rsidP="00CF6705">
            <w:pPr>
              <w:rPr>
                <w:rFonts w:cs="Arial"/>
              </w:rPr>
            </w:pPr>
          </w:p>
          <w:p w14:paraId="049EF233" w14:textId="77777777" w:rsidR="008679FB" w:rsidRDefault="008679FB" w:rsidP="00CF6705">
            <w:pPr>
              <w:rPr>
                <w:rFonts w:cs="Arial"/>
              </w:rPr>
            </w:pPr>
          </w:p>
          <w:p w14:paraId="60BE472C" w14:textId="77777777" w:rsidR="008679FB" w:rsidRDefault="008679FB" w:rsidP="00CF6705">
            <w:pPr>
              <w:rPr>
                <w:rFonts w:cs="Arial"/>
              </w:rPr>
            </w:pPr>
          </w:p>
          <w:p w14:paraId="7EBD491C" w14:textId="77777777" w:rsidR="008679FB" w:rsidRDefault="008679FB" w:rsidP="00CF6705">
            <w:pPr>
              <w:rPr>
                <w:rFonts w:cs="Arial"/>
              </w:rPr>
            </w:pPr>
          </w:p>
          <w:p w14:paraId="3EAAA71D" w14:textId="77777777" w:rsidR="008679FB" w:rsidRDefault="008679FB" w:rsidP="00CF6705">
            <w:pPr>
              <w:rPr>
                <w:rFonts w:cs="Arial"/>
              </w:rPr>
            </w:pPr>
          </w:p>
          <w:p w14:paraId="33D9EBC3" w14:textId="77777777" w:rsidR="008679FB" w:rsidRDefault="008679FB" w:rsidP="00CF6705">
            <w:pPr>
              <w:rPr>
                <w:rFonts w:cs="Arial"/>
              </w:rPr>
            </w:pPr>
          </w:p>
          <w:p w14:paraId="4A3664B7" w14:textId="77777777" w:rsidR="008679FB" w:rsidRDefault="008679FB" w:rsidP="00CF6705">
            <w:pPr>
              <w:rPr>
                <w:rFonts w:cs="Arial"/>
              </w:rPr>
            </w:pPr>
          </w:p>
          <w:p w14:paraId="23C2A842" w14:textId="77777777" w:rsidR="008679FB" w:rsidRDefault="008679FB" w:rsidP="00CF6705">
            <w:pPr>
              <w:rPr>
                <w:rFonts w:cs="Arial"/>
              </w:rPr>
            </w:pPr>
          </w:p>
        </w:tc>
        <w:tc>
          <w:tcPr>
            <w:tcW w:w="3509" w:type="dxa"/>
            <w:tcBorders>
              <w:top w:val="single" w:sz="4" w:space="0" w:color="auto"/>
              <w:left w:val="single" w:sz="4" w:space="0" w:color="auto"/>
              <w:bottom w:val="single" w:sz="4" w:space="0" w:color="auto"/>
              <w:right w:val="single" w:sz="4" w:space="0" w:color="auto"/>
            </w:tcBorders>
          </w:tcPr>
          <w:p w14:paraId="7DBDB567" w14:textId="77777777" w:rsidR="008679FB" w:rsidRPr="00E8796C" w:rsidRDefault="008679FB" w:rsidP="00CF6705">
            <w:pPr>
              <w:rPr>
                <w:rFonts w:ascii="Calibri" w:hAnsi="Calibri" w:cs="Arial"/>
                <w:lang w:val="en-US"/>
              </w:rPr>
            </w:pPr>
            <w:r w:rsidRPr="00E8796C">
              <w:rPr>
                <w:rFonts w:ascii="Calibri" w:hAnsi="Calibri" w:cs="Arial"/>
                <w:lang w:val="en-US"/>
              </w:rPr>
              <w:t>PCC is one of the largest employers within Pembrokeshire. As an employer it offers:-</w:t>
            </w:r>
          </w:p>
          <w:p w14:paraId="71E530EB" w14:textId="77777777" w:rsidR="008679FB" w:rsidRPr="00E8796C" w:rsidRDefault="008679FB" w:rsidP="00CF6705">
            <w:pPr>
              <w:rPr>
                <w:rFonts w:ascii="Calibri" w:hAnsi="Calibri" w:cs="Arial"/>
                <w:lang w:val="en-US"/>
              </w:rPr>
            </w:pPr>
          </w:p>
          <w:p w14:paraId="009294FF"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Stability/security</w:t>
            </w:r>
          </w:p>
          <w:p w14:paraId="126AA43A"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Attractive salary package which includes paid holidays/sickness/holidays</w:t>
            </w:r>
          </w:p>
          <w:p w14:paraId="202AF148"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Promotion opportunity</w:t>
            </w:r>
          </w:p>
          <w:p w14:paraId="2A771C94"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Training &amp; development</w:t>
            </w:r>
          </w:p>
          <w:p w14:paraId="36902B8D"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Flexible working</w:t>
            </w:r>
          </w:p>
          <w:p w14:paraId="53E390E2" w14:textId="77777777" w:rsidR="008679FB" w:rsidRDefault="008679FB" w:rsidP="00CF6705">
            <w:pPr>
              <w:rPr>
                <w:rFonts w:ascii="Arial" w:hAnsi="Arial" w:cs="Arial"/>
                <w:lang w:val="en-US"/>
              </w:rPr>
            </w:pPr>
          </w:p>
        </w:tc>
        <w:tc>
          <w:tcPr>
            <w:tcW w:w="3042" w:type="dxa"/>
            <w:tcBorders>
              <w:top w:val="single" w:sz="4" w:space="0" w:color="auto"/>
              <w:left w:val="single" w:sz="4" w:space="0" w:color="auto"/>
              <w:bottom w:val="single" w:sz="4" w:space="0" w:color="auto"/>
              <w:right w:val="single" w:sz="4" w:space="0" w:color="auto"/>
            </w:tcBorders>
          </w:tcPr>
          <w:p w14:paraId="5C3A095D" w14:textId="77777777" w:rsidR="008679FB" w:rsidRPr="00732CBD" w:rsidRDefault="008679FB" w:rsidP="00CF6705">
            <w:pPr>
              <w:rPr>
                <w:rFonts w:ascii="Calibri" w:hAnsi="Calibri" w:cs="Arial"/>
              </w:rPr>
            </w:pPr>
            <w:r w:rsidRPr="00732CBD">
              <w:rPr>
                <w:rFonts w:ascii="Calibri" w:hAnsi="Calibri" w:cs="Arial"/>
              </w:rPr>
              <w:t>Significant number of applications for all posts advertised</w:t>
            </w:r>
          </w:p>
        </w:tc>
      </w:tr>
      <w:tr w:rsidR="008679FB" w14:paraId="22B0E1B8" w14:textId="77777777" w:rsidTr="00CF6705">
        <w:trPr>
          <w:trHeight w:val="877"/>
        </w:trPr>
        <w:tc>
          <w:tcPr>
            <w:tcW w:w="1584" w:type="dxa"/>
            <w:tcBorders>
              <w:top w:val="single" w:sz="4" w:space="0" w:color="auto"/>
              <w:left w:val="single" w:sz="4" w:space="0" w:color="auto"/>
              <w:bottom w:val="single" w:sz="4" w:space="0" w:color="auto"/>
              <w:right w:val="single" w:sz="4" w:space="0" w:color="auto"/>
            </w:tcBorders>
            <w:hideMark/>
          </w:tcPr>
          <w:p w14:paraId="684A9204" w14:textId="77777777" w:rsidR="008679FB" w:rsidRDefault="008679FB" w:rsidP="00CF6705">
            <w:pPr>
              <w:rPr>
                <w:rFonts w:ascii="Arial" w:hAnsi="Arial" w:cs="Arial"/>
              </w:rPr>
            </w:pPr>
            <w:r>
              <w:rPr>
                <w:rFonts w:ascii="Arial" w:hAnsi="Arial" w:cs="Arial"/>
                <w:b/>
                <w:sz w:val="28"/>
              </w:rPr>
              <w:t>W</w:t>
            </w:r>
            <w:r>
              <w:rPr>
                <w:rFonts w:ascii="Arial" w:hAnsi="Arial" w:cs="Arial"/>
                <w:i/>
              </w:rPr>
              <w:t>eaknesses</w:t>
            </w:r>
          </w:p>
        </w:tc>
        <w:tc>
          <w:tcPr>
            <w:tcW w:w="2846" w:type="dxa"/>
            <w:tcBorders>
              <w:top w:val="single" w:sz="4" w:space="0" w:color="auto"/>
              <w:left w:val="single" w:sz="4" w:space="0" w:color="auto"/>
              <w:bottom w:val="single" w:sz="4" w:space="0" w:color="auto"/>
              <w:right w:val="single" w:sz="4" w:space="0" w:color="auto"/>
            </w:tcBorders>
            <w:hideMark/>
          </w:tcPr>
          <w:p w14:paraId="0FD09F2A" w14:textId="77777777" w:rsidR="008679FB" w:rsidRDefault="008679FB" w:rsidP="00CF6705">
            <w:pPr>
              <w:rPr>
                <w:rFonts w:cs="Arial"/>
              </w:rPr>
            </w:pPr>
            <w:r>
              <w:rPr>
                <w:rFonts w:ascii="Arial" w:hAnsi="Arial" w:cs="Arial"/>
                <w:b/>
              </w:rPr>
              <w:t>&gt;</w:t>
            </w:r>
            <w:r>
              <w:rPr>
                <w:rFonts w:cs="Arial"/>
                <w:b/>
              </w:rPr>
              <w:t xml:space="preserve"> </w:t>
            </w:r>
            <w:r>
              <w:rPr>
                <w:rFonts w:cs="Arial"/>
              </w:rPr>
              <w:t>FUNDING</w:t>
            </w:r>
          </w:p>
        </w:tc>
        <w:tc>
          <w:tcPr>
            <w:tcW w:w="3509" w:type="dxa"/>
            <w:tcBorders>
              <w:top w:val="single" w:sz="4" w:space="0" w:color="auto"/>
              <w:left w:val="single" w:sz="4" w:space="0" w:color="auto"/>
              <w:bottom w:val="single" w:sz="4" w:space="0" w:color="auto"/>
              <w:right w:val="single" w:sz="4" w:space="0" w:color="auto"/>
            </w:tcBorders>
            <w:hideMark/>
          </w:tcPr>
          <w:p w14:paraId="5176BD76" w14:textId="77777777" w:rsidR="008679FB" w:rsidRPr="008D5E71" w:rsidRDefault="008679FB" w:rsidP="00CF6705">
            <w:pPr>
              <w:rPr>
                <w:rFonts w:ascii="Calibri" w:hAnsi="Calibri" w:cs="Arial"/>
              </w:rPr>
            </w:pPr>
            <w:r w:rsidRPr="008D5E71">
              <w:rPr>
                <w:rFonts w:ascii="Calibri" w:hAnsi="Calibri" w:cs="Arial"/>
              </w:rPr>
              <w:t>As a local authority PCC is heavily dependent on the amount of funding that ‘Westminster’ allocates to Wales and thus Welsh Government to Local Authorities</w:t>
            </w:r>
            <w:r>
              <w:rPr>
                <w:rFonts w:ascii="Calibri" w:hAnsi="Calibri" w:cs="Arial"/>
              </w:rPr>
              <w:t>. We have also become dependent on European Funding and Brexit will have a huge impact on the funding we already hold coming to end.</w:t>
            </w:r>
          </w:p>
        </w:tc>
        <w:tc>
          <w:tcPr>
            <w:tcW w:w="3042" w:type="dxa"/>
            <w:tcBorders>
              <w:top w:val="single" w:sz="4" w:space="0" w:color="auto"/>
              <w:left w:val="single" w:sz="4" w:space="0" w:color="auto"/>
              <w:bottom w:val="single" w:sz="4" w:space="0" w:color="auto"/>
              <w:right w:val="single" w:sz="4" w:space="0" w:color="auto"/>
            </w:tcBorders>
          </w:tcPr>
          <w:p w14:paraId="534F4257" w14:textId="77777777" w:rsidR="008679FB" w:rsidRPr="008D5E71" w:rsidRDefault="008679FB" w:rsidP="00CF6705">
            <w:pPr>
              <w:rPr>
                <w:rFonts w:ascii="Calibri" w:hAnsi="Calibri" w:cs="Arial"/>
              </w:rPr>
            </w:pPr>
            <w:r w:rsidRPr="008D5E71">
              <w:rPr>
                <w:rFonts w:ascii="Calibri" w:hAnsi="Calibri" w:cs="Arial"/>
              </w:rPr>
              <w:t>The impact of reduced funding could potentially</w:t>
            </w:r>
            <w:r>
              <w:rPr>
                <w:rFonts w:ascii="Calibri" w:hAnsi="Calibri" w:cs="Arial"/>
              </w:rPr>
              <w:t xml:space="preserve"> mean an organisation restructure and redundancies/redeployment. All of this will mean HR will be supporting Line Managers &amp; employees with communications, consultations etc.</w:t>
            </w:r>
          </w:p>
        </w:tc>
      </w:tr>
      <w:tr w:rsidR="008679FB" w14:paraId="4E8668FE" w14:textId="77777777" w:rsidTr="00CF6705">
        <w:trPr>
          <w:trHeight w:val="877"/>
        </w:trPr>
        <w:tc>
          <w:tcPr>
            <w:tcW w:w="1584" w:type="dxa"/>
            <w:tcBorders>
              <w:top w:val="single" w:sz="4" w:space="0" w:color="auto"/>
              <w:left w:val="single" w:sz="4" w:space="0" w:color="auto"/>
              <w:bottom w:val="single" w:sz="4" w:space="0" w:color="auto"/>
              <w:right w:val="single" w:sz="4" w:space="0" w:color="auto"/>
            </w:tcBorders>
            <w:hideMark/>
          </w:tcPr>
          <w:p w14:paraId="76D008B6" w14:textId="77777777" w:rsidR="008679FB" w:rsidRDefault="008679FB" w:rsidP="00CF6705">
            <w:pPr>
              <w:rPr>
                <w:rFonts w:ascii="Arial" w:hAnsi="Arial" w:cs="Arial"/>
              </w:rPr>
            </w:pPr>
            <w:r>
              <w:rPr>
                <w:rFonts w:ascii="Arial" w:hAnsi="Arial" w:cs="Arial"/>
                <w:b/>
                <w:sz w:val="28"/>
              </w:rPr>
              <w:t>O</w:t>
            </w:r>
            <w:r>
              <w:rPr>
                <w:rFonts w:ascii="Arial" w:hAnsi="Arial" w:cs="Arial"/>
                <w:i/>
              </w:rPr>
              <w:t>pportunities</w:t>
            </w:r>
          </w:p>
        </w:tc>
        <w:tc>
          <w:tcPr>
            <w:tcW w:w="2846" w:type="dxa"/>
            <w:tcBorders>
              <w:top w:val="single" w:sz="4" w:space="0" w:color="auto"/>
              <w:left w:val="single" w:sz="4" w:space="0" w:color="auto"/>
              <w:bottom w:val="single" w:sz="4" w:space="0" w:color="auto"/>
              <w:right w:val="single" w:sz="4" w:space="0" w:color="auto"/>
            </w:tcBorders>
            <w:hideMark/>
          </w:tcPr>
          <w:p w14:paraId="25EB2927" w14:textId="77777777" w:rsidR="008679FB" w:rsidRDefault="008679FB" w:rsidP="00CF6705">
            <w:pPr>
              <w:rPr>
                <w:rFonts w:cs="Arial"/>
              </w:rPr>
            </w:pPr>
            <w:r>
              <w:rPr>
                <w:rFonts w:ascii="Arial" w:hAnsi="Arial" w:cs="Arial"/>
                <w:b/>
              </w:rPr>
              <w:t>&gt;</w:t>
            </w:r>
            <w:r>
              <w:rPr>
                <w:rFonts w:cs="Arial"/>
                <w:b/>
              </w:rPr>
              <w:t xml:space="preserve"> </w:t>
            </w:r>
            <w:r>
              <w:rPr>
                <w:rFonts w:cs="Arial"/>
              </w:rPr>
              <w:t>TECHNOLOGY</w:t>
            </w:r>
          </w:p>
        </w:tc>
        <w:tc>
          <w:tcPr>
            <w:tcW w:w="3509" w:type="dxa"/>
            <w:tcBorders>
              <w:top w:val="single" w:sz="4" w:space="0" w:color="auto"/>
              <w:left w:val="single" w:sz="4" w:space="0" w:color="auto"/>
              <w:bottom w:val="single" w:sz="4" w:space="0" w:color="auto"/>
              <w:right w:val="single" w:sz="4" w:space="0" w:color="auto"/>
            </w:tcBorders>
          </w:tcPr>
          <w:p w14:paraId="49967A89" w14:textId="27FC1EB0" w:rsidR="008679FB" w:rsidRPr="00F92439" w:rsidRDefault="008679FB" w:rsidP="00CF6705">
            <w:pPr>
              <w:rPr>
                <w:rFonts w:ascii="Calibri" w:hAnsi="Calibri" w:cs="Arial"/>
              </w:rPr>
            </w:pPr>
            <w:r>
              <w:rPr>
                <w:rFonts w:ascii="Calibri" w:hAnsi="Calibri" w:cs="Arial"/>
              </w:rPr>
              <w:t xml:space="preserve">The PCC Contact Centre have recently introduced an AI robot called ‘Penfro’. This robot will respond to calls to the contact </w:t>
            </w:r>
            <w:r>
              <w:rPr>
                <w:rFonts w:ascii="Calibri" w:hAnsi="Calibri" w:cs="Arial"/>
              </w:rPr>
              <w:lastRenderedPageBreak/>
              <w:t xml:space="preserve">centre answering common questions. It has the ability to develop its memory and thus answer more complicated queries. At first the contact centre staff were concerned about their own job </w:t>
            </w:r>
            <w:r w:rsidR="000A265B">
              <w:rPr>
                <w:rFonts w:ascii="Calibri" w:hAnsi="Calibri" w:cs="Arial"/>
              </w:rPr>
              <w:t>security; however,</w:t>
            </w:r>
            <w:r>
              <w:rPr>
                <w:rFonts w:ascii="Calibri" w:hAnsi="Calibri" w:cs="Arial"/>
              </w:rPr>
              <w:t xml:space="preserve"> this has now become an opportunity for them to be developed and their roles less repetitive. As an organisation is highlights how we are embracing technology and using it to be more effective and productive.</w:t>
            </w:r>
          </w:p>
        </w:tc>
        <w:tc>
          <w:tcPr>
            <w:tcW w:w="3042" w:type="dxa"/>
            <w:tcBorders>
              <w:top w:val="single" w:sz="4" w:space="0" w:color="auto"/>
              <w:left w:val="single" w:sz="4" w:space="0" w:color="auto"/>
              <w:bottom w:val="single" w:sz="4" w:space="0" w:color="auto"/>
              <w:right w:val="single" w:sz="4" w:space="0" w:color="auto"/>
            </w:tcBorders>
            <w:hideMark/>
          </w:tcPr>
          <w:p w14:paraId="2CE7AA8B" w14:textId="77777777" w:rsidR="008679FB" w:rsidRPr="00732CBD" w:rsidRDefault="008679FB" w:rsidP="00CF6705">
            <w:pPr>
              <w:rPr>
                <w:rFonts w:ascii="Calibri" w:hAnsi="Calibri" w:cs="Arial"/>
              </w:rPr>
            </w:pPr>
            <w:r w:rsidRPr="00732CBD">
              <w:rPr>
                <w:rFonts w:ascii="Calibri" w:hAnsi="Calibri" w:cs="Arial"/>
              </w:rPr>
              <w:lastRenderedPageBreak/>
              <w:t>HR provided support to contact centre Line Managers with communications and change of role for some staff.</w:t>
            </w:r>
          </w:p>
        </w:tc>
      </w:tr>
      <w:tr w:rsidR="008679FB" w14:paraId="181D33A6" w14:textId="77777777" w:rsidTr="00CF6705">
        <w:trPr>
          <w:trHeight w:val="877"/>
        </w:trPr>
        <w:tc>
          <w:tcPr>
            <w:tcW w:w="1584" w:type="dxa"/>
            <w:tcBorders>
              <w:top w:val="single" w:sz="4" w:space="0" w:color="auto"/>
              <w:left w:val="single" w:sz="4" w:space="0" w:color="auto"/>
              <w:bottom w:val="single" w:sz="4" w:space="0" w:color="auto"/>
              <w:right w:val="single" w:sz="4" w:space="0" w:color="auto"/>
            </w:tcBorders>
            <w:hideMark/>
          </w:tcPr>
          <w:p w14:paraId="1576B197" w14:textId="77777777" w:rsidR="008679FB" w:rsidRDefault="008679FB" w:rsidP="00CF6705">
            <w:pPr>
              <w:rPr>
                <w:rFonts w:ascii="Arial" w:hAnsi="Arial" w:cs="Arial"/>
              </w:rPr>
            </w:pPr>
            <w:r>
              <w:rPr>
                <w:rFonts w:ascii="Arial" w:hAnsi="Arial" w:cs="Arial"/>
                <w:b/>
                <w:sz w:val="28"/>
              </w:rPr>
              <w:t>T</w:t>
            </w:r>
            <w:r>
              <w:rPr>
                <w:rFonts w:ascii="Arial" w:hAnsi="Arial" w:cs="Arial"/>
                <w:i/>
              </w:rPr>
              <w:t>hreats</w:t>
            </w:r>
          </w:p>
        </w:tc>
        <w:tc>
          <w:tcPr>
            <w:tcW w:w="2846" w:type="dxa"/>
            <w:tcBorders>
              <w:top w:val="single" w:sz="4" w:space="0" w:color="auto"/>
              <w:left w:val="single" w:sz="4" w:space="0" w:color="auto"/>
              <w:bottom w:val="single" w:sz="4" w:space="0" w:color="auto"/>
              <w:right w:val="single" w:sz="4" w:space="0" w:color="auto"/>
            </w:tcBorders>
          </w:tcPr>
          <w:p w14:paraId="0587B51E" w14:textId="77777777" w:rsidR="008679FB" w:rsidRDefault="008679FB" w:rsidP="00CF6705">
            <w:pPr>
              <w:rPr>
                <w:bCs/>
                <w:lang w:val="en-US"/>
              </w:rPr>
            </w:pPr>
            <w:r>
              <w:rPr>
                <w:bCs/>
                <w:lang w:val="en-US"/>
              </w:rPr>
              <w:t>BREXIT</w:t>
            </w:r>
          </w:p>
          <w:p w14:paraId="423BE969" w14:textId="77777777" w:rsidR="008679FB" w:rsidRDefault="008679FB" w:rsidP="00CF6705">
            <w:pPr>
              <w:rPr>
                <w:bCs/>
                <w:lang w:val="en-US"/>
              </w:rPr>
            </w:pPr>
          </w:p>
          <w:p w14:paraId="0F762CC0" w14:textId="77777777" w:rsidR="008679FB" w:rsidRDefault="008679FB" w:rsidP="00CF6705">
            <w:pPr>
              <w:rPr>
                <w:bCs/>
                <w:lang w:val="en-US"/>
              </w:rPr>
            </w:pPr>
          </w:p>
          <w:p w14:paraId="439F7FCA" w14:textId="77777777" w:rsidR="008679FB" w:rsidRDefault="008679FB" w:rsidP="00CF6705">
            <w:pPr>
              <w:rPr>
                <w:bCs/>
                <w:lang w:val="en-US"/>
              </w:rPr>
            </w:pPr>
          </w:p>
          <w:p w14:paraId="58F65182" w14:textId="77777777" w:rsidR="008679FB" w:rsidRDefault="008679FB" w:rsidP="00CF6705">
            <w:pPr>
              <w:rPr>
                <w:bCs/>
                <w:lang w:val="en-US"/>
              </w:rPr>
            </w:pPr>
          </w:p>
          <w:p w14:paraId="7CA1BBFE" w14:textId="77777777" w:rsidR="008679FB" w:rsidRDefault="008679FB" w:rsidP="00CF6705">
            <w:pPr>
              <w:rPr>
                <w:bCs/>
                <w:lang w:val="en-US"/>
              </w:rPr>
            </w:pPr>
          </w:p>
          <w:p w14:paraId="63B60252" w14:textId="77777777" w:rsidR="008679FB" w:rsidRDefault="008679FB" w:rsidP="00CF6705">
            <w:pPr>
              <w:rPr>
                <w:bCs/>
                <w:lang w:val="en-US"/>
              </w:rPr>
            </w:pPr>
          </w:p>
          <w:p w14:paraId="5883F827" w14:textId="77777777" w:rsidR="008679FB" w:rsidRDefault="008679FB" w:rsidP="00CF6705">
            <w:pPr>
              <w:rPr>
                <w:rFonts w:cs="Arial"/>
              </w:rPr>
            </w:pPr>
            <w:r>
              <w:rPr>
                <w:b/>
                <w:bCs/>
                <w:lang w:val="en-US"/>
              </w:rPr>
              <w:t xml:space="preserve">&gt; </w:t>
            </w:r>
            <w:r>
              <w:rPr>
                <w:bCs/>
                <w:lang w:val="en-US"/>
              </w:rPr>
              <w:t>BREXIT</w:t>
            </w:r>
          </w:p>
        </w:tc>
        <w:tc>
          <w:tcPr>
            <w:tcW w:w="3509" w:type="dxa"/>
            <w:tcBorders>
              <w:top w:val="single" w:sz="4" w:space="0" w:color="auto"/>
              <w:left w:val="single" w:sz="4" w:space="0" w:color="auto"/>
              <w:bottom w:val="single" w:sz="4" w:space="0" w:color="auto"/>
              <w:right w:val="single" w:sz="4" w:space="0" w:color="auto"/>
            </w:tcBorders>
          </w:tcPr>
          <w:p w14:paraId="59D3CD61" w14:textId="77777777" w:rsidR="008679FB" w:rsidRDefault="008679FB" w:rsidP="00CF6705">
            <w:pPr>
              <w:rPr>
                <w:rFonts w:ascii="Calibri" w:hAnsi="Calibri"/>
                <w:lang w:val="en-US"/>
              </w:rPr>
            </w:pPr>
            <w:r>
              <w:rPr>
                <w:lang w:val="en-US"/>
              </w:rPr>
              <w:t xml:space="preserve">The uncertainty of </w:t>
            </w:r>
            <w:r w:rsidRPr="00732CBD">
              <w:rPr>
                <w:rFonts w:ascii="Calibri" w:hAnsi="Calibri"/>
                <w:lang w:val="en-US"/>
              </w:rPr>
              <w:t>Brexit</w:t>
            </w:r>
            <w:r>
              <w:rPr>
                <w:rFonts w:ascii="Calibri" w:hAnsi="Calibri"/>
                <w:lang w:val="en-US"/>
              </w:rPr>
              <w:t xml:space="preserve"> the unknown of how it will impact PCC has been ‘hanging’ around for a long time. </w:t>
            </w:r>
          </w:p>
          <w:p w14:paraId="2D7ADA95" w14:textId="77777777" w:rsidR="008679FB" w:rsidRDefault="008679FB" w:rsidP="00CF6705">
            <w:pPr>
              <w:rPr>
                <w:lang w:val="en-US"/>
              </w:rPr>
            </w:pPr>
            <w:r>
              <w:rPr>
                <w:rFonts w:ascii="Calibri" w:hAnsi="Calibri"/>
                <w:lang w:val="en-US"/>
              </w:rPr>
              <w:t xml:space="preserve">It is challenging to set this aside and continue with a business as usual approach. PCC does a ‘plan’ in place but there are many unknowns e.g. employing migrant workers, possible to change in guidelines or standards. </w:t>
            </w:r>
          </w:p>
          <w:p w14:paraId="5D203F86" w14:textId="77777777" w:rsidR="008679FB" w:rsidRDefault="008679FB" w:rsidP="00CF6705">
            <w:pPr>
              <w:rPr>
                <w:rFonts w:cs="Arial"/>
                <w:lang w:val="en-US"/>
              </w:rPr>
            </w:pPr>
          </w:p>
        </w:tc>
        <w:tc>
          <w:tcPr>
            <w:tcW w:w="3042" w:type="dxa"/>
            <w:tcBorders>
              <w:top w:val="single" w:sz="4" w:space="0" w:color="auto"/>
              <w:left w:val="single" w:sz="4" w:space="0" w:color="auto"/>
              <w:bottom w:val="single" w:sz="4" w:space="0" w:color="auto"/>
              <w:right w:val="single" w:sz="4" w:space="0" w:color="auto"/>
            </w:tcBorders>
          </w:tcPr>
          <w:p w14:paraId="3931D6C4" w14:textId="77777777" w:rsidR="008679FB" w:rsidRDefault="008679FB" w:rsidP="00CF6705">
            <w:pPr>
              <w:rPr>
                <w:rFonts w:cs="Arial"/>
                <w:lang w:val="en-US"/>
              </w:rPr>
            </w:pPr>
            <w:r>
              <w:rPr>
                <w:rFonts w:cs="Arial"/>
                <w:lang w:val="en-US"/>
              </w:rPr>
              <w:t>The implications could be an increase or reduction of staff. Change in employment law and regulations. The requirement for new policies etc.</w:t>
            </w:r>
          </w:p>
          <w:p w14:paraId="4808E3EF" w14:textId="77777777" w:rsidR="008679FB" w:rsidRPr="00E86E93" w:rsidRDefault="008679FB" w:rsidP="00CF6705">
            <w:pPr>
              <w:rPr>
                <w:rFonts w:cs="Arial"/>
                <w:lang w:val="en-US"/>
              </w:rPr>
            </w:pPr>
          </w:p>
        </w:tc>
      </w:tr>
    </w:tbl>
    <w:p w14:paraId="38497314" w14:textId="26EEABFD" w:rsidR="008679FB" w:rsidRDefault="008679FB" w:rsidP="008679FB">
      <w:pPr>
        <w:rPr>
          <w:rFonts w:ascii="Arial" w:hAnsi="Arial" w:cs="Arial"/>
          <w:b/>
          <w:bCs/>
          <w:sz w:val="24"/>
          <w:szCs w:val="24"/>
        </w:rPr>
      </w:pPr>
    </w:p>
    <w:p w14:paraId="4ECEDC24" w14:textId="20F97469" w:rsidR="008679FB" w:rsidRDefault="008679FB" w:rsidP="008679FB">
      <w:pPr>
        <w:pStyle w:val="ListParagraph"/>
        <w:numPr>
          <w:ilvl w:val="0"/>
          <w:numId w:val="14"/>
        </w:numPr>
        <w:rPr>
          <w:rFonts w:ascii="Arial" w:hAnsi="Arial" w:cs="Arial"/>
          <w:b/>
          <w:bCs/>
          <w:sz w:val="24"/>
          <w:szCs w:val="24"/>
        </w:rPr>
      </w:pPr>
      <w:r>
        <w:rPr>
          <w:rFonts w:ascii="Arial" w:hAnsi="Arial" w:cs="Arial"/>
          <w:b/>
          <w:bCs/>
          <w:sz w:val="24"/>
          <w:szCs w:val="24"/>
        </w:rPr>
        <w:t>Once stage 1 is completed, further consider how the specific forces impacting on the organisation, might affect the organisation’s HR function.</w:t>
      </w:r>
    </w:p>
    <w:p w14:paraId="1CF3AC6D" w14:textId="431C14E7" w:rsidR="008679FB" w:rsidRDefault="008679FB" w:rsidP="008679FB">
      <w:pPr>
        <w:ind w:left="-76"/>
        <w:rPr>
          <w:rFonts w:ascii="Arial" w:hAnsi="Arial" w:cs="Arial"/>
          <w:sz w:val="24"/>
          <w:szCs w:val="24"/>
        </w:rPr>
      </w:pPr>
      <w:r>
        <w:rPr>
          <w:rFonts w:ascii="Arial" w:hAnsi="Arial" w:cs="Arial"/>
          <w:sz w:val="24"/>
          <w:szCs w:val="24"/>
        </w:rPr>
        <w:t xml:space="preserve">As you can see from the PESTLE and SWOT analysis undertaken on Pembrokeshire County Council (PCC), column 4 on both analysis </w:t>
      </w:r>
      <w:r w:rsidR="00860A5B">
        <w:rPr>
          <w:rFonts w:ascii="Arial" w:hAnsi="Arial" w:cs="Arial"/>
          <w:sz w:val="24"/>
          <w:szCs w:val="24"/>
        </w:rPr>
        <w:t xml:space="preserve">techniques </w:t>
      </w:r>
      <w:r>
        <w:rPr>
          <w:rFonts w:ascii="Arial" w:hAnsi="Arial" w:cs="Arial"/>
          <w:sz w:val="24"/>
          <w:szCs w:val="24"/>
        </w:rPr>
        <w:t>has addressed the impact these forces have had on the PCC HR function going forward.</w:t>
      </w:r>
    </w:p>
    <w:p w14:paraId="6EABFC77" w14:textId="57015538" w:rsidR="008679FB" w:rsidRDefault="008679FB" w:rsidP="008679FB">
      <w:pPr>
        <w:ind w:left="-76"/>
        <w:rPr>
          <w:rFonts w:ascii="Arial" w:hAnsi="Arial" w:cs="Arial"/>
          <w:sz w:val="24"/>
          <w:szCs w:val="24"/>
        </w:rPr>
      </w:pPr>
    </w:p>
    <w:p w14:paraId="692F2613" w14:textId="421305BB" w:rsidR="008679FB" w:rsidRDefault="00F56E84" w:rsidP="008679FB">
      <w:pPr>
        <w:pStyle w:val="ListParagraph"/>
        <w:numPr>
          <w:ilvl w:val="0"/>
          <w:numId w:val="14"/>
        </w:numPr>
        <w:rPr>
          <w:rFonts w:ascii="Arial" w:hAnsi="Arial" w:cs="Arial"/>
          <w:b/>
          <w:bCs/>
          <w:sz w:val="24"/>
          <w:szCs w:val="24"/>
        </w:rPr>
      </w:pPr>
      <w:r w:rsidRPr="00F56E84">
        <w:rPr>
          <w:rFonts w:ascii="Arial" w:hAnsi="Arial" w:cs="Arial"/>
          <w:b/>
          <w:bCs/>
          <w:sz w:val="24"/>
          <w:szCs w:val="24"/>
        </w:rPr>
        <w:t>Write a short report briefly explaining the analysis techniques/tools you used and summarising the conclusions from both stages.</w:t>
      </w:r>
    </w:p>
    <w:p w14:paraId="6ECFC11B" w14:textId="0D928CD9" w:rsidR="003B16C2" w:rsidRPr="003B16C2" w:rsidRDefault="003B16C2" w:rsidP="003B16C2">
      <w:pPr>
        <w:ind w:left="-76"/>
        <w:rPr>
          <w:rFonts w:ascii="Arial" w:hAnsi="Arial" w:cs="Arial"/>
          <w:b/>
          <w:bCs/>
          <w:sz w:val="24"/>
          <w:szCs w:val="24"/>
        </w:rPr>
      </w:pPr>
      <w:r>
        <w:rPr>
          <w:rFonts w:ascii="Arial" w:hAnsi="Arial" w:cs="Arial"/>
          <w:b/>
          <w:bCs/>
          <w:sz w:val="24"/>
          <w:szCs w:val="24"/>
        </w:rPr>
        <w:t>PESTLE analysis</w:t>
      </w:r>
    </w:p>
    <w:p w14:paraId="4424C870" w14:textId="77777777" w:rsidR="004931A4" w:rsidRDefault="004C2215" w:rsidP="00F56E84">
      <w:pPr>
        <w:ind w:left="-76"/>
        <w:rPr>
          <w:rFonts w:ascii="Arial" w:hAnsi="Arial" w:cs="Arial"/>
          <w:sz w:val="24"/>
          <w:szCs w:val="24"/>
        </w:rPr>
      </w:pPr>
      <w:r>
        <w:rPr>
          <w:rFonts w:ascii="Arial" w:hAnsi="Arial" w:cs="Arial"/>
          <w:sz w:val="24"/>
          <w:szCs w:val="24"/>
        </w:rPr>
        <w:t>The PESTLE analysis tool is used to identify the external factors that affect the organisation. Identifying such factors can help shape the organisational strategy and m</w:t>
      </w:r>
      <w:r w:rsidR="00165105">
        <w:rPr>
          <w:rFonts w:ascii="Arial" w:hAnsi="Arial" w:cs="Arial"/>
          <w:sz w:val="24"/>
          <w:szCs w:val="24"/>
        </w:rPr>
        <w:t>inimise any risks</w:t>
      </w:r>
      <w:r w:rsidR="004931A4">
        <w:rPr>
          <w:rFonts w:ascii="Arial" w:hAnsi="Arial" w:cs="Arial"/>
          <w:sz w:val="24"/>
          <w:szCs w:val="24"/>
        </w:rPr>
        <w:t xml:space="preserve">. </w:t>
      </w:r>
    </w:p>
    <w:p w14:paraId="3D63E19B" w14:textId="1F1AF4CE" w:rsidR="004931A4" w:rsidRDefault="004931A4" w:rsidP="00F56E84">
      <w:pPr>
        <w:ind w:left="-76"/>
        <w:rPr>
          <w:rFonts w:ascii="Arial" w:hAnsi="Arial" w:cs="Arial"/>
          <w:sz w:val="24"/>
          <w:szCs w:val="24"/>
        </w:rPr>
      </w:pPr>
      <w:r>
        <w:rPr>
          <w:rFonts w:ascii="Arial" w:hAnsi="Arial" w:cs="Arial"/>
          <w:sz w:val="24"/>
          <w:szCs w:val="24"/>
        </w:rPr>
        <w:t xml:space="preserve">(CIPD, 2020) refers to a PESTLE analysis being a </w:t>
      </w:r>
      <w:r w:rsidR="00860A5B">
        <w:rPr>
          <w:rFonts w:ascii="Arial" w:hAnsi="Arial" w:cs="Arial"/>
          <w:sz w:val="24"/>
          <w:szCs w:val="24"/>
        </w:rPr>
        <w:t>review</w:t>
      </w:r>
      <w:r>
        <w:rPr>
          <w:rFonts w:ascii="Arial" w:hAnsi="Arial" w:cs="Arial"/>
          <w:sz w:val="24"/>
          <w:szCs w:val="24"/>
        </w:rPr>
        <w:t xml:space="preserve"> of six external </w:t>
      </w:r>
      <w:r w:rsidR="00860A5B">
        <w:rPr>
          <w:rFonts w:ascii="Arial" w:hAnsi="Arial" w:cs="Arial"/>
          <w:sz w:val="24"/>
          <w:szCs w:val="24"/>
        </w:rPr>
        <w:t>impacts</w:t>
      </w:r>
      <w:r>
        <w:rPr>
          <w:rFonts w:ascii="Arial" w:hAnsi="Arial" w:cs="Arial"/>
          <w:sz w:val="24"/>
          <w:szCs w:val="24"/>
        </w:rPr>
        <w:t xml:space="preserve"> on an organisation – these being:</w:t>
      </w:r>
    </w:p>
    <w:p w14:paraId="62CD46DE" w14:textId="65921BC8" w:rsidR="00860A5B" w:rsidRDefault="004120F2" w:rsidP="004120F2">
      <w:pPr>
        <w:pStyle w:val="ListParagraph"/>
        <w:numPr>
          <w:ilvl w:val="0"/>
          <w:numId w:val="16"/>
        </w:numPr>
        <w:rPr>
          <w:rFonts w:ascii="Arial" w:hAnsi="Arial" w:cs="Arial"/>
          <w:sz w:val="24"/>
          <w:szCs w:val="24"/>
        </w:rPr>
      </w:pPr>
      <w:r w:rsidRPr="004120F2">
        <w:rPr>
          <w:rFonts w:ascii="Arial" w:hAnsi="Arial" w:cs="Arial"/>
          <w:b/>
          <w:bCs/>
          <w:sz w:val="24"/>
          <w:szCs w:val="24"/>
        </w:rPr>
        <w:t>Political</w:t>
      </w:r>
      <w:r>
        <w:rPr>
          <w:rFonts w:ascii="Arial" w:hAnsi="Arial" w:cs="Arial"/>
          <w:sz w:val="24"/>
          <w:szCs w:val="24"/>
        </w:rPr>
        <w:t xml:space="preserve"> – this includes tax policy; tariffs; environmental restrictions.</w:t>
      </w:r>
    </w:p>
    <w:p w14:paraId="777E6869" w14:textId="676D4237" w:rsidR="004120F2" w:rsidRDefault="004120F2" w:rsidP="004120F2">
      <w:pPr>
        <w:pStyle w:val="ListParagraph"/>
        <w:numPr>
          <w:ilvl w:val="0"/>
          <w:numId w:val="16"/>
        </w:numPr>
        <w:rPr>
          <w:rFonts w:ascii="Arial" w:hAnsi="Arial" w:cs="Arial"/>
          <w:sz w:val="24"/>
          <w:szCs w:val="24"/>
        </w:rPr>
      </w:pPr>
      <w:r w:rsidRPr="004120F2">
        <w:rPr>
          <w:rFonts w:ascii="Arial" w:hAnsi="Arial" w:cs="Arial"/>
          <w:b/>
          <w:bCs/>
          <w:sz w:val="24"/>
          <w:szCs w:val="24"/>
        </w:rPr>
        <w:t xml:space="preserve">Economic </w:t>
      </w:r>
      <w:r>
        <w:rPr>
          <w:rFonts w:ascii="Arial" w:hAnsi="Arial" w:cs="Arial"/>
          <w:sz w:val="24"/>
          <w:szCs w:val="24"/>
        </w:rPr>
        <w:t>– inflation and wages; minimum wage; working hours; cost of living; unemployment rates.</w:t>
      </w:r>
    </w:p>
    <w:p w14:paraId="685386F5" w14:textId="227958AB" w:rsidR="004120F2" w:rsidRDefault="004120F2" w:rsidP="004120F2">
      <w:pPr>
        <w:pStyle w:val="ListParagraph"/>
        <w:numPr>
          <w:ilvl w:val="0"/>
          <w:numId w:val="16"/>
        </w:numPr>
        <w:rPr>
          <w:rFonts w:ascii="Arial" w:hAnsi="Arial" w:cs="Arial"/>
          <w:sz w:val="24"/>
          <w:szCs w:val="24"/>
        </w:rPr>
      </w:pPr>
      <w:r w:rsidRPr="004120F2">
        <w:rPr>
          <w:rFonts w:ascii="Arial" w:hAnsi="Arial" w:cs="Arial"/>
          <w:b/>
          <w:bCs/>
          <w:sz w:val="24"/>
          <w:szCs w:val="24"/>
        </w:rPr>
        <w:lastRenderedPageBreak/>
        <w:t xml:space="preserve">Sociological </w:t>
      </w:r>
      <w:r>
        <w:rPr>
          <w:rFonts w:ascii="Arial" w:hAnsi="Arial" w:cs="Arial"/>
          <w:sz w:val="24"/>
          <w:szCs w:val="24"/>
        </w:rPr>
        <w:t>– population growth rates; age allocation; health and safety.</w:t>
      </w:r>
    </w:p>
    <w:p w14:paraId="244B61C7" w14:textId="350C1E0F" w:rsidR="004120F2" w:rsidRDefault="004120F2" w:rsidP="004120F2">
      <w:pPr>
        <w:pStyle w:val="ListParagraph"/>
        <w:numPr>
          <w:ilvl w:val="0"/>
          <w:numId w:val="16"/>
        </w:numPr>
        <w:rPr>
          <w:rFonts w:ascii="Arial" w:hAnsi="Arial" w:cs="Arial"/>
          <w:sz w:val="24"/>
          <w:szCs w:val="24"/>
        </w:rPr>
      </w:pPr>
      <w:r>
        <w:rPr>
          <w:rFonts w:ascii="Arial" w:hAnsi="Arial" w:cs="Arial"/>
          <w:b/>
          <w:bCs/>
          <w:sz w:val="24"/>
          <w:szCs w:val="24"/>
        </w:rPr>
        <w:t xml:space="preserve">Technological </w:t>
      </w:r>
      <w:r>
        <w:rPr>
          <w:rFonts w:ascii="Arial" w:hAnsi="Arial" w:cs="Arial"/>
          <w:sz w:val="24"/>
          <w:szCs w:val="24"/>
        </w:rPr>
        <w:t>– new technology such as Artificial Intelligence (AI); its effect on products and services.</w:t>
      </w:r>
    </w:p>
    <w:p w14:paraId="2CE9F3C0" w14:textId="65303AB6" w:rsidR="004120F2" w:rsidRDefault="004120F2" w:rsidP="004120F2">
      <w:pPr>
        <w:pStyle w:val="ListParagraph"/>
        <w:numPr>
          <w:ilvl w:val="0"/>
          <w:numId w:val="16"/>
        </w:numPr>
        <w:rPr>
          <w:rFonts w:ascii="Arial" w:hAnsi="Arial" w:cs="Arial"/>
          <w:sz w:val="24"/>
          <w:szCs w:val="24"/>
        </w:rPr>
      </w:pPr>
      <w:r>
        <w:rPr>
          <w:rFonts w:ascii="Arial" w:hAnsi="Arial" w:cs="Arial"/>
          <w:b/>
          <w:bCs/>
          <w:sz w:val="24"/>
          <w:szCs w:val="24"/>
        </w:rPr>
        <w:t xml:space="preserve">Legal </w:t>
      </w:r>
      <w:r>
        <w:rPr>
          <w:rFonts w:ascii="Arial" w:hAnsi="Arial" w:cs="Arial"/>
          <w:sz w:val="24"/>
          <w:szCs w:val="24"/>
        </w:rPr>
        <w:t>– changes to employment legislation; taxation.</w:t>
      </w:r>
    </w:p>
    <w:p w14:paraId="42920F54" w14:textId="196ED067" w:rsidR="004120F2" w:rsidRDefault="004120F2" w:rsidP="004120F2">
      <w:pPr>
        <w:pStyle w:val="ListParagraph"/>
        <w:numPr>
          <w:ilvl w:val="0"/>
          <w:numId w:val="16"/>
        </w:numPr>
        <w:rPr>
          <w:rFonts w:ascii="Arial" w:hAnsi="Arial" w:cs="Arial"/>
          <w:sz w:val="24"/>
          <w:szCs w:val="24"/>
        </w:rPr>
      </w:pPr>
      <w:r>
        <w:rPr>
          <w:rFonts w:ascii="Arial" w:hAnsi="Arial" w:cs="Arial"/>
          <w:b/>
          <w:bCs/>
          <w:sz w:val="24"/>
          <w:szCs w:val="24"/>
        </w:rPr>
        <w:t xml:space="preserve">Environmental </w:t>
      </w:r>
      <w:r>
        <w:rPr>
          <w:rFonts w:ascii="Arial" w:hAnsi="Arial" w:cs="Arial"/>
          <w:sz w:val="24"/>
          <w:szCs w:val="24"/>
        </w:rPr>
        <w:t>– global warming; ethical sourcing.</w:t>
      </w:r>
    </w:p>
    <w:p w14:paraId="42EF72BB" w14:textId="5CE9E6BB" w:rsidR="004120F2" w:rsidRPr="004120F2" w:rsidRDefault="004120F2" w:rsidP="004120F2">
      <w:pPr>
        <w:rPr>
          <w:rFonts w:ascii="Arial" w:hAnsi="Arial" w:cs="Arial"/>
          <w:sz w:val="24"/>
          <w:szCs w:val="24"/>
        </w:rPr>
      </w:pPr>
      <w:r>
        <w:rPr>
          <w:rFonts w:ascii="Arial" w:hAnsi="Arial" w:cs="Arial"/>
          <w:sz w:val="24"/>
          <w:szCs w:val="24"/>
        </w:rPr>
        <w:t xml:space="preserve">Conducting such an analysis </w:t>
      </w:r>
      <w:r w:rsidR="00F1797D">
        <w:rPr>
          <w:rFonts w:ascii="Arial" w:hAnsi="Arial" w:cs="Arial"/>
          <w:sz w:val="24"/>
          <w:szCs w:val="24"/>
        </w:rPr>
        <w:t>will</w:t>
      </w:r>
      <w:r>
        <w:rPr>
          <w:rFonts w:ascii="Arial" w:hAnsi="Arial" w:cs="Arial"/>
          <w:sz w:val="24"/>
          <w:szCs w:val="24"/>
        </w:rPr>
        <w:t xml:space="preserve"> help organisations gain an understanding into these external influences that may impact strategy and business decisions. This tool allows HR and management to assess any potential risks specific to the industry </w:t>
      </w:r>
      <w:r w:rsidR="00F1797D">
        <w:rPr>
          <w:rFonts w:ascii="Arial" w:hAnsi="Arial" w:cs="Arial"/>
          <w:sz w:val="24"/>
          <w:szCs w:val="24"/>
        </w:rPr>
        <w:t>in which they work and use that knowledge to advise on their decisions.</w:t>
      </w:r>
    </w:p>
    <w:p w14:paraId="08588BE3" w14:textId="4CF0E681" w:rsidR="000A265B" w:rsidRDefault="00F1797D" w:rsidP="00F56E84">
      <w:pPr>
        <w:ind w:left="-76"/>
        <w:rPr>
          <w:rFonts w:ascii="Arial" w:hAnsi="Arial" w:cs="Arial"/>
          <w:sz w:val="24"/>
          <w:szCs w:val="24"/>
        </w:rPr>
      </w:pPr>
      <w:r>
        <w:rPr>
          <w:rFonts w:ascii="Arial" w:hAnsi="Arial" w:cs="Arial"/>
          <w:sz w:val="24"/>
          <w:szCs w:val="24"/>
        </w:rPr>
        <w:t>PCC’s PESTLE analysis has help</w:t>
      </w:r>
      <w:r w:rsidR="000A265B">
        <w:rPr>
          <w:rFonts w:ascii="Arial" w:hAnsi="Arial" w:cs="Arial"/>
          <w:sz w:val="24"/>
          <w:szCs w:val="24"/>
        </w:rPr>
        <w:t>ed</w:t>
      </w:r>
      <w:r w:rsidR="00B86D1A">
        <w:rPr>
          <w:rFonts w:ascii="Arial" w:hAnsi="Arial" w:cs="Arial"/>
          <w:sz w:val="24"/>
          <w:szCs w:val="24"/>
        </w:rPr>
        <w:t xml:space="preserve"> </w:t>
      </w:r>
      <w:r w:rsidR="004548DE">
        <w:rPr>
          <w:rFonts w:ascii="Arial" w:hAnsi="Arial" w:cs="Arial"/>
          <w:sz w:val="24"/>
          <w:szCs w:val="24"/>
        </w:rPr>
        <w:t xml:space="preserve">identify the external forces affecting local government and therefore, PCC can </w:t>
      </w:r>
      <w:r w:rsidR="000A265B">
        <w:rPr>
          <w:rFonts w:ascii="Arial" w:hAnsi="Arial" w:cs="Arial"/>
          <w:sz w:val="24"/>
          <w:szCs w:val="24"/>
        </w:rPr>
        <w:t>utilise</w:t>
      </w:r>
      <w:r>
        <w:rPr>
          <w:rFonts w:ascii="Arial" w:hAnsi="Arial" w:cs="Arial"/>
          <w:sz w:val="24"/>
          <w:szCs w:val="24"/>
        </w:rPr>
        <w:t xml:space="preserve"> a </w:t>
      </w:r>
      <w:r w:rsidR="00B86D1A">
        <w:rPr>
          <w:rFonts w:ascii="Arial" w:hAnsi="Arial" w:cs="Arial"/>
          <w:sz w:val="24"/>
          <w:szCs w:val="24"/>
        </w:rPr>
        <w:t>forward-thinking</w:t>
      </w:r>
      <w:r>
        <w:rPr>
          <w:rFonts w:ascii="Arial" w:hAnsi="Arial" w:cs="Arial"/>
          <w:sz w:val="24"/>
          <w:szCs w:val="24"/>
        </w:rPr>
        <w:t xml:space="preserve"> approach and </w:t>
      </w:r>
      <w:r w:rsidR="004548DE">
        <w:rPr>
          <w:rFonts w:ascii="Arial" w:hAnsi="Arial" w:cs="Arial"/>
          <w:sz w:val="24"/>
          <w:szCs w:val="24"/>
        </w:rPr>
        <w:t xml:space="preserve">adopt any </w:t>
      </w:r>
      <w:r w:rsidR="000A265B">
        <w:rPr>
          <w:rFonts w:ascii="Arial" w:hAnsi="Arial" w:cs="Arial"/>
          <w:sz w:val="24"/>
          <w:szCs w:val="24"/>
        </w:rPr>
        <w:t xml:space="preserve">change in legislation that HR needs to </w:t>
      </w:r>
      <w:r w:rsidR="004548DE">
        <w:rPr>
          <w:rFonts w:ascii="Arial" w:hAnsi="Arial" w:cs="Arial"/>
          <w:sz w:val="24"/>
          <w:szCs w:val="24"/>
        </w:rPr>
        <w:t xml:space="preserve">incorporate in </w:t>
      </w:r>
      <w:r w:rsidR="000A265B">
        <w:rPr>
          <w:rFonts w:ascii="Arial" w:hAnsi="Arial" w:cs="Arial"/>
          <w:sz w:val="24"/>
          <w:szCs w:val="24"/>
        </w:rPr>
        <w:t xml:space="preserve">policies and practices. For example, change in </w:t>
      </w:r>
      <w:r w:rsidR="00B86D1A">
        <w:rPr>
          <w:rFonts w:ascii="Arial" w:hAnsi="Arial" w:cs="Arial"/>
          <w:sz w:val="24"/>
          <w:szCs w:val="24"/>
        </w:rPr>
        <w:t>National Minimum Wage from 1</w:t>
      </w:r>
      <w:r w:rsidR="00B86D1A" w:rsidRPr="00B86D1A">
        <w:rPr>
          <w:rFonts w:ascii="Arial" w:hAnsi="Arial" w:cs="Arial"/>
          <w:sz w:val="24"/>
          <w:szCs w:val="24"/>
          <w:vertAlign w:val="superscript"/>
        </w:rPr>
        <w:t>st</w:t>
      </w:r>
      <w:r w:rsidR="00B86D1A">
        <w:rPr>
          <w:rFonts w:ascii="Arial" w:hAnsi="Arial" w:cs="Arial"/>
          <w:sz w:val="24"/>
          <w:szCs w:val="24"/>
        </w:rPr>
        <w:t xml:space="preserve"> April will have an adverse effect on current policies and procedures in place. These will need to be updated in line with Government regulations</w:t>
      </w:r>
      <w:r>
        <w:rPr>
          <w:rFonts w:ascii="Arial" w:hAnsi="Arial" w:cs="Arial"/>
          <w:sz w:val="24"/>
          <w:szCs w:val="24"/>
        </w:rPr>
        <w:t>.</w:t>
      </w:r>
    </w:p>
    <w:p w14:paraId="449F4236" w14:textId="47FB3A89" w:rsidR="00F56E84" w:rsidRDefault="00F1797D" w:rsidP="00F56E84">
      <w:pPr>
        <w:ind w:left="-76"/>
        <w:rPr>
          <w:rFonts w:ascii="Arial" w:hAnsi="Arial" w:cs="Arial"/>
          <w:sz w:val="24"/>
          <w:szCs w:val="24"/>
        </w:rPr>
      </w:pPr>
      <w:r>
        <w:rPr>
          <w:rFonts w:ascii="Arial" w:hAnsi="Arial" w:cs="Arial"/>
          <w:sz w:val="24"/>
          <w:szCs w:val="24"/>
        </w:rPr>
        <w:t xml:space="preserve"> </w:t>
      </w:r>
    </w:p>
    <w:p w14:paraId="63E990D7" w14:textId="7CBCD31A" w:rsidR="003B16C2" w:rsidRDefault="003B16C2" w:rsidP="003B16C2">
      <w:pPr>
        <w:ind w:left="-76"/>
        <w:rPr>
          <w:rFonts w:ascii="Arial" w:hAnsi="Arial" w:cs="Arial"/>
          <w:b/>
          <w:bCs/>
          <w:sz w:val="24"/>
          <w:szCs w:val="24"/>
        </w:rPr>
      </w:pPr>
      <w:r w:rsidRPr="003B16C2">
        <w:rPr>
          <w:rFonts w:ascii="Arial" w:hAnsi="Arial" w:cs="Arial"/>
          <w:b/>
          <w:bCs/>
          <w:sz w:val="24"/>
          <w:szCs w:val="24"/>
        </w:rPr>
        <w:t>SWOT analysis</w:t>
      </w:r>
    </w:p>
    <w:p w14:paraId="1EA979CA" w14:textId="28892882" w:rsidR="003E0275" w:rsidRDefault="003B16C2" w:rsidP="003E0275">
      <w:pPr>
        <w:ind w:left="-76"/>
        <w:rPr>
          <w:rFonts w:ascii="Arial" w:hAnsi="Arial" w:cs="Arial"/>
          <w:sz w:val="24"/>
          <w:szCs w:val="24"/>
        </w:rPr>
      </w:pPr>
      <w:r>
        <w:rPr>
          <w:rFonts w:ascii="Arial" w:hAnsi="Arial" w:cs="Arial"/>
          <w:sz w:val="24"/>
          <w:szCs w:val="24"/>
        </w:rPr>
        <w:t xml:space="preserve">(Farnham, 2015) describes a SWOT analysis focuses on strengths, weaknesses, opportunities and threats related to </w:t>
      </w:r>
      <w:r w:rsidR="003E0275">
        <w:rPr>
          <w:rFonts w:ascii="Arial" w:hAnsi="Arial" w:cs="Arial"/>
          <w:sz w:val="24"/>
          <w:szCs w:val="24"/>
        </w:rPr>
        <w:t>strategy. They provide a valuable way of vetting strategic decisions.</w:t>
      </w:r>
      <w:r w:rsidR="000A265B">
        <w:rPr>
          <w:rFonts w:ascii="Arial" w:hAnsi="Arial" w:cs="Arial"/>
          <w:sz w:val="24"/>
          <w:szCs w:val="24"/>
        </w:rPr>
        <w:t xml:space="preserve"> Please refer to </w:t>
      </w:r>
      <w:r w:rsidR="000A265B" w:rsidRPr="000A265B">
        <w:rPr>
          <w:rFonts w:ascii="Arial" w:hAnsi="Arial" w:cs="Arial"/>
          <w:b/>
          <w:bCs/>
          <w:i/>
          <w:iCs/>
          <w:sz w:val="24"/>
          <w:szCs w:val="24"/>
        </w:rPr>
        <w:t xml:space="preserve">figure </w:t>
      </w:r>
      <w:r w:rsidR="000A265B">
        <w:rPr>
          <w:rFonts w:ascii="Arial" w:hAnsi="Arial" w:cs="Arial"/>
          <w:b/>
          <w:bCs/>
          <w:i/>
          <w:iCs/>
          <w:sz w:val="24"/>
          <w:szCs w:val="24"/>
        </w:rPr>
        <w:t>1</w:t>
      </w:r>
      <w:r w:rsidR="000A265B">
        <w:rPr>
          <w:rFonts w:ascii="Arial" w:hAnsi="Arial" w:cs="Arial"/>
          <w:sz w:val="24"/>
          <w:szCs w:val="24"/>
        </w:rPr>
        <w:t xml:space="preserve"> in my activity 1 report for an example of a SWOT analysis. </w:t>
      </w:r>
      <w:r w:rsidR="003E0275">
        <w:rPr>
          <w:rFonts w:ascii="Arial" w:hAnsi="Arial" w:cs="Arial"/>
          <w:sz w:val="24"/>
          <w:szCs w:val="24"/>
        </w:rPr>
        <w:t xml:space="preserve">  </w:t>
      </w:r>
    </w:p>
    <w:p w14:paraId="72FB7651" w14:textId="0A6820E5" w:rsidR="003B16C2" w:rsidRPr="003B16C2" w:rsidRDefault="000A265B" w:rsidP="003B16C2">
      <w:pPr>
        <w:ind w:left="-76"/>
        <w:rPr>
          <w:rFonts w:ascii="Arial" w:hAnsi="Arial" w:cs="Arial"/>
          <w:sz w:val="24"/>
          <w:szCs w:val="24"/>
        </w:rPr>
      </w:pPr>
      <w:r>
        <w:rPr>
          <w:rFonts w:ascii="Arial" w:hAnsi="Arial" w:cs="Arial"/>
          <w:sz w:val="24"/>
          <w:szCs w:val="24"/>
        </w:rPr>
        <w:t xml:space="preserve">PCC’s SWOT analysis has identified that there is a lot of work that HR is required to do in terms of communication to line managers and employees in order to adopt new working practices. Without HR involvement and reassurance to </w:t>
      </w:r>
      <w:r w:rsidR="006050CF">
        <w:rPr>
          <w:rFonts w:ascii="Arial" w:hAnsi="Arial" w:cs="Arial"/>
          <w:sz w:val="24"/>
          <w:szCs w:val="24"/>
        </w:rPr>
        <w:t>these employees, there is a risk for lack of motivation/engagement. For example, PCC’s identified weakness is the potential lack of Government funding and uncertainty around BREXIT. HR will need to identify any potential jobs at risk and commence the management of change process ensuring that the employees at risk are fully engaged and communicated too.</w:t>
      </w:r>
    </w:p>
    <w:p w14:paraId="55DBCA3F" w14:textId="5A593579" w:rsidR="003B16C2" w:rsidRDefault="003B16C2" w:rsidP="00F56E84">
      <w:pPr>
        <w:ind w:left="-76"/>
        <w:rPr>
          <w:rFonts w:ascii="Arial" w:hAnsi="Arial" w:cs="Arial"/>
          <w:sz w:val="24"/>
          <w:szCs w:val="24"/>
        </w:rPr>
      </w:pPr>
    </w:p>
    <w:p w14:paraId="2B655167" w14:textId="68F0AC37" w:rsidR="006050CF" w:rsidRDefault="006050CF" w:rsidP="00F56E84">
      <w:pPr>
        <w:ind w:left="-76"/>
        <w:rPr>
          <w:rFonts w:ascii="Arial" w:hAnsi="Arial" w:cs="Arial"/>
          <w:sz w:val="24"/>
          <w:szCs w:val="24"/>
        </w:rPr>
      </w:pPr>
    </w:p>
    <w:p w14:paraId="740BA4FA" w14:textId="7DC4F358" w:rsidR="006050CF" w:rsidRDefault="006050CF" w:rsidP="00F56E84">
      <w:pPr>
        <w:ind w:left="-76"/>
        <w:rPr>
          <w:rFonts w:ascii="Arial" w:hAnsi="Arial" w:cs="Arial"/>
          <w:sz w:val="24"/>
          <w:szCs w:val="24"/>
        </w:rPr>
      </w:pPr>
    </w:p>
    <w:p w14:paraId="07B85FCC" w14:textId="473FCD15" w:rsidR="006050CF" w:rsidRDefault="006050CF" w:rsidP="00F56E84">
      <w:pPr>
        <w:ind w:left="-76"/>
        <w:rPr>
          <w:rFonts w:ascii="Arial" w:hAnsi="Arial" w:cs="Arial"/>
          <w:sz w:val="24"/>
          <w:szCs w:val="24"/>
        </w:rPr>
      </w:pPr>
    </w:p>
    <w:p w14:paraId="75AB6C67" w14:textId="4C6A9A16" w:rsidR="006050CF" w:rsidRDefault="006050CF" w:rsidP="00F56E84">
      <w:pPr>
        <w:ind w:left="-76"/>
        <w:rPr>
          <w:rFonts w:ascii="Arial" w:hAnsi="Arial" w:cs="Arial"/>
          <w:sz w:val="24"/>
          <w:szCs w:val="24"/>
        </w:rPr>
      </w:pPr>
    </w:p>
    <w:p w14:paraId="30A622C6" w14:textId="7090C52B" w:rsidR="006050CF" w:rsidRDefault="006050CF" w:rsidP="00F56E84">
      <w:pPr>
        <w:ind w:left="-76"/>
        <w:rPr>
          <w:rFonts w:ascii="Arial" w:hAnsi="Arial" w:cs="Arial"/>
          <w:sz w:val="24"/>
          <w:szCs w:val="24"/>
        </w:rPr>
      </w:pPr>
    </w:p>
    <w:p w14:paraId="7CE8E825" w14:textId="0E1ED871" w:rsidR="006050CF" w:rsidRDefault="006050CF" w:rsidP="00F56E84">
      <w:pPr>
        <w:ind w:left="-76"/>
        <w:rPr>
          <w:rFonts w:ascii="Arial" w:hAnsi="Arial" w:cs="Arial"/>
          <w:sz w:val="24"/>
          <w:szCs w:val="24"/>
        </w:rPr>
      </w:pPr>
    </w:p>
    <w:p w14:paraId="50622A69" w14:textId="6101E34C" w:rsidR="006050CF" w:rsidRDefault="006050CF" w:rsidP="00F56E84">
      <w:pPr>
        <w:ind w:left="-76"/>
        <w:rPr>
          <w:rFonts w:ascii="Arial" w:hAnsi="Arial" w:cs="Arial"/>
          <w:sz w:val="24"/>
          <w:szCs w:val="24"/>
        </w:rPr>
      </w:pPr>
    </w:p>
    <w:p w14:paraId="2079BCB1" w14:textId="7948A338" w:rsidR="006050CF" w:rsidRDefault="006050CF" w:rsidP="00F56E84">
      <w:pPr>
        <w:ind w:left="-76"/>
        <w:rPr>
          <w:rFonts w:ascii="Arial" w:hAnsi="Arial" w:cs="Arial"/>
          <w:sz w:val="24"/>
          <w:szCs w:val="24"/>
        </w:rPr>
      </w:pPr>
    </w:p>
    <w:p w14:paraId="6FF287D2" w14:textId="77777777" w:rsidR="006050CF" w:rsidRDefault="006050CF" w:rsidP="006050CF">
      <w:pPr>
        <w:ind w:left="-76"/>
        <w:rPr>
          <w:rFonts w:ascii="Arial" w:hAnsi="Arial" w:cs="Arial"/>
          <w:b/>
          <w:bCs/>
          <w:sz w:val="24"/>
          <w:szCs w:val="24"/>
        </w:rPr>
      </w:pPr>
      <w:r w:rsidRPr="00F14188">
        <w:rPr>
          <w:rFonts w:ascii="Arial" w:hAnsi="Arial" w:cs="Arial"/>
          <w:b/>
          <w:bCs/>
          <w:sz w:val="24"/>
          <w:szCs w:val="24"/>
        </w:rPr>
        <w:lastRenderedPageBreak/>
        <w:t>References</w:t>
      </w:r>
    </w:p>
    <w:p w14:paraId="46516765" w14:textId="77777777" w:rsidR="006050CF" w:rsidRDefault="006050CF" w:rsidP="006050CF">
      <w:pPr>
        <w:ind w:left="-76"/>
        <w:rPr>
          <w:rFonts w:cstheme="minorHAnsi"/>
          <w:sz w:val="24"/>
          <w:szCs w:val="24"/>
        </w:rPr>
      </w:pPr>
      <w:r>
        <w:rPr>
          <w:rFonts w:cstheme="minorHAnsi"/>
          <w:sz w:val="24"/>
          <w:szCs w:val="24"/>
        </w:rPr>
        <w:t xml:space="preserve">CIPD, 2011. </w:t>
      </w:r>
      <w:r w:rsidRPr="00ED0C58">
        <w:rPr>
          <w:rFonts w:cstheme="minorHAnsi"/>
          <w:i/>
          <w:iCs/>
          <w:sz w:val="24"/>
          <w:szCs w:val="24"/>
        </w:rPr>
        <w:t>Developing organisation culture</w:t>
      </w:r>
      <w:r>
        <w:rPr>
          <w:rFonts w:cstheme="minorHAnsi"/>
          <w:sz w:val="24"/>
          <w:szCs w:val="24"/>
        </w:rPr>
        <w:t xml:space="preserve">. (Online) Available at: </w:t>
      </w:r>
      <w:hyperlink r:id="rId11" w:history="1">
        <w:r w:rsidRPr="004E606E">
          <w:rPr>
            <w:rStyle w:val="Hyperlink"/>
            <w:rFonts w:cstheme="minorHAnsi"/>
            <w:sz w:val="24"/>
            <w:szCs w:val="24"/>
          </w:rPr>
          <w:t>https://www.cipd.co.uk/knowledge/culture/working-environment/organisational-culture-report</w:t>
        </w:r>
      </w:hyperlink>
      <w:r>
        <w:rPr>
          <w:rFonts w:cstheme="minorHAnsi"/>
          <w:sz w:val="24"/>
          <w:szCs w:val="24"/>
        </w:rPr>
        <w:t xml:space="preserve"> (Accessed 14 March 2020)</w:t>
      </w:r>
    </w:p>
    <w:p w14:paraId="3BF85AF1" w14:textId="77777777" w:rsidR="006050CF" w:rsidRDefault="006050CF" w:rsidP="006050CF">
      <w:pPr>
        <w:ind w:left="-76"/>
        <w:rPr>
          <w:rFonts w:cstheme="minorHAnsi"/>
          <w:sz w:val="24"/>
          <w:szCs w:val="24"/>
        </w:rPr>
      </w:pPr>
      <w:r>
        <w:rPr>
          <w:rFonts w:cstheme="minorHAnsi"/>
          <w:sz w:val="24"/>
          <w:szCs w:val="24"/>
        </w:rPr>
        <w:t xml:space="preserve">CIPD, 2015. </w:t>
      </w:r>
      <w:r w:rsidRPr="004931A4">
        <w:rPr>
          <w:rFonts w:cstheme="minorHAnsi"/>
          <w:i/>
          <w:iCs/>
          <w:sz w:val="24"/>
          <w:szCs w:val="24"/>
        </w:rPr>
        <w:t>Changing HR operating models</w:t>
      </w:r>
      <w:r>
        <w:rPr>
          <w:rFonts w:cstheme="minorHAnsi"/>
          <w:sz w:val="24"/>
          <w:szCs w:val="24"/>
        </w:rPr>
        <w:t xml:space="preserve">. (Online) Available at: </w:t>
      </w:r>
      <w:hyperlink r:id="rId12" w:history="1">
        <w:r w:rsidRPr="00D62EC9">
          <w:rPr>
            <w:rStyle w:val="Hyperlink"/>
            <w:rFonts w:cstheme="minorHAnsi"/>
            <w:sz w:val="24"/>
            <w:szCs w:val="24"/>
          </w:rPr>
          <w:t>https://www.cipd.co.uk/knowledge/strategy/hr/operating-models</w:t>
        </w:r>
      </w:hyperlink>
      <w:r>
        <w:rPr>
          <w:rFonts w:cstheme="minorHAnsi"/>
          <w:sz w:val="24"/>
          <w:szCs w:val="24"/>
        </w:rPr>
        <w:t xml:space="preserve"> (Accessed 06 March 2020). </w:t>
      </w:r>
    </w:p>
    <w:p w14:paraId="41C5B3CE" w14:textId="77777777" w:rsidR="006050CF" w:rsidRDefault="006050CF" w:rsidP="006050CF">
      <w:pPr>
        <w:ind w:left="-76"/>
        <w:rPr>
          <w:rFonts w:cstheme="minorHAnsi"/>
          <w:sz w:val="24"/>
          <w:szCs w:val="24"/>
        </w:rPr>
      </w:pPr>
      <w:r>
        <w:rPr>
          <w:rFonts w:cstheme="minorHAnsi"/>
          <w:sz w:val="24"/>
          <w:szCs w:val="24"/>
        </w:rPr>
        <w:t xml:space="preserve">CIPD, 2020. </w:t>
      </w:r>
      <w:r w:rsidRPr="004931A4">
        <w:rPr>
          <w:rFonts w:cstheme="minorHAnsi"/>
          <w:i/>
          <w:iCs/>
          <w:sz w:val="24"/>
          <w:szCs w:val="24"/>
        </w:rPr>
        <w:t>PESTLE analysis</w:t>
      </w:r>
      <w:r>
        <w:rPr>
          <w:rFonts w:cstheme="minorHAnsi"/>
          <w:sz w:val="24"/>
          <w:szCs w:val="24"/>
        </w:rPr>
        <w:t xml:space="preserve">. (Online) Available at: </w:t>
      </w:r>
      <w:hyperlink r:id="rId13" w:anchor="7986" w:history="1">
        <w:r w:rsidRPr="00BC1C2A">
          <w:rPr>
            <w:rStyle w:val="Hyperlink"/>
            <w:rFonts w:cstheme="minorHAnsi"/>
            <w:sz w:val="24"/>
            <w:szCs w:val="24"/>
          </w:rPr>
          <w:t>https://www.cipd.co.uk/knowledge/strategy/organisational-development/pestle-analysis-factsheet#7986</w:t>
        </w:r>
      </w:hyperlink>
      <w:r>
        <w:rPr>
          <w:rFonts w:cstheme="minorHAnsi"/>
          <w:sz w:val="24"/>
          <w:szCs w:val="24"/>
        </w:rPr>
        <w:t xml:space="preserve"> (Accessed 14 March 2020)</w:t>
      </w:r>
    </w:p>
    <w:p w14:paraId="588FC106" w14:textId="77777777" w:rsidR="006050CF" w:rsidRDefault="006050CF" w:rsidP="006050CF">
      <w:pPr>
        <w:ind w:left="-76"/>
        <w:rPr>
          <w:rFonts w:cstheme="minorHAnsi"/>
          <w:i/>
          <w:iCs/>
          <w:sz w:val="24"/>
          <w:szCs w:val="24"/>
        </w:rPr>
      </w:pPr>
      <w:r>
        <w:rPr>
          <w:rFonts w:cstheme="minorHAnsi"/>
          <w:sz w:val="24"/>
          <w:szCs w:val="24"/>
        </w:rPr>
        <w:t xml:space="preserve">Deloitte, 2018. Global Business Coalition for Education. </w:t>
      </w:r>
      <w:r w:rsidRPr="00950C99">
        <w:rPr>
          <w:rFonts w:cstheme="minorHAnsi"/>
          <w:i/>
          <w:iCs/>
          <w:sz w:val="24"/>
          <w:szCs w:val="24"/>
        </w:rPr>
        <w:t>Preparing tomorrow’s workforce for the Fourth Industrial Revolution.</w:t>
      </w:r>
    </w:p>
    <w:sdt>
      <w:sdtPr>
        <w:id w:val="-817416237"/>
        <w:bibliography/>
      </w:sdtPr>
      <w:sdtEndPr>
        <w:rPr>
          <w:sz w:val="24"/>
          <w:szCs w:val="24"/>
        </w:rPr>
      </w:sdtEndPr>
      <w:sdtContent>
        <w:p w14:paraId="1DECDF32" w14:textId="77777777" w:rsidR="006050CF" w:rsidRDefault="006050CF" w:rsidP="006050CF">
          <w:pPr>
            <w:pStyle w:val="Bibliography"/>
            <w:ind w:left="-142"/>
            <w:rPr>
              <w:b/>
              <w:bCs/>
              <w:noProof/>
              <w:sz w:val="24"/>
              <w:szCs w:val="24"/>
            </w:rPr>
          </w:pPr>
          <w:r>
            <w:t xml:space="preserve"> </w:t>
          </w:r>
          <w:r w:rsidRPr="0038480B">
            <w:rPr>
              <w:sz w:val="24"/>
              <w:szCs w:val="24"/>
            </w:rPr>
            <w:fldChar w:fldCharType="begin"/>
          </w:r>
          <w:r w:rsidRPr="0038480B">
            <w:rPr>
              <w:sz w:val="24"/>
              <w:szCs w:val="24"/>
            </w:rPr>
            <w:instrText xml:space="preserve"> BIBLIOGRAPHY </w:instrText>
          </w:r>
          <w:r w:rsidRPr="0038480B">
            <w:rPr>
              <w:sz w:val="24"/>
              <w:szCs w:val="24"/>
            </w:rPr>
            <w:fldChar w:fldCharType="separate"/>
          </w:r>
          <w:r w:rsidRPr="0038480B">
            <w:rPr>
              <w:noProof/>
              <w:sz w:val="24"/>
              <w:szCs w:val="24"/>
              <w:lang w:val="en-US"/>
            </w:rPr>
            <w:t xml:space="preserve">Farnham, D., 2015. </w:t>
          </w:r>
          <w:r w:rsidRPr="0038480B">
            <w:rPr>
              <w:i/>
              <w:iCs/>
              <w:noProof/>
              <w:sz w:val="24"/>
              <w:szCs w:val="24"/>
              <w:lang w:val="en-US"/>
            </w:rPr>
            <w:t xml:space="preserve">Human Resource Management in Context. </w:t>
          </w:r>
          <w:r w:rsidRPr="0038480B">
            <w:rPr>
              <w:noProof/>
              <w:sz w:val="24"/>
              <w:szCs w:val="24"/>
              <w:lang w:val="en-US"/>
            </w:rPr>
            <w:t>London: CIPD.</w:t>
          </w:r>
          <w:r w:rsidRPr="0038480B">
            <w:rPr>
              <w:b/>
              <w:bCs/>
              <w:noProof/>
              <w:sz w:val="24"/>
              <w:szCs w:val="24"/>
            </w:rPr>
            <w:fldChar w:fldCharType="end"/>
          </w:r>
        </w:p>
        <w:p w14:paraId="5944E573" w14:textId="77777777" w:rsidR="006050CF" w:rsidRDefault="006050CF" w:rsidP="006050CF">
          <w:pPr>
            <w:pStyle w:val="Bibliography"/>
            <w:ind w:left="-142"/>
            <w:rPr>
              <w:sz w:val="24"/>
              <w:szCs w:val="24"/>
            </w:rPr>
          </w:pPr>
          <w:r w:rsidRPr="00F53F4D">
            <w:rPr>
              <w:sz w:val="24"/>
              <w:szCs w:val="24"/>
            </w:rPr>
            <w:t xml:space="preserve">Kew, J. &amp; Stredwick, J., 2016. </w:t>
          </w:r>
          <w:r w:rsidRPr="00F53F4D">
            <w:rPr>
              <w:i/>
              <w:iCs/>
              <w:sz w:val="24"/>
              <w:szCs w:val="24"/>
            </w:rPr>
            <w:t>Human Resource Management in a Business Context</w:t>
          </w:r>
          <w:r w:rsidRPr="00F53F4D">
            <w:rPr>
              <w:sz w:val="24"/>
              <w:szCs w:val="24"/>
            </w:rPr>
            <w:t>. 3</w:t>
          </w:r>
          <w:r w:rsidRPr="00F53F4D">
            <w:rPr>
              <w:sz w:val="24"/>
              <w:szCs w:val="24"/>
              <w:vertAlign w:val="superscript"/>
            </w:rPr>
            <w:t>rd</w:t>
          </w:r>
          <w:r w:rsidRPr="00F53F4D">
            <w:rPr>
              <w:sz w:val="24"/>
              <w:szCs w:val="24"/>
            </w:rPr>
            <w:t xml:space="preserve"> ed. </w:t>
          </w:r>
          <w:r>
            <w:rPr>
              <w:sz w:val="24"/>
              <w:szCs w:val="24"/>
            </w:rPr>
            <w:t xml:space="preserve">              L</w:t>
          </w:r>
          <w:r w:rsidRPr="00F53F4D">
            <w:rPr>
              <w:sz w:val="24"/>
              <w:szCs w:val="24"/>
            </w:rPr>
            <w:t>ondon: CIPD</w:t>
          </w:r>
          <w:r>
            <w:rPr>
              <w:sz w:val="24"/>
              <w:szCs w:val="24"/>
            </w:rPr>
            <w:t>.</w:t>
          </w:r>
        </w:p>
        <w:p w14:paraId="43235EBE" w14:textId="77777777" w:rsidR="006050CF" w:rsidRPr="001531AE" w:rsidRDefault="006050CF" w:rsidP="006050CF">
          <w:pPr>
            <w:ind w:left="-76"/>
            <w:rPr>
              <w:rFonts w:cstheme="minorHAnsi"/>
              <w:sz w:val="24"/>
              <w:szCs w:val="24"/>
            </w:rPr>
          </w:pPr>
          <w:r w:rsidRPr="001531AE">
            <w:rPr>
              <w:rFonts w:cstheme="minorHAnsi"/>
              <w:sz w:val="24"/>
              <w:szCs w:val="24"/>
            </w:rPr>
            <w:t xml:space="preserve">Local Government Group, 2010. </w:t>
          </w:r>
          <w:r w:rsidRPr="001531AE">
            <w:rPr>
              <w:rFonts w:cstheme="minorHAnsi"/>
              <w:i/>
              <w:iCs/>
              <w:sz w:val="24"/>
              <w:szCs w:val="24"/>
            </w:rPr>
            <w:t>Local Government Structure Overview</w:t>
          </w:r>
          <w:r w:rsidRPr="001531AE">
            <w:rPr>
              <w:rFonts w:cstheme="minorHAnsi"/>
              <w:sz w:val="24"/>
              <w:szCs w:val="24"/>
            </w:rPr>
            <w:t xml:space="preserve">. (Online) Available at: </w:t>
          </w:r>
          <w:hyperlink r:id="rId14" w:history="1">
            <w:r w:rsidRPr="001531AE">
              <w:rPr>
                <w:rStyle w:val="Hyperlink"/>
                <w:rFonts w:cstheme="minorHAnsi"/>
                <w:sz w:val="24"/>
                <w:szCs w:val="24"/>
              </w:rPr>
              <w:t>https://www.local.gov.uk/sites/default/files/documents/local-government-structur-634.pdf</w:t>
            </w:r>
          </w:hyperlink>
          <w:r w:rsidRPr="001531AE">
            <w:rPr>
              <w:rFonts w:cstheme="minorHAnsi"/>
              <w:sz w:val="24"/>
              <w:szCs w:val="24"/>
            </w:rPr>
            <w:t xml:space="preserve"> (Accessed 04 March 2020).</w:t>
          </w:r>
        </w:p>
        <w:p w14:paraId="3EF6836E" w14:textId="77777777" w:rsidR="006050CF" w:rsidRDefault="006050CF" w:rsidP="006050CF">
          <w:pPr>
            <w:ind w:left="-76"/>
            <w:rPr>
              <w:rFonts w:cstheme="minorHAnsi"/>
              <w:sz w:val="24"/>
              <w:szCs w:val="24"/>
            </w:rPr>
          </w:pPr>
          <w:r w:rsidRPr="001531AE">
            <w:rPr>
              <w:rFonts w:cstheme="minorHAnsi"/>
              <w:sz w:val="24"/>
              <w:szCs w:val="24"/>
            </w:rPr>
            <w:t>Mind, 2020a.</w:t>
          </w:r>
          <w:r>
            <w:rPr>
              <w:rFonts w:cstheme="minorHAnsi"/>
              <w:sz w:val="24"/>
              <w:szCs w:val="24"/>
            </w:rPr>
            <w:t xml:space="preserve"> </w:t>
          </w:r>
          <w:r w:rsidRPr="001531AE">
            <w:rPr>
              <w:rFonts w:cstheme="minorHAnsi"/>
              <w:i/>
              <w:iCs/>
              <w:sz w:val="24"/>
              <w:szCs w:val="24"/>
            </w:rPr>
            <w:t>About us</w:t>
          </w:r>
          <w:r>
            <w:rPr>
              <w:rFonts w:cstheme="minorHAnsi"/>
              <w:sz w:val="24"/>
              <w:szCs w:val="24"/>
            </w:rPr>
            <w:t xml:space="preserve">. (Online) Available at: </w:t>
          </w:r>
          <w:hyperlink r:id="rId15" w:history="1">
            <w:r w:rsidRPr="001926C9">
              <w:rPr>
                <w:rStyle w:val="Hyperlink"/>
                <w:rFonts w:cstheme="minorHAnsi"/>
                <w:sz w:val="24"/>
                <w:szCs w:val="24"/>
              </w:rPr>
              <w:t>https://www.mind.org.uk/about-us/</w:t>
            </w:r>
          </w:hyperlink>
          <w:r>
            <w:rPr>
              <w:rFonts w:cstheme="minorHAnsi"/>
              <w:sz w:val="24"/>
              <w:szCs w:val="24"/>
            </w:rPr>
            <w:t xml:space="preserve"> (Accessed 04 March 2020).</w:t>
          </w:r>
        </w:p>
        <w:p w14:paraId="121CD5BA" w14:textId="77777777" w:rsidR="006050CF" w:rsidRDefault="006050CF" w:rsidP="006050CF">
          <w:pPr>
            <w:ind w:left="-76"/>
            <w:rPr>
              <w:rFonts w:cstheme="minorHAnsi"/>
              <w:sz w:val="24"/>
              <w:szCs w:val="24"/>
            </w:rPr>
          </w:pPr>
          <w:r>
            <w:rPr>
              <w:rFonts w:cstheme="minorHAnsi"/>
              <w:sz w:val="24"/>
              <w:szCs w:val="24"/>
            </w:rPr>
            <w:t xml:space="preserve">Mind, 2020b. </w:t>
          </w:r>
          <w:r w:rsidRPr="00D8354D">
            <w:rPr>
              <w:rFonts w:cstheme="minorHAnsi"/>
              <w:i/>
              <w:iCs/>
              <w:sz w:val="24"/>
              <w:szCs w:val="24"/>
            </w:rPr>
            <w:t>Building on change: Mind’s 2016-2021 strategy</w:t>
          </w:r>
          <w:r>
            <w:rPr>
              <w:rFonts w:cstheme="minorHAnsi"/>
              <w:sz w:val="24"/>
              <w:szCs w:val="24"/>
            </w:rPr>
            <w:t xml:space="preserve">. (Online) Available at </w:t>
          </w:r>
          <w:hyperlink r:id="rId16" w:history="1">
            <w:r w:rsidRPr="00DB69C9">
              <w:rPr>
                <w:rStyle w:val="Hyperlink"/>
                <w:rFonts w:cstheme="minorHAnsi"/>
                <w:sz w:val="24"/>
                <w:szCs w:val="24"/>
              </w:rPr>
              <w:t>https://www.mind.org.uk/media/4205494/building-on-change_booklet_final_pdf_21march16.pdf</w:t>
            </w:r>
          </w:hyperlink>
          <w:r>
            <w:rPr>
              <w:rFonts w:cstheme="minorHAnsi"/>
              <w:sz w:val="24"/>
              <w:szCs w:val="24"/>
            </w:rPr>
            <w:t xml:space="preserve"> (Accessed 04 March 2020).</w:t>
          </w:r>
        </w:p>
        <w:p w14:paraId="773FEDF9" w14:textId="77777777" w:rsidR="006050CF" w:rsidRDefault="006050CF" w:rsidP="006050CF">
          <w:pPr>
            <w:ind w:left="-76"/>
            <w:rPr>
              <w:rFonts w:cstheme="minorHAnsi"/>
              <w:sz w:val="24"/>
              <w:szCs w:val="24"/>
            </w:rPr>
          </w:pPr>
          <w:r>
            <w:rPr>
              <w:rFonts w:cstheme="minorHAnsi"/>
              <w:sz w:val="24"/>
              <w:szCs w:val="24"/>
            </w:rPr>
            <w:t xml:space="preserve">Mindtools, 2020. </w:t>
          </w:r>
          <w:r w:rsidRPr="00867769">
            <w:rPr>
              <w:rFonts w:cstheme="minorHAnsi"/>
              <w:i/>
              <w:iCs/>
              <w:sz w:val="24"/>
              <w:szCs w:val="24"/>
            </w:rPr>
            <w:t>The Cultural Web: Aligning your organisational culture with strategy</w:t>
          </w:r>
          <w:r>
            <w:rPr>
              <w:rFonts w:cstheme="minorHAnsi"/>
              <w:sz w:val="24"/>
              <w:szCs w:val="24"/>
            </w:rPr>
            <w:t xml:space="preserve">. (Online) Available at: </w:t>
          </w:r>
          <w:hyperlink r:id="rId17" w:history="1">
            <w:r w:rsidRPr="004E606E">
              <w:rPr>
                <w:rStyle w:val="Hyperlink"/>
                <w:rFonts w:cstheme="minorHAnsi"/>
                <w:sz w:val="24"/>
                <w:szCs w:val="24"/>
              </w:rPr>
              <w:t>https://www.mindtools.com/pages/article/newSTR_90.htm</w:t>
            </w:r>
          </w:hyperlink>
          <w:r>
            <w:rPr>
              <w:rFonts w:cstheme="minorHAnsi"/>
              <w:sz w:val="24"/>
              <w:szCs w:val="24"/>
            </w:rPr>
            <w:t xml:space="preserve"> (Accessed 14 March 2020)</w:t>
          </w:r>
        </w:p>
        <w:p w14:paraId="6A996C81" w14:textId="77777777" w:rsidR="006050CF" w:rsidRDefault="006050CF" w:rsidP="006050CF">
          <w:pPr>
            <w:ind w:left="-76"/>
            <w:rPr>
              <w:rFonts w:cstheme="minorHAnsi"/>
            </w:rPr>
          </w:pPr>
          <w:r>
            <w:rPr>
              <w:rFonts w:cstheme="minorHAnsi"/>
              <w:sz w:val="24"/>
              <w:szCs w:val="24"/>
            </w:rPr>
            <w:t xml:space="preserve">Mindtools, 2020. </w:t>
          </w:r>
          <w:r w:rsidRPr="0058141C">
            <w:rPr>
              <w:rFonts w:cstheme="minorHAnsi"/>
              <w:i/>
              <w:iCs/>
              <w:sz w:val="24"/>
              <w:szCs w:val="24"/>
            </w:rPr>
            <w:t>SWOT analysis – how to develop a strategy for success.</w:t>
          </w:r>
          <w:r>
            <w:rPr>
              <w:rFonts w:cstheme="minorHAnsi"/>
              <w:sz w:val="24"/>
              <w:szCs w:val="24"/>
            </w:rPr>
            <w:t xml:space="preserve"> (Online) Available at: </w:t>
          </w:r>
          <w:hyperlink r:id="rId18" w:history="1">
            <w:r w:rsidRPr="004E606E">
              <w:rPr>
                <w:rStyle w:val="Hyperlink"/>
                <w:rFonts w:cstheme="minorHAnsi"/>
                <w:sz w:val="24"/>
                <w:szCs w:val="24"/>
              </w:rPr>
              <w:t>https://www.mindtools.com/pages/article/newTMC_05.htm</w:t>
            </w:r>
          </w:hyperlink>
          <w:r>
            <w:rPr>
              <w:rFonts w:cstheme="minorHAnsi"/>
              <w:sz w:val="24"/>
              <w:szCs w:val="24"/>
            </w:rPr>
            <w:t xml:space="preserve"> (Accessed 14 March 2020)</w:t>
          </w:r>
        </w:p>
        <w:p w14:paraId="1AE4853B" w14:textId="77777777" w:rsidR="006050CF" w:rsidRDefault="006050CF" w:rsidP="006050CF">
          <w:pPr>
            <w:ind w:left="-76"/>
            <w:rPr>
              <w:noProof/>
              <w:sz w:val="24"/>
              <w:szCs w:val="24"/>
            </w:rPr>
          </w:pPr>
          <w:r>
            <w:rPr>
              <w:noProof/>
              <w:sz w:val="24"/>
              <w:szCs w:val="24"/>
            </w:rPr>
            <w:t xml:space="preserve">NPTCBC, 2020a. </w:t>
          </w:r>
          <w:r w:rsidRPr="00F14188">
            <w:rPr>
              <w:i/>
              <w:iCs/>
              <w:noProof/>
              <w:sz w:val="24"/>
              <w:szCs w:val="24"/>
            </w:rPr>
            <w:t>How the Council works</w:t>
          </w:r>
          <w:r>
            <w:rPr>
              <w:noProof/>
              <w:sz w:val="24"/>
              <w:szCs w:val="24"/>
            </w:rPr>
            <w:t>.</w:t>
          </w:r>
          <w:r w:rsidRPr="001406E9">
            <w:rPr>
              <w:i/>
              <w:iCs/>
              <w:noProof/>
              <w:sz w:val="24"/>
              <w:szCs w:val="24"/>
            </w:rPr>
            <w:t xml:space="preserve"> </w:t>
          </w:r>
          <w:r w:rsidRPr="001406E9">
            <w:rPr>
              <w:noProof/>
              <w:sz w:val="24"/>
              <w:szCs w:val="24"/>
            </w:rPr>
            <w:t xml:space="preserve">[Online] Available at: </w:t>
          </w:r>
          <w:hyperlink r:id="rId19" w:history="1">
            <w:r w:rsidRPr="001926C9">
              <w:rPr>
                <w:rStyle w:val="Hyperlink"/>
                <w:noProof/>
                <w:sz w:val="24"/>
                <w:szCs w:val="24"/>
              </w:rPr>
              <w:t>https://www.npt.gov.uk/5841</w:t>
            </w:r>
          </w:hyperlink>
          <w:r>
            <w:rPr>
              <w:noProof/>
              <w:sz w:val="24"/>
              <w:szCs w:val="24"/>
            </w:rPr>
            <w:t xml:space="preserve"> </w:t>
          </w:r>
          <w:r w:rsidRPr="001406E9">
            <w:rPr>
              <w:noProof/>
              <w:sz w:val="24"/>
              <w:szCs w:val="24"/>
            </w:rPr>
            <w:t xml:space="preserve"> [Accessed </w:t>
          </w:r>
          <w:r>
            <w:rPr>
              <w:noProof/>
              <w:sz w:val="24"/>
              <w:szCs w:val="24"/>
            </w:rPr>
            <w:t>03</w:t>
          </w:r>
          <w:r w:rsidRPr="001406E9">
            <w:rPr>
              <w:noProof/>
              <w:sz w:val="24"/>
              <w:szCs w:val="24"/>
            </w:rPr>
            <w:t xml:space="preserve"> </w:t>
          </w:r>
          <w:r>
            <w:rPr>
              <w:noProof/>
              <w:sz w:val="24"/>
              <w:szCs w:val="24"/>
            </w:rPr>
            <w:t>March</w:t>
          </w:r>
          <w:r w:rsidRPr="001406E9">
            <w:rPr>
              <w:noProof/>
              <w:sz w:val="24"/>
              <w:szCs w:val="24"/>
            </w:rPr>
            <w:t xml:space="preserve"> 20</w:t>
          </w:r>
          <w:r>
            <w:rPr>
              <w:noProof/>
              <w:sz w:val="24"/>
              <w:szCs w:val="24"/>
            </w:rPr>
            <w:t>20</w:t>
          </w:r>
          <w:r w:rsidRPr="001406E9">
            <w:rPr>
              <w:noProof/>
              <w:sz w:val="24"/>
              <w:szCs w:val="24"/>
            </w:rPr>
            <w:t>]</w:t>
          </w:r>
          <w:r>
            <w:rPr>
              <w:noProof/>
              <w:sz w:val="24"/>
              <w:szCs w:val="24"/>
            </w:rPr>
            <w:t>.</w:t>
          </w:r>
        </w:p>
        <w:p w14:paraId="4E09D29F" w14:textId="77777777" w:rsidR="006050CF" w:rsidRDefault="006050CF" w:rsidP="006050CF">
          <w:pPr>
            <w:ind w:left="-76"/>
            <w:rPr>
              <w:noProof/>
              <w:sz w:val="24"/>
              <w:szCs w:val="24"/>
            </w:rPr>
          </w:pPr>
          <w:r>
            <w:rPr>
              <w:noProof/>
              <w:sz w:val="24"/>
              <w:szCs w:val="24"/>
            </w:rPr>
            <w:t xml:space="preserve">NPTCBC, 2020b. </w:t>
          </w:r>
          <w:r>
            <w:rPr>
              <w:i/>
              <w:iCs/>
              <w:noProof/>
              <w:sz w:val="24"/>
              <w:szCs w:val="24"/>
            </w:rPr>
            <w:t xml:space="preserve">Corporate Plan 2018-2022. </w:t>
          </w:r>
          <w:r>
            <w:rPr>
              <w:noProof/>
              <w:sz w:val="24"/>
              <w:szCs w:val="24"/>
            </w:rPr>
            <w:t xml:space="preserve">(Online) Available at: </w:t>
          </w:r>
          <w:hyperlink r:id="rId20" w:history="1">
            <w:r w:rsidRPr="001926C9">
              <w:rPr>
                <w:rStyle w:val="Hyperlink"/>
                <w:noProof/>
                <w:sz w:val="24"/>
                <w:szCs w:val="24"/>
              </w:rPr>
              <w:t>https://www.npt.gov.uk/14478</w:t>
            </w:r>
          </w:hyperlink>
          <w:r>
            <w:rPr>
              <w:noProof/>
              <w:sz w:val="24"/>
              <w:szCs w:val="24"/>
            </w:rPr>
            <w:t xml:space="preserve"> (Accessed 03 March 2020).</w:t>
          </w:r>
        </w:p>
        <w:p w14:paraId="69E1EE15" w14:textId="77777777" w:rsidR="006050CF" w:rsidRPr="00CF6705" w:rsidRDefault="006050CF" w:rsidP="006050CF">
          <w:pPr>
            <w:ind w:left="-76"/>
            <w:rPr>
              <w:rFonts w:cstheme="minorHAnsi"/>
              <w:sz w:val="24"/>
              <w:szCs w:val="24"/>
            </w:rPr>
          </w:pPr>
          <w:r>
            <w:rPr>
              <w:rFonts w:cstheme="minorHAnsi"/>
              <w:sz w:val="24"/>
              <w:szCs w:val="24"/>
            </w:rPr>
            <w:t xml:space="preserve">Phillips, J.J. &amp; Phillips, P.P., 2014, Strategic HR Review. </w:t>
          </w:r>
          <w:r w:rsidRPr="00CF6705">
            <w:rPr>
              <w:rFonts w:cstheme="minorHAnsi"/>
              <w:i/>
              <w:iCs/>
              <w:sz w:val="24"/>
              <w:szCs w:val="24"/>
            </w:rPr>
            <w:t>Developing a human capital strategy in today’s changing environment: eight forces shaping HC strategy.</w:t>
          </w:r>
          <w:r>
            <w:rPr>
              <w:rFonts w:cstheme="minorHAnsi"/>
              <w:sz w:val="24"/>
              <w:szCs w:val="24"/>
            </w:rPr>
            <w:t xml:space="preserve"> Vol 13, pg 130.</w:t>
          </w:r>
        </w:p>
        <w:p w14:paraId="66C2E18C" w14:textId="55041EAC" w:rsidR="006050CF" w:rsidRPr="006050CF" w:rsidRDefault="006050CF" w:rsidP="006050CF">
          <w:pPr>
            <w:ind w:left="-76"/>
            <w:rPr>
              <w:noProof/>
              <w:sz w:val="24"/>
              <w:szCs w:val="24"/>
            </w:rPr>
          </w:pPr>
          <w:r w:rsidRPr="00F03364">
            <w:rPr>
              <w:noProof/>
              <w:sz w:val="24"/>
              <w:szCs w:val="24"/>
              <w:lang w:val="en-US"/>
            </w:rPr>
            <w:t>Taylor, S.</w:t>
          </w:r>
          <w:r>
            <w:rPr>
              <w:noProof/>
              <w:lang w:val="en-US"/>
            </w:rPr>
            <w:t xml:space="preserve"> </w:t>
          </w:r>
          <w:r w:rsidRPr="00F03364">
            <w:rPr>
              <w:noProof/>
              <w:sz w:val="24"/>
              <w:szCs w:val="24"/>
              <w:lang w:val="en-US"/>
            </w:rPr>
            <w:t xml:space="preserve">&amp; Woodhams, C., 2016. </w:t>
          </w:r>
          <w:r w:rsidRPr="00F03364">
            <w:rPr>
              <w:i/>
              <w:iCs/>
              <w:noProof/>
              <w:sz w:val="24"/>
              <w:szCs w:val="24"/>
              <w:lang w:val="en-US"/>
            </w:rPr>
            <w:t xml:space="preserve">Studying Human Resource Management. </w:t>
          </w:r>
          <w:r w:rsidRPr="00F03364">
            <w:rPr>
              <w:noProof/>
              <w:sz w:val="24"/>
              <w:szCs w:val="24"/>
              <w:lang w:val="en-US"/>
            </w:rPr>
            <w:t>2nd ed. London: CIPD.</w:t>
          </w:r>
        </w:p>
      </w:sdtContent>
    </w:sdt>
    <w:sectPr w:rsidR="006050CF" w:rsidRPr="006050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04F70"/>
    <w:multiLevelType w:val="hybridMultilevel"/>
    <w:tmpl w:val="E59EA548"/>
    <w:lvl w:ilvl="0" w:tplc="6BDAF43A">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 w15:restartNumberingAfterBreak="0">
    <w:nsid w:val="121E42AA"/>
    <w:multiLevelType w:val="hybridMultilevel"/>
    <w:tmpl w:val="8B1C52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5EB1AB1"/>
    <w:multiLevelType w:val="hybridMultilevel"/>
    <w:tmpl w:val="F06E3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0D5D06"/>
    <w:multiLevelType w:val="hybridMultilevel"/>
    <w:tmpl w:val="C5CE13E0"/>
    <w:lvl w:ilvl="0" w:tplc="A6F6D8A4">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4" w15:restartNumberingAfterBreak="0">
    <w:nsid w:val="25C653CC"/>
    <w:multiLevelType w:val="hybridMultilevel"/>
    <w:tmpl w:val="125E26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4E278E2"/>
    <w:multiLevelType w:val="hybridMultilevel"/>
    <w:tmpl w:val="84ECE24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3FE27469"/>
    <w:multiLevelType w:val="hybridMultilevel"/>
    <w:tmpl w:val="11B24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627A5A"/>
    <w:multiLevelType w:val="hybridMultilevel"/>
    <w:tmpl w:val="21F627D4"/>
    <w:lvl w:ilvl="0" w:tplc="57DAA7E8">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982250"/>
    <w:multiLevelType w:val="hybridMultilevel"/>
    <w:tmpl w:val="77FA4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4A4626"/>
    <w:multiLevelType w:val="hybridMultilevel"/>
    <w:tmpl w:val="825C8E62"/>
    <w:lvl w:ilvl="0" w:tplc="E34A263E">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0" w15:restartNumberingAfterBreak="0">
    <w:nsid w:val="6A672E8A"/>
    <w:multiLevelType w:val="hybridMultilevel"/>
    <w:tmpl w:val="FF0C12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DB110D"/>
    <w:multiLevelType w:val="hybridMultilevel"/>
    <w:tmpl w:val="A808BDE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6ADE16B6"/>
    <w:multiLevelType w:val="hybridMultilevel"/>
    <w:tmpl w:val="06C4D694"/>
    <w:lvl w:ilvl="0" w:tplc="08090001">
      <w:start w:val="1"/>
      <w:numFmt w:val="bullet"/>
      <w:lvlText w:val=""/>
      <w:lvlJc w:val="left"/>
      <w:pPr>
        <w:ind w:left="705" w:hanging="360"/>
      </w:pPr>
      <w:rPr>
        <w:rFonts w:ascii="Symbol" w:hAnsi="Symbol" w:cs="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cs="Wingdings" w:hint="default"/>
      </w:rPr>
    </w:lvl>
    <w:lvl w:ilvl="3" w:tplc="08090001" w:tentative="1">
      <w:start w:val="1"/>
      <w:numFmt w:val="bullet"/>
      <w:lvlText w:val=""/>
      <w:lvlJc w:val="left"/>
      <w:pPr>
        <w:ind w:left="2865" w:hanging="360"/>
      </w:pPr>
      <w:rPr>
        <w:rFonts w:ascii="Symbol" w:hAnsi="Symbol" w:cs="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cs="Wingdings" w:hint="default"/>
      </w:rPr>
    </w:lvl>
    <w:lvl w:ilvl="6" w:tplc="08090001" w:tentative="1">
      <w:start w:val="1"/>
      <w:numFmt w:val="bullet"/>
      <w:lvlText w:val=""/>
      <w:lvlJc w:val="left"/>
      <w:pPr>
        <w:ind w:left="5025" w:hanging="360"/>
      </w:pPr>
      <w:rPr>
        <w:rFonts w:ascii="Symbol" w:hAnsi="Symbol" w:cs="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cs="Wingdings" w:hint="default"/>
      </w:rPr>
    </w:lvl>
  </w:abstractNum>
  <w:abstractNum w:abstractNumId="13" w15:restartNumberingAfterBreak="0">
    <w:nsid w:val="7322358D"/>
    <w:multiLevelType w:val="hybridMultilevel"/>
    <w:tmpl w:val="43E4E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232FDA"/>
    <w:multiLevelType w:val="hybridMultilevel"/>
    <w:tmpl w:val="DBEEE93C"/>
    <w:lvl w:ilvl="0" w:tplc="08090001">
      <w:start w:val="1"/>
      <w:numFmt w:val="bullet"/>
      <w:lvlText w:val=""/>
      <w:lvlJc w:val="left"/>
      <w:pPr>
        <w:ind w:left="644" w:hanging="360"/>
      </w:pPr>
      <w:rPr>
        <w:rFonts w:ascii="Symbol" w:hAnsi="Symbol" w:cs="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cs="Wingdings" w:hint="default"/>
      </w:rPr>
    </w:lvl>
    <w:lvl w:ilvl="3" w:tplc="08090001" w:tentative="1">
      <w:start w:val="1"/>
      <w:numFmt w:val="bullet"/>
      <w:lvlText w:val=""/>
      <w:lvlJc w:val="left"/>
      <w:pPr>
        <w:ind w:left="2804" w:hanging="360"/>
      </w:pPr>
      <w:rPr>
        <w:rFonts w:ascii="Symbol" w:hAnsi="Symbol" w:cs="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cs="Wingdings" w:hint="default"/>
      </w:rPr>
    </w:lvl>
    <w:lvl w:ilvl="6" w:tplc="08090001" w:tentative="1">
      <w:start w:val="1"/>
      <w:numFmt w:val="bullet"/>
      <w:lvlText w:val=""/>
      <w:lvlJc w:val="left"/>
      <w:pPr>
        <w:ind w:left="4964" w:hanging="360"/>
      </w:pPr>
      <w:rPr>
        <w:rFonts w:ascii="Symbol" w:hAnsi="Symbol" w:cs="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cs="Wingdings" w:hint="default"/>
      </w:rPr>
    </w:lvl>
  </w:abstractNum>
  <w:abstractNum w:abstractNumId="15" w15:restartNumberingAfterBreak="0">
    <w:nsid w:val="795C15D8"/>
    <w:multiLevelType w:val="hybridMultilevel"/>
    <w:tmpl w:val="DC36A188"/>
    <w:lvl w:ilvl="0" w:tplc="48A2CFB4">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num w:numId="1">
    <w:abstractNumId w:val="10"/>
  </w:num>
  <w:num w:numId="2">
    <w:abstractNumId w:val="8"/>
  </w:num>
  <w:num w:numId="3">
    <w:abstractNumId w:val="2"/>
  </w:num>
  <w:num w:numId="4">
    <w:abstractNumId w:val="6"/>
  </w:num>
  <w:num w:numId="5">
    <w:abstractNumId w:val="7"/>
  </w:num>
  <w:num w:numId="6">
    <w:abstractNumId w:val="5"/>
  </w:num>
  <w:num w:numId="7">
    <w:abstractNumId w:val="11"/>
  </w:num>
  <w:num w:numId="8">
    <w:abstractNumId w:val="4"/>
  </w:num>
  <w:num w:numId="9">
    <w:abstractNumId w:val="12"/>
  </w:num>
  <w:num w:numId="10">
    <w:abstractNumId w:val="9"/>
  </w:num>
  <w:num w:numId="11">
    <w:abstractNumId w:val="15"/>
  </w:num>
  <w:num w:numId="12">
    <w:abstractNumId w:val="13"/>
  </w:num>
  <w:num w:numId="13">
    <w:abstractNumId w:val="0"/>
  </w:num>
  <w:num w:numId="14">
    <w:abstractNumId w:val="3"/>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34A"/>
    <w:rsid w:val="0000253B"/>
    <w:rsid w:val="00012AC0"/>
    <w:rsid w:val="000243C4"/>
    <w:rsid w:val="000A265B"/>
    <w:rsid w:val="000B5584"/>
    <w:rsid w:val="001531AE"/>
    <w:rsid w:val="00165105"/>
    <w:rsid w:val="00177CBD"/>
    <w:rsid w:val="001971BE"/>
    <w:rsid w:val="001A4BBF"/>
    <w:rsid w:val="001E2066"/>
    <w:rsid w:val="00243F03"/>
    <w:rsid w:val="00244524"/>
    <w:rsid w:val="00252624"/>
    <w:rsid w:val="00255A91"/>
    <w:rsid w:val="00256501"/>
    <w:rsid w:val="00270215"/>
    <w:rsid w:val="00272EA5"/>
    <w:rsid w:val="0027318C"/>
    <w:rsid w:val="002A5A41"/>
    <w:rsid w:val="002C0768"/>
    <w:rsid w:val="002C120B"/>
    <w:rsid w:val="00305764"/>
    <w:rsid w:val="00313098"/>
    <w:rsid w:val="00325192"/>
    <w:rsid w:val="00344848"/>
    <w:rsid w:val="0035788A"/>
    <w:rsid w:val="00363159"/>
    <w:rsid w:val="003676E4"/>
    <w:rsid w:val="0038480B"/>
    <w:rsid w:val="003B16C2"/>
    <w:rsid w:val="003E0275"/>
    <w:rsid w:val="003E2264"/>
    <w:rsid w:val="003E5409"/>
    <w:rsid w:val="004120F2"/>
    <w:rsid w:val="00445BB2"/>
    <w:rsid w:val="004548DE"/>
    <w:rsid w:val="0047668E"/>
    <w:rsid w:val="00485B4A"/>
    <w:rsid w:val="00487BB6"/>
    <w:rsid w:val="004931A4"/>
    <w:rsid w:val="004C2215"/>
    <w:rsid w:val="004C3ACC"/>
    <w:rsid w:val="004D4E7A"/>
    <w:rsid w:val="004E0B8B"/>
    <w:rsid w:val="005775F6"/>
    <w:rsid w:val="0058141C"/>
    <w:rsid w:val="005A2730"/>
    <w:rsid w:val="005B1DEA"/>
    <w:rsid w:val="005B34AF"/>
    <w:rsid w:val="005D4846"/>
    <w:rsid w:val="005E0DF3"/>
    <w:rsid w:val="005E2DE0"/>
    <w:rsid w:val="005F6286"/>
    <w:rsid w:val="006050CF"/>
    <w:rsid w:val="006165E9"/>
    <w:rsid w:val="00641B27"/>
    <w:rsid w:val="006833F5"/>
    <w:rsid w:val="006A7363"/>
    <w:rsid w:val="006B4970"/>
    <w:rsid w:val="006D6085"/>
    <w:rsid w:val="007408AE"/>
    <w:rsid w:val="00742067"/>
    <w:rsid w:val="00776DEE"/>
    <w:rsid w:val="007954E9"/>
    <w:rsid w:val="007E413F"/>
    <w:rsid w:val="008148D7"/>
    <w:rsid w:val="00832BCA"/>
    <w:rsid w:val="00854BFE"/>
    <w:rsid w:val="00860A5B"/>
    <w:rsid w:val="00867769"/>
    <w:rsid w:val="008679FB"/>
    <w:rsid w:val="008A578C"/>
    <w:rsid w:val="008E0401"/>
    <w:rsid w:val="008E1337"/>
    <w:rsid w:val="00920271"/>
    <w:rsid w:val="009276C3"/>
    <w:rsid w:val="00944115"/>
    <w:rsid w:val="00950C99"/>
    <w:rsid w:val="009C681D"/>
    <w:rsid w:val="009D2768"/>
    <w:rsid w:val="00A0234A"/>
    <w:rsid w:val="00A6326C"/>
    <w:rsid w:val="00A90166"/>
    <w:rsid w:val="00AA270E"/>
    <w:rsid w:val="00AB28ED"/>
    <w:rsid w:val="00AD7E2A"/>
    <w:rsid w:val="00AE3794"/>
    <w:rsid w:val="00AE7244"/>
    <w:rsid w:val="00AF1F7F"/>
    <w:rsid w:val="00B12AD0"/>
    <w:rsid w:val="00B21612"/>
    <w:rsid w:val="00B51585"/>
    <w:rsid w:val="00B5570A"/>
    <w:rsid w:val="00B86D1A"/>
    <w:rsid w:val="00BA40EF"/>
    <w:rsid w:val="00C12896"/>
    <w:rsid w:val="00C379EB"/>
    <w:rsid w:val="00C454D6"/>
    <w:rsid w:val="00C46FD1"/>
    <w:rsid w:val="00C4799C"/>
    <w:rsid w:val="00C81A38"/>
    <w:rsid w:val="00C81DB9"/>
    <w:rsid w:val="00CB3331"/>
    <w:rsid w:val="00CB69D6"/>
    <w:rsid w:val="00CC2985"/>
    <w:rsid w:val="00CF6068"/>
    <w:rsid w:val="00CF6705"/>
    <w:rsid w:val="00D17E29"/>
    <w:rsid w:val="00D22245"/>
    <w:rsid w:val="00D27772"/>
    <w:rsid w:val="00D376A8"/>
    <w:rsid w:val="00D62592"/>
    <w:rsid w:val="00D763F6"/>
    <w:rsid w:val="00D8354D"/>
    <w:rsid w:val="00D85A0F"/>
    <w:rsid w:val="00D95109"/>
    <w:rsid w:val="00DC048C"/>
    <w:rsid w:val="00E563C5"/>
    <w:rsid w:val="00E72D4D"/>
    <w:rsid w:val="00E854C0"/>
    <w:rsid w:val="00E9354B"/>
    <w:rsid w:val="00ED0C58"/>
    <w:rsid w:val="00EE78BE"/>
    <w:rsid w:val="00EF029F"/>
    <w:rsid w:val="00F03364"/>
    <w:rsid w:val="00F14188"/>
    <w:rsid w:val="00F1797D"/>
    <w:rsid w:val="00F53F4D"/>
    <w:rsid w:val="00F56E84"/>
    <w:rsid w:val="00FA10F7"/>
    <w:rsid w:val="00FD00C2"/>
    <w:rsid w:val="00FF2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A506A"/>
  <w15:chartTrackingRefBased/>
  <w15:docId w15:val="{B705A6D9-0902-4F51-ABAA-DD0F9948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34A"/>
    <w:pPr>
      <w:spacing w:line="256" w:lineRule="auto"/>
    </w:pPr>
  </w:style>
  <w:style w:type="paragraph" w:styleId="Heading1">
    <w:name w:val="heading 1"/>
    <w:basedOn w:val="Normal"/>
    <w:next w:val="Normal"/>
    <w:link w:val="Heading1Char"/>
    <w:uiPriority w:val="9"/>
    <w:qFormat/>
    <w:rsid w:val="000243C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34A"/>
    <w:pPr>
      <w:ind w:left="720"/>
      <w:contextualSpacing/>
    </w:pPr>
  </w:style>
  <w:style w:type="character" w:styleId="Hyperlink">
    <w:name w:val="Hyperlink"/>
    <w:basedOn w:val="DefaultParagraphFont"/>
    <w:uiPriority w:val="99"/>
    <w:unhideWhenUsed/>
    <w:rsid w:val="00F14188"/>
    <w:rPr>
      <w:color w:val="0000FF"/>
      <w:u w:val="single"/>
    </w:rPr>
  </w:style>
  <w:style w:type="paragraph" w:styleId="Bibliography">
    <w:name w:val="Bibliography"/>
    <w:basedOn w:val="Normal"/>
    <w:next w:val="Normal"/>
    <w:uiPriority w:val="37"/>
    <w:unhideWhenUsed/>
    <w:rsid w:val="00F14188"/>
    <w:pPr>
      <w:spacing w:after="200" w:line="276" w:lineRule="auto"/>
    </w:pPr>
  </w:style>
  <w:style w:type="character" w:styleId="UnresolvedMention">
    <w:name w:val="Unresolved Mention"/>
    <w:basedOn w:val="DefaultParagraphFont"/>
    <w:uiPriority w:val="99"/>
    <w:semiHidden/>
    <w:unhideWhenUsed/>
    <w:rsid w:val="00F14188"/>
    <w:rPr>
      <w:color w:val="605E5C"/>
      <w:shd w:val="clear" w:color="auto" w:fill="E1DFDD"/>
    </w:rPr>
  </w:style>
  <w:style w:type="paragraph" w:styleId="NormalWeb">
    <w:name w:val="Normal (Web)"/>
    <w:basedOn w:val="Normal"/>
    <w:uiPriority w:val="99"/>
    <w:semiHidden/>
    <w:unhideWhenUsed/>
    <w:rsid w:val="00AF1F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243C4"/>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867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679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301740">
      <w:bodyDiv w:val="1"/>
      <w:marLeft w:val="0"/>
      <w:marRight w:val="0"/>
      <w:marTop w:val="0"/>
      <w:marBottom w:val="0"/>
      <w:divBdr>
        <w:top w:val="none" w:sz="0" w:space="0" w:color="auto"/>
        <w:left w:val="none" w:sz="0" w:space="0" w:color="auto"/>
        <w:bottom w:val="none" w:sz="0" w:space="0" w:color="auto"/>
        <w:right w:val="none" w:sz="0" w:space="0" w:color="auto"/>
      </w:divBdr>
    </w:div>
    <w:div w:id="540752110">
      <w:bodyDiv w:val="1"/>
      <w:marLeft w:val="0"/>
      <w:marRight w:val="0"/>
      <w:marTop w:val="0"/>
      <w:marBottom w:val="0"/>
      <w:divBdr>
        <w:top w:val="none" w:sz="0" w:space="0" w:color="auto"/>
        <w:left w:val="none" w:sz="0" w:space="0" w:color="auto"/>
        <w:bottom w:val="none" w:sz="0" w:space="0" w:color="auto"/>
        <w:right w:val="none" w:sz="0" w:space="0" w:color="auto"/>
      </w:divBdr>
    </w:div>
    <w:div w:id="583496293">
      <w:bodyDiv w:val="1"/>
      <w:marLeft w:val="0"/>
      <w:marRight w:val="0"/>
      <w:marTop w:val="0"/>
      <w:marBottom w:val="0"/>
      <w:divBdr>
        <w:top w:val="none" w:sz="0" w:space="0" w:color="auto"/>
        <w:left w:val="none" w:sz="0" w:space="0" w:color="auto"/>
        <w:bottom w:val="none" w:sz="0" w:space="0" w:color="auto"/>
        <w:right w:val="none" w:sz="0" w:space="0" w:color="auto"/>
      </w:divBdr>
    </w:div>
    <w:div w:id="700016886">
      <w:bodyDiv w:val="1"/>
      <w:marLeft w:val="0"/>
      <w:marRight w:val="0"/>
      <w:marTop w:val="0"/>
      <w:marBottom w:val="0"/>
      <w:divBdr>
        <w:top w:val="none" w:sz="0" w:space="0" w:color="auto"/>
        <w:left w:val="none" w:sz="0" w:space="0" w:color="auto"/>
        <w:bottom w:val="none" w:sz="0" w:space="0" w:color="auto"/>
        <w:right w:val="none" w:sz="0" w:space="0" w:color="auto"/>
      </w:divBdr>
    </w:div>
    <w:div w:id="944196486">
      <w:bodyDiv w:val="1"/>
      <w:marLeft w:val="0"/>
      <w:marRight w:val="0"/>
      <w:marTop w:val="0"/>
      <w:marBottom w:val="0"/>
      <w:divBdr>
        <w:top w:val="none" w:sz="0" w:space="0" w:color="auto"/>
        <w:left w:val="none" w:sz="0" w:space="0" w:color="auto"/>
        <w:bottom w:val="none" w:sz="0" w:space="0" w:color="auto"/>
        <w:right w:val="none" w:sz="0" w:space="0" w:color="auto"/>
      </w:divBdr>
    </w:div>
    <w:div w:id="1161652639">
      <w:bodyDiv w:val="1"/>
      <w:marLeft w:val="0"/>
      <w:marRight w:val="0"/>
      <w:marTop w:val="0"/>
      <w:marBottom w:val="0"/>
      <w:divBdr>
        <w:top w:val="none" w:sz="0" w:space="0" w:color="auto"/>
        <w:left w:val="none" w:sz="0" w:space="0" w:color="auto"/>
        <w:bottom w:val="none" w:sz="0" w:space="0" w:color="auto"/>
        <w:right w:val="none" w:sz="0" w:space="0" w:color="auto"/>
      </w:divBdr>
    </w:div>
    <w:div w:id="1351298521">
      <w:bodyDiv w:val="1"/>
      <w:marLeft w:val="0"/>
      <w:marRight w:val="0"/>
      <w:marTop w:val="0"/>
      <w:marBottom w:val="0"/>
      <w:divBdr>
        <w:top w:val="none" w:sz="0" w:space="0" w:color="auto"/>
        <w:left w:val="none" w:sz="0" w:space="0" w:color="auto"/>
        <w:bottom w:val="none" w:sz="0" w:space="0" w:color="auto"/>
        <w:right w:val="none" w:sz="0" w:space="0" w:color="auto"/>
      </w:divBdr>
    </w:div>
    <w:div w:id="1510414629">
      <w:bodyDiv w:val="1"/>
      <w:marLeft w:val="0"/>
      <w:marRight w:val="0"/>
      <w:marTop w:val="0"/>
      <w:marBottom w:val="0"/>
      <w:divBdr>
        <w:top w:val="none" w:sz="0" w:space="0" w:color="auto"/>
        <w:left w:val="none" w:sz="0" w:space="0" w:color="auto"/>
        <w:bottom w:val="none" w:sz="0" w:space="0" w:color="auto"/>
        <w:right w:val="none" w:sz="0" w:space="0" w:color="auto"/>
      </w:divBdr>
    </w:div>
    <w:div w:id="155827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com" TargetMode="External"/><Relationship Id="rId13" Type="http://schemas.openxmlformats.org/officeDocument/2006/relationships/hyperlink" Target="https://www.cipd.co.uk/knowledge/strategy/organisational-development/pestle-analysis-factsheet" TargetMode="External"/><Relationship Id="rId18" Type="http://schemas.openxmlformats.org/officeDocument/2006/relationships/hyperlink" Target="https://www.mindtools.com/pages/article/newTMC_05.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cipd.co.uk/knowledge/strategy/hr/operating-models" TargetMode="External"/><Relationship Id="rId17" Type="http://schemas.openxmlformats.org/officeDocument/2006/relationships/hyperlink" Target="https://www.mindtools.com/pages/article/newSTR_90.htm" TargetMode="External"/><Relationship Id="rId2" Type="http://schemas.openxmlformats.org/officeDocument/2006/relationships/numbering" Target="numbering.xml"/><Relationship Id="rId16" Type="http://schemas.openxmlformats.org/officeDocument/2006/relationships/hyperlink" Target="https://www.mind.org.uk/media/4205494/building-on-change_booklet_final_pdf_21march16.pdf" TargetMode="External"/><Relationship Id="rId20" Type="http://schemas.openxmlformats.org/officeDocument/2006/relationships/hyperlink" Target="https://www.npt.gov.uk/14478"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ipd.co.uk/knowledge/culture/working-environment/organisational-culture-report" TargetMode="External"/><Relationship Id="rId5" Type="http://schemas.openxmlformats.org/officeDocument/2006/relationships/webSettings" Target="webSettings.xml"/><Relationship Id="rId15" Type="http://schemas.openxmlformats.org/officeDocument/2006/relationships/hyperlink" Target="https://www.mind.org.uk/about-us/" TargetMode="External"/><Relationship Id="rId10" Type="http://schemas.openxmlformats.org/officeDocument/2006/relationships/hyperlink" Target="http://www.gov.uk.news" TargetMode="External"/><Relationship Id="rId19" Type="http://schemas.openxmlformats.org/officeDocument/2006/relationships/hyperlink" Target="https://www.npt.gov.uk/5841"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local.gov.uk/sites/default/files/documents/local-government-structur-634.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b:Tag>
    <b:SourceType>BookSection</b:SourceType>
    <b:Guid>{52A1C545-8BC5-45CC-9265-5BFAE768842A}</b:Guid>
    <b:Title>Business Issues and the Contexts of Human Resources</b:Title>
    <b:Year>2016</b:Year>
    <b:Pages>43-66</b:Pages>
    <b:Author>
      <b:Author>
        <b:NameList>
          <b:Person>
            <b:Last>Taylor</b:Last>
            <b:First>Stephen</b:First>
          </b:Person>
          <b:Person>
            <b:Last>Wilkinson</b:Last>
            <b:First>Krystal</b:First>
          </b:Person>
        </b:NameList>
      </b:Author>
    </b:Author>
    <b:BookTitle>Studying Human Resource Management</b:BookTitle>
    <b:City>London</b:City>
    <b:Publisher>CIPD</b:Publisher>
    <b:RefOrder>1</b:RefOrder>
  </b:Source>
  <b:Source>
    <b:Tag>Dav15</b:Tag>
    <b:SourceType>Book</b:SourceType>
    <b:Guid>{C5D27D7C-B869-4B92-88EA-E5E382EA9247}</b:Guid>
    <b:Title>Human Resource Management in Context</b:Title>
    <b:Year>2015</b:Year>
    <b:City>London</b:City>
    <b:Publisher>CIPD</b:Publisher>
    <b:Author>
      <b:Author>
        <b:NameList>
          <b:Person>
            <b:Last>Farnham</b:Last>
            <b:First>David</b:First>
          </b:Person>
        </b:NameList>
      </b:Author>
    </b:Author>
    <b:RefOrder>2</b:RefOrder>
  </b:Source>
  <b:Source>
    <b:Tag>Del18</b:Tag>
    <b:SourceType>JournalArticle</b:SourceType>
    <b:Guid>{BFC3BB1F-7FC1-441A-9E43-12B9E472E851}</b:Guid>
    <b:Title>Global Business Coalition For Education</b:Title>
    <b:Year>2018</b:Year>
    <b:Author>
      <b:Author>
        <b:NameList>
          <b:Person>
            <b:Last>Deloitte</b:Last>
          </b:Person>
        </b:NameList>
      </b:Author>
    </b:Author>
    <b:JournalName>Preparing tomorrow's workforce for the Fourth Industrial Revolution</b:JournalName>
    <b:RefOrder>3</b:RefOrder>
  </b:Source>
</b:Sources>
</file>

<file path=customXml/itemProps1.xml><?xml version="1.0" encoding="utf-8"?>
<ds:datastoreItem xmlns:ds="http://schemas.openxmlformats.org/officeDocument/2006/customXml" ds:itemID="{E217E99D-83F2-4E45-99BB-F1631AED9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13</Pages>
  <Words>3786</Words>
  <Characters>21584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barnett</dc:creator>
  <cp:keywords/>
  <dc:description/>
  <cp:lastModifiedBy>jodie barnett</cp:lastModifiedBy>
  <cp:revision>65</cp:revision>
  <dcterms:created xsi:type="dcterms:W3CDTF">2020-03-09T09:40:00Z</dcterms:created>
  <dcterms:modified xsi:type="dcterms:W3CDTF">2020-03-16T18:18:00Z</dcterms:modified>
</cp:coreProperties>
</file>