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30ED6" w:rsidRPr="00A406E5" w14:paraId="2EE38145" w14:textId="77777777" w:rsidTr="00530ED6">
        <w:tc>
          <w:tcPr>
            <w:tcW w:w="8624" w:type="dxa"/>
            <w:shd w:val="clear" w:color="auto" w:fill="C0C0C0"/>
          </w:tcPr>
          <w:p w14:paraId="7B05F70C" w14:textId="77777777" w:rsidR="00530ED6" w:rsidRPr="00A406E5" w:rsidRDefault="00530ED6" w:rsidP="00717F7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68E2FBEC" w14:textId="77777777" w:rsidR="00530ED6" w:rsidRPr="00A406E5" w:rsidRDefault="00530ED6" w:rsidP="00530ED6">
      <w:pPr>
        <w:jc w:val="center"/>
        <w:rPr>
          <w:rFonts w:ascii="Arial" w:hAnsi="Arial" w:cs="Arial"/>
          <w:b/>
          <w:i/>
          <w:sz w:val="32"/>
        </w:rPr>
      </w:pPr>
    </w:p>
    <w:tbl>
      <w:tblPr>
        <w:tblW w:w="992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0ED6" w:rsidRPr="00A406E5" w14:paraId="31977B3E" w14:textId="77777777" w:rsidTr="00530ED6">
        <w:tc>
          <w:tcPr>
            <w:tcW w:w="2093" w:type="dxa"/>
            <w:shd w:val="clear" w:color="auto" w:fill="auto"/>
          </w:tcPr>
          <w:p w14:paraId="66E76DFD"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737A45" w14:textId="23875475"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hemeFill="background1" w:themeFillShade="D9"/>
          </w:tcPr>
          <w:p w14:paraId="04269079"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Student ID number:</w:t>
            </w:r>
          </w:p>
        </w:tc>
        <w:tc>
          <w:tcPr>
            <w:tcW w:w="2268" w:type="dxa"/>
          </w:tcPr>
          <w:p w14:paraId="5681188B" w14:textId="292FA509"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2315599</w:t>
            </w:r>
          </w:p>
        </w:tc>
      </w:tr>
      <w:tr w:rsidR="00530ED6" w:rsidRPr="00A406E5" w14:paraId="0F22D3DB" w14:textId="77777777" w:rsidTr="00530ED6">
        <w:tc>
          <w:tcPr>
            <w:tcW w:w="2093" w:type="dxa"/>
            <w:shd w:val="clear" w:color="auto" w:fill="auto"/>
          </w:tcPr>
          <w:p w14:paraId="1B5FBED6"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28CBE4" w14:textId="77777777" w:rsidR="00530ED6" w:rsidRPr="00A406E5" w:rsidRDefault="00530ED6" w:rsidP="00717F7F">
            <w:pPr>
              <w:spacing w:before="120" w:after="120"/>
              <w:jc w:val="both"/>
              <w:rPr>
                <w:rFonts w:ascii="Arial" w:hAnsi="Arial" w:cs="Arial"/>
                <w:b/>
                <w:bCs/>
                <w:sz w:val="22"/>
                <w:szCs w:val="22"/>
              </w:rPr>
            </w:pPr>
            <w:r w:rsidRPr="315389A3">
              <w:rPr>
                <w:rFonts w:ascii="Arial" w:hAnsi="Arial" w:cs="Arial"/>
                <w:b/>
                <w:bCs/>
                <w:sz w:val="22"/>
                <w:szCs w:val="22"/>
              </w:rPr>
              <w:t>Law and Legal Practice LLB</w:t>
            </w:r>
          </w:p>
        </w:tc>
      </w:tr>
      <w:tr w:rsidR="00530ED6" w:rsidRPr="00A406E5" w14:paraId="5D0D51BC" w14:textId="77777777" w:rsidTr="00530ED6">
        <w:tc>
          <w:tcPr>
            <w:tcW w:w="2093" w:type="dxa"/>
            <w:shd w:val="clear" w:color="auto" w:fill="auto"/>
          </w:tcPr>
          <w:p w14:paraId="46262CDC"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3C585"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 xml:space="preserve">Family Law and Practice </w:t>
            </w:r>
          </w:p>
        </w:tc>
      </w:tr>
      <w:tr w:rsidR="00530ED6" w:rsidRPr="00A406E5" w14:paraId="11D4FF4D" w14:textId="77777777" w:rsidTr="00530ED6">
        <w:tc>
          <w:tcPr>
            <w:tcW w:w="2093" w:type="dxa"/>
            <w:shd w:val="clear" w:color="auto" w:fill="auto"/>
          </w:tcPr>
          <w:p w14:paraId="63059201"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BF221A"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BMLW5018</w:t>
            </w:r>
          </w:p>
        </w:tc>
        <w:tc>
          <w:tcPr>
            <w:tcW w:w="2268" w:type="dxa"/>
            <w:shd w:val="clear" w:color="auto" w:fill="D9D9D9" w:themeFill="background1" w:themeFillShade="D9"/>
          </w:tcPr>
          <w:p w14:paraId="2A8C354F" w14:textId="7A591F79" w:rsidR="00530ED6" w:rsidRPr="004D5E9B" w:rsidRDefault="00530ED6" w:rsidP="00717F7F">
            <w:pPr>
              <w:pStyle w:val="Heading2"/>
              <w:rPr>
                <w:rFonts w:ascii="Arial" w:hAnsi="Arial" w:cs="Arial"/>
                <w:sz w:val="22"/>
                <w:szCs w:val="22"/>
              </w:rPr>
            </w:pPr>
          </w:p>
        </w:tc>
        <w:tc>
          <w:tcPr>
            <w:tcW w:w="2268" w:type="dxa"/>
          </w:tcPr>
          <w:p w14:paraId="5FE5E6D2" w14:textId="6B0001FC" w:rsidR="00530ED6" w:rsidRPr="00A406E5" w:rsidRDefault="00530ED6" w:rsidP="00717F7F">
            <w:pPr>
              <w:spacing w:before="120" w:after="120"/>
              <w:jc w:val="both"/>
              <w:rPr>
                <w:rFonts w:ascii="Arial" w:hAnsi="Arial" w:cs="Arial"/>
                <w:b/>
                <w:bCs/>
                <w:sz w:val="22"/>
                <w:szCs w:val="22"/>
              </w:rPr>
            </w:pPr>
          </w:p>
        </w:tc>
      </w:tr>
      <w:tr w:rsidR="00530ED6" w:rsidRPr="00A406E5" w14:paraId="1BBB2DEE" w14:textId="77777777" w:rsidTr="00530ED6">
        <w:tc>
          <w:tcPr>
            <w:tcW w:w="2093" w:type="dxa"/>
            <w:shd w:val="clear" w:color="auto" w:fill="auto"/>
          </w:tcPr>
          <w:p w14:paraId="1E94FBB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89BF1F"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Legal design assessment</w:t>
            </w:r>
          </w:p>
        </w:tc>
        <w:tc>
          <w:tcPr>
            <w:tcW w:w="2268" w:type="dxa"/>
            <w:shd w:val="clear" w:color="auto" w:fill="auto"/>
          </w:tcPr>
          <w:p w14:paraId="4375FD13"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7AA290"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2000</w:t>
            </w:r>
          </w:p>
        </w:tc>
      </w:tr>
      <w:tr w:rsidR="00530ED6" w:rsidRPr="00A406E5" w14:paraId="76B355E5" w14:textId="77777777" w:rsidTr="00530ED6">
        <w:tc>
          <w:tcPr>
            <w:tcW w:w="2093" w:type="dxa"/>
            <w:shd w:val="clear" w:color="auto" w:fill="auto"/>
          </w:tcPr>
          <w:p w14:paraId="76DDBF1A"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938C4" w14:textId="77777777" w:rsidR="00530ED6" w:rsidRPr="00A406E5" w:rsidRDefault="00530ED6" w:rsidP="00717F7F">
            <w:pPr>
              <w:spacing w:before="120" w:after="120"/>
              <w:jc w:val="both"/>
              <w:rPr>
                <w:rFonts w:ascii="Arial" w:hAnsi="Arial" w:cs="Arial"/>
                <w:b/>
                <w:sz w:val="22"/>
                <w:szCs w:val="22"/>
              </w:rPr>
            </w:pPr>
            <w:r>
              <w:rPr>
                <w:rFonts w:ascii="Arial" w:hAnsi="Arial" w:cs="Arial"/>
                <w:b/>
                <w:sz w:val="22"/>
                <w:szCs w:val="22"/>
              </w:rPr>
              <w:t>08 November 2024 23.59</w:t>
            </w:r>
          </w:p>
        </w:tc>
        <w:tc>
          <w:tcPr>
            <w:tcW w:w="2268" w:type="dxa"/>
            <w:shd w:val="clear" w:color="auto" w:fill="auto"/>
          </w:tcPr>
          <w:p w14:paraId="7B037577" w14:textId="77777777" w:rsidR="00530ED6" w:rsidRPr="00A406E5" w:rsidRDefault="00530ED6" w:rsidP="00717F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BE5442" w14:textId="77777777" w:rsidR="00530ED6" w:rsidRPr="00A406E5" w:rsidRDefault="00530ED6" w:rsidP="00717F7F">
            <w:pPr>
              <w:spacing w:before="120" w:after="120"/>
              <w:jc w:val="both"/>
              <w:rPr>
                <w:rFonts w:ascii="Arial" w:hAnsi="Arial" w:cs="Arial"/>
                <w:b/>
                <w:bCs/>
                <w:sz w:val="22"/>
                <w:szCs w:val="22"/>
              </w:rPr>
            </w:pPr>
            <w:r w:rsidRPr="2C26D1B3">
              <w:rPr>
                <w:rFonts w:ascii="Arial" w:hAnsi="Arial" w:cs="Arial"/>
                <w:b/>
                <w:bCs/>
                <w:sz w:val="22"/>
                <w:szCs w:val="22"/>
              </w:rPr>
              <w:t>06 December 2024</w:t>
            </w:r>
          </w:p>
        </w:tc>
      </w:tr>
    </w:tbl>
    <w:p w14:paraId="06028311" w14:textId="77777777" w:rsidR="00530ED6" w:rsidRDefault="00530ED6" w:rsidP="004C528C">
      <w:pPr>
        <w:ind w:right="237"/>
        <w:jc w:val="both"/>
      </w:pPr>
    </w:p>
    <w:p w14:paraId="052F1A05" w14:textId="0F8C8138" w:rsidR="00530ED6" w:rsidRDefault="00530ED6">
      <w:r>
        <w:br w:type="page"/>
      </w:r>
    </w:p>
    <w:sdt>
      <w:sdtPr>
        <w:rPr>
          <w:rFonts w:asciiTheme="minorHAnsi" w:eastAsiaTheme="minorHAnsi" w:hAnsiTheme="minorHAnsi" w:cstheme="minorBidi"/>
          <w:color w:val="auto"/>
          <w:kern w:val="2"/>
          <w:sz w:val="24"/>
          <w:szCs w:val="24"/>
          <w:lang w:eastAsia="en-US"/>
          <w14:ligatures w14:val="standardContextual"/>
        </w:rPr>
        <w:id w:val="987368789"/>
        <w:docPartObj>
          <w:docPartGallery w:val="Table of Contents"/>
          <w:docPartUnique/>
        </w:docPartObj>
      </w:sdtPr>
      <w:sdtEndPr>
        <w:rPr>
          <w:b/>
          <w:bCs/>
        </w:rPr>
      </w:sdtEndPr>
      <w:sdtContent>
        <w:p w14:paraId="2EE22ED7" w14:textId="2EEEE253" w:rsidR="00491889" w:rsidRDefault="00491889">
          <w:pPr>
            <w:pStyle w:val="TOCHeading"/>
          </w:pPr>
          <w:r>
            <w:t>Contents</w:t>
          </w:r>
        </w:p>
        <w:p w14:paraId="4F8B1654" w14:textId="284F534F" w:rsidR="00F22826" w:rsidRPr="00F22826" w:rsidRDefault="00491889">
          <w:pPr>
            <w:pStyle w:val="TOC1"/>
            <w:tabs>
              <w:tab w:val="right" w:leader="dot" w:pos="9016"/>
            </w:tabs>
            <w:rPr>
              <w:noProof/>
            </w:rPr>
          </w:pPr>
          <w:r>
            <w:fldChar w:fldCharType="begin"/>
          </w:r>
          <w:r>
            <w:instrText xml:space="preserve"> TOC \o "1-3" \h \z \u </w:instrText>
          </w:r>
          <w:r>
            <w:fldChar w:fldCharType="separate"/>
          </w:r>
          <w:hyperlink w:anchor="_Toc193198827" w:history="1">
            <w:r w:rsidR="00F22826" w:rsidRPr="00F22826">
              <w:rPr>
                <w:rStyle w:val="Hyperlink"/>
                <w:noProof/>
              </w:rPr>
              <w:t>Assessment 1: Child Rights/Law Communications plan</w:t>
            </w:r>
            <w:r w:rsidR="00F22826" w:rsidRPr="00F22826">
              <w:rPr>
                <w:noProof/>
                <w:webHidden/>
              </w:rPr>
              <w:tab/>
            </w:r>
            <w:r w:rsidR="00F22826" w:rsidRPr="00F22826">
              <w:rPr>
                <w:noProof/>
                <w:webHidden/>
              </w:rPr>
              <w:fldChar w:fldCharType="begin"/>
            </w:r>
            <w:r w:rsidR="00F22826" w:rsidRPr="00F22826">
              <w:rPr>
                <w:noProof/>
                <w:webHidden/>
              </w:rPr>
              <w:instrText xml:space="preserve"> PAGEREF _Toc193198827 \h </w:instrText>
            </w:r>
            <w:r w:rsidR="00F22826" w:rsidRPr="00F22826">
              <w:rPr>
                <w:noProof/>
                <w:webHidden/>
              </w:rPr>
            </w:r>
            <w:r w:rsidR="00F22826" w:rsidRPr="00F22826">
              <w:rPr>
                <w:noProof/>
                <w:webHidden/>
              </w:rPr>
              <w:fldChar w:fldCharType="separate"/>
            </w:r>
            <w:r w:rsidR="00E4579F">
              <w:rPr>
                <w:noProof/>
                <w:webHidden/>
              </w:rPr>
              <w:t>3</w:t>
            </w:r>
            <w:r w:rsidR="00F22826" w:rsidRPr="00F22826">
              <w:rPr>
                <w:noProof/>
                <w:webHidden/>
              </w:rPr>
              <w:fldChar w:fldCharType="end"/>
            </w:r>
          </w:hyperlink>
        </w:p>
        <w:p w14:paraId="25E479D2" w14:textId="5A72A9CB" w:rsidR="00F22826" w:rsidRPr="00F22826" w:rsidRDefault="00F22826">
          <w:pPr>
            <w:pStyle w:val="TOC1"/>
            <w:tabs>
              <w:tab w:val="right" w:leader="dot" w:pos="9016"/>
            </w:tabs>
            <w:rPr>
              <w:noProof/>
            </w:rPr>
          </w:pPr>
          <w:hyperlink w:anchor="_Toc193198828" w:history="1">
            <w:r w:rsidRPr="00F22826">
              <w:rPr>
                <w:rStyle w:val="Hyperlink"/>
                <w:noProof/>
              </w:rPr>
              <w:t>Part B – B1</w:t>
            </w:r>
            <w:r w:rsidRPr="00F22826">
              <w:rPr>
                <w:noProof/>
                <w:webHidden/>
              </w:rPr>
              <w:tab/>
            </w:r>
            <w:r w:rsidRPr="00F22826">
              <w:rPr>
                <w:noProof/>
                <w:webHidden/>
              </w:rPr>
              <w:fldChar w:fldCharType="begin"/>
            </w:r>
            <w:r w:rsidRPr="00F22826">
              <w:rPr>
                <w:noProof/>
                <w:webHidden/>
              </w:rPr>
              <w:instrText xml:space="preserve"> PAGEREF _Toc193198828 \h </w:instrText>
            </w:r>
            <w:r w:rsidRPr="00F22826">
              <w:rPr>
                <w:noProof/>
                <w:webHidden/>
              </w:rPr>
            </w:r>
            <w:r w:rsidRPr="00F22826">
              <w:rPr>
                <w:noProof/>
                <w:webHidden/>
              </w:rPr>
              <w:fldChar w:fldCharType="separate"/>
            </w:r>
            <w:r w:rsidR="00E4579F">
              <w:rPr>
                <w:noProof/>
                <w:webHidden/>
              </w:rPr>
              <w:t>4</w:t>
            </w:r>
            <w:r w:rsidRPr="00F22826">
              <w:rPr>
                <w:noProof/>
                <w:webHidden/>
              </w:rPr>
              <w:fldChar w:fldCharType="end"/>
            </w:r>
          </w:hyperlink>
        </w:p>
        <w:p w14:paraId="492236F1" w14:textId="5D6A8384" w:rsidR="00F22826" w:rsidRPr="00F22826" w:rsidRDefault="00F22826">
          <w:pPr>
            <w:pStyle w:val="TOC1"/>
            <w:tabs>
              <w:tab w:val="right" w:leader="dot" w:pos="9016"/>
            </w:tabs>
            <w:rPr>
              <w:noProof/>
            </w:rPr>
          </w:pPr>
          <w:hyperlink w:anchor="_Toc193198829" w:history="1">
            <w:r w:rsidRPr="00F22826">
              <w:rPr>
                <w:rStyle w:val="Hyperlink"/>
                <w:noProof/>
              </w:rPr>
              <w:t>Part B – B2</w:t>
            </w:r>
            <w:r w:rsidRPr="00F22826">
              <w:rPr>
                <w:noProof/>
                <w:webHidden/>
              </w:rPr>
              <w:tab/>
            </w:r>
            <w:r w:rsidRPr="00F22826">
              <w:rPr>
                <w:noProof/>
                <w:webHidden/>
              </w:rPr>
              <w:fldChar w:fldCharType="begin"/>
            </w:r>
            <w:r w:rsidRPr="00F22826">
              <w:rPr>
                <w:noProof/>
                <w:webHidden/>
              </w:rPr>
              <w:instrText xml:space="preserve"> PAGEREF _Toc193198829 \h </w:instrText>
            </w:r>
            <w:r w:rsidRPr="00F22826">
              <w:rPr>
                <w:noProof/>
                <w:webHidden/>
              </w:rPr>
            </w:r>
            <w:r w:rsidRPr="00F22826">
              <w:rPr>
                <w:noProof/>
                <w:webHidden/>
              </w:rPr>
              <w:fldChar w:fldCharType="separate"/>
            </w:r>
            <w:r w:rsidR="00E4579F">
              <w:rPr>
                <w:noProof/>
                <w:webHidden/>
              </w:rPr>
              <w:t>5</w:t>
            </w:r>
            <w:r w:rsidRPr="00F22826">
              <w:rPr>
                <w:noProof/>
                <w:webHidden/>
              </w:rPr>
              <w:fldChar w:fldCharType="end"/>
            </w:r>
          </w:hyperlink>
        </w:p>
        <w:p w14:paraId="40A2AA98" w14:textId="6A0A6AB2" w:rsidR="00F22826" w:rsidRPr="00F22826" w:rsidRDefault="00F22826">
          <w:pPr>
            <w:pStyle w:val="TOC1"/>
            <w:tabs>
              <w:tab w:val="right" w:leader="dot" w:pos="9016"/>
            </w:tabs>
            <w:rPr>
              <w:noProof/>
            </w:rPr>
          </w:pPr>
          <w:hyperlink w:anchor="_Toc193198830" w:history="1">
            <w:r w:rsidRPr="00F22826">
              <w:rPr>
                <w:rStyle w:val="Hyperlink"/>
                <w:noProof/>
              </w:rPr>
              <w:t>Part B – B3</w:t>
            </w:r>
            <w:r w:rsidRPr="00F22826">
              <w:rPr>
                <w:noProof/>
                <w:webHidden/>
              </w:rPr>
              <w:tab/>
            </w:r>
            <w:r w:rsidRPr="00F22826">
              <w:rPr>
                <w:noProof/>
                <w:webHidden/>
              </w:rPr>
              <w:fldChar w:fldCharType="begin"/>
            </w:r>
            <w:r w:rsidRPr="00F22826">
              <w:rPr>
                <w:noProof/>
                <w:webHidden/>
              </w:rPr>
              <w:instrText xml:space="preserve"> PAGEREF _Toc193198830 \h </w:instrText>
            </w:r>
            <w:r w:rsidRPr="00F22826">
              <w:rPr>
                <w:noProof/>
                <w:webHidden/>
              </w:rPr>
            </w:r>
            <w:r w:rsidRPr="00F22826">
              <w:rPr>
                <w:noProof/>
                <w:webHidden/>
              </w:rPr>
              <w:fldChar w:fldCharType="separate"/>
            </w:r>
            <w:r w:rsidR="00E4579F">
              <w:rPr>
                <w:noProof/>
                <w:webHidden/>
              </w:rPr>
              <w:t>6</w:t>
            </w:r>
            <w:r w:rsidRPr="00F22826">
              <w:rPr>
                <w:noProof/>
                <w:webHidden/>
              </w:rPr>
              <w:fldChar w:fldCharType="end"/>
            </w:r>
          </w:hyperlink>
        </w:p>
        <w:p w14:paraId="3B776A67" w14:textId="2E1744E8" w:rsidR="00F22826" w:rsidRPr="00F22826" w:rsidRDefault="00F22826">
          <w:pPr>
            <w:pStyle w:val="TOC1"/>
            <w:tabs>
              <w:tab w:val="right" w:leader="dot" w:pos="9016"/>
            </w:tabs>
            <w:rPr>
              <w:noProof/>
            </w:rPr>
          </w:pPr>
          <w:hyperlink w:anchor="_Toc193198831" w:history="1">
            <w:r w:rsidRPr="00F22826">
              <w:rPr>
                <w:rStyle w:val="Hyperlink"/>
                <w:noProof/>
              </w:rPr>
              <w:t>Part B – B4 Analysis/Feedback</w:t>
            </w:r>
            <w:r w:rsidRPr="00F22826">
              <w:rPr>
                <w:noProof/>
                <w:webHidden/>
              </w:rPr>
              <w:tab/>
            </w:r>
            <w:r w:rsidRPr="00F22826">
              <w:rPr>
                <w:noProof/>
                <w:webHidden/>
              </w:rPr>
              <w:fldChar w:fldCharType="begin"/>
            </w:r>
            <w:r w:rsidRPr="00F22826">
              <w:rPr>
                <w:noProof/>
                <w:webHidden/>
              </w:rPr>
              <w:instrText xml:space="preserve"> PAGEREF _Toc193198831 \h </w:instrText>
            </w:r>
            <w:r w:rsidRPr="00F22826">
              <w:rPr>
                <w:noProof/>
                <w:webHidden/>
              </w:rPr>
            </w:r>
            <w:r w:rsidRPr="00F22826">
              <w:rPr>
                <w:noProof/>
                <w:webHidden/>
              </w:rPr>
              <w:fldChar w:fldCharType="separate"/>
            </w:r>
            <w:r w:rsidR="00E4579F">
              <w:rPr>
                <w:noProof/>
                <w:webHidden/>
              </w:rPr>
              <w:t>8</w:t>
            </w:r>
            <w:r w:rsidRPr="00F22826">
              <w:rPr>
                <w:noProof/>
                <w:webHidden/>
              </w:rPr>
              <w:fldChar w:fldCharType="end"/>
            </w:r>
          </w:hyperlink>
        </w:p>
        <w:p w14:paraId="6F39BB72" w14:textId="0261CA15" w:rsidR="00F22826" w:rsidRPr="00F22826" w:rsidRDefault="00F22826">
          <w:pPr>
            <w:pStyle w:val="TOC1"/>
            <w:tabs>
              <w:tab w:val="right" w:leader="dot" w:pos="9016"/>
            </w:tabs>
            <w:rPr>
              <w:noProof/>
            </w:rPr>
          </w:pPr>
          <w:hyperlink w:anchor="_Toc193198832" w:history="1">
            <w:r w:rsidRPr="00F22826">
              <w:rPr>
                <w:rStyle w:val="Hyperlink"/>
                <w:noProof/>
              </w:rPr>
              <w:t>Table of Legislation</w:t>
            </w:r>
            <w:r w:rsidRPr="00F22826">
              <w:rPr>
                <w:noProof/>
                <w:webHidden/>
              </w:rPr>
              <w:tab/>
            </w:r>
            <w:r w:rsidRPr="00F22826">
              <w:rPr>
                <w:noProof/>
                <w:webHidden/>
              </w:rPr>
              <w:fldChar w:fldCharType="begin"/>
            </w:r>
            <w:r w:rsidRPr="00F22826">
              <w:rPr>
                <w:noProof/>
                <w:webHidden/>
              </w:rPr>
              <w:instrText xml:space="preserve"> PAGEREF _Toc193198832 \h </w:instrText>
            </w:r>
            <w:r w:rsidRPr="00F22826">
              <w:rPr>
                <w:noProof/>
                <w:webHidden/>
              </w:rPr>
            </w:r>
            <w:r w:rsidRPr="00F22826">
              <w:rPr>
                <w:noProof/>
                <w:webHidden/>
              </w:rPr>
              <w:fldChar w:fldCharType="separate"/>
            </w:r>
            <w:r w:rsidR="00E4579F">
              <w:rPr>
                <w:noProof/>
                <w:webHidden/>
              </w:rPr>
              <w:t>9</w:t>
            </w:r>
            <w:r w:rsidRPr="00F22826">
              <w:rPr>
                <w:noProof/>
                <w:webHidden/>
              </w:rPr>
              <w:fldChar w:fldCharType="end"/>
            </w:r>
          </w:hyperlink>
        </w:p>
        <w:p w14:paraId="14D8EFF0" w14:textId="0E07DCF5" w:rsidR="00F22826" w:rsidRPr="00F22826" w:rsidRDefault="00F22826">
          <w:pPr>
            <w:pStyle w:val="TOC1"/>
            <w:tabs>
              <w:tab w:val="right" w:leader="dot" w:pos="9016"/>
            </w:tabs>
            <w:rPr>
              <w:noProof/>
            </w:rPr>
          </w:pPr>
          <w:hyperlink w:anchor="_Toc193198833" w:history="1">
            <w:r w:rsidRPr="00F22826">
              <w:rPr>
                <w:rStyle w:val="Hyperlink"/>
                <w:noProof/>
              </w:rPr>
              <w:t>Table of cases</w:t>
            </w:r>
            <w:r w:rsidRPr="00F22826">
              <w:rPr>
                <w:noProof/>
                <w:webHidden/>
              </w:rPr>
              <w:tab/>
            </w:r>
            <w:r w:rsidRPr="00F22826">
              <w:rPr>
                <w:noProof/>
                <w:webHidden/>
              </w:rPr>
              <w:fldChar w:fldCharType="begin"/>
            </w:r>
            <w:r w:rsidRPr="00F22826">
              <w:rPr>
                <w:noProof/>
                <w:webHidden/>
              </w:rPr>
              <w:instrText xml:space="preserve"> PAGEREF _Toc193198833 \h </w:instrText>
            </w:r>
            <w:r w:rsidRPr="00F22826">
              <w:rPr>
                <w:noProof/>
                <w:webHidden/>
              </w:rPr>
            </w:r>
            <w:r w:rsidRPr="00F22826">
              <w:rPr>
                <w:noProof/>
                <w:webHidden/>
              </w:rPr>
              <w:fldChar w:fldCharType="separate"/>
            </w:r>
            <w:r w:rsidR="00E4579F">
              <w:rPr>
                <w:noProof/>
                <w:webHidden/>
              </w:rPr>
              <w:t>10</w:t>
            </w:r>
            <w:r w:rsidRPr="00F22826">
              <w:rPr>
                <w:noProof/>
                <w:webHidden/>
              </w:rPr>
              <w:fldChar w:fldCharType="end"/>
            </w:r>
          </w:hyperlink>
        </w:p>
        <w:p w14:paraId="617996D6" w14:textId="194BD36A" w:rsidR="00F22826" w:rsidRPr="00F22826" w:rsidRDefault="00F22826">
          <w:pPr>
            <w:pStyle w:val="TOC1"/>
            <w:tabs>
              <w:tab w:val="right" w:leader="dot" w:pos="9016"/>
            </w:tabs>
            <w:rPr>
              <w:noProof/>
            </w:rPr>
          </w:pPr>
          <w:hyperlink w:anchor="_Toc193198834" w:history="1">
            <w:r w:rsidRPr="00F22826">
              <w:rPr>
                <w:rStyle w:val="Hyperlink"/>
                <w:noProof/>
              </w:rPr>
              <w:t>References</w:t>
            </w:r>
            <w:r w:rsidRPr="00F22826">
              <w:rPr>
                <w:noProof/>
                <w:webHidden/>
              </w:rPr>
              <w:tab/>
            </w:r>
            <w:r w:rsidRPr="00F22826">
              <w:rPr>
                <w:noProof/>
                <w:webHidden/>
              </w:rPr>
              <w:fldChar w:fldCharType="begin"/>
            </w:r>
            <w:r w:rsidRPr="00F22826">
              <w:rPr>
                <w:noProof/>
                <w:webHidden/>
              </w:rPr>
              <w:instrText xml:space="preserve"> PAGEREF _Toc193198834 \h </w:instrText>
            </w:r>
            <w:r w:rsidRPr="00F22826">
              <w:rPr>
                <w:noProof/>
                <w:webHidden/>
              </w:rPr>
            </w:r>
            <w:r w:rsidRPr="00F22826">
              <w:rPr>
                <w:noProof/>
                <w:webHidden/>
              </w:rPr>
              <w:fldChar w:fldCharType="separate"/>
            </w:r>
            <w:r w:rsidR="00E4579F">
              <w:rPr>
                <w:noProof/>
                <w:webHidden/>
              </w:rPr>
              <w:t>11</w:t>
            </w:r>
            <w:r w:rsidRPr="00F22826">
              <w:rPr>
                <w:noProof/>
                <w:webHidden/>
              </w:rPr>
              <w:fldChar w:fldCharType="end"/>
            </w:r>
          </w:hyperlink>
        </w:p>
        <w:p w14:paraId="362BBD28" w14:textId="109C88FB" w:rsidR="00491889" w:rsidRDefault="00491889">
          <w:r>
            <w:rPr>
              <w:b/>
              <w:bCs/>
            </w:rPr>
            <w:fldChar w:fldCharType="end"/>
          </w:r>
        </w:p>
      </w:sdtContent>
    </w:sdt>
    <w:p w14:paraId="17C36FC9" w14:textId="77777777" w:rsidR="00491889" w:rsidRDefault="00491889">
      <w:pPr>
        <w:rPr>
          <w:rFonts w:ascii="Arial" w:hAnsi="Arial" w:cs="Arial"/>
          <w:b/>
          <w:bCs/>
          <w:u w:val="single"/>
        </w:rPr>
      </w:pPr>
      <w:r>
        <w:rPr>
          <w:rFonts w:ascii="Arial" w:hAnsi="Arial" w:cs="Arial"/>
          <w:b/>
          <w:bCs/>
          <w:u w:val="single"/>
        </w:rPr>
        <w:br w:type="page"/>
      </w:r>
    </w:p>
    <w:p w14:paraId="2A3AD44C" w14:textId="752E997E" w:rsidR="00FE37CA" w:rsidRPr="00491889" w:rsidRDefault="00FE37CA" w:rsidP="00491889">
      <w:pPr>
        <w:pStyle w:val="Heading1"/>
      </w:pPr>
      <w:bookmarkStart w:id="0" w:name="_Toc193198827"/>
      <w:r w:rsidRPr="00491889">
        <w:lastRenderedPageBreak/>
        <w:t>Assessment 1: Child Rights/Law Communications plan</w:t>
      </w:r>
      <w:bookmarkEnd w:id="0"/>
    </w:p>
    <w:p w14:paraId="7BDA5C5B" w14:textId="0FC3304C" w:rsidR="00FE37CA" w:rsidRDefault="00FE37CA" w:rsidP="00FE37CA">
      <w:pPr>
        <w:rPr>
          <w:rFonts w:ascii="Arial" w:hAnsi="Arial" w:cs="Arial"/>
          <w:b/>
          <w:bCs/>
        </w:rPr>
      </w:pPr>
      <w:r>
        <w:rPr>
          <w:rFonts w:ascii="Arial" w:hAnsi="Arial" w:cs="Arial"/>
          <w:b/>
          <w:bCs/>
        </w:rPr>
        <w:t>Area of law:</w:t>
      </w:r>
      <w:r>
        <w:rPr>
          <w:rFonts w:ascii="Arial" w:hAnsi="Arial" w:cs="Arial"/>
          <w:b/>
          <w:bCs/>
        </w:rPr>
        <w:tab/>
      </w:r>
      <w:r>
        <w:rPr>
          <w:rFonts w:ascii="Arial" w:hAnsi="Arial" w:cs="Arial"/>
          <w:b/>
          <w:bCs/>
        </w:rPr>
        <w:tab/>
        <w:t>Child Protection</w:t>
      </w:r>
    </w:p>
    <w:tbl>
      <w:tblPr>
        <w:tblStyle w:val="TableGrid"/>
        <w:tblW w:w="9290" w:type="dxa"/>
        <w:tblLook w:val="04A0" w:firstRow="1" w:lastRow="0" w:firstColumn="1" w:lastColumn="0" w:noHBand="0" w:noVBand="1"/>
      </w:tblPr>
      <w:tblGrid>
        <w:gridCol w:w="3064"/>
        <w:gridCol w:w="6226"/>
      </w:tblGrid>
      <w:tr w:rsidR="00FE37CA" w14:paraId="0C5E5056" w14:textId="77777777" w:rsidTr="00717F7F">
        <w:trPr>
          <w:trHeight w:val="2182"/>
        </w:trPr>
        <w:tc>
          <w:tcPr>
            <w:tcW w:w="3064" w:type="dxa"/>
          </w:tcPr>
          <w:p w14:paraId="2659F460" w14:textId="0758C3F2" w:rsidR="00FE37CA" w:rsidRDefault="00FE37CA" w:rsidP="00717F7F">
            <w:pPr>
              <w:rPr>
                <w:rFonts w:ascii="Arial" w:hAnsi="Arial" w:cs="Arial"/>
                <w:b/>
                <w:bCs/>
              </w:rPr>
            </w:pPr>
            <w:r>
              <w:rPr>
                <w:rFonts w:ascii="Arial" w:hAnsi="Arial" w:cs="Arial"/>
                <w:b/>
                <w:bCs/>
              </w:rPr>
              <w:t xml:space="preserve">Which legal challenge will your resource address? </w:t>
            </w:r>
          </w:p>
        </w:tc>
        <w:tc>
          <w:tcPr>
            <w:tcW w:w="6226" w:type="dxa"/>
          </w:tcPr>
          <w:p w14:paraId="29207492" w14:textId="77777777" w:rsidR="00FE37CA" w:rsidRPr="00A023EB" w:rsidRDefault="00FE37CA" w:rsidP="00FE37CA">
            <w:pPr>
              <w:jc w:val="both"/>
            </w:pPr>
            <w:r w:rsidRPr="00A023EB">
              <w:t xml:space="preserve">For this assignment, I want to focus on child protection. I have 3 daughters and feel very strongly about protecting them.  All 3 of my daughters are dancers and I am a licensed chaperone with an enhanced DBS following a vigorous police check and having to undertake a course and exam with the local authority. I will hold this licence for 3 years thereafter I will need to resit the course and exam again. </w:t>
            </w:r>
          </w:p>
          <w:p w14:paraId="6400C3A4" w14:textId="77777777" w:rsidR="00FE37CA" w:rsidRPr="00A023EB" w:rsidRDefault="00FE37CA" w:rsidP="00717F7F">
            <w:pPr>
              <w:rPr>
                <w:rFonts w:cs="Arial"/>
                <w:b/>
                <w:bCs/>
              </w:rPr>
            </w:pPr>
          </w:p>
        </w:tc>
      </w:tr>
      <w:tr w:rsidR="00FE37CA" w14:paraId="2E0EF9EE" w14:textId="77777777" w:rsidTr="00717F7F">
        <w:trPr>
          <w:trHeight w:val="1115"/>
        </w:trPr>
        <w:tc>
          <w:tcPr>
            <w:tcW w:w="3064" w:type="dxa"/>
          </w:tcPr>
          <w:p w14:paraId="193C99FC" w14:textId="77777777" w:rsidR="00FE37CA" w:rsidRDefault="00FE37CA" w:rsidP="00717F7F">
            <w:pPr>
              <w:rPr>
                <w:rFonts w:ascii="Arial" w:hAnsi="Arial" w:cs="Arial"/>
                <w:b/>
                <w:bCs/>
              </w:rPr>
            </w:pPr>
            <w:r>
              <w:rPr>
                <w:rFonts w:ascii="Arial" w:hAnsi="Arial" w:cs="Arial"/>
                <w:b/>
                <w:bCs/>
              </w:rPr>
              <w:t>Who is your intended audience?</w:t>
            </w:r>
          </w:p>
        </w:tc>
        <w:tc>
          <w:tcPr>
            <w:tcW w:w="6226" w:type="dxa"/>
          </w:tcPr>
          <w:p w14:paraId="44EC0880" w14:textId="0997F241" w:rsidR="00FE37CA" w:rsidRPr="00A023EB" w:rsidRDefault="00FE37CA" w:rsidP="00717F7F">
            <w:pPr>
              <w:rPr>
                <w:rFonts w:cs="Arial"/>
                <w:b/>
                <w:bCs/>
              </w:rPr>
            </w:pPr>
            <w:r w:rsidRPr="00A023EB">
              <w:t>I have chosen to aim this at children who attend comprehensive school therefore the age range is 11-16 years.</w:t>
            </w:r>
          </w:p>
        </w:tc>
      </w:tr>
      <w:tr w:rsidR="00FE37CA" w14:paraId="3A18FF41" w14:textId="77777777" w:rsidTr="00717F7F">
        <w:trPr>
          <w:trHeight w:val="1115"/>
        </w:trPr>
        <w:tc>
          <w:tcPr>
            <w:tcW w:w="3064" w:type="dxa"/>
          </w:tcPr>
          <w:p w14:paraId="0F96FABA" w14:textId="77777777" w:rsidR="00FE37CA" w:rsidRDefault="00FE37CA" w:rsidP="00717F7F">
            <w:pPr>
              <w:rPr>
                <w:rFonts w:ascii="Arial" w:hAnsi="Arial" w:cs="Arial"/>
                <w:b/>
                <w:bCs/>
              </w:rPr>
            </w:pPr>
            <w:r>
              <w:rPr>
                <w:rFonts w:ascii="Arial" w:hAnsi="Arial" w:cs="Arial"/>
                <w:b/>
                <w:bCs/>
              </w:rPr>
              <w:t>What is your primary message?</w:t>
            </w:r>
          </w:p>
        </w:tc>
        <w:tc>
          <w:tcPr>
            <w:tcW w:w="6226" w:type="dxa"/>
          </w:tcPr>
          <w:p w14:paraId="67ED71AF" w14:textId="5E0D4E70" w:rsidR="00FE37CA" w:rsidRPr="00A023EB" w:rsidRDefault="00FE37CA" w:rsidP="00FE37CA">
            <w:pPr>
              <w:jc w:val="both"/>
            </w:pPr>
            <w:r w:rsidRPr="00A023EB">
              <w:t xml:space="preserve">In order to access that a lay person </w:t>
            </w:r>
            <w:r w:rsidR="00056E9D" w:rsidRPr="00A023EB">
              <w:t xml:space="preserve">or child </w:t>
            </w:r>
            <w:r w:rsidRPr="00A023EB">
              <w:t xml:space="preserve">would understand the concept of the three posters, I received feedback from my </w:t>
            </w:r>
            <w:r w:rsidR="00A027C2" w:rsidRPr="00A023EB">
              <w:t>12-year-old</w:t>
            </w:r>
            <w:r w:rsidRPr="00A023EB">
              <w:t xml:space="preserve"> daughter</w:t>
            </w:r>
            <w:r w:rsidR="00A023EB" w:rsidRPr="00A023EB">
              <w:t xml:space="preserve"> as she would be my target audience</w:t>
            </w:r>
            <w:r w:rsidRPr="00A023EB">
              <w:t>. I have designed the posters in a way that a child could identify some of the signs individually set out on each slide. By asking the question</w:t>
            </w:r>
            <w:r w:rsidR="00454659" w:rsidRPr="00A023EB">
              <w:t>s</w:t>
            </w:r>
            <w:r w:rsidRPr="00A023EB">
              <w:t xml:space="preserve"> have you or someone you know</w:t>
            </w:r>
            <w:r w:rsidR="00B75D00" w:rsidRPr="00A023EB">
              <w:t xml:space="preserve">, the children can </w:t>
            </w:r>
            <w:r w:rsidR="001F15E4" w:rsidRPr="00A023EB">
              <w:t>then relate to real life scenarios</w:t>
            </w:r>
            <w:r w:rsidR="00A027C2" w:rsidRPr="00A023EB">
              <w:t>.</w:t>
            </w:r>
          </w:p>
          <w:p w14:paraId="2E1D6E30" w14:textId="77777777" w:rsidR="00FE37CA" w:rsidRPr="00A023EB" w:rsidRDefault="00FE37CA" w:rsidP="00717F7F">
            <w:pPr>
              <w:rPr>
                <w:rFonts w:cs="Arial"/>
                <w:b/>
                <w:bCs/>
              </w:rPr>
            </w:pPr>
          </w:p>
        </w:tc>
      </w:tr>
      <w:tr w:rsidR="00FE37CA" w14:paraId="0A2244AA" w14:textId="77777777" w:rsidTr="00717F7F">
        <w:trPr>
          <w:trHeight w:val="1115"/>
        </w:trPr>
        <w:tc>
          <w:tcPr>
            <w:tcW w:w="3064" w:type="dxa"/>
          </w:tcPr>
          <w:p w14:paraId="6C0535F4" w14:textId="77777777" w:rsidR="00FE37CA" w:rsidRDefault="00FE37CA" w:rsidP="00717F7F">
            <w:pPr>
              <w:rPr>
                <w:rFonts w:ascii="Arial" w:hAnsi="Arial" w:cs="Arial"/>
                <w:b/>
                <w:bCs/>
              </w:rPr>
            </w:pPr>
            <w:r>
              <w:rPr>
                <w:rFonts w:ascii="Arial" w:hAnsi="Arial" w:cs="Arial"/>
                <w:b/>
                <w:bCs/>
              </w:rPr>
              <w:t>What is your secondary message (if any)?</w:t>
            </w:r>
          </w:p>
        </w:tc>
        <w:tc>
          <w:tcPr>
            <w:tcW w:w="6226" w:type="dxa"/>
          </w:tcPr>
          <w:p w14:paraId="1EF3CD93" w14:textId="239DE861" w:rsidR="00FE37CA" w:rsidRPr="00A023EB" w:rsidRDefault="00FE37CA" w:rsidP="00717F7F">
            <w:pPr>
              <w:rPr>
                <w:rFonts w:cs="Arial"/>
              </w:rPr>
            </w:pPr>
            <w:r w:rsidRPr="00A023EB">
              <w:rPr>
                <w:rFonts w:cs="Arial"/>
              </w:rPr>
              <w:t>As more toilets in school are unisex, the posters are not limited to one sex</w:t>
            </w:r>
            <w:r w:rsidR="00DC3CE6" w:rsidRPr="00A023EB">
              <w:rPr>
                <w:rFonts w:cs="Arial"/>
              </w:rPr>
              <w:t>, th</w:t>
            </w:r>
            <w:r w:rsidRPr="00A023EB">
              <w:rPr>
                <w:rFonts w:cs="Arial"/>
              </w:rPr>
              <w:t>ey are applicable to both female and male students.</w:t>
            </w:r>
          </w:p>
        </w:tc>
      </w:tr>
      <w:tr w:rsidR="00FE37CA" w14:paraId="72993469" w14:textId="77777777" w:rsidTr="00717F7F">
        <w:trPr>
          <w:trHeight w:val="1115"/>
        </w:trPr>
        <w:tc>
          <w:tcPr>
            <w:tcW w:w="3064" w:type="dxa"/>
          </w:tcPr>
          <w:p w14:paraId="5FB0F371" w14:textId="77777777" w:rsidR="00FE37CA" w:rsidRDefault="00FE37CA" w:rsidP="00717F7F">
            <w:pPr>
              <w:rPr>
                <w:rFonts w:ascii="Arial" w:hAnsi="Arial" w:cs="Arial"/>
                <w:b/>
                <w:bCs/>
              </w:rPr>
            </w:pPr>
            <w:r>
              <w:rPr>
                <w:rFonts w:ascii="Arial" w:hAnsi="Arial" w:cs="Arial"/>
                <w:b/>
                <w:bCs/>
              </w:rPr>
              <w:t>Will you include a call to action? (optional)</w:t>
            </w:r>
          </w:p>
        </w:tc>
        <w:tc>
          <w:tcPr>
            <w:tcW w:w="6226" w:type="dxa"/>
          </w:tcPr>
          <w:p w14:paraId="22780D0B" w14:textId="334A32FD" w:rsidR="00FE37CA" w:rsidRPr="00A023EB" w:rsidRDefault="00FE37CA" w:rsidP="00717F7F">
            <w:pPr>
              <w:rPr>
                <w:rFonts w:cs="Arial"/>
              </w:rPr>
            </w:pPr>
            <w:r w:rsidRPr="00A023EB">
              <w:rPr>
                <w:rFonts w:cs="Arial"/>
              </w:rPr>
              <w:t>The call to action in every slide is a QR code to scan and a link directly to the Childline website.</w:t>
            </w:r>
          </w:p>
        </w:tc>
      </w:tr>
      <w:tr w:rsidR="00FE37CA" w14:paraId="6560EBC3" w14:textId="77777777" w:rsidTr="00717F7F">
        <w:trPr>
          <w:trHeight w:val="1115"/>
        </w:trPr>
        <w:tc>
          <w:tcPr>
            <w:tcW w:w="3064" w:type="dxa"/>
          </w:tcPr>
          <w:p w14:paraId="7A7CA30B" w14:textId="77777777" w:rsidR="00FE37CA" w:rsidRDefault="00FE37CA" w:rsidP="00717F7F">
            <w:pPr>
              <w:rPr>
                <w:rFonts w:ascii="Arial" w:hAnsi="Arial" w:cs="Arial"/>
                <w:b/>
                <w:bCs/>
              </w:rPr>
            </w:pPr>
            <w:r>
              <w:rPr>
                <w:rFonts w:ascii="Arial" w:hAnsi="Arial" w:cs="Arial"/>
                <w:b/>
                <w:bCs/>
              </w:rPr>
              <w:t>Which communications platform will you use?</w:t>
            </w:r>
          </w:p>
        </w:tc>
        <w:tc>
          <w:tcPr>
            <w:tcW w:w="6226" w:type="dxa"/>
          </w:tcPr>
          <w:p w14:paraId="1A87C36D" w14:textId="28101791" w:rsidR="00FE37CA" w:rsidRPr="00A023EB" w:rsidRDefault="00FE37CA" w:rsidP="00717F7F">
            <w:pPr>
              <w:rPr>
                <w:rFonts w:cs="Arial"/>
              </w:rPr>
            </w:pPr>
            <w:r w:rsidRPr="00A023EB">
              <w:rPr>
                <w:rFonts w:cs="Arial"/>
              </w:rPr>
              <w:t xml:space="preserve">QR codes and click to website </w:t>
            </w:r>
          </w:p>
        </w:tc>
      </w:tr>
      <w:tr w:rsidR="00FE37CA" w14:paraId="164A539B" w14:textId="77777777" w:rsidTr="00717F7F">
        <w:trPr>
          <w:trHeight w:val="1064"/>
        </w:trPr>
        <w:tc>
          <w:tcPr>
            <w:tcW w:w="3064" w:type="dxa"/>
          </w:tcPr>
          <w:p w14:paraId="52417666" w14:textId="77777777" w:rsidR="00FE37CA" w:rsidRDefault="00FE37CA" w:rsidP="00717F7F">
            <w:pPr>
              <w:rPr>
                <w:rFonts w:ascii="Arial" w:hAnsi="Arial" w:cs="Arial"/>
                <w:b/>
                <w:bCs/>
              </w:rPr>
            </w:pPr>
            <w:r>
              <w:rPr>
                <w:rFonts w:ascii="Arial" w:hAnsi="Arial" w:cs="Arial"/>
                <w:b/>
                <w:bCs/>
              </w:rPr>
              <w:t>What asset(s) will you produce?</w:t>
            </w:r>
          </w:p>
        </w:tc>
        <w:tc>
          <w:tcPr>
            <w:tcW w:w="6226" w:type="dxa"/>
          </w:tcPr>
          <w:p w14:paraId="6EAC716D" w14:textId="77777777" w:rsidR="00FE37CA" w:rsidRPr="00A023EB" w:rsidRDefault="00FE37CA" w:rsidP="00FE37CA">
            <w:pPr>
              <w:jc w:val="both"/>
            </w:pPr>
            <w:r w:rsidRPr="00A023EB">
              <w:t xml:space="preserve">I have chosen to promote three different posters. One focussing on neglect, one of sexual abuse and one on physical abuse. During my chaperone training, it was highlighted the signs to look for in each of these scenarios. </w:t>
            </w:r>
          </w:p>
          <w:p w14:paraId="346809BC" w14:textId="71EEBBED" w:rsidR="00FE37CA" w:rsidRPr="00A023EB" w:rsidRDefault="00FE37CA" w:rsidP="00717F7F">
            <w:pPr>
              <w:rPr>
                <w:rFonts w:cs="Arial"/>
                <w:b/>
                <w:bCs/>
              </w:rPr>
            </w:pPr>
          </w:p>
        </w:tc>
      </w:tr>
      <w:tr w:rsidR="00FE37CA" w14:paraId="56DC7232" w14:textId="77777777" w:rsidTr="00717F7F">
        <w:trPr>
          <w:trHeight w:val="1166"/>
        </w:trPr>
        <w:tc>
          <w:tcPr>
            <w:tcW w:w="3064" w:type="dxa"/>
          </w:tcPr>
          <w:p w14:paraId="3C7620C6" w14:textId="77777777" w:rsidR="00FE37CA" w:rsidRDefault="00FE37CA" w:rsidP="00717F7F">
            <w:pPr>
              <w:rPr>
                <w:rFonts w:ascii="Arial" w:hAnsi="Arial" w:cs="Arial"/>
                <w:b/>
                <w:bCs/>
              </w:rPr>
            </w:pPr>
            <w:r>
              <w:rPr>
                <w:rFonts w:ascii="Arial" w:hAnsi="Arial" w:cs="Arial"/>
                <w:b/>
                <w:bCs/>
              </w:rPr>
              <w:t>Do you require any visual assets?</w:t>
            </w:r>
          </w:p>
        </w:tc>
        <w:tc>
          <w:tcPr>
            <w:tcW w:w="6226" w:type="dxa"/>
          </w:tcPr>
          <w:p w14:paraId="1AD42000" w14:textId="5BBEEB08" w:rsidR="00FE37CA" w:rsidRPr="00A023EB" w:rsidRDefault="00FE37CA" w:rsidP="00717F7F">
            <w:pPr>
              <w:rPr>
                <w:rFonts w:cs="Arial"/>
                <w:b/>
                <w:bCs/>
              </w:rPr>
            </w:pPr>
            <w:r w:rsidRPr="00A023EB">
              <w:t>I have chosen a poster to be displayed in the toilets in a school for children to read with the option</w:t>
            </w:r>
            <w:r w:rsidR="00200148">
              <w:t xml:space="preserve"> to</w:t>
            </w:r>
            <w:r w:rsidRPr="00A023EB">
              <w:t xml:space="preserve"> research and explore a further call to action by using QR codes and websites incorporated within the poster</w:t>
            </w:r>
          </w:p>
        </w:tc>
      </w:tr>
    </w:tbl>
    <w:p w14:paraId="3E8FB5B6" w14:textId="77777777" w:rsidR="00FE37CA" w:rsidRDefault="00FE37CA" w:rsidP="006B5399">
      <w:pPr>
        <w:jc w:val="both"/>
      </w:pPr>
    </w:p>
    <w:p w14:paraId="2D04C8E3" w14:textId="77777777" w:rsidR="00FE3083" w:rsidRDefault="00FE3083" w:rsidP="006B5399">
      <w:pPr>
        <w:jc w:val="both"/>
      </w:pPr>
    </w:p>
    <w:p w14:paraId="1C45EAA2" w14:textId="18362DDF" w:rsidR="00530ED6" w:rsidRPr="00043EFC" w:rsidRDefault="002D6084" w:rsidP="00491889">
      <w:pPr>
        <w:pStyle w:val="Heading1"/>
      </w:pPr>
      <w:bookmarkStart w:id="1" w:name="_Toc193198828"/>
      <w:r>
        <w:t>Part B – B1</w:t>
      </w:r>
      <w:bookmarkEnd w:id="1"/>
      <w:r>
        <w:t xml:space="preserve"> </w:t>
      </w:r>
    </w:p>
    <w:p w14:paraId="0F4A9121" w14:textId="7360B2D0" w:rsidR="00473764" w:rsidRDefault="00043EFC" w:rsidP="0004126D">
      <w:pPr>
        <w:ind w:right="-46"/>
        <w:jc w:val="both"/>
      </w:pPr>
      <w:r>
        <w:t xml:space="preserve">Child Protection in the UK is a critical and complex issue that for many is very difficult to understand. </w:t>
      </w:r>
      <w:r w:rsidR="002F1135">
        <w:t>It involves a range of legal frameworks and policies with organisation</w:t>
      </w:r>
      <w:r w:rsidR="001D68F2">
        <w:t xml:space="preserve">s working together for the safeguarding of children. The UK government has </w:t>
      </w:r>
      <w:r w:rsidR="00EF66E7">
        <w:t>a duty of care to implement procedures to protect children f</w:t>
      </w:r>
      <w:r w:rsidR="00EB6A1A">
        <w:t xml:space="preserve">rom harm in the forms of neglects, abuse and exploitation. </w:t>
      </w:r>
    </w:p>
    <w:p w14:paraId="04868C37" w14:textId="4B8E9573" w:rsidR="006D76EB" w:rsidRDefault="00AC5007" w:rsidP="0004126D">
      <w:pPr>
        <w:ind w:right="-46"/>
        <w:jc w:val="both"/>
      </w:pPr>
      <w:r>
        <w:t>Unfortunately,</w:t>
      </w:r>
      <w:r w:rsidR="006D76EB">
        <w:t xml:space="preserve"> many of these organisations </w:t>
      </w:r>
      <w:r w:rsidR="00F64B1E">
        <w:t xml:space="preserve">are seen by the general public as failing. Many child abuse cases that are published in the media show that a series of failings have taken place which </w:t>
      </w:r>
      <w:r>
        <w:t xml:space="preserve">the end result is that a child has fallen victim to abuse.  </w:t>
      </w:r>
      <w:r w:rsidR="00DF654D">
        <w:t>We have only to remember the desperately appalling case of Peter Connelly, referred to at the time a Baby P, who died at the hands of his mother, her lover and his brother</w:t>
      </w:r>
      <w:r w:rsidR="002A175F">
        <w:t xml:space="preserve"> in London in 2007. </w:t>
      </w:r>
    </w:p>
    <w:p w14:paraId="45A65A78" w14:textId="77777777" w:rsidR="00245B3C" w:rsidRDefault="00245B3C" w:rsidP="00245B3C">
      <w:pPr>
        <w:jc w:val="both"/>
      </w:pPr>
      <w:r w:rsidRPr="001544A7">
        <w:t>Local authorities in the UK have a vital duty of care in child protection, with social services playing a key role. Social workers identify the needs of children and families, regardless of age. Vulnerable pregnant mothers may receive support from social services and midwifery teams, including placement in mother and baby units. When concerns about a child's safety arise, social workers conduct thorough assessments with other professionals to determine risk and develop care plans. They collaborate closely with families to provide necessary support. Under Section 17 of the Children Act 1989, local authorities must assist children in need, which may involve removing a child from a harmful environment in extreme cases.</w:t>
      </w:r>
    </w:p>
    <w:p w14:paraId="46217336" w14:textId="75FF3408" w:rsidR="00C37997" w:rsidRDefault="00E17855" w:rsidP="00245B3C">
      <w:pPr>
        <w:jc w:val="both"/>
      </w:pPr>
      <w:r>
        <w:t>Herring (2023) stated that c</w:t>
      </w:r>
      <w:r w:rsidR="00C37997" w:rsidRPr="00C37997">
        <w:t>hildren are far more likely to be abused by someone known to them than by a stranger.</w:t>
      </w:r>
      <w:r w:rsidR="00F134CF">
        <w:t xml:space="preserve"> </w:t>
      </w:r>
      <w:r w:rsidR="00F134CF" w:rsidRPr="00F134CF">
        <w:t>A significant risk of the vulnerability discourse is its emphasis on the “innocence” of children. Consequently, discussions about child abuse often focus on the loss of this perceived innocence. Ironically, the very notion of vulnerability, with its demands for children to obey adults, be protected, and maintain their innocence, heightens their susceptibility in contexts of sexual exploitation.</w:t>
      </w:r>
    </w:p>
    <w:p w14:paraId="48FEAAE5" w14:textId="192FFF4E" w:rsidR="00E5566D" w:rsidRDefault="00E5566D" w:rsidP="00E5566D">
      <w:pPr>
        <w:jc w:val="both"/>
      </w:pPr>
      <w:r>
        <w:t>D</w:t>
      </w:r>
      <w:r w:rsidRPr="0020680E">
        <w:t>iscussing child protection with children under 16 is challenging due to developmental differences, emotional responses, and cultural barriers. Success relies on sensitivity, understanding their perspective, and ensuring they feel safe, believed, and empowered to seek help.</w:t>
      </w:r>
    </w:p>
    <w:p w14:paraId="011CCD5A" w14:textId="77777777" w:rsidR="00E5566D" w:rsidRDefault="00E5566D" w:rsidP="00245B3C">
      <w:pPr>
        <w:jc w:val="both"/>
      </w:pPr>
    </w:p>
    <w:p w14:paraId="6AD42886" w14:textId="77777777" w:rsidR="002D6084" w:rsidRDefault="002D6084" w:rsidP="0004126D">
      <w:pPr>
        <w:ind w:right="-46"/>
        <w:jc w:val="both"/>
      </w:pPr>
    </w:p>
    <w:p w14:paraId="38046A55" w14:textId="77777777" w:rsidR="002D6084" w:rsidRDefault="002D6084">
      <w:r>
        <w:br w:type="page"/>
      </w:r>
    </w:p>
    <w:p w14:paraId="121D2921" w14:textId="77777777" w:rsidR="002D6084" w:rsidRDefault="002D6084" w:rsidP="002D6084">
      <w:pPr>
        <w:pStyle w:val="Heading1"/>
      </w:pPr>
      <w:bookmarkStart w:id="2" w:name="_Toc193198829"/>
      <w:r>
        <w:lastRenderedPageBreak/>
        <w:t>Part B – B2</w:t>
      </w:r>
      <w:bookmarkEnd w:id="2"/>
      <w:r>
        <w:t xml:space="preserve"> </w:t>
      </w:r>
    </w:p>
    <w:p w14:paraId="22D2F0E9" w14:textId="531CC778" w:rsidR="00043EFC" w:rsidRDefault="00EE47D5" w:rsidP="0004126D">
      <w:pPr>
        <w:ind w:right="-46"/>
        <w:jc w:val="both"/>
      </w:pPr>
      <w:r>
        <w:t xml:space="preserve">The legislation set out in </w:t>
      </w:r>
      <w:r w:rsidR="00932AAC">
        <w:t xml:space="preserve">The </w:t>
      </w:r>
      <w:r w:rsidR="00051772">
        <w:t xml:space="preserve">Children Act 1989 </w:t>
      </w:r>
      <w:r w:rsidR="000C6A9E">
        <w:t>defines the duties and powers of the local authorities</w:t>
      </w:r>
      <w:r w:rsidR="00991A80">
        <w:t xml:space="preserve">, CAFCASS, the courts and parents. </w:t>
      </w:r>
      <w:r w:rsidR="00312DF4">
        <w:t xml:space="preserve">The focus </w:t>
      </w:r>
      <w:r w:rsidR="00F26434">
        <w:t xml:space="preserve">shared by all organisations is that the child’s welfare is always paramount. </w:t>
      </w:r>
      <w:r w:rsidR="00420BF4">
        <w:t xml:space="preserve">The Children Act 2004 highlights and reinforces the need for all services working </w:t>
      </w:r>
      <w:r w:rsidR="00DA4B76">
        <w:t>together to support children.</w:t>
      </w:r>
    </w:p>
    <w:p w14:paraId="07EE0747" w14:textId="1A051BC0" w:rsidR="00BC36A2" w:rsidRDefault="00BC36A2" w:rsidP="0004126D">
      <w:pPr>
        <w:ind w:right="-46"/>
        <w:jc w:val="both"/>
      </w:pPr>
      <w:r w:rsidRPr="00BC36A2">
        <w:t>In the UK, children's rights include protection from harm, access to education and healthcare, the right to express their views, live with their family when appropriate, privacy, and the ability to engage in play and recreational activities.</w:t>
      </w:r>
    </w:p>
    <w:p w14:paraId="6FA14D9F" w14:textId="675A5CBA" w:rsidR="00E5761E" w:rsidRDefault="00E5761E" w:rsidP="003C3D8B">
      <w:pPr>
        <w:jc w:val="both"/>
      </w:pPr>
      <w:r w:rsidRPr="00E5761E">
        <w:t>The UK has safeguarding procedures to address child abuse, with Local Safeguarding Children Boards (LSCCBs) coordinating social services, health services, schools, police, and hospitals. These boards identify abuse, implement safeguarding measures, and promote children's welfare within their jurisdictions.</w:t>
      </w:r>
    </w:p>
    <w:p w14:paraId="04CF6F1B" w14:textId="673ECF3D" w:rsidR="001167D9" w:rsidRDefault="001167D9" w:rsidP="003C3D8B">
      <w:pPr>
        <w:jc w:val="both"/>
      </w:pPr>
      <w:r w:rsidRPr="001167D9">
        <w:t>Government and local authorities run programs to raise awareness of child abuse, encourage early reporting, and support families to prevent escalation. Services include parenting classes, counselling, vouchers for meals or nappies, foster care respite, and transport to classes or schools.</w:t>
      </w:r>
    </w:p>
    <w:p w14:paraId="35A6F5BA" w14:textId="2451CDBF" w:rsidR="00382F76" w:rsidRDefault="00382F76" w:rsidP="00350AA5">
      <w:pPr>
        <w:jc w:val="both"/>
      </w:pPr>
      <w:r w:rsidRPr="00382F76">
        <w:t>Schools play a vital role in child protection by educating children on abuse, how to seek help, and where to find support. Fundraising for the Children in Need appeal in November also provides an opportunity for teachers to discuss what it means to be a child in need and the importance of identifying those requiring help.</w:t>
      </w:r>
    </w:p>
    <w:p w14:paraId="56E917CD" w14:textId="630799DF" w:rsidR="0044220A" w:rsidRDefault="0044220A" w:rsidP="00350AA5">
      <w:pPr>
        <w:jc w:val="both"/>
      </w:pPr>
      <w:r w:rsidRPr="0044220A">
        <w:t>Child protection in the UK is a complex issue that requires a coordinated approach by various organi</w:t>
      </w:r>
      <w:r w:rsidR="005363C8">
        <w:t>s</w:t>
      </w:r>
      <w:r w:rsidRPr="0044220A">
        <w:t>ations. Preventative measures, including early intervention, education, and providing information to children through their teachers, are crucial in promoting child welfare. While challenges remain, children in the UK now have more rights and legal protections than ever before.</w:t>
      </w:r>
    </w:p>
    <w:p w14:paraId="711C0CB7" w14:textId="304DBD31" w:rsidR="00F22826" w:rsidRDefault="00E5761E" w:rsidP="00E5761E">
      <w:pPr>
        <w:jc w:val="both"/>
      </w:pPr>
      <w:r>
        <w:t xml:space="preserve">Lyon (2003) quoted that “children should be aware of their daily rights so that they can decide whether they are being abused or not”. </w:t>
      </w:r>
      <w:r w:rsidR="00F52A5F" w:rsidRPr="00F52A5F">
        <w:t>Abused children in the UK may struggle to understand their rights and seek help due to several interconnected challenges. Many lack awareness of their rights, as education on the subject is often limited, leaving them uninformed about the protections available to them. Their experience of abuse can also distort their understanding of what is acceptable or normal, leading to confusion about whether their situation is wrong or requires intervention. Fear plays a significant role as well—abusers often manipulate children into silence through threats, guilt, or intimidation, making the idea of seeking help daunting.</w:t>
      </w:r>
      <w:r w:rsidR="00F2272A" w:rsidRPr="00F2272A">
        <w:t xml:space="preserve"> Mistrust of authority, language barriers, emotional distress, and feelings of shame or self-blame hinder abused children from recogni</w:t>
      </w:r>
      <w:r w:rsidR="00F2272A">
        <w:t>s</w:t>
      </w:r>
      <w:r w:rsidR="00F2272A" w:rsidRPr="00F2272A">
        <w:t>ing their rights or seeking help. Safe environments, rights education, and sensitive professional support are vital to overcoming these challenges.</w:t>
      </w:r>
      <w:r w:rsidR="008D0976">
        <w:t xml:space="preserve"> </w:t>
      </w:r>
      <w:r w:rsidR="00F22826">
        <w:br w:type="page"/>
      </w:r>
    </w:p>
    <w:p w14:paraId="3D88CB95" w14:textId="754E7FF6" w:rsidR="004C528C" w:rsidRDefault="00F22826" w:rsidP="00F22826">
      <w:pPr>
        <w:pStyle w:val="Heading1"/>
      </w:pPr>
      <w:bookmarkStart w:id="3" w:name="_Toc193198830"/>
      <w:r>
        <w:lastRenderedPageBreak/>
        <w:t>Part B – B3</w:t>
      </w:r>
      <w:bookmarkEnd w:id="3"/>
      <w:r>
        <w:t xml:space="preserve"> </w:t>
      </w:r>
    </w:p>
    <w:p w14:paraId="48E3AAE9" w14:textId="097C46CB" w:rsidR="00EF3979" w:rsidRDefault="00EF3979" w:rsidP="00473FAD">
      <w:pPr>
        <w:jc w:val="both"/>
      </w:pPr>
      <w:r w:rsidRPr="00EF3979">
        <w:t>Communicating with children under 16 about child protection is challenging due to their developmental differences. Younger children may struggle to understand abuse, while adolescents might resist or feel embarrassed. Information must be clear, sensitive, and age-appropriate to build trust and understanding. A safe, supportive environment is essential to help children feel secure, believed, and prioritised.</w:t>
      </w:r>
    </w:p>
    <w:p w14:paraId="630A9EE7" w14:textId="3ED9E99B" w:rsidR="00473FAD" w:rsidRPr="00473FAD" w:rsidRDefault="00E85238" w:rsidP="00473FAD">
      <w:pPr>
        <w:jc w:val="both"/>
      </w:pPr>
      <w:r>
        <w:t>Pritchard (2004) stated that m</w:t>
      </w:r>
      <w:r w:rsidR="00473FAD" w:rsidRPr="00473FAD">
        <w:t>any children may be reluctant to speak about their experiences, especially if they have been taught to respect authority figures who might be the perpetrators. Building trust between the child and support workers requires time, empathy, and patience. Support workers must show reliability and a non-judgmental attitude to encourage children to share their private experiences. This can be particularly challenging if the child has been neglected or betrayed by another adult in their life.</w:t>
      </w:r>
    </w:p>
    <w:p w14:paraId="297EEA59" w14:textId="77777777" w:rsidR="00473FAD" w:rsidRPr="00473FAD" w:rsidRDefault="00473FAD" w:rsidP="00473FAD">
      <w:pPr>
        <w:jc w:val="both"/>
      </w:pPr>
      <w:r w:rsidRPr="00473FAD">
        <w:t>This scenario highlights the importance of children's rights to express their feelings and be heard. Children have the right to voice their views and have them taken seriously in matters affecting them. Respecting this right is crucial for building trust and providing effective support.</w:t>
      </w:r>
    </w:p>
    <w:p w14:paraId="6465B331" w14:textId="57ADBD0D" w:rsidR="00CF6E7C" w:rsidRDefault="00405FF2" w:rsidP="00947F66">
      <w:pPr>
        <w:jc w:val="both"/>
      </w:pPr>
      <w:r>
        <w:t>Fortin (2003) wrote that l</w:t>
      </w:r>
      <w:r w:rsidR="003B3C3C">
        <w:t>egal terminology would be difficult for a child to understand. Support workers to the child</w:t>
      </w:r>
      <w:r w:rsidR="00D37180">
        <w:t xml:space="preserve"> would need to explain their rights to them in clear relatable terminology. For </w:t>
      </w:r>
      <w:r w:rsidR="0004126D">
        <w:t>example,</w:t>
      </w:r>
      <w:r w:rsidR="00D37180">
        <w:t xml:space="preserve"> instead of saying “custodial arrangements</w:t>
      </w:r>
      <w:r w:rsidR="00343344">
        <w:t xml:space="preserve">” or “emergency </w:t>
      </w:r>
      <w:r w:rsidR="007D60E5">
        <w:t xml:space="preserve">protection orders” it would be </w:t>
      </w:r>
      <w:r w:rsidR="00250317">
        <w:t xml:space="preserve">better to use terms like “who you will be staying with to keep you safe” for the child to clearly understand. </w:t>
      </w:r>
    </w:p>
    <w:p w14:paraId="365A5DB8" w14:textId="307E8F42" w:rsidR="00446F0A" w:rsidRDefault="00142A3F" w:rsidP="00947F66">
      <w:pPr>
        <w:jc w:val="both"/>
      </w:pPr>
      <w:r>
        <w:t>Fortin (2003</w:t>
      </w:r>
      <w:r w:rsidR="00945FE0">
        <w:t xml:space="preserve">) </w:t>
      </w:r>
      <w:r>
        <w:t>further talks about w</w:t>
      </w:r>
      <w:r w:rsidR="00446F0A" w:rsidRPr="00446F0A">
        <w:t>hen speaking to a child, cultural and social factors must be considered. Some may view abuse as taboo and feel pressured to stay silent out of respect for elders. Misconceptions, often reinforced by abusers, further complicate matters. Clear, consistent messaging from agencies is essential to dispel myths, help children understand their rights, and encourage them to speak out.</w:t>
      </w:r>
    </w:p>
    <w:p w14:paraId="7C6636C7" w14:textId="77777777" w:rsidR="004A5E98" w:rsidRDefault="004A5E98" w:rsidP="004A5E98">
      <w:pPr>
        <w:jc w:val="both"/>
      </w:pPr>
      <w:r w:rsidRPr="00E01E33">
        <w:t>There are many ways that the non-verbal communication of small children can assist adult understand their needs and respond to these respectfully</w:t>
      </w:r>
      <w:r>
        <w:t xml:space="preserve">, David and Appell (2001). </w:t>
      </w:r>
    </w:p>
    <w:p w14:paraId="41A5EC01" w14:textId="3752A04F" w:rsidR="0004126D" w:rsidRDefault="00D97539" w:rsidP="00947F66">
      <w:pPr>
        <w:jc w:val="both"/>
      </w:pPr>
      <w:r>
        <w:t xml:space="preserve">The child will need to feel assured that what they have disclosed will be treated </w:t>
      </w:r>
      <w:r w:rsidR="004526A9">
        <w:t xml:space="preserve">confidentially. There needs to be a difference from what the </w:t>
      </w:r>
      <w:r w:rsidR="003F5401">
        <w:t>support</w:t>
      </w:r>
      <w:r w:rsidR="004526A9">
        <w:t xml:space="preserve"> workers are saying is confidential and what the </w:t>
      </w:r>
      <w:r w:rsidR="003F5401">
        <w:t>perpetrator</w:t>
      </w:r>
      <w:r w:rsidR="004526A9">
        <w:t xml:space="preserve"> may have told them that it is a secret. The child will fear </w:t>
      </w:r>
      <w:r w:rsidR="00EB6936">
        <w:t xml:space="preserve">of their </w:t>
      </w:r>
      <w:r w:rsidR="003F5401">
        <w:t>private</w:t>
      </w:r>
      <w:r w:rsidR="00EB6936">
        <w:t xml:space="preserve"> matters being spoken about. It is </w:t>
      </w:r>
      <w:r w:rsidR="003F5401">
        <w:t>vital</w:t>
      </w:r>
      <w:r w:rsidR="00EB6936">
        <w:t xml:space="preserve"> that the support worker clearly explains in </w:t>
      </w:r>
      <w:r w:rsidR="00922CE7">
        <w:t>age-appropriate</w:t>
      </w:r>
      <w:r w:rsidR="00EB6936">
        <w:t xml:space="preserve"> terms the limits of </w:t>
      </w:r>
      <w:r w:rsidR="003F5401">
        <w:t>confidentiality</w:t>
      </w:r>
      <w:r w:rsidR="00EB6936">
        <w:t xml:space="preserve"> and why </w:t>
      </w:r>
      <w:r w:rsidR="00CC2BA2">
        <w:t xml:space="preserve">it </w:t>
      </w:r>
      <w:r w:rsidR="00922CE7">
        <w:t>must be</w:t>
      </w:r>
      <w:r w:rsidR="00EB6936">
        <w:t xml:space="preserve"> reported </w:t>
      </w:r>
      <w:r w:rsidR="003F5401">
        <w:t xml:space="preserve">so that they can trust the process. </w:t>
      </w:r>
    </w:p>
    <w:p w14:paraId="032C7929" w14:textId="4BB0F53F" w:rsidR="003F5401" w:rsidRDefault="003F5401" w:rsidP="00947F66">
      <w:pPr>
        <w:jc w:val="both"/>
      </w:pPr>
      <w:r>
        <w:t xml:space="preserve">Children’s emotional readiness to engage with an adult in </w:t>
      </w:r>
      <w:r w:rsidR="00635FD8">
        <w:t>conversation can vary. Some children may be too traum</w:t>
      </w:r>
      <w:r w:rsidR="002936FB">
        <w:t xml:space="preserve">atised to talk about what has happened to them </w:t>
      </w:r>
      <w:r w:rsidR="00727332">
        <w:t>w</w:t>
      </w:r>
      <w:r w:rsidR="002936FB">
        <w:t>hilst other may not understand that what they have had to endure is in fact abuse.</w:t>
      </w:r>
      <w:r w:rsidR="00235C7A" w:rsidRPr="00235C7A">
        <w:t xml:space="preserve"> </w:t>
      </w:r>
      <w:r w:rsidR="00235C7A">
        <w:t>In th</w:t>
      </w:r>
      <w:r w:rsidR="00B05A8A">
        <w:t xml:space="preserve">eir book </w:t>
      </w:r>
      <w:r w:rsidR="00235C7A" w:rsidRPr="005D1970">
        <w:t>Perry</w:t>
      </w:r>
      <w:r w:rsidR="00B05A8A">
        <w:t xml:space="preserve"> </w:t>
      </w:r>
      <w:r w:rsidR="00235C7A" w:rsidRPr="005D1970">
        <w:lastRenderedPageBreak/>
        <w:t>and Szalavitz</w:t>
      </w:r>
      <w:r w:rsidR="00B05A8A">
        <w:t xml:space="preserve"> (2017) speak about how i</w:t>
      </w:r>
      <w:r w:rsidR="00101DC4">
        <w:t>t is essential to gauge the level of the child’s understanding and proceed at a pace that suits them and the circumstances</w:t>
      </w:r>
      <w:r w:rsidR="00312187">
        <w:t xml:space="preserve">. Depending on the emotional state, they would need to feel not pressured or rushed. </w:t>
      </w:r>
    </w:p>
    <w:p w14:paraId="37F997E5" w14:textId="3B18B5DA" w:rsidR="001C3CF3" w:rsidRDefault="004156A2" w:rsidP="007342B0">
      <w:pPr>
        <w:jc w:val="both"/>
      </w:pPr>
      <w:r w:rsidRPr="004156A2">
        <w:t>Professionals can use strategies like storytelling and play therapy to help younger children understand their rights and express feelings. Active listening fosters trust, while role-playing helps children practice responses to unsafe situations. Educational programs in schools also teach rights and safety in age-appropriate ways.</w:t>
      </w:r>
      <w:r>
        <w:t xml:space="preserve"> </w:t>
      </w:r>
      <w:r w:rsidR="001C3CF3" w:rsidRPr="001C3CF3">
        <w:t>These approaches help children understand their rights and feel empowered to express themselves</w:t>
      </w:r>
      <w:r w:rsidR="00FF373B">
        <w:t xml:space="preserve"> as published in </w:t>
      </w:r>
      <w:r w:rsidR="005178CA">
        <w:t>their</w:t>
      </w:r>
      <w:r w:rsidR="00FF373B">
        <w:t xml:space="preserve"> book </w:t>
      </w:r>
      <w:r w:rsidR="00FF373B" w:rsidRPr="00FF373B">
        <w:t>Piaget</w:t>
      </w:r>
      <w:r w:rsidR="005178CA">
        <w:t xml:space="preserve"> and </w:t>
      </w:r>
      <w:r w:rsidR="00FF373B" w:rsidRPr="00FF373B">
        <w:t>Cook</w:t>
      </w:r>
      <w:r w:rsidR="005178CA">
        <w:t xml:space="preserve"> (</w:t>
      </w:r>
      <w:r w:rsidR="00FF373B" w:rsidRPr="00FF373B">
        <w:t>1952</w:t>
      </w:r>
      <w:r w:rsidR="005178CA">
        <w:t>)</w:t>
      </w:r>
      <w:r w:rsidR="00FF373B" w:rsidRPr="00FF373B">
        <w:t>. </w:t>
      </w:r>
    </w:p>
    <w:p w14:paraId="014A1603" w14:textId="655FB009" w:rsidR="00446F0A" w:rsidRDefault="00446F0A">
      <w:pPr>
        <w:rPr>
          <w:b/>
          <w:bCs/>
        </w:rPr>
      </w:pPr>
      <w:r>
        <w:rPr>
          <w:b/>
          <w:bCs/>
        </w:rPr>
        <w:br w:type="page"/>
      </w:r>
    </w:p>
    <w:p w14:paraId="1891B5BC" w14:textId="6B89922B" w:rsidR="004C528C" w:rsidRPr="0004126D" w:rsidRDefault="00F22826" w:rsidP="00491889">
      <w:pPr>
        <w:pStyle w:val="Heading1"/>
      </w:pPr>
      <w:bookmarkStart w:id="4" w:name="_Toc193198831"/>
      <w:r>
        <w:lastRenderedPageBreak/>
        <w:t>Part B – B</w:t>
      </w:r>
      <w:r w:rsidR="00576453">
        <w:t>3</w:t>
      </w:r>
      <w:r>
        <w:t xml:space="preserve"> </w:t>
      </w:r>
      <w:r w:rsidR="00316778" w:rsidRPr="0004126D">
        <w:t>Analysis/Feedback</w:t>
      </w:r>
      <w:bookmarkEnd w:id="4"/>
      <w:r w:rsidR="00316778" w:rsidRPr="0004126D">
        <w:t xml:space="preserve"> </w:t>
      </w:r>
    </w:p>
    <w:p w14:paraId="245B5AE2" w14:textId="77777777" w:rsidR="00BA1300" w:rsidRDefault="004635DC" w:rsidP="000523F9">
      <w:pPr>
        <w:jc w:val="both"/>
      </w:pPr>
      <w:r w:rsidRPr="004635DC">
        <w:t xml:space="preserve">My 12-year-old daughter, Amelia, who is in Year 8, reviewed the slides and found the posters eye-catching and engaging, encouraging her to read them fully. She felt comfortable reading them privately in a toilet cubicle and discreetly accessing the QR code or website but noted that some children might lack mobile phones. Amelia emphasised the importance of privacy, as she wouldn’t want peers seeing her search for Childline or abuse-related information. She explained that PHSE lessons in school cover topics like health, sex education, and children’s rights, with guest speakers providing relevant contact information. Creating content for children is challenging, but I incorporated her feedback by adjusting colours, highlighting key phrases like “it is their right to be protected,” and targeting the slides at 11–16-year-olds. While most children in this age range have mobile phones, I included references to Childline’s website and phone number and advised speaking to a teacher if a phone is unavailable. </w:t>
      </w:r>
    </w:p>
    <w:p w14:paraId="5F9EB306" w14:textId="5FBA4E5E" w:rsidR="00E20285" w:rsidRPr="00263DB0" w:rsidRDefault="004635DC" w:rsidP="000523F9">
      <w:pPr>
        <w:jc w:val="both"/>
      </w:pPr>
      <w:r w:rsidRPr="004635DC">
        <w:t>Reflecting on this, I realised that relying solely on my daughter’s feedback may have limited the insights gained.</w:t>
      </w:r>
      <w:r w:rsidR="002776BC" w:rsidRPr="002776BC">
        <w:t xml:space="preserve"> Engaging with a broader range of age groups would have offered a more comprehensive understanding of diverse perspectives and requirements. Each age group brings distinct experiences, </w:t>
      </w:r>
      <w:r w:rsidR="008770C8">
        <w:t xml:space="preserve">different </w:t>
      </w:r>
      <w:r w:rsidR="002776BC" w:rsidRPr="002776BC">
        <w:t xml:space="preserve">levels of maturity, and </w:t>
      </w:r>
      <w:r w:rsidR="008770C8">
        <w:t xml:space="preserve">alternate </w:t>
      </w:r>
      <w:r w:rsidR="002776BC" w:rsidRPr="002776BC">
        <w:t>ways of processing information, which could have enhanced the feedback and made it more representative of a wider audience. This approach would have ensured that any conclusions or decisions reached were better informed and more inclusive.</w:t>
      </w:r>
    </w:p>
    <w:p w14:paraId="15E89300" w14:textId="77777777" w:rsidR="000523F9" w:rsidRPr="00263DB0" w:rsidRDefault="000523F9" w:rsidP="008E2486">
      <w:pPr>
        <w:jc w:val="both"/>
      </w:pPr>
    </w:p>
    <w:p w14:paraId="14B3BA16" w14:textId="77777777" w:rsidR="009315C6" w:rsidRDefault="009315C6"/>
    <w:p w14:paraId="06B34038" w14:textId="77777777" w:rsidR="009315C6" w:rsidRDefault="009315C6"/>
    <w:p w14:paraId="6BD5699D" w14:textId="77777777" w:rsidR="009315C6" w:rsidRDefault="009315C6"/>
    <w:p w14:paraId="72A4BB79" w14:textId="6AD59467" w:rsidR="00877951" w:rsidRDefault="00877951">
      <w:r>
        <w:br w:type="page"/>
      </w:r>
    </w:p>
    <w:p w14:paraId="1EAB1BDF" w14:textId="77777777" w:rsidR="009315C6" w:rsidRDefault="009315C6"/>
    <w:p w14:paraId="3B865BA0" w14:textId="77777777" w:rsidR="009315C6" w:rsidRDefault="009315C6"/>
    <w:p w14:paraId="670DFE07" w14:textId="77777777" w:rsidR="005F22EA" w:rsidRDefault="00D10479" w:rsidP="00491889">
      <w:pPr>
        <w:pStyle w:val="Heading1"/>
      </w:pPr>
      <w:bookmarkStart w:id="5" w:name="_Toc193198832"/>
      <w:r>
        <w:t>Table of Legislation</w:t>
      </w:r>
      <w:bookmarkEnd w:id="5"/>
      <w:r>
        <w:t xml:space="preserve"> </w:t>
      </w:r>
    </w:p>
    <w:p w14:paraId="14EC30A7" w14:textId="77777777" w:rsidR="00AB56AC" w:rsidRPr="004622F5" w:rsidRDefault="00AB56AC" w:rsidP="00A67523">
      <w:pPr>
        <w:pStyle w:val="NoSpacing"/>
      </w:pPr>
    </w:p>
    <w:p w14:paraId="19899DA6" w14:textId="77777777" w:rsidR="00AB56AC" w:rsidRDefault="00AB56AC" w:rsidP="00A67523">
      <w:pPr>
        <w:pStyle w:val="NoSpacing"/>
      </w:pPr>
      <w:r>
        <w:t>Care Standards Act 2000</w:t>
      </w:r>
    </w:p>
    <w:p w14:paraId="04AD2CAB" w14:textId="77777777" w:rsidR="00AB56AC" w:rsidRDefault="00AB56AC" w:rsidP="00A67523">
      <w:pPr>
        <w:pStyle w:val="NoSpacing"/>
      </w:pPr>
    </w:p>
    <w:p w14:paraId="4F71B6EE" w14:textId="22D5F1E2" w:rsidR="00AB56AC" w:rsidRDefault="00AB56AC" w:rsidP="00A67523">
      <w:pPr>
        <w:pStyle w:val="NoSpacing"/>
      </w:pPr>
      <w:r w:rsidRPr="005F22EA">
        <w:t>Children Act 1989</w:t>
      </w:r>
      <w:r>
        <w:t xml:space="preserve"> </w:t>
      </w:r>
    </w:p>
    <w:p w14:paraId="01769687" w14:textId="77777777" w:rsidR="00AB56AC" w:rsidRDefault="00AB56AC" w:rsidP="00A67523">
      <w:pPr>
        <w:pStyle w:val="NoSpacing"/>
      </w:pPr>
    </w:p>
    <w:p w14:paraId="5883A931" w14:textId="02974D21" w:rsidR="00AB56AC" w:rsidRPr="004622F5" w:rsidRDefault="00AB56AC" w:rsidP="00A67523">
      <w:pPr>
        <w:pStyle w:val="NoSpacing"/>
      </w:pPr>
      <w:r w:rsidRPr="004622F5">
        <w:t>Children Act 2004</w:t>
      </w:r>
    </w:p>
    <w:p w14:paraId="739611E4" w14:textId="77777777" w:rsidR="00AB56AC" w:rsidRDefault="00AB56AC" w:rsidP="00A67523">
      <w:pPr>
        <w:pStyle w:val="NoSpacing"/>
      </w:pPr>
    </w:p>
    <w:p w14:paraId="4DFEA9BF" w14:textId="3D795A9D" w:rsidR="00AB56AC" w:rsidRDefault="00AB56AC" w:rsidP="00A67523">
      <w:pPr>
        <w:pStyle w:val="NoSpacing"/>
      </w:pPr>
      <w:r w:rsidRPr="004622F5">
        <w:t>Children and Social Work Act 2017</w:t>
      </w:r>
    </w:p>
    <w:p w14:paraId="3588A184" w14:textId="77777777" w:rsidR="00AB56AC" w:rsidRDefault="00AB56AC" w:rsidP="00A67523">
      <w:pPr>
        <w:pStyle w:val="NoSpacing"/>
      </w:pPr>
    </w:p>
    <w:p w14:paraId="3DC2E246" w14:textId="5F395542" w:rsidR="00AB56AC" w:rsidRDefault="00AB56AC" w:rsidP="00A67523">
      <w:pPr>
        <w:pStyle w:val="NoSpacing"/>
      </w:pPr>
      <w:r>
        <w:t xml:space="preserve">Human Rights Act 1998 </w:t>
      </w:r>
    </w:p>
    <w:p w14:paraId="502F7009" w14:textId="77777777" w:rsidR="00AB56AC" w:rsidRDefault="00AB56AC" w:rsidP="00A67523">
      <w:pPr>
        <w:pStyle w:val="NoSpacing"/>
      </w:pPr>
    </w:p>
    <w:p w14:paraId="786F61C1" w14:textId="55A904F1" w:rsidR="00AB56AC" w:rsidRDefault="00AB56AC" w:rsidP="00A67523">
      <w:pPr>
        <w:pStyle w:val="NoSpacing"/>
      </w:pPr>
      <w:r>
        <w:t>Protection of Children Act 1999</w:t>
      </w:r>
    </w:p>
    <w:p w14:paraId="3A457F6F" w14:textId="77777777" w:rsidR="00304247" w:rsidRDefault="00304247" w:rsidP="00A67523">
      <w:pPr>
        <w:pStyle w:val="NoSpacing"/>
      </w:pPr>
    </w:p>
    <w:p w14:paraId="0871EEAA" w14:textId="00182B65" w:rsidR="00304247" w:rsidRDefault="00304247" w:rsidP="00A67523">
      <w:pPr>
        <w:pStyle w:val="NoSpacing"/>
      </w:pPr>
      <w:r>
        <w:t>The United Nations Convention on the Rights of the Child 1989</w:t>
      </w:r>
    </w:p>
    <w:p w14:paraId="45F9F421" w14:textId="2C800F4B" w:rsidR="009315C6" w:rsidRDefault="00390BF7" w:rsidP="00A67523">
      <w:pPr>
        <w:pStyle w:val="NoSpacing"/>
      </w:pPr>
      <w:r w:rsidRPr="005F22EA">
        <w:br w:type="page"/>
      </w:r>
      <w:r w:rsidR="00A67523">
        <w:lastRenderedPageBreak/>
        <w:br/>
      </w:r>
      <w:bookmarkStart w:id="6" w:name="_Toc193198833"/>
      <w:r w:rsidR="00D10479" w:rsidRPr="00A67523">
        <w:rPr>
          <w:rStyle w:val="Heading1Char"/>
        </w:rPr>
        <w:t>Table of cases</w:t>
      </w:r>
      <w:bookmarkEnd w:id="6"/>
      <w:r w:rsidR="00D10479">
        <w:t xml:space="preserve"> </w:t>
      </w:r>
    </w:p>
    <w:p w14:paraId="32CC53F4" w14:textId="77777777" w:rsidR="009315C6" w:rsidRDefault="009315C6"/>
    <w:p w14:paraId="7E2AD6F9" w14:textId="3EC4EC28" w:rsidR="00EA5B3B" w:rsidRPr="00EE5CF7" w:rsidRDefault="00EA5B3B">
      <w:r w:rsidRPr="00EE5CF7">
        <w:t>Arthur Labinjo-Hughes [2020]</w:t>
      </w:r>
    </w:p>
    <w:p w14:paraId="7AAE0B6A" w14:textId="2263F2A7" w:rsidR="009315C6" w:rsidRPr="00EE5CF7" w:rsidRDefault="00A176A9">
      <w:r w:rsidRPr="00EE5CF7">
        <w:t xml:space="preserve">Baby </w:t>
      </w:r>
      <w:r w:rsidR="0033431F" w:rsidRPr="00EE5CF7">
        <w:t>P [2007]</w:t>
      </w:r>
    </w:p>
    <w:p w14:paraId="42C881DE" w14:textId="0B9A6A85" w:rsidR="00EE5CF7" w:rsidRPr="00EE5CF7" w:rsidRDefault="00EE5CF7">
      <w:r w:rsidRPr="00EE5CF7">
        <w:t>Daniel Pelka [2012]</w:t>
      </w:r>
    </w:p>
    <w:p w14:paraId="21524D1E" w14:textId="77777777" w:rsidR="00EE5CF7" w:rsidRPr="00EE5CF7" w:rsidRDefault="00EE5CF7" w:rsidP="00EE5CF7">
      <w:r w:rsidRPr="00EE5CF7">
        <w:t>Khyra Ishaq [2008]</w:t>
      </w:r>
    </w:p>
    <w:p w14:paraId="39CB0D46" w14:textId="219CE7F8" w:rsidR="00281F01" w:rsidRPr="00EE5CF7" w:rsidRDefault="00281F01">
      <w:r w:rsidRPr="00EE5CF7">
        <w:t>Liam Fee [2014]</w:t>
      </w:r>
    </w:p>
    <w:p w14:paraId="7481609A" w14:textId="5A92EBEE" w:rsidR="0033431F" w:rsidRPr="00EE5CF7" w:rsidRDefault="00CE3174">
      <w:r w:rsidRPr="00EE5CF7">
        <w:t xml:space="preserve">Victoria Climbié </w:t>
      </w:r>
      <w:r w:rsidR="0031493B">
        <w:t xml:space="preserve"> and Z</w:t>
      </w:r>
      <w:r w:rsidR="00676AE1">
        <w:t xml:space="preserve"> v UK </w:t>
      </w:r>
      <w:r w:rsidRPr="00EE5CF7">
        <w:t xml:space="preserve"> [200</w:t>
      </w:r>
      <w:r w:rsidR="00676AE1">
        <w:t>1</w:t>
      </w:r>
      <w:r w:rsidRPr="00EE5CF7">
        <w:t>]</w:t>
      </w:r>
    </w:p>
    <w:p w14:paraId="4062DE0B" w14:textId="77777777" w:rsidR="009315C6" w:rsidRDefault="009315C6"/>
    <w:p w14:paraId="4549FA7A" w14:textId="77777777" w:rsidR="009315C6" w:rsidRDefault="009315C6"/>
    <w:p w14:paraId="1D3E2FC7" w14:textId="77777777" w:rsidR="009315C6" w:rsidRDefault="009315C6"/>
    <w:p w14:paraId="3C5BA726" w14:textId="77777777" w:rsidR="009315C6" w:rsidRDefault="009315C6"/>
    <w:p w14:paraId="56F93E4E" w14:textId="77777777" w:rsidR="009315C6" w:rsidRDefault="009315C6"/>
    <w:p w14:paraId="26F41462" w14:textId="77777777" w:rsidR="009315C6" w:rsidRDefault="009315C6"/>
    <w:p w14:paraId="3AF3E6BB" w14:textId="77777777" w:rsidR="009315C6" w:rsidRDefault="009315C6"/>
    <w:p w14:paraId="7AD33FFC" w14:textId="77777777" w:rsidR="009315C6" w:rsidRDefault="009315C6"/>
    <w:p w14:paraId="6842CFA8" w14:textId="77777777" w:rsidR="009315C6" w:rsidRDefault="009315C6"/>
    <w:p w14:paraId="3E40C524" w14:textId="77777777" w:rsidR="009315C6" w:rsidRDefault="009315C6"/>
    <w:p w14:paraId="50D4F8A0" w14:textId="77777777" w:rsidR="009315C6" w:rsidRDefault="009315C6"/>
    <w:p w14:paraId="27A3A661" w14:textId="77777777" w:rsidR="009315C6" w:rsidRDefault="009315C6"/>
    <w:p w14:paraId="4F4A433D" w14:textId="77777777" w:rsidR="009315C6" w:rsidRDefault="009315C6"/>
    <w:p w14:paraId="49C578AD" w14:textId="421EC36E" w:rsidR="00D10479" w:rsidRDefault="00D10479">
      <w:r>
        <w:br w:type="page"/>
      </w:r>
    </w:p>
    <w:p w14:paraId="7A877E79" w14:textId="17A13A22" w:rsidR="009315C6" w:rsidRPr="009315C6" w:rsidRDefault="00557DC1" w:rsidP="00491889">
      <w:pPr>
        <w:pStyle w:val="Heading1"/>
      </w:pPr>
      <w:bookmarkStart w:id="7" w:name="_Toc193198834"/>
      <w:r>
        <w:lastRenderedPageBreak/>
        <w:t xml:space="preserve">B4 - </w:t>
      </w:r>
      <w:r w:rsidR="009315C6" w:rsidRPr="009315C6">
        <w:t>References</w:t>
      </w:r>
      <w:bookmarkEnd w:id="7"/>
    </w:p>
    <w:p w14:paraId="5DBE5771" w14:textId="77777777" w:rsidR="005D1970" w:rsidRDefault="005D1970"/>
    <w:p w14:paraId="03524959" w14:textId="6A2D6BFB" w:rsidR="002548C6" w:rsidRDefault="00AA53DF">
      <w:r w:rsidRPr="00AA53DF">
        <w:t>Barton, C. and Douglas, G., 1995. </w:t>
      </w:r>
      <w:r w:rsidRPr="00AA53DF">
        <w:rPr>
          <w:i/>
          <w:iCs/>
        </w:rPr>
        <w:t>Law and parenthood</w:t>
      </w:r>
      <w:r w:rsidRPr="00AA53DF">
        <w:t>. Cambridge University Press.</w:t>
      </w:r>
    </w:p>
    <w:p w14:paraId="1E9828F4" w14:textId="77777777" w:rsidR="00AA53DF" w:rsidRDefault="00AA53DF"/>
    <w:p w14:paraId="74153C73" w14:textId="6669C909" w:rsidR="001D78A7" w:rsidRDefault="001D78A7">
      <w:r w:rsidRPr="00FD4E16">
        <w:t>Briggs, F., 2020. </w:t>
      </w:r>
      <w:r w:rsidRPr="00FD4E16">
        <w:rPr>
          <w:i/>
          <w:iCs/>
        </w:rPr>
        <w:t>Child protection: A guide for teachers and child care professionals</w:t>
      </w:r>
      <w:r w:rsidRPr="00FD4E16">
        <w:t>. Routledge.</w:t>
      </w:r>
    </w:p>
    <w:p w14:paraId="743FCBC2" w14:textId="77777777" w:rsidR="001D78A7" w:rsidRDefault="001D78A7"/>
    <w:p w14:paraId="528B3C3D" w14:textId="2C2C8588" w:rsidR="00774C65" w:rsidRDefault="00774C65">
      <w:r w:rsidRPr="00774C65">
        <w:t>David, M. and Appell, G., 2001. Loczy: An unusual approach to mothering, trans. </w:t>
      </w:r>
      <w:r w:rsidRPr="00774C65">
        <w:rPr>
          <w:i/>
          <w:iCs/>
        </w:rPr>
        <w:t>Jean Marie Clark. Rev. trans. &amp; ed, Judit Falk. Lóczy ou Le Maternage Insolite. Budapest: Association Pikler-Lóczy for Young Children</w:t>
      </w:r>
      <w:r w:rsidRPr="00774C65">
        <w:t>.</w:t>
      </w:r>
    </w:p>
    <w:p w14:paraId="336073A2" w14:textId="77777777" w:rsidR="00774C65" w:rsidRDefault="00774C65"/>
    <w:p w14:paraId="21342C3E" w14:textId="77777777" w:rsidR="0065564D" w:rsidRPr="0065564D" w:rsidRDefault="0065564D" w:rsidP="0065564D">
      <w:r w:rsidRPr="0065564D">
        <w:t>Department for Education (2021). </w:t>
      </w:r>
      <w:r w:rsidRPr="0065564D">
        <w:rPr>
          <w:i/>
          <w:iCs/>
        </w:rPr>
        <w:t>Personal, social, health and economic (PSHE) education</w:t>
      </w:r>
      <w:r w:rsidRPr="0065564D">
        <w:t>. [online] GOV.UK. Available at: https://www.gov.uk/government/publications/personal-social-health-and-economic-education-pshe/personal-social-health-and-economic-pshe-education.</w:t>
      </w:r>
    </w:p>
    <w:p w14:paraId="69921AAA" w14:textId="77777777" w:rsidR="0065564D" w:rsidRPr="0065564D" w:rsidRDefault="0065564D" w:rsidP="0065564D">
      <w:r w:rsidRPr="0065564D">
        <w:t>‌</w:t>
      </w:r>
    </w:p>
    <w:p w14:paraId="6FA03BC5" w14:textId="638AE0DC" w:rsidR="00BC2F40" w:rsidRDefault="00BC2F40">
      <w:r w:rsidRPr="00BC2F40">
        <w:t>Dunsby, R.M. and Howes, L.M., 2019. The NEW adventures of the digital vigilante! Facebook users’ views on online naming and shaming. </w:t>
      </w:r>
      <w:r w:rsidRPr="00BC2F40">
        <w:rPr>
          <w:i/>
          <w:iCs/>
        </w:rPr>
        <w:t>Australian &amp; New Zealand Journal of Criminology</w:t>
      </w:r>
      <w:r w:rsidRPr="00BC2F40">
        <w:t>, </w:t>
      </w:r>
      <w:r w:rsidRPr="00BC2F40">
        <w:rPr>
          <w:i/>
          <w:iCs/>
        </w:rPr>
        <w:t>52</w:t>
      </w:r>
      <w:r w:rsidRPr="00BC2F40">
        <w:t>(1), pp.41-59.</w:t>
      </w:r>
    </w:p>
    <w:p w14:paraId="3E000397" w14:textId="77777777" w:rsidR="00BC2F40" w:rsidRDefault="00BC2F40"/>
    <w:p w14:paraId="6DBD01E8" w14:textId="2F8DF6BF" w:rsidR="001D78A7" w:rsidRDefault="001D78A7">
      <w:r w:rsidRPr="004953F8">
        <w:t>Ferguson, T.H. and Ferguson, H., 2011. </w:t>
      </w:r>
      <w:r w:rsidRPr="004953F8">
        <w:rPr>
          <w:i/>
          <w:iCs/>
        </w:rPr>
        <w:t>Child protection practice</w:t>
      </w:r>
      <w:r w:rsidRPr="004953F8">
        <w:t>. Bloomsbury Publishing.</w:t>
      </w:r>
    </w:p>
    <w:p w14:paraId="0C0B1238" w14:textId="77777777" w:rsidR="001D78A7" w:rsidRDefault="001D78A7"/>
    <w:p w14:paraId="53C99FAC" w14:textId="6E702D15" w:rsidR="00142A3F" w:rsidRDefault="00142A3F">
      <w:r w:rsidRPr="00142A3F">
        <w:t>Fortin, J., 2003. </w:t>
      </w:r>
      <w:r w:rsidRPr="00142A3F">
        <w:rPr>
          <w:i/>
          <w:iCs/>
        </w:rPr>
        <w:t>Children's rights and the developing law</w:t>
      </w:r>
      <w:r w:rsidRPr="00142A3F">
        <w:t>. Cambridge University Press.</w:t>
      </w:r>
    </w:p>
    <w:p w14:paraId="007FEAFD" w14:textId="77777777" w:rsidR="00142A3F" w:rsidRDefault="00142A3F"/>
    <w:p w14:paraId="5C26E0B9" w14:textId="290436D8" w:rsidR="002548C6" w:rsidRDefault="002548C6">
      <w:r w:rsidRPr="002548C6">
        <w:t>George, R., 2021. </w:t>
      </w:r>
      <w:r w:rsidRPr="002548C6">
        <w:rPr>
          <w:i/>
          <w:iCs/>
        </w:rPr>
        <w:t>Blackstone's Statutes on Family Law 2021-2022</w:t>
      </w:r>
      <w:r w:rsidRPr="002548C6">
        <w:t>. Oxford University Press.</w:t>
      </w:r>
    </w:p>
    <w:p w14:paraId="5F68E91F" w14:textId="77777777" w:rsidR="00D43C34" w:rsidRDefault="00D43C34"/>
    <w:p w14:paraId="06FF247C" w14:textId="5F8DD673" w:rsidR="001D78A7" w:rsidRDefault="001D78A7">
      <w:r w:rsidRPr="009B219C">
        <w:t>Gil, D.G., 1973. </w:t>
      </w:r>
      <w:r w:rsidRPr="009B219C">
        <w:rPr>
          <w:i/>
          <w:iCs/>
        </w:rPr>
        <w:t>Violence against children: Physical child abuse in the United States</w:t>
      </w:r>
      <w:r w:rsidRPr="009B219C">
        <w:t>. Harvard University Press.</w:t>
      </w:r>
    </w:p>
    <w:p w14:paraId="24710D7C" w14:textId="77777777" w:rsidR="001D78A7" w:rsidRDefault="001D78A7"/>
    <w:p w14:paraId="395DA244" w14:textId="20E163C8" w:rsidR="005673F2" w:rsidRDefault="005673F2">
      <w:r w:rsidRPr="005673F2">
        <w:lastRenderedPageBreak/>
        <w:t>Harris, B., 2018. </w:t>
      </w:r>
      <w:r w:rsidRPr="005673F2">
        <w:rPr>
          <w:i/>
          <w:iCs/>
        </w:rPr>
        <w:t>The origins of the British welfare state: society, state and social welfare in England and Wales, 1800-1945</w:t>
      </w:r>
      <w:r w:rsidRPr="005673F2">
        <w:t>. Bloomsbury Publishing.</w:t>
      </w:r>
    </w:p>
    <w:p w14:paraId="65ECA7BF" w14:textId="77777777" w:rsidR="005673F2" w:rsidRDefault="005673F2"/>
    <w:p w14:paraId="3DCDD85E" w14:textId="36070583" w:rsidR="00875853" w:rsidRDefault="000A11F0">
      <w:r>
        <w:t xml:space="preserve">Herring, J., 2017. </w:t>
      </w:r>
      <w:r>
        <w:rPr>
          <w:i/>
          <w:iCs/>
        </w:rPr>
        <w:t>Family L</w:t>
      </w:r>
      <w:r w:rsidR="009B2426">
        <w:rPr>
          <w:i/>
          <w:iCs/>
        </w:rPr>
        <w:t xml:space="preserve">aw. </w:t>
      </w:r>
      <w:r w:rsidR="009B2426">
        <w:t>Pearson</w:t>
      </w:r>
      <w:r w:rsidR="00DD286A">
        <w:t>.</w:t>
      </w:r>
    </w:p>
    <w:p w14:paraId="27F46D99" w14:textId="77777777" w:rsidR="00A41B93" w:rsidRDefault="00A41B93"/>
    <w:p w14:paraId="6D50E82C" w14:textId="1CD81042" w:rsidR="009B2426" w:rsidRDefault="00A41B93">
      <w:r w:rsidRPr="00A41B93">
        <w:t>Herring, J.</w:t>
      </w:r>
      <w:r>
        <w:t xml:space="preserve">, 2023. </w:t>
      </w:r>
      <w:r w:rsidRPr="00A41B93">
        <w:rPr>
          <w:i/>
          <w:iCs/>
        </w:rPr>
        <w:t>Vulnerability and Children’s Rights. </w:t>
      </w:r>
      <w:r w:rsidRPr="00A41B93">
        <w:t>Int J Semiot Law </w:t>
      </w:r>
    </w:p>
    <w:p w14:paraId="12E957C0" w14:textId="77777777" w:rsidR="00A41B93" w:rsidRDefault="00A41B93"/>
    <w:p w14:paraId="3F448E9B" w14:textId="20CA7B4F" w:rsidR="002E3CBE" w:rsidRDefault="002E3CBE">
      <w:r w:rsidRPr="002E3CBE">
        <w:t>Jones, R., 2014. </w:t>
      </w:r>
      <w:r w:rsidRPr="002E3CBE">
        <w:rPr>
          <w:i/>
          <w:iCs/>
        </w:rPr>
        <w:t>The story of Baby P: Setting the record straight</w:t>
      </w:r>
      <w:r w:rsidRPr="002E3CBE">
        <w:t>. Policy Press.</w:t>
      </w:r>
    </w:p>
    <w:p w14:paraId="3B15392C" w14:textId="77777777" w:rsidR="002E3CBE" w:rsidRPr="009B2426" w:rsidRDefault="002E3CBE"/>
    <w:p w14:paraId="5265CEBB" w14:textId="201F2138" w:rsidR="001D78A7" w:rsidRDefault="001D78A7">
      <w:r w:rsidRPr="00937EC9">
        <w:t>Lonne, B., Parton, N., Thomson, J. and Harries, M., 2008. </w:t>
      </w:r>
      <w:r w:rsidRPr="00937EC9">
        <w:rPr>
          <w:i/>
          <w:iCs/>
        </w:rPr>
        <w:t>Reforming child protection</w:t>
      </w:r>
      <w:r w:rsidRPr="00937EC9">
        <w:t>. Routledge.</w:t>
      </w:r>
    </w:p>
    <w:p w14:paraId="2E6E6ACD" w14:textId="77777777" w:rsidR="00D9181A" w:rsidRDefault="00D9181A"/>
    <w:p w14:paraId="00B450EE" w14:textId="20C520D3" w:rsidR="00D9181A" w:rsidRDefault="00D9181A">
      <w:r>
        <w:t>Lyon, C</w:t>
      </w:r>
      <w:r w:rsidR="00C5670E">
        <w:t>., 2003</w:t>
      </w:r>
      <w:r w:rsidR="00C5670E" w:rsidRPr="004845E0">
        <w:rPr>
          <w:i/>
          <w:iCs/>
        </w:rPr>
        <w:t xml:space="preserve">. </w:t>
      </w:r>
      <w:r w:rsidR="004845E0" w:rsidRPr="004845E0">
        <w:rPr>
          <w:i/>
          <w:iCs/>
        </w:rPr>
        <w:t>Child abuse.</w:t>
      </w:r>
      <w:r w:rsidR="004845E0">
        <w:t xml:space="preserve"> </w:t>
      </w:r>
      <w:r w:rsidR="00FA275B">
        <w:t xml:space="preserve">Jordan Publishing Limited. </w:t>
      </w:r>
    </w:p>
    <w:p w14:paraId="2C8378FD" w14:textId="77777777" w:rsidR="001D78A7" w:rsidRDefault="001D78A7"/>
    <w:p w14:paraId="26B8B506" w14:textId="699FA4D5" w:rsidR="001D78A7" w:rsidRDefault="001D78A7">
      <w:r w:rsidRPr="00913185">
        <w:t>McCoy, M.L. and Keen, S.M., 2022. </w:t>
      </w:r>
      <w:r w:rsidRPr="00913185">
        <w:rPr>
          <w:i/>
          <w:iCs/>
        </w:rPr>
        <w:t>Child abuse and neglect</w:t>
      </w:r>
      <w:r w:rsidRPr="00913185">
        <w:t>. Routledge.</w:t>
      </w:r>
    </w:p>
    <w:p w14:paraId="0F3B537D" w14:textId="77777777" w:rsidR="001D78A7" w:rsidRDefault="001D78A7"/>
    <w:p w14:paraId="17057FE6" w14:textId="4AC5542E" w:rsidR="001D78A7" w:rsidRDefault="001D78A7">
      <w:r w:rsidRPr="001D78A7">
        <w:t>Oates, R.K., 2013. </w:t>
      </w:r>
      <w:r w:rsidRPr="001D78A7">
        <w:rPr>
          <w:i/>
          <w:iCs/>
        </w:rPr>
        <w:t>The spectrum of child abuse: Assessment, treatment and prevention</w:t>
      </w:r>
      <w:r w:rsidRPr="001D78A7">
        <w:t>. Routledge.</w:t>
      </w:r>
    </w:p>
    <w:p w14:paraId="67B1F6AA" w14:textId="77777777" w:rsidR="00E96FBE" w:rsidRDefault="00E96FBE"/>
    <w:p w14:paraId="4DDA61DF" w14:textId="19AB9CFB" w:rsidR="001D78A7" w:rsidRDefault="00584A69">
      <w:r w:rsidRPr="00584A69">
        <w:t>Oldham, M. ed., 2013. </w:t>
      </w:r>
      <w:r w:rsidRPr="00584A69">
        <w:rPr>
          <w:i/>
          <w:iCs/>
        </w:rPr>
        <w:t>Blackstone's Statutes on Family Law 2013-2014</w:t>
      </w:r>
      <w:r w:rsidRPr="00584A69">
        <w:t>. Oxford University Press, USA.</w:t>
      </w:r>
    </w:p>
    <w:p w14:paraId="31AA9524" w14:textId="77777777" w:rsidR="00584A69" w:rsidRDefault="00584A69"/>
    <w:p w14:paraId="4908506E" w14:textId="71FE8FAA" w:rsidR="001D78A7" w:rsidRDefault="001D78A7">
      <w:r w:rsidRPr="00BE1A3D">
        <w:t>Parton, N., 2014. </w:t>
      </w:r>
      <w:r w:rsidRPr="00BE1A3D">
        <w:rPr>
          <w:i/>
          <w:iCs/>
        </w:rPr>
        <w:t>The politics of child protection: Contemporary developments and future directions</w:t>
      </w:r>
      <w:r w:rsidRPr="00BE1A3D">
        <w:t>. Bloomsbury Publishing.</w:t>
      </w:r>
    </w:p>
    <w:p w14:paraId="130B8382" w14:textId="77777777" w:rsidR="007B1A9D" w:rsidRDefault="007B1A9D" w:rsidP="007B1A9D"/>
    <w:p w14:paraId="16169AA2" w14:textId="6D93144D" w:rsidR="005178CA" w:rsidRDefault="005178CA" w:rsidP="007B1A9D">
      <w:r w:rsidRPr="005178CA">
        <w:t>Piaget, J. and Cook, M., 1952. </w:t>
      </w:r>
      <w:r w:rsidRPr="005178CA">
        <w:rPr>
          <w:i/>
          <w:iCs/>
        </w:rPr>
        <w:t>The origins of intelligence in children</w:t>
      </w:r>
      <w:r w:rsidRPr="005178CA">
        <w:t> (Vol. 8, No. 5, pp. 18-1952). New York: International universities press.</w:t>
      </w:r>
    </w:p>
    <w:p w14:paraId="1E533FF6" w14:textId="77777777" w:rsidR="005178CA" w:rsidRDefault="005178CA" w:rsidP="007B1A9D"/>
    <w:p w14:paraId="7F514DE2" w14:textId="08F01B2B" w:rsidR="005D1970" w:rsidRDefault="005D1970" w:rsidP="007B1A9D">
      <w:r w:rsidRPr="005D1970">
        <w:lastRenderedPageBreak/>
        <w:t>Perry, B.D. and Szalavitz, M., 2017. </w:t>
      </w:r>
      <w:r w:rsidRPr="005D1970">
        <w:rPr>
          <w:i/>
          <w:iCs/>
        </w:rPr>
        <w:t>The boy who was raised as a dog: And other stories from a child psychiatrist's notebook--What traumatized children can teach us about loss, love, and healing</w:t>
      </w:r>
      <w:r w:rsidRPr="005D1970">
        <w:t>. Hachette UK.</w:t>
      </w:r>
    </w:p>
    <w:p w14:paraId="70F25066" w14:textId="46FDD61A" w:rsidR="007B1A9D" w:rsidRPr="007B1A9D" w:rsidRDefault="007B1A9D" w:rsidP="007B1A9D">
      <w:r w:rsidRPr="007B1A9D">
        <w:t>PSHE Association (2022). </w:t>
      </w:r>
      <w:r w:rsidRPr="007B1A9D">
        <w:rPr>
          <w:i/>
          <w:iCs/>
        </w:rPr>
        <w:t>Home | pshe-association.org.uk</w:t>
      </w:r>
      <w:r w:rsidRPr="007B1A9D">
        <w:t>. [online] pshe-association.org.uk. Available at: https://pshe-association.org.uk/.</w:t>
      </w:r>
    </w:p>
    <w:p w14:paraId="1B035EF4" w14:textId="77777777" w:rsidR="007B1A9D" w:rsidRPr="007B1A9D" w:rsidRDefault="007B1A9D" w:rsidP="007B1A9D">
      <w:r w:rsidRPr="007B1A9D">
        <w:t>‌</w:t>
      </w:r>
    </w:p>
    <w:p w14:paraId="2D9B4ECF" w14:textId="4A639844" w:rsidR="00925B8E" w:rsidRDefault="00925B8E">
      <w:r w:rsidRPr="00925B8E">
        <w:t>Pritchard, C., 2004. </w:t>
      </w:r>
      <w:r w:rsidRPr="00925B8E">
        <w:rPr>
          <w:i/>
          <w:iCs/>
        </w:rPr>
        <w:t>The Child Abusers</w:t>
      </w:r>
      <w:r w:rsidRPr="00925B8E">
        <w:t>. McGraw-Hill Education (UK).</w:t>
      </w:r>
    </w:p>
    <w:p w14:paraId="5287297D" w14:textId="77777777" w:rsidR="00925B8E" w:rsidRDefault="00925B8E"/>
    <w:p w14:paraId="02366CB6" w14:textId="3A0CAA7D" w:rsidR="005E0E84" w:rsidRDefault="005E0E84">
      <w:r w:rsidRPr="005E0E84">
        <w:t>Shoesmith, S., 2016. </w:t>
      </w:r>
      <w:r w:rsidRPr="005E0E84">
        <w:rPr>
          <w:i/>
          <w:iCs/>
        </w:rPr>
        <w:t>Learning from Baby P: The politics of blame, fear and denial</w:t>
      </w:r>
      <w:r w:rsidRPr="005E0E84">
        <w:t>. Jessica Kingsley Publishers.</w:t>
      </w:r>
    </w:p>
    <w:p w14:paraId="3406AA20" w14:textId="77777777" w:rsidR="005E0E84" w:rsidRDefault="005E0E84"/>
    <w:p w14:paraId="5F025670" w14:textId="4DE97E41" w:rsidR="001D78A7" w:rsidRDefault="001D78A7">
      <w:r w:rsidRPr="000E7A15">
        <w:t>Sinclair, I., 2007. </w:t>
      </w:r>
      <w:r w:rsidRPr="000E7A15">
        <w:rPr>
          <w:i/>
          <w:iCs/>
        </w:rPr>
        <w:t>The pursuit of permanence: A study of the English care system</w:t>
      </w:r>
      <w:r w:rsidRPr="000E7A15">
        <w:t>. Jessica Kingsley Publishers.</w:t>
      </w:r>
    </w:p>
    <w:p w14:paraId="698E0B1F" w14:textId="77777777" w:rsidR="001D78A7" w:rsidRDefault="001D78A7"/>
    <w:p w14:paraId="6C9DB190" w14:textId="4F7285E0" w:rsidR="00A36617" w:rsidRDefault="00A36617">
      <w:r w:rsidRPr="00A36617">
        <w:t>Smallridge, J. and Wagner, P., 2020. The rise of online vigilantism. </w:t>
      </w:r>
      <w:r w:rsidRPr="00A36617">
        <w:rPr>
          <w:i/>
          <w:iCs/>
        </w:rPr>
        <w:t>The Palgrave handbook of international cybercrime and cyberdeviance</w:t>
      </w:r>
      <w:r w:rsidRPr="00A36617">
        <w:t>, pp.1307-1331.</w:t>
      </w:r>
    </w:p>
    <w:p w14:paraId="5A64BF4A" w14:textId="77777777" w:rsidR="00A36617" w:rsidRDefault="00A36617"/>
    <w:p w14:paraId="77BAF5A7" w14:textId="5D7B9849" w:rsidR="001D78A7" w:rsidRDefault="001D78A7">
      <w:r w:rsidRPr="006C4836">
        <w:t>Stafford, A., Vincent, S., Parton, N. and Smith, C., 2011. </w:t>
      </w:r>
      <w:r w:rsidRPr="006C4836">
        <w:rPr>
          <w:i/>
          <w:iCs/>
        </w:rPr>
        <w:t>Child protection systems in the United Kingdom: A comparative analysis</w:t>
      </w:r>
      <w:r w:rsidRPr="006C4836">
        <w:t>. Jessica Kingsley Publishers.</w:t>
      </w:r>
    </w:p>
    <w:p w14:paraId="02E4B852" w14:textId="77777777" w:rsidR="001D78A7" w:rsidRDefault="001D78A7"/>
    <w:p w14:paraId="5A6F083E" w14:textId="094DA5F7" w:rsidR="001D78A7" w:rsidRDefault="001D78A7">
      <w:r w:rsidRPr="00D37D53">
        <w:t>Thompson, N., 2000. </w:t>
      </w:r>
      <w:r w:rsidRPr="00D37D53">
        <w:rPr>
          <w:i/>
          <w:iCs/>
        </w:rPr>
        <w:t>EBOOK: Theory And Practice In Human Services</w:t>
      </w:r>
      <w:r w:rsidRPr="00D37D53">
        <w:t>. McGraw-Hill Education (UK).</w:t>
      </w:r>
    </w:p>
    <w:p w14:paraId="7D8AA57D" w14:textId="77777777" w:rsidR="00DD286A" w:rsidRDefault="00DD286A"/>
    <w:p w14:paraId="709C2709" w14:textId="77777777" w:rsidR="001D78A7" w:rsidRDefault="001D78A7">
      <w:r w:rsidRPr="00A934CA">
        <w:t>Trevithick, P., 2011. </w:t>
      </w:r>
      <w:r w:rsidRPr="00A934CA">
        <w:rPr>
          <w:i/>
          <w:iCs/>
        </w:rPr>
        <w:t>Social work skills and knowledge: A practice handbook</w:t>
      </w:r>
      <w:r w:rsidRPr="00A934CA">
        <w:t>. McGraw-Hill Education (UK).</w:t>
      </w:r>
    </w:p>
    <w:p w14:paraId="1139ADFC" w14:textId="77777777" w:rsidR="001D78A7" w:rsidRDefault="001D78A7"/>
    <w:p w14:paraId="34FA0AB2" w14:textId="66CF7C60" w:rsidR="00DD286A" w:rsidRDefault="00DD286A">
      <w:r w:rsidRPr="00DD286A">
        <w:t>Turnell, A. and Essex, S., 2006. </w:t>
      </w:r>
      <w:r w:rsidRPr="00DD286A">
        <w:rPr>
          <w:i/>
          <w:iCs/>
        </w:rPr>
        <w:t>Working with Denied Child Abuse: The Resolutions Approach: The Resolutions Approach</w:t>
      </w:r>
      <w:r w:rsidRPr="00DD286A">
        <w:t>. McGraw-Hill Education (UK).</w:t>
      </w:r>
    </w:p>
    <w:p w14:paraId="5BADCFBA" w14:textId="77777777" w:rsidR="00DD286A" w:rsidRDefault="00DD286A"/>
    <w:p w14:paraId="22010588" w14:textId="4DB69F49" w:rsidR="009315C6" w:rsidRDefault="001D78A7">
      <w:r w:rsidRPr="004172A7">
        <w:t>Wilson, K. and James, A.L., 2007. </w:t>
      </w:r>
      <w:r w:rsidRPr="004172A7">
        <w:rPr>
          <w:i/>
          <w:iCs/>
        </w:rPr>
        <w:t>The child protection handbook</w:t>
      </w:r>
      <w:r w:rsidRPr="004172A7">
        <w:t>. Elsevier Health Sciences.</w:t>
      </w:r>
    </w:p>
    <w:sectPr w:rsidR="009315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C283C"/>
    <w:multiLevelType w:val="multilevel"/>
    <w:tmpl w:val="6F103E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3737D"/>
    <w:multiLevelType w:val="multilevel"/>
    <w:tmpl w:val="8B86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3324896">
    <w:abstractNumId w:val="1"/>
  </w:num>
  <w:num w:numId="2" w16cid:durableId="104424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CCE"/>
    <w:rsid w:val="000058F3"/>
    <w:rsid w:val="0004126D"/>
    <w:rsid w:val="00043EFC"/>
    <w:rsid w:val="00051772"/>
    <w:rsid w:val="000523F9"/>
    <w:rsid w:val="00056E9D"/>
    <w:rsid w:val="00062023"/>
    <w:rsid w:val="0008649C"/>
    <w:rsid w:val="000A11F0"/>
    <w:rsid w:val="000A3F0F"/>
    <w:rsid w:val="000B3C53"/>
    <w:rsid w:val="000C6A9E"/>
    <w:rsid w:val="000E2285"/>
    <w:rsid w:val="000E44AC"/>
    <w:rsid w:val="000E7A15"/>
    <w:rsid w:val="000F33AD"/>
    <w:rsid w:val="000F7511"/>
    <w:rsid w:val="00101DC4"/>
    <w:rsid w:val="001167D9"/>
    <w:rsid w:val="001213A6"/>
    <w:rsid w:val="00132A14"/>
    <w:rsid w:val="00142A3F"/>
    <w:rsid w:val="001544A7"/>
    <w:rsid w:val="001816D1"/>
    <w:rsid w:val="0019393D"/>
    <w:rsid w:val="001957F6"/>
    <w:rsid w:val="001963E6"/>
    <w:rsid w:val="001B7BAD"/>
    <w:rsid w:val="001C3CF3"/>
    <w:rsid w:val="001D2BD6"/>
    <w:rsid w:val="001D68F2"/>
    <w:rsid w:val="001D78A7"/>
    <w:rsid w:val="001E4478"/>
    <w:rsid w:val="001F0A8C"/>
    <w:rsid w:val="001F15E4"/>
    <w:rsid w:val="00200148"/>
    <w:rsid w:val="0020558F"/>
    <w:rsid w:val="0020680E"/>
    <w:rsid w:val="002159AF"/>
    <w:rsid w:val="00235C7A"/>
    <w:rsid w:val="00245B3C"/>
    <w:rsid w:val="00246619"/>
    <w:rsid w:val="00250317"/>
    <w:rsid w:val="002548C6"/>
    <w:rsid w:val="00257B26"/>
    <w:rsid w:val="00263DB0"/>
    <w:rsid w:val="002776BC"/>
    <w:rsid w:val="00277A77"/>
    <w:rsid w:val="00281E1C"/>
    <w:rsid w:val="00281F01"/>
    <w:rsid w:val="0029076B"/>
    <w:rsid w:val="002936FB"/>
    <w:rsid w:val="00297B69"/>
    <w:rsid w:val="002A175F"/>
    <w:rsid w:val="002A50EF"/>
    <w:rsid w:val="002C103B"/>
    <w:rsid w:val="002C6303"/>
    <w:rsid w:val="002D6084"/>
    <w:rsid w:val="002E3CBE"/>
    <w:rsid w:val="002F0861"/>
    <w:rsid w:val="002F0E62"/>
    <w:rsid w:val="002F1135"/>
    <w:rsid w:val="002F7188"/>
    <w:rsid w:val="00304247"/>
    <w:rsid w:val="00312187"/>
    <w:rsid w:val="00312DF4"/>
    <w:rsid w:val="003136E3"/>
    <w:rsid w:val="0031493B"/>
    <w:rsid w:val="00316778"/>
    <w:rsid w:val="0033431F"/>
    <w:rsid w:val="00334C52"/>
    <w:rsid w:val="00343344"/>
    <w:rsid w:val="00350900"/>
    <w:rsid w:val="00350AA5"/>
    <w:rsid w:val="00367467"/>
    <w:rsid w:val="00371729"/>
    <w:rsid w:val="003737E7"/>
    <w:rsid w:val="00382F76"/>
    <w:rsid w:val="00390BF7"/>
    <w:rsid w:val="003B3C3C"/>
    <w:rsid w:val="003C148B"/>
    <w:rsid w:val="003C3D8B"/>
    <w:rsid w:val="003C5F2D"/>
    <w:rsid w:val="003D0F89"/>
    <w:rsid w:val="003D5403"/>
    <w:rsid w:val="003F5401"/>
    <w:rsid w:val="00405FF2"/>
    <w:rsid w:val="004156A2"/>
    <w:rsid w:val="004172A7"/>
    <w:rsid w:val="00420BF4"/>
    <w:rsid w:val="00427C8D"/>
    <w:rsid w:val="0044220A"/>
    <w:rsid w:val="00446F0A"/>
    <w:rsid w:val="0045108D"/>
    <w:rsid w:val="004526A9"/>
    <w:rsid w:val="00454659"/>
    <w:rsid w:val="004622F5"/>
    <w:rsid w:val="004635DC"/>
    <w:rsid w:val="00473764"/>
    <w:rsid w:val="00473FAD"/>
    <w:rsid w:val="00481D9E"/>
    <w:rsid w:val="004822E8"/>
    <w:rsid w:val="004845E0"/>
    <w:rsid w:val="004861D9"/>
    <w:rsid w:val="00491889"/>
    <w:rsid w:val="004953F8"/>
    <w:rsid w:val="004A5E98"/>
    <w:rsid w:val="004C528C"/>
    <w:rsid w:val="004D5A9B"/>
    <w:rsid w:val="004E74DB"/>
    <w:rsid w:val="005050C2"/>
    <w:rsid w:val="005178CA"/>
    <w:rsid w:val="005233A6"/>
    <w:rsid w:val="00530ED6"/>
    <w:rsid w:val="00531279"/>
    <w:rsid w:val="005340E8"/>
    <w:rsid w:val="005363C8"/>
    <w:rsid w:val="00543CE8"/>
    <w:rsid w:val="005444C7"/>
    <w:rsid w:val="00557DC1"/>
    <w:rsid w:val="00565BAB"/>
    <w:rsid w:val="005673F2"/>
    <w:rsid w:val="00576453"/>
    <w:rsid w:val="00584A69"/>
    <w:rsid w:val="005A5D20"/>
    <w:rsid w:val="005B18F1"/>
    <w:rsid w:val="005C3CCE"/>
    <w:rsid w:val="005D1970"/>
    <w:rsid w:val="005D512E"/>
    <w:rsid w:val="005E0E84"/>
    <w:rsid w:val="005F22EA"/>
    <w:rsid w:val="00635FD8"/>
    <w:rsid w:val="00645A02"/>
    <w:rsid w:val="0064701F"/>
    <w:rsid w:val="0065564D"/>
    <w:rsid w:val="00657681"/>
    <w:rsid w:val="00657728"/>
    <w:rsid w:val="00670A38"/>
    <w:rsid w:val="00676AE1"/>
    <w:rsid w:val="006918FD"/>
    <w:rsid w:val="0069195F"/>
    <w:rsid w:val="006B0B07"/>
    <w:rsid w:val="006B5399"/>
    <w:rsid w:val="006B6498"/>
    <w:rsid w:val="006C4836"/>
    <w:rsid w:val="006D0775"/>
    <w:rsid w:val="006D76EB"/>
    <w:rsid w:val="006E17AB"/>
    <w:rsid w:val="006F1C43"/>
    <w:rsid w:val="006F7F6F"/>
    <w:rsid w:val="00727332"/>
    <w:rsid w:val="007342B0"/>
    <w:rsid w:val="00741836"/>
    <w:rsid w:val="0077057D"/>
    <w:rsid w:val="00774C65"/>
    <w:rsid w:val="007B1A9D"/>
    <w:rsid w:val="007C2959"/>
    <w:rsid w:val="007D60E5"/>
    <w:rsid w:val="007E403C"/>
    <w:rsid w:val="00814996"/>
    <w:rsid w:val="00825FDC"/>
    <w:rsid w:val="00833155"/>
    <w:rsid w:val="0083380B"/>
    <w:rsid w:val="008429AB"/>
    <w:rsid w:val="008543DE"/>
    <w:rsid w:val="00875853"/>
    <w:rsid w:val="008770C8"/>
    <w:rsid w:val="00877951"/>
    <w:rsid w:val="00883928"/>
    <w:rsid w:val="008839CF"/>
    <w:rsid w:val="008A094E"/>
    <w:rsid w:val="008B05F3"/>
    <w:rsid w:val="008C5A3F"/>
    <w:rsid w:val="008C5B40"/>
    <w:rsid w:val="008D0976"/>
    <w:rsid w:val="008E2486"/>
    <w:rsid w:val="008E66F4"/>
    <w:rsid w:val="00901355"/>
    <w:rsid w:val="00913185"/>
    <w:rsid w:val="00914F0F"/>
    <w:rsid w:val="00922CE7"/>
    <w:rsid w:val="00925B8E"/>
    <w:rsid w:val="009315C6"/>
    <w:rsid w:val="00932AAC"/>
    <w:rsid w:val="00935817"/>
    <w:rsid w:val="00937EC9"/>
    <w:rsid w:val="00945FE0"/>
    <w:rsid w:val="00947F66"/>
    <w:rsid w:val="00952FCB"/>
    <w:rsid w:val="0095539C"/>
    <w:rsid w:val="0098156D"/>
    <w:rsid w:val="009842F0"/>
    <w:rsid w:val="00991A80"/>
    <w:rsid w:val="009A3998"/>
    <w:rsid w:val="009B219C"/>
    <w:rsid w:val="009B2426"/>
    <w:rsid w:val="009D29CB"/>
    <w:rsid w:val="00A023EB"/>
    <w:rsid w:val="00A027C2"/>
    <w:rsid w:val="00A176A9"/>
    <w:rsid w:val="00A21F0A"/>
    <w:rsid w:val="00A33F1E"/>
    <w:rsid w:val="00A36617"/>
    <w:rsid w:val="00A41B93"/>
    <w:rsid w:val="00A43FDE"/>
    <w:rsid w:val="00A67523"/>
    <w:rsid w:val="00A75468"/>
    <w:rsid w:val="00A934CA"/>
    <w:rsid w:val="00AA53DF"/>
    <w:rsid w:val="00AB56AC"/>
    <w:rsid w:val="00AC5007"/>
    <w:rsid w:val="00AC5787"/>
    <w:rsid w:val="00B026FE"/>
    <w:rsid w:val="00B05A8A"/>
    <w:rsid w:val="00B335FB"/>
    <w:rsid w:val="00B43494"/>
    <w:rsid w:val="00B5231C"/>
    <w:rsid w:val="00B739F0"/>
    <w:rsid w:val="00B75D00"/>
    <w:rsid w:val="00B84A0E"/>
    <w:rsid w:val="00BA1300"/>
    <w:rsid w:val="00BC19B4"/>
    <w:rsid w:val="00BC2F40"/>
    <w:rsid w:val="00BC36A2"/>
    <w:rsid w:val="00BC5900"/>
    <w:rsid w:val="00BC6AEF"/>
    <w:rsid w:val="00BD3678"/>
    <w:rsid w:val="00BD6D61"/>
    <w:rsid w:val="00BE1A3D"/>
    <w:rsid w:val="00BE4F90"/>
    <w:rsid w:val="00BF101F"/>
    <w:rsid w:val="00BF1F88"/>
    <w:rsid w:val="00C07CAB"/>
    <w:rsid w:val="00C12314"/>
    <w:rsid w:val="00C25C59"/>
    <w:rsid w:val="00C37997"/>
    <w:rsid w:val="00C428DB"/>
    <w:rsid w:val="00C5670E"/>
    <w:rsid w:val="00C63AF2"/>
    <w:rsid w:val="00C6597B"/>
    <w:rsid w:val="00C87618"/>
    <w:rsid w:val="00C90105"/>
    <w:rsid w:val="00CA610F"/>
    <w:rsid w:val="00CB296F"/>
    <w:rsid w:val="00CB568B"/>
    <w:rsid w:val="00CC2BA2"/>
    <w:rsid w:val="00CE3174"/>
    <w:rsid w:val="00CF6E7C"/>
    <w:rsid w:val="00D10479"/>
    <w:rsid w:val="00D20098"/>
    <w:rsid w:val="00D37180"/>
    <w:rsid w:val="00D37D53"/>
    <w:rsid w:val="00D43C34"/>
    <w:rsid w:val="00D5394D"/>
    <w:rsid w:val="00D6458D"/>
    <w:rsid w:val="00D84FE1"/>
    <w:rsid w:val="00D9181A"/>
    <w:rsid w:val="00D97539"/>
    <w:rsid w:val="00DA4B76"/>
    <w:rsid w:val="00DC3CE6"/>
    <w:rsid w:val="00DD1643"/>
    <w:rsid w:val="00DD286A"/>
    <w:rsid w:val="00DF02A3"/>
    <w:rsid w:val="00DF1E76"/>
    <w:rsid w:val="00DF654D"/>
    <w:rsid w:val="00E01E33"/>
    <w:rsid w:val="00E05BA6"/>
    <w:rsid w:val="00E17855"/>
    <w:rsid w:val="00E20285"/>
    <w:rsid w:val="00E36310"/>
    <w:rsid w:val="00E4579F"/>
    <w:rsid w:val="00E5566D"/>
    <w:rsid w:val="00E5761E"/>
    <w:rsid w:val="00E61501"/>
    <w:rsid w:val="00E775F2"/>
    <w:rsid w:val="00E8485C"/>
    <w:rsid w:val="00E85238"/>
    <w:rsid w:val="00E91A93"/>
    <w:rsid w:val="00E96FBE"/>
    <w:rsid w:val="00EA5B3B"/>
    <w:rsid w:val="00EB6936"/>
    <w:rsid w:val="00EB6A1A"/>
    <w:rsid w:val="00EC4584"/>
    <w:rsid w:val="00EE1E79"/>
    <w:rsid w:val="00EE47D5"/>
    <w:rsid w:val="00EE5CF7"/>
    <w:rsid w:val="00EF3979"/>
    <w:rsid w:val="00EF66E7"/>
    <w:rsid w:val="00F04E8E"/>
    <w:rsid w:val="00F134CF"/>
    <w:rsid w:val="00F2272A"/>
    <w:rsid w:val="00F22826"/>
    <w:rsid w:val="00F2350A"/>
    <w:rsid w:val="00F26434"/>
    <w:rsid w:val="00F37074"/>
    <w:rsid w:val="00F52A5F"/>
    <w:rsid w:val="00F54093"/>
    <w:rsid w:val="00F566B6"/>
    <w:rsid w:val="00F64B1E"/>
    <w:rsid w:val="00F67748"/>
    <w:rsid w:val="00FA275B"/>
    <w:rsid w:val="00FB5F88"/>
    <w:rsid w:val="00FC5017"/>
    <w:rsid w:val="00FD3597"/>
    <w:rsid w:val="00FD4E16"/>
    <w:rsid w:val="00FD798E"/>
    <w:rsid w:val="00FE3083"/>
    <w:rsid w:val="00FE37CA"/>
    <w:rsid w:val="00FF3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4145"/>
  <w15:chartTrackingRefBased/>
  <w15:docId w15:val="{18C88800-0066-4110-85A8-FFB531010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C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C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C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C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C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C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C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C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C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C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C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C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C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C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CCE"/>
    <w:rPr>
      <w:rFonts w:eastAsiaTheme="majorEastAsia" w:cstheme="majorBidi"/>
      <w:color w:val="272727" w:themeColor="text1" w:themeTint="D8"/>
    </w:rPr>
  </w:style>
  <w:style w:type="paragraph" w:styleId="Title">
    <w:name w:val="Title"/>
    <w:basedOn w:val="Normal"/>
    <w:next w:val="Normal"/>
    <w:link w:val="TitleChar"/>
    <w:uiPriority w:val="10"/>
    <w:qFormat/>
    <w:rsid w:val="005C3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C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C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C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CCE"/>
    <w:pPr>
      <w:spacing w:before="160"/>
      <w:jc w:val="center"/>
    </w:pPr>
    <w:rPr>
      <w:i/>
      <w:iCs/>
      <w:color w:val="404040" w:themeColor="text1" w:themeTint="BF"/>
    </w:rPr>
  </w:style>
  <w:style w:type="character" w:customStyle="1" w:styleId="QuoteChar">
    <w:name w:val="Quote Char"/>
    <w:basedOn w:val="DefaultParagraphFont"/>
    <w:link w:val="Quote"/>
    <w:uiPriority w:val="29"/>
    <w:rsid w:val="005C3CCE"/>
    <w:rPr>
      <w:i/>
      <w:iCs/>
      <w:color w:val="404040" w:themeColor="text1" w:themeTint="BF"/>
    </w:rPr>
  </w:style>
  <w:style w:type="paragraph" w:styleId="ListParagraph">
    <w:name w:val="List Paragraph"/>
    <w:basedOn w:val="Normal"/>
    <w:uiPriority w:val="34"/>
    <w:qFormat/>
    <w:rsid w:val="005C3CCE"/>
    <w:pPr>
      <w:ind w:left="720"/>
      <w:contextualSpacing/>
    </w:pPr>
  </w:style>
  <w:style w:type="character" w:styleId="IntenseEmphasis">
    <w:name w:val="Intense Emphasis"/>
    <w:basedOn w:val="DefaultParagraphFont"/>
    <w:uiPriority w:val="21"/>
    <w:qFormat/>
    <w:rsid w:val="005C3CCE"/>
    <w:rPr>
      <w:i/>
      <w:iCs/>
      <w:color w:val="0F4761" w:themeColor="accent1" w:themeShade="BF"/>
    </w:rPr>
  </w:style>
  <w:style w:type="paragraph" w:styleId="IntenseQuote">
    <w:name w:val="Intense Quote"/>
    <w:basedOn w:val="Normal"/>
    <w:next w:val="Normal"/>
    <w:link w:val="IntenseQuoteChar"/>
    <w:uiPriority w:val="30"/>
    <w:qFormat/>
    <w:rsid w:val="005C3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CCE"/>
    <w:rPr>
      <w:i/>
      <w:iCs/>
      <w:color w:val="0F4761" w:themeColor="accent1" w:themeShade="BF"/>
    </w:rPr>
  </w:style>
  <w:style w:type="character" w:styleId="IntenseReference">
    <w:name w:val="Intense Reference"/>
    <w:basedOn w:val="DefaultParagraphFont"/>
    <w:uiPriority w:val="32"/>
    <w:qFormat/>
    <w:rsid w:val="005C3CCE"/>
    <w:rPr>
      <w:b/>
      <w:bCs/>
      <w:smallCaps/>
      <w:color w:val="0F4761" w:themeColor="accent1" w:themeShade="BF"/>
      <w:spacing w:val="5"/>
    </w:rPr>
  </w:style>
  <w:style w:type="table" w:styleId="TableGrid">
    <w:name w:val="Table Grid"/>
    <w:basedOn w:val="TableNormal"/>
    <w:uiPriority w:val="39"/>
    <w:rsid w:val="00FE3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9188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22826"/>
    <w:pPr>
      <w:spacing w:after="100"/>
    </w:pPr>
  </w:style>
  <w:style w:type="character" w:styleId="Hyperlink">
    <w:name w:val="Hyperlink"/>
    <w:basedOn w:val="DefaultParagraphFont"/>
    <w:uiPriority w:val="99"/>
    <w:unhideWhenUsed/>
    <w:rsid w:val="00F22826"/>
    <w:rPr>
      <w:color w:val="467886" w:themeColor="hyperlink"/>
      <w:u w:val="single"/>
    </w:rPr>
  </w:style>
  <w:style w:type="paragraph" w:styleId="NoSpacing">
    <w:name w:val="No Spacing"/>
    <w:uiPriority w:val="1"/>
    <w:qFormat/>
    <w:rsid w:val="00A675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5362">
      <w:bodyDiv w:val="1"/>
      <w:marLeft w:val="0"/>
      <w:marRight w:val="0"/>
      <w:marTop w:val="0"/>
      <w:marBottom w:val="0"/>
      <w:divBdr>
        <w:top w:val="none" w:sz="0" w:space="0" w:color="auto"/>
        <w:left w:val="none" w:sz="0" w:space="0" w:color="auto"/>
        <w:bottom w:val="none" w:sz="0" w:space="0" w:color="auto"/>
        <w:right w:val="none" w:sz="0" w:space="0" w:color="auto"/>
      </w:divBdr>
    </w:div>
    <w:div w:id="258098813">
      <w:bodyDiv w:val="1"/>
      <w:marLeft w:val="0"/>
      <w:marRight w:val="0"/>
      <w:marTop w:val="0"/>
      <w:marBottom w:val="0"/>
      <w:divBdr>
        <w:top w:val="none" w:sz="0" w:space="0" w:color="auto"/>
        <w:left w:val="none" w:sz="0" w:space="0" w:color="auto"/>
        <w:bottom w:val="none" w:sz="0" w:space="0" w:color="auto"/>
        <w:right w:val="none" w:sz="0" w:space="0" w:color="auto"/>
      </w:divBdr>
    </w:div>
    <w:div w:id="426511402">
      <w:bodyDiv w:val="1"/>
      <w:marLeft w:val="0"/>
      <w:marRight w:val="0"/>
      <w:marTop w:val="0"/>
      <w:marBottom w:val="0"/>
      <w:divBdr>
        <w:top w:val="none" w:sz="0" w:space="0" w:color="auto"/>
        <w:left w:val="none" w:sz="0" w:space="0" w:color="auto"/>
        <w:bottom w:val="none" w:sz="0" w:space="0" w:color="auto"/>
        <w:right w:val="none" w:sz="0" w:space="0" w:color="auto"/>
      </w:divBdr>
    </w:div>
    <w:div w:id="907300610">
      <w:bodyDiv w:val="1"/>
      <w:marLeft w:val="0"/>
      <w:marRight w:val="0"/>
      <w:marTop w:val="0"/>
      <w:marBottom w:val="0"/>
      <w:divBdr>
        <w:top w:val="none" w:sz="0" w:space="0" w:color="auto"/>
        <w:left w:val="none" w:sz="0" w:space="0" w:color="auto"/>
        <w:bottom w:val="none" w:sz="0" w:space="0" w:color="auto"/>
        <w:right w:val="none" w:sz="0" w:space="0" w:color="auto"/>
      </w:divBdr>
    </w:div>
    <w:div w:id="945427237">
      <w:bodyDiv w:val="1"/>
      <w:marLeft w:val="0"/>
      <w:marRight w:val="0"/>
      <w:marTop w:val="0"/>
      <w:marBottom w:val="0"/>
      <w:divBdr>
        <w:top w:val="none" w:sz="0" w:space="0" w:color="auto"/>
        <w:left w:val="none" w:sz="0" w:space="0" w:color="auto"/>
        <w:bottom w:val="none" w:sz="0" w:space="0" w:color="auto"/>
        <w:right w:val="none" w:sz="0" w:space="0" w:color="auto"/>
      </w:divBdr>
    </w:div>
    <w:div w:id="1008140787">
      <w:bodyDiv w:val="1"/>
      <w:marLeft w:val="0"/>
      <w:marRight w:val="0"/>
      <w:marTop w:val="0"/>
      <w:marBottom w:val="0"/>
      <w:divBdr>
        <w:top w:val="none" w:sz="0" w:space="0" w:color="auto"/>
        <w:left w:val="none" w:sz="0" w:space="0" w:color="auto"/>
        <w:bottom w:val="none" w:sz="0" w:space="0" w:color="auto"/>
        <w:right w:val="none" w:sz="0" w:space="0" w:color="auto"/>
      </w:divBdr>
    </w:div>
    <w:div w:id="1155999070">
      <w:bodyDiv w:val="1"/>
      <w:marLeft w:val="0"/>
      <w:marRight w:val="0"/>
      <w:marTop w:val="0"/>
      <w:marBottom w:val="0"/>
      <w:divBdr>
        <w:top w:val="none" w:sz="0" w:space="0" w:color="auto"/>
        <w:left w:val="none" w:sz="0" w:space="0" w:color="auto"/>
        <w:bottom w:val="none" w:sz="0" w:space="0" w:color="auto"/>
        <w:right w:val="none" w:sz="0" w:space="0" w:color="auto"/>
      </w:divBdr>
    </w:div>
    <w:div w:id="1286623702">
      <w:bodyDiv w:val="1"/>
      <w:marLeft w:val="0"/>
      <w:marRight w:val="0"/>
      <w:marTop w:val="0"/>
      <w:marBottom w:val="0"/>
      <w:divBdr>
        <w:top w:val="none" w:sz="0" w:space="0" w:color="auto"/>
        <w:left w:val="none" w:sz="0" w:space="0" w:color="auto"/>
        <w:bottom w:val="none" w:sz="0" w:space="0" w:color="auto"/>
        <w:right w:val="none" w:sz="0" w:space="0" w:color="auto"/>
      </w:divBdr>
    </w:div>
    <w:div w:id="1403983439">
      <w:bodyDiv w:val="1"/>
      <w:marLeft w:val="0"/>
      <w:marRight w:val="0"/>
      <w:marTop w:val="0"/>
      <w:marBottom w:val="0"/>
      <w:divBdr>
        <w:top w:val="none" w:sz="0" w:space="0" w:color="auto"/>
        <w:left w:val="none" w:sz="0" w:space="0" w:color="auto"/>
        <w:bottom w:val="none" w:sz="0" w:space="0" w:color="auto"/>
        <w:right w:val="none" w:sz="0" w:space="0" w:color="auto"/>
      </w:divBdr>
    </w:div>
    <w:div w:id="1447626399">
      <w:bodyDiv w:val="1"/>
      <w:marLeft w:val="0"/>
      <w:marRight w:val="0"/>
      <w:marTop w:val="0"/>
      <w:marBottom w:val="0"/>
      <w:divBdr>
        <w:top w:val="none" w:sz="0" w:space="0" w:color="auto"/>
        <w:left w:val="none" w:sz="0" w:space="0" w:color="auto"/>
        <w:bottom w:val="none" w:sz="0" w:space="0" w:color="auto"/>
        <w:right w:val="none" w:sz="0" w:space="0" w:color="auto"/>
      </w:divBdr>
    </w:div>
    <w:div w:id="1736585699">
      <w:bodyDiv w:val="1"/>
      <w:marLeft w:val="0"/>
      <w:marRight w:val="0"/>
      <w:marTop w:val="0"/>
      <w:marBottom w:val="0"/>
      <w:divBdr>
        <w:top w:val="none" w:sz="0" w:space="0" w:color="auto"/>
        <w:left w:val="none" w:sz="0" w:space="0" w:color="auto"/>
        <w:bottom w:val="none" w:sz="0" w:space="0" w:color="auto"/>
        <w:right w:val="none" w:sz="0" w:space="0" w:color="auto"/>
      </w:divBdr>
    </w:div>
    <w:div w:id="1794865052">
      <w:bodyDiv w:val="1"/>
      <w:marLeft w:val="0"/>
      <w:marRight w:val="0"/>
      <w:marTop w:val="0"/>
      <w:marBottom w:val="0"/>
      <w:divBdr>
        <w:top w:val="none" w:sz="0" w:space="0" w:color="auto"/>
        <w:left w:val="none" w:sz="0" w:space="0" w:color="auto"/>
        <w:bottom w:val="none" w:sz="0" w:space="0" w:color="auto"/>
        <w:right w:val="none" w:sz="0" w:space="0" w:color="auto"/>
      </w:divBdr>
      <w:divsChild>
        <w:div w:id="1397824568">
          <w:marLeft w:val="0"/>
          <w:marRight w:val="0"/>
          <w:marTop w:val="0"/>
          <w:marBottom w:val="0"/>
          <w:divBdr>
            <w:top w:val="none" w:sz="0" w:space="0" w:color="auto"/>
            <w:left w:val="none" w:sz="0" w:space="0" w:color="auto"/>
            <w:bottom w:val="none" w:sz="0" w:space="0" w:color="auto"/>
            <w:right w:val="none" w:sz="0" w:space="0" w:color="auto"/>
          </w:divBdr>
        </w:div>
        <w:div w:id="1356271090">
          <w:marLeft w:val="0"/>
          <w:marRight w:val="0"/>
          <w:marTop w:val="0"/>
          <w:marBottom w:val="0"/>
          <w:divBdr>
            <w:top w:val="none" w:sz="0" w:space="0" w:color="auto"/>
            <w:left w:val="none" w:sz="0" w:space="0" w:color="auto"/>
            <w:bottom w:val="none" w:sz="0" w:space="0" w:color="auto"/>
            <w:right w:val="none" w:sz="0" w:space="0" w:color="auto"/>
          </w:divBdr>
        </w:div>
        <w:div w:id="1981223846">
          <w:marLeft w:val="0"/>
          <w:marRight w:val="0"/>
          <w:marTop w:val="0"/>
          <w:marBottom w:val="0"/>
          <w:divBdr>
            <w:top w:val="none" w:sz="0" w:space="0" w:color="auto"/>
            <w:left w:val="none" w:sz="0" w:space="0" w:color="auto"/>
            <w:bottom w:val="none" w:sz="0" w:space="0" w:color="auto"/>
            <w:right w:val="none" w:sz="0" w:space="0" w:color="auto"/>
          </w:divBdr>
        </w:div>
        <w:div w:id="1494833255">
          <w:marLeft w:val="0"/>
          <w:marRight w:val="0"/>
          <w:marTop w:val="0"/>
          <w:marBottom w:val="0"/>
          <w:divBdr>
            <w:top w:val="none" w:sz="0" w:space="0" w:color="auto"/>
            <w:left w:val="none" w:sz="0" w:space="0" w:color="auto"/>
            <w:bottom w:val="none" w:sz="0" w:space="0" w:color="auto"/>
            <w:right w:val="none" w:sz="0" w:space="0" w:color="auto"/>
          </w:divBdr>
        </w:div>
        <w:div w:id="115415471">
          <w:marLeft w:val="0"/>
          <w:marRight w:val="0"/>
          <w:marTop w:val="0"/>
          <w:marBottom w:val="0"/>
          <w:divBdr>
            <w:top w:val="none" w:sz="0" w:space="0" w:color="auto"/>
            <w:left w:val="none" w:sz="0" w:space="0" w:color="auto"/>
            <w:bottom w:val="none" w:sz="0" w:space="0" w:color="auto"/>
            <w:right w:val="none" w:sz="0" w:space="0" w:color="auto"/>
          </w:divBdr>
        </w:div>
        <w:div w:id="1349986954">
          <w:marLeft w:val="0"/>
          <w:marRight w:val="0"/>
          <w:marTop w:val="0"/>
          <w:marBottom w:val="0"/>
          <w:divBdr>
            <w:top w:val="none" w:sz="0" w:space="0" w:color="auto"/>
            <w:left w:val="none" w:sz="0" w:space="0" w:color="auto"/>
            <w:bottom w:val="none" w:sz="0" w:space="0" w:color="auto"/>
            <w:right w:val="none" w:sz="0" w:space="0" w:color="auto"/>
          </w:divBdr>
        </w:div>
        <w:div w:id="250356238">
          <w:marLeft w:val="0"/>
          <w:marRight w:val="0"/>
          <w:marTop w:val="0"/>
          <w:marBottom w:val="0"/>
          <w:divBdr>
            <w:top w:val="none" w:sz="0" w:space="0" w:color="auto"/>
            <w:left w:val="none" w:sz="0" w:space="0" w:color="auto"/>
            <w:bottom w:val="none" w:sz="0" w:space="0" w:color="auto"/>
            <w:right w:val="none" w:sz="0" w:space="0" w:color="auto"/>
          </w:divBdr>
        </w:div>
        <w:div w:id="216824196">
          <w:marLeft w:val="0"/>
          <w:marRight w:val="0"/>
          <w:marTop w:val="0"/>
          <w:marBottom w:val="0"/>
          <w:divBdr>
            <w:top w:val="none" w:sz="0" w:space="0" w:color="auto"/>
            <w:left w:val="none" w:sz="0" w:space="0" w:color="auto"/>
            <w:bottom w:val="none" w:sz="0" w:space="0" w:color="auto"/>
            <w:right w:val="none" w:sz="0" w:space="0" w:color="auto"/>
          </w:divBdr>
        </w:div>
      </w:divsChild>
    </w:div>
    <w:div w:id="1842620887">
      <w:bodyDiv w:val="1"/>
      <w:marLeft w:val="0"/>
      <w:marRight w:val="0"/>
      <w:marTop w:val="0"/>
      <w:marBottom w:val="0"/>
      <w:divBdr>
        <w:top w:val="none" w:sz="0" w:space="0" w:color="auto"/>
        <w:left w:val="none" w:sz="0" w:space="0" w:color="auto"/>
        <w:bottom w:val="none" w:sz="0" w:space="0" w:color="auto"/>
        <w:right w:val="none" w:sz="0" w:space="0" w:color="auto"/>
      </w:divBdr>
    </w:div>
    <w:div w:id="1940407610">
      <w:bodyDiv w:val="1"/>
      <w:marLeft w:val="0"/>
      <w:marRight w:val="0"/>
      <w:marTop w:val="0"/>
      <w:marBottom w:val="0"/>
      <w:divBdr>
        <w:top w:val="none" w:sz="0" w:space="0" w:color="auto"/>
        <w:left w:val="none" w:sz="0" w:space="0" w:color="auto"/>
        <w:bottom w:val="none" w:sz="0" w:space="0" w:color="auto"/>
        <w:right w:val="none" w:sz="0" w:space="0" w:color="auto"/>
      </w:divBdr>
      <w:divsChild>
        <w:div w:id="1505050492">
          <w:marLeft w:val="0"/>
          <w:marRight w:val="0"/>
          <w:marTop w:val="0"/>
          <w:marBottom w:val="0"/>
          <w:divBdr>
            <w:top w:val="none" w:sz="0" w:space="0" w:color="auto"/>
            <w:left w:val="none" w:sz="0" w:space="0" w:color="auto"/>
            <w:bottom w:val="none" w:sz="0" w:space="0" w:color="auto"/>
            <w:right w:val="none" w:sz="0" w:space="0" w:color="auto"/>
          </w:divBdr>
        </w:div>
        <w:div w:id="626085019">
          <w:marLeft w:val="0"/>
          <w:marRight w:val="0"/>
          <w:marTop w:val="0"/>
          <w:marBottom w:val="0"/>
          <w:divBdr>
            <w:top w:val="none" w:sz="0" w:space="0" w:color="auto"/>
            <w:left w:val="none" w:sz="0" w:space="0" w:color="auto"/>
            <w:bottom w:val="none" w:sz="0" w:space="0" w:color="auto"/>
            <w:right w:val="none" w:sz="0" w:space="0" w:color="auto"/>
          </w:divBdr>
        </w:div>
        <w:div w:id="1672680518">
          <w:marLeft w:val="0"/>
          <w:marRight w:val="0"/>
          <w:marTop w:val="0"/>
          <w:marBottom w:val="0"/>
          <w:divBdr>
            <w:top w:val="none" w:sz="0" w:space="0" w:color="auto"/>
            <w:left w:val="none" w:sz="0" w:space="0" w:color="auto"/>
            <w:bottom w:val="none" w:sz="0" w:space="0" w:color="auto"/>
            <w:right w:val="none" w:sz="0" w:space="0" w:color="auto"/>
          </w:divBdr>
        </w:div>
        <w:div w:id="1339235071">
          <w:marLeft w:val="0"/>
          <w:marRight w:val="0"/>
          <w:marTop w:val="0"/>
          <w:marBottom w:val="0"/>
          <w:divBdr>
            <w:top w:val="none" w:sz="0" w:space="0" w:color="auto"/>
            <w:left w:val="none" w:sz="0" w:space="0" w:color="auto"/>
            <w:bottom w:val="none" w:sz="0" w:space="0" w:color="auto"/>
            <w:right w:val="none" w:sz="0" w:space="0" w:color="auto"/>
          </w:divBdr>
        </w:div>
        <w:div w:id="1058287404">
          <w:marLeft w:val="0"/>
          <w:marRight w:val="0"/>
          <w:marTop w:val="0"/>
          <w:marBottom w:val="0"/>
          <w:divBdr>
            <w:top w:val="none" w:sz="0" w:space="0" w:color="auto"/>
            <w:left w:val="none" w:sz="0" w:space="0" w:color="auto"/>
            <w:bottom w:val="none" w:sz="0" w:space="0" w:color="auto"/>
            <w:right w:val="none" w:sz="0" w:space="0" w:color="auto"/>
          </w:divBdr>
        </w:div>
        <w:div w:id="1123036612">
          <w:marLeft w:val="0"/>
          <w:marRight w:val="0"/>
          <w:marTop w:val="0"/>
          <w:marBottom w:val="0"/>
          <w:divBdr>
            <w:top w:val="none" w:sz="0" w:space="0" w:color="auto"/>
            <w:left w:val="none" w:sz="0" w:space="0" w:color="auto"/>
            <w:bottom w:val="none" w:sz="0" w:space="0" w:color="auto"/>
            <w:right w:val="none" w:sz="0" w:space="0" w:color="auto"/>
          </w:divBdr>
        </w:div>
        <w:div w:id="1038778227">
          <w:marLeft w:val="0"/>
          <w:marRight w:val="0"/>
          <w:marTop w:val="0"/>
          <w:marBottom w:val="0"/>
          <w:divBdr>
            <w:top w:val="none" w:sz="0" w:space="0" w:color="auto"/>
            <w:left w:val="none" w:sz="0" w:space="0" w:color="auto"/>
            <w:bottom w:val="none" w:sz="0" w:space="0" w:color="auto"/>
            <w:right w:val="none" w:sz="0" w:space="0" w:color="auto"/>
          </w:divBdr>
        </w:div>
        <w:div w:id="20709512">
          <w:marLeft w:val="0"/>
          <w:marRight w:val="0"/>
          <w:marTop w:val="0"/>
          <w:marBottom w:val="0"/>
          <w:divBdr>
            <w:top w:val="none" w:sz="0" w:space="0" w:color="auto"/>
            <w:left w:val="none" w:sz="0" w:space="0" w:color="auto"/>
            <w:bottom w:val="none" w:sz="0" w:space="0" w:color="auto"/>
            <w:right w:val="none" w:sz="0" w:space="0" w:color="auto"/>
          </w:divBdr>
        </w:div>
      </w:divsChild>
    </w:div>
    <w:div w:id="1968315401">
      <w:bodyDiv w:val="1"/>
      <w:marLeft w:val="0"/>
      <w:marRight w:val="0"/>
      <w:marTop w:val="0"/>
      <w:marBottom w:val="0"/>
      <w:divBdr>
        <w:top w:val="none" w:sz="0" w:space="0" w:color="auto"/>
        <w:left w:val="none" w:sz="0" w:space="0" w:color="auto"/>
        <w:bottom w:val="none" w:sz="0" w:space="0" w:color="auto"/>
        <w:right w:val="none" w:sz="0" w:space="0" w:color="auto"/>
      </w:divBdr>
    </w:div>
    <w:div w:id="202180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47F2C-3879-4EE1-A133-B1DFC60D6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2025-03-20T22:42:00Z</dcterms:created>
  <dcterms:modified xsi:type="dcterms:W3CDTF">2025-03-20T22:42:00Z</dcterms:modified>
</cp:coreProperties>
</file>