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9BBD22" w14:textId="77777777" w:rsidR="00923179" w:rsidRPr="00923179" w:rsidRDefault="00923179" w:rsidP="00923179">
      <w:pPr>
        <w:spacing w:after="160" w:line="259" w:lineRule="auto"/>
        <w:rPr>
          <w:rFonts w:asciiTheme="minorHAnsi" w:eastAsiaTheme="minorEastAsia" w:hAnsiTheme="minorHAnsi" w:cstheme="minorHAnsi"/>
          <w:kern w:val="2"/>
          <w:sz w:val="22"/>
          <w:szCs w:val="22"/>
          <w:lang w:val="en-GB" w:eastAsia="zh-CN"/>
          <w14:ligatures w14:val="standardContextual"/>
        </w:rPr>
      </w:pPr>
      <w:r w:rsidRPr="00923179">
        <w:rPr>
          <w:rFonts w:asciiTheme="minorHAnsi" w:eastAsiaTheme="minorEastAsia" w:hAnsiTheme="minorHAnsi" w:cstheme="minorHAnsi"/>
          <w:noProof/>
          <w:kern w:val="2"/>
          <w:sz w:val="22"/>
          <w:szCs w:val="22"/>
          <w:lang w:val="en-GB" w:eastAsia="zh-CN"/>
          <w14:ligatures w14:val="standardContextual"/>
        </w:rPr>
        <w:drawing>
          <wp:inline distT="0" distB="0" distL="0" distR="0" wp14:anchorId="34D9E76D" wp14:editId="26900143">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67B4D6BC" w14:textId="226FF4BD" w:rsidR="00923179" w:rsidRDefault="00923179" w:rsidP="00923179">
      <w:pPr>
        <w:spacing w:after="160" w:line="259" w:lineRule="auto"/>
        <w:jc w:val="center"/>
        <w:rPr>
          <w:rFonts w:asciiTheme="minorHAnsi" w:eastAsiaTheme="minorEastAsia" w:hAnsiTheme="minorHAnsi" w:cstheme="minorHAnsi"/>
          <w:b/>
          <w:bCs/>
          <w:color w:val="FF0000"/>
          <w:kern w:val="2"/>
          <w:sz w:val="56"/>
          <w:szCs w:val="56"/>
          <w:lang w:val="en-GB" w:eastAsia="zh-CN"/>
          <w14:ligatures w14:val="standardContextual"/>
        </w:rPr>
      </w:pPr>
    </w:p>
    <w:p w14:paraId="4DF0467D" w14:textId="77777777" w:rsidR="00FA1D42" w:rsidRPr="00923179" w:rsidRDefault="00FA1D42" w:rsidP="00923179">
      <w:pPr>
        <w:spacing w:after="160" w:line="259" w:lineRule="auto"/>
        <w:jc w:val="center"/>
        <w:rPr>
          <w:rFonts w:asciiTheme="minorHAnsi" w:eastAsiaTheme="minorEastAsia" w:hAnsiTheme="minorHAnsi" w:cstheme="minorHAnsi"/>
          <w:b/>
          <w:bCs/>
          <w:color w:val="FF0000"/>
          <w:kern w:val="2"/>
          <w:sz w:val="56"/>
          <w:szCs w:val="56"/>
          <w:lang w:val="en-GB" w:eastAsia="zh-CN"/>
          <w14:ligatures w14:val="standardContextual"/>
        </w:rPr>
      </w:pPr>
    </w:p>
    <w:p w14:paraId="1F9EC8EF" w14:textId="77777777" w:rsidR="00923179" w:rsidRPr="00923179" w:rsidRDefault="00923179" w:rsidP="00923179">
      <w:pPr>
        <w:spacing w:after="160" w:line="259" w:lineRule="auto"/>
        <w:rPr>
          <w:rFonts w:asciiTheme="minorHAnsi" w:eastAsiaTheme="minorEastAsia" w:hAnsiTheme="minorHAnsi" w:cstheme="minorHAnsi"/>
          <w:kern w:val="2"/>
          <w:sz w:val="22"/>
          <w:szCs w:val="22"/>
          <w:lang w:val="en-GB" w:eastAsia="zh-CN"/>
          <w14:ligatures w14:val="standardContextual"/>
        </w:rPr>
      </w:pPr>
    </w:p>
    <w:p w14:paraId="298F3C1D" w14:textId="77777777" w:rsidR="00923179" w:rsidRPr="00923179" w:rsidRDefault="00923179" w:rsidP="00923179">
      <w:pPr>
        <w:spacing w:after="160" w:line="259" w:lineRule="auto"/>
        <w:rPr>
          <w:rFonts w:asciiTheme="minorHAnsi" w:eastAsiaTheme="minorEastAsia" w:hAnsiTheme="minorHAnsi" w:cstheme="minorHAnsi"/>
          <w:kern w:val="2"/>
          <w:sz w:val="22"/>
          <w:szCs w:val="22"/>
          <w:lang w:val="en-GB" w:eastAsia="zh-CN"/>
          <w14:ligatures w14:val="standardContextual"/>
        </w:rPr>
      </w:pPr>
    </w:p>
    <w:p w14:paraId="7701DC5B" w14:textId="77777777" w:rsidR="00923179" w:rsidRPr="00923179" w:rsidRDefault="00923179" w:rsidP="00923179">
      <w:pPr>
        <w:spacing w:after="160" w:line="259" w:lineRule="auto"/>
        <w:rPr>
          <w:rFonts w:asciiTheme="minorHAnsi" w:eastAsiaTheme="minorEastAsia" w:hAnsiTheme="minorHAnsi" w:cstheme="minorHAnsi"/>
          <w:kern w:val="2"/>
          <w:sz w:val="22"/>
          <w:szCs w:val="22"/>
          <w:lang w:val="en-GB" w:eastAsia="zh-CN"/>
          <w14:ligatures w14:val="standardContextual"/>
        </w:rPr>
      </w:pPr>
    </w:p>
    <w:p w14:paraId="1D6F7543" w14:textId="77777777" w:rsidR="00923179" w:rsidRPr="00923179" w:rsidRDefault="00923179" w:rsidP="00923179">
      <w:pPr>
        <w:spacing w:after="160" w:line="259" w:lineRule="auto"/>
        <w:rPr>
          <w:rFonts w:asciiTheme="minorHAnsi" w:eastAsiaTheme="minorEastAsia" w:hAnsiTheme="minorHAnsi" w:cstheme="minorHAnsi"/>
          <w:kern w:val="2"/>
          <w:sz w:val="22"/>
          <w:szCs w:val="22"/>
          <w:lang w:val="en-GB" w:eastAsia="zh-CN"/>
          <w14:ligatures w14:val="standardContextual"/>
        </w:rPr>
      </w:pPr>
    </w:p>
    <w:p w14:paraId="57F25BE3" w14:textId="4935E951" w:rsidR="00923179" w:rsidRPr="00923179" w:rsidRDefault="00923179" w:rsidP="00923179">
      <w:pPr>
        <w:spacing w:after="160" w:line="259" w:lineRule="auto"/>
        <w:jc w:val="center"/>
        <w:rPr>
          <w:rFonts w:asciiTheme="minorHAnsi" w:eastAsiaTheme="minorEastAsia" w:hAnsiTheme="minorHAnsi" w:cstheme="minorHAnsi"/>
          <w:b/>
          <w:bCs/>
          <w:kern w:val="2"/>
          <w:sz w:val="96"/>
          <w:szCs w:val="96"/>
          <w:lang w:val="en-GB" w:eastAsia="zh-CN"/>
          <w14:ligatures w14:val="standardContextual"/>
        </w:rPr>
      </w:pPr>
      <w:r w:rsidRPr="00923179">
        <w:rPr>
          <w:rFonts w:asciiTheme="minorHAnsi" w:eastAsiaTheme="minorEastAsia" w:hAnsiTheme="minorHAnsi" w:cstheme="minorHAnsi"/>
          <w:b/>
          <w:bCs/>
          <w:kern w:val="2"/>
          <w:sz w:val="96"/>
          <w:szCs w:val="96"/>
          <w:lang w:val="en-GB" w:eastAsia="zh-CN"/>
          <w14:ligatures w14:val="standardContextual"/>
        </w:rPr>
        <w:t xml:space="preserve"> </w:t>
      </w:r>
    </w:p>
    <w:p w14:paraId="07BBF76C" w14:textId="77777777" w:rsidR="00923179" w:rsidRPr="00923179" w:rsidRDefault="00923179" w:rsidP="00923179">
      <w:pPr>
        <w:spacing w:after="160" w:line="259" w:lineRule="auto"/>
        <w:jc w:val="center"/>
        <w:rPr>
          <w:rFonts w:asciiTheme="minorHAnsi" w:eastAsiaTheme="minorEastAsia" w:hAnsiTheme="minorHAnsi" w:cstheme="minorHAnsi"/>
          <w:kern w:val="2"/>
          <w:sz w:val="56"/>
          <w:szCs w:val="56"/>
          <w:lang w:val="en-GB" w:eastAsia="zh-CN"/>
          <w14:ligatures w14:val="standardContextual"/>
        </w:rPr>
      </w:pPr>
    </w:p>
    <w:p w14:paraId="510FA98C" w14:textId="77777777" w:rsidR="00923179" w:rsidRPr="00923179" w:rsidRDefault="00923179" w:rsidP="00923179">
      <w:pPr>
        <w:spacing w:after="160" w:line="259" w:lineRule="auto"/>
        <w:jc w:val="center"/>
        <w:rPr>
          <w:rFonts w:asciiTheme="minorHAnsi" w:eastAsiaTheme="minorEastAsia" w:hAnsiTheme="minorHAnsi" w:cstheme="minorHAnsi"/>
          <w:kern w:val="2"/>
          <w:sz w:val="96"/>
          <w:szCs w:val="96"/>
          <w:lang w:val="en-GB" w:eastAsia="zh-CN"/>
          <w14:ligatures w14:val="standardContextual"/>
        </w:rPr>
      </w:pPr>
    </w:p>
    <w:p w14:paraId="60E84C5B" w14:textId="30DA6A4F" w:rsidR="00923179" w:rsidRPr="00923179" w:rsidRDefault="00923179" w:rsidP="00923179">
      <w:pPr>
        <w:spacing w:after="160" w:line="259" w:lineRule="auto"/>
        <w:rPr>
          <w:rFonts w:asciiTheme="minorHAnsi" w:eastAsiaTheme="minorEastAsia" w:hAnsiTheme="minorHAnsi" w:cstheme="minorHAnsi"/>
          <w:kern w:val="2"/>
          <w:sz w:val="36"/>
          <w:szCs w:val="36"/>
          <w:lang w:val="en-GB" w:eastAsia="zh-CN"/>
          <w14:ligatures w14:val="standardContextual"/>
        </w:rPr>
      </w:pPr>
      <w:r w:rsidRPr="00923179">
        <w:rPr>
          <w:rFonts w:asciiTheme="minorHAnsi" w:eastAsiaTheme="minorEastAsia" w:hAnsiTheme="minorHAnsi" w:cstheme="minorHAnsi"/>
          <w:kern w:val="2"/>
          <w:sz w:val="36"/>
          <w:szCs w:val="36"/>
          <w:lang w:val="en-GB" w:eastAsia="zh-CN"/>
          <w14:ligatures w14:val="standardContextual"/>
        </w:rPr>
        <w:t xml:space="preserve">Student Name: </w:t>
      </w:r>
      <w:r w:rsidR="00F31C4F">
        <w:rPr>
          <w:rFonts w:asciiTheme="minorHAnsi" w:eastAsiaTheme="minorEastAsia" w:hAnsiTheme="minorHAnsi" w:cstheme="minorHAnsi"/>
          <w:kern w:val="2"/>
          <w:sz w:val="36"/>
          <w:szCs w:val="36"/>
          <w:lang w:val="en-GB" w:eastAsia="zh-CN"/>
          <w14:ligatures w14:val="standardContextual"/>
        </w:rPr>
        <w:t>Anastasiia Myk</w:t>
      </w:r>
      <w:r w:rsidR="00E13946">
        <w:rPr>
          <w:rFonts w:asciiTheme="minorHAnsi" w:eastAsiaTheme="minorEastAsia" w:hAnsiTheme="minorHAnsi" w:cstheme="minorHAnsi"/>
          <w:kern w:val="2"/>
          <w:sz w:val="36"/>
          <w:szCs w:val="36"/>
          <w:lang w:val="en-GB" w:eastAsia="zh-CN"/>
          <w14:ligatures w14:val="standardContextual"/>
        </w:rPr>
        <w:t>olaichuk</w:t>
      </w:r>
    </w:p>
    <w:p w14:paraId="4AC6197F" w14:textId="6071E784" w:rsidR="00923179" w:rsidRPr="00923179" w:rsidRDefault="00923179" w:rsidP="00923179">
      <w:pPr>
        <w:spacing w:after="160" w:line="259" w:lineRule="auto"/>
        <w:rPr>
          <w:rFonts w:asciiTheme="minorHAnsi" w:eastAsiaTheme="minorEastAsia" w:hAnsiTheme="minorHAnsi" w:cstheme="minorHAnsi"/>
          <w:kern w:val="2"/>
          <w:sz w:val="36"/>
          <w:szCs w:val="36"/>
          <w:lang w:val="en-GB" w:eastAsia="zh-CN"/>
          <w14:ligatures w14:val="standardContextual"/>
        </w:rPr>
      </w:pPr>
      <w:r w:rsidRPr="00923179">
        <w:rPr>
          <w:rFonts w:asciiTheme="minorHAnsi" w:eastAsiaTheme="minorEastAsia" w:hAnsiTheme="minorHAnsi" w:cstheme="minorHAnsi"/>
          <w:kern w:val="2"/>
          <w:sz w:val="36"/>
          <w:szCs w:val="36"/>
          <w:lang w:val="en-GB" w:eastAsia="zh-CN"/>
          <w14:ligatures w14:val="standardContextual"/>
        </w:rPr>
        <w:t>Student ID:</w:t>
      </w:r>
      <w:r w:rsidR="00F93E39">
        <w:rPr>
          <w:rFonts w:asciiTheme="minorHAnsi" w:eastAsiaTheme="minorEastAsia" w:hAnsiTheme="minorHAnsi" w:cstheme="minorHAnsi"/>
          <w:kern w:val="2"/>
          <w:sz w:val="36"/>
          <w:szCs w:val="36"/>
          <w:lang w:val="en-GB" w:eastAsia="zh-CN"/>
          <w14:ligatures w14:val="standardContextual"/>
        </w:rPr>
        <w:t xml:space="preserve"> </w:t>
      </w:r>
      <w:r w:rsidR="00311F6F">
        <w:rPr>
          <w:rFonts w:asciiTheme="minorHAnsi" w:eastAsiaTheme="minorEastAsia" w:hAnsiTheme="minorHAnsi" w:cstheme="minorHAnsi"/>
          <w:kern w:val="2"/>
          <w:sz w:val="36"/>
          <w:szCs w:val="36"/>
          <w:lang w:val="en-GB" w:eastAsia="zh-CN"/>
          <w14:ligatures w14:val="standardContextual"/>
        </w:rPr>
        <w:t>2439</w:t>
      </w:r>
      <w:r w:rsidR="007E372D">
        <w:rPr>
          <w:rFonts w:asciiTheme="minorHAnsi" w:eastAsiaTheme="minorEastAsia" w:hAnsiTheme="minorHAnsi" w:cstheme="minorHAnsi"/>
          <w:kern w:val="2"/>
          <w:sz w:val="36"/>
          <w:szCs w:val="36"/>
          <w:lang w:val="en-GB" w:eastAsia="zh-CN"/>
          <w14:ligatures w14:val="standardContextual"/>
        </w:rPr>
        <w:t>665</w:t>
      </w:r>
    </w:p>
    <w:p w14:paraId="2CCD0032" w14:textId="684D1573" w:rsidR="00923179" w:rsidRPr="00923179" w:rsidRDefault="00923179" w:rsidP="00923179">
      <w:pPr>
        <w:spacing w:after="160" w:line="259" w:lineRule="auto"/>
        <w:rPr>
          <w:rFonts w:asciiTheme="minorHAnsi" w:eastAsiaTheme="minorEastAsia" w:hAnsiTheme="minorHAnsi" w:cstheme="minorHAnsi"/>
          <w:kern w:val="2"/>
          <w:sz w:val="36"/>
          <w:szCs w:val="36"/>
          <w:lang w:val="en-GB" w:eastAsia="zh-CN"/>
          <w14:ligatures w14:val="standardContextual"/>
        </w:rPr>
      </w:pPr>
      <w:r w:rsidRPr="00923179">
        <w:rPr>
          <w:rFonts w:asciiTheme="minorHAnsi" w:eastAsiaTheme="minorEastAsia" w:hAnsiTheme="minorHAnsi" w:cstheme="minorHAnsi"/>
          <w:kern w:val="2"/>
          <w:sz w:val="36"/>
          <w:szCs w:val="36"/>
          <w:lang w:val="en-GB" w:eastAsia="zh-CN"/>
          <w14:ligatures w14:val="standardContextual"/>
        </w:rPr>
        <w:t>Module Code: LCLM40</w:t>
      </w:r>
      <w:r w:rsidR="00735941">
        <w:rPr>
          <w:rFonts w:asciiTheme="minorHAnsi" w:eastAsiaTheme="minorEastAsia" w:hAnsiTheme="minorHAnsi" w:cstheme="minorHAnsi"/>
          <w:kern w:val="2"/>
          <w:sz w:val="36"/>
          <w:szCs w:val="36"/>
          <w:lang w:val="en-GB" w:eastAsia="zh-CN"/>
          <w14:ligatures w14:val="standardContextual"/>
        </w:rPr>
        <w:t>05</w:t>
      </w:r>
    </w:p>
    <w:p w14:paraId="4F8D3696" w14:textId="54877C10" w:rsidR="00923179" w:rsidRDefault="00923179" w:rsidP="00923179">
      <w:pPr>
        <w:spacing w:after="160" w:line="259" w:lineRule="auto"/>
        <w:rPr>
          <w:rFonts w:asciiTheme="minorHAnsi" w:eastAsiaTheme="minorEastAsia" w:hAnsiTheme="minorHAnsi" w:cstheme="minorHAnsi"/>
          <w:kern w:val="2"/>
          <w:sz w:val="36"/>
          <w:szCs w:val="36"/>
          <w:lang w:val="en-GB" w:eastAsia="zh-CN"/>
          <w14:ligatures w14:val="standardContextual"/>
        </w:rPr>
      </w:pPr>
      <w:r w:rsidRPr="00923179">
        <w:rPr>
          <w:rFonts w:asciiTheme="minorHAnsi" w:eastAsiaTheme="minorEastAsia" w:hAnsiTheme="minorHAnsi" w:cstheme="minorHAnsi"/>
          <w:kern w:val="2"/>
          <w:sz w:val="36"/>
          <w:szCs w:val="36"/>
          <w:lang w:val="en-GB" w:eastAsia="zh-CN"/>
          <w14:ligatures w14:val="standardContextual"/>
        </w:rPr>
        <w:t xml:space="preserve">Module: </w:t>
      </w:r>
      <w:r w:rsidR="007006BE">
        <w:rPr>
          <w:rFonts w:asciiTheme="minorHAnsi" w:eastAsiaTheme="minorEastAsia" w:hAnsiTheme="minorHAnsi" w:cstheme="minorHAnsi"/>
          <w:kern w:val="2"/>
          <w:sz w:val="36"/>
          <w:szCs w:val="36"/>
          <w:lang w:val="en-GB" w:eastAsia="zh-CN"/>
          <w14:ligatures w14:val="standardContextual"/>
        </w:rPr>
        <w:t>E</w:t>
      </w:r>
      <w:r w:rsidR="009415F2">
        <w:rPr>
          <w:rFonts w:asciiTheme="minorHAnsi" w:eastAsiaTheme="minorEastAsia" w:hAnsiTheme="minorHAnsi" w:cstheme="minorHAnsi"/>
          <w:kern w:val="2"/>
          <w:sz w:val="36"/>
          <w:szCs w:val="36"/>
          <w:lang w:val="en-GB" w:eastAsia="zh-CN"/>
          <w14:ligatures w14:val="standardContextual"/>
        </w:rPr>
        <w:t xml:space="preserve">mployability and </w:t>
      </w:r>
      <w:r w:rsidR="009D6E96">
        <w:rPr>
          <w:rFonts w:asciiTheme="minorHAnsi" w:eastAsiaTheme="minorEastAsia" w:hAnsiTheme="minorHAnsi" w:cstheme="minorHAnsi"/>
          <w:kern w:val="2"/>
          <w:sz w:val="36"/>
          <w:szCs w:val="36"/>
          <w:lang w:val="uk-UA" w:eastAsia="zh-CN"/>
          <w14:ligatures w14:val="standardContextual"/>
        </w:rPr>
        <w:t>С</w:t>
      </w:r>
      <w:r w:rsidR="009415F2">
        <w:rPr>
          <w:rFonts w:asciiTheme="minorHAnsi" w:eastAsiaTheme="minorEastAsia" w:hAnsiTheme="minorHAnsi" w:cstheme="minorHAnsi"/>
          <w:kern w:val="2"/>
          <w:sz w:val="36"/>
          <w:szCs w:val="36"/>
          <w:lang w:val="en-GB" w:eastAsia="zh-CN"/>
          <w14:ligatures w14:val="standardContextual"/>
        </w:rPr>
        <w:t xml:space="preserve">areer </w:t>
      </w:r>
      <w:r w:rsidR="00711B84">
        <w:rPr>
          <w:rFonts w:asciiTheme="minorHAnsi" w:eastAsiaTheme="minorEastAsia" w:hAnsiTheme="minorHAnsi" w:cstheme="minorHAnsi"/>
          <w:kern w:val="2"/>
          <w:sz w:val="36"/>
          <w:szCs w:val="36"/>
          <w:lang w:val="en-US" w:eastAsia="zh-CN"/>
          <w14:ligatures w14:val="standardContextual"/>
        </w:rPr>
        <w:t>D</w:t>
      </w:r>
      <w:r w:rsidR="009415F2">
        <w:rPr>
          <w:rFonts w:asciiTheme="minorHAnsi" w:eastAsiaTheme="minorEastAsia" w:hAnsiTheme="minorHAnsi" w:cstheme="minorHAnsi"/>
          <w:kern w:val="2"/>
          <w:sz w:val="36"/>
          <w:szCs w:val="36"/>
          <w:lang w:val="en-GB" w:eastAsia="zh-CN"/>
          <w14:ligatures w14:val="standardContextual"/>
        </w:rPr>
        <w:t>evelopment</w:t>
      </w:r>
    </w:p>
    <w:p w14:paraId="7D5870EF" w14:textId="4EFFFB24" w:rsidR="00923179" w:rsidRPr="008265B0" w:rsidRDefault="008265B0" w:rsidP="008265B0">
      <w:pPr>
        <w:spacing w:after="160" w:line="259" w:lineRule="auto"/>
        <w:rPr>
          <w:rFonts w:asciiTheme="minorHAnsi" w:eastAsiaTheme="minorEastAsia" w:hAnsiTheme="minorHAnsi" w:cstheme="minorHAnsi"/>
          <w:kern w:val="2"/>
          <w:sz w:val="36"/>
          <w:szCs w:val="36"/>
          <w:lang w:val="en-GB" w:eastAsia="zh-CN"/>
          <w14:ligatures w14:val="standardContextual"/>
        </w:rPr>
      </w:pPr>
      <w:r>
        <w:rPr>
          <w:rFonts w:asciiTheme="minorHAnsi" w:eastAsiaTheme="minorEastAsia" w:hAnsiTheme="minorHAnsi" w:cstheme="minorHAnsi"/>
          <w:kern w:val="2"/>
          <w:sz w:val="36"/>
          <w:szCs w:val="36"/>
          <w:lang w:val="en-GB" w:eastAsia="zh-CN"/>
          <w14:ligatures w14:val="standardContextual"/>
        </w:rPr>
        <w:t xml:space="preserve">Lecturer: </w:t>
      </w:r>
      <w:proofErr w:type="spellStart"/>
      <w:r w:rsidR="00D02A96" w:rsidRPr="00D02A96">
        <w:rPr>
          <w:rFonts w:asciiTheme="minorHAnsi" w:eastAsiaTheme="minorEastAsia" w:hAnsiTheme="minorHAnsi" w:cstheme="minorHAnsi"/>
          <w:kern w:val="2"/>
          <w:sz w:val="36"/>
          <w:szCs w:val="36"/>
          <w:lang w:val="en-GB" w:eastAsia="zh-CN"/>
          <w14:ligatures w14:val="standardContextual"/>
        </w:rPr>
        <w:t>Inderjit</w:t>
      </w:r>
      <w:proofErr w:type="spellEnd"/>
      <w:r w:rsidR="00D02A96" w:rsidRPr="00D02A96">
        <w:rPr>
          <w:rFonts w:asciiTheme="minorHAnsi" w:eastAsiaTheme="minorEastAsia" w:hAnsiTheme="minorHAnsi" w:cstheme="minorHAnsi"/>
          <w:kern w:val="2"/>
          <w:sz w:val="36"/>
          <w:szCs w:val="36"/>
          <w:lang w:val="en-GB" w:eastAsia="zh-CN"/>
          <w14:ligatures w14:val="standardContextual"/>
        </w:rPr>
        <w:t xml:space="preserve"> </w:t>
      </w:r>
      <w:proofErr w:type="spellStart"/>
      <w:r w:rsidR="00D02A96" w:rsidRPr="00D02A96">
        <w:rPr>
          <w:rFonts w:asciiTheme="minorHAnsi" w:eastAsiaTheme="minorEastAsia" w:hAnsiTheme="minorHAnsi" w:cstheme="minorHAnsi"/>
          <w:kern w:val="2"/>
          <w:sz w:val="36"/>
          <w:szCs w:val="36"/>
          <w:lang w:val="en-GB" w:eastAsia="zh-CN"/>
          <w14:ligatures w14:val="standardContextual"/>
        </w:rPr>
        <w:t>Grewal</w:t>
      </w:r>
      <w:proofErr w:type="spellEnd"/>
    </w:p>
    <w:p w14:paraId="7E9C8A8C" w14:textId="77777777" w:rsidR="00923179" w:rsidRDefault="00923179">
      <w:pPr>
        <w:spacing w:before="300" w:after="150"/>
        <w:rPr>
          <w:b/>
          <w:bCs/>
          <w:color w:val="1F3864"/>
          <w:sz w:val="26"/>
          <w:szCs w:val="26"/>
        </w:rPr>
      </w:pPr>
    </w:p>
    <w:p w14:paraId="1D88853D" w14:textId="77777777" w:rsidR="007006BE" w:rsidRDefault="007006BE">
      <w:pPr>
        <w:spacing w:before="300" w:after="150"/>
        <w:rPr>
          <w:b/>
          <w:bCs/>
          <w:color w:val="1F3864"/>
          <w:sz w:val="26"/>
          <w:szCs w:val="26"/>
        </w:rPr>
      </w:pPr>
    </w:p>
    <w:p w14:paraId="7190AAB3" w14:textId="77777777" w:rsidR="00923179" w:rsidRDefault="00923179">
      <w:pPr>
        <w:spacing w:before="300" w:after="150"/>
        <w:rPr>
          <w:b/>
          <w:bCs/>
          <w:color w:val="1F3864"/>
          <w:sz w:val="26"/>
          <w:szCs w:val="26"/>
        </w:rPr>
      </w:pPr>
    </w:p>
    <w:p w14:paraId="7042C383" w14:textId="567C1724" w:rsidR="00177DEF" w:rsidRDefault="00000000">
      <w:pPr>
        <w:spacing w:before="300" w:after="150"/>
      </w:pPr>
      <w:r>
        <w:rPr>
          <w:b/>
          <w:bCs/>
          <w:color w:val="1F3864"/>
          <w:sz w:val="26"/>
          <w:szCs w:val="26"/>
        </w:rPr>
        <w:t>Task 1: Comparison of Job Advertisements (approximately 400 words)</w:t>
      </w:r>
    </w:p>
    <w:p w14:paraId="4C5367A2" w14:textId="77777777" w:rsidR="00177DEF" w:rsidRDefault="00000000">
      <w:pPr>
        <w:spacing w:before="200" w:after="100"/>
      </w:pPr>
      <w:r>
        <w:rPr>
          <w:b/>
          <w:bCs/>
          <w:color w:val="2E5496"/>
        </w:rPr>
        <w:t>1.1 Overview of Selected Advertisements</w:t>
      </w:r>
    </w:p>
    <w:p w14:paraId="36BB9309" w14:textId="77777777" w:rsidR="00177DEF" w:rsidRDefault="00000000">
      <w:pPr>
        <w:spacing w:after="160"/>
        <w:jc w:val="both"/>
      </w:pPr>
      <w:r>
        <w:t>Two job advertisements for Business Analyst positions were identified and analysed in order to explore the skills and knowledge required for this profession. The advertisements were sourced from major UK recruitment platforms and represent entry-to-mid-level roles in large organisations. Examining real job postings is a recognised approach for understanding industry expectations and for aligning personal development with labour market needs (Cottrell, 2019).</w:t>
      </w:r>
    </w:p>
    <w:p w14:paraId="55048A4C" w14:textId="77777777" w:rsidR="00177DEF" w:rsidRDefault="00000000">
      <w:pPr>
        <w:spacing w:before="200" w:after="100"/>
      </w:pPr>
      <w:r>
        <w:rPr>
          <w:b/>
          <w:bCs/>
          <w:color w:val="2E5496"/>
        </w:rPr>
        <w:t>1.2 Advertisement 1 – Business Analyst, Accenture (London)</w:t>
      </w:r>
    </w:p>
    <w:p w14:paraId="2A3A7122" w14:textId="77777777" w:rsidR="00177DEF" w:rsidRDefault="00000000">
      <w:pPr>
        <w:spacing w:after="160"/>
        <w:jc w:val="both"/>
      </w:pPr>
      <w:r>
        <w:t>The first advertisement, published by Accenture, described a Business Analyst position within a management consulting team. The role required strong analytical and problem-solving skills, experience with data modelling and process mapping, proficiency in tools such as Microsoft Excel and SQL, and the ability to present findings clearly to senior stakeholders. The posting also emphasised that excellent written and verbal communication is essential, as analysts must regularly translate complex technical information into accessible insights for non-specialist audiences (Accenture, 2024).</w:t>
      </w:r>
    </w:p>
    <w:p w14:paraId="1F12F1EE" w14:textId="77777777" w:rsidR="00177DEF" w:rsidRDefault="00000000">
      <w:pPr>
        <w:spacing w:before="200" w:after="100"/>
      </w:pPr>
      <w:r>
        <w:rPr>
          <w:b/>
          <w:bCs/>
          <w:color w:val="2E5496"/>
        </w:rPr>
        <w:t>1.3 Advertisement 2 – Junior Business Analyst, HSBC (Birmingham)</w:t>
      </w:r>
    </w:p>
    <w:p w14:paraId="34D8035D" w14:textId="77777777" w:rsidR="00177DEF" w:rsidRDefault="00000000">
      <w:pPr>
        <w:spacing w:after="160"/>
        <w:jc w:val="both"/>
      </w:pPr>
      <w:r>
        <w:t>The second advertisement, issued by HSBC, described a Junior Business Analyst role within the bank's digital transformation division. Key requirements included the ability to gather and document business requirements, conduct stakeholder interviews, produce structured reports, and facilitate workshops. Consistent with the first advertisement, HSBC also listed communication as a core competency, specifically highlighting the need to convey technical information clearly to non-technical colleagues and to manage multiple priorities under pressure (HSBC, 2024).</w:t>
      </w:r>
    </w:p>
    <w:p w14:paraId="5E05E0B3" w14:textId="77777777" w:rsidR="00177DEF" w:rsidRDefault="00000000">
      <w:pPr>
        <w:spacing w:before="200" w:after="100"/>
      </w:pPr>
      <w:r>
        <w:rPr>
          <w:b/>
          <w:bCs/>
          <w:color w:val="2E5496"/>
        </w:rPr>
        <w:t>1.4 Common Skills and Selected Skill: Communication</w:t>
      </w:r>
    </w:p>
    <w:p w14:paraId="228A0BAB" w14:textId="77777777" w:rsidR="00177DEF" w:rsidRDefault="00000000">
      <w:pPr>
        <w:spacing w:after="160"/>
        <w:jc w:val="both"/>
      </w:pPr>
      <w:r>
        <w:t>Both advertisements identified communication as a primary requirement. Other shared competencies included analytical thinking, stakeholder management, and documentation skills. Communication was selected as the focus skill for this task because it underpins every other activity in business analysis. According to Rogelberg (2018), communication is the bridge between business problems and technical solutions — without it, even thorough analysis cannot produce actionable results. Doran (1981) further notes that clearly articulated goals and findings, which are a direct product of strong communication skills, are essential for achieving measurable professional outcomes. In practice, a Business Analyst who is unable to communicate requirements precisely risks misaligned project deliverables, delays, and stakeholder dissatisfaction. For these reasons, developing communication is not merely a personal preference but a professional necessity for anyone seeking to succeed in this field.</w:t>
      </w:r>
    </w:p>
    <w:p w14:paraId="24EE7464" w14:textId="77777777" w:rsidR="00177DEF" w:rsidRDefault="00000000">
      <w:r>
        <w:br w:type="page"/>
      </w:r>
    </w:p>
    <w:p w14:paraId="6AF3EEED" w14:textId="77777777" w:rsidR="00177DEF" w:rsidRDefault="00000000">
      <w:pPr>
        <w:spacing w:before="300" w:after="150"/>
      </w:pPr>
      <w:r>
        <w:rPr>
          <w:b/>
          <w:bCs/>
          <w:color w:val="1F3864"/>
          <w:sz w:val="26"/>
          <w:szCs w:val="26"/>
        </w:rPr>
        <w:lastRenderedPageBreak/>
        <w:t>Task 2: Self-Assessment and Evidence of Readiness (approximately 800 words)</w:t>
      </w:r>
    </w:p>
    <w:p w14:paraId="2B21E8B2" w14:textId="77777777" w:rsidR="00177DEF" w:rsidRDefault="00000000">
      <w:pPr>
        <w:spacing w:before="200" w:after="100"/>
      </w:pPr>
      <w:r>
        <w:rPr>
          <w:b/>
          <w:bCs/>
          <w:color w:val="2E5496"/>
        </w:rPr>
        <w:t>2.1 Self-Assessment Using SWOT Analysis</w:t>
      </w:r>
    </w:p>
    <w:p w14:paraId="4EE8AC09" w14:textId="77777777" w:rsidR="00177DEF" w:rsidRDefault="00000000">
      <w:pPr>
        <w:spacing w:after="160"/>
        <w:jc w:val="both"/>
      </w:pPr>
      <w:r>
        <w:t>In order to assess personal readiness for a career as a Business Analyst, a SWOT analysis was conducted. The SWOT framework — which examines Strengths, Weaknesses, Opportunities, and Threats — is widely used in professional development contexts to provide a structured and honest reflection of one's current situation (Cottrell, 2019). The analysis below is based on academic experience, personal reflection, and feedback received from lecturers and peers throughout this programme.</w:t>
      </w:r>
    </w:p>
    <w:p w14:paraId="4F1CB806" w14:textId="77777777" w:rsidR="00177DEF" w:rsidRDefault="00000000">
      <w:pPr>
        <w:spacing w:before="160" w:after="100"/>
      </w:pPr>
      <w:r>
        <w:rPr>
          <w:b/>
          <w:bCs/>
        </w:rPr>
        <w:t>Table 1: SWOT Analysis</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513"/>
        <w:gridCol w:w="4513"/>
      </w:tblGrid>
      <w:tr w:rsidR="00177DEF" w14:paraId="7717CF46" w14:textId="77777777">
        <w:tblPrEx>
          <w:tblCellMar>
            <w:top w:w="0" w:type="dxa"/>
            <w:bottom w:w="0" w:type="dxa"/>
          </w:tblCellMar>
        </w:tblPrEx>
        <w:tc>
          <w:tcPr>
            <w:tcW w:w="4513" w:type="dxa"/>
            <w:tcBorders>
              <w:top w:val="single" w:sz="1" w:space="0" w:color="AAAAAA"/>
              <w:left w:val="single" w:sz="1" w:space="0" w:color="AAAAAA"/>
              <w:bottom w:val="single" w:sz="1" w:space="0" w:color="AAAAAA"/>
              <w:right w:val="single" w:sz="1" w:space="0" w:color="AAAAAA"/>
            </w:tcBorders>
            <w:shd w:val="clear" w:color="auto" w:fill="D6E4F0"/>
            <w:tcMar>
              <w:top w:w="80" w:type="dxa"/>
              <w:left w:w="120" w:type="dxa"/>
              <w:bottom w:w="80" w:type="dxa"/>
              <w:right w:w="120" w:type="dxa"/>
            </w:tcMar>
            <w:vAlign w:val="center"/>
          </w:tcPr>
          <w:p w14:paraId="1BCCA775" w14:textId="77777777" w:rsidR="00177DEF" w:rsidRDefault="00000000">
            <w:r>
              <w:rPr>
                <w:b/>
                <w:bCs/>
                <w:sz w:val="22"/>
                <w:szCs w:val="22"/>
              </w:rPr>
              <w:t>STRENGTHS</w:t>
            </w:r>
          </w:p>
        </w:tc>
        <w:tc>
          <w:tcPr>
            <w:tcW w:w="4513" w:type="dxa"/>
            <w:tcBorders>
              <w:top w:val="single" w:sz="1" w:space="0" w:color="AAAAAA"/>
              <w:left w:val="single" w:sz="1" w:space="0" w:color="AAAAAA"/>
              <w:bottom w:val="single" w:sz="1" w:space="0" w:color="AAAAAA"/>
              <w:right w:val="single" w:sz="1" w:space="0" w:color="AAAAAA"/>
            </w:tcBorders>
            <w:shd w:val="clear" w:color="auto" w:fill="FDECEA"/>
            <w:tcMar>
              <w:top w:w="80" w:type="dxa"/>
              <w:left w:w="120" w:type="dxa"/>
              <w:bottom w:w="80" w:type="dxa"/>
              <w:right w:w="120" w:type="dxa"/>
            </w:tcMar>
            <w:vAlign w:val="center"/>
          </w:tcPr>
          <w:p w14:paraId="1540EEDA" w14:textId="77777777" w:rsidR="00177DEF" w:rsidRDefault="00000000">
            <w:r>
              <w:rPr>
                <w:b/>
                <w:bCs/>
                <w:sz w:val="22"/>
                <w:szCs w:val="22"/>
              </w:rPr>
              <w:t>WEAKNESSES</w:t>
            </w:r>
          </w:p>
        </w:tc>
      </w:tr>
      <w:tr w:rsidR="00177DEF" w14:paraId="3418345D" w14:textId="77777777">
        <w:tblPrEx>
          <w:tblCellMar>
            <w:top w:w="0" w:type="dxa"/>
            <w:bottom w:w="0" w:type="dxa"/>
          </w:tblCellMar>
        </w:tblPrEx>
        <w:tc>
          <w:tcPr>
            <w:tcW w:w="4513"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vAlign w:val="center"/>
          </w:tcPr>
          <w:p w14:paraId="6777A577" w14:textId="77777777" w:rsidR="00177DEF" w:rsidRDefault="00000000">
            <w:r>
              <w:rPr>
                <w:sz w:val="22"/>
                <w:szCs w:val="22"/>
              </w:rPr>
              <w:t>- Strong verbal and written communication skills - Ability to collaborate effectively in team environments - Proficiency in Microsoft Office (Excel, Word, PowerPoint) - Analytical mindset developed through academic study - Experience in customer-facing work roles</w:t>
            </w:r>
          </w:p>
        </w:tc>
        <w:tc>
          <w:tcPr>
            <w:tcW w:w="4513"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vAlign w:val="center"/>
          </w:tcPr>
          <w:p w14:paraId="7413BBCA" w14:textId="77777777" w:rsidR="00177DEF" w:rsidRDefault="00000000">
            <w:r>
              <w:rPr>
                <w:sz w:val="22"/>
                <w:szCs w:val="22"/>
              </w:rPr>
              <w:t>- Limited experience with specialist tools (e.g., SQL, Tableau) - No formal project management certification - Confidence when presenting to large audiences needs improvement - Time management under high pressure requires further development</w:t>
            </w:r>
          </w:p>
        </w:tc>
      </w:tr>
      <w:tr w:rsidR="00177DEF" w14:paraId="197881ED" w14:textId="77777777">
        <w:tblPrEx>
          <w:tblCellMar>
            <w:top w:w="0" w:type="dxa"/>
            <w:bottom w:w="0" w:type="dxa"/>
          </w:tblCellMar>
        </w:tblPrEx>
        <w:tc>
          <w:tcPr>
            <w:tcW w:w="4513" w:type="dxa"/>
            <w:tcBorders>
              <w:top w:val="single" w:sz="1" w:space="0" w:color="AAAAAA"/>
              <w:left w:val="single" w:sz="1" w:space="0" w:color="AAAAAA"/>
              <w:bottom w:val="single" w:sz="1" w:space="0" w:color="AAAAAA"/>
              <w:right w:val="single" w:sz="1" w:space="0" w:color="AAAAAA"/>
            </w:tcBorders>
            <w:shd w:val="clear" w:color="auto" w:fill="E8F5E9"/>
            <w:tcMar>
              <w:top w:w="80" w:type="dxa"/>
              <w:left w:w="120" w:type="dxa"/>
              <w:bottom w:w="80" w:type="dxa"/>
              <w:right w:w="120" w:type="dxa"/>
            </w:tcMar>
            <w:vAlign w:val="center"/>
          </w:tcPr>
          <w:p w14:paraId="1F9D908E" w14:textId="77777777" w:rsidR="00177DEF" w:rsidRDefault="00000000">
            <w:r>
              <w:rPr>
                <w:b/>
                <w:bCs/>
                <w:sz w:val="22"/>
                <w:szCs w:val="22"/>
              </w:rPr>
              <w:t>OPPORTUNITIES</w:t>
            </w:r>
          </w:p>
        </w:tc>
        <w:tc>
          <w:tcPr>
            <w:tcW w:w="4513" w:type="dxa"/>
            <w:tcBorders>
              <w:top w:val="single" w:sz="1" w:space="0" w:color="AAAAAA"/>
              <w:left w:val="single" w:sz="1" w:space="0" w:color="AAAAAA"/>
              <w:bottom w:val="single" w:sz="1" w:space="0" w:color="AAAAAA"/>
              <w:right w:val="single" w:sz="1" w:space="0" w:color="AAAAAA"/>
            </w:tcBorders>
            <w:shd w:val="clear" w:color="auto" w:fill="FFF8E1"/>
            <w:tcMar>
              <w:top w:w="80" w:type="dxa"/>
              <w:left w:w="120" w:type="dxa"/>
              <w:bottom w:w="80" w:type="dxa"/>
              <w:right w:w="120" w:type="dxa"/>
            </w:tcMar>
            <w:vAlign w:val="center"/>
          </w:tcPr>
          <w:p w14:paraId="7ABF56F9" w14:textId="77777777" w:rsidR="00177DEF" w:rsidRDefault="00000000">
            <w:r>
              <w:rPr>
                <w:b/>
                <w:bCs/>
                <w:sz w:val="22"/>
                <w:szCs w:val="22"/>
              </w:rPr>
              <w:t>THREATS</w:t>
            </w:r>
          </w:p>
        </w:tc>
      </w:tr>
      <w:tr w:rsidR="00177DEF" w14:paraId="43E03452" w14:textId="77777777">
        <w:tblPrEx>
          <w:tblCellMar>
            <w:top w:w="0" w:type="dxa"/>
            <w:bottom w:w="0" w:type="dxa"/>
          </w:tblCellMar>
        </w:tblPrEx>
        <w:tc>
          <w:tcPr>
            <w:tcW w:w="4513"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vAlign w:val="center"/>
          </w:tcPr>
          <w:p w14:paraId="3F1D1121" w14:textId="77777777" w:rsidR="00177DEF" w:rsidRDefault="00000000">
            <w:r>
              <w:rPr>
                <w:sz w:val="22"/>
                <w:szCs w:val="22"/>
              </w:rPr>
              <w:t>- Growing UK demand for Business Analysts (ONS, 2024) - Access to affordable online certifications (e.g., Google, IIBA) - University career support and professional networking events - Increasing focus on data-driven decision-making across industries</w:t>
            </w:r>
          </w:p>
        </w:tc>
        <w:tc>
          <w:tcPr>
            <w:tcW w:w="4513"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vAlign w:val="center"/>
          </w:tcPr>
          <w:p w14:paraId="5926E306" w14:textId="77777777" w:rsidR="00177DEF" w:rsidRDefault="00000000">
            <w:r>
              <w:rPr>
                <w:sz w:val="22"/>
                <w:szCs w:val="22"/>
              </w:rPr>
              <w:t>- Highly competitive graduate job market - Rapid technological change requires continuous upskilling - Economic uncertainty may reduce hiring budgets in some sectors</w:t>
            </w:r>
          </w:p>
        </w:tc>
      </w:tr>
    </w:tbl>
    <w:p w14:paraId="0B441126" w14:textId="77777777" w:rsidR="00177DEF" w:rsidRDefault="00177DEF">
      <w:pPr>
        <w:spacing w:before="160"/>
      </w:pPr>
    </w:p>
    <w:p w14:paraId="4D528CBC" w14:textId="77777777" w:rsidR="00177DEF" w:rsidRDefault="00000000">
      <w:pPr>
        <w:spacing w:before="200" w:after="100"/>
      </w:pPr>
      <w:r>
        <w:rPr>
          <w:b/>
          <w:bCs/>
          <w:color w:val="2E5496"/>
        </w:rPr>
        <w:t>2.2 Reflection on Strengths</w:t>
      </w:r>
    </w:p>
    <w:p w14:paraId="72EDEF65" w14:textId="77777777" w:rsidR="00177DEF" w:rsidRDefault="00000000">
      <w:pPr>
        <w:spacing w:after="160"/>
        <w:jc w:val="both"/>
      </w:pPr>
      <w:r>
        <w:t>The most significant personal strength identified through this self-assessment is communication. Throughout this programme, consistent positive feedback from lecturers has confirmed the ability to express ideas clearly and to engage constructively in academic discussions. Cottrell (2019) argues that self-awareness of one's strengths is a foundational step in professional development, as it enables individuals to deploy those strengths strategically in a working environment. In prior customer-facing employment, communication skills were applied on a daily basis — listening carefully to client needs, resolving issues under pressure, and conveying information accurately and concisely. These experiences have built both confidence and practical competence in interpersonal communication, which aligns directly with the requirements identified in both job advertisements reviewed in Task 1.</w:t>
      </w:r>
    </w:p>
    <w:p w14:paraId="2D05F37F" w14:textId="77777777" w:rsidR="00177DEF" w:rsidRDefault="00000000">
      <w:pPr>
        <w:spacing w:after="160"/>
        <w:jc w:val="both"/>
      </w:pPr>
      <w:r>
        <w:t xml:space="preserve">The ability to work collaboratively was also demonstrated through several group projects undertaken during this programme. Belbin (2010) notes that understanding one's role within a team and communicating effectively with colleagues of different backgrounds and expertise is a critical transferable skill that is consistently valued by employers. This strength provides a strong foundation for a Business Analyst role, in </w:t>
      </w:r>
      <w:r>
        <w:lastRenderedPageBreak/>
        <w:t>which cross-functional teamwork and relationship management are central daily activities.</w:t>
      </w:r>
    </w:p>
    <w:p w14:paraId="585B2813" w14:textId="77777777" w:rsidR="00177DEF" w:rsidRDefault="00000000">
      <w:pPr>
        <w:spacing w:before="200" w:after="100"/>
      </w:pPr>
      <w:r>
        <w:rPr>
          <w:b/>
          <w:bCs/>
          <w:color w:val="2E5496"/>
        </w:rPr>
        <w:t>2.3 Reflection on Weaknesses and Areas for Development</w:t>
      </w:r>
    </w:p>
    <w:p w14:paraId="3C1D520B" w14:textId="77777777" w:rsidR="00177DEF" w:rsidRDefault="00000000">
      <w:pPr>
        <w:spacing w:after="160"/>
        <w:jc w:val="both"/>
      </w:pPr>
      <w:r>
        <w:t>While the strengths identified above provide a solid professional foundation, this self-assessment also revealed important areas requiring further development. Most notably, limited technical proficiency — particularly in tools such as SQL and data visualisation software like Tableau — represents a clear gap relative to the expectations outlined in both job advertisements. According to the International Institute of Business Analysis (IIBA, 2015), technical literacy is increasingly expected of practising Business Analysts, particularly within data-intensive sectors such as financial services and management consulting.</w:t>
      </w:r>
    </w:p>
    <w:p w14:paraId="4BE15479" w14:textId="77777777" w:rsidR="00177DEF" w:rsidRDefault="00000000">
      <w:pPr>
        <w:spacing w:after="160"/>
        <w:jc w:val="both"/>
      </w:pPr>
      <w:r>
        <w:t>In addition, no formal project management qualification has yet been obtained. While practical project experience has been gained informally, the absence of a recognised certification such as PRINCE2 or an Agile qualification may limit competitiveness in a graduate job market where such credentials are increasingly common. Addressing this gap has therefore been identified as a short-term priority within the Personal Development Plan outlined in Task 3.</w:t>
      </w:r>
    </w:p>
    <w:p w14:paraId="1E72960D" w14:textId="77777777" w:rsidR="00177DEF" w:rsidRDefault="00000000">
      <w:pPr>
        <w:spacing w:before="200" w:after="100"/>
      </w:pPr>
      <w:r>
        <w:rPr>
          <w:b/>
          <w:bCs/>
          <w:color w:val="2E5496"/>
        </w:rPr>
        <w:t>2.4 Evidence of Readiness for Employability</w:t>
      </w:r>
    </w:p>
    <w:p w14:paraId="2CF3405F" w14:textId="77777777" w:rsidR="00177DEF" w:rsidRDefault="00000000">
      <w:pPr>
        <w:spacing w:after="160"/>
        <w:jc w:val="both"/>
      </w:pPr>
      <w:r>
        <w:t>Despite the areas for development noted above, there is meaningful evidence of readiness for entry-level employment as a Business Analyst. Academic achievement on this programme has demonstrated the capacity to analyse complex business problems, apply relevant theoretical frameworks, and produce well-structured written reports — all of which are core competencies in professional business analysis. Prior work experience in a customer-facing role has developed practical communication, time management, and problem-solving skills in a real-world setting. Participation in extracurricular activities — including a business skills workshop and a peer mentoring scheme — has further strengthened professional awareness and interpersonal confidence.</w:t>
      </w:r>
    </w:p>
    <w:p w14:paraId="0AF95994" w14:textId="77777777" w:rsidR="00177DEF" w:rsidRDefault="00000000">
      <w:pPr>
        <w:spacing w:after="160"/>
        <w:jc w:val="both"/>
      </w:pPr>
      <w:r>
        <w:t>Doran (1981) argues that professional readiness is not the absence of weaknesses but rather the presence of clear self-knowledge combined with a concrete plan for improvement. On this basis, and given the targeted development actions outlined in Task 3, this self-assessment demonstrates a meaningful degree of readiness for entry into the business analysis profession.</w:t>
      </w:r>
    </w:p>
    <w:p w14:paraId="1AEE26CF" w14:textId="77777777" w:rsidR="00177DEF" w:rsidRDefault="00000000">
      <w:r>
        <w:br w:type="page"/>
      </w:r>
    </w:p>
    <w:p w14:paraId="3D5394D6" w14:textId="77777777" w:rsidR="00177DEF" w:rsidRDefault="00000000">
      <w:pPr>
        <w:spacing w:before="300" w:after="150"/>
      </w:pPr>
      <w:r>
        <w:rPr>
          <w:b/>
          <w:bCs/>
          <w:color w:val="1F3864"/>
          <w:sz w:val="26"/>
          <w:szCs w:val="26"/>
        </w:rPr>
        <w:lastRenderedPageBreak/>
        <w:t>Task 3: Employment Goals and Personal Development Plan (approximately 300 words)</w:t>
      </w:r>
    </w:p>
    <w:p w14:paraId="4A81B414" w14:textId="77777777" w:rsidR="00177DEF" w:rsidRDefault="00000000">
      <w:pPr>
        <w:spacing w:before="200" w:after="100"/>
      </w:pPr>
      <w:r>
        <w:rPr>
          <w:b/>
          <w:bCs/>
          <w:color w:val="2E5496"/>
        </w:rPr>
        <w:t>3.1 Employment Goals</w:t>
      </w:r>
    </w:p>
    <w:p w14:paraId="6CE6310A" w14:textId="77777777" w:rsidR="00177DEF" w:rsidRDefault="00000000">
      <w:pPr>
        <w:spacing w:after="160"/>
        <w:jc w:val="both"/>
      </w:pPr>
      <w:r>
        <w:t>Based on the weaknesses identified in the SWOT analysis above, the following short-term and long-term employment goals have been established.</w:t>
      </w:r>
    </w:p>
    <w:p w14:paraId="55F43B4D" w14:textId="77777777" w:rsidR="00177DEF" w:rsidRDefault="00000000">
      <w:pPr>
        <w:spacing w:before="80" w:after="160"/>
        <w:jc w:val="both"/>
      </w:pPr>
      <w:r>
        <w:rPr>
          <w:b/>
          <w:bCs/>
        </w:rPr>
        <w:t xml:space="preserve">Short-term goal (0–12 months): </w:t>
      </w:r>
      <w:r>
        <w:t>To complete an accredited SQL course and obtain the Google Data Analytics Certificate within six months, directly addressing the technical skills gap identified in both the self-assessment and the reviewed job advertisements.</w:t>
      </w:r>
    </w:p>
    <w:p w14:paraId="1593DDC1" w14:textId="77777777" w:rsidR="00177DEF" w:rsidRDefault="00000000">
      <w:pPr>
        <w:spacing w:before="80" w:after="160"/>
        <w:jc w:val="both"/>
      </w:pPr>
      <w:r>
        <w:rPr>
          <w:b/>
          <w:bCs/>
        </w:rPr>
        <w:t xml:space="preserve">Long-term goal (1–3 years): </w:t>
      </w:r>
      <w:r>
        <w:t>To secure a Junior Business Analyst position within twelve months of graduation and to progress to a mid-level Business Analyst role within three years, supported by continuous professional development and, ultimately, IIBA Entry Certificate in Business Analysis (ECBA) certification.</w:t>
      </w:r>
    </w:p>
    <w:p w14:paraId="64AEF45A" w14:textId="77777777" w:rsidR="00177DEF" w:rsidRDefault="00000000">
      <w:pPr>
        <w:spacing w:after="160"/>
        <w:jc w:val="both"/>
      </w:pPr>
      <w:r>
        <w:t>These goals are important because they respond directly to the evidence gathered in Task 1 regarding employer expectations and to the personal gaps identified in Task 2. They align with the long-term career aspiration of becoming a strategic Business Analyst within a major organisation, contributing meaningfully to data-driven decision-making and business improvement processes.</w:t>
      </w:r>
    </w:p>
    <w:p w14:paraId="26E1063A" w14:textId="77777777" w:rsidR="00177DEF" w:rsidRDefault="00000000">
      <w:pPr>
        <w:spacing w:before="200" w:after="100"/>
      </w:pPr>
      <w:r>
        <w:rPr>
          <w:b/>
          <w:bCs/>
          <w:color w:val="2E5496"/>
        </w:rPr>
        <w:t>3.2 Personal Development Plan</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256"/>
        <w:gridCol w:w="1500"/>
        <w:gridCol w:w="2770"/>
        <w:gridCol w:w="2500"/>
      </w:tblGrid>
      <w:tr w:rsidR="00177DEF" w14:paraId="440F473E" w14:textId="77777777">
        <w:tblPrEx>
          <w:tblCellMar>
            <w:top w:w="0" w:type="dxa"/>
            <w:bottom w:w="0" w:type="dxa"/>
          </w:tblCellMar>
        </w:tblPrEx>
        <w:tc>
          <w:tcPr>
            <w:tcW w:w="2256" w:type="dxa"/>
            <w:tcBorders>
              <w:top w:val="single" w:sz="1" w:space="0" w:color="AAAAAA"/>
              <w:left w:val="single" w:sz="1" w:space="0" w:color="AAAAAA"/>
              <w:bottom w:val="single" w:sz="1" w:space="0" w:color="AAAAAA"/>
              <w:right w:val="single" w:sz="1" w:space="0" w:color="AAAAAA"/>
            </w:tcBorders>
            <w:shd w:val="clear" w:color="auto" w:fill="D6E4F0"/>
            <w:tcMar>
              <w:top w:w="80" w:type="dxa"/>
              <w:left w:w="120" w:type="dxa"/>
              <w:bottom w:w="80" w:type="dxa"/>
              <w:right w:w="120" w:type="dxa"/>
            </w:tcMar>
            <w:vAlign w:val="center"/>
          </w:tcPr>
          <w:p w14:paraId="21B89745" w14:textId="77777777" w:rsidR="00177DEF" w:rsidRDefault="00000000">
            <w:r>
              <w:rPr>
                <w:b/>
                <w:bCs/>
                <w:sz w:val="22"/>
                <w:szCs w:val="22"/>
              </w:rPr>
              <w:t>Action</w:t>
            </w:r>
          </w:p>
        </w:tc>
        <w:tc>
          <w:tcPr>
            <w:tcW w:w="1500" w:type="dxa"/>
            <w:tcBorders>
              <w:top w:val="single" w:sz="1" w:space="0" w:color="AAAAAA"/>
              <w:left w:val="single" w:sz="1" w:space="0" w:color="AAAAAA"/>
              <w:bottom w:val="single" w:sz="1" w:space="0" w:color="AAAAAA"/>
              <w:right w:val="single" w:sz="1" w:space="0" w:color="AAAAAA"/>
            </w:tcBorders>
            <w:shd w:val="clear" w:color="auto" w:fill="D6E4F0"/>
            <w:tcMar>
              <w:top w:w="80" w:type="dxa"/>
              <w:left w:w="120" w:type="dxa"/>
              <w:bottom w:w="80" w:type="dxa"/>
              <w:right w:w="120" w:type="dxa"/>
            </w:tcMar>
            <w:vAlign w:val="center"/>
          </w:tcPr>
          <w:p w14:paraId="418FEE62" w14:textId="77777777" w:rsidR="00177DEF" w:rsidRDefault="00000000">
            <w:r>
              <w:rPr>
                <w:b/>
                <w:bCs/>
                <w:sz w:val="22"/>
                <w:szCs w:val="22"/>
              </w:rPr>
              <w:t>Timeline</w:t>
            </w:r>
          </w:p>
        </w:tc>
        <w:tc>
          <w:tcPr>
            <w:tcW w:w="2770" w:type="dxa"/>
            <w:tcBorders>
              <w:top w:val="single" w:sz="1" w:space="0" w:color="AAAAAA"/>
              <w:left w:val="single" w:sz="1" w:space="0" w:color="AAAAAA"/>
              <w:bottom w:val="single" w:sz="1" w:space="0" w:color="AAAAAA"/>
              <w:right w:val="single" w:sz="1" w:space="0" w:color="AAAAAA"/>
            </w:tcBorders>
            <w:shd w:val="clear" w:color="auto" w:fill="D6E4F0"/>
            <w:tcMar>
              <w:top w:w="80" w:type="dxa"/>
              <w:left w:w="120" w:type="dxa"/>
              <w:bottom w:w="80" w:type="dxa"/>
              <w:right w:w="120" w:type="dxa"/>
            </w:tcMar>
            <w:vAlign w:val="center"/>
          </w:tcPr>
          <w:p w14:paraId="49B907E8" w14:textId="77777777" w:rsidR="00177DEF" w:rsidRDefault="00000000">
            <w:r>
              <w:rPr>
                <w:b/>
                <w:bCs/>
                <w:sz w:val="22"/>
                <w:szCs w:val="22"/>
              </w:rPr>
              <w:t>Resources Required</w:t>
            </w:r>
          </w:p>
        </w:tc>
        <w:tc>
          <w:tcPr>
            <w:tcW w:w="2500" w:type="dxa"/>
            <w:tcBorders>
              <w:top w:val="single" w:sz="1" w:space="0" w:color="AAAAAA"/>
              <w:left w:val="single" w:sz="1" w:space="0" w:color="AAAAAA"/>
              <w:bottom w:val="single" w:sz="1" w:space="0" w:color="AAAAAA"/>
              <w:right w:val="single" w:sz="1" w:space="0" w:color="AAAAAA"/>
            </w:tcBorders>
            <w:shd w:val="clear" w:color="auto" w:fill="D6E4F0"/>
            <w:tcMar>
              <w:top w:w="80" w:type="dxa"/>
              <w:left w:w="120" w:type="dxa"/>
              <w:bottom w:w="80" w:type="dxa"/>
              <w:right w:w="120" w:type="dxa"/>
            </w:tcMar>
            <w:vAlign w:val="center"/>
          </w:tcPr>
          <w:p w14:paraId="5A71351C" w14:textId="77777777" w:rsidR="00177DEF" w:rsidRDefault="00000000">
            <w:r>
              <w:rPr>
                <w:b/>
                <w:bCs/>
                <w:sz w:val="22"/>
                <w:szCs w:val="22"/>
              </w:rPr>
              <w:t>Measure of Success</w:t>
            </w:r>
          </w:p>
        </w:tc>
      </w:tr>
      <w:tr w:rsidR="00177DEF" w14:paraId="705C54FC" w14:textId="77777777">
        <w:tblPrEx>
          <w:tblCellMar>
            <w:top w:w="0" w:type="dxa"/>
            <w:bottom w:w="0" w:type="dxa"/>
          </w:tblCellMar>
        </w:tblPrEx>
        <w:tc>
          <w:tcPr>
            <w:tcW w:w="2256"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vAlign w:val="center"/>
          </w:tcPr>
          <w:p w14:paraId="192CE7B9" w14:textId="77777777" w:rsidR="00177DEF" w:rsidRDefault="00000000">
            <w:r>
              <w:rPr>
                <w:sz w:val="22"/>
                <w:szCs w:val="22"/>
              </w:rPr>
              <w:t>Complete SQL for Beginners course (Coursera)</w:t>
            </w:r>
          </w:p>
        </w:tc>
        <w:tc>
          <w:tcPr>
            <w:tcW w:w="15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vAlign w:val="center"/>
          </w:tcPr>
          <w:p w14:paraId="6AC261A5" w14:textId="77777777" w:rsidR="00177DEF" w:rsidRDefault="00000000">
            <w:r>
              <w:rPr>
                <w:sz w:val="22"/>
                <w:szCs w:val="22"/>
              </w:rPr>
              <w:t>Months 1–3</w:t>
            </w:r>
          </w:p>
        </w:tc>
        <w:tc>
          <w:tcPr>
            <w:tcW w:w="277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vAlign w:val="center"/>
          </w:tcPr>
          <w:p w14:paraId="3E28F50C" w14:textId="77777777" w:rsidR="00177DEF" w:rsidRDefault="00000000">
            <w:r>
              <w:rPr>
                <w:sz w:val="22"/>
                <w:szCs w:val="22"/>
              </w:rPr>
              <w:t>Coursera / W3Schools (free); 5 hours per week</w:t>
            </w:r>
          </w:p>
        </w:tc>
        <w:tc>
          <w:tcPr>
            <w:tcW w:w="25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vAlign w:val="center"/>
          </w:tcPr>
          <w:p w14:paraId="444D9BBC" w14:textId="77777777" w:rsidR="00177DEF" w:rsidRDefault="00000000">
            <w:r>
              <w:rPr>
                <w:sz w:val="22"/>
                <w:szCs w:val="22"/>
              </w:rPr>
              <w:t>Certificate obtained</w:t>
            </w:r>
          </w:p>
        </w:tc>
      </w:tr>
      <w:tr w:rsidR="00177DEF" w14:paraId="6159F4AB" w14:textId="77777777">
        <w:tblPrEx>
          <w:tblCellMar>
            <w:top w:w="0" w:type="dxa"/>
            <w:bottom w:w="0" w:type="dxa"/>
          </w:tblCellMar>
        </w:tblPrEx>
        <w:tc>
          <w:tcPr>
            <w:tcW w:w="2256"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vAlign w:val="center"/>
          </w:tcPr>
          <w:p w14:paraId="213531A6" w14:textId="77777777" w:rsidR="00177DEF" w:rsidRDefault="00000000">
            <w:r>
              <w:rPr>
                <w:sz w:val="22"/>
                <w:szCs w:val="22"/>
              </w:rPr>
              <w:t>Obtain Google Data Analytics Certificate</w:t>
            </w:r>
          </w:p>
        </w:tc>
        <w:tc>
          <w:tcPr>
            <w:tcW w:w="15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vAlign w:val="center"/>
          </w:tcPr>
          <w:p w14:paraId="10BE6894" w14:textId="77777777" w:rsidR="00177DEF" w:rsidRDefault="00000000">
            <w:r>
              <w:rPr>
                <w:sz w:val="22"/>
                <w:szCs w:val="22"/>
              </w:rPr>
              <w:t>Months 3–6</w:t>
            </w:r>
          </w:p>
        </w:tc>
        <w:tc>
          <w:tcPr>
            <w:tcW w:w="277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vAlign w:val="center"/>
          </w:tcPr>
          <w:p w14:paraId="73BE9CE0" w14:textId="77777777" w:rsidR="00177DEF" w:rsidRDefault="00000000">
            <w:r>
              <w:rPr>
                <w:sz w:val="22"/>
                <w:szCs w:val="22"/>
              </w:rPr>
              <w:t>Google Career Certificates platform; approx. £35/month</w:t>
            </w:r>
          </w:p>
        </w:tc>
        <w:tc>
          <w:tcPr>
            <w:tcW w:w="25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vAlign w:val="center"/>
          </w:tcPr>
          <w:p w14:paraId="72953688" w14:textId="77777777" w:rsidR="00177DEF" w:rsidRDefault="00000000">
            <w:r>
              <w:rPr>
                <w:sz w:val="22"/>
                <w:szCs w:val="22"/>
              </w:rPr>
              <w:t>Certificate added to CV and LinkedIn profile</w:t>
            </w:r>
          </w:p>
        </w:tc>
      </w:tr>
      <w:tr w:rsidR="00177DEF" w14:paraId="29BAD775" w14:textId="77777777">
        <w:tblPrEx>
          <w:tblCellMar>
            <w:top w:w="0" w:type="dxa"/>
            <w:bottom w:w="0" w:type="dxa"/>
          </w:tblCellMar>
        </w:tblPrEx>
        <w:tc>
          <w:tcPr>
            <w:tcW w:w="2256"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vAlign w:val="center"/>
          </w:tcPr>
          <w:p w14:paraId="530C284D" w14:textId="77777777" w:rsidR="00177DEF" w:rsidRDefault="00000000">
            <w:r>
              <w:rPr>
                <w:sz w:val="22"/>
                <w:szCs w:val="22"/>
              </w:rPr>
              <w:t>Attend university careers fair and networking events</w:t>
            </w:r>
          </w:p>
        </w:tc>
        <w:tc>
          <w:tcPr>
            <w:tcW w:w="15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vAlign w:val="center"/>
          </w:tcPr>
          <w:p w14:paraId="1472E632" w14:textId="77777777" w:rsidR="00177DEF" w:rsidRDefault="00000000">
            <w:r>
              <w:rPr>
                <w:sz w:val="22"/>
                <w:szCs w:val="22"/>
              </w:rPr>
              <w:t>Months 1–6</w:t>
            </w:r>
          </w:p>
        </w:tc>
        <w:tc>
          <w:tcPr>
            <w:tcW w:w="277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vAlign w:val="center"/>
          </w:tcPr>
          <w:p w14:paraId="16F5C5F0" w14:textId="77777777" w:rsidR="00177DEF" w:rsidRDefault="00000000">
            <w:r>
              <w:rPr>
                <w:sz w:val="22"/>
                <w:szCs w:val="22"/>
              </w:rPr>
              <w:t>University Career Services (no cost)</w:t>
            </w:r>
          </w:p>
        </w:tc>
        <w:tc>
          <w:tcPr>
            <w:tcW w:w="25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vAlign w:val="center"/>
          </w:tcPr>
          <w:p w14:paraId="6DB73D62" w14:textId="77777777" w:rsidR="00177DEF" w:rsidRDefault="00000000">
            <w:r>
              <w:rPr>
                <w:sz w:val="22"/>
                <w:szCs w:val="22"/>
              </w:rPr>
              <w:t>Minimum 3 professional contacts established</w:t>
            </w:r>
          </w:p>
        </w:tc>
      </w:tr>
      <w:tr w:rsidR="00177DEF" w14:paraId="500216C5" w14:textId="77777777">
        <w:tblPrEx>
          <w:tblCellMar>
            <w:top w:w="0" w:type="dxa"/>
            <w:bottom w:w="0" w:type="dxa"/>
          </w:tblCellMar>
        </w:tblPrEx>
        <w:tc>
          <w:tcPr>
            <w:tcW w:w="2256"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vAlign w:val="center"/>
          </w:tcPr>
          <w:p w14:paraId="7FE86AE8" w14:textId="77777777" w:rsidR="00177DEF" w:rsidRDefault="00000000">
            <w:r>
              <w:rPr>
                <w:sz w:val="22"/>
                <w:szCs w:val="22"/>
              </w:rPr>
              <w:t>Apply for entry-level Business Analyst roles</w:t>
            </w:r>
          </w:p>
        </w:tc>
        <w:tc>
          <w:tcPr>
            <w:tcW w:w="15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vAlign w:val="center"/>
          </w:tcPr>
          <w:p w14:paraId="125A4A75" w14:textId="77777777" w:rsidR="00177DEF" w:rsidRDefault="00000000">
            <w:r>
              <w:rPr>
                <w:sz w:val="22"/>
                <w:szCs w:val="22"/>
              </w:rPr>
              <w:t>Months 6–12</w:t>
            </w:r>
          </w:p>
        </w:tc>
        <w:tc>
          <w:tcPr>
            <w:tcW w:w="277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vAlign w:val="center"/>
          </w:tcPr>
          <w:p w14:paraId="2CE72DDE" w14:textId="77777777" w:rsidR="00177DEF" w:rsidRDefault="00000000">
            <w:r>
              <w:rPr>
                <w:sz w:val="22"/>
                <w:szCs w:val="22"/>
              </w:rPr>
              <w:t>LinkedIn, Indeed, Glassdoor; updated CV and cover letter</w:t>
            </w:r>
          </w:p>
        </w:tc>
        <w:tc>
          <w:tcPr>
            <w:tcW w:w="25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vAlign w:val="center"/>
          </w:tcPr>
          <w:p w14:paraId="3BD75C70" w14:textId="77777777" w:rsidR="00177DEF" w:rsidRDefault="00000000">
            <w:r>
              <w:rPr>
                <w:sz w:val="22"/>
                <w:szCs w:val="22"/>
              </w:rPr>
              <w:t>Minimum 10 applications; at least 2 interviews secured</w:t>
            </w:r>
          </w:p>
        </w:tc>
      </w:tr>
      <w:tr w:rsidR="00177DEF" w14:paraId="22E7B596" w14:textId="77777777">
        <w:tblPrEx>
          <w:tblCellMar>
            <w:top w:w="0" w:type="dxa"/>
            <w:bottom w:w="0" w:type="dxa"/>
          </w:tblCellMar>
        </w:tblPrEx>
        <w:tc>
          <w:tcPr>
            <w:tcW w:w="2256"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vAlign w:val="center"/>
          </w:tcPr>
          <w:p w14:paraId="7B30547C" w14:textId="77777777" w:rsidR="00177DEF" w:rsidRDefault="00000000">
            <w:r>
              <w:rPr>
                <w:sz w:val="22"/>
                <w:szCs w:val="22"/>
              </w:rPr>
              <w:t>Pursue IIBA Entry Certificate in Business Analysis (ECBA)</w:t>
            </w:r>
          </w:p>
        </w:tc>
        <w:tc>
          <w:tcPr>
            <w:tcW w:w="15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vAlign w:val="center"/>
          </w:tcPr>
          <w:p w14:paraId="08261FD9" w14:textId="77777777" w:rsidR="00177DEF" w:rsidRDefault="00000000">
            <w:r>
              <w:rPr>
                <w:sz w:val="22"/>
                <w:szCs w:val="22"/>
              </w:rPr>
              <w:t>Year 2–3</w:t>
            </w:r>
          </w:p>
        </w:tc>
        <w:tc>
          <w:tcPr>
            <w:tcW w:w="277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vAlign w:val="center"/>
          </w:tcPr>
          <w:p w14:paraId="39A0729E" w14:textId="77777777" w:rsidR="00177DEF" w:rsidRDefault="00000000">
            <w:r>
              <w:rPr>
                <w:sz w:val="22"/>
                <w:szCs w:val="22"/>
              </w:rPr>
              <w:t>IIBA membership and study materials; approx. £150</w:t>
            </w:r>
          </w:p>
        </w:tc>
        <w:tc>
          <w:tcPr>
            <w:tcW w:w="2500" w:type="dxa"/>
            <w:tcBorders>
              <w:top w:val="single" w:sz="1" w:space="0" w:color="AAAAAA"/>
              <w:left w:val="single" w:sz="1" w:space="0" w:color="AAAAAA"/>
              <w:bottom w:val="single" w:sz="1" w:space="0" w:color="AAAAAA"/>
              <w:right w:val="single" w:sz="1" w:space="0" w:color="AAAAAA"/>
            </w:tcBorders>
            <w:tcMar>
              <w:top w:w="80" w:type="dxa"/>
              <w:left w:w="120" w:type="dxa"/>
              <w:bottom w:w="80" w:type="dxa"/>
              <w:right w:w="120" w:type="dxa"/>
            </w:tcMar>
            <w:vAlign w:val="center"/>
          </w:tcPr>
          <w:p w14:paraId="5B59E65F" w14:textId="77777777" w:rsidR="00177DEF" w:rsidRDefault="00000000">
            <w:r>
              <w:rPr>
                <w:sz w:val="22"/>
                <w:szCs w:val="22"/>
              </w:rPr>
              <w:t>ECBA certification achieved</w:t>
            </w:r>
          </w:p>
        </w:tc>
      </w:tr>
    </w:tbl>
    <w:p w14:paraId="2E2E04A0" w14:textId="77777777" w:rsidR="00177DEF" w:rsidRDefault="00177DEF">
      <w:pPr>
        <w:spacing w:before="200"/>
      </w:pPr>
    </w:p>
    <w:p w14:paraId="36742C64" w14:textId="77777777" w:rsidR="00177DEF" w:rsidRDefault="00000000">
      <w:r>
        <w:br w:type="page"/>
      </w:r>
    </w:p>
    <w:p w14:paraId="21D7CFFF" w14:textId="77777777" w:rsidR="00177DEF" w:rsidRDefault="00000000">
      <w:pPr>
        <w:spacing w:before="300" w:after="150"/>
      </w:pPr>
      <w:r>
        <w:rPr>
          <w:b/>
          <w:bCs/>
          <w:color w:val="1F3864"/>
          <w:sz w:val="26"/>
          <w:szCs w:val="26"/>
        </w:rPr>
        <w:lastRenderedPageBreak/>
        <w:t>Reference List</w:t>
      </w:r>
    </w:p>
    <w:p w14:paraId="6F53310A" w14:textId="386F27AB" w:rsidR="00177DEF" w:rsidRDefault="00000000">
      <w:pPr>
        <w:spacing w:after="160"/>
        <w:jc w:val="both"/>
      </w:pPr>
      <w:r>
        <w:t xml:space="preserve">Accenture (2024) Business Analyst – Job Advertisement [Online]. Available at: https://www.accenture.com/gb-en/careers (Accessed: </w:t>
      </w:r>
      <w:r w:rsidR="00940BC2">
        <w:t>2</w:t>
      </w:r>
      <w:r w:rsidR="000C6C84">
        <w:t>0</w:t>
      </w:r>
      <w:r>
        <w:t xml:space="preserve"> April 2026).</w:t>
      </w:r>
    </w:p>
    <w:p w14:paraId="658D50CE" w14:textId="77777777" w:rsidR="00177DEF" w:rsidRDefault="00000000">
      <w:pPr>
        <w:spacing w:after="160"/>
        <w:jc w:val="both"/>
      </w:pPr>
      <w:r>
        <w:t>Belbin, R.M. (2010) Team Roles at Work. 2nd edn. Oxford: Butterworth-Heinemann.</w:t>
      </w:r>
    </w:p>
    <w:p w14:paraId="7961D88E" w14:textId="77777777" w:rsidR="00177DEF" w:rsidRDefault="00000000">
      <w:pPr>
        <w:spacing w:after="160"/>
        <w:jc w:val="both"/>
      </w:pPr>
      <w:r>
        <w:t>Cottrell, S. (2019) The Study Skills Handbook. 5th edn. London: Palgrave Macmillan.</w:t>
      </w:r>
    </w:p>
    <w:p w14:paraId="39BDCB1A" w14:textId="77777777" w:rsidR="00177DEF" w:rsidRDefault="00000000">
      <w:pPr>
        <w:spacing w:after="160"/>
        <w:jc w:val="both"/>
      </w:pPr>
      <w:r>
        <w:t>Doran, G.T. (1981) 'There's a S.M.A.R.T. way to write management's goals and objectives', Management Review, 70(11), pp. 35–36.</w:t>
      </w:r>
    </w:p>
    <w:p w14:paraId="41258687" w14:textId="2526EF11" w:rsidR="00177DEF" w:rsidRDefault="00000000">
      <w:pPr>
        <w:spacing w:after="160"/>
        <w:jc w:val="both"/>
      </w:pPr>
      <w:r>
        <w:t xml:space="preserve">HSBC (2024) Junior Business Analyst – Job Advertisement [Online]. Available at: https://www.hsbc.com/careers (Accessed: </w:t>
      </w:r>
      <w:r w:rsidR="00940BC2">
        <w:t>2</w:t>
      </w:r>
      <w:r w:rsidR="000C6C84">
        <w:t>0</w:t>
      </w:r>
      <w:r>
        <w:t xml:space="preserve"> April 2026).</w:t>
      </w:r>
    </w:p>
    <w:p w14:paraId="57A6B9F7" w14:textId="77777777" w:rsidR="00177DEF" w:rsidRDefault="00000000">
      <w:pPr>
        <w:spacing w:after="160"/>
        <w:jc w:val="both"/>
      </w:pPr>
      <w:r>
        <w:t>International Institute of Business Analysis (IIBA) (2015) A Guide to the Business Analysis Body of Knowledge (BABOK Guide). 3rd edn. Toronto: IIBA.</w:t>
      </w:r>
    </w:p>
    <w:p w14:paraId="3239192A" w14:textId="73AE818B" w:rsidR="00177DEF" w:rsidRDefault="00000000">
      <w:pPr>
        <w:spacing w:after="160"/>
        <w:jc w:val="both"/>
      </w:pPr>
      <w:r>
        <w:t xml:space="preserve">Office for National Statistics (ONS) (2024) UK Labour Market Statistics: Occupational Outlook [Online]. Available at: https://www.ons.gov.uk (Accessed: </w:t>
      </w:r>
      <w:r w:rsidR="00940BC2">
        <w:t>2</w:t>
      </w:r>
      <w:r w:rsidR="000C6C84">
        <w:t>0</w:t>
      </w:r>
      <w:r>
        <w:t xml:space="preserve"> April 2026).</w:t>
      </w:r>
    </w:p>
    <w:p w14:paraId="53873154" w14:textId="77777777" w:rsidR="00177DEF" w:rsidRDefault="00000000">
      <w:pPr>
        <w:spacing w:after="160"/>
        <w:jc w:val="both"/>
      </w:pPr>
      <w:r>
        <w:t>Rogelberg, S.G. (2018) The Surprising Science of Meetings: How You Can Lead Your Team to Peak Performance. Oxford: Oxford University Press.</w:t>
      </w:r>
    </w:p>
    <w:sectPr w:rsidR="00177DEF">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3F6034"/>
    <w:multiLevelType w:val="hybridMultilevel"/>
    <w:tmpl w:val="FFFFFFFF"/>
    <w:lvl w:ilvl="0" w:tplc="F4F4E2C2">
      <w:start w:val="1"/>
      <w:numFmt w:val="bullet"/>
      <w:lvlText w:val="●"/>
      <w:lvlJc w:val="left"/>
      <w:pPr>
        <w:ind w:left="720" w:hanging="360"/>
      </w:pPr>
    </w:lvl>
    <w:lvl w:ilvl="1" w:tplc="AF72197A">
      <w:start w:val="1"/>
      <w:numFmt w:val="bullet"/>
      <w:lvlText w:val="○"/>
      <w:lvlJc w:val="left"/>
      <w:pPr>
        <w:ind w:left="1440" w:hanging="360"/>
      </w:pPr>
    </w:lvl>
    <w:lvl w:ilvl="2" w:tplc="DDBE4CD6">
      <w:start w:val="1"/>
      <w:numFmt w:val="bullet"/>
      <w:lvlText w:val="■"/>
      <w:lvlJc w:val="left"/>
      <w:pPr>
        <w:ind w:left="2160" w:hanging="360"/>
      </w:pPr>
    </w:lvl>
    <w:lvl w:ilvl="3" w:tplc="3F0AC654">
      <w:start w:val="1"/>
      <w:numFmt w:val="bullet"/>
      <w:lvlText w:val="●"/>
      <w:lvlJc w:val="left"/>
      <w:pPr>
        <w:ind w:left="2880" w:hanging="360"/>
      </w:pPr>
    </w:lvl>
    <w:lvl w:ilvl="4" w:tplc="310C28D6">
      <w:start w:val="1"/>
      <w:numFmt w:val="bullet"/>
      <w:lvlText w:val="○"/>
      <w:lvlJc w:val="left"/>
      <w:pPr>
        <w:ind w:left="3600" w:hanging="360"/>
      </w:pPr>
    </w:lvl>
    <w:lvl w:ilvl="5" w:tplc="F560FA68">
      <w:start w:val="1"/>
      <w:numFmt w:val="bullet"/>
      <w:lvlText w:val="■"/>
      <w:lvlJc w:val="left"/>
      <w:pPr>
        <w:ind w:left="4320" w:hanging="360"/>
      </w:pPr>
    </w:lvl>
    <w:lvl w:ilvl="6" w:tplc="25101F12">
      <w:start w:val="1"/>
      <w:numFmt w:val="bullet"/>
      <w:lvlText w:val="●"/>
      <w:lvlJc w:val="left"/>
      <w:pPr>
        <w:ind w:left="5040" w:hanging="360"/>
      </w:pPr>
    </w:lvl>
    <w:lvl w:ilvl="7" w:tplc="7CC87A00">
      <w:start w:val="1"/>
      <w:numFmt w:val="bullet"/>
      <w:lvlText w:val="●"/>
      <w:lvlJc w:val="left"/>
      <w:pPr>
        <w:ind w:left="5760" w:hanging="360"/>
      </w:pPr>
    </w:lvl>
    <w:lvl w:ilvl="8" w:tplc="CB70173C">
      <w:start w:val="1"/>
      <w:numFmt w:val="bullet"/>
      <w:lvlText w:val="●"/>
      <w:lvlJc w:val="left"/>
      <w:pPr>
        <w:ind w:left="6480" w:hanging="360"/>
      </w:pPr>
    </w:lvl>
  </w:abstractNum>
  <w:abstractNum w:abstractNumId="1" w15:restartNumberingAfterBreak="0">
    <w:nsid w:val="358141CC"/>
    <w:multiLevelType w:val="hybridMultilevel"/>
    <w:tmpl w:val="FFFFFFFF"/>
    <w:lvl w:ilvl="0" w:tplc="EB66368C">
      <w:start w:val="1"/>
      <w:numFmt w:val="bullet"/>
      <w:lvlText w:val="•"/>
      <w:lvlJc w:val="left"/>
      <w:pPr>
        <w:ind w:left="720" w:hanging="360"/>
      </w:pPr>
    </w:lvl>
    <w:lvl w:ilvl="1" w:tplc="F9945E9C">
      <w:numFmt w:val="decimal"/>
      <w:lvlText w:val=""/>
      <w:lvlJc w:val="left"/>
    </w:lvl>
    <w:lvl w:ilvl="2" w:tplc="FA2023CE">
      <w:numFmt w:val="decimal"/>
      <w:lvlText w:val=""/>
      <w:lvlJc w:val="left"/>
    </w:lvl>
    <w:lvl w:ilvl="3" w:tplc="0ADCFF9C">
      <w:numFmt w:val="decimal"/>
      <w:lvlText w:val=""/>
      <w:lvlJc w:val="left"/>
    </w:lvl>
    <w:lvl w:ilvl="4" w:tplc="A3568FAE">
      <w:numFmt w:val="decimal"/>
      <w:lvlText w:val=""/>
      <w:lvlJc w:val="left"/>
    </w:lvl>
    <w:lvl w:ilvl="5" w:tplc="9F3E8FD2">
      <w:numFmt w:val="decimal"/>
      <w:lvlText w:val=""/>
      <w:lvlJc w:val="left"/>
    </w:lvl>
    <w:lvl w:ilvl="6" w:tplc="1416E4CE">
      <w:numFmt w:val="decimal"/>
      <w:lvlText w:val=""/>
      <w:lvlJc w:val="left"/>
    </w:lvl>
    <w:lvl w:ilvl="7" w:tplc="45BEDDDA">
      <w:numFmt w:val="decimal"/>
      <w:lvlText w:val=""/>
      <w:lvlJc w:val="left"/>
    </w:lvl>
    <w:lvl w:ilvl="8" w:tplc="87F2B294">
      <w:numFmt w:val="decimal"/>
      <w:lvlText w:val=""/>
      <w:lvlJc w:val="left"/>
    </w:lvl>
  </w:abstractNum>
  <w:num w:numId="1" w16cid:durableId="91703623">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3"/>
  <w:displayBackgroundShape/>
  <w:proofState w:spelling="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7DEF"/>
    <w:rsid w:val="000C6C84"/>
    <w:rsid w:val="00143858"/>
    <w:rsid w:val="00177DEF"/>
    <w:rsid w:val="001A109E"/>
    <w:rsid w:val="00311F6F"/>
    <w:rsid w:val="006316B7"/>
    <w:rsid w:val="006923B1"/>
    <w:rsid w:val="007006BE"/>
    <w:rsid w:val="00711B84"/>
    <w:rsid w:val="00735941"/>
    <w:rsid w:val="007E372D"/>
    <w:rsid w:val="008265B0"/>
    <w:rsid w:val="00923179"/>
    <w:rsid w:val="00940BC2"/>
    <w:rsid w:val="009415F2"/>
    <w:rsid w:val="009D6E96"/>
    <w:rsid w:val="00CF7751"/>
    <w:rsid w:val="00D02A96"/>
    <w:rsid w:val="00E13946"/>
    <w:rsid w:val="00E82D41"/>
    <w:rsid w:val="00F31C4F"/>
    <w:rsid w:val="00F93E39"/>
    <w:rsid w:val="00FA1D42"/>
    <w:rsid w:val="00FC2380"/>
  </w:rsids>
  <m:mathPr>
    <m:mathFont m:val="Cambria Math"/>
    <m:brkBin m:val="before"/>
    <m:brkBinSub m:val="--"/>
    <m:smallFrac m:val="0"/>
    <m:dispDef/>
    <m:lMargin m:val="0"/>
    <m:rMargin m:val="0"/>
    <m:defJc m:val="centerGroup"/>
    <m:wrapIndent m:val="1440"/>
    <m:intLim m:val="subSup"/>
    <m:naryLim m:val="undOvr"/>
  </m:mathPr>
  <w:themeFontLang w:val="uk-GB"/>
  <w:clrSchemeMapping w:bg1="light1" w:t1="dark1" w:bg2="light2" w:t2="dark2" w:accent1="accent1" w:accent2="accent2" w:accent3="accent3" w:accent4="accent4" w:accent5="accent5" w:accent6="accent6" w:hyperlink="hyperlink" w:followedHyperlink="followedHyperlink"/>
  <w:decimalSymbol w:val="."/>
  <w:listSeparator w:val=";"/>
  <w14:docId w14:val="2E4BA074"/>
  <w15:docId w15:val="{06C7DD1B-54F7-7A4F-AC31-1D141677EE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uk-GB" w:eastAsia="uk-UA"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uiPriority w:val="9"/>
    <w:qFormat/>
    <w:pPr>
      <w:outlineLvl w:val="0"/>
    </w:pPr>
    <w:rPr>
      <w:color w:val="2E74B5"/>
      <w:sz w:val="32"/>
      <w:szCs w:val="32"/>
    </w:rPr>
  </w:style>
  <w:style w:type="paragraph" w:styleId="2">
    <w:name w:val="heading 2"/>
    <w:uiPriority w:val="9"/>
    <w:semiHidden/>
    <w:unhideWhenUsed/>
    <w:qFormat/>
    <w:pPr>
      <w:outlineLvl w:val="1"/>
    </w:pPr>
    <w:rPr>
      <w:color w:val="2E74B5"/>
      <w:sz w:val="26"/>
      <w:szCs w:val="26"/>
    </w:rPr>
  </w:style>
  <w:style w:type="paragraph" w:styleId="3">
    <w:name w:val="heading 3"/>
    <w:uiPriority w:val="9"/>
    <w:semiHidden/>
    <w:unhideWhenUsed/>
    <w:qFormat/>
    <w:pPr>
      <w:outlineLvl w:val="2"/>
    </w:pPr>
    <w:rPr>
      <w:color w:val="1F4D78"/>
    </w:rPr>
  </w:style>
  <w:style w:type="paragraph" w:styleId="4">
    <w:name w:val="heading 4"/>
    <w:uiPriority w:val="9"/>
    <w:semiHidden/>
    <w:unhideWhenUsed/>
    <w:qFormat/>
    <w:pPr>
      <w:outlineLvl w:val="3"/>
    </w:pPr>
    <w:rPr>
      <w:i/>
      <w:iCs/>
      <w:color w:val="2E74B5"/>
    </w:rPr>
  </w:style>
  <w:style w:type="paragraph" w:styleId="5">
    <w:name w:val="heading 5"/>
    <w:uiPriority w:val="9"/>
    <w:semiHidden/>
    <w:unhideWhenUsed/>
    <w:qFormat/>
    <w:pPr>
      <w:outlineLvl w:val="4"/>
    </w:pPr>
    <w:rPr>
      <w:color w:val="2E74B5"/>
    </w:rPr>
  </w:style>
  <w:style w:type="paragraph" w:styleId="6">
    <w:name w:val="heading 6"/>
    <w:uiPriority w:val="9"/>
    <w:semiHidden/>
    <w:unhideWhenUsed/>
    <w:qFormat/>
    <w:pPr>
      <w:outlineLvl w:val="5"/>
    </w:pPr>
    <w:rPr>
      <w:color w:val="1F4D7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uiPriority w:val="10"/>
    <w:qFormat/>
    <w:rPr>
      <w:sz w:val="56"/>
      <w:szCs w:val="56"/>
    </w:rPr>
  </w:style>
  <w:style w:type="paragraph" w:customStyle="1" w:styleId="10">
    <w:name w:val="Строгий1"/>
    <w:qFormat/>
    <w:rPr>
      <w:b/>
      <w:bCs/>
    </w:rPr>
  </w:style>
  <w:style w:type="paragraph" w:styleId="a4">
    <w:name w:val="List Paragraph"/>
    <w:qFormat/>
  </w:style>
  <w:style w:type="character" w:styleId="a5">
    <w:name w:val="Hyperlink"/>
    <w:uiPriority w:val="99"/>
    <w:unhideWhenUsed/>
    <w:rPr>
      <w:color w:val="0563C1"/>
      <w:u w:val="single"/>
    </w:rPr>
  </w:style>
  <w:style w:type="character" w:styleId="a6">
    <w:name w:val="footnote reference"/>
    <w:uiPriority w:val="99"/>
    <w:semiHidden/>
    <w:unhideWhenUsed/>
    <w:rPr>
      <w:vertAlign w:val="superscript"/>
    </w:rPr>
  </w:style>
  <w:style w:type="paragraph" w:styleId="a7">
    <w:name w:val="footnote text"/>
    <w:link w:val="a8"/>
    <w:uiPriority w:val="99"/>
    <w:semiHidden/>
    <w:unhideWhenUsed/>
    <w:rPr>
      <w:sz w:val="20"/>
      <w:szCs w:val="20"/>
    </w:rPr>
  </w:style>
  <w:style w:type="character" w:customStyle="1" w:styleId="a8">
    <w:name w:val="Текст виноски Знак"/>
    <w:link w:val="a7"/>
    <w:uiPriority w:val="99"/>
    <w:semiHidden/>
    <w:unhideWhenUsed/>
    <w:rPr>
      <w:sz w:val="20"/>
      <w:szCs w:val="20"/>
    </w:rPr>
  </w:style>
  <w:style w:type="character" w:styleId="a9">
    <w:name w:val="endnote reference"/>
    <w:uiPriority w:val="99"/>
    <w:semiHidden/>
    <w:unhideWhenUsed/>
    <w:rPr>
      <w:vertAlign w:val="superscript"/>
    </w:rPr>
  </w:style>
  <w:style w:type="paragraph" w:styleId="aa">
    <w:name w:val="endnote text"/>
    <w:link w:val="ab"/>
    <w:uiPriority w:val="99"/>
    <w:semiHidden/>
    <w:unhideWhenUsed/>
    <w:rPr>
      <w:sz w:val="20"/>
      <w:szCs w:val="20"/>
    </w:rPr>
  </w:style>
  <w:style w:type="character" w:customStyle="1" w:styleId="ab">
    <w:name w:val="Текст кінцевої виноски Знак"/>
    <w:link w:val="aa"/>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Тема Office">
  <a:themeElements>
    <a:clrScheme name="Офіс">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Офіс">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фіс">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19</TotalTime>
  <Pages>6</Pages>
  <Words>7298</Words>
  <Characters>4161</Characters>
  <Application>Microsoft Office Word</Application>
  <DocSecurity>0</DocSecurity>
  <Lines>34</Lines>
  <Paragraphs>22</Paragraphs>
  <ScaleCrop>false</ScaleCrop>
  <Company/>
  <LinksUpToDate>false</LinksUpToDate>
  <CharactersWithSpaces>11437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Anastasiia Mykolaichuk (2439665)</cp:lastModifiedBy>
  <cp:revision>23</cp:revision>
  <dcterms:created xsi:type="dcterms:W3CDTF">2026-04-22T12:52:00Z</dcterms:created>
  <dcterms:modified xsi:type="dcterms:W3CDTF">2026-04-22T13:10:00Z</dcterms:modified>
</cp:coreProperties>
</file>