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4ABD51"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550EEA5" wp14:editId="5CDFE2E4">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84A421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AFA2BF5"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550EEA5"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84A4219"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4AFA2BF5"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14103274" wp14:editId="4C6C35A7">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BAB0F4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C76B3BE"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4103274"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7BAB0F4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C76B3BE"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64D98A0"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6E531345" wp14:editId="04172279">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7834114C" w14:textId="77777777" w:rsidR="00530E16" w:rsidRDefault="004468F8">
                            <w:pPr>
                              <w:spacing w:after="0" w:line="240" w:lineRule="auto"/>
                              <w:textDirection w:val="btLr"/>
                            </w:pPr>
                            <w:r>
                              <w:rPr>
                                <w:rFonts w:ascii="Play" w:eastAsia="Play" w:hAnsi="Play" w:cs="Play"/>
                                <w:color w:val="262626"/>
                                <w:sz w:val="72"/>
                              </w:rPr>
                              <w:t>Individual Report</w:t>
                            </w:r>
                          </w:p>
                          <w:p w14:paraId="00889889" w14:textId="77777777" w:rsidR="00530E16" w:rsidRDefault="004468F8">
                            <w:pPr>
                              <w:spacing w:before="120" w:line="277" w:lineRule="auto"/>
                              <w:textDirection w:val="btLr"/>
                            </w:pPr>
                            <w:r>
                              <w:rPr>
                                <w:color w:val="404040"/>
                                <w:sz w:val="36"/>
                              </w:rPr>
                              <w:t>Module Name: Digital Skills and Research Methods</w:t>
                            </w:r>
                          </w:p>
                          <w:p w14:paraId="13506011" w14:textId="77777777" w:rsidR="00530E16" w:rsidRDefault="004468F8">
                            <w:pPr>
                              <w:spacing w:before="120" w:line="277" w:lineRule="auto"/>
                              <w:textDirection w:val="btLr"/>
                            </w:pPr>
                            <w:r>
                              <w:rPr>
                                <w:color w:val="404040"/>
                                <w:sz w:val="36"/>
                              </w:rPr>
                              <w:t>Module Code: LCHS 4007</w:t>
                            </w:r>
                          </w:p>
                          <w:p w14:paraId="0D822AAC" w14:textId="0B278CAE" w:rsidR="00530E16" w:rsidRDefault="004468F8">
                            <w:pPr>
                              <w:spacing w:before="120" w:line="277" w:lineRule="auto"/>
                              <w:textDirection w:val="btLr"/>
                            </w:pPr>
                            <w:r>
                              <w:rPr>
                                <w:color w:val="404040"/>
                                <w:sz w:val="36"/>
                              </w:rPr>
                              <w:t xml:space="preserve">Student name: </w:t>
                            </w:r>
                            <w:r w:rsidR="00EE2396">
                              <w:rPr>
                                <w:color w:val="404040"/>
                                <w:sz w:val="36"/>
                              </w:rPr>
                              <w:t>KISSY KAYE PIMENTEL</w:t>
                            </w:r>
                          </w:p>
                          <w:p w14:paraId="55ABB3D4" w14:textId="6E139784" w:rsidR="00530E16" w:rsidRDefault="004468F8">
                            <w:pPr>
                              <w:spacing w:before="120" w:line="277" w:lineRule="auto"/>
                              <w:textDirection w:val="btLr"/>
                            </w:pPr>
                            <w:r>
                              <w:rPr>
                                <w:color w:val="404040"/>
                                <w:sz w:val="36"/>
                              </w:rPr>
                              <w:t>Student ID:</w:t>
                            </w:r>
                            <w:r w:rsidR="00EE2396">
                              <w:rPr>
                                <w:color w:val="404040"/>
                                <w:sz w:val="36"/>
                              </w:rPr>
                              <w:t xml:space="preserve"> 2530434</w:t>
                            </w:r>
                          </w:p>
                          <w:p w14:paraId="371EBC12" w14:textId="56F1C6A8" w:rsidR="00530E16" w:rsidRDefault="004468F8">
                            <w:pPr>
                              <w:spacing w:before="120" w:line="277" w:lineRule="auto"/>
                              <w:textDirection w:val="btLr"/>
                            </w:pPr>
                            <w:r>
                              <w:rPr>
                                <w:color w:val="404040"/>
                                <w:sz w:val="36"/>
                              </w:rPr>
                              <w:t xml:space="preserve">Lecturer’s Name: </w:t>
                            </w:r>
                            <w:r w:rsidR="00EE2396">
                              <w:rPr>
                                <w:color w:val="404040"/>
                                <w:sz w:val="36"/>
                              </w:rPr>
                              <w:t>DR. SADEQUE SHAIKH</w:t>
                            </w:r>
                          </w:p>
                        </w:txbxContent>
                      </wps:txbx>
                      <wps:bodyPr spcFirstLastPara="1" wrap="square" lIns="0" tIns="0" rIns="0" bIns="0" anchor="t" anchorCtr="0">
                        <a:noAutofit/>
                      </wps:bodyPr>
                    </wps:wsp>
                  </a:graphicData>
                </a:graphic>
              </wp:anchor>
            </w:drawing>
          </mc:Choice>
          <mc:Fallback>
            <w:pict>
              <v:rect w14:anchorId="6E531345"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7834114C" w14:textId="77777777" w:rsidR="00530E16" w:rsidRDefault="004468F8">
                      <w:pPr>
                        <w:spacing w:after="0" w:line="240" w:lineRule="auto"/>
                        <w:textDirection w:val="btLr"/>
                      </w:pPr>
                      <w:r>
                        <w:rPr>
                          <w:rFonts w:ascii="Play" w:eastAsia="Play" w:hAnsi="Play" w:cs="Play"/>
                          <w:color w:val="262626"/>
                          <w:sz w:val="72"/>
                        </w:rPr>
                        <w:t>Individual Report</w:t>
                      </w:r>
                    </w:p>
                    <w:p w14:paraId="00889889" w14:textId="77777777" w:rsidR="00530E16" w:rsidRDefault="004468F8">
                      <w:pPr>
                        <w:spacing w:before="120" w:line="277" w:lineRule="auto"/>
                        <w:textDirection w:val="btLr"/>
                      </w:pPr>
                      <w:r>
                        <w:rPr>
                          <w:color w:val="404040"/>
                          <w:sz w:val="36"/>
                        </w:rPr>
                        <w:t>Module Name: Digital Skills and Research Methods</w:t>
                      </w:r>
                    </w:p>
                    <w:p w14:paraId="13506011" w14:textId="77777777" w:rsidR="00530E16" w:rsidRDefault="004468F8">
                      <w:pPr>
                        <w:spacing w:before="120" w:line="277" w:lineRule="auto"/>
                        <w:textDirection w:val="btLr"/>
                      </w:pPr>
                      <w:r>
                        <w:rPr>
                          <w:color w:val="404040"/>
                          <w:sz w:val="36"/>
                        </w:rPr>
                        <w:t>Module Code: LCHS 4007</w:t>
                      </w:r>
                    </w:p>
                    <w:p w14:paraId="0D822AAC" w14:textId="0B278CAE" w:rsidR="00530E16" w:rsidRDefault="004468F8">
                      <w:pPr>
                        <w:spacing w:before="120" w:line="277" w:lineRule="auto"/>
                        <w:textDirection w:val="btLr"/>
                      </w:pPr>
                      <w:r>
                        <w:rPr>
                          <w:color w:val="404040"/>
                          <w:sz w:val="36"/>
                        </w:rPr>
                        <w:t xml:space="preserve">Student name: </w:t>
                      </w:r>
                      <w:r w:rsidR="00EE2396">
                        <w:rPr>
                          <w:color w:val="404040"/>
                          <w:sz w:val="36"/>
                        </w:rPr>
                        <w:t>KISSY KAYE PIMENTEL</w:t>
                      </w:r>
                    </w:p>
                    <w:p w14:paraId="55ABB3D4" w14:textId="6E139784" w:rsidR="00530E16" w:rsidRDefault="004468F8">
                      <w:pPr>
                        <w:spacing w:before="120" w:line="277" w:lineRule="auto"/>
                        <w:textDirection w:val="btLr"/>
                      </w:pPr>
                      <w:r>
                        <w:rPr>
                          <w:color w:val="404040"/>
                          <w:sz w:val="36"/>
                        </w:rPr>
                        <w:t>Student ID:</w:t>
                      </w:r>
                      <w:r w:rsidR="00EE2396">
                        <w:rPr>
                          <w:color w:val="404040"/>
                          <w:sz w:val="36"/>
                        </w:rPr>
                        <w:t xml:space="preserve"> 2530434</w:t>
                      </w:r>
                    </w:p>
                    <w:p w14:paraId="371EBC12" w14:textId="56F1C6A8" w:rsidR="00530E16" w:rsidRDefault="004468F8">
                      <w:pPr>
                        <w:spacing w:before="120" w:line="277" w:lineRule="auto"/>
                        <w:textDirection w:val="btLr"/>
                      </w:pPr>
                      <w:r>
                        <w:rPr>
                          <w:color w:val="404040"/>
                          <w:sz w:val="36"/>
                        </w:rPr>
                        <w:t xml:space="preserve">Lecturer’s Name: </w:t>
                      </w:r>
                      <w:r w:rsidR="00EE2396">
                        <w:rPr>
                          <w:color w:val="404040"/>
                          <w:sz w:val="36"/>
                        </w:rPr>
                        <w:t>DR. SADEQUE SHAIKH</w:t>
                      </w:r>
                    </w:p>
                  </w:txbxContent>
                </v:textbox>
                <w10:wrap anchorx="page" anchory="page"/>
              </v:rect>
            </w:pict>
          </mc:Fallback>
        </mc:AlternateContent>
      </w:r>
      <w:r>
        <w:br w:type="page"/>
      </w:r>
    </w:p>
    <w:p w14:paraId="79E527E9" w14:textId="77777777" w:rsidR="00530E16" w:rsidRDefault="00530E16">
      <w:pPr>
        <w:rPr>
          <w:rFonts w:ascii="Arial" w:eastAsia="Arial" w:hAnsi="Arial" w:cs="Arial"/>
        </w:rPr>
      </w:pPr>
    </w:p>
    <w:p w14:paraId="67390429"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1161961A"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67C82AED"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0523AAE1"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445F38F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1419B45A"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392898E4"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657E4582"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383D6E8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27C63D3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7B27FADD"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47CFE8D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0E248A5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2ADC570B"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62040B4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5030705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6D5193A3"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6D99C79A"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3F8B54A8"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5F3B98A8" w14:textId="77777777" w:rsidR="00530E16" w:rsidRPr="00CF650B" w:rsidRDefault="004468F8">
          <w:r>
            <w:fldChar w:fldCharType="end"/>
          </w:r>
        </w:p>
      </w:sdtContent>
    </w:sdt>
    <w:p w14:paraId="0C5C46E4" w14:textId="77777777" w:rsidR="00530E16" w:rsidRDefault="00530E16">
      <w:pPr>
        <w:rPr>
          <w:rFonts w:ascii="Arial" w:eastAsia="Arial" w:hAnsi="Arial" w:cs="Arial"/>
        </w:rPr>
      </w:pPr>
    </w:p>
    <w:p w14:paraId="4B1854D8" w14:textId="77777777" w:rsidR="00530E16" w:rsidRDefault="00530E16">
      <w:pPr>
        <w:rPr>
          <w:rFonts w:ascii="Arial" w:eastAsia="Arial" w:hAnsi="Arial" w:cs="Arial"/>
        </w:rPr>
      </w:pPr>
    </w:p>
    <w:p w14:paraId="7F7BCF43" w14:textId="77777777" w:rsidR="00530E16" w:rsidRDefault="00530E16">
      <w:pPr>
        <w:rPr>
          <w:rFonts w:ascii="Arial" w:eastAsia="Arial" w:hAnsi="Arial" w:cs="Arial"/>
        </w:rPr>
      </w:pPr>
    </w:p>
    <w:p w14:paraId="4BCB33A7" w14:textId="77777777" w:rsidR="00530E16" w:rsidRDefault="00530E16">
      <w:pPr>
        <w:rPr>
          <w:rFonts w:ascii="Arial" w:eastAsia="Arial" w:hAnsi="Arial" w:cs="Arial"/>
        </w:rPr>
      </w:pPr>
    </w:p>
    <w:p w14:paraId="4D896050" w14:textId="77777777" w:rsidR="00530E16" w:rsidRDefault="00530E16">
      <w:pPr>
        <w:rPr>
          <w:rFonts w:ascii="Arial" w:eastAsia="Arial" w:hAnsi="Arial" w:cs="Arial"/>
        </w:rPr>
      </w:pPr>
    </w:p>
    <w:p w14:paraId="2A40C451" w14:textId="77777777" w:rsidR="00530E16" w:rsidRDefault="00530E16">
      <w:pPr>
        <w:rPr>
          <w:rFonts w:ascii="Arial" w:eastAsia="Arial" w:hAnsi="Arial" w:cs="Arial"/>
        </w:rPr>
      </w:pPr>
    </w:p>
    <w:p w14:paraId="11B81672" w14:textId="77777777" w:rsidR="00530E16" w:rsidRDefault="00530E16">
      <w:pPr>
        <w:rPr>
          <w:rFonts w:ascii="Arial" w:eastAsia="Arial" w:hAnsi="Arial" w:cs="Arial"/>
        </w:rPr>
      </w:pPr>
    </w:p>
    <w:p w14:paraId="5E41BDAC" w14:textId="77777777" w:rsidR="00530E16" w:rsidRDefault="00530E16">
      <w:pPr>
        <w:rPr>
          <w:rFonts w:ascii="Arial" w:eastAsia="Arial" w:hAnsi="Arial" w:cs="Arial"/>
        </w:rPr>
      </w:pPr>
    </w:p>
    <w:p w14:paraId="1B165A69" w14:textId="77777777" w:rsidR="00530E16" w:rsidRDefault="00530E16">
      <w:pPr>
        <w:rPr>
          <w:rFonts w:ascii="Arial" w:eastAsia="Arial" w:hAnsi="Arial" w:cs="Arial"/>
        </w:rPr>
      </w:pPr>
    </w:p>
    <w:p w14:paraId="43972957"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1919B51E" w14:textId="77777777" w:rsidR="00530E16" w:rsidRDefault="00530E16">
      <w:pPr>
        <w:rPr>
          <w:rFonts w:ascii="Arial" w:eastAsia="Arial" w:hAnsi="Arial" w:cs="Arial"/>
        </w:rPr>
      </w:pPr>
    </w:p>
    <w:p w14:paraId="0A45F075" w14:textId="77777777" w:rsidR="00575E73" w:rsidRPr="00575E73" w:rsidRDefault="00575E73" w:rsidP="009227F3">
      <w:pPr>
        <w:pStyle w:val="Heading1"/>
        <w:spacing w:line="360" w:lineRule="auto"/>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472DC491" w14:textId="6E62BEAA" w:rsidR="00575E73" w:rsidRPr="00575E73" w:rsidRDefault="00CF6F9F" w:rsidP="009227F3">
      <w:pPr>
        <w:spacing w:line="360" w:lineRule="auto"/>
        <w:rPr>
          <w:rFonts w:ascii="Arial" w:eastAsia="Arial" w:hAnsi="Arial" w:cs="Arial"/>
          <w:sz w:val="22"/>
          <w:szCs w:val="22"/>
        </w:rPr>
      </w:pPr>
      <w:r>
        <w:rPr>
          <w:rFonts w:ascii="Arial" w:eastAsia="Arial" w:hAnsi="Arial" w:cs="Arial"/>
          <w:sz w:val="22"/>
          <w:szCs w:val="22"/>
        </w:rPr>
        <w:t xml:space="preserve">Elderly care in the United Kingdom is designed to meet the physical, emotional, and social needs of the older adults while promoting independence, dignity and overall, wellbeing. This report focuses on older people experiencing case within United Kingdom care settings, including residential and nursing homes, domiciliary care services and NHS-linked provision. It aims to examine the needs of the ageing population, evaluate the role of care staff in supporting older people, identify key challenges within </w:t>
      </w:r>
      <w:r w:rsidR="00842489">
        <w:rPr>
          <w:rFonts w:ascii="Arial" w:eastAsia="Arial" w:hAnsi="Arial" w:cs="Arial"/>
          <w:sz w:val="22"/>
          <w:szCs w:val="22"/>
        </w:rPr>
        <w:t>elderly care, and emphasise the importance of person-centred and compassionate care in accordance with UK policies and standards.</w:t>
      </w:r>
    </w:p>
    <w:p w14:paraId="41DAD0AF" w14:textId="77777777" w:rsidR="00575E73" w:rsidRPr="00575E73" w:rsidRDefault="00575E73" w:rsidP="009227F3">
      <w:pPr>
        <w:pStyle w:val="Heading1"/>
        <w:spacing w:line="360" w:lineRule="auto"/>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02849388" w14:textId="77777777" w:rsidR="00575E73" w:rsidRPr="00575E73" w:rsidRDefault="00575E73" w:rsidP="009227F3">
      <w:pPr>
        <w:pStyle w:val="Heading2"/>
        <w:spacing w:line="360" w:lineRule="auto"/>
        <w:rPr>
          <w:rFonts w:eastAsia="Arial"/>
        </w:rPr>
      </w:pPr>
      <w:bookmarkStart w:id="2" w:name="_Toc225024737"/>
      <w:r w:rsidRPr="00575E73">
        <w:rPr>
          <w:rFonts w:eastAsia="Arial"/>
        </w:rPr>
        <w:t>1.1 The Issue and Why It Matters</w:t>
      </w:r>
      <w:bookmarkEnd w:id="2"/>
    </w:p>
    <w:p w14:paraId="6F9AE8AF" w14:textId="3990E21F" w:rsidR="00575E73" w:rsidRPr="00575E73" w:rsidRDefault="00842489" w:rsidP="009227F3">
      <w:pPr>
        <w:spacing w:line="360" w:lineRule="auto"/>
        <w:rPr>
          <w:rFonts w:ascii="Arial" w:eastAsia="Arial" w:hAnsi="Arial" w:cs="Arial"/>
          <w:sz w:val="22"/>
          <w:szCs w:val="22"/>
        </w:rPr>
      </w:pPr>
      <w:r>
        <w:rPr>
          <w:rFonts w:ascii="Arial" w:eastAsia="Arial" w:hAnsi="Arial" w:cs="Arial"/>
          <w:sz w:val="22"/>
          <w:szCs w:val="22"/>
        </w:rPr>
        <w:t>A major issue currently affecting elderly care in the UK is workforce shortages within health and social care services, particularly in adult social care, as the ageing population continues to grow, the demand for care has increased more rapidly than the availability of trained staff. This shortage mainly affects older people aged 65 and over who rely on support with daily living, personal care and medication, leading to unmet needs and reduce independence. Care workers are also impacted due to increased workloads, stress and burnout, while families and unpaid carers often face additional pressure when services are limited. Workforce shortages are significant because they directly affect the qua</w:t>
      </w:r>
      <w:r w:rsidR="00567F0D">
        <w:rPr>
          <w:rFonts w:ascii="Arial" w:eastAsia="Arial" w:hAnsi="Arial" w:cs="Arial"/>
          <w:sz w:val="22"/>
          <w:szCs w:val="22"/>
        </w:rPr>
        <w:t>lity, safety, and availability of care, and without action, this issue may result in poorer health outcomes for older people and increase pressure on NHS and social care services.</w:t>
      </w:r>
    </w:p>
    <w:p w14:paraId="24DD7C4F" w14:textId="77777777" w:rsidR="00575E73" w:rsidRPr="00575E73" w:rsidRDefault="00575E73" w:rsidP="009227F3">
      <w:pPr>
        <w:pStyle w:val="Heading2"/>
        <w:spacing w:line="360" w:lineRule="auto"/>
        <w:rPr>
          <w:rFonts w:eastAsia="Arial"/>
        </w:rPr>
      </w:pPr>
      <w:bookmarkStart w:id="3" w:name="_Toc225024738"/>
      <w:r w:rsidRPr="00575E73">
        <w:rPr>
          <w:rFonts w:eastAsia="Arial"/>
        </w:rPr>
        <w:t>1.2 Personal Reflection – Why I Chose This Topic</w:t>
      </w:r>
      <w:bookmarkEnd w:id="3"/>
    </w:p>
    <w:p w14:paraId="14F9EAD9" w14:textId="0B693E93" w:rsidR="00575E73" w:rsidRPr="00575E73" w:rsidRDefault="00567F0D" w:rsidP="009227F3">
      <w:pPr>
        <w:spacing w:line="360" w:lineRule="auto"/>
        <w:rPr>
          <w:rFonts w:ascii="Arial" w:eastAsia="Arial" w:hAnsi="Arial" w:cs="Arial"/>
          <w:sz w:val="22"/>
          <w:szCs w:val="22"/>
        </w:rPr>
      </w:pPr>
      <w:r>
        <w:rPr>
          <w:rFonts w:ascii="Arial" w:eastAsia="Arial" w:hAnsi="Arial" w:cs="Arial"/>
          <w:sz w:val="22"/>
          <w:szCs w:val="22"/>
        </w:rPr>
        <w:t>My interest in the ageing population and elderly care has developed through my studies in health and social care. Where I have learned how ageing affects individuals physically, emotionally, and socially. This has helped me understand the importance of providing respectful, person-centred care that promotes dignity, independence, and wellbeing. Learning about key areas such as safeguarding, communi</w:t>
      </w:r>
      <w:r w:rsidR="0081174A">
        <w:rPr>
          <w:rFonts w:ascii="Arial" w:eastAsia="Arial" w:hAnsi="Arial" w:cs="Arial"/>
          <w:sz w:val="22"/>
          <w:szCs w:val="22"/>
        </w:rPr>
        <w:t>cation, and long-term health conditions including dementia and mobility issues, has highlighted the vital role if care professionals in supporting older people and reducing isolation. As a result, I am motivated to pursue a career within a UK health or social care</w:t>
      </w:r>
      <w:r w:rsidR="0081174A">
        <w:rPr>
          <w:rFonts w:ascii="Arial" w:eastAsia="Arial" w:hAnsi="Arial" w:cs="Arial"/>
          <w:sz w:val="22"/>
          <w:szCs w:val="22"/>
        </w:rPr>
        <w:tab/>
        <w:t>setting that supports older adults and to develop the skills and professionalism needed to make a positive difference in their lives.</w:t>
      </w:r>
    </w:p>
    <w:p w14:paraId="02459334" w14:textId="422CD482" w:rsidR="0081174A" w:rsidRDefault="00575E73" w:rsidP="009227F3">
      <w:pPr>
        <w:pStyle w:val="Heading1"/>
        <w:spacing w:line="360" w:lineRule="auto"/>
        <w:rPr>
          <w:rFonts w:eastAsia="Arial"/>
        </w:rPr>
      </w:pPr>
      <w:bookmarkStart w:id="4" w:name="_Toc225024739"/>
      <w:r w:rsidRPr="00575E73">
        <w:rPr>
          <w:rFonts w:eastAsia="Arial"/>
        </w:rPr>
        <w:lastRenderedPageBreak/>
        <w:t>Task 2 – Evaluating Information Sources</w:t>
      </w:r>
      <w:bookmarkEnd w:id="4"/>
      <w:r w:rsidRPr="00575E73">
        <w:rPr>
          <w:rFonts w:eastAsia="Arial"/>
        </w:rPr>
        <w:t xml:space="preserve">  </w:t>
      </w:r>
      <w:bookmarkStart w:id="5" w:name="_Toc225024740"/>
    </w:p>
    <w:p w14:paraId="4E15D8CD" w14:textId="75658E47" w:rsidR="00575E73" w:rsidRDefault="00575E73" w:rsidP="009227F3">
      <w:pPr>
        <w:pStyle w:val="Heading2"/>
        <w:spacing w:line="360" w:lineRule="auto"/>
        <w:rPr>
          <w:rFonts w:eastAsia="Arial"/>
        </w:rPr>
      </w:pPr>
      <w:r w:rsidRPr="00575E73">
        <w:rPr>
          <w:rFonts w:eastAsia="Arial"/>
        </w:rPr>
        <w:t>2.1 Source 1</w:t>
      </w:r>
      <w:bookmarkEnd w:id="5"/>
    </w:p>
    <w:p w14:paraId="16341EA7" w14:textId="77777777" w:rsidR="0081174A" w:rsidRPr="00AF62E9" w:rsidRDefault="0081174A" w:rsidP="009227F3">
      <w:pPr>
        <w:spacing w:line="360" w:lineRule="auto"/>
        <w:rPr>
          <w:rFonts w:ascii="Arial" w:eastAsia="Arial" w:hAnsi="Arial" w:cs="Arial"/>
          <w:b/>
          <w:bCs/>
          <w:sz w:val="22"/>
          <w:szCs w:val="22"/>
        </w:rPr>
      </w:pPr>
      <w:r w:rsidRPr="00AF62E9">
        <w:rPr>
          <w:rFonts w:ascii="Arial" w:eastAsia="Arial" w:hAnsi="Arial" w:cs="Arial"/>
          <w:b/>
          <w:bCs/>
          <w:sz w:val="22"/>
          <w:szCs w:val="22"/>
        </w:rPr>
        <w:t>Full Harvard Reference</w:t>
      </w:r>
    </w:p>
    <w:p w14:paraId="6888BB91" w14:textId="77777777" w:rsidR="0081174A" w:rsidRDefault="0081174A" w:rsidP="009227F3">
      <w:pPr>
        <w:spacing w:line="360" w:lineRule="auto"/>
        <w:rPr>
          <w:rFonts w:ascii="Arial" w:eastAsia="Arial" w:hAnsi="Arial" w:cs="Arial"/>
          <w:sz w:val="22"/>
          <w:szCs w:val="22"/>
        </w:rPr>
      </w:pPr>
      <w:r w:rsidRPr="00AF62E9">
        <w:rPr>
          <w:rFonts w:ascii="Arial" w:eastAsia="Arial" w:hAnsi="Arial" w:cs="Arial"/>
          <w:sz w:val="22"/>
          <w:szCs w:val="22"/>
        </w:rPr>
        <w:t xml:space="preserve">Age UK (2024) </w:t>
      </w:r>
      <w:r w:rsidRPr="00AF62E9">
        <w:rPr>
          <w:rFonts w:ascii="Arial" w:eastAsia="Arial" w:hAnsi="Arial" w:cs="Arial"/>
          <w:i/>
          <w:iCs/>
          <w:sz w:val="22"/>
          <w:szCs w:val="22"/>
        </w:rPr>
        <w:t>The state of health and care of older people in England 2024</w:t>
      </w:r>
      <w:r w:rsidRPr="00AF62E9">
        <w:rPr>
          <w:rFonts w:ascii="Arial" w:eastAsia="Arial" w:hAnsi="Arial" w:cs="Arial"/>
          <w:sz w:val="22"/>
          <w:szCs w:val="22"/>
        </w:rPr>
        <w:t>. London: Age UK. Available at: https://www.ageuk.org.uk/discover/2024/september/state-of-health-and-care-of-older-people-in-england-2024/ (Accessed: 12 April 2026).</w:t>
      </w:r>
    </w:p>
    <w:p w14:paraId="77F6B2DF" w14:textId="5BF05B47" w:rsidR="0081174A" w:rsidRDefault="0081174A" w:rsidP="009227F3">
      <w:pPr>
        <w:spacing w:line="360" w:lineRule="auto"/>
        <w:rPr>
          <w:rFonts w:ascii="Arial" w:eastAsia="Arial" w:hAnsi="Arial" w:cs="Arial"/>
          <w:sz w:val="22"/>
          <w:szCs w:val="22"/>
        </w:rPr>
      </w:pPr>
      <w:r>
        <w:rPr>
          <w:rFonts w:ascii="Arial" w:eastAsia="Arial" w:hAnsi="Arial" w:cs="Arial"/>
          <w:sz w:val="22"/>
          <w:szCs w:val="22"/>
        </w:rPr>
        <w:t>An Age UK report examines that the health and social care needs of older people in England and highlights how many of these needs are not being met. It shows that the ageing population, particularly those aged 75 and over, is growing rapidly</w:t>
      </w:r>
      <w:r w:rsidR="003E6893">
        <w:rPr>
          <w:rFonts w:ascii="Arial" w:eastAsia="Arial" w:hAnsi="Arial" w:cs="Arial"/>
          <w:sz w:val="22"/>
          <w:szCs w:val="22"/>
        </w:rPr>
        <w:t xml:space="preserve"> and placing increased pressure on health and social care services</w:t>
      </w:r>
      <w:r w:rsidR="0010740B">
        <w:rPr>
          <w:rFonts w:ascii="Arial" w:eastAsia="Arial" w:hAnsi="Arial" w:cs="Arial"/>
          <w:sz w:val="22"/>
          <w:szCs w:val="22"/>
        </w:rPr>
        <w:t xml:space="preserve"> (</w:t>
      </w:r>
      <w:proofErr w:type="spellStart"/>
      <w:r w:rsidR="0010740B">
        <w:rPr>
          <w:rFonts w:ascii="Arial" w:eastAsia="Arial" w:hAnsi="Arial" w:cs="Arial"/>
          <w:sz w:val="22"/>
          <w:szCs w:val="22"/>
        </w:rPr>
        <w:t>AgeUK</w:t>
      </w:r>
      <w:proofErr w:type="spellEnd"/>
      <w:r w:rsidR="0010740B">
        <w:rPr>
          <w:rFonts w:ascii="Arial" w:eastAsia="Arial" w:hAnsi="Arial" w:cs="Arial"/>
          <w:sz w:val="22"/>
          <w:szCs w:val="22"/>
        </w:rPr>
        <w:t>, 2024)</w:t>
      </w:r>
      <w:r w:rsidR="003E6893">
        <w:rPr>
          <w:rFonts w:ascii="Arial" w:eastAsia="Arial" w:hAnsi="Arial" w:cs="Arial"/>
          <w:sz w:val="22"/>
          <w:szCs w:val="22"/>
        </w:rPr>
        <w:t>. The report states that around two million people aged 65 and over have unmet care needs, meaning the struggle with everyday activities such as washing, dressing, and moving around without enough support. As well-known and trusted UK charity, Age UK</w:t>
      </w:r>
      <w:r w:rsidR="0010740B">
        <w:rPr>
          <w:rFonts w:ascii="Arial" w:eastAsia="Arial" w:hAnsi="Arial" w:cs="Arial"/>
          <w:sz w:val="22"/>
          <w:szCs w:val="22"/>
        </w:rPr>
        <w:t xml:space="preserve"> </w:t>
      </w:r>
      <w:r w:rsidR="003E6893">
        <w:rPr>
          <w:rFonts w:ascii="Arial" w:eastAsia="Arial" w:hAnsi="Arial" w:cs="Arial"/>
          <w:sz w:val="22"/>
          <w:szCs w:val="22"/>
        </w:rPr>
        <w:t>uses up-to-date national data and evidence-based research, making the information reliable. The report supports understanding of elderly care by demonstrating the impact of service shortages and emphasising the need for person-centred care, adequate funding and a skilled workforce to maintain dignity, independence and wellbeing for older people.</w:t>
      </w:r>
    </w:p>
    <w:p w14:paraId="571EFB3B" w14:textId="77777777" w:rsidR="008C1444" w:rsidRDefault="008C1444" w:rsidP="009227F3">
      <w:pPr>
        <w:spacing w:line="360" w:lineRule="auto"/>
        <w:rPr>
          <w:rFonts w:ascii="Arial" w:eastAsia="Arial" w:hAnsi="Arial" w:cs="Arial"/>
          <w:sz w:val="22"/>
          <w:szCs w:val="22"/>
        </w:rPr>
      </w:pPr>
    </w:p>
    <w:p w14:paraId="6A37EC47" w14:textId="141EC027" w:rsidR="008C1444" w:rsidRPr="008C1444" w:rsidRDefault="008C1444" w:rsidP="009227F3">
      <w:pPr>
        <w:spacing w:line="360" w:lineRule="auto"/>
        <w:rPr>
          <w:rFonts w:ascii="Arial" w:eastAsia="Arial" w:hAnsi="Arial" w:cs="Arial"/>
          <w:sz w:val="22"/>
          <w:szCs w:val="22"/>
        </w:rPr>
      </w:pPr>
      <w:r w:rsidRPr="008C1444">
        <w:rPr>
          <w:rFonts w:ascii="Arial" w:eastAsia="Arial" w:hAnsi="Arial" w:cs="Arial"/>
          <w:noProof/>
          <w:sz w:val="22"/>
          <w:szCs w:val="22"/>
        </w:rPr>
        <w:drawing>
          <wp:inline distT="0" distB="0" distL="0" distR="0" wp14:anchorId="75DAE960" wp14:editId="3D7B5A11">
            <wp:extent cx="5731510" cy="2693670"/>
            <wp:effectExtent l="0" t="0" r="2540" b="0"/>
            <wp:docPr id="61145721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693670"/>
                    </a:xfrm>
                    <a:prstGeom prst="rect">
                      <a:avLst/>
                    </a:prstGeom>
                    <a:noFill/>
                    <a:ln>
                      <a:noFill/>
                    </a:ln>
                  </pic:spPr>
                </pic:pic>
              </a:graphicData>
            </a:graphic>
          </wp:inline>
        </w:drawing>
      </w:r>
    </w:p>
    <w:p w14:paraId="34D55B21" w14:textId="77777777" w:rsidR="008C1444" w:rsidRPr="00AF62E9" w:rsidRDefault="008C1444" w:rsidP="009227F3">
      <w:pPr>
        <w:spacing w:line="360" w:lineRule="auto"/>
        <w:rPr>
          <w:rFonts w:ascii="Arial" w:eastAsia="Arial" w:hAnsi="Arial" w:cs="Arial"/>
          <w:sz w:val="22"/>
          <w:szCs w:val="22"/>
        </w:rPr>
      </w:pPr>
    </w:p>
    <w:p w14:paraId="5DAA1D2E" w14:textId="77777777" w:rsidR="00575E73" w:rsidRPr="00575E73" w:rsidRDefault="00575E73" w:rsidP="009227F3">
      <w:pPr>
        <w:spacing w:line="360" w:lineRule="auto"/>
        <w:rPr>
          <w:rFonts w:ascii="Arial" w:eastAsia="Arial" w:hAnsi="Arial" w:cs="Arial"/>
          <w:sz w:val="22"/>
          <w:szCs w:val="22"/>
        </w:rPr>
      </w:pPr>
    </w:p>
    <w:p w14:paraId="622E57BC" w14:textId="77777777" w:rsidR="00575E73" w:rsidRDefault="00575E73" w:rsidP="009227F3">
      <w:pPr>
        <w:pStyle w:val="Heading2"/>
        <w:spacing w:line="360" w:lineRule="auto"/>
        <w:rPr>
          <w:rFonts w:eastAsia="Arial"/>
        </w:rPr>
      </w:pPr>
      <w:bookmarkStart w:id="6" w:name="_Toc225024741"/>
      <w:r w:rsidRPr="00575E73">
        <w:rPr>
          <w:rFonts w:eastAsia="Arial"/>
        </w:rPr>
        <w:lastRenderedPageBreak/>
        <w:t>2.2 Source 2</w:t>
      </w:r>
      <w:bookmarkEnd w:id="6"/>
    </w:p>
    <w:p w14:paraId="19DFAE03" w14:textId="77777777" w:rsidR="004461A9" w:rsidRPr="00AF62E9" w:rsidRDefault="004461A9" w:rsidP="009227F3">
      <w:pPr>
        <w:spacing w:line="360" w:lineRule="auto"/>
        <w:rPr>
          <w:rFonts w:ascii="Arial" w:eastAsia="Arial" w:hAnsi="Arial" w:cs="Arial"/>
          <w:b/>
          <w:bCs/>
          <w:sz w:val="22"/>
          <w:szCs w:val="22"/>
        </w:rPr>
      </w:pPr>
      <w:r w:rsidRPr="00AF62E9">
        <w:rPr>
          <w:rFonts w:ascii="Arial" w:eastAsia="Arial" w:hAnsi="Arial" w:cs="Arial"/>
          <w:b/>
          <w:bCs/>
          <w:sz w:val="22"/>
          <w:szCs w:val="22"/>
        </w:rPr>
        <w:t>Full Harvard Reference</w:t>
      </w:r>
    </w:p>
    <w:p w14:paraId="35236FAC" w14:textId="77777777" w:rsidR="004461A9" w:rsidRPr="00AF62E9" w:rsidRDefault="004461A9" w:rsidP="009227F3">
      <w:pPr>
        <w:spacing w:line="360" w:lineRule="auto"/>
        <w:rPr>
          <w:rFonts w:ascii="Arial" w:eastAsia="Arial" w:hAnsi="Arial" w:cs="Arial"/>
          <w:sz w:val="22"/>
          <w:szCs w:val="22"/>
        </w:rPr>
      </w:pPr>
      <w:r w:rsidRPr="00AF62E9">
        <w:rPr>
          <w:rFonts w:ascii="Arial" w:eastAsia="Arial" w:hAnsi="Arial" w:cs="Arial"/>
          <w:sz w:val="22"/>
          <w:szCs w:val="22"/>
        </w:rPr>
        <w:t xml:space="preserve">Department of Health and Social Care (2025) </w:t>
      </w:r>
      <w:r w:rsidRPr="00AF62E9">
        <w:rPr>
          <w:rFonts w:ascii="Arial" w:eastAsia="Arial" w:hAnsi="Arial" w:cs="Arial"/>
          <w:i/>
          <w:iCs/>
          <w:sz w:val="22"/>
          <w:szCs w:val="22"/>
        </w:rPr>
        <w:t>Adult social care workforce survey: April 2025</w:t>
      </w:r>
      <w:r w:rsidRPr="00AF62E9">
        <w:rPr>
          <w:rFonts w:ascii="Arial" w:eastAsia="Arial" w:hAnsi="Arial" w:cs="Arial"/>
          <w:sz w:val="22"/>
          <w:szCs w:val="22"/>
        </w:rPr>
        <w:t>. London: GOV.UK. Available at: https://www.gov.uk/government/statistics/adult-social-care-workforce-survey-april-2025/adult-social-care-workforce-survey-april-2025-report (Accessed: 12 April 2026).</w:t>
      </w:r>
    </w:p>
    <w:p w14:paraId="4B5BBFF3" w14:textId="77777777" w:rsidR="004461A9" w:rsidRPr="004461A9" w:rsidRDefault="004461A9" w:rsidP="009227F3">
      <w:pPr>
        <w:spacing w:line="360" w:lineRule="auto"/>
      </w:pPr>
    </w:p>
    <w:p w14:paraId="46957527" w14:textId="21AD263E" w:rsidR="00575E73" w:rsidRDefault="00266C70" w:rsidP="009227F3">
      <w:pPr>
        <w:spacing w:line="360" w:lineRule="auto"/>
        <w:rPr>
          <w:rFonts w:ascii="Arial" w:eastAsia="Arial" w:hAnsi="Arial" w:cs="Arial"/>
          <w:sz w:val="22"/>
          <w:szCs w:val="22"/>
        </w:rPr>
      </w:pPr>
      <w:r>
        <w:rPr>
          <w:rFonts w:ascii="Arial" w:eastAsia="Arial" w:hAnsi="Arial" w:cs="Arial"/>
          <w:sz w:val="22"/>
          <w:szCs w:val="22"/>
        </w:rPr>
        <w:t>A government based on a national survey of CQC-registered adult social care providers in England examines workforce capacity, recruitment, and retention within services such as residential care homes, and domiciliary care. The findings show significant staffing shortages, with over 70%of providers reporting difficulties recruiting staff and many expressing concern about maintaining current service levels, particularly in services supporting elder people (</w:t>
      </w:r>
      <w:proofErr w:type="spellStart"/>
      <w:r>
        <w:rPr>
          <w:rFonts w:ascii="Arial" w:eastAsia="Arial" w:hAnsi="Arial" w:cs="Arial"/>
          <w:sz w:val="22"/>
          <w:szCs w:val="22"/>
        </w:rPr>
        <w:t>AgeUK</w:t>
      </w:r>
      <w:proofErr w:type="spellEnd"/>
      <w:r>
        <w:rPr>
          <w:rFonts w:ascii="Arial" w:eastAsia="Arial" w:hAnsi="Arial" w:cs="Arial"/>
          <w:sz w:val="22"/>
          <w:szCs w:val="22"/>
        </w:rPr>
        <w:t>, 2025). Published by the Department of Health and Social Care</w:t>
      </w:r>
      <w:r w:rsidR="0010740B">
        <w:rPr>
          <w:rFonts w:ascii="Arial" w:eastAsia="Arial" w:hAnsi="Arial" w:cs="Arial"/>
          <w:sz w:val="22"/>
          <w:szCs w:val="22"/>
        </w:rPr>
        <w:t xml:space="preserve"> (2025)</w:t>
      </w:r>
      <w:r>
        <w:rPr>
          <w:rFonts w:ascii="Arial" w:eastAsia="Arial" w:hAnsi="Arial" w:cs="Arial"/>
          <w:sz w:val="22"/>
          <w:szCs w:val="22"/>
        </w:rPr>
        <w:t xml:space="preserve"> and based on data from regulated providers, the report is a reliable and authoritative source. It supports</w:t>
      </w:r>
      <w:r w:rsidR="004461A9">
        <w:rPr>
          <w:rFonts w:ascii="Arial" w:eastAsia="Arial" w:hAnsi="Arial" w:cs="Arial"/>
          <w:sz w:val="22"/>
          <w:szCs w:val="22"/>
        </w:rPr>
        <w:t xml:space="preserve"> understanding of elderly care by demonstrating how workforce shortages threatened the quality and continuity of care for older adults and highlights the importance of effective planning, training and fair pay to meet the needs of the growing ageing population.</w:t>
      </w:r>
    </w:p>
    <w:p w14:paraId="42EC5C77" w14:textId="77777777" w:rsidR="004461A9" w:rsidRDefault="004461A9" w:rsidP="009227F3">
      <w:pPr>
        <w:spacing w:line="360" w:lineRule="auto"/>
        <w:rPr>
          <w:rFonts w:ascii="Arial" w:eastAsia="Arial" w:hAnsi="Arial" w:cs="Arial"/>
          <w:sz w:val="22"/>
          <w:szCs w:val="22"/>
        </w:rPr>
      </w:pPr>
    </w:p>
    <w:p w14:paraId="52AC6790" w14:textId="08BB6479" w:rsidR="004461A9" w:rsidRPr="004461A9" w:rsidRDefault="004461A9" w:rsidP="009227F3">
      <w:pPr>
        <w:spacing w:line="360" w:lineRule="auto"/>
        <w:rPr>
          <w:rFonts w:ascii="Arial" w:eastAsia="Arial" w:hAnsi="Arial" w:cs="Arial"/>
          <w:sz w:val="22"/>
          <w:szCs w:val="22"/>
        </w:rPr>
      </w:pPr>
      <w:r w:rsidRPr="004461A9">
        <w:rPr>
          <w:rFonts w:ascii="Arial" w:eastAsia="Arial" w:hAnsi="Arial" w:cs="Arial"/>
          <w:noProof/>
          <w:sz w:val="22"/>
          <w:szCs w:val="22"/>
        </w:rPr>
        <w:drawing>
          <wp:inline distT="0" distB="0" distL="0" distR="0" wp14:anchorId="46CD7272" wp14:editId="3A39C2F2">
            <wp:extent cx="5731510" cy="2998470"/>
            <wp:effectExtent l="0" t="0" r="2540" b="0"/>
            <wp:docPr id="58936458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998470"/>
                    </a:xfrm>
                    <a:prstGeom prst="rect">
                      <a:avLst/>
                    </a:prstGeom>
                    <a:noFill/>
                    <a:ln>
                      <a:noFill/>
                    </a:ln>
                  </pic:spPr>
                </pic:pic>
              </a:graphicData>
            </a:graphic>
          </wp:inline>
        </w:drawing>
      </w:r>
    </w:p>
    <w:p w14:paraId="31ED1737" w14:textId="77777777" w:rsidR="004461A9" w:rsidRPr="00575E73" w:rsidRDefault="004461A9" w:rsidP="009227F3">
      <w:pPr>
        <w:spacing w:line="360" w:lineRule="auto"/>
        <w:rPr>
          <w:rFonts w:ascii="Arial" w:eastAsia="Arial" w:hAnsi="Arial" w:cs="Arial"/>
          <w:sz w:val="22"/>
          <w:szCs w:val="22"/>
        </w:rPr>
      </w:pPr>
    </w:p>
    <w:p w14:paraId="6EBC2B83" w14:textId="77777777" w:rsidR="00575E73" w:rsidRDefault="00432D05" w:rsidP="009227F3">
      <w:pPr>
        <w:pStyle w:val="Heading2"/>
        <w:spacing w:line="360" w:lineRule="auto"/>
        <w:rPr>
          <w:rFonts w:eastAsia="Arial"/>
        </w:rPr>
      </w:pPr>
      <w:bookmarkStart w:id="7" w:name="_Toc225024742"/>
      <w:r w:rsidRPr="00575E73">
        <w:rPr>
          <w:rFonts w:eastAsia="Arial"/>
        </w:rPr>
        <w:lastRenderedPageBreak/>
        <w:t>2.3 Source</w:t>
      </w:r>
      <w:r w:rsidR="00575E73" w:rsidRPr="00575E73">
        <w:rPr>
          <w:rFonts w:eastAsia="Arial"/>
        </w:rPr>
        <w:t xml:space="preserve"> 3</w:t>
      </w:r>
      <w:bookmarkEnd w:id="7"/>
    </w:p>
    <w:p w14:paraId="22E4F47E" w14:textId="77777777" w:rsidR="0010740B" w:rsidRPr="00AF62E9" w:rsidRDefault="0010740B" w:rsidP="009227F3">
      <w:pPr>
        <w:spacing w:line="360" w:lineRule="auto"/>
        <w:rPr>
          <w:rFonts w:ascii="Arial" w:eastAsia="Arial" w:hAnsi="Arial" w:cs="Arial"/>
          <w:b/>
          <w:bCs/>
          <w:sz w:val="22"/>
          <w:szCs w:val="22"/>
        </w:rPr>
      </w:pPr>
      <w:r w:rsidRPr="00AF62E9">
        <w:rPr>
          <w:rFonts w:ascii="Arial" w:eastAsia="Arial" w:hAnsi="Arial" w:cs="Arial"/>
          <w:b/>
          <w:bCs/>
          <w:sz w:val="22"/>
          <w:szCs w:val="22"/>
        </w:rPr>
        <w:t>Full Harvard Reference</w:t>
      </w:r>
    </w:p>
    <w:p w14:paraId="448437E7" w14:textId="77777777" w:rsidR="0010740B" w:rsidRPr="00AF62E9" w:rsidRDefault="0010740B" w:rsidP="009227F3">
      <w:pPr>
        <w:spacing w:line="360" w:lineRule="auto"/>
        <w:rPr>
          <w:rFonts w:ascii="Arial" w:eastAsia="Arial" w:hAnsi="Arial" w:cs="Arial"/>
          <w:sz w:val="22"/>
          <w:szCs w:val="22"/>
        </w:rPr>
      </w:pPr>
      <w:r w:rsidRPr="00AF62E9">
        <w:rPr>
          <w:rFonts w:ascii="Arial" w:eastAsia="Arial" w:hAnsi="Arial" w:cs="Arial"/>
          <w:sz w:val="22"/>
          <w:szCs w:val="22"/>
        </w:rPr>
        <w:t xml:space="preserve">Care Quality Commission (CQC) (2024) </w:t>
      </w:r>
      <w:r w:rsidRPr="00AF62E9">
        <w:rPr>
          <w:rFonts w:ascii="Arial" w:eastAsia="Arial" w:hAnsi="Arial" w:cs="Arial"/>
          <w:i/>
          <w:iCs/>
          <w:sz w:val="22"/>
          <w:szCs w:val="22"/>
        </w:rPr>
        <w:t>The state of health care and adult social care in England 2023/24 – People with dementia</w:t>
      </w:r>
      <w:r w:rsidRPr="00AF62E9">
        <w:rPr>
          <w:rFonts w:ascii="Arial" w:eastAsia="Arial" w:hAnsi="Arial" w:cs="Arial"/>
          <w:sz w:val="22"/>
          <w:szCs w:val="22"/>
        </w:rPr>
        <w:t xml:space="preserve">. London: CQC. Available at: https://www.cqc.org.uk/publications/major-report/state-care/2023-2024/areas-of-concern/dementia (Accessed: 12 April 2026). </w:t>
      </w:r>
      <w:hyperlink r:id="rId12" w:history="1">
        <w:r w:rsidRPr="00AF62E9">
          <w:rPr>
            <w:rStyle w:val="Hyperlink"/>
            <w:rFonts w:ascii="Arial" w:eastAsia="Arial" w:hAnsi="Arial" w:cs="Arial"/>
            <w:sz w:val="22"/>
            <w:szCs w:val="22"/>
          </w:rPr>
          <w:t>[cqc.org.uk]</w:t>
        </w:r>
      </w:hyperlink>
    </w:p>
    <w:p w14:paraId="4EA173D1" w14:textId="77777777" w:rsidR="0010740B" w:rsidRPr="0010740B" w:rsidRDefault="0010740B" w:rsidP="009227F3">
      <w:pPr>
        <w:spacing w:line="360" w:lineRule="auto"/>
      </w:pPr>
    </w:p>
    <w:p w14:paraId="3E3DB687" w14:textId="570A3164" w:rsidR="00575E73" w:rsidRDefault="004461A9" w:rsidP="009227F3">
      <w:pPr>
        <w:spacing w:line="360" w:lineRule="auto"/>
        <w:rPr>
          <w:rFonts w:ascii="Arial" w:eastAsia="Arial" w:hAnsi="Arial" w:cs="Arial"/>
          <w:sz w:val="22"/>
          <w:szCs w:val="22"/>
        </w:rPr>
      </w:pPr>
      <w:r>
        <w:rPr>
          <w:rFonts w:ascii="Arial" w:eastAsia="Arial" w:hAnsi="Arial" w:cs="Arial"/>
          <w:sz w:val="22"/>
          <w:szCs w:val="22"/>
        </w:rPr>
        <w:t>A section of the Care Quality Commission (</w:t>
      </w:r>
      <w:r w:rsidR="0010740B">
        <w:rPr>
          <w:rFonts w:ascii="Arial" w:eastAsia="Arial" w:hAnsi="Arial" w:cs="Arial"/>
          <w:sz w:val="22"/>
          <w:szCs w:val="22"/>
        </w:rPr>
        <w:t>2024</w:t>
      </w:r>
      <w:r>
        <w:rPr>
          <w:rFonts w:ascii="Arial" w:eastAsia="Arial" w:hAnsi="Arial" w:cs="Arial"/>
          <w:sz w:val="22"/>
          <w:szCs w:val="22"/>
        </w:rPr>
        <w:t>) state of care report examines the experiences of older people living with dementia in health and adult social care services in England. It highlights a rise in dementia diagnoses and identifies concerns including poor communication, limited staff understanding</w:t>
      </w:r>
      <w:r w:rsidR="0010740B">
        <w:rPr>
          <w:rFonts w:ascii="Arial" w:eastAsia="Arial" w:hAnsi="Arial" w:cs="Arial"/>
          <w:sz w:val="22"/>
          <w:szCs w:val="22"/>
        </w:rPr>
        <w:t>, unsuitable care environments and unsafe discharge processes.</w:t>
      </w:r>
      <w:r w:rsidR="00974F2A">
        <w:rPr>
          <w:rFonts w:ascii="Arial" w:eastAsia="Arial" w:hAnsi="Arial" w:cs="Arial"/>
          <w:sz w:val="22"/>
          <w:szCs w:val="22"/>
        </w:rPr>
        <w:t xml:space="preserve"> As the independent regulator of Health and Social Care, the CQC (2024) provides reliable evidence based on inspections and feedback from people with lived experience. The report supports understanding of the ageing people by showing how increasing numbers of older people with complex needs place pressure on services and emphasises the importance of dementia-awareness, person-centred, and well-coordinated care to ensure dignity, safety and wellbeing.</w:t>
      </w:r>
    </w:p>
    <w:p w14:paraId="1D1A7AC3" w14:textId="6CCC2DDF" w:rsidR="009D7B72" w:rsidRPr="009D7B72" w:rsidRDefault="009D7B72" w:rsidP="009227F3">
      <w:pPr>
        <w:spacing w:line="360" w:lineRule="auto"/>
        <w:rPr>
          <w:rFonts w:ascii="Arial" w:eastAsia="Arial" w:hAnsi="Arial" w:cs="Arial"/>
          <w:sz w:val="22"/>
          <w:szCs w:val="22"/>
        </w:rPr>
      </w:pPr>
      <w:r w:rsidRPr="009D7B72">
        <w:rPr>
          <w:rFonts w:ascii="Arial" w:eastAsia="Arial" w:hAnsi="Arial" w:cs="Arial"/>
          <w:noProof/>
          <w:sz w:val="22"/>
          <w:szCs w:val="22"/>
        </w:rPr>
        <w:lastRenderedPageBreak/>
        <w:drawing>
          <wp:inline distT="0" distB="0" distL="0" distR="0" wp14:anchorId="09C67245" wp14:editId="0D075172">
            <wp:extent cx="5731510" cy="4392295"/>
            <wp:effectExtent l="0" t="0" r="2540" b="8255"/>
            <wp:docPr id="213568985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392295"/>
                    </a:xfrm>
                    <a:prstGeom prst="rect">
                      <a:avLst/>
                    </a:prstGeom>
                    <a:noFill/>
                    <a:ln>
                      <a:noFill/>
                    </a:ln>
                  </pic:spPr>
                </pic:pic>
              </a:graphicData>
            </a:graphic>
          </wp:inline>
        </w:drawing>
      </w:r>
    </w:p>
    <w:p w14:paraId="3B166758" w14:textId="77777777" w:rsidR="009D7B72" w:rsidRPr="00575E73" w:rsidRDefault="009D7B72" w:rsidP="009227F3">
      <w:pPr>
        <w:spacing w:line="360" w:lineRule="auto"/>
        <w:rPr>
          <w:rFonts w:ascii="Arial" w:eastAsia="Arial" w:hAnsi="Arial" w:cs="Arial"/>
          <w:sz w:val="22"/>
          <w:szCs w:val="22"/>
        </w:rPr>
      </w:pPr>
    </w:p>
    <w:p w14:paraId="6090361A" w14:textId="77777777" w:rsidR="00575E73" w:rsidRPr="00575E73" w:rsidRDefault="00575E73" w:rsidP="009227F3">
      <w:pPr>
        <w:spacing w:line="360" w:lineRule="auto"/>
        <w:rPr>
          <w:rFonts w:ascii="Arial" w:eastAsia="Arial" w:hAnsi="Arial" w:cs="Arial"/>
          <w:sz w:val="22"/>
          <w:szCs w:val="22"/>
        </w:rPr>
      </w:pPr>
    </w:p>
    <w:p w14:paraId="17787437" w14:textId="77777777" w:rsidR="00575E73" w:rsidRPr="00575E73" w:rsidRDefault="00432D05" w:rsidP="009227F3">
      <w:pPr>
        <w:pStyle w:val="Heading2"/>
        <w:spacing w:line="360" w:lineRule="auto"/>
        <w:rPr>
          <w:rFonts w:eastAsia="Arial"/>
        </w:rPr>
      </w:pPr>
      <w:bookmarkStart w:id="8" w:name="_Toc225024743"/>
      <w:r>
        <w:rPr>
          <w:rFonts w:eastAsia="Arial"/>
        </w:rPr>
        <w:t xml:space="preserve">2.4 </w:t>
      </w:r>
      <w:r w:rsidR="00575E73" w:rsidRPr="00575E73">
        <w:rPr>
          <w:rFonts w:eastAsia="Arial"/>
        </w:rPr>
        <w:t>Gaps in Current Research</w:t>
      </w:r>
      <w:bookmarkEnd w:id="8"/>
    </w:p>
    <w:p w14:paraId="14CAF414" w14:textId="18FF2F9A" w:rsidR="00575E73" w:rsidRPr="00575E73" w:rsidRDefault="009D7B72" w:rsidP="009227F3">
      <w:pPr>
        <w:spacing w:line="360" w:lineRule="auto"/>
        <w:rPr>
          <w:rFonts w:ascii="Arial" w:eastAsia="Arial" w:hAnsi="Arial" w:cs="Arial"/>
          <w:sz w:val="22"/>
          <w:szCs w:val="22"/>
        </w:rPr>
      </w:pPr>
      <w:r>
        <w:rPr>
          <w:rFonts w:ascii="Arial" w:eastAsia="Arial" w:hAnsi="Arial" w:cs="Arial"/>
          <w:sz w:val="22"/>
          <w:szCs w:val="22"/>
        </w:rPr>
        <w:t>Although there has been increasing research and policy focus on the ageing population, important gaps in knowledge about elderly care remain. There is limited understanding of older people long term lived experiences in care, particularly those with multiple health conditions or early dementia, and how continued reliance on care affects their independence and emotional wellbeing. There is also a lack of research exploring how workforce shortages directly impact patients’ day-to-day experiences of care. In addition, preventative and community-based care approaches, the long-term impact on unpaid</w:t>
      </w:r>
      <w:r w:rsidR="00CD04AC">
        <w:rPr>
          <w:rFonts w:ascii="Arial" w:eastAsia="Arial" w:hAnsi="Arial" w:cs="Arial"/>
          <w:sz w:val="22"/>
          <w:szCs w:val="22"/>
        </w:rPr>
        <w:t xml:space="preserve"> carers, and inequalities in access to care related to factors such as socioeconomic status, ethnicity and disability are under-researched. Identifying these gaps is important to ensure future research, policy and services are more person-centred, equitable, and better equipped to meet the needs of an ageing population.</w:t>
      </w:r>
    </w:p>
    <w:p w14:paraId="49025C49" w14:textId="77777777" w:rsidR="00575E73" w:rsidRPr="00575E73" w:rsidRDefault="00575E73" w:rsidP="009227F3">
      <w:pPr>
        <w:pStyle w:val="Heading1"/>
        <w:spacing w:line="360" w:lineRule="auto"/>
        <w:rPr>
          <w:rFonts w:eastAsia="Arial"/>
        </w:rPr>
      </w:pPr>
      <w:bookmarkStart w:id="9" w:name="_Toc225024744"/>
      <w:r w:rsidRPr="00575E73">
        <w:rPr>
          <w:rFonts w:eastAsia="Arial"/>
        </w:rPr>
        <w:lastRenderedPageBreak/>
        <w:t>Task 3 – Research Methodologies</w:t>
      </w:r>
      <w:bookmarkEnd w:id="9"/>
      <w:r w:rsidRPr="00575E73">
        <w:rPr>
          <w:rFonts w:eastAsia="Arial"/>
        </w:rPr>
        <w:t xml:space="preserve">  </w:t>
      </w:r>
    </w:p>
    <w:p w14:paraId="7A9B3F1F" w14:textId="77777777" w:rsidR="00575E73" w:rsidRPr="00575E73" w:rsidRDefault="00432D05" w:rsidP="009227F3">
      <w:pPr>
        <w:pStyle w:val="Heading2"/>
        <w:spacing w:line="360" w:lineRule="auto"/>
        <w:rPr>
          <w:rFonts w:eastAsia="Arial"/>
        </w:rPr>
      </w:pPr>
      <w:bookmarkStart w:id="10" w:name="_Toc225024745"/>
      <w:r>
        <w:rPr>
          <w:rFonts w:eastAsia="Arial"/>
        </w:rPr>
        <w:t xml:space="preserve">3.1 </w:t>
      </w:r>
      <w:r w:rsidR="00575E73" w:rsidRPr="00575E73">
        <w:rPr>
          <w:rFonts w:eastAsia="Arial"/>
        </w:rPr>
        <w:t>Definitions and Examples</w:t>
      </w:r>
      <w:bookmarkEnd w:id="10"/>
    </w:p>
    <w:p w14:paraId="71A68C63" w14:textId="7A743206" w:rsidR="00575E73" w:rsidRPr="00575E73" w:rsidRDefault="00CD04AC" w:rsidP="009227F3">
      <w:pPr>
        <w:spacing w:line="360" w:lineRule="auto"/>
        <w:rPr>
          <w:rFonts w:ascii="Arial" w:eastAsia="Arial" w:hAnsi="Arial" w:cs="Arial"/>
          <w:sz w:val="22"/>
          <w:szCs w:val="22"/>
        </w:rPr>
      </w:pPr>
      <w:r>
        <w:rPr>
          <w:rFonts w:ascii="Arial" w:eastAsia="Arial" w:hAnsi="Arial" w:cs="Arial"/>
          <w:sz w:val="22"/>
          <w:szCs w:val="22"/>
        </w:rPr>
        <w:t xml:space="preserve">Research in health and social care can use quantitative, qualitative, or mixed method approaches. Quantitative research involves collecting numerical data to identify patterns or </w:t>
      </w:r>
      <w:r w:rsidR="002B6CA3">
        <w:rPr>
          <w:rFonts w:ascii="Arial" w:eastAsia="Arial" w:hAnsi="Arial" w:cs="Arial"/>
          <w:sz w:val="22"/>
          <w:szCs w:val="22"/>
        </w:rPr>
        <w:t>threads</w:t>
      </w:r>
      <w:r>
        <w:rPr>
          <w:rFonts w:ascii="Arial" w:eastAsia="Arial" w:hAnsi="Arial" w:cs="Arial"/>
          <w:sz w:val="22"/>
          <w:szCs w:val="22"/>
        </w:rPr>
        <w:t xml:space="preserve">, such as using surveys to measure levels of loneliness among older people in care homes. Qualitative research focuses on </w:t>
      </w:r>
      <w:r w:rsidR="002B6CA3">
        <w:rPr>
          <w:rFonts w:ascii="Arial" w:eastAsia="Arial" w:hAnsi="Arial" w:cs="Arial"/>
          <w:sz w:val="22"/>
          <w:szCs w:val="22"/>
        </w:rPr>
        <w:t>people’s</w:t>
      </w:r>
      <w:r>
        <w:rPr>
          <w:rFonts w:ascii="Arial" w:eastAsia="Arial" w:hAnsi="Arial" w:cs="Arial"/>
          <w:sz w:val="22"/>
          <w:szCs w:val="22"/>
        </w:rPr>
        <w:t xml:space="preserve"> views and experiences, for example through interviews with older adults about dignity, independence and relationships with care workers. Mixed methods researched combines both approaches to provide a fuller understanding</w:t>
      </w:r>
      <w:r w:rsidR="002B6CA3">
        <w:rPr>
          <w:rFonts w:ascii="Arial" w:eastAsia="Arial" w:hAnsi="Arial" w:cs="Arial"/>
          <w:sz w:val="22"/>
          <w:szCs w:val="22"/>
        </w:rPr>
        <w:t xml:space="preserve">, such as using questionnaires alongside focus groups </w:t>
      </w:r>
      <w:proofErr w:type="gramStart"/>
      <w:r w:rsidR="002B6CA3">
        <w:rPr>
          <w:rFonts w:ascii="Arial" w:eastAsia="Arial" w:hAnsi="Arial" w:cs="Arial"/>
          <w:sz w:val="22"/>
          <w:szCs w:val="22"/>
        </w:rPr>
        <w:t>in</w:t>
      </w:r>
      <w:proofErr w:type="gramEnd"/>
      <w:r w:rsidR="002B6CA3">
        <w:rPr>
          <w:rFonts w:ascii="Arial" w:eastAsia="Arial" w:hAnsi="Arial" w:cs="Arial"/>
          <w:sz w:val="22"/>
          <w:szCs w:val="22"/>
        </w:rPr>
        <w:t xml:space="preserve"> dementia case studies. Using different research methods is important in elderly care because it helps professionals understand both the scale of issues and the lived experiences of older people, supporting more effective and person-centred care.</w:t>
      </w:r>
    </w:p>
    <w:p w14:paraId="1D64B2FE" w14:textId="77777777" w:rsidR="00575E73" w:rsidRPr="00575E73" w:rsidRDefault="00575E73" w:rsidP="009227F3">
      <w:pPr>
        <w:spacing w:line="360" w:lineRule="auto"/>
        <w:rPr>
          <w:rFonts w:ascii="Arial" w:eastAsia="Arial" w:hAnsi="Arial" w:cs="Arial"/>
          <w:sz w:val="22"/>
          <w:szCs w:val="22"/>
        </w:rPr>
      </w:pPr>
    </w:p>
    <w:p w14:paraId="3B338C05" w14:textId="77777777" w:rsidR="00575E73" w:rsidRPr="00575E73" w:rsidRDefault="00432D05" w:rsidP="009227F3">
      <w:pPr>
        <w:pStyle w:val="Heading2"/>
        <w:spacing w:line="360" w:lineRule="auto"/>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729B9473" w14:textId="33341E40" w:rsidR="00575E73" w:rsidRPr="00575E73" w:rsidRDefault="002B6CA3" w:rsidP="009227F3">
      <w:pPr>
        <w:spacing w:line="360" w:lineRule="auto"/>
        <w:rPr>
          <w:rFonts w:ascii="Arial" w:eastAsia="Arial" w:hAnsi="Arial" w:cs="Arial"/>
          <w:sz w:val="22"/>
          <w:szCs w:val="22"/>
        </w:rPr>
      </w:pPr>
      <w:r>
        <w:rPr>
          <w:rFonts w:ascii="Arial" w:eastAsia="Arial" w:hAnsi="Arial" w:cs="Arial"/>
          <w:sz w:val="22"/>
          <w:szCs w:val="22"/>
        </w:rPr>
        <w:t xml:space="preserve">For a study on the ageing population and elderly care, a mixed methods research approach would be most appropriate as it combines both quantitative and qualitative methods. </w:t>
      </w:r>
      <w:r w:rsidR="00E20022">
        <w:rPr>
          <w:rFonts w:ascii="Arial" w:eastAsia="Arial" w:hAnsi="Arial" w:cs="Arial"/>
          <w:sz w:val="22"/>
          <w:szCs w:val="22"/>
        </w:rPr>
        <w:t>Quantitative data such as surveys or questionnaires</w:t>
      </w:r>
      <w:r>
        <w:rPr>
          <w:rFonts w:ascii="Arial" w:eastAsia="Arial" w:hAnsi="Arial" w:cs="Arial"/>
          <w:sz w:val="22"/>
          <w:szCs w:val="22"/>
        </w:rPr>
        <w:t xml:space="preserve"> could be used to identify patterns and trends in areas like access to services or unmet care needs, while qualitative methods, such as interviews or focus groups, would allow older people and carers to share their live experiences and explain how care affects their dignity, independence and wellbeing. </w:t>
      </w:r>
      <w:r w:rsidR="00E20022">
        <w:rPr>
          <w:rFonts w:ascii="Arial" w:eastAsia="Arial" w:hAnsi="Arial" w:cs="Arial"/>
          <w:sz w:val="22"/>
          <w:szCs w:val="22"/>
        </w:rPr>
        <w:t>Using mixed methods is particularly valuable in health and social care because it provides both statistical evidence and personal insight, ensuring findings are balanced, reliable and person-centred, and supporting improvements in elderly care practice and policy.</w:t>
      </w:r>
    </w:p>
    <w:p w14:paraId="559AF244" w14:textId="77777777" w:rsidR="00575E73" w:rsidRPr="00575E73" w:rsidRDefault="00575E73" w:rsidP="009227F3">
      <w:pPr>
        <w:spacing w:line="360" w:lineRule="auto"/>
        <w:rPr>
          <w:rFonts w:ascii="Arial" w:eastAsia="Arial" w:hAnsi="Arial" w:cs="Arial"/>
          <w:sz w:val="22"/>
          <w:szCs w:val="22"/>
        </w:rPr>
      </w:pPr>
    </w:p>
    <w:p w14:paraId="344D0986" w14:textId="77777777" w:rsidR="00575E73" w:rsidRPr="00575E73" w:rsidRDefault="00575E73" w:rsidP="009227F3">
      <w:pPr>
        <w:pStyle w:val="Heading1"/>
        <w:spacing w:line="360" w:lineRule="auto"/>
        <w:rPr>
          <w:rFonts w:eastAsia="Arial"/>
        </w:rPr>
      </w:pPr>
      <w:bookmarkStart w:id="12" w:name="_Toc225024747"/>
      <w:r w:rsidRPr="00575E73">
        <w:rPr>
          <w:rFonts w:eastAsia="Arial"/>
        </w:rPr>
        <w:t>Task 4 – Data Collection</w:t>
      </w:r>
      <w:bookmarkEnd w:id="12"/>
      <w:r w:rsidRPr="00575E73">
        <w:rPr>
          <w:rFonts w:eastAsia="Arial"/>
        </w:rPr>
        <w:t xml:space="preserve">  </w:t>
      </w:r>
    </w:p>
    <w:p w14:paraId="0A7325F6" w14:textId="77777777" w:rsidR="00575E73" w:rsidRPr="00575E73" w:rsidRDefault="00432D05" w:rsidP="009227F3">
      <w:pPr>
        <w:pStyle w:val="Heading2"/>
        <w:spacing w:line="360" w:lineRule="auto"/>
        <w:rPr>
          <w:rFonts w:eastAsia="Arial"/>
        </w:rPr>
      </w:pPr>
      <w:bookmarkStart w:id="13" w:name="_Toc225024748"/>
      <w:r>
        <w:rPr>
          <w:rFonts w:eastAsia="Arial"/>
        </w:rPr>
        <w:t xml:space="preserve">4.1 </w:t>
      </w:r>
      <w:r w:rsidR="00575E73" w:rsidRPr="00575E73">
        <w:rPr>
          <w:rFonts w:eastAsia="Arial"/>
        </w:rPr>
        <w:t>Primary vs Secondary Data</w:t>
      </w:r>
      <w:bookmarkEnd w:id="13"/>
    </w:p>
    <w:p w14:paraId="28C35317" w14:textId="1F829DAF" w:rsidR="00575E73" w:rsidRPr="00575E73" w:rsidRDefault="00377FCE" w:rsidP="009227F3">
      <w:pPr>
        <w:spacing w:line="360" w:lineRule="auto"/>
        <w:rPr>
          <w:rFonts w:ascii="Arial" w:eastAsia="Arial" w:hAnsi="Arial" w:cs="Arial"/>
          <w:sz w:val="22"/>
          <w:szCs w:val="22"/>
        </w:rPr>
      </w:pPr>
      <w:r>
        <w:rPr>
          <w:rFonts w:ascii="Arial" w:eastAsia="Arial" w:hAnsi="Arial" w:cs="Arial"/>
          <w:sz w:val="22"/>
          <w:szCs w:val="22"/>
        </w:rPr>
        <w:t xml:space="preserve">Primary data is original information collected directly by a researcher for a specific study such as questionnaires, interviews, or observations in health and social care settings. It is highly relevant because it is tailored to the research question, but it can take more time to </w:t>
      </w:r>
      <w:r>
        <w:rPr>
          <w:rFonts w:ascii="Arial" w:eastAsia="Arial" w:hAnsi="Arial" w:cs="Arial"/>
          <w:sz w:val="22"/>
          <w:szCs w:val="22"/>
        </w:rPr>
        <w:lastRenderedPageBreak/>
        <w:t>gather. Secondary data, on the other hand, is information that already existed and has been collected by others, such as NHS statistics, reports from organisations like Age UK or the CQC, and published research. It is quicker and easier to use but may not fully matched the researcher’s exact focus. Both primary and secondary data are important in health and social care research and are often used together to gain a fuller understanding of an issue.</w:t>
      </w:r>
    </w:p>
    <w:p w14:paraId="6857707F" w14:textId="77777777" w:rsidR="00575E73" w:rsidRPr="00575E73" w:rsidRDefault="00575E73" w:rsidP="009227F3">
      <w:pPr>
        <w:spacing w:line="360" w:lineRule="auto"/>
        <w:rPr>
          <w:rFonts w:ascii="Arial" w:eastAsia="Arial" w:hAnsi="Arial" w:cs="Arial"/>
          <w:sz w:val="22"/>
          <w:szCs w:val="22"/>
        </w:rPr>
      </w:pPr>
    </w:p>
    <w:p w14:paraId="7D839B7D" w14:textId="77777777" w:rsidR="00575E73" w:rsidRPr="00575E73" w:rsidRDefault="00432D05" w:rsidP="009227F3">
      <w:pPr>
        <w:pStyle w:val="Heading2"/>
        <w:spacing w:line="360" w:lineRule="auto"/>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3FB70F1B" w14:textId="714C4B1F" w:rsidR="00575E73" w:rsidRPr="00575E73" w:rsidRDefault="00377FCE" w:rsidP="009227F3">
      <w:pPr>
        <w:spacing w:line="360" w:lineRule="auto"/>
        <w:rPr>
          <w:rFonts w:ascii="Arial" w:eastAsia="Arial" w:hAnsi="Arial" w:cs="Arial"/>
          <w:sz w:val="22"/>
          <w:szCs w:val="22"/>
        </w:rPr>
      </w:pPr>
      <w:r>
        <w:rPr>
          <w:rFonts w:ascii="Arial" w:eastAsia="Arial" w:hAnsi="Arial" w:cs="Arial"/>
          <w:sz w:val="22"/>
          <w:szCs w:val="22"/>
        </w:rPr>
        <w:t>For my study on the ageing population and elderly care, I would choose secondary data because the research focuses on analysing existing issues, trends, and challenges rather than collecting new information directly from participants. Secondary data from trusted sources, such as Age UK, the Care Quality Commission</w:t>
      </w:r>
      <w:r w:rsidR="008F60D0">
        <w:rPr>
          <w:rFonts w:ascii="Arial" w:eastAsia="Arial" w:hAnsi="Arial" w:cs="Arial"/>
          <w:sz w:val="22"/>
          <w:szCs w:val="22"/>
        </w:rPr>
        <w:t xml:space="preserve"> </w:t>
      </w:r>
      <w:r>
        <w:rPr>
          <w:rFonts w:ascii="Arial" w:eastAsia="Arial" w:hAnsi="Arial" w:cs="Arial"/>
          <w:sz w:val="22"/>
          <w:szCs w:val="22"/>
        </w:rPr>
        <w:t xml:space="preserve">(CQC), NHS England, and </w:t>
      </w:r>
      <w:r w:rsidR="008F60D0">
        <w:rPr>
          <w:rFonts w:ascii="Arial" w:eastAsia="Arial" w:hAnsi="Arial" w:cs="Arial"/>
          <w:sz w:val="22"/>
          <w:szCs w:val="22"/>
        </w:rPr>
        <w:t>government reports provide reliable, large-scale, and up to date evidence on topics like unmet needs, workforce pressures, quality of care, and older people experiences. This type of data supports a mixed methods approach, as quantitative statistics help identify national trends while qualitative reports and case studies offer insights into individual experiences. Using secondary data is also more ethical and practical, as it avoids difficulties related to consent and safeguarding when researching vulnerable older adults, making it the most appropriate choice for this study.</w:t>
      </w:r>
    </w:p>
    <w:p w14:paraId="6CCB538D" w14:textId="77777777" w:rsidR="00575E73" w:rsidRPr="00575E73" w:rsidRDefault="00432D05" w:rsidP="009227F3">
      <w:pPr>
        <w:pStyle w:val="Heading2"/>
        <w:spacing w:line="360" w:lineRule="auto"/>
        <w:rPr>
          <w:rFonts w:eastAsia="Arial"/>
        </w:rPr>
      </w:pPr>
      <w:bookmarkStart w:id="15" w:name="_Toc225024750"/>
      <w:r>
        <w:rPr>
          <w:rFonts w:eastAsia="Arial"/>
        </w:rPr>
        <w:t xml:space="preserve">4.3 </w:t>
      </w:r>
      <w:r w:rsidR="00575E73" w:rsidRPr="00575E73">
        <w:rPr>
          <w:rFonts w:eastAsia="Arial"/>
        </w:rPr>
        <w:t>Advantages and Challenges</w:t>
      </w:r>
      <w:bookmarkEnd w:id="15"/>
    </w:p>
    <w:p w14:paraId="791594CB" w14:textId="5E15ED45" w:rsidR="00575E73" w:rsidRPr="00575E73" w:rsidRDefault="00635C02" w:rsidP="009227F3">
      <w:pPr>
        <w:spacing w:line="360" w:lineRule="auto"/>
        <w:rPr>
          <w:rFonts w:ascii="Arial" w:eastAsia="Arial" w:hAnsi="Arial" w:cs="Arial"/>
          <w:sz w:val="22"/>
          <w:szCs w:val="22"/>
        </w:rPr>
      </w:pPr>
      <w:r>
        <w:rPr>
          <w:rFonts w:ascii="Arial" w:eastAsia="Arial" w:hAnsi="Arial" w:cs="Arial"/>
          <w:sz w:val="22"/>
          <w:szCs w:val="22"/>
        </w:rPr>
        <w:t xml:space="preserve">Using secondary data in research on the ageing population and elderly care has several advantages and challenges. </w:t>
      </w:r>
      <w:r w:rsidR="00E27133">
        <w:rPr>
          <w:rFonts w:ascii="Arial" w:eastAsia="Arial" w:hAnsi="Arial" w:cs="Arial"/>
          <w:sz w:val="22"/>
          <w:szCs w:val="22"/>
        </w:rPr>
        <w:t>Secondary data is also more ethical and practical when studying vulnerable adults, as it avoids issues around consent, distress, and safeguarding, as well as the need for formal ethical approval and access to care settings. However, secondary data can be limited in capturing the personal, lived experiences of older people, as many sources focus on statistics and system performance rather than emotions or daily care experiences. In addition, researchers have no control over how the data was originally collected, meaning it may be outdated or not fully aligned with the specific research focus. Overall, secondary data is a valuable and appropriate choice for elderly care research, but it must be used critically and with an awareness of its limitations.</w:t>
      </w:r>
    </w:p>
    <w:p w14:paraId="4BFA18CC" w14:textId="77777777" w:rsidR="00575E73" w:rsidRPr="00575E73" w:rsidRDefault="00575E73" w:rsidP="009227F3">
      <w:pPr>
        <w:spacing w:line="360" w:lineRule="auto"/>
        <w:rPr>
          <w:rFonts w:ascii="Arial" w:eastAsia="Arial" w:hAnsi="Arial" w:cs="Arial"/>
          <w:sz w:val="22"/>
          <w:szCs w:val="22"/>
        </w:rPr>
      </w:pPr>
    </w:p>
    <w:p w14:paraId="5496170F" w14:textId="77777777" w:rsidR="00575E73" w:rsidRPr="00575E73" w:rsidRDefault="00575E73" w:rsidP="009227F3">
      <w:pPr>
        <w:pStyle w:val="Heading1"/>
        <w:spacing w:line="360" w:lineRule="auto"/>
        <w:rPr>
          <w:rFonts w:eastAsia="Arial"/>
        </w:rPr>
      </w:pPr>
      <w:bookmarkStart w:id="16" w:name="_Toc225024751"/>
      <w:r w:rsidRPr="00575E73">
        <w:rPr>
          <w:rFonts w:eastAsia="Arial"/>
        </w:rPr>
        <w:lastRenderedPageBreak/>
        <w:t>Conclusion</w:t>
      </w:r>
      <w:bookmarkEnd w:id="16"/>
      <w:r w:rsidRPr="00575E73">
        <w:rPr>
          <w:rFonts w:eastAsia="Arial"/>
        </w:rPr>
        <w:t xml:space="preserve">  </w:t>
      </w:r>
    </w:p>
    <w:p w14:paraId="1734E479" w14:textId="01AA23D8" w:rsidR="00575E73" w:rsidRPr="00575E73" w:rsidRDefault="00E27133" w:rsidP="009227F3">
      <w:pPr>
        <w:spacing w:line="360" w:lineRule="auto"/>
        <w:rPr>
          <w:rFonts w:ascii="Arial" w:eastAsia="Arial" w:hAnsi="Arial" w:cs="Arial"/>
          <w:sz w:val="22"/>
          <w:szCs w:val="22"/>
        </w:rPr>
      </w:pPr>
      <w:r>
        <w:rPr>
          <w:rFonts w:ascii="Arial" w:eastAsia="Arial" w:hAnsi="Arial" w:cs="Arial"/>
          <w:sz w:val="22"/>
          <w:szCs w:val="22"/>
        </w:rPr>
        <w:t>This report has explored the ageing population and elderly care, focusing on key issues such as unmet care needs, workforce</w:t>
      </w:r>
      <w:r w:rsidR="009227F3">
        <w:rPr>
          <w:rFonts w:ascii="Arial" w:eastAsia="Arial" w:hAnsi="Arial" w:cs="Arial"/>
          <w:sz w:val="22"/>
          <w:szCs w:val="22"/>
        </w:rPr>
        <w:t xml:space="preserve"> shortages and the quality of care provided to older people. It examined the role of health and social care services and used credible secondary sources to support a mixed methods approach, while also considering the advantages, limitations and ethical issues of using secondary data. This topic is important because the ageing population is increasing rapidly, placing greater pressure on care services, and how these needs are met directly affects older people’s dignity, independence, wellbeing and quality of life. Understanding these challenges is essential for improving elderly care and ensuring health and social care systems can respond effectively and sustainability to an ageing society.</w:t>
      </w:r>
    </w:p>
    <w:p w14:paraId="632DB99E" w14:textId="77777777" w:rsidR="00575E73" w:rsidRDefault="00575E73" w:rsidP="009227F3">
      <w:pPr>
        <w:pStyle w:val="Heading1"/>
        <w:spacing w:line="360" w:lineRule="auto"/>
        <w:rPr>
          <w:rFonts w:eastAsia="Arial"/>
        </w:rPr>
      </w:pPr>
      <w:bookmarkStart w:id="17" w:name="_Toc225024752"/>
      <w:r w:rsidRPr="00575E73">
        <w:rPr>
          <w:rFonts w:eastAsia="Arial"/>
        </w:rPr>
        <w:t>Reference List</w:t>
      </w:r>
      <w:bookmarkEnd w:id="17"/>
    </w:p>
    <w:p w14:paraId="767A3B72" w14:textId="77777777" w:rsidR="00437419" w:rsidRDefault="00437419" w:rsidP="00437419">
      <w:pPr>
        <w:spacing w:line="360" w:lineRule="auto"/>
        <w:rPr>
          <w:rFonts w:ascii="Arial" w:eastAsia="Arial" w:hAnsi="Arial" w:cs="Arial"/>
          <w:sz w:val="22"/>
          <w:szCs w:val="22"/>
        </w:rPr>
      </w:pPr>
      <w:r w:rsidRPr="00AF62E9">
        <w:rPr>
          <w:rFonts w:ascii="Arial" w:eastAsia="Arial" w:hAnsi="Arial" w:cs="Arial"/>
          <w:sz w:val="22"/>
          <w:szCs w:val="22"/>
        </w:rPr>
        <w:t xml:space="preserve">Age UK (2024) </w:t>
      </w:r>
      <w:r w:rsidRPr="00AF62E9">
        <w:rPr>
          <w:rFonts w:ascii="Arial" w:eastAsia="Arial" w:hAnsi="Arial" w:cs="Arial"/>
          <w:i/>
          <w:iCs/>
          <w:sz w:val="22"/>
          <w:szCs w:val="22"/>
        </w:rPr>
        <w:t>The state of health and care of older people in England 2024</w:t>
      </w:r>
      <w:r w:rsidRPr="00AF62E9">
        <w:rPr>
          <w:rFonts w:ascii="Arial" w:eastAsia="Arial" w:hAnsi="Arial" w:cs="Arial"/>
          <w:sz w:val="22"/>
          <w:szCs w:val="22"/>
        </w:rPr>
        <w:t>. London: Age UK. Available at: https://www.ageuk.org.uk/discover/2024/september/state-of-health-and-care-of-older-people-in-england-2024/ (Accessed: 12 April 2026).</w:t>
      </w:r>
    </w:p>
    <w:p w14:paraId="189BF7E4" w14:textId="3061BCD4" w:rsidR="00437419" w:rsidRDefault="00437419" w:rsidP="00437419">
      <w:pPr>
        <w:spacing w:line="360" w:lineRule="auto"/>
        <w:rPr>
          <w:rFonts w:ascii="Arial" w:eastAsia="Arial" w:hAnsi="Arial" w:cs="Arial"/>
          <w:sz w:val="22"/>
          <w:szCs w:val="22"/>
        </w:rPr>
      </w:pPr>
      <w:r w:rsidRPr="00AF62E9">
        <w:rPr>
          <w:rFonts w:ascii="Arial" w:eastAsia="Arial" w:hAnsi="Arial" w:cs="Arial"/>
          <w:sz w:val="22"/>
          <w:szCs w:val="22"/>
        </w:rPr>
        <w:t xml:space="preserve">Care Quality Commission (CQC) (2024) </w:t>
      </w:r>
      <w:r w:rsidRPr="00AF62E9">
        <w:rPr>
          <w:rFonts w:ascii="Arial" w:eastAsia="Arial" w:hAnsi="Arial" w:cs="Arial"/>
          <w:i/>
          <w:iCs/>
          <w:sz w:val="22"/>
          <w:szCs w:val="22"/>
        </w:rPr>
        <w:t>The state of health care and adult social care in England 2023/24 – People with dementia</w:t>
      </w:r>
      <w:r w:rsidRPr="00AF62E9">
        <w:rPr>
          <w:rFonts w:ascii="Arial" w:eastAsia="Arial" w:hAnsi="Arial" w:cs="Arial"/>
          <w:sz w:val="22"/>
          <w:szCs w:val="22"/>
        </w:rPr>
        <w:t xml:space="preserve">. London: CQC. Available at: https://www.cqc.org.uk/publications/major-report/state-care/2023-2024/areas-of-concern/dementia (Accessed: 12 April 2026). </w:t>
      </w:r>
    </w:p>
    <w:p w14:paraId="12BCF7C7" w14:textId="34167A63" w:rsidR="00437419" w:rsidRDefault="00437419" w:rsidP="00437419">
      <w:pPr>
        <w:spacing w:line="360" w:lineRule="auto"/>
        <w:rPr>
          <w:rFonts w:ascii="Arial" w:eastAsia="Arial" w:hAnsi="Arial" w:cs="Arial"/>
          <w:sz w:val="22"/>
          <w:szCs w:val="22"/>
        </w:rPr>
      </w:pPr>
      <w:r w:rsidRPr="00AF62E9">
        <w:rPr>
          <w:rFonts w:ascii="Arial" w:eastAsia="Arial" w:hAnsi="Arial" w:cs="Arial"/>
          <w:sz w:val="22"/>
          <w:szCs w:val="22"/>
        </w:rPr>
        <w:t xml:space="preserve">Department of Health and Social Care (2025) </w:t>
      </w:r>
      <w:r w:rsidRPr="00AF62E9">
        <w:rPr>
          <w:rFonts w:ascii="Arial" w:eastAsia="Arial" w:hAnsi="Arial" w:cs="Arial"/>
          <w:i/>
          <w:iCs/>
          <w:sz w:val="22"/>
          <w:szCs w:val="22"/>
        </w:rPr>
        <w:t>Adult social care workforce survey: April 2025</w:t>
      </w:r>
      <w:r w:rsidRPr="00AF62E9">
        <w:rPr>
          <w:rFonts w:ascii="Arial" w:eastAsia="Arial" w:hAnsi="Arial" w:cs="Arial"/>
          <w:sz w:val="22"/>
          <w:szCs w:val="22"/>
        </w:rPr>
        <w:t>. London: GOV.UK. Available at: https://www.gov.uk/government/statistics/adult-social-care-workforce-survey-april-2025/adult-social-care-workforce-survey-april-2025-report (Accessed: 12 April 2026).</w:t>
      </w:r>
    </w:p>
    <w:p w14:paraId="1A3F40A0" w14:textId="77777777" w:rsidR="00D73E28" w:rsidRPr="00D73E28" w:rsidRDefault="00D73E28" w:rsidP="00D73E28">
      <w:pPr>
        <w:spacing w:line="360" w:lineRule="auto"/>
        <w:rPr>
          <w:rFonts w:ascii="Arial" w:eastAsia="Arial" w:hAnsi="Arial" w:cs="Arial"/>
          <w:sz w:val="22"/>
          <w:szCs w:val="22"/>
        </w:rPr>
      </w:pPr>
      <w:r w:rsidRPr="00D73E28">
        <w:rPr>
          <w:rFonts w:ascii="Arial" w:eastAsia="Arial" w:hAnsi="Arial" w:cs="Arial"/>
          <w:b/>
          <w:bCs/>
          <w:sz w:val="22"/>
          <w:szCs w:val="22"/>
        </w:rPr>
        <w:t>Department of Health and Social Care (2025)</w:t>
      </w:r>
      <w:r w:rsidRPr="00D73E28">
        <w:rPr>
          <w:rFonts w:ascii="Arial" w:eastAsia="Arial" w:hAnsi="Arial" w:cs="Arial"/>
          <w:sz w:val="22"/>
          <w:szCs w:val="22"/>
        </w:rPr>
        <w:t xml:space="preserve"> </w:t>
      </w:r>
      <w:r w:rsidRPr="00D73E28">
        <w:rPr>
          <w:rFonts w:ascii="Arial" w:eastAsia="Arial" w:hAnsi="Arial" w:cs="Arial"/>
          <w:i/>
          <w:iCs/>
          <w:sz w:val="22"/>
          <w:szCs w:val="22"/>
        </w:rPr>
        <w:t>Adult social care workforce survey: April 2025 report</w:t>
      </w:r>
      <w:r w:rsidRPr="00D73E28">
        <w:rPr>
          <w:rFonts w:ascii="Arial" w:eastAsia="Arial" w:hAnsi="Arial" w:cs="Arial"/>
          <w:sz w:val="22"/>
          <w:szCs w:val="22"/>
        </w:rPr>
        <w:t>. Available at: https://www.gov.uk/government/statistics/adult-social-care-workforce-survey-april-2025/adult-social-care-workforce-survey-april-2025-report (Accessed: 19 April 2026).</w:t>
      </w:r>
    </w:p>
    <w:p w14:paraId="5A6F86A8" w14:textId="77777777" w:rsidR="00D73E28" w:rsidRDefault="00D73E28" w:rsidP="00437419">
      <w:pPr>
        <w:spacing w:line="360" w:lineRule="auto"/>
        <w:rPr>
          <w:rFonts w:ascii="Arial" w:eastAsia="Arial" w:hAnsi="Arial" w:cs="Arial"/>
          <w:sz w:val="22"/>
          <w:szCs w:val="22"/>
        </w:rPr>
      </w:pPr>
    </w:p>
    <w:p w14:paraId="0D479EE7" w14:textId="7E857E60" w:rsidR="00437419" w:rsidRPr="00437419" w:rsidRDefault="00437419" w:rsidP="00437419">
      <w:r w:rsidRPr="00437419">
        <w:rPr>
          <w:b/>
          <w:bCs/>
        </w:rPr>
        <w:t>Public Health England (2025)</w:t>
      </w:r>
      <w:r w:rsidRPr="00437419">
        <w:t xml:space="preserve"> </w:t>
      </w:r>
      <w:r w:rsidRPr="00437419">
        <w:rPr>
          <w:i/>
          <w:iCs/>
        </w:rPr>
        <w:t>Dementia surveillance: England</w:t>
      </w:r>
      <w:r w:rsidRPr="00437419">
        <w:t xml:space="preserve">. Fingertips. Available at: https://fingertips.phe.org.uk/documents/Dementia_Surveillance_England.html (Accessed: 19 April 2026). </w:t>
      </w:r>
    </w:p>
    <w:p w14:paraId="746F3242" w14:textId="77777777" w:rsidR="00437419" w:rsidRPr="00437419" w:rsidRDefault="00437419" w:rsidP="00437419"/>
    <w:sectPr w:rsidR="00437419" w:rsidRPr="00437419" w:rsidSect="00722EFE">
      <w:footerReference w:type="first" r:id="rId14"/>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6E07B9" w14:textId="77777777" w:rsidR="00AA1CAA" w:rsidRDefault="00AA1CAA" w:rsidP="002A1842">
      <w:pPr>
        <w:spacing w:after="0" w:line="240" w:lineRule="auto"/>
      </w:pPr>
      <w:r>
        <w:separator/>
      </w:r>
    </w:p>
  </w:endnote>
  <w:endnote w:type="continuationSeparator" w:id="0">
    <w:p w14:paraId="50AA24CA" w14:textId="77777777" w:rsidR="00AA1CAA" w:rsidRDefault="00AA1CAA"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51BC0C1"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14BE59D3"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455B3BDA"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5813F1EF"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8ACC29" w14:textId="77777777" w:rsidR="00AA1CAA" w:rsidRDefault="00AA1CAA" w:rsidP="002A1842">
      <w:pPr>
        <w:spacing w:after="0" w:line="240" w:lineRule="auto"/>
      </w:pPr>
      <w:r>
        <w:separator/>
      </w:r>
    </w:p>
  </w:footnote>
  <w:footnote w:type="continuationSeparator" w:id="0">
    <w:p w14:paraId="0544FA02" w14:textId="77777777" w:rsidR="00AA1CAA" w:rsidRDefault="00AA1CAA"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423915091">
    <w:abstractNumId w:val="5"/>
  </w:num>
  <w:num w:numId="2" w16cid:durableId="479273277">
    <w:abstractNumId w:val="3"/>
  </w:num>
  <w:num w:numId="3" w16cid:durableId="1440223726">
    <w:abstractNumId w:val="2"/>
  </w:num>
  <w:num w:numId="4" w16cid:durableId="488640243">
    <w:abstractNumId w:val="1"/>
  </w:num>
  <w:num w:numId="5" w16cid:durableId="1338338182">
    <w:abstractNumId w:val="4"/>
  </w:num>
  <w:num w:numId="6" w16cid:durableId="1133405837">
    <w:abstractNumId w:val="0"/>
  </w:num>
  <w:num w:numId="7" w16cid:durableId="1111900575">
    <w:abstractNumId w:val="7"/>
  </w:num>
  <w:num w:numId="8" w16cid:durableId="15654071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0740B"/>
    <w:rsid w:val="00172AD1"/>
    <w:rsid w:val="001813E7"/>
    <w:rsid w:val="001E0AF6"/>
    <w:rsid w:val="002075E3"/>
    <w:rsid w:val="00266C70"/>
    <w:rsid w:val="002A1842"/>
    <w:rsid w:val="002B6CA3"/>
    <w:rsid w:val="00377FCE"/>
    <w:rsid w:val="003E6893"/>
    <w:rsid w:val="00432D05"/>
    <w:rsid w:val="00437419"/>
    <w:rsid w:val="004461A9"/>
    <w:rsid w:val="004468F8"/>
    <w:rsid w:val="0047048C"/>
    <w:rsid w:val="004B4177"/>
    <w:rsid w:val="00530E16"/>
    <w:rsid w:val="00567F0D"/>
    <w:rsid w:val="00575E73"/>
    <w:rsid w:val="00635C02"/>
    <w:rsid w:val="007213A8"/>
    <w:rsid w:val="00722EFE"/>
    <w:rsid w:val="007637E9"/>
    <w:rsid w:val="0081174A"/>
    <w:rsid w:val="00842489"/>
    <w:rsid w:val="008C1444"/>
    <w:rsid w:val="008E7834"/>
    <w:rsid w:val="008F60D0"/>
    <w:rsid w:val="009227F3"/>
    <w:rsid w:val="00974F2A"/>
    <w:rsid w:val="009D7B72"/>
    <w:rsid w:val="009F60D1"/>
    <w:rsid w:val="00A75B15"/>
    <w:rsid w:val="00AA1CAA"/>
    <w:rsid w:val="00AE06EA"/>
    <w:rsid w:val="00B65ED6"/>
    <w:rsid w:val="00BA0043"/>
    <w:rsid w:val="00CD04AC"/>
    <w:rsid w:val="00CF650B"/>
    <w:rsid w:val="00CF6F9F"/>
    <w:rsid w:val="00D62A9C"/>
    <w:rsid w:val="00D73E28"/>
    <w:rsid w:val="00DB181C"/>
    <w:rsid w:val="00E20022"/>
    <w:rsid w:val="00E27133"/>
    <w:rsid w:val="00EA04EC"/>
    <w:rsid w:val="00EE2396"/>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81C73"/>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4374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cqc.org.uk/publications/major-report/state-care/2023-2024/areas-of-concern/dementia"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11</Pages>
  <Words>2301</Words>
  <Characters>13122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Kissy Kaye Pimentel (2530434)</cp:lastModifiedBy>
  <cp:revision>4</cp:revision>
  <dcterms:created xsi:type="dcterms:W3CDTF">2026-03-21T22:34:00Z</dcterms:created>
  <dcterms:modified xsi:type="dcterms:W3CDTF">2026-04-19T13:07:00Z</dcterms:modified>
</cp:coreProperties>
</file>