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32449584"/>
        <w:docPartObj>
          <w:docPartGallery w:val="Cover Pages"/>
          <w:docPartUnique/>
        </w:docPartObj>
      </w:sdtPr>
      <w:sdtEndPr>
        <w:rPr>
          <w:rFonts w:asciiTheme="minorHAnsi" w:hAnsiTheme="minorHAnsi" w:cstheme="minorHAnsi"/>
          <w:b/>
          <w:sz w:val="28"/>
          <w:szCs w:val="28"/>
        </w:rPr>
      </w:sdtEndPr>
      <w:sdtContent>
        <w:p w14:paraId="7B2E68CD" w14:textId="07F543A9" w:rsidR="00B952EF" w:rsidRDefault="00B952EF">
          <w:r>
            <w:rPr>
              <w:noProof/>
            </w:rPr>
            <mc:AlternateContent>
              <mc:Choice Requires="wpg">
                <w:drawing>
                  <wp:anchor distT="0" distB="0" distL="114300" distR="114300" simplePos="0" relativeHeight="251659264" behindDoc="1" locked="0" layoutInCell="1" allowOverlap="1" wp14:anchorId="3E7773B6" wp14:editId="61104C64">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6A7D2F" w14:textId="017BBCE5" w:rsidR="00B952EF" w:rsidRDefault="00B952EF" w:rsidP="00B952EF">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inorHAnsi" w:cstheme="minorHAnsi"/>
                                      <w:b/>
                                      <w:sz w:val="40"/>
                                      <w:szCs w:val="40"/>
                                      <w:lang w:val="en-GB" w:eastAsia="en-US"/>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C3A783E" w14:textId="170A1923" w:rsidR="00B952EF" w:rsidRPr="00B952EF" w:rsidRDefault="00B952EF" w:rsidP="00B952EF">
                                      <w:pPr>
                                        <w:pStyle w:val="NoSpacing"/>
                                        <w:jc w:val="center"/>
                                        <w:rPr>
                                          <w:rFonts w:asciiTheme="majorHAnsi" w:eastAsiaTheme="majorEastAsia" w:hAnsiTheme="majorHAnsi" w:cstheme="majorBidi"/>
                                          <w:caps/>
                                          <w:color w:val="4F81BD" w:themeColor="accent1"/>
                                          <w:sz w:val="160"/>
                                          <w:szCs w:val="160"/>
                                        </w:rPr>
                                      </w:pPr>
                                      <w:r w:rsidRPr="00B952EF">
                                        <w:rPr>
                                          <w:rFonts w:eastAsiaTheme="minorHAnsi" w:cstheme="minorHAnsi"/>
                                          <w:b/>
                                          <w:sz w:val="40"/>
                                          <w:szCs w:val="40"/>
                                          <w:lang w:val="en-GB" w:eastAsia="en-US"/>
                                        </w:rPr>
                                        <w:t>Principles of Health and Social Care Practic</w:t>
                                      </w:r>
                                      <w:r>
                                        <w:rPr>
                                          <w:rFonts w:eastAsiaTheme="minorHAnsi" w:cstheme="minorHAnsi"/>
                                          <w:b/>
                                          <w:sz w:val="40"/>
                                          <w:szCs w:val="40"/>
                                          <w:lang w:val="en-GB" w:eastAsia="en-US"/>
                                        </w:rPr>
                                        <w:t xml:space="preserve">e            </w:t>
                                      </w:r>
                                      <w:r w:rsidRPr="00B952EF">
                                        <w:rPr>
                                          <w:rFonts w:eastAsiaTheme="minorHAnsi" w:cstheme="minorHAnsi"/>
                                          <w:b/>
                                          <w:sz w:val="40"/>
                                          <w:szCs w:val="40"/>
                                          <w:lang w:val="en-GB" w:eastAsia="en-US"/>
                                        </w:rPr>
                                        <w:t>Case Study Written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7773B6"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" fillcolor="#4f81bd [3204]" stroked="f" strokeweight="2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" fillcolor="#4f81bd [3204]" stroked="f" strokeweight="2pt">
                      <v:textbox inset="36pt,57.6pt,36pt,36pt">
                        <w:txbxContent>
                          <w:p w14:paraId="676A7D2F" w14:textId="017BBCE5" w:rsidR="00B952EF" w:rsidRDefault="00B952EF" w:rsidP="00B952EF">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eastAsiaTheme="minorHAnsi" w:cstheme="minorHAnsi"/>
                                <w:b/>
                                <w:sz w:val="40"/>
                                <w:szCs w:val="40"/>
                                <w:lang w:val="en-GB" w:eastAsia="en-US"/>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C3A783E" w14:textId="170A1923" w:rsidR="00B952EF" w:rsidRPr="00B952EF" w:rsidRDefault="00B952EF" w:rsidP="00B952EF">
                                <w:pPr>
                                  <w:pStyle w:val="NoSpacing"/>
                                  <w:jc w:val="center"/>
                                  <w:rPr>
                                    <w:rFonts w:asciiTheme="majorHAnsi" w:eastAsiaTheme="majorEastAsia" w:hAnsiTheme="majorHAnsi" w:cstheme="majorBidi"/>
                                    <w:caps/>
                                    <w:color w:val="4F81BD" w:themeColor="accent1"/>
                                    <w:sz w:val="160"/>
                                    <w:szCs w:val="160"/>
                                  </w:rPr>
                                </w:pPr>
                                <w:r w:rsidRPr="00B952EF">
                                  <w:rPr>
                                    <w:rFonts w:eastAsiaTheme="minorHAnsi" w:cstheme="minorHAnsi"/>
                                    <w:b/>
                                    <w:sz w:val="40"/>
                                    <w:szCs w:val="40"/>
                                    <w:lang w:val="en-GB" w:eastAsia="en-US"/>
                                  </w:rPr>
                                  <w:t>Principles of Health and Social Care Practic</w:t>
                                </w:r>
                                <w:r>
                                  <w:rPr>
                                    <w:rFonts w:eastAsiaTheme="minorHAnsi" w:cstheme="minorHAnsi"/>
                                    <w:b/>
                                    <w:sz w:val="40"/>
                                    <w:szCs w:val="40"/>
                                    <w:lang w:val="en-GB" w:eastAsia="en-US"/>
                                  </w:rPr>
                                  <w:t xml:space="preserve">e            </w:t>
                                </w:r>
                                <w:r w:rsidRPr="00B952EF">
                                  <w:rPr>
                                    <w:rFonts w:eastAsiaTheme="minorHAnsi" w:cstheme="minorHAnsi"/>
                                    <w:b/>
                                    <w:sz w:val="40"/>
                                    <w:szCs w:val="40"/>
                                    <w:lang w:val="en-GB" w:eastAsia="en-US"/>
                                  </w:rPr>
                                  <w:t>Case Study Written Assignment</w:t>
                                </w:r>
                              </w:p>
                            </w:sdtContent>
                          </w:sdt>
                        </w:txbxContent>
                      </v:textbox>
                    </v:shape>
                    <w10:wrap anchorx="page" anchory="page"/>
                  </v:group>
                </w:pict>
              </mc:Fallback>
            </mc:AlternateContent>
          </w:r>
        </w:p>
        <w:p w14:paraId="45BC9993" w14:textId="143BCA0C" w:rsidR="003127F7" w:rsidRPr="00963365" w:rsidRDefault="00B952EF" w:rsidP="00963365">
          <w:pPr>
            <w:spacing w:after="200" w:line="276" w:lineRule="auto"/>
            <w:jc w:val="left"/>
            <w:rPr>
              <w:rFonts w:asciiTheme="minorHAnsi" w:hAnsiTheme="minorHAnsi" w:cstheme="minorHAnsi"/>
              <w:b/>
              <w:sz w:val="28"/>
              <w:szCs w:val="28"/>
            </w:rPr>
          </w:pPr>
          <w:r>
            <w:rPr>
              <w:rFonts w:asciiTheme="minorHAnsi" w:hAnsiTheme="minorHAnsi" w:cstheme="minorHAnsi"/>
              <w:b/>
              <w:noProof/>
              <w:sz w:val="28"/>
              <w:szCs w:val="28"/>
            </w:rPr>
            <mc:AlternateContent>
              <mc:Choice Requires="wps">
                <w:drawing>
                  <wp:anchor distT="0" distB="0" distL="114300" distR="114300" simplePos="0" relativeHeight="251660288" behindDoc="0" locked="0" layoutInCell="1" allowOverlap="1" wp14:anchorId="1DE58290" wp14:editId="6FA5C110">
                    <wp:simplePos x="0" y="0"/>
                    <wp:positionH relativeFrom="column">
                      <wp:posOffset>2041005</wp:posOffset>
                    </wp:positionH>
                    <wp:positionV relativeFrom="paragraph">
                      <wp:posOffset>6950710</wp:posOffset>
                    </wp:positionV>
                    <wp:extent cx="1819044" cy="198576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19044" cy="1985760"/>
                            </a:xfrm>
                            <a:prstGeom prst="rect">
                              <a:avLst/>
                            </a:prstGeom>
                            <a:noFill/>
                            <a:ln w="6350">
                              <a:noFill/>
                            </a:ln>
                          </wps:spPr>
                          <wps:txbx>
                            <w:txbxContent>
                              <w:p w14:paraId="09851A28" w14:textId="77777777" w:rsidR="00B952EF" w:rsidRPr="00B952EF" w:rsidRDefault="00B952EF" w:rsidP="00B952EF">
                                <w:pPr>
                                  <w:jc w:val="center"/>
                                  <w:rPr>
                                    <w:b/>
                                  </w:rPr>
                                </w:pPr>
                              </w:p>
                              <w:p w14:paraId="52492774" w14:textId="77777777" w:rsidR="00B952EF" w:rsidRPr="00B952EF" w:rsidRDefault="00B952EF" w:rsidP="00B952EF">
                                <w:pPr>
                                  <w:jc w:val="center"/>
                                  <w:rPr>
                                    <w:rFonts w:asciiTheme="minorHAnsi" w:hAnsiTheme="minorHAnsi" w:cstheme="minorHAnsi"/>
                                    <w:b/>
                                    <w:sz w:val="28"/>
                                    <w:szCs w:val="28"/>
                                  </w:rPr>
                                </w:pPr>
                                <w:r w:rsidRPr="00B952EF">
                                  <w:rPr>
                                    <w:rFonts w:asciiTheme="minorHAnsi" w:hAnsiTheme="minorHAnsi" w:cstheme="minorHAnsi"/>
                                    <w:b/>
                                    <w:sz w:val="28"/>
                                    <w:szCs w:val="28"/>
                                  </w:rPr>
                                  <w:t>Rukshana Begum</w:t>
                                </w:r>
                              </w:p>
                              <w:p w14:paraId="5B7B6C73" w14:textId="77777777" w:rsidR="00B952EF" w:rsidRPr="00B952EF" w:rsidRDefault="00B952EF" w:rsidP="00B952EF">
                                <w:pPr>
                                  <w:jc w:val="center"/>
                                  <w:rPr>
                                    <w:rFonts w:asciiTheme="minorHAnsi" w:hAnsiTheme="minorHAnsi" w:cstheme="minorHAnsi"/>
                                    <w:b/>
                                    <w:sz w:val="28"/>
                                    <w:szCs w:val="28"/>
                                  </w:rPr>
                                </w:pPr>
                                <w:r w:rsidRPr="00B952EF">
                                  <w:rPr>
                                    <w:rFonts w:asciiTheme="minorHAnsi" w:hAnsiTheme="minorHAnsi" w:cstheme="minorHAnsi"/>
                                    <w:b/>
                                    <w:sz w:val="28"/>
                                    <w:szCs w:val="28"/>
                                  </w:rPr>
                                  <w:t>1808389</w:t>
                                </w:r>
                              </w:p>
                              <w:p w14:paraId="28FC536B" w14:textId="77777777" w:rsidR="00B952EF" w:rsidRPr="00B952EF" w:rsidRDefault="00B952EF" w:rsidP="00B952EF">
                                <w:pPr>
                                  <w:jc w:val="center"/>
                                  <w:rPr>
                                    <w:rFonts w:asciiTheme="minorHAnsi" w:hAnsiTheme="minorHAnsi" w:cstheme="minorHAnsi"/>
                                    <w:b/>
                                    <w:sz w:val="28"/>
                                    <w:szCs w:val="28"/>
                                  </w:rPr>
                                </w:pPr>
                                <w:r w:rsidRPr="00B952EF">
                                  <w:rPr>
                                    <w:rFonts w:asciiTheme="minorHAnsi" w:hAnsiTheme="minorHAnsi" w:cstheme="minorHAnsi"/>
                                    <w:b/>
                                    <w:sz w:val="28"/>
                                    <w:szCs w:val="28"/>
                                  </w:rPr>
                                  <w:t>BMHP5002</w:t>
                                </w:r>
                              </w:p>
                              <w:p w14:paraId="7318E8F7" w14:textId="77777777" w:rsidR="00B952EF" w:rsidRPr="00B952EF" w:rsidRDefault="00B952EF" w:rsidP="00B952EF">
                                <w:pPr>
                                  <w:jc w:val="center"/>
                                  <w:rPr>
                                    <w:rFonts w:asciiTheme="minorHAnsi" w:hAnsiTheme="minorHAnsi" w:cstheme="minorHAnsi"/>
                                    <w:b/>
                                    <w:sz w:val="28"/>
                                    <w:szCs w:val="28"/>
                                  </w:rPr>
                                </w:pPr>
                                <w:r w:rsidRPr="00B952EF">
                                  <w:rPr>
                                    <w:rFonts w:asciiTheme="minorHAnsi" w:hAnsiTheme="minorHAnsi" w:cstheme="minorHAnsi"/>
                                    <w:b/>
                                    <w:sz w:val="28"/>
                                    <w:szCs w:val="28"/>
                                  </w:rPr>
                                  <w:t>Gulnar Ali</w:t>
                                </w:r>
                              </w:p>
                              <w:p w14:paraId="2C7C3830" w14:textId="77777777" w:rsidR="00B952EF" w:rsidRDefault="00B952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58290" id="Text Box 1" o:spid="_x0000_s1030" type="#_x0000_t202" style="position:absolute;margin-left:160.7pt;margin-top:547.3pt;width:143.25pt;height:15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" filled="f" stroked="f" strokeweight=".5pt">
                    <v:textbox>
                      <w:txbxContent>
                        <w:p w14:paraId="09851A28" w14:textId="77777777" w:rsidR="00B952EF" w:rsidRPr="00B952EF" w:rsidRDefault="00B952EF" w:rsidP="00B952EF">
                          <w:pPr>
                            <w:jc w:val="center"/>
                            <w:rPr>
                              <w:b/>
                            </w:rPr>
                          </w:pPr>
                        </w:p>
                        <w:p w14:paraId="52492774" w14:textId="77777777" w:rsidR="00B952EF" w:rsidRPr="00B952EF" w:rsidRDefault="00B952EF" w:rsidP="00B952EF">
                          <w:pPr>
                            <w:jc w:val="center"/>
                            <w:rPr>
                              <w:rFonts w:asciiTheme="minorHAnsi" w:hAnsiTheme="minorHAnsi" w:cstheme="minorHAnsi"/>
                              <w:b/>
                              <w:sz w:val="28"/>
                              <w:szCs w:val="28"/>
                            </w:rPr>
                          </w:pPr>
                          <w:r w:rsidRPr="00B952EF">
                            <w:rPr>
                              <w:rFonts w:asciiTheme="minorHAnsi" w:hAnsiTheme="minorHAnsi" w:cstheme="minorHAnsi"/>
                              <w:b/>
                              <w:sz w:val="28"/>
                              <w:szCs w:val="28"/>
                            </w:rPr>
                            <w:t>Rukshana Begum</w:t>
                          </w:r>
                        </w:p>
                        <w:p w14:paraId="5B7B6C73" w14:textId="77777777" w:rsidR="00B952EF" w:rsidRPr="00B952EF" w:rsidRDefault="00B952EF" w:rsidP="00B952EF">
                          <w:pPr>
                            <w:jc w:val="center"/>
                            <w:rPr>
                              <w:rFonts w:asciiTheme="minorHAnsi" w:hAnsiTheme="minorHAnsi" w:cstheme="minorHAnsi"/>
                              <w:b/>
                              <w:sz w:val="28"/>
                              <w:szCs w:val="28"/>
                            </w:rPr>
                          </w:pPr>
                          <w:r w:rsidRPr="00B952EF">
                            <w:rPr>
                              <w:rFonts w:asciiTheme="minorHAnsi" w:hAnsiTheme="minorHAnsi" w:cstheme="minorHAnsi"/>
                              <w:b/>
                              <w:sz w:val="28"/>
                              <w:szCs w:val="28"/>
                            </w:rPr>
                            <w:t>1808389</w:t>
                          </w:r>
                        </w:p>
                        <w:p w14:paraId="28FC536B" w14:textId="77777777" w:rsidR="00B952EF" w:rsidRPr="00B952EF" w:rsidRDefault="00B952EF" w:rsidP="00B952EF">
                          <w:pPr>
                            <w:jc w:val="center"/>
                            <w:rPr>
                              <w:rFonts w:asciiTheme="minorHAnsi" w:hAnsiTheme="minorHAnsi" w:cstheme="minorHAnsi"/>
                              <w:b/>
                              <w:sz w:val="28"/>
                              <w:szCs w:val="28"/>
                            </w:rPr>
                          </w:pPr>
                          <w:r w:rsidRPr="00B952EF">
                            <w:rPr>
                              <w:rFonts w:asciiTheme="minorHAnsi" w:hAnsiTheme="minorHAnsi" w:cstheme="minorHAnsi"/>
                              <w:b/>
                              <w:sz w:val="28"/>
                              <w:szCs w:val="28"/>
                            </w:rPr>
                            <w:t>BMHP5002</w:t>
                          </w:r>
                        </w:p>
                        <w:p w14:paraId="7318E8F7" w14:textId="77777777" w:rsidR="00B952EF" w:rsidRPr="00B952EF" w:rsidRDefault="00B952EF" w:rsidP="00B952EF">
                          <w:pPr>
                            <w:jc w:val="center"/>
                            <w:rPr>
                              <w:rFonts w:asciiTheme="minorHAnsi" w:hAnsiTheme="minorHAnsi" w:cstheme="minorHAnsi"/>
                              <w:b/>
                              <w:sz w:val="28"/>
                              <w:szCs w:val="28"/>
                            </w:rPr>
                          </w:pPr>
                          <w:r w:rsidRPr="00B952EF">
                            <w:rPr>
                              <w:rFonts w:asciiTheme="minorHAnsi" w:hAnsiTheme="minorHAnsi" w:cstheme="minorHAnsi"/>
                              <w:b/>
                              <w:sz w:val="28"/>
                              <w:szCs w:val="28"/>
                            </w:rPr>
                            <w:t>Gulnar Ali</w:t>
                          </w:r>
                        </w:p>
                        <w:p w14:paraId="2C7C3830" w14:textId="77777777" w:rsidR="00B952EF" w:rsidRDefault="00B952EF"/>
                      </w:txbxContent>
                    </v:textbox>
                  </v:shape>
                </w:pict>
              </mc:Fallback>
            </mc:AlternateContent>
          </w:r>
          <w:r>
            <w:rPr>
              <w:rFonts w:asciiTheme="minorHAnsi" w:hAnsiTheme="minorHAnsi" w:cstheme="minorHAnsi"/>
              <w:b/>
              <w:sz w:val="28"/>
              <w:szCs w:val="28"/>
            </w:rPr>
            <w:br w:type="page"/>
          </w:r>
        </w:p>
      </w:sdtContent>
    </w:sdt>
    <w:p w14:paraId="6F5C7783" w14:textId="77777777" w:rsidR="003127F7" w:rsidRPr="00B952EF" w:rsidRDefault="003127F7" w:rsidP="003127F7">
      <w:pPr>
        <w:jc w:val="center"/>
        <w:rPr>
          <w:b/>
        </w:rPr>
      </w:pPr>
    </w:p>
    <w:p w14:paraId="4961D7FF" w14:textId="77777777" w:rsidR="003127F7" w:rsidRPr="00B952EF" w:rsidRDefault="003127F7" w:rsidP="003127F7">
      <w:pPr>
        <w:jc w:val="center"/>
        <w:rPr>
          <w:b/>
        </w:rPr>
      </w:pPr>
    </w:p>
    <w:p w14:paraId="49A831C5" w14:textId="77777777" w:rsidR="003127F7" w:rsidRPr="00B952EF" w:rsidRDefault="003127F7" w:rsidP="003127F7">
      <w:pPr>
        <w:jc w:val="center"/>
        <w:rPr>
          <w:b/>
        </w:rPr>
      </w:pPr>
    </w:p>
    <w:p w14:paraId="5418807A" w14:textId="7197ADBD" w:rsidR="009F6318" w:rsidRPr="00B952EF" w:rsidRDefault="00870AAF">
      <w:pPr>
        <w:spacing w:after="200" w:line="276" w:lineRule="auto"/>
        <w:jc w:val="left"/>
        <w:rPr>
          <w:b/>
        </w:rPr>
      </w:pPr>
      <w:r w:rsidRPr="00B952EF">
        <w:rPr>
          <w:b/>
        </w:rPr>
        <w:br w:type="page"/>
      </w:r>
    </w:p>
    <w:p w14:paraId="4B05B604" w14:textId="77777777" w:rsidR="00E957F3" w:rsidRPr="00B952EF" w:rsidRDefault="00870AAF" w:rsidP="009C1161">
      <w:pPr>
        <w:rPr>
          <w:rFonts w:asciiTheme="minorHAnsi" w:hAnsiTheme="minorHAnsi" w:cstheme="minorHAnsi"/>
          <w:b/>
          <w:sz w:val="28"/>
          <w:szCs w:val="28"/>
        </w:rPr>
      </w:pPr>
      <w:r w:rsidRPr="00B952EF">
        <w:rPr>
          <w:rFonts w:asciiTheme="minorHAnsi" w:hAnsiTheme="minorHAnsi" w:cstheme="minorHAnsi"/>
          <w:b/>
          <w:sz w:val="28"/>
          <w:szCs w:val="28"/>
        </w:rPr>
        <w:lastRenderedPageBreak/>
        <w:t xml:space="preserve">Introduction </w:t>
      </w:r>
    </w:p>
    <w:p w14:paraId="35248E4C" w14:textId="77777777" w:rsidR="00C11DDD" w:rsidRPr="00B952EF" w:rsidRDefault="00870AAF" w:rsidP="009C1161">
      <w:pPr>
        <w:rPr>
          <w:rFonts w:asciiTheme="minorHAnsi" w:hAnsiTheme="minorHAnsi" w:cstheme="minorHAnsi"/>
          <w:szCs w:val="24"/>
        </w:rPr>
      </w:pPr>
      <w:r w:rsidRPr="00B952EF">
        <w:rPr>
          <w:rFonts w:asciiTheme="minorHAnsi" w:hAnsiTheme="minorHAnsi" w:cstheme="minorHAnsi"/>
          <w:szCs w:val="24"/>
        </w:rPr>
        <w:t xml:space="preserve">Many elderly people live independently, often individuals living with dementia choose to live independently over the options available for them. Individuals with </w:t>
      </w:r>
      <w:r w:rsidR="00124D64" w:rsidRPr="00B952EF">
        <w:rPr>
          <w:rFonts w:asciiTheme="minorHAnsi" w:hAnsiTheme="minorHAnsi" w:cstheme="minorHAnsi"/>
          <w:szCs w:val="24"/>
        </w:rPr>
        <w:t>dementia,</w:t>
      </w:r>
      <w:r w:rsidRPr="00B952EF">
        <w:rPr>
          <w:rFonts w:asciiTheme="minorHAnsi" w:hAnsiTheme="minorHAnsi" w:cstheme="minorHAnsi"/>
          <w:szCs w:val="24"/>
        </w:rPr>
        <w:t xml:space="preserve"> who reside alone, though, are at significant risk for self-neglect, illness, disability, medication errors and delays, financial exploitation, unmet medical requirements, and allocation in nursing homes</w:t>
      </w:r>
      <w:r w:rsidR="00124D64" w:rsidRPr="00B952EF">
        <w:rPr>
          <w:rFonts w:asciiTheme="minorHAnsi" w:hAnsiTheme="minorHAnsi" w:cstheme="minorHAnsi"/>
          <w:szCs w:val="24"/>
        </w:rPr>
        <w:t xml:space="preserve"> (Keohane, 2015)</w:t>
      </w:r>
      <w:r w:rsidRPr="00B952EF">
        <w:rPr>
          <w:rFonts w:asciiTheme="minorHAnsi" w:hAnsiTheme="minorHAnsi" w:cstheme="minorHAnsi"/>
          <w:szCs w:val="24"/>
        </w:rPr>
        <w:t>. Managing personal needs and day-to-day practices is a key concern for individuals living alone with dementia and other chronic diseases, especially in the context of residential care, accessibility and cooking, self-care, bathing, and medication management.</w:t>
      </w:r>
      <w:r w:rsidR="00D610AF" w:rsidRPr="00B952EF">
        <w:rPr>
          <w:rFonts w:asciiTheme="minorHAnsi" w:hAnsiTheme="minorHAnsi" w:cstheme="minorHAnsi"/>
          <w:szCs w:val="24"/>
        </w:rPr>
        <w:t xml:space="preserve"> In the United Kingdom, older adults make up nearly a quarter of the total population by the year 2030 </w:t>
      </w:r>
      <w:r w:rsidR="00124D64" w:rsidRPr="00B952EF">
        <w:rPr>
          <w:rFonts w:asciiTheme="minorHAnsi" w:hAnsiTheme="minorHAnsi" w:cstheme="minorHAnsi"/>
          <w:color w:val="000000"/>
          <w:szCs w:val="24"/>
          <w:shd w:val="clear" w:color="auto" w:fill="FFFFFF"/>
        </w:rPr>
        <w:t>(</w:t>
      </w:r>
      <w:r w:rsidR="00124D64" w:rsidRPr="00B952EF">
        <w:rPr>
          <w:rFonts w:asciiTheme="minorHAnsi" w:hAnsiTheme="minorHAnsi" w:cstheme="minorHAnsi"/>
          <w:szCs w:val="24"/>
        </w:rPr>
        <w:t>O'Connell et al., 2019</w:t>
      </w:r>
      <w:r w:rsidR="00D610AF" w:rsidRPr="00B952EF">
        <w:rPr>
          <w:rFonts w:asciiTheme="minorHAnsi" w:hAnsiTheme="minorHAnsi" w:cstheme="minorHAnsi"/>
          <w:color w:val="000000"/>
          <w:szCs w:val="24"/>
          <w:shd w:val="clear" w:color="auto" w:fill="FFFFFF"/>
        </w:rPr>
        <w:t>)</w:t>
      </w:r>
      <w:r w:rsidR="00D610AF" w:rsidRPr="00B952EF">
        <w:rPr>
          <w:rFonts w:asciiTheme="minorHAnsi" w:hAnsiTheme="minorHAnsi" w:cstheme="minorHAnsi"/>
          <w:szCs w:val="24"/>
        </w:rPr>
        <w:t xml:space="preserve">. The increase in the older adult population raises a need to develop strategies and an analysis of existing social policies concerning the caring of older adults. </w:t>
      </w:r>
      <w:r w:rsidRPr="00B952EF">
        <w:rPr>
          <w:rFonts w:asciiTheme="minorHAnsi" w:hAnsiTheme="minorHAnsi" w:cstheme="minorHAnsi"/>
          <w:szCs w:val="24"/>
        </w:rPr>
        <w:t>Moreover, the assessment provides an evaluation of the organization of health care in Care UK.</w:t>
      </w:r>
    </w:p>
    <w:p w14:paraId="5673C117" w14:textId="77777777" w:rsidR="00EB74C1" w:rsidRPr="00B952EF" w:rsidRDefault="00870AAF" w:rsidP="009C1161">
      <w:pPr>
        <w:rPr>
          <w:rFonts w:asciiTheme="minorHAnsi" w:hAnsiTheme="minorHAnsi" w:cstheme="minorHAnsi"/>
          <w:szCs w:val="24"/>
        </w:rPr>
      </w:pPr>
      <w:r w:rsidRPr="00B952EF">
        <w:rPr>
          <w:rFonts w:asciiTheme="minorHAnsi" w:hAnsiTheme="minorHAnsi" w:cstheme="minorHAnsi"/>
          <w:szCs w:val="24"/>
        </w:rPr>
        <w:t xml:space="preserve">Having a deep understanding of the social and psychological needs of the elderly is crucial to all practitioners in the industry. It will enable them to take advantage of the various available resources to the elderly </w:t>
      </w:r>
      <w:r w:rsidRPr="00B952EF">
        <w:rPr>
          <w:rFonts w:asciiTheme="minorHAnsi" w:hAnsiTheme="minorHAnsi" w:cstheme="minorHAnsi"/>
          <w:color w:val="000000"/>
          <w:szCs w:val="24"/>
          <w:shd w:val="clear" w:color="auto" w:fill="FFFFFF"/>
        </w:rPr>
        <w:t>(</w:t>
      </w:r>
      <w:r w:rsidR="00124D64" w:rsidRPr="00B952EF">
        <w:rPr>
          <w:rFonts w:asciiTheme="minorHAnsi" w:hAnsiTheme="minorHAnsi" w:cstheme="minorHAnsi"/>
          <w:szCs w:val="24"/>
        </w:rPr>
        <w:t>O'Connell et al., 2019</w:t>
      </w:r>
      <w:r w:rsidRPr="00B952EF">
        <w:rPr>
          <w:rFonts w:asciiTheme="minorHAnsi" w:hAnsiTheme="minorHAnsi" w:cstheme="minorHAnsi"/>
          <w:color w:val="000000"/>
          <w:szCs w:val="24"/>
          <w:shd w:val="clear" w:color="auto" w:fill="FFFFFF"/>
        </w:rPr>
        <w:t>)</w:t>
      </w:r>
      <w:r w:rsidRPr="00B952EF">
        <w:rPr>
          <w:rFonts w:asciiTheme="minorHAnsi" w:hAnsiTheme="minorHAnsi" w:cstheme="minorHAnsi"/>
          <w:szCs w:val="24"/>
        </w:rPr>
        <w:t>. This paper aims at highlighting the case study of Mr and Mrs T. Further, it deals with the identification of support and organizations available for support for these older adults in the context of health and social care</w:t>
      </w:r>
      <w:r w:rsidR="00C11DDD" w:rsidRPr="00B952EF">
        <w:rPr>
          <w:rFonts w:asciiTheme="minorHAnsi" w:hAnsiTheme="minorHAnsi" w:cstheme="minorHAnsi"/>
          <w:szCs w:val="24"/>
        </w:rPr>
        <w:t>. I</w:t>
      </w:r>
      <w:r w:rsidRPr="00B952EF">
        <w:rPr>
          <w:rFonts w:asciiTheme="minorHAnsi" w:hAnsiTheme="minorHAnsi" w:cstheme="minorHAnsi"/>
          <w:szCs w:val="24"/>
        </w:rPr>
        <w:t xml:space="preserve">t lays emphasis on principles, practices and policies integrated for health and social care followed by recommendations for future practices and policies. </w:t>
      </w:r>
      <w:r w:rsidR="00C11DDD" w:rsidRPr="00B952EF">
        <w:rPr>
          <w:rFonts w:asciiTheme="minorHAnsi" w:hAnsiTheme="minorHAnsi" w:cstheme="minorHAnsi"/>
          <w:szCs w:val="24"/>
        </w:rPr>
        <w:t xml:space="preserve">However, this study also </w:t>
      </w:r>
      <w:r w:rsidR="00124D64" w:rsidRPr="00B952EF">
        <w:rPr>
          <w:rFonts w:asciiTheme="minorHAnsi" w:hAnsiTheme="minorHAnsi" w:cstheme="minorHAnsi"/>
          <w:szCs w:val="24"/>
        </w:rPr>
        <w:t>analyses</w:t>
      </w:r>
      <w:r w:rsidR="00C11DDD" w:rsidRPr="00B952EF">
        <w:rPr>
          <w:rFonts w:asciiTheme="minorHAnsi" w:hAnsiTheme="minorHAnsi" w:cstheme="minorHAnsi"/>
          <w:szCs w:val="24"/>
        </w:rPr>
        <w:t xml:space="preserve"> the theories which guide health and social care practices. Finally, the novice assesses and suggests the approach in activities of health and social care. </w:t>
      </w:r>
    </w:p>
    <w:p w14:paraId="31C37423" w14:textId="77777777" w:rsidR="009F6318" w:rsidRPr="00B952EF" w:rsidRDefault="00870AAF" w:rsidP="009C1161">
      <w:pPr>
        <w:rPr>
          <w:rFonts w:asciiTheme="minorHAnsi" w:hAnsiTheme="minorHAnsi" w:cstheme="minorHAnsi"/>
          <w:b/>
          <w:sz w:val="28"/>
          <w:szCs w:val="28"/>
        </w:rPr>
      </w:pPr>
      <w:r w:rsidRPr="00B952EF">
        <w:rPr>
          <w:rFonts w:asciiTheme="minorHAnsi" w:hAnsiTheme="minorHAnsi" w:cstheme="minorHAnsi"/>
          <w:b/>
          <w:sz w:val="28"/>
          <w:szCs w:val="28"/>
        </w:rPr>
        <w:t xml:space="preserve">Case overview </w:t>
      </w:r>
    </w:p>
    <w:p w14:paraId="324B21F5" w14:textId="77777777" w:rsidR="00BB0635" w:rsidRPr="00B952EF" w:rsidRDefault="00870AAF" w:rsidP="009C1161">
      <w:pPr>
        <w:rPr>
          <w:rFonts w:asciiTheme="minorHAnsi" w:hAnsiTheme="minorHAnsi" w:cstheme="minorHAnsi"/>
          <w:szCs w:val="24"/>
        </w:rPr>
      </w:pPr>
      <w:r w:rsidRPr="00B952EF">
        <w:rPr>
          <w:rFonts w:asciiTheme="minorHAnsi" w:hAnsiTheme="minorHAnsi" w:cstheme="minorHAnsi"/>
          <w:szCs w:val="24"/>
        </w:rPr>
        <w:t xml:space="preserve">According to the given case study, Mr and Mrs T are over 85 years old and are suffering from chronic diseases along with dementia. </w:t>
      </w:r>
      <w:r w:rsidR="00426EDF" w:rsidRPr="00B952EF">
        <w:rPr>
          <w:rFonts w:asciiTheme="minorHAnsi" w:hAnsiTheme="minorHAnsi" w:cstheme="minorHAnsi"/>
          <w:szCs w:val="24"/>
        </w:rPr>
        <w:t>Recently Mrs T had suffered a fall and is hospitalised for undergoing a hip operation. Hence, now they require support services to manage their life in order to attain personal care and to perform daily life activities such as mobility and domestic chores to live independently.</w:t>
      </w:r>
    </w:p>
    <w:p w14:paraId="0762732C" w14:textId="77777777" w:rsidR="009F6318" w:rsidRPr="00B952EF" w:rsidRDefault="00870AAF" w:rsidP="009C1161">
      <w:pPr>
        <w:rPr>
          <w:rFonts w:asciiTheme="minorHAnsi" w:hAnsiTheme="minorHAnsi" w:cstheme="minorHAnsi"/>
          <w:b/>
          <w:szCs w:val="24"/>
        </w:rPr>
      </w:pPr>
      <w:r w:rsidRPr="00B952EF">
        <w:rPr>
          <w:rFonts w:asciiTheme="minorHAnsi" w:hAnsiTheme="minorHAnsi" w:cstheme="minorHAnsi"/>
          <w:b/>
          <w:szCs w:val="24"/>
        </w:rPr>
        <w:t>Support available in current health and soil care context for Mr and Mrs T</w:t>
      </w:r>
    </w:p>
    <w:p w14:paraId="66E9172E" w14:textId="56C5F47B" w:rsidR="00DF4461" w:rsidRPr="00B952EF" w:rsidRDefault="00870AAF" w:rsidP="009C1161">
      <w:pPr>
        <w:rPr>
          <w:rFonts w:asciiTheme="minorHAnsi" w:hAnsiTheme="minorHAnsi" w:cstheme="minorHAnsi"/>
          <w:szCs w:val="24"/>
        </w:rPr>
      </w:pPr>
      <w:r w:rsidRPr="00B952EF">
        <w:rPr>
          <w:rFonts w:asciiTheme="minorHAnsi" w:hAnsiTheme="minorHAnsi" w:cstheme="minorHAnsi"/>
          <w:szCs w:val="24"/>
        </w:rPr>
        <w:t xml:space="preserve">There are numerous support services available for Mr and Mrs T in the UK and in their local community. In the local community, there are various resources for elderly adults which </w:t>
      </w:r>
      <w:r w:rsidRPr="00B952EF">
        <w:rPr>
          <w:rFonts w:asciiTheme="minorHAnsi" w:hAnsiTheme="minorHAnsi" w:cstheme="minorHAnsi"/>
          <w:szCs w:val="24"/>
        </w:rPr>
        <w:lastRenderedPageBreak/>
        <w:t xml:space="preserve">enable them to lead fulfilling lives at their old age. The different community support and </w:t>
      </w:r>
      <w:r w:rsidR="00B2142C" w:rsidRPr="00B952EF">
        <w:rPr>
          <w:rFonts w:asciiTheme="minorHAnsi" w:hAnsiTheme="minorHAnsi" w:cstheme="minorHAnsi"/>
          <w:szCs w:val="24"/>
        </w:rPr>
        <w:t>long-term</w:t>
      </w:r>
      <w:r w:rsidRPr="00B952EF">
        <w:rPr>
          <w:rFonts w:asciiTheme="minorHAnsi" w:hAnsiTheme="minorHAnsi" w:cstheme="minorHAnsi"/>
          <w:szCs w:val="24"/>
        </w:rPr>
        <w:t xml:space="preserve"> care services for the old include; senior centres and recreation, education programs for the elderly, nutrition and meal programs, healthcare and wellness, mental health services, transportation and housing for the elderly. </w:t>
      </w:r>
    </w:p>
    <w:p w14:paraId="172B2265" w14:textId="77777777" w:rsidR="00DF4461" w:rsidRPr="00B952EF" w:rsidRDefault="00870AAF" w:rsidP="009C1161">
      <w:pPr>
        <w:rPr>
          <w:rFonts w:asciiTheme="minorHAnsi" w:hAnsiTheme="minorHAnsi" w:cstheme="minorHAnsi"/>
          <w:szCs w:val="24"/>
        </w:rPr>
      </w:pPr>
      <w:r w:rsidRPr="00B952EF">
        <w:rPr>
          <w:rFonts w:asciiTheme="minorHAnsi" w:hAnsiTheme="minorHAnsi" w:cstheme="minorHAnsi"/>
          <w:szCs w:val="24"/>
        </w:rPr>
        <w:t>These resources are very useful in ensuring that old adults live</w:t>
      </w:r>
      <w:r w:rsidR="00B635E8" w:rsidRPr="00B952EF">
        <w:rPr>
          <w:rFonts w:asciiTheme="minorHAnsi" w:hAnsiTheme="minorHAnsi" w:cstheme="minorHAnsi"/>
          <w:szCs w:val="24"/>
        </w:rPr>
        <w:t xml:space="preserve"> their last days fulfilled and t</w:t>
      </w:r>
      <w:r w:rsidRPr="00B952EF">
        <w:rPr>
          <w:rFonts w:asciiTheme="minorHAnsi" w:hAnsiTheme="minorHAnsi" w:cstheme="minorHAnsi"/>
          <w:szCs w:val="24"/>
        </w:rPr>
        <w:t>hey also ensure that the elderly are no</w:t>
      </w:r>
      <w:r w:rsidR="00B635E8" w:rsidRPr="00B952EF">
        <w:rPr>
          <w:rFonts w:asciiTheme="minorHAnsi" w:hAnsiTheme="minorHAnsi" w:cstheme="minorHAnsi"/>
          <w:szCs w:val="24"/>
        </w:rPr>
        <w:t>t a burden to their children</w:t>
      </w:r>
      <w:r w:rsidRPr="00B952EF">
        <w:rPr>
          <w:rFonts w:asciiTheme="minorHAnsi" w:hAnsiTheme="minorHAnsi" w:cstheme="minorHAnsi"/>
          <w:szCs w:val="24"/>
        </w:rPr>
        <w:t xml:space="preserve">. The senior centres and recreation enable communities to take care of the elderly as a whole where the services provided are tailored to meet the needs of the elderly </w:t>
      </w:r>
      <w:r w:rsidRPr="00B952EF">
        <w:rPr>
          <w:rFonts w:asciiTheme="minorHAnsi" w:hAnsiTheme="minorHAnsi" w:cstheme="minorHAnsi"/>
          <w:color w:val="000000"/>
          <w:szCs w:val="24"/>
          <w:shd w:val="clear" w:color="auto" w:fill="FFFFFF"/>
        </w:rPr>
        <w:t>(Zastrow, Kirst-Ashman &amp; Hessenauer, 2016)</w:t>
      </w:r>
      <w:r w:rsidRPr="00B952EF">
        <w:rPr>
          <w:rFonts w:asciiTheme="minorHAnsi" w:hAnsiTheme="minorHAnsi" w:cstheme="minorHAnsi"/>
          <w:szCs w:val="24"/>
        </w:rPr>
        <w:t xml:space="preserve">. The local community offers education programs to ensure that the elderly can learn something new. In maintaining proper health, the local community provides nutrition and meal and healthcare and wellness programs. It effectively ensures that sickness and poor health does not derail their last days. </w:t>
      </w:r>
    </w:p>
    <w:p w14:paraId="6CD338A2" w14:textId="77777777" w:rsidR="009C1161" w:rsidRPr="00B952EF" w:rsidRDefault="00870AAF" w:rsidP="009C1161">
      <w:pPr>
        <w:rPr>
          <w:rFonts w:asciiTheme="minorHAnsi" w:hAnsiTheme="minorHAnsi" w:cstheme="minorHAnsi"/>
          <w:szCs w:val="24"/>
        </w:rPr>
      </w:pPr>
      <w:r w:rsidRPr="00B952EF">
        <w:rPr>
          <w:rFonts w:asciiTheme="minorHAnsi" w:hAnsiTheme="minorHAnsi" w:cstheme="minorHAnsi"/>
          <w:szCs w:val="24"/>
        </w:rPr>
        <w:t>Transportation and housing resources effectively ensure that there is no homeless, older adult in the local community. Transport provides that the elderly can comfortably move around without burdening their children</w:t>
      </w:r>
      <w:r w:rsidR="008E7E23" w:rsidRPr="00B952EF">
        <w:rPr>
          <w:rFonts w:asciiTheme="minorHAnsi" w:hAnsiTheme="minorHAnsi" w:cstheme="minorHAnsi"/>
          <w:szCs w:val="24"/>
        </w:rPr>
        <w:t xml:space="preserve"> and can live independently</w:t>
      </w:r>
      <w:r w:rsidRPr="00B952EF">
        <w:rPr>
          <w:rFonts w:asciiTheme="minorHAnsi" w:hAnsiTheme="minorHAnsi" w:cstheme="minorHAnsi"/>
          <w:szCs w:val="24"/>
        </w:rPr>
        <w:t>. The above programs in the local community make the elderly happy and lead fulfilling lives. The</w:t>
      </w:r>
      <w:r w:rsidR="008E7E23" w:rsidRPr="00B952EF">
        <w:rPr>
          <w:rFonts w:asciiTheme="minorHAnsi" w:hAnsiTheme="minorHAnsi" w:cstheme="minorHAnsi"/>
          <w:szCs w:val="24"/>
        </w:rPr>
        <w:t>re</w:t>
      </w:r>
      <w:r w:rsidRPr="00B952EF">
        <w:rPr>
          <w:rFonts w:asciiTheme="minorHAnsi" w:hAnsiTheme="minorHAnsi" w:cstheme="minorHAnsi"/>
          <w:szCs w:val="24"/>
        </w:rPr>
        <w:t xml:space="preserve"> </w:t>
      </w:r>
      <w:r w:rsidR="008E7E23" w:rsidRPr="00B952EF">
        <w:rPr>
          <w:rFonts w:asciiTheme="minorHAnsi" w:hAnsiTheme="minorHAnsi" w:cstheme="minorHAnsi"/>
          <w:szCs w:val="24"/>
        </w:rPr>
        <w:t xml:space="preserve">are a number </w:t>
      </w:r>
      <w:r w:rsidRPr="00B952EF">
        <w:rPr>
          <w:rFonts w:asciiTheme="minorHAnsi" w:hAnsiTheme="minorHAnsi" w:cstheme="minorHAnsi"/>
          <w:szCs w:val="24"/>
        </w:rPr>
        <w:t xml:space="preserve">of home care services identified. </w:t>
      </w:r>
      <w:r w:rsidR="008E7E23" w:rsidRPr="00B952EF">
        <w:rPr>
          <w:rFonts w:asciiTheme="minorHAnsi" w:hAnsiTheme="minorHAnsi" w:cstheme="minorHAnsi"/>
          <w:szCs w:val="24"/>
        </w:rPr>
        <w:t>If an</w:t>
      </w:r>
      <w:r w:rsidRPr="00B952EF">
        <w:rPr>
          <w:rFonts w:asciiTheme="minorHAnsi" w:hAnsiTheme="minorHAnsi" w:cstheme="minorHAnsi"/>
          <w:szCs w:val="24"/>
        </w:rPr>
        <w:t xml:space="preserve"> adult may get sick at home </w:t>
      </w:r>
      <w:r w:rsidR="008E7E23" w:rsidRPr="00B952EF">
        <w:rPr>
          <w:rFonts w:asciiTheme="minorHAnsi" w:hAnsiTheme="minorHAnsi" w:cstheme="minorHAnsi"/>
          <w:szCs w:val="24"/>
        </w:rPr>
        <w:t xml:space="preserve">they can easily get </w:t>
      </w:r>
      <w:r w:rsidRPr="00B952EF">
        <w:rPr>
          <w:rFonts w:asciiTheme="minorHAnsi" w:hAnsiTheme="minorHAnsi" w:cstheme="minorHAnsi"/>
          <w:szCs w:val="24"/>
        </w:rPr>
        <w:t xml:space="preserve">homecare </w:t>
      </w:r>
      <w:r w:rsidR="008E7E23" w:rsidRPr="00B952EF">
        <w:rPr>
          <w:rFonts w:asciiTheme="minorHAnsi" w:hAnsiTheme="minorHAnsi" w:cstheme="minorHAnsi"/>
          <w:szCs w:val="24"/>
        </w:rPr>
        <w:t xml:space="preserve">service </w:t>
      </w:r>
      <w:r w:rsidRPr="00B952EF">
        <w:rPr>
          <w:rFonts w:asciiTheme="minorHAnsi" w:hAnsiTheme="minorHAnsi" w:cstheme="minorHAnsi"/>
          <w:szCs w:val="24"/>
        </w:rPr>
        <w:t xml:space="preserve">available. Another </w:t>
      </w:r>
      <w:r w:rsidR="008E7E23" w:rsidRPr="00B952EF">
        <w:rPr>
          <w:rFonts w:asciiTheme="minorHAnsi" w:hAnsiTheme="minorHAnsi" w:cstheme="minorHAnsi"/>
          <w:szCs w:val="24"/>
        </w:rPr>
        <w:t xml:space="preserve">significance </w:t>
      </w:r>
      <w:r w:rsidRPr="00B952EF">
        <w:rPr>
          <w:rFonts w:asciiTheme="minorHAnsi" w:hAnsiTheme="minorHAnsi" w:cstheme="minorHAnsi"/>
          <w:szCs w:val="24"/>
        </w:rPr>
        <w:t xml:space="preserve">identified was the </w:t>
      </w:r>
      <w:r w:rsidR="008E7E23" w:rsidRPr="00B952EF">
        <w:rPr>
          <w:rFonts w:asciiTheme="minorHAnsi" w:hAnsiTheme="minorHAnsi" w:cstheme="minorHAnsi"/>
          <w:szCs w:val="24"/>
        </w:rPr>
        <w:t xml:space="preserve">number of social events and </w:t>
      </w:r>
      <w:r w:rsidRPr="00B952EF">
        <w:rPr>
          <w:rFonts w:asciiTheme="minorHAnsi" w:hAnsiTheme="minorHAnsi" w:cstheme="minorHAnsi"/>
          <w:szCs w:val="24"/>
        </w:rPr>
        <w:t>fun activities for the elderly. Though they lead fulfilling lives, this might make them bored</w:t>
      </w:r>
      <w:r w:rsidR="008E7E23" w:rsidRPr="00B952EF">
        <w:rPr>
          <w:rFonts w:asciiTheme="minorHAnsi" w:hAnsiTheme="minorHAnsi" w:cstheme="minorHAnsi"/>
          <w:szCs w:val="24"/>
        </w:rPr>
        <w:t xml:space="preserve"> so they can get indulge in social events and can enjoy their favourable practices</w:t>
      </w:r>
      <w:r w:rsidR="00124D64" w:rsidRPr="00B952EF">
        <w:rPr>
          <w:rFonts w:asciiTheme="minorHAnsi" w:hAnsiTheme="minorHAnsi" w:cstheme="minorHAnsi"/>
          <w:szCs w:val="24"/>
        </w:rPr>
        <w:t xml:space="preserve"> (Panca et al., 2019)</w:t>
      </w:r>
      <w:r w:rsidRPr="00B952EF">
        <w:rPr>
          <w:rFonts w:asciiTheme="minorHAnsi" w:hAnsiTheme="minorHAnsi" w:cstheme="minorHAnsi"/>
          <w:szCs w:val="24"/>
        </w:rPr>
        <w:t xml:space="preserve">. </w:t>
      </w:r>
    </w:p>
    <w:p w14:paraId="7E3084AD" w14:textId="0C91B670" w:rsidR="00DF4461" w:rsidRPr="00B952EF" w:rsidRDefault="00870AAF" w:rsidP="009C1161">
      <w:pPr>
        <w:rPr>
          <w:rFonts w:asciiTheme="minorHAnsi" w:hAnsiTheme="minorHAnsi" w:cstheme="minorHAnsi"/>
          <w:szCs w:val="24"/>
        </w:rPr>
      </w:pPr>
      <w:r w:rsidRPr="00B952EF">
        <w:rPr>
          <w:rFonts w:asciiTheme="minorHAnsi" w:hAnsiTheme="minorHAnsi" w:cstheme="minorHAnsi"/>
          <w:szCs w:val="24"/>
        </w:rPr>
        <w:t>Also, by the following effective ways, the services fill the existing gaps in the community resources for old adults.</w:t>
      </w:r>
      <w:r w:rsidR="009C1161" w:rsidRPr="00B952EF">
        <w:rPr>
          <w:rFonts w:asciiTheme="minorHAnsi" w:hAnsiTheme="minorHAnsi" w:cstheme="minorHAnsi"/>
          <w:szCs w:val="24"/>
        </w:rPr>
        <w:t xml:space="preserve"> </w:t>
      </w:r>
      <w:r w:rsidRPr="00B952EF">
        <w:rPr>
          <w:rFonts w:asciiTheme="minorHAnsi" w:hAnsiTheme="minorHAnsi" w:cstheme="minorHAnsi"/>
          <w:szCs w:val="24"/>
        </w:rPr>
        <w:t xml:space="preserve">The local community do consider implementing policies that will ensure the elderly get homecare services. The local government provides funding to homecare practitioners to give the elderly access to home care services. For fun activities, the local community considers setting up games like Bingo. Old adults love playing </w:t>
      </w:r>
      <w:r w:rsidR="00B2142C" w:rsidRPr="00B952EF">
        <w:rPr>
          <w:rFonts w:asciiTheme="minorHAnsi" w:hAnsiTheme="minorHAnsi" w:cstheme="minorHAnsi"/>
          <w:szCs w:val="24"/>
        </w:rPr>
        <w:t>Bingo,</w:t>
      </w:r>
      <w:r w:rsidRPr="00B952EF">
        <w:rPr>
          <w:rFonts w:asciiTheme="minorHAnsi" w:hAnsiTheme="minorHAnsi" w:cstheme="minorHAnsi"/>
          <w:szCs w:val="24"/>
        </w:rPr>
        <w:t xml:space="preserve"> and this would ensure fun and enjoyable stay at the senior centres. Other activities for the elderly include knitting competitions, reading activities and storytelling programs. Though the resources available ensure fulfilled lives, filling the stated gaps would make the experience much better for old adults. </w:t>
      </w:r>
    </w:p>
    <w:p w14:paraId="265EDB5B" w14:textId="29EAD7DF" w:rsidR="008E7E23" w:rsidRPr="00B952EF" w:rsidRDefault="00870AAF" w:rsidP="009C1161">
      <w:pPr>
        <w:rPr>
          <w:rFonts w:asciiTheme="minorHAnsi" w:hAnsiTheme="minorHAnsi" w:cstheme="minorHAnsi"/>
          <w:szCs w:val="24"/>
        </w:rPr>
      </w:pPr>
      <w:r w:rsidRPr="00B952EF">
        <w:rPr>
          <w:rFonts w:asciiTheme="minorHAnsi" w:hAnsiTheme="minorHAnsi" w:cstheme="minorHAnsi"/>
          <w:szCs w:val="24"/>
        </w:rPr>
        <w:t xml:space="preserve">It is of essence that volunteers and practitioners who take care of the elderly have the theoretical and practical knowledge on how to properly care for the elderly. Taking advantage of the available resources in the local community ensures that the elderly are well taken care </w:t>
      </w:r>
      <w:r w:rsidRPr="00B952EF">
        <w:rPr>
          <w:rFonts w:asciiTheme="minorHAnsi" w:hAnsiTheme="minorHAnsi" w:cstheme="minorHAnsi"/>
          <w:szCs w:val="24"/>
        </w:rPr>
        <w:lastRenderedPageBreak/>
        <w:t xml:space="preserve">of and they lead </w:t>
      </w:r>
      <w:r w:rsidR="00F87413" w:rsidRPr="00B952EF">
        <w:rPr>
          <w:rFonts w:asciiTheme="minorHAnsi" w:hAnsiTheme="minorHAnsi" w:cstheme="minorHAnsi"/>
          <w:szCs w:val="24"/>
        </w:rPr>
        <w:t xml:space="preserve">happy </w:t>
      </w:r>
      <w:r w:rsidRPr="00B952EF">
        <w:rPr>
          <w:rFonts w:asciiTheme="minorHAnsi" w:hAnsiTheme="minorHAnsi" w:cstheme="minorHAnsi"/>
          <w:szCs w:val="24"/>
        </w:rPr>
        <w:t xml:space="preserve">lives </w:t>
      </w:r>
      <w:r w:rsidRPr="00B952EF">
        <w:rPr>
          <w:rFonts w:asciiTheme="minorHAnsi" w:hAnsiTheme="minorHAnsi" w:cstheme="minorHAnsi"/>
          <w:color w:val="000000"/>
          <w:szCs w:val="24"/>
          <w:shd w:val="clear" w:color="auto" w:fill="FFFFFF"/>
        </w:rPr>
        <w:t>(Wacker &amp; Roberto, n.d.)</w:t>
      </w:r>
      <w:r w:rsidRPr="00B952EF">
        <w:rPr>
          <w:rFonts w:asciiTheme="minorHAnsi" w:hAnsiTheme="minorHAnsi" w:cstheme="minorHAnsi"/>
          <w:szCs w:val="24"/>
        </w:rPr>
        <w:t xml:space="preserve">. They have a deep understanding of the social and psychological needs of the elderly and use the available resources wisely to help these old adults. </w:t>
      </w:r>
    </w:p>
    <w:p w14:paraId="31683EF5" w14:textId="77777777" w:rsidR="00F667B7" w:rsidRPr="00B952EF" w:rsidRDefault="00F667B7" w:rsidP="009C1161">
      <w:pPr>
        <w:rPr>
          <w:rFonts w:asciiTheme="minorHAnsi" w:hAnsiTheme="minorHAnsi" w:cstheme="minorHAnsi"/>
          <w:szCs w:val="24"/>
        </w:rPr>
      </w:pPr>
    </w:p>
    <w:p w14:paraId="20120B4D" w14:textId="77777777" w:rsidR="00DF4461" w:rsidRPr="00B952EF" w:rsidRDefault="00870AAF" w:rsidP="009C1161">
      <w:pPr>
        <w:rPr>
          <w:rFonts w:asciiTheme="minorHAnsi" w:hAnsiTheme="minorHAnsi" w:cstheme="minorHAnsi"/>
          <w:b/>
          <w:sz w:val="28"/>
          <w:szCs w:val="28"/>
        </w:rPr>
      </w:pPr>
      <w:r w:rsidRPr="00B952EF">
        <w:rPr>
          <w:rFonts w:asciiTheme="minorHAnsi" w:hAnsiTheme="minorHAnsi" w:cstheme="minorHAnsi"/>
          <w:b/>
          <w:sz w:val="28"/>
          <w:szCs w:val="28"/>
        </w:rPr>
        <w:t>An organization capable of providing support</w:t>
      </w:r>
    </w:p>
    <w:p w14:paraId="6F484942" w14:textId="77777777" w:rsidR="009F6318" w:rsidRPr="00B952EF" w:rsidRDefault="00870AAF" w:rsidP="009C1161">
      <w:pPr>
        <w:rPr>
          <w:rFonts w:asciiTheme="minorHAnsi" w:hAnsiTheme="minorHAnsi" w:cstheme="minorHAnsi"/>
          <w:szCs w:val="24"/>
        </w:rPr>
      </w:pPr>
      <w:r w:rsidRPr="00B952EF">
        <w:rPr>
          <w:rFonts w:asciiTheme="minorHAnsi" w:hAnsiTheme="minorHAnsi" w:cstheme="minorHAnsi"/>
          <w:szCs w:val="24"/>
        </w:rPr>
        <w:t>The "Care UK organization" is among the finest support service provider for efficient health and social care. It aids in personal care services for older individuals and people with chronic diseases such as dementia</w:t>
      </w:r>
      <w:r w:rsidR="00124D64" w:rsidRPr="00B952EF">
        <w:rPr>
          <w:rFonts w:asciiTheme="minorHAnsi" w:hAnsiTheme="minorHAnsi" w:cstheme="minorHAnsi"/>
          <w:szCs w:val="24"/>
        </w:rPr>
        <w:t xml:space="preserve"> (CareUK, 2020)</w:t>
      </w:r>
      <w:r w:rsidRPr="00B952EF">
        <w:rPr>
          <w:rFonts w:asciiTheme="minorHAnsi" w:hAnsiTheme="minorHAnsi" w:cstheme="minorHAnsi"/>
          <w:szCs w:val="24"/>
        </w:rPr>
        <w:t>. Further, it is known for proving services such as home care, nursing home care, mental health and disability services. This organization has a diverse workforce which guides the individuals in need of mobility service and daily life activities.</w:t>
      </w:r>
    </w:p>
    <w:p w14:paraId="432F6356" w14:textId="77777777" w:rsidR="009F6318" w:rsidRPr="00B952EF" w:rsidRDefault="00870AAF" w:rsidP="009C1161">
      <w:pPr>
        <w:rPr>
          <w:rFonts w:asciiTheme="minorHAnsi" w:hAnsiTheme="minorHAnsi" w:cstheme="minorHAnsi"/>
          <w:b/>
          <w:sz w:val="28"/>
          <w:szCs w:val="28"/>
        </w:rPr>
      </w:pPr>
      <w:r w:rsidRPr="00B952EF">
        <w:rPr>
          <w:rFonts w:asciiTheme="minorHAnsi" w:hAnsiTheme="minorHAnsi" w:cstheme="minorHAnsi"/>
          <w:b/>
          <w:sz w:val="28"/>
          <w:szCs w:val="28"/>
        </w:rPr>
        <w:t xml:space="preserve">Critical evaluation </w:t>
      </w:r>
    </w:p>
    <w:p w14:paraId="0C02A58C" w14:textId="77777777" w:rsidR="00F94E5D" w:rsidRPr="00B952EF" w:rsidRDefault="00870AAF" w:rsidP="009C1161">
      <w:pPr>
        <w:rPr>
          <w:rFonts w:asciiTheme="minorHAnsi" w:hAnsiTheme="minorHAnsi" w:cstheme="minorHAnsi"/>
          <w:szCs w:val="24"/>
        </w:rPr>
      </w:pPr>
      <w:r w:rsidRPr="00B952EF">
        <w:rPr>
          <w:rFonts w:asciiTheme="minorHAnsi" w:hAnsiTheme="minorHAnsi" w:cstheme="minorHAnsi"/>
          <w:szCs w:val="24"/>
        </w:rPr>
        <w:t>The key principles regulating the Care UK organisation's activities are as follows:</w:t>
      </w:r>
    </w:p>
    <w:p w14:paraId="5C95B463" w14:textId="77777777" w:rsidR="00306E97" w:rsidRPr="00B952EF" w:rsidRDefault="00870AAF" w:rsidP="009C1161">
      <w:pPr>
        <w:rPr>
          <w:rFonts w:asciiTheme="minorHAnsi" w:hAnsiTheme="minorHAnsi" w:cstheme="minorHAnsi"/>
          <w:szCs w:val="24"/>
        </w:rPr>
      </w:pPr>
      <w:r w:rsidRPr="00B952EF">
        <w:rPr>
          <w:rFonts w:asciiTheme="minorHAnsi" w:hAnsiTheme="minorHAnsi" w:cstheme="minorHAnsi"/>
          <w:b/>
          <w:i/>
          <w:sz w:val="28"/>
          <w:szCs w:val="28"/>
        </w:rPr>
        <w:t>Principles of support</w:t>
      </w:r>
      <w:r w:rsidR="006E0D5D" w:rsidRPr="00B952EF">
        <w:rPr>
          <w:rFonts w:asciiTheme="minorHAnsi" w:hAnsiTheme="minorHAnsi" w:cstheme="minorHAnsi"/>
          <w:b/>
          <w:i/>
          <w:sz w:val="28"/>
          <w:szCs w:val="28"/>
        </w:rPr>
        <w:t>-</w:t>
      </w:r>
      <w:r w:rsidR="001C6D6E" w:rsidRPr="00B952EF">
        <w:rPr>
          <w:rFonts w:asciiTheme="minorHAnsi" w:hAnsiTheme="minorHAnsi" w:cstheme="minorHAnsi"/>
          <w:szCs w:val="24"/>
        </w:rPr>
        <w:t xml:space="preserve"> Principles indicate that a health and social care program is important for its progress. Nevertheless, it is necessary to consider the importance of principles; for health care practitioners, beliefs are a central aspect of health care, they are linked to beliefs, they are to be upheld by regulation, good governance, directing etiquette or proper principle</w:t>
      </w:r>
      <w:r w:rsidR="00124D64" w:rsidRPr="00B952EF">
        <w:rPr>
          <w:rFonts w:asciiTheme="minorHAnsi" w:hAnsiTheme="minorHAnsi" w:cstheme="minorHAnsi"/>
          <w:szCs w:val="24"/>
        </w:rPr>
        <w:t xml:space="preserve"> (Reeves et al., 2019)</w:t>
      </w:r>
      <w:r w:rsidR="001C6D6E" w:rsidRPr="00B952EF">
        <w:rPr>
          <w:rFonts w:asciiTheme="minorHAnsi" w:hAnsiTheme="minorHAnsi" w:cstheme="minorHAnsi"/>
          <w:szCs w:val="24"/>
        </w:rPr>
        <w:t>.</w:t>
      </w:r>
      <w:r w:rsidR="006C2511" w:rsidRPr="00B952EF">
        <w:rPr>
          <w:rFonts w:asciiTheme="minorHAnsi" w:hAnsiTheme="minorHAnsi" w:cstheme="minorHAnsi"/>
          <w:szCs w:val="24"/>
        </w:rPr>
        <w:t xml:space="preserve"> The Care UK also adopts privacy principles in the care settings for its user's services. Moreover, respecting of privacy might help to reduce the </w:t>
      </w:r>
      <w:r w:rsidR="00616500" w:rsidRPr="00B952EF">
        <w:rPr>
          <w:rFonts w:asciiTheme="minorHAnsi" w:hAnsiTheme="minorHAnsi" w:cstheme="minorHAnsi"/>
          <w:szCs w:val="24"/>
        </w:rPr>
        <w:t xml:space="preserve">tension among </w:t>
      </w:r>
      <w:r w:rsidR="006C2511" w:rsidRPr="00B952EF">
        <w:rPr>
          <w:rFonts w:asciiTheme="minorHAnsi" w:hAnsiTheme="minorHAnsi" w:cstheme="minorHAnsi"/>
          <w:szCs w:val="24"/>
        </w:rPr>
        <w:t>patients and increase Mr &amp; Mrs T's care</w:t>
      </w:r>
      <w:r w:rsidR="00616500" w:rsidRPr="00B952EF">
        <w:rPr>
          <w:rFonts w:asciiTheme="minorHAnsi" w:hAnsiTheme="minorHAnsi" w:cstheme="minorHAnsi"/>
          <w:szCs w:val="24"/>
        </w:rPr>
        <w:t xml:space="preserve"> provision</w:t>
      </w:r>
      <w:r w:rsidR="006C2511" w:rsidRPr="00B952EF">
        <w:rPr>
          <w:rFonts w:asciiTheme="minorHAnsi" w:hAnsiTheme="minorHAnsi" w:cstheme="minorHAnsi"/>
          <w:szCs w:val="24"/>
        </w:rPr>
        <w:t xml:space="preserve">. </w:t>
      </w:r>
      <w:r w:rsidR="00616500" w:rsidRPr="00B952EF">
        <w:rPr>
          <w:rFonts w:asciiTheme="minorHAnsi" w:hAnsiTheme="minorHAnsi" w:cstheme="minorHAnsi"/>
          <w:szCs w:val="24"/>
        </w:rPr>
        <w:t>C</w:t>
      </w:r>
      <w:r w:rsidR="006C2511" w:rsidRPr="00B952EF">
        <w:rPr>
          <w:rFonts w:asciiTheme="minorHAnsi" w:hAnsiTheme="minorHAnsi" w:cstheme="minorHAnsi"/>
          <w:szCs w:val="24"/>
        </w:rPr>
        <w:t>onfidentiality in healthcare environments tends to increase the rate of patient satisfaction</w:t>
      </w:r>
      <w:r w:rsidR="00124D64" w:rsidRPr="00B952EF">
        <w:rPr>
          <w:rFonts w:asciiTheme="minorHAnsi" w:hAnsiTheme="minorHAnsi" w:cstheme="minorHAnsi"/>
          <w:szCs w:val="24"/>
        </w:rPr>
        <w:t xml:space="preserve"> (Vun et al., 2017)</w:t>
      </w:r>
      <w:r w:rsidR="006C2511" w:rsidRPr="00B952EF">
        <w:rPr>
          <w:rFonts w:asciiTheme="minorHAnsi" w:hAnsiTheme="minorHAnsi" w:cstheme="minorHAnsi"/>
          <w:szCs w:val="24"/>
        </w:rPr>
        <w:t>.</w:t>
      </w:r>
      <w:r w:rsidR="00D816FD" w:rsidRPr="00B952EF">
        <w:rPr>
          <w:rFonts w:asciiTheme="minorHAnsi" w:hAnsiTheme="minorHAnsi" w:cstheme="minorHAnsi"/>
          <w:szCs w:val="24"/>
        </w:rPr>
        <w:t xml:space="preserve"> Further, Care UK entails the principle of non-discriminatory acts.</w:t>
      </w:r>
      <w:r w:rsidR="006D1ACF" w:rsidRPr="00B952EF">
        <w:rPr>
          <w:rFonts w:asciiTheme="minorHAnsi" w:hAnsiTheme="minorHAnsi" w:cstheme="minorHAnsi"/>
          <w:szCs w:val="24"/>
        </w:rPr>
        <w:t xml:space="preserve"> </w:t>
      </w:r>
      <w:r w:rsidR="00124D64" w:rsidRPr="00B952EF">
        <w:rPr>
          <w:rFonts w:asciiTheme="minorHAnsi" w:hAnsiTheme="minorHAnsi" w:cstheme="minorHAnsi"/>
          <w:szCs w:val="24"/>
        </w:rPr>
        <w:t>Alcock et al. (2018) suggest that s</w:t>
      </w:r>
      <w:r w:rsidR="006D1ACF" w:rsidRPr="00B952EF">
        <w:rPr>
          <w:rFonts w:asciiTheme="minorHAnsi" w:hAnsiTheme="minorHAnsi" w:cstheme="minorHAnsi"/>
          <w:szCs w:val="24"/>
        </w:rPr>
        <w:t xml:space="preserve">uch an approach aims to minimize the discriminatory behaviours of social health care systems undertaken by workers. However, the 2010 equity act will enable Mr and Mrs T to get the requisite support about their health conditions. </w:t>
      </w:r>
      <w:r w:rsidR="00AF75AA" w:rsidRPr="00B952EF">
        <w:rPr>
          <w:rFonts w:asciiTheme="minorHAnsi" w:hAnsiTheme="minorHAnsi" w:cstheme="minorHAnsi"/>
          <w:szCs w:val="24"/>
        </w:rPr>
        <w:t>Sharing details regarding the medical status of service users with patient families tend to reduce the harm caused by other staff</w:t>
      </w:r>
      <w:r w:rsidR="00124D64" w:rsidRPr="00B952EF">
        <w:rPr>
          <w:rFonts w:asciiTheme="minorHAnsi" w:hAnsiTheme="minorHAnsi" w:cstheme="minorHAnsi"/>
          <w:szCs w:val="24"/>
        </w:rPr>
        <w:t xml:space="preserve"> (Alcock et al., 2018)</w:t>
      </w:r>
      <w:r w:rsidR="00AF75AA" w:rsidRPr="00B952EF">
        <w:rPr>
          <w:rFonts w:asciiTheme="minorHAnsi" w:hAnsiTheme="minorHAnsi" w:cstheme="minorHAnsi"/>
          <w:szCs w:val="24"/>
        </w:rPr>
        <w:t xml:space="preserve">. </w:t>
      </w:r>
    </w:p>
    <w:p w14:paraId="76363392" w14:textId="77777777" w:rsidR="00AF75AA" w:rsidRPr="00B952EF" w:rsidRDefault="00870AAF" w:rsidP="009C1161">
      <w:pPr>
        <w:rPr>
          <w:rFonts w:asciiTheme="minorHAnsi" w:hAnsiTheme="minorHAnsi" w:cstheme="minorHAnsi"/>
          <w:szCs w:val="24"/>
        </w:rPr>
      </w:pPr>
      <w:r w:rsidRPr="00B952EF">
        <w:rPr>
          <w:rFonts w:asciiTheme="minorHAnsi" w:hAnsiTheme="minorHAnsi" w:cstheme="minorHAnsi"/>
          <w:szCs w:val="24"/>
        </w:rPr>
        <w:t>The independence provided by the healthcare facilities significantly reduces the underpinnings which might harm service users' emotional stability. Therefore, this application is useful in eliminating the immoral activity of certain healthcare organisation’s staff</w:t>
      </w:r>
      <w:r w:rsidR="00CC484D" w:rsidRPr="00B952EF">
        <w:rPr>
          <w:rFonts w:asciiTheme="minorHAnsi" w:hAnsiTheme="minorHAnsi" w:cstheme="minorHAnsi"/>
          <w:szCs w:val="24"/>
        </w:rPr>
        <w:t xml:space="preserve"> (Alcock et al., 2018)</w:t>
      </w:r>
      <w:r w:rsidRPr="00B952EF">
        <w:rPr>
          <w:rFonts w:asciiTheme="minorHAnsi" w:hAnsiTheme="minorHAnsi" w:cstheme="minorHAnsi"/>
          <w:szCs w:val="24"/>
        </w:rPr>
        <w:t xml:space="preserve">. In addition, </w:t>
      </w:r>
      <w:r w:rsidR="00CC484D" w:rsidRPr="00B952EF">
        <w:rPr>
          <w:rFonts w:asciiTheme="minorHAnsi" w:eastAsia="Times New Roman" w:hAnsiTheme="minorHAnsi" w:cstheme="minorHAnsi"/>
          <w:szCs w:val="24"/>
        </w:rPr>
        <w:t>Atwal and Jones (2019) state that</w:t>
      </w:r>
      <w:r w:rsidR="00CC484D" w:rsidRPr="00B952EF">
        <w:rPr>
          <w:rFonts w:asciiTheme="minorHAnsi" w:hAnsiTheme="minorHAnsi" w:cstheme="minorHAnsi"/>
          <w:szCs w:val="24"/>
        </w:rPr>
        <w:t xml:space="preserve"> </w:t>
      </w:r>
      <w:r w:rsidRPr="00B952EF">
        <w:rPr>
          <w:rFonts w:asciiTheme="minorHAnsi" w:hAnsiTheme="minorHAnsi" w:cstheme="minorHAnsi"/>
          <w:szCs w:val="24"/>
        </w:rPr>
        <w:t xml:space="preserve">protecting individual rights and </w:t>
      </w:r>
      <w:r w:rsidRPr="00B952EF">
        <w:rPr>
          <w:rFonts w:asciiTheme="minorHAnsi" w:hAnsiTheme="minorHAnsi" w:cstheme="minorHAnsi"/>
          <w:szCs w:val="24"/>
        </w:rPr>
        <w:lastRenderedPageBreak/>
        <w:t>allowing complaints to be registered helps improve patients trust and satisfaction in the support service. Through the support of complaints, the person's privileges in a social care environment will be effectively maintained. The care centres do not facilitate complaints from mentally unwell individuals. Further, care UK service utilizes</w:t>
      </w:r>
      <w:r w:rsidR="00BB56B6" w:rsidRPr="00B952EF">
        <w:rPr>
          <w:rFonts w:asciiTheme="minorHAnsi" w:hAnsiTheme="minorHAnsi" w:cstheme="minorHAnsi"/>
          <w:szCs w:val="24"/>
        </w:rPr>
        <w:t xml:space="preserve"> a person-centred care approach. This helps i</w:t>
      </w:r>
      <w:r w:rsidR="00C172D4" w:rsidRPr="00B952EF">
        <w:rPr>
          <w:rFonts w:asciiTheme="minorHAnsi" w:hAnsiTheme="minorHAnsi" w:cstheme="minorHAnsi"/>
          <w:szCs w:val="24"/>
        </w:rPr>
        <w:t>n addressing the basic expectations of the service consumers, improves the social assistance and the ability of program participants to live and enhance their participation in social events</w:t>
      </w:r>
      <w:r w:rsidR="00CC484D" w:rsidRPr="00B952EF">
        <w:rPr>
          <w:rFonts w:asciiTheme="minorHAnsi" w:hAnsiTheme="minorHAnsi" w:cstheme="minorHAnsi"/>
          <w:szCs w:val="24"/>
        </w:rPr>
        <w:t xml:space="preserve"> (</w:t>
      </w:r>
      <w:r w:rsidR="00CC484D" w:rsidRPr="00B952EF">
        <w:rPr>
          <w:rFonts w:asciiTheme="minorHAnsi" w:eastAsia="Times New Roman" w:hAnsiTheme="minorHAnsi" w:cstheme="minorHAnsi"/>
          <w:szCs w:val="24"/>
        </w:rPr>
        <w:t>Battaglia, 2016)</w:t>
      </w:r>
      <w:r w:rsidR="00C172D4" w:rsidRPr="00B952EF">
        <w:rPr>
          <w:rFonts w:asciiTheme="minorHAnsi" w:hAnsiTheme="minorHAnsi" w:cstheme="minorHAnsi"/>
          <w:szCs w:val="24"/>
        </w:rPr>
        <w:t xml:space="preserve">. </w:t>
      </w:r>
    </w:p>
    <w:p w14:paraId="186560AD" w14:textId="77777777" w:rsidR="009F6318" w:rsidRPr="00B952EF" w:rsidRDefault="00870AAF" w:rsidP="009C1161">
      <w:pPr>
        <w:rPr>
          <w:rFonts w:asciiTheme="minorHAnsi" w:hAnsiTheme="minorHAnsi" w:cstheme="minorHAnsi"/>
          <w:szCs w:val="24"/>
        </w:rPr>
      </w:pPr>
      <w:r w:rsidRPr="00B952EF">
        <w:rPr>
          <w:rFonts w:asciiTheme="minorHAnsi" w:hAnsiTheme="minorHAnsi" w:cstheme="minorHAnsi"/>
          <w:b/>
          <w:i/>
          <w:sz w:val="28"/>
          <w:szCs w:val="28"/>
        </w:rPr>
        <w:t>Policies</w:t>
      </w:r>
      <w:r w:rsidR="00F94E5D" w:rsidRPr="00B952EF">
        <w:rPr>
          <w:rFonts w:asciiTheme="minorHAnsi" w:hAnsiTheme="minorHAnsi" w:cstheme="minorHAnsi"/>
          <w:b/>
          <w:i/>
          <w:sz w:val="28"/>
          <w:szCs w:val="28"/>
        </w:rPr>
        <w:t>,</w:t>
      </w:r>
      <w:r w:rsidR="00D67556" w:rsidRPr="00B952EF">
        <w:rPr>
          <w:rFonts w:asciiTheme="minorHAnsi" w:hAnsiTheme="minorHAnsi" w:cstheme="minorHAnsi"/>
          <w:b/>
          <w:i/>
          <w:sz w:val="28"/>
          <w:szCs w:val="28"/>
        </w:rPr>
        <w:t xml:space="preserve"> Procedures,</w:t>
      </w:r>
      <w:r w:rsidR="00F94E5D" w:rsidRPr="00B952EF">
        <w:rPr>
          <w:rFonts w:asciiTheme="minorHAnsi" w:hAnsiTheme="minorHAnsi" w:cstheme="minorHAnsi"/>
          <w:b/>
          <w:i/>
          <w:sz w:val="28"/>
          <w:szCs w:val="28"/>
        </w:rPr>
        <w:t xml:space="preserve"> legislation, regulation and codes of practice</w:t>
      </w:r>
      <w:r w:rsidR="006E0D5D" w:rsidRPr="00B952EF">
        <w:rPr>
          <w:rFonts w:asciiTheme="minorHAnsi" w:hAnsiTheme="minorHAnsi" w:cstheme="minorHAnsi"/>
          <w:b/>
          <w:i/>
          <w:sz w:val="28"/>
          <w:szCs w:val="28"/>
        </w:rPr>
        <w:t>-</w:t>
      </w:r>
      <w:r w:rsidR="008B0C53" w:rsidRPr="00B952EF">
        <w:rPr>
          <w:rFonts w:asciiTheme="minorHAnsi" w:hAnsiTheme="minorHAnsi" w:cstheme="minorHAnsi"/>
          <w:szCs w:val="24"/>
        </w:rPr>
        <w:t xml:space="preserve"> </w:t>
      </w:r>
      <w:r w:rsidR="00714D05" w:rsidRPr="00B952EF">
        <w:rPr>
          <w:rFonts w:asciiTheme="minorHAnsi" w:hAnsiTheme="minorHAnsi" w:cstheme="minorHAnsi"/>
          <w:szCs w:val="24"/>
        </w:rPr>
        <w:t>According to</w:t>
      </w:r>
      <w:r w:rsidR="00714D05" w:rsidRPr="00B952EF">
        <w:rPr>
          <w:rFonts w:asciiTheme="minorHAnsi" w:eastAsia="Times New Roman" w:hAnsiTheme="minorHAnsi" w:cstheme="minorHAnsi"/>
          <w:szCs w:val="24"/>
        </w:rPr>
        <w:t xml:space="preserve"> Brownson et al. (2016), t</w:t>
      </w:r>
      <w:r w:rsidR="00D67556" w:rsidRPr="00B952EF">
        <w:rPr>
          <w:rFonts w:asciiTheme="minorHAnsi" w:hAnsiTheme="minorHAnsi" w:cstheme="minorHAnsi"/>
          <w:szCs w:val="24"/>
        </w:rPr>
        <w:t>he following overview is necessary to protect service consumers, patients and other healthcare prof</w:t>
      </w:r>
      <w:r w:rsidR="00714D05" w:rsidRPr="00B952EF">
        <w:rPr>
          <w:rFonts w:asciiTheme="minorHAnsi" w:hAnsiTheme="minorHAnsi" w:cstheme="minorHAnsi"/>
          <w:szCs w:val="24"/>
        </w:rPr>
        <w:t>essionals from any type of harm.</w:t>
      </w:r>
      <w:r w:rsidR="00D67556" w:rsidRPr="00B952EF">
        <w:rPr>
          <w:rFonts w:asciiTheme="minorHAnsi" w:hAnsiTheme="minorHAnsi" w:cstheme="minorHAnsi"/>
          <w:szCs w:val="24"/>
        </w:rPr>
        <w:t xml:space="preserve"> In addition, this outline helps to build, execute and evaluate procedures and practices to reduce any type of risk to other caregivers, healthcare professionals and patients.</w:t>
      </w:r>
      <w:r w:rsidR="008B0C53" w:rsidRPr="00B952EF">
        <w:rPr>
          <w:rFonts w:asciiTheme="minorHAnsi" w:hAnsiTheme="minorHAnsi" w:cstheme="minorHAnsi"/>
          <w:szCs w:val="24"/>
        </w:rPr>
        <w:t xml:space="preserve"> The primary objective of </w:t>
      </w:r>
      <w:r w:rsidR="002B6004" w:rsidRPr="00B952EF">
        <w:rPr>
          <w:rFonts w:asciiTheme="minorHAnsi" w:hAnsiTheme="minorHAnsi" w:cstheme="minorHAnsi"/>
          <w:szCs w:val="24"/>
        </w:rPr>
        <w:t xml:space="preserve">finding home care for Mr and Mrs T </w:t>
      </w:r>
      <w:r w:rsidR="008B0C53" w:rsidRPr="00B952EF">
        <w:rPr>
          <w:rFonts w:asciiTheme="minorHAnsi" w:hAnsiTheme="minorHAnsi" w:cstheme="minorHAnsi"/>
          <w:szCs w:val="24"/>
        </w:rPr>
        <w:t>is to ensure that no abuse is committed against</w:t>
      </w:r>
      <w:r w:rsidR="002B6004" w:rsidRPr="00B952EF">
        <w:rPr>
          <w:rFonts w:asciiTheme="minorHAnsi" w:hAnsiTheme="minorHAnsi" w:cstheme="minorHAnsi"/>
          <w:szCs w:val="24"/>
        </w:rPr>
        <w:t xml:space="preserve"> them</w:t>
      </w:r>
      <w:r w:rsidR="008B0C53" w:rsidRPr="00B952EF">
        <w:rPr>
          <w:rFonts w:asciiTheme="minorHAnsi" w:hAnsiTheme="minorHAnsi" w:cstheme="minorHAnsi"/>
          <w:szCs w:val="24"/>
        </w:rPr>
        <w:t>. In fact, the various policies, regulations, guidelines and standards need</w:t>
      </w:r>
      <w:r w:rsidR="002B6004" w:rsidRPr="00B952EF">
        <w:rPr>
          <w:rFonts w:asciiTheme="minorHAnsi" w:hAnsiTheme="minorHAnsi" w:cstheme="minorHAnsi"/>
          <w:szCs w:val="24"/>
        </w:rPr>
        <w:t xml:space="preserve">ed </w:t>
      </w:r>
      <w:r w:rsidR="008B0C53" w:rsidRPr="00B952EF">
        <w:rPr>
          <w:rFonts w:asciiTheme="minorHAnsi" w:hAnsiTheme="minorHAnsi" w:cstheme="minorHAnsi"/>
          <w:szCs w:val="24"/>
        </w:rPr>
        <w:t>in social care environments are as follows:</w:t>
      </w:r>
    </w:p>
    <w:p w14:paraId="043A9169" w14:textId="77777777" w:rsidR="008B0C53" w:rsidRPr="00B952EF" w:rsidRDefault="00870AAF" w:rsidP="009C1161">
      <w:pPr>
        <w:rPr>
          <w:rFonts w:asciiTheme="minorHAnsi" w:hAnsiTheme="minorHAnsi" w:cstheme="minorHAnsi"/>
          <w:szCs w:val="24"/>
        </w:rPr>
      </w:pPr>
      <w:r w:rsidRPr="00B952EF">
        <w:rPr>
          <w:rFonts w:asciiTheme="minorHAnsi" w:hAnsiTheme="minorHAnsi" w:cstheme="minorHAnsi"/>
          <w:b/>
          <w:sz w:val="28"/>
          <w:szCs w:val="28"/>
        </w:rPr>
        <w:t xml:space="preserve">Care act 2014: </w:t>
      </w:r>
      <w:r w:rsidRPr="00B952EF">
        <w:rPr>
          <w:rFonts w:asciiTheme="minorHAnsi" w:hAnsiTheme="minorHAnsi" w:cstheme="minorHAnsi"/>
          <w:szCs w:val="24"/>
        </w:rPr>
        <w:t>The 2014 Care Act is an important policy that aims to reduce social service employees' unethical activities</w:t>
      </w:r>
      <w:r w:rsidR="00714D05" w:rsidRPr="00B952EF">
        <w:rPr>
          <w:rFonts w:asciiTheme="minorHAnsi" w:hAnsiTheme="minorHAnsi" w:cstheme="minorHAnsi"/>
          <w:szCs w:val="24"/>
        </w:rPr>
        <w:t xml:space="preserve"> (CQC, 2012)</w:t>
      </w:r>
      <w:r w:rsidRPr="00B952EF">
        <w:rPr>
          <w:rFonts w:asciiTheme="minorHAnsi" w:hAnsiTheme="minorHAnsi" w:cstheme="minorHAnsi"/>
          <w:szCs w:val="24"/>
        </w:rPr>
        <w:t xml:space="preserve">. However, this act also prohibits some form of violence in nursing homes that is inflicted on the elderly. </w:t>
      </w:r>
      <w:r w:rsidR="00714D05" w:rsidRPr="00B952EF">
        <w:rPr>
          <w:rFonts w:asciiTheme="minorHAnsi" w:eastAsia="Times New Roman" w:hAnsiTheme="minorHAnsi" w:cstheme="minorHAnsi"/>
          <w:szCs w:val="24"/>
        </w:rPr>
        <w:t>Courtenay</w:t>
      </w:r>
      <w:r w:rsidR="00714D05" w:rsidRPr="00B952EF">
        <w:rPr>
          <w:rFonts w:asciiTheme="minorHAnsi" w:hAnsiTheme="minorHAnsi" w:cstheme="minorHAnsi"/>
          <w:szCs w:val="24"/>
        </w:rPr>
        <w:t xml:space="preserve"> (2017) </w:t>
      </w:r>
      <w:r w:rsidRPr="00B952EF">
        <w:rPr>
          <w:rFonts w:asciiTheme="minorHAnsi" w:hAnsiTheme="minorHAnsi" w:cstheme="minorHAnsi"/>
          <w:szCs w:val="24"/>
        </w:rPr>
        <w:t xml:space="preserve">stated that the care act aims to efficiently enhance the quality of the care program. The Care UK will be an appropriate setting for Mr and Mrs T. Furthermore, </w:t>
      </w:r>
      <w:r w:rsidR="00AB23C5" w:rsidRPr="00B952EF">
        <w:rPr>
          <w:rFonts w:asciiTheme="minorHAnsi" w:hAnsiTheme="minorHAnsi" w:cstheme="minorHAnsi"/>
          <w:color w:val="000000"/>
          <w:szCs w:val="24"/>
          <w:shd w:val="clear" w:color="auto" w:fill="FFFFFF"/>
        </w:rPr>
        <w:t>Zastrow</w:t>
      </w:r>
      <w:r w:rsidR="00AB23C5" w:rsidRPr="00B952EF">
        <w:rPr>
          <w:rFonts w:asciiTheme="minorHAnsi" w:hAnsiTheme="minorHAnsi" w:cstheme="minorHAnsi"/>
          <w:szCs w:val="24"/>
        </w:rPr>
        <w:t xml:space="preserve"> et al. (2016) states that </w:t>
      </w:r>
      <w:r w:rsidRPr="00B952EF">
        <w:rPr>
          <w:rFonts w:asciiTheme="minorHAnsi" w:hAnsiTheme="minorHAnsi" w:cstheme="minorHAnsi"/>
          <w:szCs w:val="24"/>
        </w:rPr>
        <w:t>the practices to be included in the care home include Transparency and equitable treatment program, reducing anonymity of service customers and avoiding all coercive methods employed in care settings</w:t>
      </w:r>
      <w:r w:rsidR="00714D05" w:rsidRPr="00B952EF">
        <w:rPr>
          <w:rFonts w:asciiTheme="minorHAnsi" w:hAnsiTheme="minorHAnsi" w:cstheme="minorHAnsi"/>
          <w:szCs w:val="24"/>
        </w:rPr>
        <w:t xml:space="preserve"> (CQC, 2012)</w:t>
      </w:r>
      <w:r w:rsidRPr="00B952EF">
        <w:rPr>
          <w:rFonts w:asciiTheme="minorHAnsi" w:hAnsiTheme="minorHAnsi" w:cstheme="minorHAnsi"/>
          <w:szCs w:val="24"/>
        </w:rPr>
        <w:t>.</w:t>
      </w:r>
    </w:p>
    <w:p w14:paraId="55E92456" w14:textId="77777777" w:rsidR="009D0BAE" w:rsidRPr="00B952EF" w:rsidRDefault="00870AAF" w:rsidP="009C1161">
      <w:pPr>
        <w:rPr>
          <w:rFonts w:asciiTheme="minorHAnsi" w:hAnsiTheme="minorHAnsi" w:cstheme="minorHAnsi"/>
          <w:szCs w:val="24"/>
        </w:rPr>
      </w:pPr>
      <w:r w:rsidRPr="00B952EF">
        <w:rPr>
          <w:rFonts w:asciiTheme="minorHAnsi" w:hAnsiTheme="minorHAnsi" w:cstheme="minorHAnsi"/>
          <w:szCs w:val="24"/>
        </w:rPr>
        <w:t>There are many policies governing a health and social care organization's implementation. In particular, legislation such as the Care Quality Act 2000 and the Care Homes Regulations 2001 are important in the formation of local programs, accompanied by arrangements for health and social services</w:t>
      </w:r>
      <w:r w:rsidR="00714D05" w:rsidRPr="00B952EF">
        <w:rPr>
          <w:rFonts w:asciiTheme="minorHAnsi" w:hAnsiTheme="minorHAnsi" w:cstheme="minorHAnsi"/>
          <w:szCs w:val="24"/>
        </w:rPr>
        <w:t xml:space="preserve"> (CQC, 2012)</w:t>
      </w:r>
      <w:r w:rsidRPr="00B952EF">
        <w:rPr>
          <w:rFonts w:asciiTheme="minorHAnsi" w:hAnsiTheme="minorHAnsi" w:cstheme="minorHAnsi"/>
          <w:szCs w:val="24"/>
        </w:rPr>
        <w:t>. The healthcare facilities could have a consistent Code of Conduct for their employees which might be useful in reducing the malpractice done by their employee</w:t>
      </w:r>
      <w:r w:rsidR="00714D05" w:rsidRPr="00B952EF">
        <w:rPr>
          <w:rFonts w:asciiTheme="minorHAnsi" w:hAnsiTheme="minorHAnsi" w:cstheme="minorHAnsi"/>
          <w:szCs w:val="24"/>
        </w:rPr>
        <w:t>.</w:t>
      </w:r>
      <w:r w:rsidR="00714D05" w:rsidRPr="00B952EF">
        <w:rPr>
          <w:rFonts w:asciiTheme="minorHAnsi" w:eastAsia="Times New Roman" w:hAnsiTheme="minorHAnsi" w:cstheme="minorHAnsi"/>
          <w:szCs w:val="24"/>
        </w:rPr>
        <w:t xml:space="preserve"> Dahlgren and Whitehead (2017) </w:t>
      </w:r>
      <w:r w:rsidRPr="00B952EF">
        <w:rPr>
          <w:rFonts w:asciiTheme="minorHAnsi" w:hAnsiTheme="minorHAnsi" w:cstheme="minorHAnsi"/>
          <w:szCs w:val="24"/>
        </w:rPr>
        <w:t xml:space="preserve">quoted a British newspaper documenting a rise of 2.5 per cent of physical assaults committed to nursing homes last year. Hence, compliance with laws and regulations and codes of conducts is crucial. </w:t>
      </w:r>
      <w:r w:rsidR="00637FB3" w:rsidRPr="00B952EF">
        <w:rPr>
          <w:rFonts w:asciiTheme="minorHAnsi" w:hAnsiTheme="minorHAnsi" w:cstheme="minorHAnsi"/>
          <w:szCs w:val="24"/>
        </w:rPr>
        <w:t>The laws, codes and</w:t>
      </w:r>
      <w:r w:rsidR="00306E97" w:rsidRPr="00B952EF">
        <w:rPr>
          <w:rFonts w:asciiTheme="minorHAnsi" w:hAnsiTheme="minorHAnsi" w:cstheme="minorHAnsi"/>
          <w:szCs w:val="24"/>
        </w:rPr>
        <w:t xml:space="preserve"> regulations </w:t>
      </w:r>
      <w:r w:rsidR="00306E97" w:rsidRPr="00B952EF">
        <w:rPr>
          <w:rFonts w:asciiTheme="minorHAnsi" w:hAnsiTheme="minorHAnsi" w:cstheme="minorHAnsi"/>
          <w:szCs w:val="24"/>
        </w:rPr>
        <w:lastRenderedPageBreak/>
        <w:t>enforced</w:t>
      </w:r>
      <w:r w:rsidR="00637FB3" w:rsidRPr="00B952EF">
        <w:rPr>
          <w:rFonts w:asciiTheme="minorHAnsi" w:hAnsiTheme="minorHAnsi" w:cstheme="minorHAnsi"/>
          <w:szCs w:val="24"/>
        </w:rPr>
        <w:t xml:space="preserve"> in the UK help to reduce unethical behaviour in health and social care </w:t>
      </w:r>
      <w:r w:rsidR="00306E97" w:rsidRPr="00B952EF">
        <w:rPr>
          <w:rFonts w:asciiTheme="minorHAnsi" w:hAnsiTheme="minorHAnsi" w:cstheme="minorHAnsi"/>
          <w:szCs w:val="24"/>
        </w:rPr>
        <w:t xml:space="preserve">settings. </w:t>
      </w:r>
      <w:r w:rsidR="00637FB3" w:rsidRPr="00B952EF">
        <w:rPr>
          <w:rFonts w:asciiTheme="minorHAnsi" w:hAnsiTheme="minorHAnsi" w:cstheme="minorHAnsi"/>
          <w:szCs w:val="24"/>
        </w:rPr>
        <w:t>In turn, with the aid of Health and Social; National Health Services Act and Care Act 2012 redress for misconduct in support settings</w:t>
      </w:r>
      <w:r w:rsidR="00714D05" w:rsidRPr="00B952EF">
        <w:rPr>
          <w:rFonts w:asciiTheme="minorHAnsi" w:hAnsiTheme="minorHAnsi" w:cstheme="minorHAnsi"/>
          <w:szCs w:val="24"/>
        </w:rPr>
        <w:t xml:space="preserve"> (CQC, 2012)</w:t>
      </w:r>
      <w:r w:rsidR="00637FB3" w:rsidRPr="00B952EF">
        <w:rPr>
          <w:rFonts w:asciiTheme="minorHAnsi" w:hAnsiTheme="minorHAnsi" w:cstheme="minorHAnsi"/>
          <w:szCs w:val="24"/>
        </w:rPr>
        <w:t>. </w:t>
      </w:r>
    </w:p>
    <w:p w14:paraId="6C23E41C" w14:textId="77777777" w:rsidR="00ED6863" w:rsidRPr="00B952EF" w:rsidRDefault="00870AAF" w:rsidP="009C1161">
      <w:pPr>
        <w:rPr>
          <w:rFonts w:asciiTheme="minorHAnsi" w:hAnsiTheme="minorHAnsi" w:cstheme="minorHAnsi"/>
          <w:szCs w:val="24"/>
        </w:rPr>
      </w:pPr>
      <w:r w:rsidRPr="00B952EF">
        <w:rPr>
          <w:rFonts w:asciiTheme="minorHAnsi" w:hAnsiTheme="minorHAnsi" w:cstheme="minorHAnsi"/>
          <w:b/>
          <w:i/>
          <w:sz w:val="28"/>
          <w:szCs w:val="28"/>
        </w:rPr>
        <w:t>Theories-</w:t>
      </w:r>
      <w:r w:rsidR="00F155B8" w:rsidRPr="00B952EF">
        <w:rPr>
          <w:rFonts w:asciiTheme="minorHAnsi" w:hAnsiTheme="minorHAnsi" w:cstheme="minorHAnsi"/>
          <w:szCs w:val="24"/>
        </w:rPr>
        <w:t xml:space="preserve"> </w:t>
      </w:r>
      <w:r w:rsidR="00362773" w:rsidRPr="00B952EF">
        <w:rPr>
          <w:rFonts w:asciiTheme="minorHAnsi" w:hAnsiTheme="minorHAnsi" w:cstheme="minorHAnsi"/>
          <w:szCs w:val="24"/>
        </w:rPr>
        <w:t>Different theories play an important role within the care environment since they have an inseparable relationship with practice. Nevertheless, numerous frameworks and social care ideas that are found in the environment of health care ultimately state the legislative change and regulations</w:t>
      </w:r>
      <w:r w:rsidR="00714D05" w:rsidRPr="00B952EF">
        <w:rPr>
          <w:rFonts w:asciiTheme="minorHAnsi" w:hAnsiTheme="minorHAnsi" w:cstheme="minorHAnsi"/>
          <w:szCs w:val="24"/>
        </w:rPr>
        <w:t xml:space="preserve"> (</w:t>
      </w:r>
      <w:r w:rsidR="00714D05" w:rsidRPr="00B952EF">
        <w:rPr>
          <w:rFonts w:asciiTheme="minorHAnsi" w:eastAsia="Times New Roman" w:hAnsiTheme="minorHAnsi" w:cstheme="minorHAnsi"/>
          <w:szCs w:val="24"/>
        </w:rPr>
        <w:t>Farber et al., 2016)</w:t>
      </w:r>
      <w:r w:rsidR="00362773" w:rsidRPr="00B952EF">
        <w:rPr>
          <w:rFonts w:asciiTheme="minorHAnsi" w:hAnsiTheme="minorHAnsi" w:cstheme="minorHAnsi"/>
          <w:szCs w:val="24"/>
        </w:rPr>
        <w:t xml:space="preserve">. </w:t>
      </w:r>
      <w:r w:rsidR="00F155B8" w:rsidRPr="00B952EF">
        <w:rPr>
          <w:rFonts w:asciiTheme="minorHAnsi" w:hAnsiTheme="minorHAnsi" w:cstheme="minorHAnsi"/>
          <w:szCs w:val="24"/>
        </w:rPr>
        <w:t xml:space="preserve">The main theories governing health and social care settings initiatives are behavioural theory, humanistic theory and cognitive theory. </w:t>
      </w:r>
      <w:r w:rsidR="001D08B0" w:rsidRPr="00B952EF">
        <w:rPr>
          <w:rFonts w:asciiTheme="minorHAnsi" w:hAnsiTheme="minorHAnsi" w:cstheme="minorHAnsi"/>
          <w:szCs w:val="24"/>
        </w:rPr>
        <w:t>The humanistic theory addresses the interests of each patient while arranging care programs, as well as the autonomy, independence and security of clients' legal rights</w:t>
      </w:r>
      <w:r w:rsidR="00714D05" w:rsidRPr="00B952EF">
        <w:rPr>
          <w:rFonts w:asciiTheme="minorHAnsi" w:hAnsiTheme="minorHAnsi" w:cstheme="minorHAnsi"/>
          <w:szCs w:val="24"/>
        </w:rPr>
        <w:t xml:space="preserve"> (</w:t>
      </w:r>
      <w:r w:rsidR="00714D05" w:rsidRPr="00B952EF">
        <w:rPr>
          <w:rFonts w:asciiTheme="minorHAnsi" w:eastAsia="Times New Roman" w:hAnsiTheme="minorHAnsi" w:cstheme="minorHAnsi"/>
          <w:szCs w:val="24"/>
        </w:rPr>
        <w:t>Iversen et al., 2016)</w:t>
      </w:r>
      <w:r w:rsidR="001D08B0" w:rsidRPr="00B952EF">
        <w:rPr>
          <w:rFonts w:asciiTheme="minorHAnsi" w:hAnsiTheme="minorHAnsi" w:cstheme="minorHAnsi"/>
          <w:szCs w:val="24"/>
        </w:rPr>
        <w:t xml:space="preserve">. Furthermore, the humanistic approach means the ability to communicate with patients and all the stakeholders; it also encourages the growth of effective inter-professional workplace practices. </w:t>
      </w:r>
      <w:r w:rsidR="00714D05" w:rsidRPr="00B952EF">
        <w:rPr>
          <w:rFonts w:asciiTheme="minorHAnsi" w:eastAsia="Times New Roman" w:hAnsiTheme="minorHAnsi" w:cstheme="minorHAnsi"/>
          <w:szCs w:val="24"/>
        </w:rPr>
        <w:t>Leathard</w:t>
      </w:r>
      <w:r w:rsidR="00714D05" w:rsidRPr="00B952EF">
        <w:rPr>
          <w:rFonts w:asciiTheme="minorHAnsi" w:hAnsiTheme="minorHAnsi" w:cstheme="minorHAnsi"/>
          <w:szCs w:val="24"/>
        </w:rPr>
        <w:t xml:space="preserve"> (2018) </w:t>
      </w:r>
      <w:r w:rsidR="00C572FF" w:rsidRPr="00B952EF">
        <w:rPr>
          <w:rFonts w:asciiTheme="minorHAnsi" w:hAnsiTheme="minorHAnsi" w:cstheme="minorHAnsi"/>
          <w:szCs w:val="24"/>
        </w:rPr>
        <w:t xml:space="preserve">identified that the theory of social learning has been put into effect within various health and social care strategies in the UK. This theory promotes understanding by assessment coupled with modelling through specifically implementing treatment strategy. </w:t>
      </w:r>
    </w:p>
    <w:p w14:paraId="37F30374" w14:textId="77777777" w:rsidR="00ED6863" w:rsidRPr="00B952EF" w:rsidRDefault="00870AAF" w:rsidP="009C1161">
      <w:pPr>
        <w:rPr>
          <w:rFonts w:asciiTheme="minorHAnsi" w:hAnsiTheme="minorHAnsi" w:cstheme="minorHAnsi"/>
          <w:szCs w:val="24"/>
        </w:rPr>
      </w:pPr>
      <w:r w:rsidRPr="00B952EF">
        <w:rPr>
          <w:rFonts w:asciiTheme="minorHAnsi" w:hAnsiTheme="minorHAnsi" w:cstheme="minorHAnsi"/>
          <w:szCs w:val="24"/>
        </w:rPr>
        <w:t>Furthermore, these theories minimize the negative impact of health and social care settings in the UK. In comparison, development theories such as Erikson and Freud were able to examine successfully human perspective growth</w:t>
      </w:r>
      <w:r w:rsidR="00714D05" w:rsidRPr="00B952EF">
        <w:rPr>
          <w:rFonts w:asciiTheme="minorHAnsi" w:hAnsiTheme="minorHAnsi" w:cstheme="minorHAnsi"/>
          <w:szCs w:val="24"/>
        </w:rPr>
        <w:t xml:space="preserve"> (</w:t>
      </w:r>
      <w:r w:rsidR="00714D05" w:rsidRPr="00B952EF">
        <w:rPr>
          <w:rFonts w:asciiTheme="minorHAnsi" w:eastAsia="Times New Roman" w:hAnsiTheme="minorHAnsi" w:cstheme="minorHAnsi"/>
          <w:szCs w:val="24"/>
        </w:rPr>
        <w:t>Levin, 2019)</w:t>
      </w:r>
      <w:r w:rsidRPr="00B952EF">
        <w:rPr>
          <w:rFonts w:asciiTheme="minorHAnsi" w:hAnsiTheme="minorHAnsi" w:cstheme="minorHAnsi"/>
          <w:szCs w:val="24"/>
        </w:rPr>
        <w:t xml:space="preserve">. </w:t>
      </w:r>
      <w:r w:rsidR="00714D05" w:rsidRPr="00B952EF">
        <w:rPr>
          <w:rFonts w:asciiTheme="minorHAnsi" w:eastAsia="Times New Roman" w:hAnsiTheme="minorHAnsi" w:cstheme="minorHAnsi"/>
          <w:szCs w:val="24"/>
        </w:rPr>
        <w:t>Munn-Giddings and winter (2018)</w:t>
      </w:r>
      <w:r w:rsidR="00714D05" w:rsidRPr="00B952EF">
        <w:rPr>
          <w:rFonts w:asciiTheme="minorHAnsi" w:hAnsiTheme="minorHAnsi" w:cstheme="minorHAnsi"/>
          <w:szCs w:val="24"/>
        </w:rPr>
        <w:t xml:space="preserve"> </w:t>
      </w:r>
      <w:r w:rsidR="0042154B" w:rsidRPr="00B952EF">
        <w:rPr>
          <w:rFonts w:asciiTheme="minorHAnsi" w:hAnsiTheme="minorHAnsi" w:cstheme="minorHAnsi"/>
          <w:szCs w:val="24"/>
        </w:rPr>
        <w:t xml:space="preserve">identified theories as being beneficial in the implementation of such measures that may enhance health and social care service environments. On the contrary, </w:t>
      </w:r>
      <w:r w:rsidR="00714D05" w:rsidRPr="00B952EF">
        <w:rPr>
          <w:rFonts w:asciiTheme="minorHAnsi" w:eastAsia="Times New Roman" w:hAnsiTheme="minorHAnsi" w:cstheme="minorHAnsi"/>
          <w:szCs w:val="24"/>
        </w:rPr>
        <w:t>Nay</w:t>
      </w:r>
      <w:r w:rsidR="00714D05" w:rsidRPr="00B952EF">
        <w:rPr>
          <w:rFonts w:asciiTheme="minorHAnsi" w:hAnsiTheme="minorHAnsi" w:cstheme="minorHAnsi"/>
          <w:szCs w:val="24"/>
        </w:rPr>
        <w:t xml:space="preserve"> et al. (2019) </w:t>
      </w:r>
      <w:r w:rsidR="0042154B" w:rsidRPr="00B952EF">
        <w:rPr>
          <w:rFonts w:asciiTheme="minorHAnsi" w:hAnsiTheme="minorHAnsi" w:cstheme="minorHAnsi"/>
          <w:szCs w:val="24"/>
        </w:rPr>
        <w:t>question theories as accepting such variables which cannot be applied in implementations in the modern world.</w:t>
      </w:r>
      <w:r w:rsidR="00B740E7" w:rsidRPr="00B952EF">
        <w:rPr>
          <w:rFonts w:asciiTheme="minorHAnsi" w:hAnsiTheme="minorHAnsi" w:cstheme="minorHAnsi"/>
          <w:szCs w:val="24"/>
        </w:rPr>
        <w:t xml:space="preserve"> In fact, the Care UK </w:t>
      </w:r>
      <w:r w:rsidR="00362773" w:rsidRPr="00B952EF">
        <w:rPr>
          <w:rFonts w:asciiTheme="minorHAnsi" w:hAnsiTheme="minorHAnsi" w:cstheme="minorHAnsi"/>
          <w:szCs w:val="24"/>
        </w:rPr>
        <w:t>was</w:t>
      </w:r>
      <w:r w:rsidR="00B740E7" w:rsidRPr="00B952EF">
        <w:rPr>
          <w:rFonts w:asciiTheme="minorHAnsi" w:hAnsiTheme="minorHAnsi" w:cstheme="minorHAnsi"/>
          <w:szCs w:val="24"/>
        </w:rPr>
        <w:t xml:space="preserve"> able to better handle the psychological issues raised in their environments with the aid of a humanistic and therapeutic strategy. In addition, this frequently aims to educate staff and skilled service personnel throughout enhancing their emergency management levels</w:t>
      </w:r>
      <w:r w:rsidR="00714D05" w:rsidRPr="00B952EF">
        <w:rPr>
          <w:rFonts w:asciiTheme="minorHAnsi" w:hAnsiTheme="minorHAnsi" w:cstheme="minorHAnsi"/>
          <w:szCs w:val="24"/>
        </w:rPr>
        <w:t xml:space="preserve"> (</w:t>
      </w:r>
      <w:r w:rsidR="00714D05" w:rsidRPr="00B952EF">
        <w:rPr>
          <w:rFonts w:asciiTheme="minorHAnsi" w:eastAsia="Times New Roman" w:hAnsiTheme="minorHAnsi" w:cstheme="minorHAnsi"/>
          <w:szCs w:val="24"/>
        </w:rPr>
        <w:t>Noe et al., 2016)</w:t>
      </w:r>
      <w:r w:rsidR="00B740E7" w:rsidRPr="00B952EF">
        <w:rPr>
          <w:rFonts w:asciiTheme="minorHAnsi" w:hAnsiTheme="minorHAnsi" w:cstheme="minorHAnsi"/>
          <w:szCs w:val="24"/>
        </w:rPr>
        <w:t xml:space="preserve">. </w:t>
      </w:r>
    </w:p>
    <w:p w14:paraId="00D84798" w14:textId="77777777" w:rsidR="006E0D5D" w:rsidRPr="00B952EF" w:rsidRDefault="00870AAF" w:rsidP="009C1161">
      <w:pPr>
        <w:rPr>
          <w:rFonts w:asciiTheme="minorHAnsi" w:hAnsiTheme="minorHAnsi" w:cstheme="minorHAnsi"/>
          <w:szCs w:val="24"/>
        </w:rPr>
      </w:pPr>
      <w:r w:rsidRPr="00B952EF">
        <w:rPr>
          <w:rFonts w:asciiTheme="minorHAnsi" w:hAnsiTheme="minorHAnsi" w:cstheme="minorHAnsi"/>
          <w:szCs w:val="24"/>
        </w:rPr>
        <w:t>However, it has been claimed that the theoretical approach losing leverage due to the lack of personal preferential training offered to employees.</w:t>
      </w:r>
      <w:r w:rsidR="001D08B0" w:rsidRPr="00B952EF">
        <w:rPr>
          <w:rFonts w:asciiTheme="minorHAnsi" w:hAnsiTheme="minorHAnsi" w:cstheme="minorHAnsi"/>
          <w:szCs w:val="24"/>
        </w:rPr>
        <w:t xml:space="preserve"> </w:t>
      </w:r>
      <w:r w:rsidR="00714D05" w:rsidRPr="00B952EF">
        <w:rPr>
          <w:rFonts w:asciiTheme="minorHAnsi" w:eastAsia="Times New Roman" w:hAnsiTheme="minorHAnsi" w:cstheme="minorHAnsi"/>
          <w:szCs w:val="24"/>
        </w:rPr>
        <w:t>Penticuff and Walden (2020)</w:t>
      </w:r>
      <w:r w:rsidR="00714D05" w:rsidRPr="00B952EF">
        <w:rPr>
          <w:rFonts w:asciiTheme="minorHAnsi" w:hAnsiTheme="minorHAnsi" w:cstheme="minorHAnsi"/>
          <w:szCs w:val="24"/>
        </w:rPr>
        <w:t xml:space="preserve"> </w:t>
      </w:r>
      <w:r w:rsidR="001D08B0" w:rsidRPr="00B952EF">
        <w:rPr>
          <w:rFonts w:asciiTheme="minorHAnsi" w:hAnsiTheme="minorHAnsi" w:cstheme="minorHAnsi"/>
          <w:szCs w:val="24"/>
        </w:rPr>
        <w:t>claimed that the humanistic approach is being adopted within the United Kingdom as it generates the person-centred framework of practical care; thus, it has been centred on recent policy reform.</w:t>
      </w:r>
      <w:r w:rsidR="00E16D24" w:rsidRPr="00B952EF">
        <w:rPr>
          <w:rFonts w:asciiTheme="minorHAnsi" w:hAnsiTheme="minorHAnsi" w:cstheme="minorHAnsi"/>
          <w:szCs w:val="24"/>
        </w:rPr>
        <w:t xml:space="preserve"> The anti-oppressive theory is in the immediate vicinity of an aesthetic of professional </w:t>
      </w:r>
      <w:r w:rsidR="00E16D24" w:rsidRPr="00B952EF">
        <w:rPr>
          <w:rFonts w:asciiTheme="minorHAnsi" w:hAnsiTheme="minorHAnsi" w:cstheme="minorHAnsi"/>
          <w:szCs w:val="24"/>
        </w:rPr>
        <w:lastRenderedPageBreak/>
        <w:t>competence emphasizing the relevance of human equality and the significance of the rights of service users as well as other stakeholders</w:t>
      </w:r>
      <w:r w:rsidR="00714D05" w:rsidRPr="00B952EF">
        <w:rPr>
          <w:rFonts w:asciiTheme="minorHAnsi" w:hAnsiTheme="minorHAnsi" w:cstheme="minorHAnsi"/>
          <w:szCs w:val="24"/>
        </w:rPr>
        <w:t xml:space="preserve"> (</w:t>
      </w:r>
      <w:r w:rsidR="00714D05" w:rsidRPr="00B952EF">
        <w:rPr>
          <w:rFonts w:asciiTheme="minorHAnsi" w:eastAsia="Times New Roman" w:hAnsiTheme="minorHAnsi" w:cstheme="minorHAnsi"/>
          <w:szCs w:val="24"/>
        </w:rPr>
        <w:t>Russell et al., 2017)</w:t>
      </w:r>
      <w:r w:rsidR="00E16D24" w:rsidRPr="00B952EF">
        <w:rPr>
          <w:rFonts w:asciiTheme="minorHAnsi" w:hAnsiTheme="minorHAnsi" w:cstheme="minorHAnsi"/>
          <w:szCs w:val="24"/>
        </w:rPr>
        <w:t>. Anti-discriminatory ideology, on the other hand, argues that social services must reach beyond racial and socioeconomic classes and that this aspect does not hamper care workers' jobs</w:t>
      </w:r>
      <w:r w:rsidR="00714D05" w:rsidRPr="00B952EF">
        <w:rPr>
          <w:rFonts w:asciiTheme="minorHAnsi" w:hAnsiTheme="minorHAnsi" w:cstheme="minorHAnsi"/>
          <w:szCs w:val="24"/>
        </w:rPr>
        <w:t xml:space="preserve"> (</w:t>
      </w:r>
      <w:r w:rsidR="00714D05" w:rsidRPr="00B952EF">
        <w:rPr>
          <w:rFonts w:asciiTheme="minorHAnsi" w:eastAsia="Times New Roman" w:hAnsiTheme="minorHAnsi" w:cstheme="minorHAnsi"/>
          <w:szCs w:val="24"/>
        </w:rPr>
        <w:t>Sokol, 2017)</w:t>
      </w:r>
      <w:r w:rsidR="00E16D24" w:rsidRPr="00B952EF">
        <w:rPr>
          <w:rFonts w:asciiTheme="minorHAnsi" w:hAnsiTheme="minorHAnsi" w:cstheme="minorHAnsi"/>
          <w:szCs w:val="24"/>
        </w:rPr>
        <w:t>.</w:t>
      </w:r>
    </w:p>
    <w:p w14:paraId="043F4C84" w14:textId="77777777" w:rsidR="009F6318" w:rsidRPr="00B952EF" w:rsidRDefault="00870AAF" w:rsidP="009C1161">
      <w:pPr>
        <w:rPr>
          <w:rFonts w:asciiTheme="minorHAnsi" w:hAnsiTheme="minorHAnsi" w:cstheme="minorHAnsi"/>
          <w:b/>
          <w:sz w:val="28"/>
          <w:szCs w:val="28"/>
        </w:rPr>
      </w:pPr>
      <w:r w:rsidRPr="00B952EF">
        <w:rPr>
          <w:rFonts w:asciiTheme="minorHAnsi" w:hAnsiTheme="minorHAnsi" w:cstheme="minorHAnsi"/>
          <w:b/>
          <w:sz w:val="28"/>
          <w:szCs w:val="28"/>
        </w:rPr>
        <w:t xml:space="preserve">Recommendations for future policies and practices </w:t>
      </w:r>
    </w:p>
    <w:p w14:paraId="0B672392" w14:textId="77777777" w:rsidR="00B9793E" w:rsidRPr="00B952EF" w:rsidRDefault="00870AAF" w:rsidP="009C1161">
      <w:pPr>
        <w:rPr>
          <w:rFonts w:asciiTheme="minorHAnsi" w:hAnsiTheme="minorHAnsi" w:cstheme="minorHAnsi"/>
          <w:szCs w:val="24"/>
        </w:rPr>
      </w:pPr>
      <w:r w:rsidRPr="00B952EF">
        <w:rPr>
          <w:rFonts w:asciiTheme="minorHAnsi" w:hAnsiTheme="minorHAnsi" w:cstheme="minorHAnsi"/>
          <w:szCs w:val="24"/>
        </w:rPr>
        <w:t>My own perceptive of future policies and practices will be built using three distinct approaches, namely health, empowerment and equality. Improved monitoring of service customers may be effective in rising certain workers' malpractice and violence</w:t>
      </w:r>
      <w:r w:rsidR="00714D05" w:rsidRPr="00B952EF">
        <w:rPr>
          <w:rFonts w:asciiTheme="minorHAnsi" w:hAnsiTheme="minorHAnsi" w:cstheme="minorHAnsi"/>
          <w:szCs w:val="24"/>
        </w:rPr>
        <w:t xml:space="preserve"> (</w:t>
      </w:r>
      <w:r w:rsidR="00714D05" w:rsidRPr="00B952EF">
        <w:rPr>
          <w:rFonts w:asciiTheme="minorHAnsi" w:eastAsia="Times New Roman" w:hAnsiTheme="minorHAnsi" w:cstheme="minorHAnsi"/>
          <w:szCs w:val="24"/>
        </w:rPr>
        <w:t>Talerico and Swafford, 2018)</w:t>
      </w:r>
      <w:r w:rsidRPr="00B952EF">
        <w:rPr>
          <w:rFonts w:asciiTheme="minorHAnsi" w:hAnsiTheme="minorHAnsi" w:cstheme="minorHAnsi"/>
          <w:szCs w:val="24"/>
        </w:rPr>
        <w:t>. Moreover, this safety could be essential in enhancing the trust between service users.</w:t>
      </w:r>
      <w:r w:rsidR="005E472A" w:rsidRPr="00B952EF">
        <w:rPr>
          <w:rFonts w:asciiTheme="minorHAnsi" w:hAnsiTheme="minorHAnsi" w:cstheme="minorHAnsi"/>
          <w:szCs w:val="24"/>
        </w:rPr>
        <w:t xml:space="preserve"> Therefore, ensuring the care consumers of preference is beneficial in providing patients independence. Eventually, promoting racial equity in treatment environments can be effective in reducing certain workers' abusive activities</w:t>
      </w:r>
      <w:r w:rsidR="00714D05" w:rsidRPr="00B952EF">
        <w:rPr>
          <w:rFonts w:asciiTheme="minorHAnsi" w:hAnsiTheme="minorHAnsi" w:cstheme="minorHAnsi"/>
          <w:szCs w:val="24"/>
        </w:rPr>
        <w:t xml:space="preserve"> (</w:t>
      </w:r>
      <w:r w:rsidR="00714D05" w:rsidRPr="00B952EF">
        <w:rPr>
          <w:rFonts w:asciiTheme="minorHAnsi" w:eastAsia="Times New Roman" w:hAnsiTheme="minorHAnsi" w:cstheme="minorHAnsi"/>
          <w:szCs w:val="24"/>
        </w:rPr>
        <w:t>Tingle and Bark, 2018)</w:t>
      </w:r>
      <w:r w:rsidR="005E472A" w:rsidRPr="00B952EF">
        <w:rPr>
          <w:rFonts w:asciiTheme="minorHAnsi" w:hAnsiTheme="minorHAnsi" w:cstheme="minorHAnsi"/>
          <w:szCs w:val="24"/>
        </w:rPr>
        <w:t>.</w:t>
      </w:r>
    </w:p>
    <w:p w14:paraId="0ECC5F2F" w14:textId="77777777" w:rsidR="00C76F8E" w:rsidRPr="00B952EF" w:rsidRDefault="00870AAF" w:rsidP="009C1161">
      <w:pPr>
        <w:rPr>
          <w:rFonts w:asciiTheme="minorHAnsi" w:hAnsiTheme="minorHAnsi" w:cstheme="minorHAnsi"/>
          <w:szCs w:val="24"/>
        </w:rPr>
      </w:pPr>
      <w:r w:rsidRPr="00B952EF">
        <w:rPr>
          <w:rFonts w:asciiTheme="minorHAnsi" w:hAnsiTheme="minorHAnsi" w:cstheme="minorHAnsi"/>
          <w:szCs w:val="24"/>
        </w:rPr>
        <w:t>Moreover, this strengthened service may be effective in drawing more customers to the organization's services. Employees ought to conform to the organizational principles, national and regional healthcare policy for the efficient operation of the program. All regulations must be succinct and transparent, which is important to mitigate employees' misinterpretation and misconception of policies. Obviously, if laws and regulations are concise and clear, and the management of the health and social care facility is genuine, and would like to enhance the skills of healthcare professionals, then it is not impossible to attain the maximum standards of care</w:t>
      </w:r>
      <w:r w:rsidR="00714D05" w:rsidRPr="00B952EF">
        <w:rPr>
          <w:rFonts w:asciiTheme="minorHAnsi" w:hAnsiTheme="minorHAnsi" w:cstheme="minorHAnsi"/>
          <w:szCs w:val="24"/>
        </w:rPr>
        <w:t xml:space="preserve"> (</w:t>
      </w:r>
      <w:r w:rsidR="00714D05" w:rsidRPr="00B952EF">
        <w:rPr>
          <w:rFonts w:asciiTheme="minorHAnsi" w:eastAsia="Times New Roman" w:hAnsiTheme="minorHAnsi" w:cstheme="minorHAnsi"/>
          <w:szCs w:val="24"/>
        </w:rPr>
        <w:t>Trodd and Chivers, 2017)</w:t>
      </w:r>
      <w:r w:rsidRPr="00B952EF">
        <w:rPr>
          <w:rFonts w:asciiTheme="minorHAnsi" w:hAnsiTheme="minorHAnsi" w:cstheme="minorHAnsi"/>
          <w:szCs w:val="24"/>
        </w:rPr>
        <w:t>. Therefore, the participation of the employer is obligatory for effective contribution.</w:t>
      </w:r>
    </w:p>
    <w:p w14:paraId="516C38B0" w14:textId="77777777" w:rsidR="00E560A9" w:rsidRPr="00B952EF" w:rsidRDefault="00870AAF" w:rsidP="009C1161">
      <w:pPr>
        <w:rPr>
          <w:rFonts w:asciiTheme="minorHAnsi" w:hAnsiTheme="minorHAnsi" w:cstheme="minorHAnsi"/>
          <w:szCs w:val="24"/>
        </w:rPr>
      </w:pPr>
      <w:r w:rsidRPr="00B952EF">
        <w:rPr>
          <w:rFonts w:asciiTheme="minorHAnsi" w:hAnsiTheme="minorHAnsi" w:cstheme="minorHAnsi"/>
          <w:szCs w:val="24"/>
        </w:rPr>
        <w:t>UK health and social care should evolve into an inter-professional paradigm of practice. This environment promotes the development of the cooperation of practitioners within health and social services and is extremely promising to address the needs of service consumers</w:t>
      </w:r>
      <w:r w:rsidR="00714D05" w:rsidRPr="00B952EF">
        <w:rPr>
          <w:rFonts w:asciiTheme="minorHAnsi" w:hAnsiTheme="minorHAnsi" w:cstheme="minorHAnsi"/>
          <w:szCs w:val="24"/>
        </w:rPr>
        <w:t xml:space="preserve"> (</w:t>
      </w:r>
      <w:r w:rsidR="00714D05" w:rsidRPr="00B952EF">
        <w:rPr>
          <w:rFonts w:asciiTheme="minorHAnsi" w:eastAsia="Times New Roman" w:hAnsiTheme="minorHAnsi" w:cstheme="minorHAnsi"/>
          <w:szCs w:val="24"/>
        </w:rPr>
        <w:t>Teijlingen and Hundley, 2020)</w:t>
      </w:r>
      <w:r w:rsidRPr="00B952EF">
        <w:rPr>
          <w:rFonts w:asciiTheme="minorHAnsi" w:hAnsiTheme="minorHAnsi" w:cstheme="minorHAnsi"/>
          <w:szCs w:val="24"/>
        </w:rPr>
        <w:t>.</w:t>
      </w:r>
      <w:r w:rsidR="005F3246" w:rsidRPr="00B952EF">
        <w:rPr>
          <w:rFonts w:asciiTheme="minorHAnsi" w:hAnsiTheme="minorHAnsi" w:cstheme="minorHAnsi"/>
          <w:szCs w:val="24"/>
        </w:rPr>
        <w:t xml:space="preserve"> </w:t>
      </w:r>
      <w:r w:rsidR="00714D05" w:rsidRPr="00B952EF">
        <w:rPr>
          <w:rFonts w:asciiTheme="minorHAnsi" w:eastAsia="Times New Roman" w:hAnsiTheme="minorHAnsi" w:cstheme="minorHAnsi"/>
          <w:szCs w:val="24"/>
        </w:rPr>
        <w:t xml:space="preserve">Wallace and Davies (2019) put forth that </w:t>
      </w:r>
      <w:r w:rsidR="005F3246" w:rsidRPr="00B952EF">
        <w:rPr>
          <w:rFonts w:asciiTheme="minorHAnsi" w:hAnsiTheme="minorHAnsi" w:cstheme="minorHAnsi"/>
          <w:szCs w:val="24"/>
        </w:rPr>
        <w:t>this strategy has been included in its existing policy by the NHS and emphasizes promoting work correlation among many support and healthcare organizations. And a greater and more efficient standard of treatment may be seen in the UK for elderly individuals.</w:t>
      </w:r>
    </w:p>
    <w:p w14:paraId="27D3CB3E" w14:textId="77777777" w:rsidR="00B2142C" w:rsidRPr="00B952EF" w:rsidRDefault="00B2142C" w:rsidP="009C1161">
      <w:pPr>
        <w:rPr>
          <w:rFonts w:asciiTheme="minorHAnsi" w:hAnsiTheme="minorHAnsi" w:cstheme="minorHAnsi"/>
          <w:b/>
          <w:szCs w:val="24"/>
        </w:rPr>
      </w:pPr>
    </w:p>
    <w:p w14:paraId="4EB0861C" w14:textId="77777777" w:rsidR="00B2142C" w:rsidRPr="00B952EF" w:rsidRDefault="00B2142C" w:rsidP="009C1161">
      <w:pPr>
        <w:rPr>
          <w:rFonts w:asciiTheme="minorHAnsi" w:hAnsiTheme="minorHAnsi" w:cstheme="minorHAnsi"/>
          <w:b/>
          <w:szCs w:val="24"/>
        </w:rPr>
      </w:pPr>
    </w:p>
    <w:p w14:paraId="0D06D3D9" w14:textId="77777777" w:rsidR="00B2142C" w:rsidRPr="00B952EF" w:rsidRDefault="00B2142C" w:rsidP="009C1161">
      <w:pPr>
        <w:rPr>
          <w:rFonts w:asciiTheme="minorHAnsi" w:hAnsiTheme="minorHAnsi" w:cstheme="minorHAnsi"/>
          <w:b/>
          <w:szCs w:val="24"/>
        </w:rPr>
      </w:pPr>
    </w:p>
    <w:p w14:paraId="3FC7A730" w14:textId="6515B67D" w:rsidR="00D501FA" w:rsidRPr="00B952EF" w:rsidRDefault="00870AAF" w:rsidP="009C1161">
      <w:pPr>
        <w:rPr>
          <w:rFonts w:asciiTheme="minorHAnsi" w:hAnsiTheme="minorHAnsi" w:cstheme="minorHAnsi"/>
          <w:b/>
          <w:sz w:val="28"/>
          <w:szCs w:val="28"/>
        </w:rPr>
      </w:pPr>
      <w:r w:rsidRPr="00B952EF">
        <w:rPr>
          <w:rFonts w:asciiTheme="minorHAnsi" w:hAnsiTheme="minorHAnsi" w:cstheme="minorHAnsi"/>
          <w:b/>
          <w:sz w:val="28"/>
          <w:szCs w:val="28"/>
        </w:rPr>
        <w:lastRenderedPageBreak/>
        <w:t xml:space="preserve">Conclusion </w:t>
      </w:r>
    </w:p>
    <w:p w14:paraId="7685C80B" w14:textId="77777777" w:rsidR="00B2142C" w:rsidRPr="00B952EF" w:rsidRDefault="00B2142C" w:rsidP="009C1161">
      <w:pPr>
        <w:rPr>
          <w:rFonts w:asciiTheme="minorHAnsi" w:hAnsiTheme="minorHAnsi" w:cstheme="minorHAnsi"/>
          <w:b/>
          <w:szCs w:val="24"/>
        </w:rPr>
      </w:pPr>
    </w:p>
    <w:p w14:paraId="6965B407" w14:textId="77777777" w:rsidR="009C1161" w:rsidRPr="00B952EF" w:rsidRDefault="00870AAF" w:rsidP="009C1161">
      <w:pPr>
        <w:rPr>
          <w:rFonts w:asciiTheme="minorHAnsi" w:hAnsiTheme="minorHAnsi" w:cstheme="minorHAnsi"/>
          <w:szCs w:val="24"/>
        </w:rPr>
      </w:pPr>
      <w:r w:rsidRPr="00B952EF">
        <w:rPr>
          <w:rFonts w:asciiTheme="minorHAnsi" w:hAnsiTheme="minorHAnsi" w:cstheme="minorHAnsi"/>
          <w:szCs w:val="24"/>
        </w:rPr>
        <w:t xml:space="preserve">The study focuses primarily on analysing the laws and regulations that govern social and health care settings' operational capacity. Furthermore, the study also recommends various forms of principles that are implemented to enhance their efficiency in health care environments. The study also identifies and analyses the procedures that are incorporated into the care and support settings activities. </w:t>
      </w:r>
      <w:r w:rsidR="00366CC2" w:rsidRPr="00B952EF">
        <w:rPr>
          <w:rFonts w:asciiTheme="minorHAnsi" w:hAnsiTheme="minorHAnsi" w:cstheme="minorHAnsi"/>
          <w:szCs w:val="24"/>
        </w:rPr>
        <w:t xml:space="preserve">It is of essence that volunteers and practitioners who take care of the elderly to have theoretical and practical knowledge on how to properly care for the elderly. Taking advantage of the available resources in the local community ensures that the elderly are well taken care of and they lead fulfilling lives. They should have a deep understanding of the social and psychological needs of the elderly and use the available resources wisely to help these old adults. </w:t>
      </w:r>
      <w:r w:rsidRPr="00B952EF">
        <w:rPr>
          <w:rFonts w:asciiTheme="minorHAnsi" w:hAnsiTheme="minorHAnsi" w:cstheme="minorHAnsi"/>
          <w:szCs w:val="24"/>
        </w:rPr>
        <w:t>The assessment also discusses the various theories that may be beneficial in enhancing the efficiency of elderly support services in social care settings. The novice analyses the conceptual model and interprofessional workplace conditions of care settings appropriately and analyses them.</w:t>
      </w:r>
    </w:p>
    <w:p w14:paraId="7DB85757" w14:textId="77777777" w:rsidR="009C1161" w:rsidRPr="00B952EF" w:rsidRDefault="00870AAF" w:rsidP="009C1161">
      <w:pPr>
        <w:spacing w:after="200"/>
        <w:rPr>
          <w:rFonts w:asciiTheme="minorHAnsi" w:hAnsiTheme="minorHAnsi" w:cstheme="minorHAnsi"/>
          <w:szCs w:val="24"/>
        </w:rPr>
      </w:pPr>
      <w:r w:rsidRPr="00B952EF">
        <w:rPr>
          <w:rFonts w:asciiTheme="minorHAnsi" w:hAnsiTheme="minorHAnsi" w:cstheme="minorHAnsi"/>
          <w:szCs w:val="24"/>
        </w:rPr>
        <w:br w:type="page"/>
      </w:r>
    </w:p>
    <w:p w14:paraId="23FBACE7" w14:textId="77777777" w:rsidR="00956319" w:rsidRPr="00B952EF" w:rsidRDefault="00870AAF" w:rsidP="00956319">
      <w:pPr>
        <w:rPr>
          <w:rFonts w:asciiTheme="minorHAnsi" w:hAnsiTheme="minorHAnsi" w:cstheme="minorHAnsi"/>
          <w:b/>
          <w:sz w:val="28"/>
          <w:szCs w:val="28"/>
        </w:rPr>
      </w:pPr>
      <w:r w:rsidRPr="00B952EF">
        <w:rPr>
          <w:rFonts w:asciiTheme="minorHAnsi" w:hAnsiTheme="minorHAnsi" w:cstheme="minorHAnsi"/>
          <w:b/>
          <w:sz w:val="28"/>
          <w:szCs w:val="28"/>
        </w:rPr>
        <w:lastRenderedPageBreak/>
        <w:t xml:space="preserve">References </w:t>
      </w:r>
    </w:p>
    <w:p w14:paraId="0924DCFC"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hAnsiTheme="minorHAnsi" w:cstheme="minorHAnsi"/>
          <w:szCs w:val="24"/>
        </w:rPr>
        <w:t>Alcock, C., Daly, G. and Griggs, E., (2018) Introducing Social Policy, 2nd edit, London: Pearson.</w:t>
      </w:r>
    </w:p>
    <w:p w14:paraId="663E5276"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hAnsiTheme="minorHAnsi" w:cstheme="minorHAnsi"/>
          <w:szCs w:val="24"/>
        </w:rPr>
        <w:t>Alcock, P., May, M. and Rowlingson, K. (eds.)., (2018) The Student's Companion to Social Policy, 3rd ed. Oxford: Blackwell Publishing.</w:t>
      </w:r>
    </w:p>
    <w:p w14:paraId="7FEE6B6E"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Atwal, A. and Jones, M. eds., (2019) Preparing for professional practice in health and social care. John Wiley &amp; Sons.</w:t>
      </w:r>
    </w:p>
    <w:p w14:paraId="789C50BF"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Battaglia, J.M., (2016) Religion, Sexual Orientation, and Self-Realization: First Amendment Principles and Anti-Discrimination Laws. U. Det. Mercy L. Rev., 76, p.189.</w:t>
      </w:r>
    </w:p>
    <w:p w14:paraId="1FD29DE9"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Brownson, R.C., Colditz, G.A. and Proctor, E.K. eds., (2016) Dissemination and implementation research in health: translating science to practice. Oxford University Press.</w:t>
      </w:r>
    </w:p>
    <w:p w14:paraId="6E00A41F"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Care Quality Commission, (2012) The state of health care and adult social care in England in 2011/12 (Vol. 763). The Stationery Office.</w:t>
      </w:r>
    </w:p>
    <w:p w14:paraId="29A5271C" w14:textId="77777777" w:rsidR="00FD5836" w:rsidRPr="00B952EF" w:rsidRDefault="00870AAF" w:rsidP="00FD5836">
      <w:pPr>
        <w:ind w:left="720" w:hanging="720"/>
        <w:rPr>
          <w:rFonts w:asciiTheme="minorHAnsi" w:hAnsiTheme="minorHAnsi" w:cstheme="minorHAnsi"/>
          <w:szCs w:val="24"/>
        </w:rPr>
      </w:pPr>
      <w:r w:rsidRPr="00B952EF">
        <w:rPr>
          <w:rFonts w:asciiTheme="minorHAnsi" w:hAnsiTheme="minorHAnsi" w:cstheme="minorHAnsi"/>
          <w:szCs w:val="24"/>
        </w:rPr>
        <w:t xml:space="preserve">Care UK. (2020). Welcome to care for the UK. Retrieved from: </w:t>
      </w:r>
      <w:hyperlink r:id="rId6" w:history="1">
        <w:r w:rsidRPr="00B952EF">
          <w:rPr>
            <w:rFonts w:asciiTheme="minorHAnsi" w:hAnsiTheme="minorHAnsi" w:cstheme="minorHAnsi"/>
            <w:szCs w:val="24"/>
          </w:rPr>
          <w:t>https://www.careuk.com/</w:t>
        </w:r>
      </w:hyperlink>
    </w:p>
    <w:p w14:paraId="3FDA1BBD"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Courtenay, M., (2017) Interprofessional education between nurse prescribing and medical students: a qualitative study. Journal of interprofessional care, 27(1), pp.93-95.</w:t>
      </w:r>
    </w:p>
    <w:p w14:paraId="2D66EED6"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Dahlgren, G. and Whitehead, M., (2016) Policies and strategies to promote social equity in health. Stockholm: Institute for future studies.</w:t>
      </w:r>
    </w:p>
    <w:p w14:paraId="60E56507"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Farber, B.A.E., Brink, D.C. and Raskin, P.M., (2016) The psychotherapy of Carl Rogers: Cases and commentary. Guilford Press.</w:t>
      </w:r>
    </w:p>
    <w:p w14:paraId="5B619CDA"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Iversen, A., Liddell, K., Fear, N., Hotopf, M. and Wessely, S., (2016) Epidemiology: Consent, confidentiality, and the Data Protection Act. BMJ: British Medical Journal, 332(7534), p.165.</w:t>
      </w:r>
    </w:p>
    <w:p w14:paraId="4ACB32D5" w14:textId="77777777" w:rsidR="00FD5836" w:rsidRPr="00B952EF" w:rsidRDefault="00870AAF" w:rsidP="00FD5836">
      <w:pPr>
        <w:ind w:left="720" w:hanging="720"/>
        <w:rPr>
          <w:rFonts w:asciiTheme="minorHAnsi" w:hAnsiTheme="minorHAnsi" w:cstheme="minorHAnsi"/>
          <w:szCs w:val="24"/>
        </w:rPr>
      </w:pPr>
      <w:r w:rsidRPr="00B952EF">
        <w:rPr>
          <w:rFonts w:asciiTheme="minorHAnsi" w:hAnsiTheme="minorHAnsi" w:cstheme="minorHAnsi"/>
          <w:szCs w:val="24"/>
        </w:rPr>
        <w:t>Keohane, N. ed., 2015. A Problem Shared?: Essays on the Integration of Health and Social Care. Social Market Foundation. 36-54</w:t>
      </w:r>
    </w:p>
    <w:p w14:paraId="7069F4D6"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Leathard, A. ed., (2018) Interprofessional collaboration: from policy to practice in health and social care. Routledge.</w:t>
      </w:r>
    </w:p>
    <w:p w14:paraId="2BE29F51"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Levin, R.F., Fineout-Overholt, E., Melnyk, B.M., Barnes, M. and Vetter, M.J., (2019) Fostering evidence-based practise improving nurse and cost outcomes in a community health setting: a pilot test of the advancing research and clinical practice through close collaboration model. Nursing Administration Quarterly, 35(1), pp.21-33.</w:t>
      </w:r>
    </w:p>
    <w:p w14:paraId="3006BDB8"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lastRenderedPageBreak/>
        <w:t>Munn-Giddings, C. and Winter, R., (2018) A handbook for action research in health and social care. Routledge.</w:t>
      </w:r>
    </w:p>
    <w:p w14:paraId="0DA906C7"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Nay, R., Bird, M., Edvardsson, D., Fleming, R. and Hill, K., (2019) Person-centred care. Issues and innovations in care, pp.107-119.</w:t>
      </w:r>
    </w:p>
    <w:p w14:paraId="2875A5FC"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Noe, R.A., Hollenbeck, J.R., Gerhart, B. and Wright, P.M., (2016) Gaining a competitive advantage. Irwin: McGraw-Hill.</w:t>
      </w:r>
    </w:p>
    <w:p w14:paraId="446D7609" w14:textId="77777777" w:rsidR="00FD5836" w:rsidRPr="00B952EF" w:rsidRDefault="00870AAF" w:rsidP="00FD5836">
      <w:pPr>
        <w:ind w:left="720" w:hanging="720"/>
        <w:rPr>
          <w:rFonts w:asciiTheme="minorHAnsi" w:hAnsiTheme="minorHAnsi" w:cstheme="minorHAnsi"/>
          <w:szCs w:val="24"/>
        </w:rPr>
      </w:pPr>
      <w:r w:rsidRPr="00B952EF">
        <w:rPr>
          <w:rFonts w:asciiTheme="minorHAnsi" w:hAnsiTheme="minorHAnsi" w:cstheme="minorHAnsi"/>
          <w:szCs w:val="24"/>
        </w:rPr>
        <w:t>O'Connell, N., Nicholson, T.R., Wessely, S. and David, A.S., 2019. Characteristics of patients with motor functional neurological disorder in a large UK mental health service: a case-control study. Psychological medicine, pp.1-10.</w:t>
      </w:r>
    </w:p>
    <w:p w14:paraId="365607AB" w14:textId="77777777" w:rsidR="00FD5836" w:rsidRPr="00B952EF" w:rsidRDefault="00870AAF" w:rsidP="00FD5836">
      <w:pPr>
        <w:ind w:left="720" w:hanging="720"/>
        <w:rPr>
          <w:rFonts w:asciiTheme="minorHAnsi" w:hAnsiTheme="minorHAnsi" w:cstheme="minorHAnsi"/>
          <w:szCs w:val="24"/>
        </w:rPr>
      </w:pPr>
      <w:r w:rsidRPr="00B952EF">
        <w:rPr>
          <w:rFonts w:asciiTheme="minorHAnsi" w:hAnsiTheme="minorHAnsi" w:cstheme="minorHAnsi"/>
          <w:szCs w:val="24"/>
        </w:rPr>
        <w:t xml:space="preserve">Panca, M., Livingston, G., Barber, J., Cooper, C., La Frenais, F., Marston, L., Cousins, S. and Hunter, R.M., 2019. Healthcare resource utilisation and costs of agitation in people with dementia living in care homes in England-The Managing Agitation and Raising Quality of Life in Dementia (MARQUE) study. PloS one, 14(2), p. e0211953.  </w:t>
      </w:r>
    </w:p>
    <w:p w14:paraId="1D710124"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 xml:space="preserve">Penticuff, J.H. and Walden, M., (2020) Influence of practice environment and nurse characteristics on perinatal nurses' responses to ethical dilemmas. Nursing Research, 49(2), pp.64-72. </w:t>
      </w:r>
    </w:p>
    <w:p w14:paraId="134589A3" w14:textId="77777777" w:rsidR="00FD5836" w:rsidRPr="00B952EF" w:rsidRDefault="00870AAF" w:rsidP="00FD5836">
      <w:pPr>
        <w:ind w:left="720" w:hanging="720"/>
        <w:rPr>
          <w:rFonts w:asciiTheme="minorHAnsi" w:hAnsiTheme="minorHAnsi" w:cstheme="minorHAnsi"/>
          <w:szCs w:val="24"/>
        </w:rPr>
      </w:pPr>
      <w:r w:rsidRPr="00B952EF">
        <w:rPr>
          <w:rFonts w:asciiTheme="minorHAnsi" w:hAnsiTheme="minorHAnsi" w:cstheme="minorHAnsi"/>
          <w:szCs w:val="24"/>
        </w:rPr>
        <w:t xml:space="preserve">Reeves, C., Lillie, A.K. and Burrow, S., 2019. End-of-life care for people with dementia in the UK cares homes. Journal of Community Nursing, 33(2).   </w:t>
      </w:r>
    </w:p>
    <w:p w14:paraId="6DBDF799"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Russell, R.M., Maidment, S.C., Brooke, I. and Topping, M.D., (2017) An introduction to a UK scheme to help small firms control health risks from chemicals. The Annals of occupational hygiene, 42(6), pp.367-376.</w:t>
      </w:r>
    </w:p>
    <w:p w14:paraId="2BD08A11"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Sokol, D.K., (2016) Virulent epidemics and scope of healthcare workers' duty of care. Emerging Infectious Diseases, 12(8), p.1238.</w:t>
      </w:r>
    </w:p>
    <w:p w14:paraId="7A4D6DC9"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Talerico, K.A. and Swafford, K.L., (2018) Person-centered care. Journal of Psychosocial Nursing and Mental Health Services, 41(11), pp.12-16.</w:t>
      </w:r>
    </w:p>
    <w:p w14:paraId="0779C065"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Tingle, J. and Bark, P., (2018) Patient Safety. Law Policy and Practice (London: Routledge).</w:t>
      </w:r>
    </w:p>
    <w:p w14:paraId="64D68648"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Trodd, L. and Chivers, L. eds., (2017) Interprofessional working in practice: Learning and working together for children and families. McGraw-Hill Education (UK).</w:t>
      </w:r>
    </w:p>
    <w:p w14:paraId="14EA5CB7"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t>Van Teijlingen, E. and Hundley, V., (2020) The importance of pilot studies. Nursing standard, 16(40), pp.33-36.</w:t>
      </w:r>
    </w:p>
    <w:p w14:paraId="7DF382D0" w14:textId="77777777" w:rsidR="00FD5836" w:rsidRPr="00B952EF" w:rsidRDefault="00870AAF" w:rsidP="00FD5836">
      <w:pPr>
        <w:ind w:left="720" w:hanging="720"/>
        <w:rPr>
          <w:rFonts w:asciiTheme="minorHAnsi" w:hAnsiTheme="minorHAnsi" w:cstheme="minorHAnsi"/>
          <w:szCs w:val="24"/>
        </w:rPr>
      </w:pPr>
      <w:r w:rsidRPr="00B952EF">
        <w:rPr>
          <w:rFonts w:asciiTheme="minorHAnsi" w:hAnsiTheme="minorHAnsi" w:cstheme="minorHAnsi"/>
          <w:szCs w:val="24"/>
        </w:rPr>
        <w:t xml:space="preserve">Van, J.S., Ahmadi, M., </w:t>
      </w:r>
      <w:proofErr w:type="spellStart"/>
      <w:r w:rsidRPr="00B952EF">
        <w:rPr>
          <w:rFonts w:asciiTheme="minorHAnsi" w:hAnsiTheme="minorHAnsi" w:cstheme="minorHAnsi"/>
          <w:szCs w:val="24"/>
        </w:rPr>
        <w:t>Panteli</w:t>
      </w:r>
      <w:proofErr w:type="spellEnd"/>
      <w:r w:rsidRPr="00B952EF">
        <w:rPr>
          <w:rFonts w:asciiTheme="minorHAnsi" w:hAnsiTheme="minorHAnsi" w:cstheme="minorHAnsi"/>
          <w:szCs w:val="24"/>
        </w:rPr>
        <w:t xml:space="preserve">, M., </w:t>
      </w:r>
      <w:proofErr w:type="spellStart"/>
      <w:r w:rsidRPr="00B952EF">
        <w:rPr>
          <w:rFonts w:asciiTheme="minorHAnsi" w:hAnsiTheme="minorHAnsi" w:cstheme="minorHAnsi"/>
          <w:szCs w:val="24"/>
        </w:rPr>
        <w:t>Pontos</w:t>
      </w:r>
      <w:proofErr w:type="spellEnd"/>
      <w:r w:rsidRPr="00B952EF">
        <w:rPr>
          <w:rFonts w:asciiTheme="minorHAnsi" w:hAnsiTheme="minorHAnsi" w:cstheme="minorHAnsi"/>
          <w:szCs w:val="24"/>
        </w:rPr>
        <w:t xml:space="preserve">, I. and </w:t>
      </w:r>
      <w:proofErr w:type="spellStart"/>
      <w:r w:rsidRPr="00B952EF">
        <w:rPr>
          <w:rFonts w:asciiTheme="minorHAnsi" w:hAnsiTheme="minorHAnsi" w:cstheme="minorHAnsi"/>
          <w:szCs w:val="24"/>
        </w:rPr>
        <w:t>Giannoudis</w:t>
      </w:r>
      <w:proofErr w:type="spellEnd"/>
      <w:r w:rsidRPr="00B952EF">
        <w:rPr>
          <w:rFonts w:asciiTheme="minorHAnsi" w:hAnsiTheme="minorHAnsi" w:cstheme="minorHAnsi"/>
          <w:szCs w:val="24"/>
        </w:rPr>
        <w:t>, P.V., 2017. Dementia and fragility fractures: Issues and solutions. Injury, 48.</w:t>
      </w:r>
    </w:p>
    <w:p w14:paraId="01EE5775" w14:textId="77777777" w:rsidR="00FD5836" w:rsidRPr="00B952EF" w:rsidRDefault="00870AAF" w:rsidP="00FD5836">
      <w:pPr>
        <w:ind w:left="720" w:hanging="720"/>
        <w:rPr>
          <w:rFonts w:asciiTheme="minorHAnsi" w:eastAsia="Times New Roman" w:hAnsiTheme="minorHAnsi" w:cstheme="minorHAnsi"/>
          <w:szCs w:val="24"/>
        </w:rPr>
      </w:pPr>
      <w:r w:rsidRPr="00B952EF">
        <w:rPr>
          <w:rFonts w:asciiTheme="minorHAnsi" w:eastAsia="Times New Roman" w:hAnsiTheme="minorHAnsi" w:cstheme="minorHAnsi"/>
          <w:szCs w:val="24"/>
        </w:rPr>
        <w:lastRenderedPageBreak/>
        <w:t>Wallace, C. and Davies, M., (2019) Sharing assessment in health and social care: a practical handbook for interprofessional working. Sage.</w:t>
      </w:r>
    </w:p>
    <w:p w14:paraId="2F9DDA94" w14:textId="77777777" w:rsidR="00FD5836" w:rsidRPr="00B952EF" w:rsidRDefault="00870AAF" w:rsidP="00FD5836">
      <w:pPr>
        <w:ind w:left="720" w:hanging="720"/>
        <w:rPr>
          <w:rFonts w:asciiTheme="minorHAnsi" w:hAnsiTheme="minorHAnsi" w:cstheme="minorHAnsi"/>
          <w:szCs w:val="24"/>
        </w:rPr>
      </w:pPr>
      <w:r w:rsidRPr="00B952EF">
        <w:rPr>
          <w:rFonts w:asciiTheme="minorHAnsi" w:hAnsiTheme="minorHAnsi" w:cstheme="minorHAnsi"/>
          <w:color w:val="000000"/>
          <w:szCs w:val="24"/>
          <w:shd w:val="clear" w:color="auto" w:fill="FFFFFF"/>
        </w:rPr>
        <w:t>Zastrow, C., Kirst-Ashman, K., &amp; Hessenauer, S. (2016). Understanding human behaviour and the social environment (10th ed.).</w:t>
      </w:r>
    </w:p>
    <w:p w14:paraId="55D726A6" w14:textId="77777777" w:rsidR="00FD5836" w:rsidRPr="00B952EF" w:rsidRDefault="00FD5836" w:rsidP="00956319">
      <w:pPr>
        <w:rPr>
          <w:rFonts w:asciiTheme="minorHAnsi" w:hAnsiTheme="minorHAnsi" w:cstheme="minorHAnsi"/>
          <w:b/>
          <w:szCs w:val="24"/>
        </w:rPr>
      </w:pPr>
    </w:p>
    <w:sectPr w:rsidR="00FD5836" w:rsidRPr="00B952EF" w:rsidSect="00B952EF">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0C488A" w14:textId="77777777" w:rsidR="009E0488" w:rsidRDefault="009E0488">
      <w:pPr>
        <w:spacing w:line="240" w:lineRule="auto"/>
      </w:pPr>
      <w:r>
        <w:separator/>
      </w:r>
    </w:p>
  </w:endnote>
  <w:endnote w:type="continuationSeparator" w:id="0">
    <w:p w14:paraId="7DA6D015" w14:textId="77777777" w:rsidR="009E0488" w:rsidRDefault="009E04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3A4CAD" w14:textId="77777777" w:rsidR="009E0488" w:rsidRDefault="009E0488">
      <w:pPr>
        <w:spacing w:line="240" w:lineRule="auto"/>
      </w:pPr>
      <w:r>
        <w:separator/>
      </w:r>
    </w:p>
  </w:footnote>
  <w:footnote w:type="continuationSeparator" w:id="0">
    <w:p w14:paraId="200D9EF4" w14:textId="77777777" w:rsidR="009E0488" w:rsidRDefault="009E048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7134749"/>
      <w:docPartObj>
        <w:docPartGallery w:val="Page Numbers (Top of Page)"/>
        <w:docPartUnique/>
      </w:docPartObj>
    </w:sdtPr>
    <w:sdtEndPr>
      <w:rPr>
        <w:noProof/>
      </w:rPr>
    </w:sdtEndPr>
    <w:sdtContent>
      <w:p w14:paraId="5A80FD03" w14:textId="77777777" w:rsidR="00445020" w:rsidRDefault="00870AAF">
        <w:pPr>
          <w:pStyle w:val="Header"/>
          <w:jc w:val="right"/>
        </w:pPr>
        <w:r>
          <w:fldChar w:fldCharType="begin"/>
        </w:r>
        <w:r>
          <w:instrText xml:space="preserve"> PAGE   \* MERGEFORMAT </w:instrText>
        </w:r>
        <w:r>
          <w:fldChar w:fldCharType="separate"/>
        </w:r>
        <w:r w:rsidR="00FD5836">
          <w:rPr>
            <w:noProof/>
          </w:rPr>
          <w:t>10</w:t>
        </w:r>
        <w:r>
          <w:rPr>
            <w:noProof/>
          </w:rPr>
          <w:fldChar w:fldCharType="end"/>
        </w:r>
      </w:p>
    </w:sdtContent>
  </w:sdt>
  <w:p w14:paraId="21774BCF" w14:textId="77777777" w:rsidR="00445020" w:rsidRDefault="004450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BCE"/>
    <w:rsid w:val="00022803"/>
    <w:rsid w:val="00032BCE"/>
    <w:rsid w:val="00124D64"/>
    <w:rsid w:val="00153F57"/>
    <w:rsid w:val="001827D5"/>
    <w:rsid w:val="00185311"/>
    <w:rsid w:val="001C6D6E"/>
    <w:rsid w:val="001D08B0"/>
    <w:rsid w:val="00264DFF"/>
    <w:rsid w:val="00266E1B"/>
    <w:rsid w:val="002B6004"/>
    <w:rsid w:val="002D4C34"/>
    <w:rsid w:val="00306E97"/>
    <w:rsid w:val="003127F7"/>
    <w:rsid w:val="00362773"/>
    <w:rsid w:val="00366CC2"/>
    <w:rsid w:val="0042154B"/>
    <w:rsid w:val="00426EDF"/>
    <w:rsid w:val="00427EDA"/>
    <w:rsid w:val="00445020"/>
    <w:rsid w:val="004857E7"/>
    <w:rsid w:val="00556035"/>
    <w:rsid w:val="005C1E99"/>
    <w:rsid w:val="005E472A"/>
    <w:rsid w:val="005F3246"/>
    <w:rsid w:val="00616500"/>
    <w:rsid w:val="00637FB3"/>
    <w:rsid w:val="00645DBA"/>
    <w:rsid w:val="006652EB"/>
    <w:rsid w:val="00697319"/>
    <w:rsid w:val="006C2511"/>
    <w:rsid w:val="006D1ACF"/>
    <w:rsid w:val="006D2AB8"/>
    <w:rsid w:val="006E0D5D"/>
    <w:rsid w:val="00713187"/>
    <w:rsid w:val="00714D05"/>
    <w:rsid w:val="007570BD"/>
    <w:rsid w:val="007A64F7"/>
    <w:rsid w:val="007F5554"/>
    <w:rsid w:val="00870AAF"/>
    <w:rsid w:val="008732FD"/>
    <w:rsid w:val="008B0C53"/>
    <w:rsid w:val="008E3D63"/>
    <w:rsid w:val="008E7E23"/>
    <w:rsid w:val="00956319"/>
    <w:rsid w:val="00963365"/>
    <w:rsid w:val="00982D77"/>
    <w:rsid w:val="009A60B6"/>
    <w:rsid w:val="009C1161"/>
    <w:rsid w:val="009D0BAE"/>
    <w:rsid w:val="009D4280"/>
    <w:rsid w:val="009E0488"/>
    <w:rsid w:val="009F6318"/>
    <w:rsid w:val="00A000F2"/>
    <w:rsid w:val="00A95DC1"/>
    <w:rsid w:val="00AB23C5"/>
    <w:rsid w:val="00AF75AA"/>
    <w:rsid w:val="00B2097E"/>
    <w:rsid w:val="00B2142C"/>
    <w:rsid w:val="00B635E8"/>
    <w:rsid w:val="00B728C9"/>
    <w:rsid w:val="00B740E7"/>
    <w:rsid w:val="00B952EF"/>
    <w:rsid w:val="00B9793E"/>
    <w:rsid w:val="00BB0635"/>
    <w:rsid w:val="00BB53BB"/>
    <w:rsid w:val="00BB56B6"/>
    <w:rsid w:val="00C01DEF"/>
    <w:rsid w:val="00C11DDD"/>
    <w:rsid w:val="00C1255A"/>
    <w:rsid w:val="00C172D4"/>
    <w:rsid w:val="00C572FF"/>
    <w:rsid w:val="00C76F8E"/>
    <w:rsid w:val="00CC33CB"/>
    <w:rsid w:val="00CC484D"/>
    <w:rsid w:val="00D05C2D"/>
    <w:rsid w:val="00D501FA"/>
    <w:rsid w:val="00D610AF"/>
    <w:rsid w:val="00D67556"/>
    <w:rsid w:val="00D816FD"/>
    <w:rsid w:val="00DB2519"/>
    <w:rsid w:val="00DF4461"/>
    <w:rsid w:val="00E16D24"/>
    <w:rsid w:val="00E46D4A"/>
    <w:rsid w:val="00E560A9"/>
    <w:rsid w:val="00E957F3"/>
    <w:rsid w:val="00EB74C1"/>
    <w:rsid w:val="00ED396B"/>
    <w:rsid w:val="00ED6863"/>
    <w:rsid w:val="00EE1584"/>
    <w:rsid w:val="00F155B8"/>
    <w:rsid w:val="00F615E1"/>
    <w:rsid w:val="00F667B7"/>
    <w:rsid w:val="00F87413"/>
    <w:rsid w:val="00F94E5D"/>
    <w:rsid w:val="00FD5836"/>
    <w:rsid w:val="00FE33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29F9E"/>
  <w15:docId w15:val="{1D186564-5A83-1645-AEF0-810075FFF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020"/>
    <w:pPr>
      <w:spacing w:after="0" w:line="360" w:lineRule="auto"/>
      <w:jc w:val="both"/>
    </w:pPr>
    <w:rPr>
      <w:rFonts w:ascii="Times New Roman" w:hAnsi="Times New Roman"/>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5020"/>
    <w:pPr>
      <w:tabs>
        <w:tab w:val="center" w:pos="4513"/>
        <w:tab w:val="right" w:pos="9026"/>
      </w:tabs>
      <w:spacing w:line="240" w:lineRule="auto"/>
    </w:pPr>
  </w:style>
  <w:style w:type="character" w:customStyle="1" w:styleId="HeaderChar">
    <w:name w:val="Header Char"/>
    <w:basedOn w:val="DefaultParagraphFont"/>
    <w:link w:val="Header"/>
    <w:uiPriority w:val="99"/>
    <w:rsid w:val="00445020"/>
    <w:rPr>
      <w:rFonts w:ascii="Times New Roman" w:hAnsi="Times New Roman"/>
      <w:sz w:val="24"/>
      <w:lang w:val="en-GB"/>
    </w:rPr>
  </w:style>
  <w:style w:type="paragraph" w:styleId="Footer">
    <w:name w:val="footer"/>
    <w:basedOn w:val="Normal"/>
    <w:link w:val="FooterChar"/>
    <w:uiPriority w:val="99"/>
    <w:unhideWhenUsed/>
    <w:rsid w:val="00445020"/>
    <w:pPr>
      <w:tabs>
        <w:tab w:val="center" w:pos="4513"/>
        <w:tab w:val="right" w:pos="9026"/>
      </w:tabs>
      <w:spacing w:line="240" w:lineRule="auto"/>
    </w:pPr>
  </w:style>
  <w:style w:type="character" w:customStyle="1" w:styleId="FooterChar">
    <w:name w:val="Footer Char"/>
    <w:basedOn w:val="DefaultParagraphFont"/>
    <w:link w:val="Footer"/>
    <w:uiPriority w:val="99"/>
    <w:rsid w:val="00445020"/>
    <w:rPr>
      <w:rFonts w:ascii="Times New Roman" w:hAnsi="Times New Roman"/>
      <w:sz w:val="24"/>
      <w:lang w:val="en-GB"/>
    </w:rPr>
  </w:style>
  <w:style w:type="paragraph" w:styleId="NoSpacing">
    <w:name w:val="No Spacing"/>
    <w:link w:val="NoSpacingChar"/>
    <w:uiPriority w:val="1"/>
    <w:qFormat/>
    <w:rsid w:val="00B952EF"/>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B952EF"/>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reuk.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12</Pages>
  <Words>3186</Words>
  <Characters>18163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Health and Social Care Practice            Case Study Written Assignment</dc:title>
  <dc:creator>Ur</dc:creator>
  <cp:lastModifiedBy>Rukshana Begum (1808389)</cp:lastModifiedBy>
  <cp:revision>18</cp:revision>
  <dcterms:created xsi:type="dcterms:W3CDTF">2020-08-23T02:38:00Z</dcterms:created>
  <dcterms:modified xsi:type="dcterms:W3CDTF">2020-09-01T20:25:00Z</dcterms:modified>
</cp:coreProperties>
</file>