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68941" w14:textId="7BD941D6" w:rsidR="003961F5" w:rsidRPr="00791A3F" w:rsidRDefault="00991BF8" w:rsidP="00791A3F">
      <w:pPr>
        <w:spacing w:line="360" w:lineRule="auto"/>
        <w:rPr>
          <w:rFonts w:ascii="Arial" w:eastAsiaTheme="majorEastAsia" w:hAnsi="Arial" w:cs="Arial"/>
          <w:color w:val="0F4761" w:themeColor="accent1" w:themeShade="BF"/>
          <w:sz w:val="40"/>
          <w:szCs w:val="40"/>
        </w:rPr>
      </w:pPr>
      <w:bookmarkStart w:id="0" w:name="_Toc237956874"/>
      <w:r w:rsidRPr="00203435">
        <w:rPr>
          <w:rFonts w:ascii="Arial" w:hAnsi="Arial" w:cs="Arial"/>
          <w:noProof/>
        </w:rPr>
        <mc:AlternateContent>
          <mc:Choice Requires="wps">
            <w:drawing>
              <wp:anchor distT="45720" distB="45720" distL="114300" distR="114300" simplePos="0" relativeHeight="251666432" behindDoc="0" locked="0" layoutInCell="1" allowOverlap="1" wp14:anchorId="3EDF3089" wp14:editId="428310D0">
                <wp:simplePos x="0" y="0"/>
                <wp:positionH relativeFrom="column">
                  <wp:posOffset>-387350</wp:posOffset>
                </wp:positionH>
                <wp:positionV relativeFrom="paragraph">
                  <wp:posOffset>1504950</wp:posOffset>
                </wp:positionV>
                <wp:extent cx="6826250" cy="3511550"/>
                <wp:effectExtent l="0" t="0" r="12700" b="12700"/>
                <wp:wrapSquare wrapText="bothSides"/>
                <wp:docPr id="16610609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0" cy="3511550"/>
                        </a:xfrm>
                        <a:prstGeom prst="rect">
                          <a:avLst/>
                        </a:prstGeom>
                        <a:solidFill>
                          <a:schemeClr val="bg1"/>
                        </a:solidFill>
                        <a:ln w="9525">
                          <a:solidFill>
                            <a:schemeClr val="bg1"/>
                          </a:solidFill>
                          <a:miter lim="800000"/>
                          <a:headEnd/>
                          <a:tailEnd/>
                        </a:ln>
                      </wps:spPr>
                      <wps:txbx>
                        <w:txbxContent>
                          <w:p w14:paraId="331843F4" w14:textId="3C8C6BCB" w:rsidR="00203435" w:rsidRPr="007D45BD" w:rsidRDefault="00203435">
                            <w:pPr>
                              <w:rPr>
                                <w:b/>
                                <w:bCs/>
                                <w:sz w:val="28"/>
                                <w:szCs w:val="28"/>
                              </w:rPr>
                            </w:pPr>
                            <w:r w:rsidRPr="007D45BD">
                              <w:rPr>
                                <w:b/>
                                <w:bCs/>
                                <w:sz w:val="28"/>
                                <w:szCs w:val="28"/>
                              </w:rPr>
                              <w:t xml:space="preserve">Research </w:t>
                            </w:r>
                            <w:r w:rsidR="006C05B1" w:rsidRPr="007D45BD">
                              <w:rPr>
                                <w:b/>
                                <w:bCs/>
                                <w:sz w:val="28"/>
                                <w:szCs w:val="28"/>
                              </w:rPr>
                              <w:t>Title: -</w:t>
                            </w:r>
                            <w:r w:rsidR="007D45BD" w:rsidRPr="007D45BD">
                              <w:rPr>
                                <w:sz w:val="28"/>
                                <w:szCs w:val="28"/>
                              </w:rPr>
                              <w:t xml:space="preserve"> </w:t>
                            </w:r>
                            <w:r w:rsidR="007D45BD" w:rsidRPr="007D45BD">
                              <w:rPr>
                                <w:b/>
                                <w:bCs/>
                                <w:i/>
                                <w:iCs/>
                                <w:sz w:val="28"/>
                                <w:szCs w:val="28"/>
                              </w:rPr>
                              <w:t>The Evolution of Corporate Social Responsibility in the UK Food Retail Sector: From Symbolic Compliance to Substantive Integration, 2005–2025.</w:t>
                            </w:r>
                          </w:p>
                          <w:p w14:paraId="1C4F2E10" w14:textId="77777777" w:rsidR="00991BF8" w:rsidRDefault="00991BF8" w:rsidP="007D45BD">
                            <w:pPr>
                              <w:jc w:val="center"/>
                              <w:rPr>
                                <w:b/>
                                <w:bCs/>
                              </w:rPr>
                            </w:pPr>
                          </w:p>
                          <w:p w14:paraId="2E4E5CD9" w14:textId="77777777" w:rsidR="00991BF8" w:rsidRDefault="00991BF8" w:rsidP="007D45BD">
                            <w:pPr>
                              <w:jc w:val="center"/>
                              <w:rPr>
                                <w:b/>
                                <w:bCs/>
                              </w:rPr>
                            </w:pPr>
                          </w:p>
                          <w:p w14:paraId="1063F605" w14:textId="77777777" w:rsidR="00991BF8" w:rsidRDefault="00991BF8" w:rsidP="007D45BD">
                            <w:pPr>
                              <w:jc w:val="center"/>
                              <w:rPr>
                                <w:b/>
                                <w:bCs/>
                              </w:rPr>
                            </w:pPr>
                          </w:p>
                          <w:p w14:paraId="558DFDDD" w14:textId="143A2430" w:rsidR="00203435" w:rsidRDefault="00203435" w:rsidP="007D45BD">
                            <w:pPr>
                              <w:jc w:val="center"/>
                              <w:rPr>
                                <w:b/>
                                <w:bCs/>
                              </w:rPr>
                            </w:pPr>
                            <w:r>
                              <w:rPr>
                                <w:b/>
                                <w:bCs/>
                              </w:rPr>
                              <w:t>Name:</w:t>
                            </w:r>
                            <w:r w:rsidR="006C05B1">
                              <w:rPr>
                                <w:b/>
                                <w:bCs/>
                              </w:rPr>
                              <w:t xml:space="preserve"> Tarikul Islam Tarek</w:t>
                            </w:r>
                          </w:p>
                          <w:p w14:paraId="2479F01E" w14:textId="2323B557" w:rsidR="00203435" w:rsidRDefault="00203435" w:rsidP="007D45BD">
                            <w:pPr>
                              <w:jc w:val="center"/>
                              <w:rPr>
                                <w:b/>
                                <w:bCs/>
                              </w:rPr>
                            </w:pPr>
                            <w:r>
                              <w:rPr>
                                <w:b/>
                                <w:bCs/>
                              </w:rPr>
                              <w:t>Student ID:</w:t>
                            </w:r>
                            <w:r w:rsidR="006C05B1">
                              <w:rPr>
                                <w:b/>
                                <w:bCs/>
                              </w:rPr>
                              <w:t xml:space="preserve"> 2435183</w:t>
                            </w:r>
                          </w:p>
                          <w:p w14:paraId="15E57843" w14:textId="634894D2" w:rsidR="00203435" w:rsidRPr="00203435" w:rsidRDefault="00203435" w:rsidP="007D45BD">
                            <w:pPr>
                              <w:jc w:val="center"/>
                              <w:rPr>
                                <w:b/>
                                <w:bCs/>
                              </w:rPr>
                            </w:pPr>
                            <w:r>
                              <w:rPr>
                                <w:b/>
                                <w:bCs/>
                              </w:rPr>
                              <w:t>Supervi</w:t>
                            </w:r>
                            <w:r w:rsidR="007D45BD">
                              <w:rPr>
                                <w:b/>
                                <w:bCs/>
                              </w:rPr>
                              <w:t>s</w:t>
                            </w:r>
                            <w:r>
                              <w:rPr>
                                <w:b/>
                                <w:bCs/>
                              </w:rPr>
                              <w:t>or Name:</w:t>
                            </w:r>
                            <w:r w:rsidR="006C05B1">
                              <w:rPr>
                                <w:b/>
                                <w:bCs/>
                              </w:rPr>
                              <w:t xml:space="preserve"> Ejike Udeogu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DF3089" id="_x0000_t202" coordsize="21600,21600" o:spt="202" path="m,l,21600r21600,l21600,xe">
                <v:stroke joinstyle="miter"/>
                <v:path gradientshapeok="t" o:connecttype="rect"/>
              </v:shapetype>
              <v:shape id="Text Box 2" o:spid="_x0000_s1026" type="#_x0000_t202" style="position:absolute;margin-left:-30.5pt;margin-top:118.5pt;width:537.5pt;height:276.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" fillcolor="white [3212]" strokecolor="white [3212]">
                <v:textbox>
                  <w:txbxContent>
                    <w:p w14:paraId="331843F4" w14:textId="3C8C6BCB" w:rsidR="00203435" w:rsidRPr="007D45BD" w:rsidRDefault="00203435">
                      <w:pPr>
                        <w:rPr>
                          <w:b/>
                          <w:bCs/>
                          <w:sz w:val="28"/>
                          <w:szCs w:val="28"/>
                        </w:rPr>
                      </w:pPr>
                      <w:r w:rsidRPr="007D45BD">
                        <w:rPr>
                          <w:b/>
                          <w:bCs/>
                          <w:sz w:val="28"/>
                          <w:szCs w:val="28"/>
                        </w:rPr>
                        <w:t xml:space="preserve">Research </w:t>
                      </w:r>
                      <w:r w:rsidR="006C05B1" w:rsidRPr="007D45BD">
                        <w:rPr>
                          <w:b/>
                          <w:bCs/>
                          <w:sz w:val="28"/>
                          <w:szCs w:val="28"/>
                        </w:rPr>
                        <w:t>Title: -</w:t>
                      </w:r>
                      <w:r w:rsidR="007D45BD" w:rsidRPr="007D45BD">
                        <w:rPr>
                          <w:sz w:val="28"/>
                          <w:szCs w:val="28"/>
                        </w:rPr>
                        <w:t xml:space="preserve"> </w:t>
                      </w:r>
                      <w:r w:rsidR="007D45BD" w:rsidRPr="007D45BD">
                        <w:rPr>
                          <w:b/>
                          <w:bCs/>
                          <w:i/>
                          <w:iCs/>
                          <w:sz w:val="28"/>
                          <w:szCs w:val="28"/>
                        </w:rPr>
                        <w:t>The Evolution of Corporate Social Responsibility in the UK Food Retail Sector: From Symbolic Compliance to Substantive Integration, 2005–2025.</w:t>
                      </w:r>
                    </w:p>
                    <w:p w14:paraId="1C4F2E10" w14:textId="77777777" w:rsidR="00991BF8" w:rsidRDefault="00991BF8" w:rsidP="007D45BD">
                      <w:pPr>
                        <w:jc w:val="center"/>
                        <w:rPr>
                          <w:b/>
                          <w:bCs/>
                        </w:rPr>
                      </w:pPr>
                    </w:p>
                    <w:p w14:paraId="2E4E5CD9" w14:textId="77777777" w:rsidR="00991BF8" w:rsidRDefault="00991BF8" w:rsidP="007D45BD">
                      <w:pPr>
                        <w:jc w:val="center"/>
                        <w:rPr>
                          <w:b/>
                          <w:bCs/>
                        </w:rPr>
                      </w:pPr>
                    </w:p>
                    <w:p w14:paraId="1063F605" w14:textId="77777777" w:rsidR="00991BF8" w:rsidRDefault="00991BF8" w:rsidP="007D45BD">
                      <w:pPr>
                        <w:jc w:val="center"/>
                        <w:rPr>
                          <w:b/>
                          <w:bCs/>
                        </w:rPr>
                      </w:pPr>
                    </w:p>
                    <w:p w14:paraId="558DFDDD" w14:textId="143A2430" w:rsidR="00203435" w:rsidRDefault="00203435" w:rsidP="007D45BD">
                      <w:pPr>
                        <w:jc w:val="center"/>
                        <w:rPr>
                          <w:b/>
                          <w:bCs/>
                        </w:rPr>
                      </w:pPr>
                      <w:r>
                        <w:rPr>
                          <w:b/>
                          <w:bCs/>
                        </w:rPr>
                        <w:t>Name:</w:t>
                      </w:r>
                      <w:r w:rsidR="006C05B1">
                        <w:rPr>
                          <w:b/>
                          <w:bCs/>
                        </w:rPr>
                        <w:t xml:space="preserve"> Tarikul Islam Tarek</w:t>
                      </w:r>
                    </w:p>
                    <w:p w14:paraId="2479F01E" w14:textId="2323B557" w:rsidR="00203435" w:rsidRDefault="00203435" w:rsidP="007D45BD">
                      <w:pPr>
                        <w:jc w:val="center"/>
                        <w:rPr>
                          <w:b/>
                          <w:bCs/>
                        </w:rPr>
                      </w:pPr>
                      <w:r>
                        <w:rPr>
                          <w:b/>
                          <w:bCs/>
                        </w:rPr>
                        <w:t>Student ID:</w:t>
                      </w:r>
                      <w:r w:rsidR="006C05B1">
                        <w:rPr>
                          <w:b/>
                          <w:bCs/>
                        </w:rPr>
                        <w:t xml:space="preserve"> 2435183</w:t>
                      </w:r>
                    </w:p>
                    <w:p w14:paraId="15E57843" w14:textId="634894D2" w:rsidR="00203435" w:rsidRPr="00203435" w:rsidRDefault="00203435" w:rsidP="007D45BD">
                      <w:pPr>
                        <w:jc w:val="center"/>
                        <w:rPr>
                          <w:b/>
                          <w:bCs/>
                        </w:rPr>
                      </w:pPr>
                      <w:r>
                        <w:rPr>
                          <w:b/>
                          <w:bCs/>
                        </w:rPr>
                        <w:t>Supervi</w:t>
                      </w:r>
                      <w:r w:rsidR="007D45BD">
                        <w:rPr>
                          <w:b/>
                          <w:bCs/>
                        </w:rPr>
                        <w:t>s</w:t>
                      </w:r>
                      <w:r>
                        <w:rPr>
                          <w:b/>
                          <w:bCs/>
                        </w:rPr>
                        <w:t>or Name:</w:t>
                      </w:r>
                      <w:r w:rsidR="006C05B1">
                        <w:rPr>
                          <w:b/>
                          <w:bCs/>
                        </w:rPr>
                        <w:t xml:space="preserve"> Ejike Udeogu</w:t>
                      </w:r>
                    </w:p>
                  </w:txbxContent>
                </v:textbox>
                <w10:wrap type="square"/>
              </v:shape>
            </w:pict>
          </mc:Fallback>
        </mc:AlternateContent>
      </w:r>
      <w:r>
        <w:rPr>
          <w:rFonts w:ascii="Aptos" w:hAnsi="Aptos"/>
          <w:noProof/>
          <w:color w:val="000000"/>
          <w:sz w:val="22"/>
          <w:szCs w:val="22"/>
        </w:rPr>
        <w:drawing>
          <wp:anchor distT="0" distB="0" distL="114300" distR="114300" simplePos="0" relativeHeight="251664384" behindDoc="1" locked="0" layoutInCell="1" allowOverlap="1" wp14:anchorId="22E4F831" wp14:editId="060B30AF">
            <wp:simplePos x="0" y="0"/>
            <wp:positionH relativeFrom="margin">
              <wp:posOffset>876300</wp:posOffset>
            </wp:positionH>
            <wp:positionV relativeFrom="paragraph">
              <wp:posOffset>0</wp:posOffset>
            </wp:positionV>
            <wp:extent cx="3898900" cy="1472565"/>
            <wp:effectExtent l="0" t="0" r="6350" b="0"/>
            <wp:wrapTight wrapText="bothSides">
              <wp:wrapPolygon edited="0">
                <wp:start x="0" y="0"/>
                <wp:lineTo x="0" y="21237"/>
                <wp:lineTo x="21530" y="21237"/>
                <wp:lineTo x="21530" y="0"/>
                <wp:lineTo x="0" y="0"/>
              </wp:wrapPolygon>
            </wp:wrapTight>
            <wp:docPr id="1264688951"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on i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8900" cy="1472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61F5" w:rsidRPr="00791A3F">
        <w:rPr>
          <w:rFonts w:ascii="Arial" w:hAnsi="Arial" w:cs="Arial"/>
        </w:rPr>
        <w:br w:type="page"/>
      </w:r>
    </w:p>
    <w:sdt>
      <w:sdtPr>
        <w:rPr>
          <w:rFonts w:asciiTheme="minorHAnsi" w:eastAsiaTheme="minorHAnsi" w:hAnsiTheme="minorHAnsi" w:cstheme="minorBidi"/>
          <w:color w:val="auto"/>
          <w:kern w:val="2"/>
          <w:sz w:val="24"/>
          <w:szCs w:val="24"/>
          <w14:ligatures w14:val="standardContextual"/>
        </w:rPr>
        <w:id w:val="679089622"/>
        <w:docPartObj>
          <w:docPartGallery w:val="Table of Contents"/>
          <w:docPartUnique/>
        </w:docPartObj>
      </w:sdtPr>
      <w:sdtEndPr>
        <w:rPr>
          <w:b/>
          <w:bCs/>
          <w:noProof/>
        </w:rPr>
      </w:sdtEndPr>
      <w:sdtContent>
        <w:p w14:paraId="23E2B188" w14:textId="659B8CF6" w:rsidR="00CD1D85" w:rsidRDefault="00104298">
          <w:pPr>
            <w:pStyle w:val="TOCHeading"/>
          </w:pPr>
          <w:r>
            <w:rPr>
              <w:noProof/>
            </w:rPr>
            <mc:AlternateContent>
              <mc:Choice Requires="wps">
                <w:drawing>
                  <wp:anchor distT="45720" distB="45720" distL="114300" distR="114300" simplePos="0" relativeHeight="251663360" behindDoc="0" locked="0" layoutInCell="1" allowOverlap="1" wp14:anchorId="3F42A686" wp14:editId="4EE017D8">
                    <wp:simplePos x="0" y="0"/>
                    <wp:positionH relativeFrom="margin">
                      <wp:posOffset>69850</wp:posOffset>
                    </wp:positionH>
                    <wp:positionV relativeFrom="paragraph">
                      <wp:posOffset>6350</wp:posOffset>
                    </wp:positionV>
                    <wp:extent cx="6038850" cy="4146550"/>
                    <wp:effectExtent l="0" t="0" r="19050" b="25400"/>
                    <wp:wrapSquare wrapText="bothSides"/>
                    <wp:docPr id="15835895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4146550"/>
                            </a:xfrm>
                            <a:prstGeom prst="rect">
                              <a:avLst/>
                            </a:prstGeom>
                            <a:solidFill>
                              <a:srgbClr val="FFFFFF"/>
                            </a:solidFill>
                            <a:ln w="9525">
                              <a:solidFill>
                                <a:srgbClr val="000000"/>
                              </a:solidFill>
                              <a:miter lim="800000"/>
                              <a:headEnd/>
                              <a:tailEnd/>
                            </a:ln>
                          </wps:spPr>
                          <wps:txbx>
                            <w:txbxContent>
                              <w:p w14:paraId="41E03198" w14:textId="03123B58" w:rsidR="00104298" w:rsidRPr="00104298" w:rsidRDefault="00104298" w:rsidP="00104298">
                                <w:pPr>
                                  <w:jc w:val="center"/>
                                  <w:rPr>
                                    <w:b/>
                                    <w:bCs/>
                                    <w:lang w:val="en-GB"/>
                                  </w:rPr>
                                </w:pPr>
                                <w:r w:rsidRPr="00104298">
                                  <w:rPr>
                                    <w:b/>
                                    <w:bCs/>
                                    <w:lang w:val="en-GB"/>
                                  </w:rPr>
                                  <w:t>DECLARATATION</w:t>
                                </w:r>
                              </w:p>
                              <w:p w14:paraId="0BD255DE" w14:textId="1510B19E" w:rsidR="00104298" w:rsidRPr="00104298" w:rsidRDefault="00104298" w:rsidP="00104298">
                                <w:pPr>
                                  <w:rPr>
                                    <w:lang w:val="en-GB"/>
                                  </w:rPr>
                                </w:pPr>
                                <w:r w:rsidRPr="00104298">
                                  <w:rPr>
                                    <w:lang w:val="en-GB"/>
                                  </w:rPr>
                                  <w:t xml:space="preserve">I, </w:t>
                                </w:r>
                                <w:r w:rsidR="0010623B">
                                  <w:rPr>
                                    <w:lang w:val="en-GB"/>
                                  </w:rPr>
                                  <w:t>Tarikul Islam Tarek</w:t>
                                </w:r>
                                <w:r w:rsidRPr="00104298">
                                  <w:rPr>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F34E21E" w14:textId="77777777" w:rsidR="00104298" w:rsidRPr="00104298" w:rsidRDefault="00104298" w:rsidP="00104298">
                                <w:pPr>
                                  <w:rPr>
                                    <w:lang w:val="en-GB"/>
                                  </w:rPr>
                                </w:pPr>
                                <w:r w:rsidRPr="00104298">
                                  <w:rPr>
                                    <w:lang w:val="en-GB"/>
                                  </w:rPr>
                                  <w:t> </w:t>
                                </w:r>
                              </w:p>
                              <w:p w14:paraId="4AD362C7" w14:textId="473F0ADC" w:rsidR="00104298" w:rsidRPr="00104298" w:rsidRDefault="0010623B" w:rsidP="00104298">
                                <w:pPr>
                                  <w:rPr>
                                    <w:lang w:val="en-GB"/>
                                  </w:rPr>
                                </w:pPr>
                                <w:r w:rsidRPr="00104298">
                                  <w:rPr>
                                    <w:lang w:val="en-GB"/>
                                  </w:rPr>
                                  <w:t xml:space="preserve">Signature: </w:t>
                                </w:r>
                                <w:r>
                                  <w:rPr>
                                    <w:lang w:val="en-GB"/>
                                  </w:rPr>
                                  <w:t>Tarikul Islam Tarek</w:t>
                                </w:r>
                              </w:p>
                              <w:p w14:paraId="2A8149E1" w14:textId="77777777" w:rsidR="00104298" w:rsidRPr="00104298" w:rsidRDefault="00104298" w:rsidP="00104298">
                                <w:pPr>
                                  <w:rPr>
                                    <w:lang w:val="en-GB"/>
                                  </w:rPr>
                                </w:pPr>
                                <w:r w:rsidRPr="00104298">
                                  <w:rPr>
                                    <w:lang w:val="en-GB"/>
                                  </w:rPr>
                                  <w:t> </w:t>
                                </w:r>
                              </w:p>
                              <w:p w14:paraId="3CFC118F" w14:textId="62B0D4C9" w:rsidR="00104298" w:rsidRPr="00104298" w:rsidRDefault="00104298" w:rsidP="00104298">
                                <w:pPr>
                                  <w:rPr>
                                    <w:lang w:val="en-GB"/>
                                  </w:rPr>
                                </w:pPr>
                                <w:r w:rsidRPr="00104298">
                                  <w:rPr>
                                    <w:lang w:val="en-GB"/>
                                  </w:rPr>
                                  <w:t xml:space="preserve">Date: </w:t>
                                </w:r>
                                <w:r w:rsidR="0010623B">
                                  <w:rPr>
                                    <w:lang w:val="en-GB"/>
                                  </w:rPr>
                                  <w:t>27-08-2026</w:t>
                                </w:r>
                              </w:p>
                              <w:p w14:paraId="24CB16C8" w14:textId="37062FCA" w:rsidR="00104298" w:rsidRDefault="001042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2A686" id="_x0000_s1027" type="#_x0000_t202" style="position:absolute;margin-left:5.5pt;margin-top:.5pt;width:475.5pt;height:32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">
                    <v:textbox>
                      <w:txbxContent>
                        <w:p w14:paraId="41E03198" w14:textId="03123B58" w:rsidR="00104298" w:rsidRPr="00104298" w:rsidRDefault="00104298" w:rsidP="00104298">
                          <w:pPr>
                            <w:jc w:val="center"/>
                            <w:rPr>
                              <w:b/>
                              <w:bCs/>
                              <w:lang w:val="en-GB"/>
                            </w:rPr>
                          </w:pPr>
                          <w:r w:rsidRPr="00104298">
                            <w:rPr>
                              <w:b/>
                              <w:bCs/>
                              <w:lang w:val="en-GB"/>
                            </w:rPr>
                            <w:t>DECLARATATION</w:t>
                          </w:r>
                        </w:p>
                        <w:p w14:paraId="0BD255DE" w14:textId="1510B19E" w:rsidR="00104298" w:rsidRPr="00104298" w:rsidRDefault="00104298" w:rsidP="00104298">
                          <w:pPr>
                            <w:rPr>
                              <w:lang w:val="en-GB"/>
                            </w:rPr>
                          </w:pPr>
                          <w:r w:rsidRPr="00104298">
                            <w:rPr>
                              <w:lang w:val="en-GB"/>
                            </w:rPr>
                            <w:t xml:space="preserve">I, </w:t>
                          </w:r>
                          <w:r w:rsidR="0010623B">
                            <w:rPr>
                              <w:lang w:val="en-GB"/>
                            </w:rPr>
                            <w:t>Tarikul Islam Tarek</w:t>
                          </w:r>
                          <w:r w:rsidRPr="00104298">
                            <w:rPr>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F34E21E" w14:textId="77777777" w:rsidR="00104298" w:rsidRPr="00104298" w:rsidRDefault="00104298" w:rsidP="00104298">
                          <w:pPr>
                            <w:rPr>
                              <w:lang w:val="en-GB"/>
                            </w:rPr>
                          </w:pPr>
                          <w:r w:rsidRPr="00104298">
                            <w:rPr>
                              <w:lang w:val="en-GB"/>
                            </w:rPr>
                            <w:t> </w:t>
                          </w:r>
                        </w:p>
                        <w:p w14:paraId="4AD362C7" w14:textId="473F0ADC" w:rsidR="00104298" w:rsidRPr="00104298" w:rsidRDefault="0010623B" w:rsidP="00104298">
                          <w:pPr>
                            <w:rPr>
                              <w:lang w:val="en-GB"/>
                            </w:rPr>
                          </w:pPr>
                          <w:r w:rsidRPr="00104298">
                            <w:rPr>
                              <w:lang w:val="en-GB"/>
                            </w:rPr>
                            <w:t xml:space="preserve">Signature: </w:t>
                          </w:r>
                          <w:r>
                            <w:rPr>
                              <w:lang w:val="en-GB"/>
                            </w:rPr>
                            <w:t>Tarikul Islam Tarek</w:t>
                          </w:r>
                        </w:p>
                        <w:p w14:paraId="2A8149E1" w14:textId="77777777" w:rsidR="00104298" w:rsidRPr="00104298" w:rsidRDefault="00104298" w:rsidP="00104298">
                          <w:pPr>
                            <w:rPr>
                              <w:lang w:val="en-GB"/>
                            </w:rPr>
                          </w:pPr>
                          <w:r w:rsidRPr="00104298">
                            <w:rPr>
                              <w:lang w:val="en-GB"/>
                            </w:rPr>
                            <w:t> </w:t>
                          </w:r>
                        </w:p>
                        <w:p w14:paraId="3CFC118F" w14:textId="62B0D4C9" w:rsidR="00104298" w:rsidRPr="00104298" w:rsidRDefault="00104298" w:rsidP="00104298">
                          <w:pPr>
                            <w:rPr>
                              <w:lang w:val="en-GB"/>
                            </w:rPr>
                          </w:pPr>
                          <w:r w:rsidRPr="00104298">
                            <w:rPr>
                              <w:lang w:val="en-GB"/>
                            </w:rPr>
                            <w:t xml:space="preserve">Date: </w:t>
                          </w:r>
                          <w:r w:rsidR="0010623B">
                            <w:rPr>
                              <w:lang w:val="en-GB"/>
                            </w:rPr>
                            <w:t>27-08-2026</w:t>
                          </w:r>
                        </w:p>
                        <w:p w14:paraId="24CB16C8" w14:textId="37062FCA" w:rsidR="00104298" w:rsidRDefault="00104298"/>
                      </w:txbxContent>
                    </v:textbox>
                    <w10:wrap type="square" anchorx="margin"/>
                  </v:shape>
                </w:pict>
              </mc:Fallback>
            </mc:AlternateContent>
          </w:r>
        </w:p>
        <w:p w14:paraId="7C52B90A" w14:textId="3D223D6E" w:rsidR="00CD1D85" w:rsidRDefault="00CD1D85">
          <w:pPr>
            <w:rPr>
              <w:rFonts w:asciiTheme="majorHAnsi" w:eastAsiaTheme="majorEastAsia" w:hAnsiTheme="majorHAnsi" w:cstheme="majorBidi"/>
              <w:color w:val="0F4761" w:themeColor="accent1" w:themeShade="BF"/>
              <w:kern w:val="0"/>
              <w:sz w:val="32"/>
              <w:szCs w:val="32"/>
              <w14:ligatures w14:val="none"/>
            </w:rPr>
          </w:pPr>
          <w:r>
            <w:br w:type="page"/>
          </w:r>
        </w:p>
        <w:p w14:paraId="27AB6748" w14:textId="46858AEB" w:rsidR="00A02F10" w:rsidRDefault="00A02F10">
          <w:pPr>
            <w:rPr>
              <w:rFonts w:asciiTheme="majorHAnsi" w:eastAsiaTheme="majorEastAsia" w:hAnsiTheme="majorHAnsi" w:cstheme="majorBidi"/>
              <w:color w:val="0F4761" w:themeColor="accent1" w:themeShade="BF"/>
              <w:kern w:val="0"/>
              <w:sz w:val="32"/>
              <w:szCs w:val="32"/>
              <w14:ligatures w14:val="none"/>
            </w:rPr>
          </w:pPr>
          <w:r>
            <w:rPr>
              <w:noProof/>
            </w:rPr>
            <w:lastRenderedPageBreak/>
            <mc:AlternateContent>
              <mc:Choice Requires="wps">
                <w:drawing>
                  <wp:anchor distT="45720" distB="45720" distL="114300" distR="114300" simplePos="0" relativeHeight="251661312" behindDoc="0" locked="0" layoutInCell="1" allowOverlap="1" wp14:anchorId="31C7E974" wp14:editId="699CD9BE">
                    <wp:simplePos x="0" y="0"/>
                    <wp:positionH relativeFrom="column">
                      <wp:posOffset>-88900</wp:posOffset>
                    </wp:positionH>
                    <wp:positionV relativeFrom="paragraph">
                      <wp:posOffset>0</wp:posOffset>
                    </wp:positionV>
                    <wp:extent cx="6108700" cy="57912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0" cy="5791200"/>
                            </a:xfrm>
                            <a:prstGeom prst="rect">
                              <a:avLst/>
                            </a:prstGeom>
                            <a:solidFill>
                              <a:srgbClr val="FFFFFF"/>
                            </a:solidFill>
                            <a:ln w="9525">
                              <a:solidFill>
                                <a:srgbClr val="000000"/>
                              </a:solidFill>
                              <a:miter lim="800000"/>
                              <a:headEnd/>
                              <a:tailEnd/>
                            </a:ln>
                          </wps:spPr>
                          <wps:txbx>
                            <w:txbxContent>
                              <w:p w14:paraId="5355D4E4" w14:textId="5FD5BC62" w:rsidR="00A02F10" w:rsidRPr="00A02F10" w:rsidRDefault="00A02F10" w:rsidP="00A02F10">
                                <w:pPr>
                                  <w:jc w:val="center"/>
                                  <w:rPr>
                                    <w:rFonts w:ascii="Arial" w:hAnsi="Arial" w:cs="Arial"/>
                                    <w:b/>
                                    <w:bCs/>
                                  </w:rPr>
                                </w:pPr>
                                <w:r w:rsidRPr="00A02F10">
                                  <w:rPr>
                                    <w:rFonts w:ascii="Arial" w:hAnsi="Arial" w:cs="Arial"/>
                                    <w:b/>
                                    <w:bCs/>
                                  </w:rPr>
                                  <w:t>Acknowledgement</w:t>
                                </w:r>
                              </w:p>
                              <w:p w14:paraId="1ED515B5" w14:textId="77777777" w:rsidR="00A02F10" w:rsidRPr="00A02F10" w:rsidRDefault="00A02F10" w:rsidP="00A02F10">
                                <w:pPr>
                                  <w:rPr>
                                    <w:rFonts w:ascii="Arial" w:hAnsi="Arial" w:cs="Arial"/>
                                  </w:rPr>
                                </w:pPr>
                              </w:p>
                              <w:p w14:paraId="14EF931D" w14:textId="20F41426" w:rsidR="00A02F10" w:rsidRPr="00A02F10" w:rsidRDefault="00A02F10" w:rsidP="00A02F10">
                                <w:pPr>
                                  <w:rPr>
                                    <w:rFonts w:ascii="Arial" w:hAnsi="Arial" w:cs="Arial"/>
                                  </w:rPr>
                                </w:pPr>
                                <w:r w:rsidRPr="00A02F10">
                                  <w:rPr>
                                    <w:rFonts w:ascii="Arial" w:hAnsi="Arial" w:cs="Arial"/>
                                  </w:rPr>
                                  <w:t>I am grateful to all those who helped and supported me in the completion of this dissertation and I wish to express my gratitude to them sincerely.</w:t>
                                </w:r>
                              </w:p>
                              <w:p w14:paraId="76F27160" w14:textId="61283894" w:rsidR="00A02F10" w:rsidRPr="00A02F10" w:rsidRDefault="00A02F10" w:rsidP="00A02F10">
                                <w:pPr>
                                  <w:rPr>
                                    <w:rFonts w:ascii="Arial" w:hAnsi="Arial" w:cs="Arial"/>
                                  </w:rPr>
                                </w:pPr>
                                <w:r w:rsidRPr="00A02F10">
                                  <w:rPr>
                                    <w:rFonts w:ascii="Arial" w:hAnsi="Arial" w:cs="Arial"/>
                                  </w:rPr>
                                  <w:t xml:space="preserve">I would like to express my gratitude to my supervisor, </w:t>
                                </w:r>
                                <w:r w:rsidR="0010623B" w:rsidRPr="0010623B">
                                  <w:t xml:space="preserve">Ejike </w:t>
                                </w:r>
                                <w:r w:rsidR="00456EC6" w:rsidRPr="0010623B">
                                  <w:t>Udeogu,</w:t>
                                </w:r>
                                <w:r w:rsidRPr="00A02F10">
                                  <w:rPr>
                                    <w:rFonts w:ascii="Arial" w:hAnsi="Arial" w:cs="Arial"/>
                                  </w:rPr>
                                  <w:t xml:space="preserve"> for his invaluable guidance, constructive feedback, encouragement and support during this research. Their guidance and critical feedback aided the evolution and development of this dissertation.</w:t>
                                </w:r>
                              </w:p>
                              <w:p w14:paraId="35E9BC19" w14:textId="13857C5B" w:rsidR="00A02F10" w:rsidRPr="00A02F10" w:rsidRDefault="00A02F10" w:rsidP="00A02F10">
                                <w:pPr>
                                  <w:rPr>
                                    <w:rFonts w:ascii="Arial" w:hAnsi="Arial" w:cs="Arial"/>
                                  </w:rPr>
                                </w:pPr>
                                <w:r w:rsidRPr="00A02F10">
                                  <w:rPr>
                                    <w:rFonts w:ascii="Arial" w:hAnsi="Arial" w:cs="Arial"/>
                                  </w:rPr>
                                  <w:t xml:space="preserve">I would also like to thank </w:t>
                                </w:r>
                                <w:r w:rsidR="0010623B" w:rsidRPr="0010623B">
                                  <w:rPr>
                                    <w:rFonts w:ascii="Arial" w:hAnsi="Arial" w:cs="Arial"/>
                                  </w:rPr>
                                  <w:t>University of Wales Trinity Saint David</w:t>
                                </w:r>
                                <w:r w:rsidR="00456EC6">
                                  <w:rPr>
                                    <w:rFonts w:ascii="Arial" w:hAnsi="Arial" w:cs="Arial"/>
                                  </w:rPr>
                                  <w:t>,</w:t>
                                </w:r>
                                <w:r w:rsidRPr="00104298">
                                  <w:rPr>
                                    <w:rFonts w:ascii="Arial" w:hAnsi="Arial" w:cs="Arial"/>
                                    <w:b/>
                                    <w:bCs/>
                                  </w:rPr>
                                  <w:t xml:space="preserve"> </w:t>
                                </w:r>
                                <w:r w:rsidR="00456EC6" w:rsidRPr="00456EC6">
                                  <w:rPr>
                                    <w:rFonts w:ascii="Arial" w:hAnsi="Arial" w:cs="Arial"/>
                                  </w:rPr>
                                  <w:t>Mba in international Business</w:t>
                                </w:r>
                                <w:r w:rsidRPr="00456EC6">
                                  <w:rPr>
                                    <w:rFonts w:ascii="Arial" w:hAnsi="Arial" w:cs="Arial"/>
                                  </w:rPr>
                                  <w:t xml:space="preserve"> </w:t>
                                </w:r>
                                <w:r w:rsidRPr="00A02F10">
                                  <w:rPr>
                                    <w:rFonts w:ascii="Arial" w:hAnsi="Arial" w:cs="Arial"/>
                                  </w:rPr>
                                  <w:t>for giving me the environment, resources and opportunities to accomplish this study successfully.</w:t>
                                </w:r>
                              </w:p>
                              <w:p w14:paraId="0F995D97" w14:textId="34160F44" w:rsidR="00A02F10" w:rsidRPr="00A02F10" w:rsidRDefault="00A02F10" w:rsidP="00A02F10">
                                <w:pPr>
                                  <w:rPr>
                                    <w:rFonts w:ascii="Arial" w:hAnsi="Arial" w:cs="Arial"/>
                                  </w:rPr>
                                </w:pPr>
                                <w:r w:rsidRPr="00A02F10">
                                  <w:rPr>
                                    <w:rFonts w:ascii="Arial" w:hAnsi="Arial" w:cs="Arial"/>
                                  </w:rPr>
                                  <w:t>I wish to thank all those who published, researched, reported and documented the evidence and academic research for this dissertation. They helped me to develop a deeper appreciation of the concept of CSR and its evolution in the UK food retailing industry.</w:t>
                                </w:r>
                              </w:p>
                              <w:p w14:paraId="125D2D56" w14:textId="4D548389" w:rsidR="00A02F10" w:rsidRPr="00A02F10" w:rsidRDefault="00A02F10" w:rsidP="00A02F10">
                                <w:pPr>
                                  <w:rPr>
                                    <w:rFonts w:ascii="Arial" w:hAnsi="Arial" w:cs="Arial"/>
                                  </w:rPr>
                                </w:pPr>
                                <w:r w:rsidRPr="00A02F10">
                                  <w:rPr>
                                    <w:rFonts w:ascii="Arial" w:hAnsi="Arial" w:cs="Arial"/>
                                  </w:rPr>
                                  <w:t>I would also like to express my gratitude to my lecturers and academic staff for their knowledge, guidance and encouragement that I received during my studies.</w:t>
                                </w:r>
                              </w:p>
                              <w:p w14:paraId="6E3CD5EC" w14:textId="450805DD" w:rsidR="00A02F10" w:rsidRPr="00A02F10" w:rsidRDefault="00A02F10" w:rsidP="00A02F10">
                                <w:pPr>
                                  <w:rPr>
                                    <w:rFonts w:ascii="Arial" w:hAnsi="Arial" w:cs="Arial"/>
                                  </w:rPr>
                                </w:pPr>
                                <w:r w:rsidRPr="00A02F10">
                                  <w:rPr>
                                    <w:rFonts w:ascii="Arial" w:hAnsi="Arial" w:cs="Arial"/>
                                  </w:rPr>
                                  <w:t>Last, but not least, I would like to thank my family, friends and all those who made my studies successful. Their patience, encouragement and emotional support helped me stay motivated and committed in this challenging part of this research.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C7E974" id="_x0000_s1028" type="#_x0000_t202" style="position:absolute;margin-left:-7pt;margin-top:0;width:481pt;height:45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">
                    <v:textbox>
                      <w:txbxContent>
                        <w:p w14:paraId="5355D4E4" w14:textId="5FD5BC62" w:rsidR="00A02F10" w:rsidRPr="00A02F10" w:rsidRDefault="00A02F10" w:rsidP="00A02F10">
                          <w:pPr>
                            <w:jc w:val="center"/>
                            <w:rPr>
                              <w:rFonts w:ascii="Arial" w:hAnsi="Arial" w:cs="Arial"/>
                              <w:b/>
                              <w:bCs/>
                            </w:rPr>
                          </w:pPr>
                          <w:r w:rsidRPr="00A02F10">
                            <w:rPr>
                              <w:rFonts w:ascii="Arial" w:hAnsi="Arial" w:cs="Arial"/>
                              <w:b/>
                              <w:bCs/>
                            </w:rPr>
                            <w:t>Acknowledgement</w:t>
                          </w:r>
                        </w:p>
                        <w:p w14:paraId="1ED515B5" w14:textId="77777777" w:rsidR="00A02F10" w:rsidRPr="00A02F10" w:rsidRDefault="00A02F10" w:rsidP="00A02F10">
                          <w:pPr>
                            <w:rPr>
                              <w:rFonts w:ascii="Arial" w:hAnsi="Arial" w:cs="Arial"/>
                            </w:rPr>
                          </w:pPr>
                        </w:p>
                        <w:p w14:paraId="14EF931D" w14:textId="20F41426" w:rsidR="00A02F10" w:rsidRPr="00A02F10" w:rsidRDefault="00A02F10" w:rsidP="00A02F10">
                          <w:pPr>
                            <w:rPr>
                              <w:rFonts w:ascii="Arial" w:hAnsi="Arial" w:cs="Arial"/>
                            </w:rPr>
                          </w:pPr>
                          <w:r w:rsidRPr="00A02F10">
                            <w:rPr>
                              <w:rFonts w:ascii="Arial" w:hAnsi="Arial" w:cs="Arial"/>
                            </w:rPr>
                            <w:t>I am grateful to all those who helped and supported me in the completion of this dissertation and I wish to express my gratitude to them sincerely.</w:t>
                          </w:r>
                        </w:p>
                        <w:p w14:paraId="76F27160" w14:textId="61283894" w:rsidR="00A02F10" w:rsidRPr="00A02F10" w:rsidRDefault="00A02F10" w:rsidP="00A02F10">
                          <w:pPr>
                            <w:rPr>
                              <w:rFonts w:ascii="Arial" w:hAnsi="Arial" w:cs="Arial"/>
                            </w:rPr>
                          </w:pPr>
                          <w:r w:rsidRPr="00A02F10">
                            <w:rPr>
                              <w:rFonts w:ascii="Arial" w:hAnsi="Arial" w:cs="Arial"/>
                            </w:rPr>
                            <w:t xml:space="preserve">I would like to express my gratitude to my supervisor, </w:t>
                          </w:r>
                          <w:r w:rsidR="0010623B" w:rsidRPr="0010623B">
                            <w:t xml:space="preserve">Ejike </w:t>
                          </w:r>
                          <w:r w:rsidR="00456EC6" w:rsidRPr="0010623B">
                            <w:t>Udeogu,</w:t>
                          </w:r>
                          <w:r w:rsidRPr="00A02F10">
                            <w:rPr>
                              <w:rFonts w:ascii="Arial" w:hAnsi="Arial" w:cs="Arial"/>
                            </w:rPr>
                            <w:t xml:space="preserve"> for his invaluable guidance, constructive feedback, encouragement and support during this research. Their guidance and critical feedback aided the evolution and development of this dissertation.</w:t>
                          </w:r>
                        </w:p>
                        <w:p w14:paraId="35E9BC19" w14:textId="13857C5B" w:rsidR="00A02F10" w:rsidRPr="00A02F10" w:rsidRDefault="00A02F10" w:rsidP="00A02F10">
                          <w:pPr>
                            <w:rPr>
                              <w:rFonts w:ascii="Arial" w:hAnsi="Arial" w:cs="Arial"/>
                            </w:rPr>
                          </w:pPr>
                          <w:r w:rsidRPr="00A02F10">
                            <w:rPr>
                              <w:rFonts w:ascii="Arial" w:hAnsi="Arial" w:cs="Arial"/>
                            </w:rPr>
                            <w:t xml:space="preserve">I would also like to thank </w:t>
                          </w:r>
                          <w:r w:rsidR="0010623B" w:rsidRPr="0010623B">
                            <w:rPr>
                              <w:rFonts w:ascii="Arial" w:hAnsi="Arial" w:cs="Arial"/>
                            </w:rPr>
                            <w:t>University of Wales Trinity Saint David</w:t>
                          </w:r>
                          <w:r w:rsidR="00456EC6">
                            <w:rPr>
                              <w:rFonts w:ascii="Arial" w:hAnsi="Arial" w:cs="Arial"/>
                            </w:rPr>
                            <w:t>,</w:t>
                          </w:r>
                          <w:r w:rsidRPr="00104298">
                            <w:rPr>
                              <w:rFonts w:ascii="Arial" w:hAnsi="Arial" w:cs="Arial"/>
                              <w:b/>
                              <w:bCs/>
                            </w:rPr>
                            <w:t xml:space="preserve"> </w:t>
                          </w:r>
                          <w:r w:rsidR="00456EC6" w:rsidRPr="00456EC6">
                            <w:rPr>
                              <w:rFonts w:ascii="Arial" w:hAnsi="Arial" w:cs="Arial"/>
                            </w:rPr>
                            <w:t>Mba in international Business</w:t>
                          </w:r>
                          <w:r w:rsidRPr="00456EC6">
                            <w:rPr>
                              <w:rFonts w:ascii="Arial" w:hAnsi="Arial" w:cs="Arial"/>
                            </w:rPr>
                            <w:t xml:space="preserve"> </w:t>
                          </w:r>
                          <w:r w:rsidRPr="00A02F10">
                            <w:rPr>
                              <w:rFonts w:ascii="Arial" w:hAnsi="Arial" w:cs="Arial"/>
                            </w:rPr>
                            <w:t>for giving me the environment, resources and opportunities to accomplish this study successfully.</w:t>
                          </w:r>
                        </w:p>
                        <w:p w14:paraId="0F995D97" w14:textId="34160F44" w:rsidR="00A02F10" w:rsidRPr="00A02F10" w:rsidRDefault="00A02F10" w:rsidP="00A02F10">
                          <w:pPr>
                            <w:rPr>
                              <w:rFonts w:ascii="Arial" w:hAnsi="Arial" w:cs="Arial"/>
                            </w:rPr>
                          </w:pPr>
                          <w:r w:rsidRPr="00A02F10">
                            <w:rPr>
                              <w:rFonts w:ascii="Arial" w:hAnsi="Arial" w:cs="Arial"/>
                            </w:rPr>
                            <w:t>I wish to thank all those who published, researched, reported and documented the evidence and academic research for this dissertation. They helped me to develop a deeper appreciation of the concept of CSR and its evolution in the UK food retailing industry.</w:t>
                          </w:r>
                        </w:p>
                        <w:p w14:paraId="125D2D56" w14:textId="4D548389" w:rsidR="00A02F10" w:rsidRPr="00A02F10" w:rsidRDefault="00A02F10" w:rsidP="00A02F10">
                          <w:pPr>
                            <w:rPr>
                              <w:rFonts w:ascii="Arial" w:hAnsi="Arial" w:cs="Arial"/>
                            </w:rPr>
                          </w:pPr>
                          <w:r w:rsidRPr="00A02F10">
                            <w:rPr>
                              <w:rFonts w:ascii="Arial" w:hAnsi="Arial" w:cs="Arial"/>
                            </w:rPr>
                            <w:t>I would also like to express my gratitude to my lecturers and academic staff for their knowledge, guidance and encouragement that I received during my studies.</w:t>
                          </w:r>
                        </w:p>
                        <w:p w14:paraId="6E3CD5EC" w14:textId="450805DD" w:rsidR="00A02F10" w:rsidRPr="00A02F10" w:rsidRDefault="00A02F10" w:rsidP="00A02F10">
                          <w:pPr>
                            <w:rPr>
                              <w:rFonts w:ascii="Arial" w:hAnsi="Arial" w:cs="Arial"/>
                            </w:rPr>
                          </w:pPr>
                          <w:r w:rsidRPr="00A02F10">
                            <w:rPr>
                              <w:rFonts w:ascii="Arial" w:hAnsi="Arial" w:cs="Arial"/>
                            </w:rPr>
                            <w:t>Last, but not least, I would like to thank my family, friends and all those who made my studies successful. Their patience, encouragement and emotional support helped me stay motivated and committed in this challenging part of this research.</w:t>
                          </w:r>
                        </w:p>
                      </w:txbxContent>
                    </v:textbox>
                    <w10:wrap type="square"/>
                  </v:shape>
                </w:pict>
              </mc:Fallback>
            </mc:AlternateContent>
          </w:r>
          <w:r>
            <w:br w:type="page"/>
          </w:r>
        </w:p>
        <w:p w14:paraId="5B5216AB" w14:textId="3DEC9286" w:rsidR="00CD1D85" w:rsidRDefault="00CD1D85" w:rsidP="00CD1D85">
          <w:pPr>
            <w:pStyle w:val="TOCHeading"/>
            <w:jc w:val="center"/>
          </w:pPr>
          <w:r>
            <w:lastRenderedPageBreak/>
            <w:t>Table of Contents</w:t>
          </w:r>
        </w:p>
        <w:p w14:paraId="75B8EE6D" w14:textId="637B36FF" w:rsidR="00104298" w:rsidRDefault="00CD1D8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8690154" w:history="1">
            <w:r w:rsidR="00104298" w:rsidRPr="00D248CC">
              <w:rPr>
                <w:rStyle w:val="Hyperlink"/>
                <w:rFonts w:ascii="Arial" w:hAnsi="Arial" w:cs="Arial"/>
                <w:noProof/>
              </w:rPr>
              <w:t>Chapter 1: Introduction</w:t>
            </w:r>
            <w:r w:rsidR="00104298">
              <w:rPr>
                <w:noProof/>
                <w:webHidden/>
              </w:rPr>
              <w:tab/>
            </w:r>
            <w:r w:rsidR="00104298">
              <w:rPr>
                <w:noProof/>
                <w:webHidden/>
              </w:rPr>
              <w:fldChar w:fldCharType="begin"/>
            </w:r>
            <w:r w:rsidR="00104298">
              <w:rPr>
                <w:noProof/>
                <w:webHidden/>
              </w:rPr>
              <w:instrText xml:space="preserve"> PAGEREF _Toc238690154 \h </w:instrText>
            </w:r>
            <w:r w:rsidR="00104298">
              <w:rPr>
                <w:noProof/>
                <w:webHidden/>
              </w:rPr>
            </w:r>
            <w:r w:rsidR="00104298">
              <w:rPr>
                <w:noProof/>
                <w:webHidden/>
              </w:rPr>
              <w:fldChar w:fldCharType="separate"/>
            </w:r>
            <w:r w:rsidR="00104298">
              <w:rPr>
                <w:noProof/>
                <w:webHidden/>
              </w:rPr>
              <w:t>7</w:t>
            </w:r>
            <w:r w:rsidR="00104298">
              <w:rPr>
                <w:noProof/>
                <w:webHidden/>
              </w:rPr>
              <w:fldChar w:fldCharType="end"/>
            </w:r>
          </w:hyperlink>
        </w:p>
        <w:p w14:paraId="529FD1DE" w14:textId="72337B9D" w:rsidR="00104298" w:rsidRDefault="00104298">
          <w:pPr>
            <w:pStyle w:val="TOC2"/>
            <w:tabs>
              <w:tab w:val="right" w:leader="dot" w:pos="9350"/>
            </w:tabs>
            <w:rPr>
              <w:rFonts w:eastAsiaTheme="minorEastAsia"/>
              <w:noProof/>
            </w:rPr>
          </w:pPr>
          <w:hyperlink w:anchor="_Toc238690155" w:history="1">
            <w:r w:rsidRPr="00D248CC">
              <w:rPr>
                <w:rStyle w:val="Hyperlink"/>
                <w:rFonts w:ascii="Arial" w:hAnsi="Arial" w:cs="Arial"/>
                <w:noProof/>
              </w:rPr>
              <w:t>1.1 Background and Problem Statement</w:t>
            </w:r>
            <w:r>
              <w:rPr>
                <w:noProof/>
                <w:webHidden/>
              </w:rPr>
              <w:tab/>
            </w:r>
            <w:r>
              <w:rPr>
                <w:noProof/>
                <w:webHidden/>
              </w:rPr>
              <w:fldChar w:fldCharType="begin"/>
            </w:r>
            <w:r>
              <w:rPr>
                <w:noProof/>
                <w:webHidden/>
              </w:rPr>
              <w:instrText xml:space="preserve"> PAGEREF _Toc238690155 \h </w:instrText>
            </w:r>
            <w:r>
              <w:rPr>
                <w:noProof/>
                <w:webHidden/>
              </w:rPr>
            </w:r>
            <w:r>
              <w:rPr>
                <w:noProof/>
                <w:webHidden/>
              </w:rPr>
              <w:fldChar w:fldCharType="separate"/>
            </w:r>
            <w:r>
              <w:rPr>
                <w:noProof/>
                <w:webHidden/>
              </w:rPr>
              <w:t>7</w:t>
            </w:r>
            <w:r>
              <w:rPr>
                <w:noProof/>
                <w:webHidden/>
              </w:rPr>
              <w:fldChar w:fldCharType="end"/>
            </w:r>
          </w:hyperlink>
        </w:p>
        <w:p w14:paraId="58431EAB" w14:textId="51A5D641" w:rsidR="00104298" w:rsidRDefault="00104298">
          <w:pPr>
            <w:pStyle w:val="TOC2"/>
            <w:tabs>
              <w:tab w:val="right" w:leader="dot" w:pos="9350"/>
            </w:tabs>
            <w:rPr>
              <w:rFonts w:eastAsiaTheme="minorEastAsia"/>
              <w:noProof/>
            </w:rPr>
          </w:pPr>
          <w:hyperlink w:anchor="_Toc238690156" w:history="1">
            <w:r w:rsidRPr="00D248CC">
              <w:rPr>
                <w:rStyle w:val="Hyperlink"/>
                <w:rFonts w:ascii="Arial" w:hAnsi="Arial" w:cs="Arial"/>
                <w:noProof/>
              </w:rPr>
              <w:t>1.2 Research Aim</w:t>
            </w:r>
            <w:r>
              <w:rPr>
                <w:noProof/>
                <w:webHidden/>
              </w:rPr>
              <w:tab/>
            </w:r>
            <w:r>
              <w:rPr>
                <w:noProof/>
                <w:webHidden/>
              </w:rPr>
              <w:fldChar w:fldCharType="begin"/>
            </w:r>
            <w:r>
              <w:rPr>
                <w:noProof/>
                <w:webHidden/>
              </w:rPr>
              <w:instrText xml:space="preserve"> PAGEREF _Toc238690156 \h </w:instrText>
            </w:r>
            <w:r>
              <w:rPr>
                <w:noProof/>
                <w:webHidden/>
              </w:rPr>
            </w:r>
            <w:r>
              <w:rPr>
                <w:noProof/>
                <w:webHidden/>
              </w:rPr>
              <w:fldChar w:fldCharType="separate"/>
            </w:r>
            <w:r>
              <w:rPr>
                <w:noProof/>
                <w:webHidden/>
              </w:rPr>
              <w:t>8</w:t>
            </w:r>
            <w:r>
              <w:rPr>
                <w:noProof/>
                <w:webHidden/>
              </w:rPr>
              <w:fldChar w:fldCharType="end"/>
            </w:r>
          </w:hyperlink>
        </w:p>
        <w:p w14:paraId="21FC6AFA" w14:textId="7FE4C0D6" w:rsidR="00104298" w:rsidRDefault="00104298">
          <w:pPr>
            <w:pStyle w:val="TOC2"/>
            <w:tabs>
              <w:tab w:val="right" w:leader="dot" w:pos="9350"/>
            </w:tabs>
            <w:rPr>
              <w:rFonts w:eastAsiaTheme="minorEastAsia"/>
              <w:noProof/>
            </w:rPr>
          </w:pPr>
          <w:hyperlink w:anchor="_Toc238690157" w:history="1">
            <w:r w:rsidRPr="00D248CC">
              <w:rPr>
                <w:rStyle w:val="Hyperlink"/>
                <w:rFonts w:ascii="Arial" w:hAnsi="Arial" w:cs="Arial"/>
                <w:noProof/>
              </w:rPr>
              <w:t>1.3 Research Objectives</w:t>
            </w:r>
            <w:r>
              <w:rPr>
                <w:noProof/>
                <w:webHidden/>
              </w:rPr>
              <w:tab/>
            </w:r>
            <w:r>
              <w:rPr>
                <w:noProof/>
                <w:webHidden/>
              </w:rPr>
              <w:fldChar w:fldCharType="begin"/>
            </w:r>
            <w:r>
              <w:rPr>
                <w:noProof/>
                <w:webHidden/>
              </w:rPr>
              <w:instrText xml:space="preserve"> PAGEREF _Toc238690157 \h </w:instrText>
            </w:r>
            <w:r>
              <w:rPr>
                <w:noProof/>
                <w:webHidden/>
              </w:rPr>
            </w:r>
            <w:r>
              <w:rPr>
                <w:noProof/>
                <w:webHidden/>
              </w:rPr>
              <w:fldChar w:fldCharType="separate"/>
            </w:r>
            <w:r>
              <w:rPr>
                <w:noProof/>
                <w:webHidden/>
              </w:rPr>
              <w:t>8</w:t>
            </w:r>
            <w:r>
              <w:rPr>
                <w:noProof/>
                <w:webHidden/>
              </w:rPr>
              <w:fldChar w:fldCharType="end"/>
            </w:r>
          </w:hyperlink>
        </w:p>
        <w:p w14:paraId="6BA0BF07" w14:textId="37516402" w:rsidR="00104298" w:rsidRDefault="00104298">
          <w:pPr>
            <w:pStyle w:val="TOC2"/>
            <w:tabs>
              <w:tab w:val="right" w:leader="dot" w:pos="9350"/>
            </w:tabs>
            <w:rPr>
              <w:rFonts w:eastAsiaTheme="minorEastAsia"/>
              <w:noProof/>
            </w:rPr>
          </w:pPr>
          <w:hyperlink w:anchor="_Toc238690158" w:history="1">
            <w:r w:rsidRPr="00D248CC">
              <w:rPr>
                <w:rStyle w:val="Hyperlink"/>
                <w:rFonts w:ascii="Arial" w:hAnsi="Arial" w:cs="Arial"/>
                <w:noProof/>
              </w:rPr>
              <w:t>1.4 Research Questions</w:t>
            </w:r>
            <w:r>
              <w:rPr>
                <w:noProof/>
                <w:webHidden/>
              </w:rPr>
              <w:tab/>
            </w:r>
            <w:r>
              <w:rPr>
                <w:noProof/>
                <w:webHidden/>
              </w:rPr>
              <w:fldChar w:fldCharType="begin"/>
            </w:r>
            <w:r>
              <w:rPr>
                <w:noProof/>
                <w:webHidden/>
              </w:rPr>
              <w:instrText xml:space="preserve"> PAGEREF _Toc238690158 \h </w:instrText>
            </w:r>
            <w:r>
              <w:rPr>
                <w:noProof/>
                <w:webHidden/>
              </w:rPr>
            </w:r>
            <w:r>
              <w:rPr>
                <w:noProof/>
                <w:webHidden/>
              </w:rPr>
              <w:fldChar w:fldCharType="separate"/>
            </w:r>
            <w:r>
              <w:rPr>
                <w:noProof/>
                <w:webHidden/>
              </w:rPr>
              <w:t>9</w:t>
            </w:r>
            <w:r>
              <w:rPr>
                <w:noProof/>
                <w:webHidden/>
              </w:rPr>
              <w:fldChar w:fldCharType="end"/>
            </w:r>
          </w:hyperlink>
        </w:p>
        <w:p w14:paraId="10CD50F4" w14:textId="0542F31A" w:rsidR="00104298" w:rsidRDefault="00104298">
          <w:pPr>
            <w:pStyle w:val="TOC2"/>
            <w:tabs>
              <w:tab w:val="right" w:leader="dot" w:pos="9350"/>
            </w:tabs>
            <w:rPr>
              <w:rFonts w:eastAsiaTheme="minorEastAsia"/>
              <w:noProof/>
            </w:rPr>
          </w:pPr>
          <w:hyperlink w:anchor="_Toc238690159" w:history="1">
            <w:r w:rsidRPr="00D248CC">
              <w:rPr>
                <w:rStyle w:val="Hyperlink"/>
                <w:rFonts w:ascii="Arial" w:hAnsi="Arial" w:cs="Arial"/>
                <w:noProof/>
              </w:rPr>
              <w:t>1.5 Significance / Relevance of Study</w:t>
            </w:r>
            <w:r>
              <w:rPr>
                <w:noProof/>
                <w:webHidden/>
              </w:rPr>
              <w:tab/>
            </w:r>
            <w:r>
              <w:rPr>
                <w:noProof/>
                <w:webHidden/>
              </w:rPr>
              <w:fldChar w:fldCharType="begin"/>
            </w:r>
            <w:r>
              <w:rPr>
                <w:noProof/>
                <w:webHidden/>
              </w:rPr>
              <w:instrText xml:space="preserve"> PAGEREF _Toc238690159 \h </w:instrText>
            </w:r>
            <w:r>
              <w:rPr>
                <w:noProof/>
                <w:webHidden/>
              </w:rPr>
            </w:r>
            <w:r>
              <w:rPr>
                <w:noProof/>
                <w:webHidden/>
              </w:rPr>
              <w:fldChar w:fldCharType="separate"/>
            </w:r>
            <w:r>
              <w:rPr>
                <w:noProof/>
                <w:webHidden/>
              </w:rPr>
              <w:t>9</w:t>
            </w:r>
            <w:r>
              <w:rPr>
                <w:noProof/>
                <w:webHidden/>
              </w:rPr>
              <w:fldChar w:fldCharType="end"/>
            </w:r>
          </w:hyperlink>
        </w:p>
        <w:p w14:paraId="2FA75936" w14:textId="40B12A13" w:rsidR="00104298" w:rsidRDefault="00104298">
          <w:pPr>
            <w:pStyle w:val="TOC2"/>
            <w:tabs>
              <w:tab w:val="right" w:leader="dot" w:pos="9350"/>
            </w:tabs>
            <w:rPr>
              <w:rFonts w:eastAsiaTheme="minorEastAsia"/>
              <w:noProof/>
            </w:rPr>
          </w:pPr>
          <w:hyperlink w:anchor="_Toc238690160" w:history="1">
            <w:r w:rsidRPr="00D248CC">
              <w:rPr>
                <w:rStyle w:val="Hyperlink"/>
                <w:rFonts w:ascii="Arial" w:hAnsi="Arial" w:cs="Arial"/>
                <w:noProof/>
              </w:rPr>
              <w:t>1.6 Brief Research Methodology</w:t>
            </w:r>
            <w:r>
              <w:rPr>
                <w:noProof/>
                <w:webHidden/>
              </w:rPr>
              <w:tab/>
            </w:r>
            <w:r>
              <w:rPr>
                <w:noProof/>
                <w:webHidden/>
              </w:rPr>
              <w:fldChar w:fldCharType="begin"/>
            </w:r>
            <w:r>
              <w:rPr>
                <w:noProof/>
                <w:webHidden/>
              </w:rPr>
              <w:instrText xml:space="preserve"> PAGEREF _Toc238690160 \h </w:instrText>
            </w:r>
            <w:r>
              <w:rPr>
                <w:noProof/>
                <w:webHidden/>
              </w:rPr>
            </w:r>
            <w:r>
              <w:rPr>
                <w:noProof/>
                <w:webHidden/>
              </w:rPr>
              <w:fldChar w:fldCharType="separate"/>
            </w:r>
            <w:r>
              <w:rPr>
                <w:noProof/>
                <w:webHidden/>
              </w:rPr>
              <w:t>10</w:t>
            </w:r>
            <w:r>
              <w:rPr>
                <w:noProof/>
                <w:webHidden/>
              </w:rPr>
              <w:fldChar w:fldCharType="end"/>
            </w:r>
          </w:hyperlink>
        </w:p>
        <w:p w14:paraId="42164BC7" w14:textId="2F5F85FA" w:rsidR="00104298" w:rsidRDefault="00104298">
          <w:pPr>
            <w:pStyle w:val="TOC2"/>
            <w:tabs>
              <w:tab w:val="right" w:leader="dot" w:pos="9350"/>
            </w:tabs>
            <w:rPr>
              <w:rFonts w:eastAsiaTheme="minorEastAsia"/>
              <w:noProof/>
            </w:rPr>
          </w:pPr>
          <w:hyperlink w:anchor="_Toc238690161" w:history="1">
            <w:r w:rsidRPr="00D248CC">
              <w:rPr>
                <w:rStyle w:val="Hyperlink"/>
                <w:rFonts w:ascii="Arial" w:hAnsi="Arial" w:cs="Arial"/>
                <w:noProof/>
              </w:rPr>
              <w:t>1.7 Structure of the Rest of the Project</w:t>
            </w:r>
            <w:r>
              <w:rPr>
                <w:noProof/>
                <w:webHidden/>
              </w:rPr>
              <w:tab/>
            </w:r>
            <w:r>
              <w:rPr>
                <w:noProof/>
                <w:webHidden/>
              </w:rPr>
              <w:fldChar w:fldCharType="begin"/>
            </w:r>
            <w:r>
              <w:rPr>
                <w:noProof/>
                <w:webHidden/>
              </w:rPr>
              <w:instrText xml:space="preserve"> PAGEREF _Toc238690161 \h </w:instrText>
            </w:r>
            <w:r>
              <w:rPr>
                <w:noProof/>
                <w:webHidden/>
              </w:rPr>
            </w:r>
            <w:r>
              <w:rPr>
                <w:noProof/>
                <w:webHidden/>
              </w:rPr>
              <w:fldChar w:fldCharType="separate"/>
            </w:r>
            <w:r>
              <w:rPr>
                <w:noProof/>
                <w:webHidden/>
              </w:rPr>
              <w:t>11</w:t>
            </w:r>
            <w:r>
              <w:rPr>
                <w:noProof/>
                <w:webHidden/>
              </w:rPr>
              <w:fldChar w:fldCharType="end"/>
            </w:r>
          </w:hyperlink>
        </w:p>
        <w:p w14:paraId="6C65DEFE" w14:textId="629B0ED0" w:rsidR="00104298" w:rsidRDefault="00104298">
          <w:pPr>
            <w:pStyle w:val="TOC1"/>
            <w:tabs>
              <w:tab w:val="right" w:leader="dot" w:pos="9350"/>
            </w:tabs>
            <w:rPr>
              <w:rFonts w:eastAsiaTheme="minorEastAsia"/>
              <w:noProof/>
            </w:rPr>
          </w:pPr>
          <w:hyperlink w:anchor="_Toc238690162" w:history="1">
            <w:r w:rsidRPr="00D248CC">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_Toc238690162 \h </w:instrText>
            </w:r>
            <w:r>
              <w:rPr>
                <w:noProof/>
                <w:webHidden/>
              </w:rPr>
            </w:r>
            <w:r>
              <w:rPr>
                <w:noProof/>
                <w:webHidden/>
              </w:rPr>
              <w:fldChar w:fldCharType="separate"/>
            </w:r>
            <w:r>
              <w:rPr>
                <w:noProof/>
                <w:webHidden/>
              </w:rPr>
              <w:t>12</w:t>
            </w:r>
            <w:r>
              <w:rPr>
                <w:noProof/>
                <w:webHidden/>
              </w:rPr>
              <w:fldChar w:fldCharType="end"/>
            </w:r>
          </w:hyperlink>
        </w:p>
        <w:p w14:paraId="1B289DFA" w14:textId="5AD205BE" w:rsidR="00104298" w:rsidRDefault="00104298">
          <w:pPr>
            <w:pStyle w:val="TOC2"/>
            <w:tabs>
              <w:tab w:val="right" w:leader="dot" w:pos="9350"/>
            </w:tabs>
            <w:rPr>
              <w:rFonts w:eastAsiaTheme="minorEastAsia"/>
              <w:noProof/>
            </w:rPr>
          </w:pPr>
          <w:hyperlink w:anchor="_Toc238690163" w:history="1">
            <w:r w:rsidRPr="00D248CC">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_Toc238690163 \h </w:instrText>
            </w:r>
            <w:r>
              <w:rPr>
                <w:noProof/>
                <w:webHidden/>
              </w:rPr>
            </w:r>
            <w:r>
              <w:rPr>
                <w:noProof/>
                <w:webHidden/>
              </w:rPr>
              <w:fldChar w:fldCharType="separate"/>
            </w:r>
            <w:r>
              <w:rPr>
                <w:noProof/>
                <w:webHidden/>
              </w:rPr>
              <w:t>12</w:t>
            </w:r>
            <w:r>
              <w:rPr>
                <w:noProof/>
                <w:webHidden/>
              </w:rPr>
              <w:fldChar w:fldCharType="end"/>
            </w:r>
          </w:hyperlink>
        </w:p>
        <w:p w14:paraId="00414249" w14:textId="353E0C93" w:rsidR="00104298" w:rsidRDefault="00104298">
          <w:pPr>
            <w:pStyle w:val="TOC2"/>
            <w:tabs>
              <w:tab w:val="right" w:leader="dot" w:pos="9350"/>
            </w:tabs>
            <w:rPr>
              <w:rFonts w:eastAsiaTheme="minorEastAsia"/>
              <w:noProof/>
            </w:rPr>
          </w:pPr>
          <w:hyperlink w:anchor="_Toc238690164" w:history="1">
            <w:r w:rsidRPr="00D248CC">
              <w:rPr>
                <w:rStyle w:val="Hyperlink"/>
                <w:rFonts w:ascii="Arial" w:hAnsi="Arial" w:cs="Arial"/>
                <w:noProof/>
              </w:rPr>
              <w:t>2.2 Research Areas/Topics: Systematic Review Table</w:t>
            </w:r>
            <w:r>
              <w:rPr>
                <w:noProof/>
                <w:webHidden/>
              </w:rPr>
              <w:tab/>
            </w:r>
            <w:r>
              <w:rPr>
                <w:noProof/>
                <w:webHidden/>
              </w:rPr>
              <w:fldChar w:fldCharType="begin"/>
            </w:r>
            <w:r>
              <w:rPr>
                <w:noProof/>
                <w:webHidden/>
              </w:rPr>
              <w:instrText xml:space="preserve"> PAGEREF _Toc238690164 \h </w:instrText>
            </w:r>
            <w:r>
              <w:rPr>
                <w:noProof/>
                <w:webHidden/>
              </w:rPr>
            </w:r>
            <w:r>
              <w:rPr>
                <w:noProof/>
                <w:webHidden/>
              </w:rPr>
              <w:fldChar w:fldCharType="separate"/>
            </w:r>
            <w:r>
              <w:rPr>
                <w:noProof/>
                <w:webHidden/>
              </w:rPr>
              <w:t>13</w:t>
            </w:r>
            <w:r>
              <w:rPr>
                <w:noProof/>
                <w:webHidden/>
              </w:rPr>
              <w:fldChar w:fldCharType="end"/>
            </w:r>
          </w:hyperlink>
        </w:p>
        <w:p w14:paraId="6298A26A" w14:textId="35288048" w:rsidR="00104298" w:rsidRDefault="00104298">
          <w:pPr>
            <w:pStyle w:val="TOC2"/>
            <w:tabs>
              <w:tab w:val="right" w:leader="dot" w:pos="9350"/>
            </w:tabs>
            <w:rPr>
              <w:rFonts w:eastAsiaTheme="minorEastAsia"/>
              <w:noProof/>
            </w:rPr>
          </w:pPr>
          <w:hyperlink w:anchor="_Toc238690165" w:history="1">
            <w:r w:rsidRPr="00D248CC">
              <w:rPr>
                <w:rStyle w:val="Hyperlink"/>
                <w:rFonts w:ascii="Arial" w:hAnsi="Arial" w:cs="Arial"/>
                <w:noProof/>
              </w:rPr>
              <w:t>2.3 Thematic Synthesis and Critical Analysis</w:t>
            </w:r>
            <w:r>
              <w:rPr>
                <w:noProof/>
                <w:webHidden/>
              </w:rPr>
              <w:tab/>
            </w:r>
            <w:r>
              <w:rPr>
                <w:noProof/>
                <w:webHidden/>
              </w:rPr>
              <w:fldChar w:fldCharType="begin"/>
            </w:r>
            <w:r>
              <w:rPr>
                <w:noProof/>
                <w:webHidden/>
              </w:rPr>
              <w:instrText xml:space="preserve"> PAGEREF _Toc238690165 \h </w:instrText>
            </w:r>
            <w:r>
              <w:rPr>
                <w:noProof/>
                <w:webHidden/>
              </w:rPr>
            </w:r>
            <w:r>
              <w:rPr>
                <w:noProof/>
                <w:webHidden/>
              </w:rPr>
              <w:fldChar w:fldCharType="separate"/>
            </w:r>
            <w:r>
              <w:rPr>
                <w:noProof/>
                <w:webHidden/>
              </w:rPr>
              <w:t>35</w:t>
            </w:r>
            <w:r>
              <w:rPr>
                <w:noProof/>
                <w:webHidden/>
              </w:rPr>
              <w:fldChar w:fldCharType="end"/>
            </w:r>
          </w:hyperlink>
        </w:p>
        <w:p w14:paraId="149BA9AF" w14:textId="17BDC585" w:rsidR="00104298" w:rsidRDefault="00104298">
          <w:pPr>
            <w:pStyle w:val="TOC3"/>
            <w:tabs>
              <w:tab w:val="right" w:leader="dot" w:pos="9350"/>
            </w:tabs>
            <w:rPr>
              <w:rFonts w:eastAsiaTheme="minorEastAsia"/>
              <w:noProof/>
            </w:rPr>
          </w:pPr>
          <w:hyperlink w:anchor="_Toc238690166" w:history="1">
            <w:r w:rsidRPr="00D248CC">
              <w:rPr>
                <w:rStyle w:val="Hyperlink"/>
                <w:rFonts w:ascii="Arial" w:hAnsi="Arial" w:cs="Arial"/>
                <w:noProof/>
              </w:rPr>
              <w:t>2.3.1 Theoretical Frameworks of CSR: Stakeholder Theory, Institutional Theory, and Shared Value Creation</w:t>
            </w:r>
            <w:r>
              <w:rPr>
                <w:noProof/>
                <w:webHidden/>
              </w:rPr>
              <w:tab/>
            </w:r>
            <w:r>
              <w:rPr>
                <w:noProof/>
                <w:webHidden/>
              </w:rPr>
              <w:fldChar w:fldCharType="begin"/>
            </w:r>
            <w:r>
              <w:rPr>
                <w:noProof/>
                <w:webHidden/>
              </w:rPr>
              <w:instrText xml:space="preserve"> PAGEREF _Toc238690166 \h </w:instrText>
            </w:r>
            <w:r>
              <w:rPr>
                <w:noProof/>
                <w:webHidden/>
              </w:rPr>
            </w:r>
            <w:r>
              <w:rPr>
                <w:noProof/>
                <w:webHidden/>
              </w:rPr>
              <w:fldChar w:fldCharType="separate"/>
            </w:r>
            <w:r>
              <w:rPr>
                <w:noProof/>
                <w:webHidden/>
              </w:rPr>
              <w:t>35</w:t>
            </w:r>
            <w:r>
              <w:rPr>
                <w:noProof/>
                <w:webHidden/>
              </w:rPr>
              <w:fldChar w:fldCharType="end"/>
            </w:r>
          </w:hyperlink>
        </w:p>
        <w:p w14:paraId="32C95306" w14:textId="0836DD98" w:rsidR="00104298" w:rsidRDefault="00104298">
          <w:pPr>
            <w:pStyle w:val="TOC3"/>
            <w:tabs>
              <w:tab w:val="right" w:leader="dot" w:pos="9350"/>
            </w:tabs>
            <w:rPr>
              <w:rFonts w:eastAsiaTheme="minorEastAsia"/>
              <w:noProof/>
            </w:rPr>
          </w:pPr>
          <w:hyperlink w:anchor="_Toc238690167" w:history="1">
            <w:r w:rsidRPr="00D248CC">
              <w:rPr>
                <w:rStyle w:val="Hyperlink"/>
                <w:rFonts w:ascii="Arial" w:hAnsi="Arial" w:cs="Arial"/>
                <w:noProof/>
              </w:rPr>
              <w:t>2.3.2 The Substantive-Symbolic CSR Continuum and Greenwashing</w:t>
            </w:r>
            <w:r>
              <w:rPr>
                <w:noProof/>
                <w:webHidden/>
              </w:rPr>
              <w:tab/>
            </w:r>
            <w:r>
              <w:rPr>
                <w:noProof/>
                <w:webHidden/>
              </w:rPr>
              <w:fldChar w:fldCharType="begin"/>
            </w:r>
            <w:r>
              <w:rPr>
                <w:noProof/>
                <w:webHidden/>
              </w:rPr>
              <w:instrText xml:space="preserve"> PAGEREF _Toc238690167 \h </w:instrText>
            </w:r>
            <w:r>
              <w:rPr>
                <w:noProof/>
                <w:webHidden/>
              </w:rPr>
            </w:r>
            <w:r>
              <w:rPr>
                <w:noProof/>
                <w:webHidden/>
              </w:rPr>
              <w:fldChar w:fldCharType="separate"/>
            </w:r>
            <w:r>
              <w:rPr>
                <w:noProof/>
                <w:webHidden/>
              </w:rPr>
              <w:t>36</w:t>
            </w:r>
            <w:r>
              <w:rPr>
                <w:noProof/>
                <w:webHidden/>
              </w:rPr>
              <w:fldChar w:fldCharType="end"/>
            </w:r>
          </w:hyperlink>
        </w:p>
        <w:p w14:paraId="7082ECB6" w14:textId="1160A0FA" w:rsidR="00104298" w:rsidRDefault="00104298">
          <w:pPr>
            <w:pStyle w:val="TOC3"/>
            <w:tabs>
              <w:tab w:val="right" w:leader="dot" w:pos="9350"/>
            </w:tabs>
            <w:rPr>
              <w:rFonts w:eastAsiaTheme="minorEastAsia"/>
              <w:noProof/>
            </w:rPr>
          </w:pPr>
          <w:hyperlink w:anchor="_Toc238690168" w:history="1">
            <w:r w:rsidRPr="00D248CC">
              <w:rPr>
                <w:rStyle w:val="Hyperlink"/>
                <w:rFonts w:ascii="Arial" w:hAnsi="Arial" w:cs="Arial"/>
                <w:noProof/>
              </w:rPr>
              <w:t>2.3.3 Business Model Differentiation and CSR Implementation</w:t>
            </w:r>
            <w:r>
              <w:rPr>
                <w:noProof/>
                <w:webHidden/>
              </w:rPr>
              <w:tab/>
            </w:r>
            <w:r>
              <w:rPr>
                <w:noProof/>
                <w:webHidden/>
              </w:rPr>
              <w:fldChar w:fldCharType="begin"/>
            </w:r>
            <w:r>
              <w:rPr>
                <w:noProof/>
                <w:webHidden/>
              </w:rPr>
              <w:instrText xml:space="preserve"> PAGEREF _Toc238690168 \h </w:instrText>
            </w:r>
            <w:r>
              <w:rPr>
                <w:noProof/>
                <w:webHidden/>
              </w:rPr>
            </w:r>
            <w:r>
              <w:rPr>
                <w:noProof/>
                <w:webHidden/>
              </w:rPr>
              <w:fldChar w:fldCharType="separate"/>
            </w:r>
            <w:r>
              <w:rPr>
                <w:noProof/>
                <w:webHidden/>
              </w:rPr>
              <w:t>38</w:t>
            </w:r>
            <w:r>
              <w:rPr>
                <w:noProof/>
                <w:webHidden/>
              </w:rPr>
              <w:fldChar w:fldCharType="end"/>
            </w:r>
          </w:hyperlink>
        </w:p>
        <w:p w14:paraId="69BFF2A8" w14:textId="4D50EBD4" w:rsidR="00104298" w:rsidRDefault="00104298">
          <w:pPr>
            <w:pStyle w:val="TOC3"/>
            <w:tabs>
              <w:tab w:val="right" w:leader="dot" w:pos="9350"/>
            </w:tabs>
            <w:rPr>
              <w:rFonts w:eastAsiaTheme="minorEastAsia"/>
              <w:noProof/>
            </w:rPr>
          </w:pPr>
          <w:hyperlink w:anchor="_Toc238690169" w:history="1">
            <w:r w:rsidRPr="00D248CC">
              <w:rPr>
                <w:rStyle w:val="Hyperlink"/>
                <w:rFonts w:ascii="Arial" w:hAnsi="Arial" w:cs="Arial"/>
                <w:noProof/>
              </w:rPr>
              <w:t>2.3.4 Sectoral Context: Sustainability Challenges in UK Food Retail</w:t>
            </w:r>
            <w:r>
              <w:rPr>
                <w:noProof/>
                <w:webHidden/>
              </w:rPr>
              <w:tab/>
            </w:r>
            <w:r>
              <w:rPr>
                <w:noProof/>
                <w:webHidden/>
              </w:rPr>
              <w:fldChar w:fldCharType="begin"/>
            </w:r>
            <w:r>
              <w:rPr>
                <w:noProof/>
                <w:webHidden/>
              </w:rPr>
              <w:instrText xml:space="preserve"> PAGEREF _Toc238690169 \h </w:instrText>
            </w:r>
            <w:r>
              <w:rPr>
                <w:noProof/>
                <w:webHidden/>
              </w:rPr>
            </w:r>
            <w:r>
              <w:rPr>
                <w:noProof/>
                <w:webHidden/>
              </w:rPr>
              <w:fldChar w:fldCharType="separate"/>
            </w:r>
            <w:r>
              <w:rPr>
                <w:noProof/>
                <w:webHidden/>
              </w:rPr>
              <w:t>39</w:t>
            </w:r>
            <w:r>
              <w:rPr>
                <w:noProof/>
                <w:webHidden/>
              </w:rPr>
              <w:fldChar w:fldCharType="end"/>
            </w:r>
          </w:hyperlink>
        </w:p>
        <w:p w14:paraId="03CD10A5" w14:textId="60435336" w:rsidR="00104298" w:rsidRDefault="00104298">
          <w:pPr>
            <w:pStyle w:val="TOC3"/>
            <w:tabs>
              <w:tab w:val="right" w:leader="dot" w:pos="9350"/>
            </w:tabs>
            <w:rPr>
              <w:rFonts w:eastAsiaTheme="minorEastAsia"/>
              <w:noProof/>
            </w:rPr>
          </w:pPr>
          <w:hyperlink w:anchor="_Toc238690170" w:history="1">
            <w:r w:rsidRPr="00D248CC">
              <w:rPr>
                <w:rStyle w:val="Hyperlink"/>
                <w:rFonts w:ascii="Arial" w:hAnsi="Arial" w:cs="Arial"/>
                <w:noProof/>
              </w:rPr>
              <w:t>2.3.5 CSR Disclosure, Reporting Quality, and Evaluation Methodologies</w:t>
            </w:r>
            <w:r>
              <w:rPr>
                <w:noProof/>
                <w:webHidden/>
              </w:rPr>
              <w:tab/>
            </w:r>
            <w:r>
              <w:rPr>
                <w:noProof/>
                <w:webHidden/>
              </w:rPr>
              <w:fldChar w:fldCharType="begin"/>
            </w:r>
            <w:r>
              <w:rPr>
                <w:noProof/>
                <w:webHidden/>
              </w:rPr>
              <w:instrText xml:space="preserve"> PAGEREF _Toc238690170 \h </w:instrText>
            </w:r>
            <w:r>
              <w:rPr>
                <w:noProof/>
                <w:webHidden/>
              </w:rPr>
            </w:r>
            <w:r>
              <w:rPr>
                <w:noProof/>
                <w:webHidden/>
              </w:rPr>
              <w:fldChar w:fldCharType="separate"/>
            </w:r>
            <w:r>
              <w:rPr>
                <w:noProof/>
                <w:webHidden/>
              </w:rPr>
              <w:t>41</w:t>
            </w:r>
            <w:r>
              <w:rPr>
                <w:noProof/>
                <w:webHidden/>
              </w:rPr>
              <w:fldChar w:fldCharType="end"/>
            </w:r>
          </w:hyperlink>
        </w:p>
        <w:p w14:paraId="6D0435D9" w14:textId="482C5DEE" w:rsidR="00104298" w:rsidRDefault="00104298">
          <w:pPr>
            <w:pStyle w:val="TOC3"/>
            <w:tabs>
              <w:tab w:val="right" w:leader="dot" w:pos="9350"/>
            </w:tabs>
            <w:rPr>
              <w:rFonts w:eastAsiaTheme="minorEastAsia"/>
              <w:noProof/>
            </w:rPr>
          </w:pPr>
          <w:hyperlink w:anchor="_Toc238690171" w:history="1">
            <w:r w:rsidRPr="00D248CC">
              <w:rPr>
                <w:rStyle w:val="Hyperlink"/>
                <w:rFonts w:ascii="Arial" w:hAnsi="Arial" w:cs="Arial"/>
                <w:noProof/>
              </w:rPr>
              <w:t>2.3.6 Identified Research Gaps</w:t>
            </w:r>
            <w:r>
              <w:rPr>
                <w:noProof/>
                <w:webHidden/>
              </w:rPr>
              <w:tab/>
            </w:r>
            <w:r>
              <w:rPr>
                <w:noProof/>
                <w:webHidden/>
              </w:rPr>
              <w:fldChar w:fldCharType="begin"/>
            </w:r>
            <w:r>
              <w:rPr>
                <w:noProof/>
                <w:webHidden/>
              </w:rPr>
              <w:instrText xml:space="preserve"> PAGEREF _Toc238690171 \h </w:instrText>
            </w:r>
            <w:r>
              <w:rPr>
                <w:noProof/>
                <w:webHidden/>
              </w:rPr>
            </w:r>
            <w:r>
              <w:rPr>
                <w:noProof/>
                <w:webHidden/>
              </w:rPr>
              <w:fldChar w:fldCharType="separate"/>
            </w:r>
            <w:r>
              <w:rPr>
                <w:noProof/>
                <w:webHidden/>
              </w:rPr>
              <w:t>42</w:t>
            </w:r>
            <w:r>
              <w:rPr>
                <w:noProof/>
                <w:webHidden/>
              </w:rPr>
              <w:fldChar w:fldCharType="end"/>
            </w:r>
          </w:hyperlink>
        </w:p>
        <w:p w14:paraId="5592B09B" w14:textId="7B72AFCD" w:rsidR="00104298" w:rsidRDefault="00104298">
          <w:pPr>
            <w:pStyle w:val="TOC2"/>
            <w:tabs>
              <w:tab w:val="right" w:leader="dot" w:pos="9350"/>
            </w:tabs>
            <w:rPr>
              <w:rFonts w:eastAsiaTheme="minorEastAsia"/>
              <w:noProof/>
            </w:rPr>
          </w:pPr>
          <w:hyperlink w:anchor="_Toc238690172" w:history="1">
            <w:r w:rsidRPr="00D248CC">
              <w:rPr>
                <w:rStyle w:val="Hyperlink"/>
                <w:rFonts w:ascii="Arial" w:hAnsi="Arial" w:cs="Arial"/>
                <w:noProof/>
              </w:rPr>
              <w:t>2.4 Conceptual Framework</w:t>
            </w:r>
            <w:r>
              <w:rPr>
                <w:noProof/>
                <w:webHidden/>
              </w:rPr>
              <w:tab/>
            </w:r>
            <w:r>
              <w:rPr>
                <w:noProof/>
                <w:webHidden/>
              </w:rPr>
              <w:fldChar w:fldCharType="begin"/>
            </w:r>
            <w:r>
              <w:rPr>
                <w:noProof/>
                <w:webHidden/>
              </w:rPr>
              <w:instrText xml:space="preserve"> PAGEREF _Toc238690172 \h </w:instrText>
            </w:r>
            <w:r>
              <w:rPr>
                <w:noProof/>
                <w:webHidden/>
              </w:rPr>
            </w:r>
            <w:r>
              <w:rPr>
                <w:noProof/>
                <w:webHidden/>
              </w:rPr>
              <w:fldChar w:fldCharType="separate"/>
            </w:r>
            <w:r>
              <w:rPr>
                <w:noProof/>
                <w:webHidden/>
              </w:rPr>
              <w:t>43</w:t>
            </w:r>
            <w:r>
              <w:rPr>
                <w:noProof/>
                <w:webHidden/>
              </w:rPr>
              <w:fldChar w:fldCharType="end"/>
            </w:r>
          </w:hyperlink>
        </w:p>
        <w:p w14:paraId="778DFE00" w14:textId="1DFC1B9A" w:rsidR="00104298" w:rsidRDefault="00104298">
          <w:pPr>
            <w:pStyle w:val="TOC2"/>
            <w:tabs>
              <w:tab w:val="right" w:leader="dot" w:pos="9350"/>
            </w:tabs>
            <w:rPr>
              <w:rFonts w:eastAsiaTheme="minorEastAsia"/>
              <w:noProof/>
            </w:rPr>
          </w:pPr>
          <w:hyperlink w:anchor="_Toc238690173" w:history="1">
            <w:r w:rsidRPr="00D248CC">
              <w:rPr>
                <w:rStyle w:val="Hyperlink"/>
                <w:rFonts w:ascii="Arial" w:hAnsi="Arial" w:cs="Arial"/>
                <w:noProof/>
              </w:rPr>
              <w:t>2.5 Conclusion</w:t>
            </w:r>
            <w:r>
              <w:rPr>
                <w:noProof/>
                <w:webHidden/>
              </w:rPr>
              <w:tab/>
            </w:r>
            <w:r>
              <w:rPr>
                <w:noProof/>
                <w:webHidden/>
              </w:rPr>
              <w:fldChar w:fldCharType="begin"/>
            </w:r>
            <w:r>
              <w:rPr>
                <w:noProof/>
                <w:webHidden/>
              </w:rPr>
              <w:instrText xml:space="preserve"> PAGEREF _Toc238690173 \h </w:instrText>
            </w:r>
            <w:r>
              <w:rPr>
                <w:noProof/>
                <w:webHidden/>
              </w:rPr>
            </w:r>
            <w:r>
              <w:rPr>
                <w:noProof/>
                <w:webHidden/>
              </w:rPr>
              <w:fldChar w:fldCharType="separate"/>
            </w:r>
            <w:r>
              <w:rPr>
                <w:noProof/>
                <w:webHidden/>
              </w:rPr>
              <w:t>44</w:t>
            </w:r>
            <w:r>
              <w:rPr>
                <w:noProof/>
                <w:webHidden/>
              </w:rPr>
              <w:fldChar w:fldCharType="end"/>
            </w:r>
          </w:hyperlink>
        </w:p>
        <w:p w14:paraId="1D564215" w14:textId="171078B4" w:rsidR="00104298" w:rsidRDefault="00104298">
          <w:pPr>
            <w:pStyle w:val="TOC1"/>
            <w:tabs>
              <w:tab w:val="right" w:leader="dot" w:pos="9350"/>
            </w:tabs>
            <w:rPr>
              <w:rFonts w:eastAsiaTheme="minorEastAsia"/>
              <w:noProof/>
            </w:rPr>
          </w:pPr>
          <w:hyperlink w:anchor="_Toc238690174" w:history="1">
            <w:r w:rsidRPr="00D248CC">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_Toc238690174 \h </w:instrText>
            </w:r>
            <w:r>
              <w:rPr>
                <w:noProof/>
                <w:webHidden/>
              </w:rPr>
            </w:r>
            <w:r>
              <w:rPr>
                <w:noProof/>
                <w:webHidden/>
              </w:rPr>
              <w:fldChar w:fldCharType="separate"/>
            </w:r>
            <w:r>
              <w:rPr>
                <w:noProof/>
                <w:webHidden/>
              </w:rPr>
              <w:t>46</w:t>
            </w:r>
            <w:r>
              <w:rPr>
                <w:noProof/>
                <w:webHidden/>
              </w:rPr>
              <w:fldChar w:fldCharType="end"/>
            </w:r>
          </w:hyperlink>
        </w:p>
        <w:p w14:paraId="1131F1AE" w14:textId="27B4552F" w:rsidR="00104298" w:rsidRDefault="00104298">
          <w:pPr>
            <w:pStyle w:val="TOC2"/>
            <w:tabs>
              <w:tab w:val="right" w:leader="dot" w:pos="9350"/>
            </w:tabs>
            <w:rPr>
              <w:rFonts w:eastAsiaTheme="minorEastAsia"/>
              <w:noProof/>
            </w:rPr>
          </w:pPr>
          <w:hyperlink w:anchor="_Toc238690175" w:history="1">
            <w:r w:rsidRPr="00D248CC">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_Toc238690175 \h </w:instrText>
            </w:r>
            <w:r>
              <w:rPr>
                <w:noProof/>
                <w:webHidden/>
              </w:rPr>
            </w:r>
            <w:r>
              <w:rPr>
                <w:noProof/>
                <w:webHidden/>
              </w:rPr>
              <w:fldChar w:fldCharType="separate"/>
            </w:r>
            <w:r>
              <w:rPr>
                <w:noProof/>
                <w:webHidden/>
              </w:rPr>
              <w:t>46</w:t>
            </w:r>
            <w:r>
              <w:rPr>
                <w:noProof/>
                <w:webHidden/>
              </w:rPr>
              <w:fldChar w:fldCharType="end"/>
            </w:r>
          </w:hyperlink>
        </w:p>
        <w:p w14:paraId="44114FB7" w14:textId="1FB072A6" w:rsidR="00104298" w:rsidRDefault="00104298">
          <w:pPr>
            <w:pStyle w:val="TOC2"/>
            <w:tabs>
              <w:tab w:val="right" w:leader="dot" w:pos="9350"/>
            </w:tabs>
            <w:rPr>
              <w:rFonts w:eastAsiaTheme="minorEastAsia"/>
              <w:noProof/>
            </w:rPr>
          </w:pPr>
          <w:hyperlink w:anchor="_Toc238690176" w:history="1">
            <w:r w:rsidRPr="00D248CC">
              <w:rPr>
                <w:rStyle w:val="Hyperlink"/>
                <w:rFonts w:ascii="Arial" w:hAnsi="Arial" w:cs="Arial"/>
                <w:noProof/>
              </w:rPr>
              <w:t>3.2 The present research adopts a qualitative research approach.</w:t>
            </w:r>
            <w:r>
              <w:rPr>
                <w:noProof/>
                <w:webHidden/>
              </w:rPr>
              <w:tab/>
            </w:r>
            <w:r>
              <w:rPr>
                <w:noProof/>
                <w:webHidden/>
              </w:rPr>
              <w:fldChar w:fldCharType="begin"/>
            </w:r>
            <w:r>
              <w:rPr>
                <w:noProof/>
                <w:webHidden/>
              </w:rPr>
              <w:instrText xml:space="preserve"> PAGEREF _Toc238690176 \h </w:instrText>
            </w:r>
            <w:r>
              <w:rPr>
                <w:noProof/>
                <w:webHidden/>
              </w:rPr>
            </w:r>
            <w:r>
              <w:rPr>
                <w:noProof/>
                <w:webHidden/>
              </w:rPr>
              <w:fldChar w:fldCharType="separate"/>
            </w:r>
            <w:r>
              <w:rPr>
                <w:noProof/>
                <w:webHidden/>
              </w:rPr>
              <w:t>46</w:t>
            </w:r>
            <w:r>
              <w:rPr>
                <w:noProof/>
                <w:webHidden/>
              </w:rPr>
              <w:fldChar w:fldCharType="end"/>
            </w:r>
          </w:hyperlink>
        </w:p>
        <w:p w14:paraId="672BFF76" w14:textId="40146ACB" w:rsidR="00104298" w:rsidRDefault="00104298">
          <w:pPr>
            <w:pStyle w:val="TOC3"/>
            <w:tabs>
              <w:tab w:val="right" w:leader="dot" w:pos="9350"/>
            </w:tabs>
            <w:rPr>
              <w:rFonts w:eastAsiaTheme="minorEastAsia"/>
              <w:noProof/>
            </w:rPr>
          </w:pPr>
          <w:hyperlink w:anchor="_Toc238690177" w:history="1">
            <w:r w:rsidRPr="00D248CC">
              <w:rPr>
                <w:rStyle w:val="Hyperlink"/>
                <w:rFonts w:ascii="Arial" w:hAnsi="Arial" w:cs="Arial"/>
                <w:noProof/>
              </w:rPr>
              <w:t>3.2.1 Ontological Position</w:t>
            </w:r>
            <w:r>
              <w:rPr>
                <w:noProof/>
                <w:webHidden/>
              </w:rPr>
              <w:tab/>
            </w:r>
            <w:r>
              <w:rPr>
                <w:noProof/>
                <w:webHidden/>
              </w:rPr>
              <w:fldChar w:fldCharType="begin"/>
            </w:r>
            <w:r>
              <w:rPr>
                <w:noProof/>
                <w:webHidden/>
              </w:rPr>
              <w:instrText xml:space="preserve"> PAGEREF _Toc238690177 \h </w:instrText>
            </w:r>
            <w:r>
              <w:rPr>
                <w:noProof/>
                <w:webHidden/>
              </w:rPr>
            </w:r>
            <w:r>
              <w:rPr>
                <w:noProof/>
                <w:webHidden/>
              </w:rPr>
              <w:fldChar w:fldCharType="separate"/>
            </w:r>
            <w:r>
              <w:rPr>
                <w:noProof/>
                <w:webHidden/>
              </w:rPr>
              <w:t>46</w:t>
            </w:r>
            <w:r>
              <w:rPr>
                <w:noProof/>
                <w:webHidden/>
              </w:rPr>
              <w:fldChar w:fldCharType="end"/>
            </w:r>
          </w:hyperlink>
        </w:p>
        <w:p w14:paraId="1DF445DC" w14:textId="5DCD1DE3" w:rsidR="00104298" w:rsidRDefault="00104298">
          <w:pPr>
            <w:pStyle w:val="TOC3"/>
            <w:tabs>
              <w:tab w:val="right" w:leader="dot" w:pos="9350"/>
            </w:tabs>
            <w:rPr>
              <w:rFonts w:eastAsiaTheme="minorEastAsia"/>
              <w:noProof/>
            </w:rPr>
          </w:pPr>
          <w:hyperlink w:anchor="_Toc238690178" w:history="1">
            <w:r w:rsidRPr="00D248CC">
              <w:rPr>
                <w:rStyle w:val="Hyperlink"/>
                <w:rFonts w:ascii="Arial" w:hAnsi="Arial" w:cs="Arial"/>
                <w:noProof/>
              </w:rPr>
              <w:t>3.2.2 Epistemological Position</w:t>
            </w:r>
            <w:r>
              <w:rPr>
                <w:noProof/>
                <w:webHidden/>
              </w:rPr>
              <w:tab/>
            </w:r>
            <w:r>
              <w:rPr>
                <w:noProof/>
                <w:webHidden/>
              </w:rPr>
              <w:fldChar w:fldCharType="begin"/>
            </w:r>
            <w:r>
              <w:rPr>
                <w:noProof/>
                <w:webHidden/>
              </w:rPr>
              <w:instrText xml:space="preserve"> PAGEREF _Toc238690178 \h </w:instrText>
            </w:r>
            <w:r>
              <w:rPr>
                <w:noProof/>
                <w:webHidden/>
              </w:rPr>
            </w:r>
            <w:r>
              <w:rPr>
                <w:noProof/>
                <w:webHidden/>
              </w:rPr>
              <w:fldChar w:fldCharType="separate"/>
            </w:r>
            <w:r>
              <w:rPr>
                <w:noProof/>
                <w:webHidden/>
              </w:rPr>
              <w:t>47</w:t>
            </w:r>
            <w:r>
              <w:rPr>
                <w:noProof/>
                <w:webHidden/>
              </w:rPr>
              <w:fldChar w:fldCharType="end"/>
            </w:r>
          </w:hyperlink>
        </w:p>
        <w:p w14:paraId="3F28C34B" w14:textId="2AD506FD" w:rsidR="00104298" w:rsidRDefault="00104298">
          <w:pPr>
            <w:pStyle w:val="TOC3"/>
            <w:tabs>
              <w:tab w:val="right" w:leader="dot" w:pos="9350"/>
            </w:tabs>
            <w:rPr>
              <w:rFonts w:eastAsiaTheme="minorEastAsia"/>
              <w:noProof/>
            </w:rPr>
          </w:pPr>
          <w:hyperlink w:anchor="_Toc238690179" w:history="1">
            <w:r w:rsidRPr="00D248CC">
              <w:rPr>
                <w:rStyle w:val="Hyperlink"/>
                <w:rFonts w:ascii="Arial" w:hAnsi="Arial" w:cs="Arial"/>
                <w:noProof/>
              </w:rPr>
              <w:t>3.2.3 Axiological Position</w:t>
            </w:r>
            <w:r>
              <w:rPr>
                <w:noProof/>
                <w:webHidden/>
              </w:rPr>
              <w:tab/>
            </w:r>
            <w:r>
              <w:rPr>
                <w:noProof/>
                <w:webHidden/>
              </w:rPr>
              <w:fldChar w:fldCharType="begin"/>
            </w:r>
            <w:r>
              <w:rPr>
                <w:noProof/>
                <w:webHidden/>
              </w:rPr>
              <w:instrText xml:space="preserve"> PAGEREF _Toc238690179 \h </w:instrText>
            </w:r>
            <w:r>
              <w:rPr>
                <w:noProof/>
                <w:webHidden/>
              </w:rPr>
            </w:r>
            <w:r>
              <w:rPr>
                <w:noProof/>
                <w:webHidden/>
              </w:rPr>
              <w:fldChar w:fldCharType="separate"/>
            </w:r>
            <w:r>
              <w:rPr>
                <w:noProof/>
                <w:webHidden/>
              </w:rPr>
              <w:t>48</w:t>
            </w:r>
            <w:r>
              <w:rPr>
                <w:noProof/>
                <w:webHidden/>
              </w:rPr>
              <w:fldChar w:fldCharType="end"/>
            </w:r>
          </w:hyperlink>
        </w:p>
        <w:p w14:paraId="19D8DAD5" w14:textId="62D24BBC" w:rsidR="00104298" w:rsidRDefault="00104298">
          <w:pPr>
            <w:pStyle w:val="TOC3"/>
            <w:tabs>
              <w:tab w:val="right" w:leader="dot" w:pos="9350"/>
            </w:tabs>
            <w:rPr>
              <w:rFonts w:eastAsiaTheme="minorEastAsia"/>
              <w:noProof/>
            </w:rPr>
          </w:pPr>
          <w:hyperlink w:anchor="_Toc238690180" w:history="1">
            <w:r w:rsidRPr="00D248CC">
              <w:rPr>
                <w:rStyle w:val="Hyperlink"/>
                <w:rFonts w:ascii="Arial" w:hAnsi="Arial" w:cs="Arial"/>
                <w:noProof/>
              </w:rPr>
              <w:t>3.2.4 Justification of Interpretivism</w:t>
            </w:r>
            <w:r>
              <w:rPr>
                <w:noProof/>
                <w:webHidden/>
              </w:rPr>
              <w:tab/>
            </w:r>
            <w:r>
              <w:rPr>
                <w:noProof/>
                <w:webHidden/>
              </w:rPr>
              <w:fldChar w:fldCharType="begin"/>
            </w:r>
            <w:r>
              <w:rPr>
                <w:noProof/>
                <w:webHidden/>
              </w:rPr>
              <w:instrText xml:space="preserve"> PAGEREF _Toc238690180 \h </w:instrText>
            </w:r>
            <w:r>
              <w:rPr>
                <w:noProof/>
                <w:webHidden/>
              </w:rPr>
            </w:r>
            <w:r>
              <w:rPr>
                <w:noProof/>
                <w:webHidden/>
              </w:rPr>
              <w:fldChar w:fldCharType="separate"/>
            </w:r>
            <w:r>
              <w:rPr>
                <w:noProof/>
                <w:webHidden/>
              </w:rPr>
              <w:t>48</w:t>
            </w:r>
            <w:r>
              <w:rPr>
                <w:noProof/>
                <w:webHidden/>
              </w:rPr>
              <w:fldChar w:fldCharType="end"/>
            </w:r>
          </w:hyperlink>
        </w:p>
        <w:p w14:paraId="2F4FD4E7" w14:textId="610DB6B5" w:rsidR="00104298" w:rsidRDefault="00104298">
          <w:pPr>
            <w:pStyle w:val="TOC2"/>
            <w:tabs>
              <w:tab w:val="right" w:leader="dot" w:pos="9350"/>
            </w:tabs>
            <w:rPr>
              <w:rFonts w:eastAsiaTheme="minorEastAsia"/>
              <w:noProof/>
            </w:rPr>
          </w:pPr>
          <w:hyperlink w:anchor="_Toc238690181" w:history="1">
            <w:r w:rsidRPr="00D248CC">
              <w:rPr>
                <w:rStyle w:val="Hyperlink"/>
                <w:rFonts w:ascii="Arial" w:hAnsi="Arial" w:cs="Arial"/>
                <w:noProof/>
              </w:rPr>
              <w:t>3.3 Research Design</w:t>
            </w:r>
            <w:r>
              <w:rPr>
                <w:noProof/>
                <w:webHidden/>
              </w:rPr>
              <w:tab/>
            </w:r>
            <w:r>
              <w:rPr>
                <w:noProof/>
                <w:webHidden/>
              </w:rPr>
              <w:fldChar w:fldCharType="begin"/>
            </w:r>
            <w:r>
              <w:rPr>
                <w:noProof/>
                <w:webHidden/>
              </w:rPr>
              <w:instrText xml:space="preserve"> PAGEREF _Toc238690181 \h </w:instrText>
            </w:r>
            <w:r>
              <w:rPr>
                <w:noProof/>
                <w:webHidden/>
              </w:rPr>
            </w:r>
            <w:r>
              <w:rPr>
                <w:noProof/>
                <w:webHidden/>
              </w:rPr>
              <w:fldChar w:fldCharType="separate"/>
            </w:r>
            <w:r>
              <w:rPr>
                <w:noProof/>
                <w:webHidden/>
              </w:rPr>
              <w:t>49</w:t>
            </w:r>
            <w:r>
              <w:rPr>
                <w:noProof/>
                <w:webHidden/>
              </w:rPr>
              <w:fldChar w:fldCharType="end"/>
            </w:r>
          </w:hyperlink>
        </w:p>
        <w:p w14:paraId="24A76C40" w14:textId="07DA5033" w:rsidR="00104298" w:rsidRDefault="00104298">
          <w:pPr>
            <w:pStyle w:val="TOC3"/>
            <w:tabs>
              <w:tab w:val="right" w:leader="dot" w:pos="9350"/>
            </w:tabs>
            <w:rPr>
              <w:rFonts w:eastAsiaTheme="minorEastAsia"/>
              <w:noProof/>
            </w:rPr>
          </w:pPr>
          <w:hyperlink w:anchor="_Toc238690182" w:history="1">
            <w:r w:rsidRPr="00D248CC">
              <w:rPr>
                <w:rStyle w:val="Hyperlink"/>
                <w:rFonts w:ascii="Arial" w:hAnsi="Arial" w:cs="Arial"/>
                <w:noProof/>
              </w:rPr>
              <w:t>3.3.1 Justification of Case Study Design</w:t>
            </w:r>
            <w:r>
              <w:rPr>
                <w:noProof/>
                <w:webHidden/>
              </w:rPr>
              <w:tab/>
            </w:r>
            <w:r>
              <w:rPr>
                <w:noProof/>
                <w:webHidden/>
              </w:rPr>
              <w:fldChar w:fldCharType="begin"/>
            </w:r>
            <w:r>
              <w:rPr>
                <w:noProof/>
                <w:webHidden/>
              </w:rPr>
              <w:instrText xml:space="preserve"> PAGEREF _Toc238690182 \h </w:instrText>
            </w:r>
            <w:r>
              <w:rPr>
                <w:noProof/>
                <w:webHidden/>
              </w:rPr>
            </w:r>
            <w:r>
              <w:rPr>
                <w:noProof/>
                <w:webHidden/>
              </w:rPr>
              <w:fldChar w:fldCharType="separate"/>
            </w:r>
            <w:r>
              <w:rPr>
                <w:noProof/>
                <w:webHidden/>
              </w:rPr>
              <w:t>49</w:t>
            </w:r>
            <w:r>
              <w:rPr>
                <w:noProof/>
                <w:webHidden/>
              </w:rPr>
              <w:fldChar w:fldCharType="end"/>
            </w:r>
          </w:hyperlink>
        </w:p>
        <w:p w14:paraId="45F08DEB" w14:textId="7FEDE987" w:rsidR="00104298" w:rsidRDefault="00104298">
          <w:pPr>
            <w:pStyle w:val="TOC3"/>
            <w:tabs>
              <w:tab w:val="right" w:leader="dot" w:pos="9350"/>
            </w:tabs>
            <w:rPr>
              <w:rFonts w:eastAsiaTheme="minorEastAsia"/>
              <w:noProof/>
            </w:rPr>
          </w:pPr>
          <w:hyperlink w:anchor="_Toc238690183" w:history="1">
            <w:r w:rsidRPr="00D248CC">
              <w:rPr>
                <w:rStyle w:val="Hyperlink"/>
                <w:rFonts w:ascii="Arial" w:hAnsi="Arial" w:cs="Arial"/>
                <w:noProof/>
              </w:rPr>
              <w:t>3.3.3 Longitudinal Design and Temporal Comparison</w:t>
            </w:r>
            <w:r>
              <w:rPr>
                <w:noProof/>
                <w:webHidden/>
              </w:rPr>
              <w:tab/>
            </w:r>
            <w:r>
              <w:rPr>
                <w:noProof/>
                <w:webHidden/>
              </w:rPr>
              <w:fldChar w:fldCharType="begin"/>
            </w:r>
            <w:r>
              <w:rPr>
                <w:noProof/>
                <w:webHidden/>
              </w:rPr>
              <w:instrText xml:space="preserve"> PAGEREF _Toc238690183 \h </w:instrText>
            </w:r>
            <w:r>
              <w:rPr>
                <w:noProof/>
                <w:webHidden/>
              </w:rPr>
            </w:r>
            <w:r>
              <w:rPr>
                <w:noProof/>
                <w:webHidden/>
              </w:rPr>
              <w:fldChar w:fldCharType="separate"/>
            </w:r>
            <w:r>
              <w:rPr>
                <w:noProof/>
                <w:webHidden/>
              </w:rPr>
              <w:t>50</w:t>
            </w:r>
            <w:r>
              <w:rPr>
                <w:noProof/>
                <w:webHidden/>
              </w:rPr>
              <w:fldChar w:fldCharType="end"/>
            </w:r>
          </w:hyperlink>
        </w:p>
        <w:p w14:paraId="388152D4" w14:textId="54708EFA" w:rsidR="00104298" w:rsidRDefault="00104298">
          <w:pPr>
            <w:pStyle w:val="TOC2"/>
            <w:tabs>
              <w:tab w:val="right" w:leader="dot" w:pos="9350"/>
            </w:tabs>
            <w:rPr>
              <w:rFonts w:eastAsiaTheme="minorEastAsia"/>
              <w:noProof/>
            </w:rPr>
          </w:pPr>
          <w:hyperlink w:anchor="_Toc238690184" w:history="1">
            <w:r w:rsidRPr="00D248CC">
              <w:rPr>
                <w:rStyle w:val="Hyperlink"/>
                <w:rFonts w:ascii="Arial" w:hAnsi="Arial" w:cs="Arial"/>
                <w:noProof/>
              </w:rPr>
              <w:t>3.5 Data Collection Methods</w:t>
            </w:r>
            <w:r>
              <w:rPr>
                <w:noProof/>
                <w:webHidden/>
              </w:rPr>
              <w:tab/>
            </w:r>
            <w:r>
              <w:rPr>
                <w:noProof/>
                <w:webHidden/>
              </w:rPr>
              <w:fldChar w:fldCharType="begin"/>
            </w:r>
            <w:r>
              <w:rPr>
                <w:noProof/>
                <w:webHidden/>
              </w:rPr>
              <w:instrText xml:space="preserve"> PAGEREF _Toc238690184 \h </w:instrText>
            </w:r>
            <w:r>
              <w:rPr>
                <w:noProof/>
                <w:webHidden/>
              </w:rPr>
            </w:r>
            <w:r>
              <w:rPr>
                <w:noProof/>
                <w:webHidden/>
              </w:rPr>
              <w:fldChar w:fldCharType="separate"/>
            </w:r>
            <w:r>
              <w:rPr>
                <w:noProof/>
                <w:webHidden/>
              </w:rPr>
              <w:t>51</w:t>
            </w:r>
            <w:r>
              <w:rPr>
                <w:noProof/>
                <w:webHidden/>
              </w:rPr>
              <w:fldChar w:fldCharType="end"/>
            </w:r>
          </w:hyperlink>
        </w:p>
        <w:p w14:paraId="54535C6A" w14:textId="4A99DD8B" w:rsidR="00104298" w:rsidRDefault="00104298">
          <w:pPr>
            <w:pStyle w:val="TOC3"/>
            <w:tabs>
              <w:tab w:val="right" w:leader="dot" w:pos="9350"/>
            </w:tabs>
            <w:rPr>
              <w:rFonts w:eastAsiaTheme="minorEastAsia"/>
              <w:noProof/>
            </w:rPr>
          </w:pPr>
          <w:hyperlink w:anchor="_Toc238690185" w:history="1">
            <w:r w:rsidRPr="00D248CC">
              <w:rPr>
                <w:rStyle w:val="Hyperlink"/>
                <w:rFonts w:ascii="Arial" w:hAnsi="Arial" w:cs="Arial"/>
                <w:noProof/>
              </w:rPr>
              <w:t>3.5.1 Data Sources</w:t>
            </w:r>
            <w:r>
              <w:rPr>
                <w:noProof/>
                <w:webHidden/>
              </w:rPr>
              <w:tab/>
            </w:r>
            <w:r>
              <w:rPr>
                <w:noProof/>
                <w:webHidden/>
              </w:rPr>
              <w:fldChar w:fldCharType="begin"/>
            </w:r>
            <w:r>
              <w:rPr>
                <w:noProof/>
                <w:webHidden/>
              </w:rPr>
              <w:instrText xml:space="preserve"> PAGEREF _Toc238690185 \h </w:instrText>
            </w:r>
            <w:r>
              <w:rPr>
                <w:noProof/>
                <w:webHidden/>
              </w:rPr>
            </w:r>
            <w:r>
              <w:rPr>
                <w:noProof/>
                <w:webHidden/>
              </w:rPr>
              <w:fldChar w:fldCharType="separate"/>
            </w:r>
            <w:r>
              <w:rPr>
                <w:noProof/>
                <w:webHidden/>
              </w:rPr>
              <w:t>51</w:t>
            </w:r>
            <w:r>
              <w:rPr>
                <w:noProof/>
                <w:webHidden/>
              </w:rPr>
              <w:fldChar w:fldCharType="end"/>
            </w:r>
          </w:hyperlink>
        </w:p>
        <w:p w14:paraId="1D0D40B3" w14:textId="025B445A" w:rsidR="00104298" w:rsidRDefault="00104298">
          <w:pPr>
            <w:pStyle w:val="TOC3"/>
            <w:tabs>
              <w:tab w:val="right" w:leader="dot" w:pos="9350"/>
            </w:tabs>
            <w:rPr>
              <w:rFonts w:eastAsiaTheme="minorEastAsia"/>
              <w:noProof/>
            </w:rPr>
          </w:pPr>
          <w:hyperlink w:anchor="_Toc238690186" w:history="1">
            <w:r w:rsidRPr="00D248CC">
              <w:rPr>
                <w:rStyle w:val="Hyperlink"/>
                <w:rFonts w:ascii="Arial" w:hAnsi="Arial" w:cs="Arial"/>
                <w:noProof/>
              </w:rPr>
              <w:t>3.5.2 Data Collection Process and Documentation</w:t>
            </w:r>
            <w:r>
              <w:rPr>
                <w:noProof/>
                <w:webHidden/>
              </w:rPr>
              <w:tab/>
            </w:r>
            <w:r>
              <w:rPr>
                <w:noProof/>
                <w:webHidden/>
              </w:rPr>
              <w:fldChar w:fldCharType="begin"/>
            </w:r>
            <w:r>
              <w:rPr>
                <w:noProof/>
                <w:webHidden/>
              </w:rPr>
              <w:instrText xml:space="preserve"> PAGEREF _Toc238690186 \h </w:instrText>
            </w:r>
            <w:r>
              <w:rPr>
                <w:noProof/>
                <w:webHidden/>
              </w:rPr>
            </w:r>
            <w:r>
              <w:rPr>
                <w:noProof/>
                <w:webHidden/>
              </w:rPr>
              <w:fldChar w:fldCharType="separate"/>
            </w:r>
            <w:r>
              <w:rPr>
                <w:noProof/>
                <w:webHidden/>
              </w:rPr>
              <w:t>52</w:t>
            </w:r>
            <w:r>
              <w:rPr>
                <w:noProof/>
                <w:webHidden/>
              </w:rPr>
              <w:fldChar w:fldCharType="end"/>
            </w:r>
          </w:hyperlink>
        </w:p>
        <w:p w14:paraId="2077E5FA" w14:textId="4D59C03F" w:rsidR="00104298" w:rsidRDefault="00104298">
          <w:pPr>
            <w:pStyle w:val="TOC3"/>
            <w:tabs>
              <w:tab w:val="right" w:leader="dot" w:pos="9350"/>
            </w:tabs>
            <w:rPr>
              <w:rFonts w:eastAsiaTheme="minorEastAsia"/>
              <w:noProof/>
            </w:rPr>
          </w:pPr>
          <w:hyperlink w:anchor="_Toc238690187" w:history="1">
            <w:r w:rsidRPr="00D248CC">
              <w:rPr>
                <w:rStyle w:val="Hyperlink"/>
                <w:rFonts w:ascii="Arial" w:hAnsi="Arial" w:cs="Arial"/>
                <w:noProof/>
              </w:rPr>
              <w:t>3.5.3 Justification and Limitations of Secondary Data</w:t>
            </w:r>
            <w:r>
              <w:rPr>
                <w:noProof/>
                <w:webHidden/>
              </w:rPr>
              <w:tab/>
            </w:r>
            <w:r>
              <w:rPr>
                <w:noProof/>
                <w:webHidden/>
              </w:rPr>
              <w:fldChar w:fldCharType="begin"/>
            </w:r>
            <w:r>
              <w:rPr>
                <w:noProof/>
                <w:webHidden/>
              </w:rPr>
              <w:instrText xml:space="preserve"> PAGEREF _Toc238690187 \h </w:instrText>
            </w:r>
            <w:r>
              <w:rPr>
                <w:noProof/>
                <w:webHidden/>
              </w:rPr>
            </w:r>
            <w:r>
              <w:rPr>
                <w:noProof/>
                <w:webHidden/>
              </w:rPr>
              <w:fldChar w:fldCharType="separate"/>
            </w:r>
            <w:r>
              <w:rPr>
                <w:noProof/>
                <w:webHidden/>
              </w:rPr>
              <w:t>53</w:t>
            </w:r>
            <w:r>
              <w:rPr>
                <w:noProof/>
                <w:webHidden/>
              </w:rPr>
              <w:fldChar w:fldCharType="end"/>
            </w:r>
          </w:hyperlink>
        </w:p>
        <w:p w14:paraId="32BE5E38" w14:textId="7DF116B1" w:rsidR="00104298" w:rsidRDefault="00104298">
          <w:pPr>
            <w:pStyle w:val="TOC2"/>
            <w:tabs>
              <w:tab w:val="right" w:leader="dot" w:pos="9350"/>
            </w:tabs>
            <w:rPr>
              <w:rFonts w:eastAsiaTheme="minorEastAsia"/>
              <w:noProof/>
            </w:rPr>
          </w:pPr>
          <w:hyperlink w:anchor="_Toc238690188" w:history="1">
            <w:r w:rsidRPr="00D248CC">
              <w:rPr>
                <w:rStyle w:val="Hyperlink"/>
                <w:rFonts w:ascii="Arial" w:hAnsi="Arial" w:cs="Arial"/>
                <w:noProof/>
              </w:rPr>
              <w:t>3.6 Data Analysis Methods</w:t>
            </w:r>
            <w:r>
              <w:rPr>
                <w:noProof/>
                <w:webHidden/>
              </w:rPr>
              <w:tab/>
            </w:r>
            <w:r>
              <w:rPr>
                <w:noProof/>
                <w:webHidden/>
              </w:rPr>
              <w:fldChar w:fldCharType="begin"/>
            </w:r>
            <w:r>
              <w:rPr>
                <w:noProof/>
                <w:webHidden/>
              </w:rPr>
              <w:instrText xml:space="preserve"> PAGEREF _Toc238690188 \h </w:instrText>
            </w:r>
            <w:r>
              <w:rPr>
                <w:noProof/>
                <w:webHidden/>
              </w:rPr>
            </w:r>
            <w:r>
              <w:rPr>
                <w:noProof/>
                <w:webHidden/>
              </w:rPr>
              <w:fldChar w:fldCharType="separate"/>
            </w:r>
            <w:r>
              <w:rPr>
                <w:noProof/>
                <w:webHidden/>
              </w:rPr>
              <w:t>53</w:t>
            </w:r>
            <w:r>
              <w:rPr>
                <w:noProof/>
                <w:webHidden/>
              </w:rPr>
              <w:fldChar w:fldCharType="end"/>
            </w:r>
          </w:hyperlink>
        </w:p>
        <w:p w14:paraId="4C315F3D" w14:textId="1FB17CFF" w:rsidR="00104298" w:rsidRDefault="00104298">
          <w:pPr>
            <w:pStyle w:val="TOC3"/>
            <w:tabs>
              <w:tab w:val="right" w:leader="dot" w:pos="9350"/>
            </w:tabs>
            <w:rPr>
              <w:rFonts w:eastAsiaTheme="minorEastAsia"/>
              <w:noProof/>
            </w:rPr>
          </w:pPr>
          <w:hyperlink w:anchor="_Toc238690189" w:history="1">
            <w:r w:rsidRPr="00D248CC">
              <w:rPr>
                <w:rStyle w:val="Hyperlink"/>
                <w:rFonts w:ascii="Arial" w:hAnsi="Arial" w:cs="Arial"/>
                <w:noProof/>
              </w:rPr>
              <w:t>3.6.1 Analytical Framework</w:t>
            </w:r>
            <w:r>
              <w:rPr>
                <w:noProof/>
                <w:webHidden/>
              </w:rPr>
              <w:tab/>
            </w:r>
            <w:r>
              <w:rPr>
                <w:noProof/>
                <w:webHidden/>
              </w:rPr>
              <w:fldChar w:fldCharType="begin"/>
            </w:r>
            <w:r>
              <w:rPr>
                <w:noProof/>
                <w:webHidden/>
              </w:rPr>
              <w:instrText xml:space="preserve"> PAGEREF _Toc238690189 \h </w:instrText>
            </w:r>
            <w:r>
              <w:rPr>
                <w:noProof/>
                <w:webHidden/>
              </w:rPr>
            </w:r>
            <w:r>
              <w:rPr>
                <w:noProof/>
                <w:webHidden/>
              </w:rPr>
              <w:fldChar w:fldCharType="separate"/>
            </w:r>
            <w:r>
              <w:rPr>
                <w:noProof/>
                <w:webHidden/>
              </w:rPr>
              <w:t>53</w:t>
            </w:r>
            <w:r>
              <w:rPr>
                <w:noProof/>
                <w:webHidden/>
              </w:rPr>
              <w:fldChar w:fldCharType="end"/>
            </w:r>
          </w:hyperlink>
        </w:p>
        <w:p w14:paraId="1D1F7949" w14:textId="7A5DA644" w:rsidR="00104298" w:rsidRDefault="00104298">
          <w:pPr>
            <w:pStyle w:val="TOC3"/>
            <w:tabs>
              <w:tab w:val="right" w:leader="dot" w:pos="9350"/>
            </w:tabs>
            <w:rPr>
              <w:rFonts w:eastAsiaTheme="minorEastAsia"/>
              <w:noProof/>
            </w:rPr>
          </w:pPr>
          <w:hyperlink w:anchor="_Toc238690190" w:history="1">
            <w:r w:rsidRPr="00D248CC">
              <w:rPr>
                <w:rStyle w:val="Hyperlink"/>
                <w:rFonts w:ascii="Arial" w:hAnsi="Arial" w:cs="Arial"/>
                <w:noProof/>
              </w:rPr>
              <w:t>3.6.2 Coding Process</w:t>
            </w:r>
            <w:r>
              <w:rPr>
                <w:noProof/>
                <w:webHidden/>
              </w:rPr>
              <w:tab/>
            </w:r>
            <w:r>
              <w:rPr>
                <w:noProof/>
                <w:webHidden/>
              </w:rPr>
              <w:fldChar w:fldCharType="begin"/>
            </w:r>
            <w:r>
              <w:rPr>
                <w:noProof/>
                <w:webHidden/>
              </w:rPr>
              <w:instrText xml:space="preserve"> PAGEREF _Toc238690190 \h </w:instrText>
            </w:r>
            <w:r>
              <w:rPr>
                <w:noProof/>
                <w:webHidden/>
              </w:rPr>
            </w:r>
            <w:r>
              <w:rPr>
                <w:noProof/>
                <w:webHidden/>
              </w:rPr>
              <w:fldChar w:fldCharType="separate"/>
            </w:r>
            <w:r>
              <w:rPr>
                <w:noProof/>
                <w:webHidden/>
              </w:rPr>
              <w:t>54</w:t>
            </w:r>
            <w:r>
              <w:rPr>
                <w:noProof/>
                <w:webHidden/>
              </w:rPr>
              <w:fldChar w:fldCharType="end"/>
            </w:r>
          </w:hyperlink>
        </w:p>
        <w:p w14:paraId="5B7C9BFE" w14:textId="713F4527" w:rsidR="00104298" w:rsidRDefault="00104298">
          <w:pPr>
            <w:pStyle w:val="TOC3"/>
            <w:tabs>
              <w:tab w:val="right" w:leader="dot" w:pos="9350"/>
            </w:tabs>
            <w:rPr>
              <w:rFonts w:eastAsiaTheme="minorEastAsia"/>
              <w:noProof/>
            </w:rPr>
          </w:pPr>
          <w:hyperlink w:anchor="_Toc238690191" w:history="1">
            <w:r w:rsidRPr="00D248CC">
              <w:rPr>
                <w:rStyle w:val="Hyperlink"/>
                <w:rFonts w:ascii="Arial" w:hAnsi="Arial" w:cs="Arial"/>
                <w:noProof/>
              </w:rPr>
              <w:t>3.6.3 Comparative Analysis</w:t>
            </w:r>
            <w:r>
              <w:rPr>
                <w:noProof/>
                <w:webHidden/>
              </w:rPr>
              <w:tab/>
            </w:r>
            <w:r>
              <w:rPr>
                <w:noProof/>
                <w:webHidden/>
              </w:rPr>
              <w:fldChar w:fldCharType="begin"/>
            </w:r>
            <w:r>
              <w:rPr>
                <w:noProof/>
                <w:webHidden/>
              </w:rPr>
              <w:instrText xml:space="preserve"> PAGEREF _Toc238690191 \h </w:instrText>
            </w:r>
            <w:r>
              <w:rPr>
                <w:noProof/>
                <w:webHidden/>
              </w:rPr>
            </w:r>
            <w:r>
              <w:rPr>
                <w:noProof/>
                <w:webHidden/>
              </w:rPr>
              <w:fldChar w:fldCharType="separate"/>
            </w:r>
            <w:r>
              <w:rPr>
                <w:noProof/>
                <w:webHidden/>
              </w:rPr>
              <w:t>54</w:t>
            </w:r>
            <w:r>
              <w:rPr>
                <w:noProof/>
                <w:webHidden/>
              </w:rPr>
              <w:fldChar w:fldCharType="end"/>
            </w:r>
          </w:hyperlink>
        </w:p>
        <w:p w14:paraId="56793B22" w14:textId="54CA9F7D" w:rsidR="00104298" w:rsidRDefault="00104298">
          <w:pPr>
            <w:pStyle w:val="TOC2"/>
            <w:tabs>
              <w:tab w:val="right" w:leader="dot" w:pos="9350"/>
            </w:tabs>
            <w:rPr>
              <w:rFonts w:eastAsiaTheme="minorEastAsia"/>
              <w:noProof/>
            </w:rPr>
          </w:pPr>
          <w:hyperlink w:anchor="_Toc238690192" w:history="1">
            <w:r w:rsidRPr="00D248CC">
              <w:rPr>
                <w:rStyle w:val="Hyperlink"/>
                <w:rFonts w:ascii="Arial" w:hAnsi="Arial" w:cs="Arial"/>
                <w:noProof/>
              </w:rPr>
              <w:t>3.7 Quality Criteria and Trustworthiness</w:t>
            </w:r>
            <w:r>
              <w:rPr>
                <w:noProof/>
                <w:webHidden/>
              </w:rPr>
              <w:tab/>
            </w:r>
            <w:r>
              <w:rPr>
                <w:noProof/>
                <w:webHidden/>
              </w:rPr>
              <w:fldChar w:fldCharType="begin"/>
            </w:r>
            <w:r>
              <w:rPr>
                <w:noProof/>
                <w:webHidden/>
              </w:rPr>
              <w:instrText xml:space="preserve"> PAGEREF _Toc238690192 \h </w:instrText>
            </w:r>
            <w:r>
              <w:rPr>
                <w:noProof/>
                <w:webHidden/>
              </w:rPr>
            </w:r>
            <w:r>
              <w:rPr>
                <w:noProof/>
                <w:webHidden/>
              </w:rPr>
              <w:fldChar w:fldCharType="separate"/>
            </w:r>
            <w:r>
              <w:rPr>
                <w:noProof/>
                <w:webHidden/>
              </w:rPr>
              <w:t>54</w:t>
            </w:r>
            <w:r>
              <w:rPr>
                <w:noProof/>
                <w:webHidden/>
              </w:rPr>
              <w:fldChar w:fldCharType="end"/>
            </w:r>
          </w:hyperlink>
        </w:p>
        <w:p w14:paraId="03DE7BB8" w14:textId="70A046FF" w:rsidR="00104298" w:rsidRDefault="00104298">
          <w:pPr>
            <w:pStyle w:val="TOC2"/>
            <w:tabs>
              <w:tab w:val="right" w:leader="dot" w:pos="9350"/>
            </w:tabs>
            <w:rPr>
              <w:rFonts w:eastAsiaTheme="minorEastAsia"/>
              <w:noProof/>
            </w:rPr>
          </w:pPr>
          <w:hyperlink w:anchor="_Toc238690193" w:history="1">
            <w:r w:rsidRPr="00D248CC">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_Toc238690193 \h </w:instrText>
            </w:r>
            <w:r>
              <w:rPr>
                <w:noProof/>
                <w:webHidden/>
              </w:rPr>
            </w:r>
            <w:r>
              <w:rPr>
                <w:noProof/>
                <w:webHidden/>
              </w:rPr>
              <w:fldChar w:fldCharType="separate"/>
            </w:r>
            <w:r>
              <w:rPr>
                <w:noProof/>
                <w:webHidden/>
              </w:rPr>
              <w:t>55</w:t>
            </w:r>
            <w:r>
              <w:rPr>
                <w:noProof/>
                <w:webHidden/>
              </w:rPr>
              <w:fldChar w:fldCharType="end"/>
            </w:r>
          </w:hyperlink>
        </w:p>
        <w:p w14:paraId="093CF8B2" w14:textId="128A1B45" w:rsidR="00104298" w:rsidRDefault="00104298">
          <w:pPr>
            <w:pStyle w:val="TOC2"/>
            <w:tabs>
              <w:tab w:val="right" w:leader="dot" w:pos="9350"/>
            </w:tabs>
            <w:rPr>
              <w:rFonts w:eastAsiaTheme="minorEastAsia"/>
              <w:noProof/>
            </w:rPr>
          </w:pPr>
          <w:hyperlink w:anchor="_Toc238690194" w:history="1">
            <w:r w:rsidRPr="00D248CC">
              <w:rPr>
                <w:rStyle w:val="Hyperlink"/>
                <w:rFonts w:ascii="Arial" w:hAnsi="Arial" w:cs="Arial"/>
                <w:noProof/>
              </w:rPr>
              <w:t>3.9 Research Limitations</w:t>
            </w:r>
            <w:r>
              <w:rPr>
                <w:noProof/>
                <w:webHidden/>
              </w:rPr>
              <w:tab/>
            </w:r>
            <w:r>
              <w:rPr>
                <w:noProof/>
                <w:webHidden/>
              </w:rPr>
              <w:fldChar w:fldCharType="begin"/>
            </w:r>
            <w:r>
              <w:rPr>
                <w:noProof/>
                <w:webHidden/>
              </w:rPr>
              <w:instrText xml:space="preserve"> PAGEREF _Toc238690194 \h </w:instrText>
            </w:r>
            <w:r>
              <w:rPr>
                <w:noProof/>
                <w:webHidden/>
              </w:rPr>
            </w:r>
            <w:r>
              <w:rPr>
                <w:noProof/>
                <w:webHidden/>
              </w:rPr>
              <w:fldChar w:fldCharType="separate"/>
            </w:r>
            <w:r>
              <w:rPr>
                <w:noProof/>
                <w:webHidden/>
              </w:rPr>
              <w:t>55</w:t>
            </w:r>
            <w:r>
              <w:rPr>
                <w:noProof/>
                <w:webHidden/>
              </w:rPr>
              <w:fldChar w:fldCharType="end"/>
            </w:r>
          </w:hyperlink>
        </w:p>
        <w:p w14:paraId="031D76A5" w14:textId="077A19C0" w:rsidR="00104298" w:rsidRDefault="00104298">
          <w:pPr>
            <w:pStyle w:val="TOC2"/>
            <w:tabs>
              <w:tab w:val="right" w:leader="dot" w:pos="9350"/>
            </w:tabs>
            <w:rPr>
              <w:rFonts w:eastAsiaTheme="minorEastAsia"/>
              <w:noProof/>
            </w:rPr>
          </w:pPr>
          <w:hyperlink w:anchor="_Toc238690195" w:history="1">
            <w:r w:rsidRPr="00D248CC">
              <w:rPr>
                <w:rStyle w:val="Hyperlink"/>
                <w:rFonts w:ascii="Arial" w:hAnsi="Arial" w:cs="Arial"/>
                <w:noProof/>
              </w:rPr>
              <w:t>3.10 Conclusion</w:t>
            </w:r>
            <w:r>
              <w:rPr>
                <w:noProof/>
                <w:webHidden/>
              </w:rPr>
              <w:tab/>
            </w:r>
            <w:r>
              <w:rPr>
                <w:noProof/>
                <w:webHidden/>
              </w:rPr>
              <w:fldChar w:fldCharType="begin"/>
            </w:r>
            <w:r>
              <w:rPr>
                <w:noProof/>
                <w:webHidden/>
              </w:rPr>
              <w:instrText xml:space="preserve"> PAGEREF _Toc238690195 \h </w:instrText>
            </w:r>
            <w:r>
              <w:rPr>
                <w:noProof/>
                <w:webHidden/>
              </w:rPr>
            </w:r>
            <w:r>
              <w:rPr>
                <w:noProof/>
                <w:webHidden/>
              </w:rPr>
              <w:fldChar w:fldCharType="separate"/>
            </w:r>
            <w:r>
              <w:rPr>
                <w:noProof/>
                <w:webHidden/>
              </w:rPr>
              <w:t>56</w:t>
            </w:r>
            <w:r>
              <w:rPr>
                <w:noProof/>
                <w:webHidden/>
              </w:rPr>
              <w:fldChar w:fldCharType="end"/>
            </w:r>
          </w:hyperlink>
        </w:p>
        <w:p w14:paraId="1C5D5157" w14:textId="4A52858C" w:rsidR="00104298" w:rsidRDefault="00104298">
          <w:pPr>
            <w:pStyle w:val="TOC1"/>
            <w:tabs>
              <w:tab w:val="right" w:leader="dot" w:pos="9350"/>
            </w:tabs>
            <w:rPr>
              <w:rFonts w:eastAsiaTheme="minorEastAsia"/>
              <w:noProof/>
            </w:rPr>
          </w:pPr>
          <w:hyperlink w:anchor="_Toc238690196" w:history="1">
            <w:r w:rsidRPr="00D248CC">
              <w:rPr>
                <w:rStyle w:val="Hyperlink"/>
                <w:rFonts w:ascii="Arial" w:hAnsi="Arial" w:cs="Arial"/>
                <w:noProof/>
              </w:rPr>
              <w:t>Chapter 4: Findings, Analysis and Discussion</w:t>
            </w:r>
            <w:r>
              <w:rPr>
                <w:noProof/>
                <w:webHidden/>
              </w:rPr>
              <w:tab/>
            </w:r>
            <w:r>
              <w:rPr>
                <w:noProof/>
                <w:webHidden/>
              </w:rPr>
              <w:fldChar w:fldCharType="begin"/>
            </w:r>
            <w:r>
              <w:rPr>
                <w:noProof/>
                <w:webHidden/>
              </w:rPr>
              <w:instrText xml:space="preserve"> PAGEREF _Toc238690196 \h </w:instrText>
            </w:r>
            <w:r>
              <w:rPr>
                <w:noProof/>
                <w:webHidden/>
              </w:rPr>
            </w:r>
            <w:r>
              <w:rPr>
                <w:noProof/>
                <w:webHidden/>
              </w:rPr>
              <w:fldChar w:fldCharType="separate"/>
            </w:r>
            <w:r>
              <w:rPr>
                <w:noProof/>
                <w:webHidden/>
              </w:rPr>
              <w:t>58</w:t>
            </w:r>
            <w:r>
              <w:rPr>
                <w:noProof/>
                <w:webHidden/>
              </w:rPr>
              <w:fldChar w:fldCharType="end"/>
            </w:r>
          </w:hyperlink>
        </w:p>
        <w:p w14:paraId="43062F54" w14:textId="7BBD2E87" w:rsidR="00104298" w:rsidRDefault="00104298">
          <w:pPr>
            <w:pStyle w:val="TOC2"/>
            <w:tabs>
              <w:tab w:val="right" w:leader="dot" w:pos="9350"/>
            </w:tabs>
            <w:rPr>
              <w:rFonts w:eastAsiaTheme="minorEastAsia"/>
              <w:noProof/>
            </w:rPr>
          </w:pPr>
          <w:hyperlink w:anchor="_Toc238690197" w:history="1">
            <w:r w:rsidRPr="00D248CC">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_Toc238690197 \h </w:instrText>
            </w:r>
            <w:r>
              <w:rPr>
                <w:noProof/>
                <w:webHidden/>
              </w:rPr>
            </w:r>
            <w:r>
              <w:rPr>
                <w:noProof/>
                <w:webHidden/>
              </w:rPr>
              <w:fldChar w:fldCharType="separate"/>
            </w:r>
            <w:r>
              <w:rPr>
                <w:noProof/>
                <w:webHidden/>
              </w:rPr>
              <w:t>58</w:t>
            </w:r>
            <w:r>
              <w:rPr>
                <w:noProof/>
                <w:webHidden/>
              </w:rPr>
              <w:fldChar w:fldCharType="end"/>
            </w:r>
          </w:hyperlink>
        </w:p>
        <w:p w14:paraId="5F528740" w14:textId="0730A93E" w:rsidR="00104298" w:rsidRDefault="00104298">
          <w:pPr>
            <w:pStyle w:val="TOC2"/>
            <w:tabs>
              <w:tab w:val="right" w:leader="dot" w:pos="9350"/>
            </w:tabs>
            <w:rPr>
              <w:rFonts w:eastAsiaTheme="minorEastAsia"/>
              <w:noProof/>
            </w:rPr>
          </w:pPr>
          <w:hyperlink w:anchor="_Toc238690198" w:history="1">
            <w:r w:rsidRPr="00D248CC">
              <w:rPr>
                <w:rStyle w:val="Hyperlink"/>
                <w:rFonts w:ascii="Arial" w:hAnsi="Arial" w:cs="Arial"/>
                <w:noProof/>
              </w:rPr>
              <w:t>4.2 Summary of Findings</w:t>
            </w:r>
            <w:r>
              <w:rPr>
                <w:noProof/>
                <w:webHidden/>
              </w:rPr>
              <w:tab/>
            </w:r>
            <w:r>
              <w:rPr>
                <w:noProof/>
                <w:webHidden/>
              </w:rPr>
              <w:fldChar w:fldCharType="begin"/>
            </w:r>
            <w:r>
              <w:rPr>
                <w:noProof/>
                <w:webHidden/>
              </w:rPr>
              <w:instrText xml:space="preserve"> PAGEREF _Toc238690198 \h </w:instrText>
            </w:r>
            <w:r>
              <w:rPr>
                <w:noProof/>
                <w:webHidden/>
              </w:rPr>
            </w:r>
            <w:r>
              <w:rPr>
                <w:noProof/>
                <w:webHidden/>
              </w:rPr>
              <w:fldChar w:fldCharType="separate"/>
            </w:r>
            <w:r>
              <w:rPr>
                <w:noProof/>
                <w:webHidden/>
              </w:rPr>
              <w:t>59</w:t>
            </w:r>
            <w:r>
              <w:rPr>
                <w:noProof/>
                <w:webHidden/>
              </w:rPr>
              <w:fldChar w:fldCharType="end"/>
            </w:r>
          </w:hyperlink>
        </w:p>
        <w:p w14:paraId="7C1B8501" w14:textId="613E8B92" w:rsidR="00104298" w:rsidRDefault="00104298">
          <w:pPr>
            <w:pStyle w:val="TOC3"/>
            <w:tabs>
              <w:tab w:val="right" w:leader="dot" w:pos="9350"/>
            </w:tabs>
            <w:rPr>
              <w:rFonts w:eastAsiaTheme="minorEastAsia"/>
              <w:noProof/>
            </w:rPr>
          </w:pPr>
          <w:hyperlink w:anchor="_Toc238690199" w:history="1">
            <w:r w:rsidRPr="00D248CC">
              <w:rPr>
                <w:rStyle w:val="Hyperlink"/>
                <w:rFonts w:ascii="Arial" w:hAnsi="Arial" w:cs="Arial"/>
                <w:noProof/>
              </w:rPr>
              <w:t>4.2.1 CSR Evolution from 2005 to 2025</w:t>
            </w:r>
            <w:r>
              <w:rPr>
                <w:noProof/>
                <w:webHidden/>
              </w:rPr>
              <w:tab/>
            </w:r>
            <w:r>
              <w:rPr>
                <w:noProof/>
                <w:webHidden/>
              </w:rPr>
              <w:fldChar w:fldCharType="begin"/>
            </w:r>
            <w:r>
              <w:rPr>
                <w:noProof/>
                <w:webHidden/>
              </w:rPr>
              <w:instrText xml:space="preserve"> PAGEREF _Toc238690199 \h </w:instrText>
            </w:r>
            <w:r>
              <w:rPr>
                <w:noProof/>
                <w:webHidden/>
              </w:rPr>
            </w:r>
            <w:r>
              <w:rPr>
                <w:noProof/>
                <w:webHidden/>
              </w:rPr>
              <w:fldChar w:fldCharType="separate"/>
            </w:r>
            <w:r>
              <w:rPr>
                <w:noProof/>
                <w:webHidden/>
              </w:rPr>
              <w:t>59</w:t>
            </w:r>
            <w:r>
              <w:rPr>
                <w:noProof/>
                <w:webHidden/>
              </w:rPr>
              <w:fldChar w:fldCharType="end"/>
            </w:r>
          </w:hyperlink>
        </w:p>
        <w:p w14:paraId="46CA60A3" w14:textId="5ED98817" w:rsidR="00104298" w:rsidRDefault="00104298">
          <w:pPr>
            <w:pStyle w:val="TOC3"/>
            <w:tabs>
              <w:tab w:val="right" w:leader="dot" w:pos="9350"/>
            </w:tabs>
            <w:rPr>
              <w:rFonts w:eastAsiaTheme="minorEastAsia"/>
              <w:noProof/>
            </w:rPr>
          </w:pPr>
          <w:hyperlink w:anchor="_Toc238690200" w:history="1">
            <w:r w:rsidRPr="00D248CC">
              <w:rPr>
                <w:rStyle w:val="Hyperlink"/>
                <w:rFonts w:ascii="Arial" w:hAnsi="Arial" w:cs="Arial"/>
                <w:noProof/>
              </w:rPr>
              <w:t>4.2.2 Business Model Differences</w:t>
            </w:r>
            <w:r>
              <w:rPr>
                <w:noProof/>
                <w:webHidden/>
              </w:rPr>
              <w:tab/>
            </w:r>
            <w:r>
              <w:rPr>
                <w:noProof/>
                <w:webHidden/>
              </w:rPr>
              <w:fldChar w:fldCharType="begin"/>
            </w:r>
            <w:r>
              <w:rPr>
                <w:noProof/>
                <w:webHidden/>
              </w:rPr>
              <w:instrText xml:space="preserve"> PAGEREF _Toc238690200 \h </w:instrText>
            </w:r>
            <w:r>
              <w:rPr>
                <w:noProof/>
                <w:webHidden/>
              </w:rPr>
            </w:r>
            <w:r>
              <w:rPr>
                <w:noProof/>
                <w:webHidden/>
              </w:rPr>
              <w:fldChar w:fldCharType="separate"/>
            </w:r>
            <w:r>
              <w:rPr>
                <w:noProof/>
                <w:webHidden/>
              </w:rPr>
              <w:t>60</w:t>
            </w:r>
            <w:r>
              <w:rPr>
                <w:noProof/>
                <w:webHidden/>
              </w:rPr>
              <w:fldChar w:fldCharType="end"/>
            </w:r>
          </w:hyperlink>
        </w:p>
        <w:p w14:paraId="5CEA2EFF" w14:textId="6A7DBA28" w:rsidR="00104298" w:rsidRDefault="00104298">
          <w:pPr>
            <w:pStyle w:val="TOC2"/>
            <w:tabs>
              <w:tab w:val="right" w:leader="dot" w:pos="9350"/>
            </w:tabs>
            <w:rPr>
              <w:rFonts w:eastAsiaTheme="minorEastAsia"/>
              <w:noProof/>
            </w:rPr>
          </w:pPr>
          <w:hyperlink w:anchor="_Toc238690201" w:history="1">
            <w:r w:rsidRPr="00D248CC">
              <w:rPr>
                <w:rStyle w:val="Hyperlink"/>
                <w:rFonts w:ascii="Arial" w:hAnsi="Arial" w:cs="Arial"/>
                <w:noProof/>
              </w:rPr>
              <w:t>4.3 Analysis by Research Question</w:t>
            </w:r>
            <w:r>
              <w:rPr>
                <w:noProof/>
                <w:webHidden/>
              </w:rPr>
              <w:tab/>
            </w:r>
            <w:r>
              <w:rPr>
                <w:noProof/>
                <w:webHidden/>
              </w:rPr>
              <w:fldChar w:fldCharType="begin"/>
            </w:r>
            <w:r>
              <w:rPr>
                <w:noProof/>
                <w:webHidden/>
              </w:rPr>
              <w:instrText xml:space="preserve"> PAGEREF _Toc238690201 \h </w:instrText>
            </w:r>
            <w:r>
              <w:rPr>
                <w:noProof/>
                <w:webHidden/>
              </w:rPr>
            </w:r>
            <w:r>
              <w:rPr>
                <w:noProof/>
                <w:webHidden/>
              </w:rPr>
              <w:fldChar w:fldCharType="separate"/>
            </w:r>
            <w:r>
              <w:rPr>
                <w:noProof/>
                <w:webHidden/>
              </w:rPr>
              <w:t>61</w:t>
            </w:r>
            <w:r>
              <w:rPr>
                <w:noProof/>
                <w:webHidden/>
              </w:rPr>
              <w:fldChar w:fldCharType="end"/>
            </w:r>
          </w:hyperlink>
        </w:p>
        <w:p w14:paraId="1F19C80D" w14:textId="727F8B02" w:rsidR="00104298" w:rsidRDefault="00104298">
          <w:pPr>
            <w:pStyle w:val="TOC3"/>
            <w:tabs>
              <w:tab w:val="right" w:leader="dot" w:pos="9350"/>
            </w:tabs>
            <w:rPr>
              <w:rFonts w:eastAsiaTheme="minorEastAsia"/>
              <w:noProof/>
            </w:rPr>
          </w:pPr>
          <w:hyperlink w:anchor="_Toc238690202" w:history="1">
            <w:r w:rsidRPr="00D248CC">
              <w:rPr>
                <w:rStyle w:val="Hyperlink"/>
                <w:rFonts w:ascii="Arial" w:hAnsi="Arial" w:cs="Arial"/>
                <w:noProof/>
              </w:rPr>
              <w:t>4.3.1 RQ1: How has CSR developed since Jones et al. (2005)?</w:t>
            </w:r>
            <w:r>
              <w:rPr>
                <w:noProof/>
                <w:webHidden/>
              </w:rPr>
              <w:tab/>
            </w:r>
            <w:r>
              <w:rPr>
                <w:noProof/>
                <w:webHidden/>
              </w:rPr>
              <w:fldChar w:fldCharType="begin"/>
            </w:r>
            <w:r>
              <w:rPr>
                <w:noProof/>
                <w:webHidden/>
              </w:rPr>
              <w:instrText xml:space="preserve"> PAGEREF _Toc238690202 \h </w:instrText>
            </w:r>
            <w:r>
              <w:rPr>
                <w:noProof/>
                <w:webHidden/>
              </w:rPr>
            </w:r>
            <w:r>
              <w:rPr>
                <w:noProof/>
                <w:webHidden/>
              </w:rPr>
              <w:fldChar w:fldCharType="separate"/>
            </w:r>
            <w:r>
              <w:rPr>
                <w:noProof/>
                <w:webHidden/>
              </w:rPr>
              <w:t>61</w:t>
            </w:r>
            <w:r>
              <w:rPr>
                <w:noProof/>
                <w:webHidden/>
              </w:rPr>
              <w:fldChar w:fldCharType="end"/>
            </w:r>
          </w:hyperlink>
        </w:p>
        <w:p w14:paraId="3B1C6547" w14:textId="2B4FCF62" w:rsidR="00104298" w:rsidRDefault="00104298">
          <w:pPr>
            <w:pStyle w:val="TOC3"/>
            <w:tabs>
              <w:tab w:val="right" w:leader="dot" w:pos="9350"/>
            </w:tabs>
            <w:rPr>
              <w:rFonts w:eastAsiaTheme="minorEastAsia"/>
              <w:noProof/>
            </w:rPr>
          </w:pPr>
          <w:hyperlink w:anchor="_Toc238690203" w:history="1">
            <w:r w:rsidRPr="00D248CC">
              <w:rPr>
                <w:rStyle w:val="Hyperlink"/>
                <w:rFonts w:ascii="Arial" w:hAnsi="Arial" w:cs="Arial"/>
                <w:noProof/>
              </w:rPr>
              <w:t>4.3.2 Mandatory and Voluntary CSR</w:t>
            </w:r>
            <w:r>
              <w:rPr>
                <w:noProof/>
                <w:webHidden/>
              </w:rPr>
              <w:tab/>
            </w:r>
            <w:r>
              <w:rPr>
                <w:noProof/>
                <w:webHidden/>
              </w:rPr>
              <w:fldChar w:fldCharType="begin"/>
            </w:r>
            <w:r>
              <w:rPr>
                <w:noProof/>
                <w:webHidden/>
              </w:rPr>
              <w:instrText xml:space="preserve"> PAGEREF _Toc238690203 \h </w:instrText>
            </w:r>
            <w:r>
              <w:rPr>
                <w:noProof/>
                <w:webHidden/>
              </w:rPr>
            </w:r>
            <w:r>
              <w:rPr>
                <w:noProof/>
                <w:webHidden/>
              </w:rPr>
              <w:fldChar w:fldCharType="separate"/>
            </w:r>
            <w:r>
              <w:rPr>
                <w:noProof/>
                <w:webHidden/>
              </w:rPr>
              <w:t>62</w:t>
            </w:r>
            <w:r>
              <w:rPr>
                <w:noProof/>
                <w:webHidden/>
              </w:rPr>
              <w:fldChar w:fldCharType="end"/>
            </w:r>
          </w:hyperlink>
        </w:p>
        <w:p w14:paraId="4B66245E" w14:textId="6886B181" w:rsidR="00104298" w:rsidRDefault="00104298">
          <w:pPr>
            <w:pStyle w:val="TOC3"/>
            <w:tabs>
              <w:tab w:val="right" w:leader="dot" w:pos="9350"/>
            </w:tabs>
            <w:rPr>
              <w:rFonts w:eastAsiaTheme="minorEastAsia"/>
              <w:noProof/>
            </w:rPr>
          </w:pPr>
          <w:hyperlink w:anchor="_Toc238690204" w:history="1">
            <w:r w:rsidRPr="00D248CC">
              <w:rPr>
                <w:rStyle w:val="Hyperlink"/>
                <w:rFonts w:ascii="Arial" w:hAnsi="Arial" w:cs="Arial"/>
                <w:noProof/>
              </w:rPr>
              <w:t>4.3.3 RQ2: What Evidence Exists of Substantive Rather Than Symbolic CSR?</w:t>
            </w:r>
            <w:r>
              <w:rPr>
                <w:noProof/>
                <w:webHidden/>
              </w:rPr>
              <w:tab/>
            </w:r>
            <w:r>
              <w:rPr>
                <w:noProof/>
                <w:webHidden/>
              </w:rPr>
              <w:fldChar w:fldCharType="begin"/>
            </w:r>
            <w:r>
              <w:rPr>
                <w:noProof/>
                <w:webHidden/>
              </w:rPr>
              <w:instrText xml:space="preserve"> PAGEREF _Toc238690204 \h </w:instrText>
            </w:r>
            <w:r>
              <w:rPr>
                <w:noProof/>
                <w:webHidden/>
              </w:rPr>
            </w:r>
            <w:r>
              <w:rPr>
                <w:noProof/>
                <w:webHidden/>
              </w:rPr>
              <w:fldChar w:fldCharType="separate"/>
            </w:r>
            <w:r>
              <w:rPr>
                <w:noProof/>
                <w:webHidden/>
              </w:rPr>
              <w:t>64</w:t>
            </w:r>
            <w:r>
              <w:rPr>
                <w:noProof/>
                <w:webHidden/>
              </w:rPr>
              <w:fldChar w:fldCharType="end"/>
            </w:r>
          </w:hyperlink>
        </w:p>
        <w:p w14:paraId="288E003E" w14:textId="53A39A4E" w:rsidR="00104298" w:rsidRDefault="00104298">
          <w:pPr>
            <w:pStyle w:val="TOC3"/>
            <w:tabs>
              <w:tab w:val="right" w:leader="dot" w:pos="9350"/>
            </w:tabs>
            <w:rPr>
              <w:rFonts w:eastAsiaTheme="minorEastAsia"/>
              <w:noProof/>
            </w:rPr>
          </w:pPr>
          <w:hyperlink w:anchor="_Toc238690205" w:history="1">
            <w:r w:rsidRPr="00D248CC">
              <w:rPr>
                <w:rStyle w:val="Hyperlink"/>
                <w:rFonts w:ascii="Arial" w:hAnsi="Arial" w:cs="Arial"/>
                <w:noProof/>
              </w:rPr>
              <w:t>4.3.4 RQ3: How Do Business Models Differ?</w:t>
            </w:r>
            <w:r>
              <w:rPr>
                <w:noProof/>
                <w:webHidden/>
              </w:rPr>
              <w:tab/>
            </w:r>
            <w:r>
              <w:rPr>
                <w:noProof/>
                <w:webHidden/>
              </w:rPr>
              <w:fldChar w:fldCharType="begin"/>
            </w:r>
            <w:r>
              <w:rPr>
                <w:noProof/>
                <w:webHidden/>
              </w:rPr>
              <w:instrText xml:space="preserve"> PAGEREF _Toc238690205 \h </w:instrText>
            </w:r>
            <w:r>
              <w:rPr>
                <w:noProof/>
                <w:webHidden/>
              </w:rPr>
            </w:r>
            <w:r>
              <w:rPr>
                <w:noProof/>
                <w:webHidden/>
              </w:rPr>
              <w:fldChar w:fldCharType="separate"/>
            </w:r>
            <w:r>
              <w:rPr>
                <w:noProof/>
                <w:webHidden/>
              </w:rPr>
              <w:t>65</w:t>
            </w:r>
            <w:r>
              <w:rPr>
                <w:noProof/>
                <w:webHidden/>
              </w:rPr>
              <w:fldChar w:fldCharType="end"/>
            </w:r>
          </w:hyperlink>
        </w:p>
        <w:p w14:paraId="6AAC190C" w14:textId="71CABA14" w:rsidR="00104298" w:rsidRDefault="00104298">
          <w:pPr>
            <w:pStyle w:val="TOC3"/>
            <w:tabs>
              <w:tab w:val="right" w:leader="dot" w:pos="9350"/>
            </w:tabs>
            <w:rPr>
              <w:rFonts w:eastAsiaTheme="minorEastAsia"/>
              <w:noProof/>
            </w:rPr>
          </w:pPr>
          <w:hyperlink w:anchor="_Toc238690206" w:history="1">
            <w:r w:rsidRPr="00D248CC">
              <w:rPr>
                <w:rStyle w:val="Hyperlink"/>
                <w:rFonts w:ascii="Arial" w:hAnsi="Arial" w:cs="Arial"/>
                <w:noProof/>
              </w:rPr>
              <w:t>4.3.5 RQ4: How Are Emerging Priorities Shaping CSR Agendas?</w:t>
            </w:r>
            <w:r>
              <w:rPr>
                <w:noProof/>
                <w:webHidden/>
              </w:rPr>
              <w:tab/>
            </w:r>
            <w:r>
              <w:rPr>
                <w:noProof/>
                <w:webHidden/>
              </w:rPr>
              <w:fldChar w:fldCharType="begin"/>
            </w:r>
            <w:r>
              <w:rPr>
                <w:noProof/>
                <w:webHidden/>
              </w:rPr>
              <w:instrText xml:space="preserve"> PAGEREF _Toc238690206 \h </w:instrText>
            </w:r>
            <w:r>
              <w:rPr>
                <w:noProof/>
                <w:webHidden/>
              </w:rPr>
            </w:r>
            <w:r>
              <w:rPr>
                <w:noProof/>
                <w:webHidden/>
              </w:rPr>
              <w:fldChar w:fldCharType="separate"/>
            </w:r>
            <w:r>
              <w:rPr>
                <w:noProof/>
                <w:webHidden/>
              </w:rPr>
              <w:t>67</w:t>
            </w:r>
            <w:r>
              <w:rPr>
                <w:noProof/>
                <w:webHidden/>
              </w:rPr>
              <w:fldChar w:fldCharType="end"/>
            </w:r>
          </w:hyperlink>
        </w:p>
        <w:p w14:paraId="6749C8FC" w14:textId="15B18386" w:rsidR="00104298" w:rsidRDefault="00104298">
          <w:pPr>
            <w:pStyle w:val="TOC2"/>
            <w:tabs>
              <w:tab w:val="right" w:leader="dot" w:pos="9350"/>
            </w:tabs>
            <w:rPr>
              <w:rFonts w:eastAsiaTheme="minorEastAsia"/>
              <w:noProof/>
            </w:rPr>
          </w:pPr>
          <w:hyperlink w:anchor="_Toc238690207" w:history="1">
            <w:r w:rsidRPr="00D248CC">
              <w:rPr>
                <w:rStyle w:val="Hyperlink"/>
                <w:rFonts w:ascii="Arial" w:hAnsi="Arial" w:cs="Arial"/>
                <w:noProof/>
              </w:rPr>
              <w:t>4.4 Discussion of Results</w:t>
            </w:r>
            <w:r>
              <w:rPr>
                <w:noProof/>
                <w:webHidden/>
              </w:rPr>
              <w:tab/>
            </w:r>
            <w:r>
              <w:rPr>
                <w:noProof/>
                <w:webHidden/>
              </w:rPr>
              <w:fldChar w:fldCharType="begin"/>
            </w:r>
            <w:r>
              <w:rPr>
                <w:noProof/>
                <w:webHidden/>
              </w:rPr>
              <w:instrText xml:space="preserve"> PAGEREF _Toc238690207 \h </w:instrText>
            </w:r>
            <w:r>
              <w:rPr>
                <w:noProof/>
                <w:webHidden/>
              </w:rPr>
            </w:r>
            <w:r>
              <w:rPr>
                <w:noProof/>
                <w:webHidden/>
              </w:rPr>
              <w:fldChar w:fldCharType="separate"/>
            </w:r>
            <w:r>
              <w:rPr>
                <w:noProof/>
                <w:webHidden/>
              </w:rPr>
              <w:t>67</w:t>
            </w:r>
            <w:r>
              <w:rPr>
                <w:noProof/>
                <w:webHidden/>
              </w:rPr>
              <w:fldChar w:fldCharType="end"/>
            </w:r>
          </w:hyperlink>
        </w:p>
        <w:p w14:paraId="14B04D68" w14:textId="283AE243" w:rsidR="00104298" w:rsidRDefault="00104298">
          <w:pPr>
            <w:pStyle w:val="TOC3"/>
            <w:tabs>
              <w:tab w:val="right" w:leader="dot" w:pos="9350"/>
            </w:tabs>
            <w:rPr>
              <w:rFonts w:eastAsiaTheme="minorEastAsia"/>
              <w:noProof/>
            </w:rPr>
          </w:pPr>
          <w:hyperlink w:anchor="_Toc238690208" w:history="1">
            <w:r w:rsidRPr="00D248CC">
              <w:rPr>
                <w:rStyle w:val="Hyperlink"/>
                <w:rFonts w:ascii="Arial" w:hAnsi="Arial" w:cs="Arial"/>
                <w:noProof/>
              </w:rPr>
              <w:t>4.4.1 Institutional Pressures</w:t>
            </w:r>
            <w:r>
              <w:rPr>
                <w:noProof/>
                <w:webHidden/>
              </w:rPr>
              <w:tab/>
            </w:r>
            <w:r>
              <w:rPr>
                <w:noProof/>
                <w:webHidden/>
              </w:rPr>
              <w:fldChar w:fldCharType="begin"/>
            </w:r>
            <w:r>
              <w:rPr>
                <w:noProof/>
                <w:webHidden/>
              </w:rPr>
              <w:instrText xml:space="preserve"> PAGEREF _Toc238690208 \h </w:instrText>
            </w:r>
            <w:r>
              <w:rPr>
                <w:noProof/>
                <w:webHidden/>
              </w:rPr>
            </w:r>
            <w:r>
              <w:rPr>
                <w:noProof/>
                <w:webHidden/>
              </w:rPr>
              <w:fldChar w:fldCharType="separate"/>
            </w:r>
            <w:r>
              <w:rPr>
                <w:noProof/>
                <w:webHidden/>
              </w:rPr>
              <w:t>67</w:t>
            </w:r>
            <w:r>
              <w:rPr>
                <w:noProof/>
                <w:webHidden/>
              </w:rPr>
              <w:fldChar w:fldCharType="end"/>
            </w:r>
          </w:hyperlink>
        </w:p>
        <w:p w14:paraId="4A964ACC" w14:textId="04D661F3" w:rsidR="00104298" w:rsidRDefault="00104298">
          <w:pPr>
            <w:pStyle w:val="TOC3"/>
            <w:tabs>
              <w:tab w:val="right" w:leader="dot" w:pos="9350"/>
            </w:tabs>
            <w:rPr>
              <w:rFonts w:eastAsiaTheme="minorEastAsia"/>
              <w:noProof/>
            </w:rPr>
          </w:pPr>
          <w:hyperlink w:anchor="_Toc238690209" w:history="1">
            <w:r w:rsidRPr="00D248CC">
              <w:rPr>
                <w:rStyle w:val="Hyperlink"/>
                <w:rFonts w:ascii="Arial" w:hAnsi="Arial" w:cs="Arial"/>
                <w:noProof/>
              </w:rPr>
              <w:t>4.4.2 Stakeholder Salience</w:t>
            </w:r>
            <w:r>
              <w:rPr>
                <w:noProof/>
                <w:webHidden/>
              </w:rPr>
              <w:tab/>
            </w:r>
            <w:r>
              <w:rPr>
                <w:noProof/>
                <w:webHidden/>
              </w:rPr>
              <w:fldChar w:fldCharType="begin"/>
            </w:r>
            <w:r>
              <w:rPr>
                <w:noProof/>
                <w:webHidden/>
              </w:rPr>
              <w:instrText xml:space="preserve"> PAGEREF _Toc238690209 \h </w:instrText>
            </w:r>
            <w:r>
              <w:rPr>
                <w:noProof/>
                <w:webHidden/>
              </w:rPr>
            </w:r>
            <w:r>
              <w:rPr>
                <w:noProof/>
                <w:webHidden/>
              </w:rPr>
              <w:fldChar w:fldCharType="separate"/>
            </w:r>
            <w:r>
              <w:rPr>
                <w:noProof/>
                <w:webHidden/>
              </w:rPr>
              <w:t>68</w:t>
            </w:r>
            <w:r>
              <w:rPr>
                <w:noProof/>
                <w:webHidden/>
              </w:rPr>
              <w:fldChar w:fldCharType="end"/>
            </w:r>
          </w:hyperlink>
        </w:p>
        <w:p w14:paraId="02C060E9" w14:textId="34FF89A7" w:rsidR="00104298" w:rsidRDefault="00104298">
          <w:pPr>
            <w:pStyle w:val="TOC3"/>
            <w:tabs>
              <w:tab w:val="right" w:leader="dot" w:pos="9350"/>
            </w:tabs>
            <w:rPr>
              <w:rFonts w:eastAsiaTheme="minorEastAsia"/>
              <w:noProof/>
            </w:rPr>
          </w:pPr>
          <w:hyperlink w:anchor="_Toc238690210" w:history="1">
            <w:r w:rsidRPr="00D248CC">
              <w:rPr>
                <w:rStyle w:val="Hyperlink"/>
                <w:rFonts w:ascii="Arial" w:hAnsi="Arial" w:cs="Arial"/>
                <w:noProof/>
              </w:rPr>
              <w:t>4.4.3 Greenwashing and Health-Washing</w:t>
            </w:r>
            <w:r>
              <w:rPr>
                <w:noProof/>
                <w:webHidden/>
              </w:rPr>
              <w:tab/>
            </w:r>
            <w:r>
              <w:rPr>
                <w:noProof/>
                <w:webHidden/>
              </w:rPr>
              <w:fldChar w:fldCharType="begin"/>
            </w:r>
            <w:r>
              <w:rPr>
                <w:noProof/>
                <w:webHidden/>
              </w:rPr>
              <w:instrText xml:space="preserve"> PAGEREF _Toc238690210 \h </w:instrText>
            </w:r>
            <w:r>
              <w:rPr>
                <w:noProof/>
                <w:webHidden/>
              </w:rPr>
            </w:r>
            <w:r>
              <w:rPr>
                <w:noProof/>
                <w:webHidden/>
              </w:rPr>
              <w:fldChar w:fldCharType="separate"/>
            </w:r>
            <w:r>
              <w:rPr>
                <w:noProof/>
                <w:webHidden/>
              </w:rPr>
              <w:t>68</w:t>
            </w:r>
            <w:r>
              <w:rPr>
                <w:noProof/>
                <w:webHidden/>
              </w:rPr>
              <w:fldChar w:fldCharType="end"/>
            </w:r>
          </w:hyperlink>
        </w:p>
        <w:p w14:paraId="2952743B" w14:textId="0FE220D2" w:rsidR="00104298" w:rsidRDefault="00104298">
          <w:pPr>
            <w:pStyle w:val="TOC3"/>
            <w:tabs>
              <w:tab w:val="right" w:leader="dot" w:pos="9350"/>
            </w:tabs>
            <w:rPr>
              <w:rFonts w:eastAsiaTheme="minorEastAsia"/>
              <w:noProof/>
            </w:rPr>
          </w:pPr>
          <w:hyperlink w:anchor="_Toc238690211" w:history="1">
            <w:r w:rsidRPr="00D248CC">
              <w:rPr>
                <w:rStyle w:val="Hyperlink"/>
                <w:rFonts w:ascii="Arial" w:hAnsi="Arial" w:cs="Arial"/>
                <w:noProof/>
              </w:rPr>
              <w:t>4.4.4 Business Model as Constraint and Enabler</w:t>
            </w:r>
            <w:r>
              <w:rPr>
                <w:noProof/>
                <w:webHidden/>
              </w:rPr>
              <w:tab/>
            </w:r>
            <w:r>
              <w:rPr>
                <w:noProof/>
                <w:webHidden/>
              </w:rPr>
              <w:fldChar w:fldCharType="begin"/>
            </w:r>
            <w:r>
              <w:rPr>
                <w:noProof/>
                <w:webHidden/>
              </w:rPr>
              <w:instrText xml:space="preserve"> PAGEREF _Toc238690211 \h </w:instrText>
            </w:r>
            <w:r>
              <w:rPr>
                <w:noProof/>
                <w:webHidden/>
              </w:rPr>
            </w:r>
            <w:r>
              <w:rPr>
                <w:noProof/>
                <w:webHidden/>
              </w:rPr>
              <w:fldChar w:fldCharType="separate"/>
            </w:r>
            <w:r>
              <w:rPr>
                <w:noProof/>
                <w:webHidden/>
              </w:rPr>
              <w:t>69</w:t>
            </w:r>
            <w:r>
              <w:rPr>
                <w:noProof/>
                <w:webHidden/>
              </w:rPr>
              <w:fldChar w:fldCharType="end"/>
            </w:r>
          </w:hyperlink>
        </w:p>
        <w:p w14:paraId="5B41CE01" w14:textId="52B77064" w:rsidR="00104298" w:rsidRDefault="00104298">
          <w:pPr>
            <w:pStyle w:val="TOC3"/>
            <w:tabs>
              <w:tab w:val="right" w:leader="dot" w:pos="9350"/>
            </w:tabs>
            <w:rPr>
              <w:rFonts w:eastAsiaTheme="minorEastAsia"/>
              <w:noProof/>
            </w:rPr>
          </w:pPr>
          <w:hyperlink w:anchor="_Toc238690212" w:history="1">
            <w:r w:rsidRPr="00D248CC">
              <w:rPr>
                <w:rStyle w:val="Hyperlink"/>
                <w:rFonts w:ascii="Arial" w:hAnsi="Arial" w:cs="Arial"/>
                <w:noProof/>
              </w:rPr>
              <w:t>4.4.5 COVID-19 as a Critical Juncture</w:t>
            </w:r>
            <w:r>
              <w:rPr>
                <w:noProof/>
                <w:webHidden/>
              </w:rPr>
              <w:tab/>
            </w:r>
            <w:r>
              <w:rPr>
                <w:noProof/>
                <w:webHidden/>
              </w:rPr>
              <w:fldChar w:fldCharType="begin"/>
            </w:r>
            <w:r>
              <w:rPr>
                <w:noProof/>
                <w:webHidden/>
              </w:rPr>
              <w:instrText xml:space="preserve"> PAGEREF _Toc238690212 \h </w:instrText>
            </w:r>
            <w:r>
              <w:rPr>
                <w:noProof/>
                <w:webHidden/>
              </w:rPr>
            </w:r>
            <w:r>
              <w:rPr>
                <w:noProof/>
                <w:webHidden/>
              </w:rPr>
              <w:fldChar w:fldCharType="separate"/>
            </w:r>
            <w:r>
              <w:rPr>
                <w:noProof/>
                <w:webHidden/>
              </w:rPr>
              <w:t>70</w:t>
            </w:r>
            <w:r>
              <w:rPr>
                <w:noProof/>
                <w:webHidden/>
              </w:rPr>
              <w:fldChar w:fldCharType="end"/>
            </w:r>
          </w:hyperlink>
        </w:p>
        <w:p w14:paraId="0688F3A7" w14:textId="0817D55D" w:rsidR="00104298" w:rsidRDefault="00104298">
          <w:pPr>
            <w:pStyle w:val="TOC3"/>
            <w:tabs>
              <w:tab w:val="right" w:leader="dot" w:pos="9350"/>
            </w:tabs>
            <w:rPr>
              <w:rFonts w:eastAsiaTheme="minorEastAsia"/>
              <w:noProof/>
            </w:rPr>
          </w:pPr>
          <w:hyperlink w:anchor="_Toc238690213" w:history="1">
            <w:r w:rsidRPr="00D248CC">
              <w:rPr>
                <w:rStyle w:val="Hyperlink"/>
                <w:rFonts w:ascii="Arial" w:hAnsi="Arial" w:cs="Arial"/>
                <w:noProof/>
              </w:rPr>
              <w:t>4.4.6 Theoretical and Practical Implications</w:t>
            </w:r>
            <w:r>
              <w:rPr>
                <w:noProof/>
                <w:webHidden/>
              </w:rPr>
              <w:tab/>
            </w:r>
            <w:r>
              <w:rPr>
                <w:noProof/>
                <w:webHidden/>
              </w:rPr>
              <w:fldChar w:fldCharType="begin"/>
            </w:r>
            <w:r>
              <w:rPr>
                <w:noProof/>
                <w:webHidden/>
              </w:rPr>
              <w:instrText xml:space="preserve"> PAGEREF _Toc238690213 \h </w:instrText>
            </w:r>
            <w:r>
              <w:rPr>
                <w:noProof/>
                <w:webHidden/>
              </w:rPr>
            </w:r>
            <w:r>
              <w:rPr>
                <w:noProof/>
                <w:webHidden/>
              </w:rPr>
              <w:fldChar w:fldCharType="separate"/>
            </w:r>
            <w:r>
              <w:rPr>
                <w:noProof/>
                <w:webHidden/>
              </w:rPr>
              <w:t>70</w:t>
            </w:r>
            <w:r>
              <w:rPr>
                <w:noProof/>
                <w:webHidden/>
              </w:rPr>
              <w:fldChar w:fldCharType="end"/>
            </w:r>
          </w:hyperlink>
        </w:p>
        <w:p w14:paraId="4EF807BD" w14:textId="44B11E3D" w:rsidR="00104298" w:rsidRDefault="00104298">
          <w:pPr>
            <w:pStyle w:val="TOC3"/>
            <w:tabs>
              <w:tab w:val="right" w:leader="dot" w:pos="9350"/>
            </w:tabs>
            <w:rPr>
              <w:rFonts w:eastAsiaTheme="minorEastAsia"/>
              <w:noProof/>
            </w:rPr>
          </w:pPr>
          <w:hyperlink w:anchor="_Toc238690214" w:history="1">
            <w:r w:rsidRPr="00D248CC">
              <w:rPr>
                <w:rStyle w:val="Hyperlink"/>
                <w:rFonts w:ascii="Arial" w:hAnsi="Arial" w:cs="Arial"/>
                <w:noProof/>
              </w:rPr>
              <w:t>4.4.7 Overall Interpretation of the Evidence</w:t>
            </w:r>
            <w:r>
              <w:rPr>
                <w:noProof/>
                <w:webHidden/>
              </w:rPr>
              <w:tab/>
            </w:r>
            <w:r>
              <w:rPr>
                <w:noProof/>
                <w:webHidden/>
              </w:rPr>
              <w:fldChar w:fldCharType="begin"/>
            </w:r>
            <w:r>
              <w:rPr>
                <w:noProof/>
                <w:webHidden/>
              </w:rPr>
              <w:instrText xml:space="preserve"> PAGEREF _Toc238690214 \h </w:instrText>
            </w:r>
            <w:r>
              <w:rPr>
                <w:noProof/>
                <w:webHidden/>
              </w:rPr>
            </w:r>
            <w:r>
              <w:rPr>
                <w:noProof/>
                <w:webHidden/>
              </w:rPr>
              <w:fldChar w:fldCharType="separate"/>
            </w:r>
            <w:r>
              <w:rPr>
                <w:noProof/>
                <w:webHidden/>
              </w:rPr>
              <w:t>71</w:t>
            </w:r>
            <w:r>
              <w:rPr>
                <w:noProof/>
                <w:webHidden/>
              </w:rPr>
              <w:fldChar w:fldCharType="end"/>
            </w:r>
          </w:hyperlink>
        </w:p>
        <w:p w14:paraId="1C4DAEBC" w14:textId="48D5329B" w:rsidR="00104298" w:rsidRDefault="00104298">
          <w:pPr>
            <w:pStyle w:val="TOC2"/>
            <w:tabs>
              <w:tab w:val="right" w:leader="dot" w:pos="9350"/>
            </w:tabs>
            <w:rPr>
              <w:rFonts w:eastAsiaTheme="minorEastAsia"/>
              <w:noProof/>
            </w:rPr>
          </w:pPr>
          <w:hyperlink w:anchor="_Toc238690215" w:history="1">
            <w:r w:rsidRPr="00D248CC">
              <w:rPr>
                <w:rStyle w:val="Hyperlink"/>
                <w:rFonts w:ascii="Arial" w:hAnsi="Arial" w:cs="Arial"/>
                <w:noProof/>
              </w:rPr>
              <w:t>4.5 Chapter Summary</w:t>
            </w:r>
            <w:r>
              <w:rPr>
                <w:noProof/>
                <w:webHidden/>
              </w:rPr>
              <w:tab/>
            </w:r>
            <w:r>
              <w:rPr>
                <w:noProof/>
                <w:webHidden/>
              </w:rPr>
              <w:fldChar w:fldCharType="begin"/>
            </w:r>
            <w:r>
              <w:rPr>
                <w:noProof/>
                <w:webHidden/>
              </w:rPr>
              <w:instrText xml:space="preserve"> PAGEREF _Toc238690215 \h </w:instrText>
            </w:r>
            <w:r>
              <w:rPr>
                <w:noProof/>
                <w:webHidden/>
              </w:rPr>
            </w:r>
            <w:r>
              <w:rPr>
                <w:noProof/>
                <w:webHidden/>
              </w:rPr>
              <w:fldChar w:fldCharType="separate"/>
            </w:r>
            <w:r>
              <w:rPr>
                <w:noProof/>
                <w:webHidden/>
              </w:rPr>
              <w:t>72</w:t>
            </w:r>
            <w:r>
              <w:rPr>
                <w:noProof/>
                <w:webHidden/>
              </w:rPr>
              <w:fldChar w:fldCharType="end"/>
            </w:r>
          </w:hyperlink>
        </w:p>
        <w:p w14:paraId="6B352A4D" w14:textId="33E75B53" w:rsidR="00104298" w:rsidRDefault="00104298">
          <w:pPr>
            <w:pStyle w:val="TOC1"/>
            <w:tabs>
              <w:tab w:val="right" w:leader="dot" w:pos="9350"/>
            </w:tabs>
            <w:rPr>
              <w:rFonts w:eastAsiaTheme="minorEastAsia"/>
              <w:noProof/>
            </w:rPr>
          </w:pPr>
          <w:hyperlink w:anchor="_Toc238690216" w:history="1">
            <w:r w:rsidRPr="00D248CC">
              <w:rPr>
                <w:rStyle w:val="Hyperlink"/>
                <w:rFonts w:ascii="Arial" w:hAnsi="Arial" w:cs="Arial"/>
                <w:noProof/>
              </w:rPr>
              <w:t>Chapter 5: Conclusions and Recommendations</w:t>
            </w:r>
            <w:r>
              <w:rPr>
                <w:noProof/>
                <w:webHidden/>
              </w:rPr>
              <w:tab/>
            </w:r>
            <w:r>
              <w:rPr>
                <w:noProof/>
                <w:webHidden/>
              </w:rPr>
              <w:fldChar w:fldCharType="begin"/>
            </w:r>
            <w:r>
              <w:rPr>
                <w:noProof/>
                <w:webHidden/>
              </w:rPr>
              <w:instrText xml:space="preserve"> PAGEREF _Toc238690216 \h </w:instrText>
            </w:r>
            <w:r>
              <w:rPr>
                <w:noProof/>
                <w:webHidden/>
              </w:rPr>
            </w:r>
            <w:r>
              <w:rPr>
                <w:noProof/>
                <w:webHidden/>
              </w:rPr>
              <w:fldChar w:fldCharType="separate"/>
            </w:r>
            <w:r>
              <w:rPr>
                <w:noProof/>
                <w:webHidden/>
              </w:rPr>
              <w:t>75</w:t>
            </w:r>
            <w:r>
              <w:rPr>
                <w:noProof/>
                <w:webHidden/>
              </w:rPr>
              <w:fldChar w:fldCharType="end"/>
            </w:r>
          </w:hyperlink>
        </w:p>
        <w:p w14:paraId="71A4BB2A" w14:textId="26F9E65D" w:rsidR="00104298" w:rsidRDefault="00104298">
          <w:pPr>
            <w:pStyle w:val="TOC2"/>
            <w:tabs>
              <w:tab w:val="right" w:leader="dot" w:pos="9350"/>
            </w:tabs>
            <w:rPr>
              <w:rFonts w:eastAsiaTheme="minorEastAsia"/>
              <w:noProof/>
            </w:rPr>
          </w:pPr>
          <w:hyperlink w:anchor="_Toc238690217" w:history="1">
            <w:r w:rsidRPr="00D248CC">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_Toc238690217 \h </w:instrText>
            </w:r>
            <w:r>
              <w:rPr>
                <w:noProof/>
                <w:webHidden/>
              </w:rPr>
            </w:r>
            <w:r>
              <w:rPr>
                <w:noProof/>
                <w:webHidden/>
              </w:rPr>
              <w:fldChar w:fldCharType="separate"/>
            </w:r>
            <w:r>
              <w:rPr>
                <w:noProof/>
                <w:webHidden/>
              </w:rPr>
              <w:t>75</w:t>
            </w:r>
            <w:r>
              <w:rPr>
                <w:noProof/>
                <w:webHidden/>
              </w:rPr>
              <w:fldChar w:fldCharType="end"/>
            </w:r>
          </w:hyperlink>
        </w:p>
        <w:p w14:paraId="57AD2960" w14:textId="1CB45519" w:rsidR="00104298" w:rsidRDefault="00104298">
          <w:pPr>
            <w:pStyle w:val="TOC2"/>
            <w:tabs>
              <w:tab w:val="right" w:leader="dot" w:pos="9350"/>
            </w:tabs>
            <w:rPr>
              <w:rFonts w:eastAsiaTheme="minorEastAsia"/>
              <w:noProof/>
            </w:rPr>
          </w:pPr>
          <w:hyperlink w:anchor="_Toc238690218" w:history="1">
            <w:r w:rsidRPr="00D248CC">
              <w:rPr>
                <w:rStyle w:val="Hyperlink"/>
                <w:rFonts w:ascii="Arial" w:hAnsi="Arial" w:cs="Arial"/>
                <w:noProof/>
              </w:rPr>
              <w:t>5.2 Summary of Main Findings</w:t>
            </w:r>
            <w:r>
              <w:rPr>
                <w:noProof/>
                <w:webHidden/>
              </w:rPr>
              <w:tab/>
            </w:r>
            <w:r>
              <w:rPr>
                <w:noProof/>
                <w:webHidden/>
              </w:rPr>
              <w:fldChar w:fldCharType="begin"/>
            </w:r>
            <w:r>
              <w:rPr>
                <w:noProof/>
                <w:webHidden/>
              </w:rPr>
              <w:instrText xml:space="preserve"> PAGEREF _Toc238690218 \h </w:instrText>
            </w:r>
            <w:r>
              <w:rPr>
                <w:noProof/>
                <w:webHidden/>
              </w:rPr>
            </w:r>
            <w:r>
              <w:rPr>
                <w:noProof/>
                <w:webHidden/>
              </w:rPr>
              <w:fldChar w:fldCharType="separate"/>
            </w:r>
            <w:r>
              <w:rPr>
                <w:noProof/>
                <w:webHidden/>
              </w:rPr>
              <w:t>75</w:t>
            </w:r>
            <w:r>
              <w:rPr>
                <w:noProof/>
                <w:webHidden/>
              </w:rPr>
              <w:fldChar w:fldCharType="end"/>
            </w:r>
          </w:hyperlink>
        </w:p>
        <w:p w14:paraId="2919301A" w14:textId="7AEEC922" w:rsidR="00104298" w:rsidRDefault="00104298">
          <w:pPr>
            <w:pStyle w:val="TOC2"/>
            <w:tabs>
              <w:tab w:val="right" w:leader="dot" w:pos="9350"/>
            </w:tabs>
            <w:rPr>
              <w:rFonts w:eastAsiaTheme="minorEastAsia"/>
              <w:noProof/>
            </w:rPr>
          </w:pPr>
          <w:hyperlink w:anchor="_Toc238690219" w:history="1">
            <w:r w:rsidRPr="00D248CC">
              <w:rPr>
                <w:rStyle w:val="Hyperlink"/>
                <w:rFonts w:ascii="Arial" w:hAnsi="Arial" w:cs="Arial"/>
                <w:noProof/>
              </w:rPr>
              <w:t>5.3 Conclusions Based on Research Questions</w:t>
            </w:r>
            <w:r>
              <w:rPr>
                <w:noProof/>
                <w:webHidden/>
              </w:rPr>
              <w:tab/>
            </w:r>
            <w:r>
              <w:rPr>
                <w:noProof/>
                <w:webHidden/>
              </w:rPr>
              <w:fldChar w:fldCharType="begin"/>
            </w:r>
            <w:r>
              <w:rPr>
                <w:noProof/>
                <w:webHidden/>
              </w:rPr>
              <w:instrText xml:space="preserve"> PAGEREF _Toc238690219 \h </w:instrText>
            </w:r>
            <w:r>
              <w:rPr>
                <w:noProof/>
                <w:webHidden/>
              </w:rPr>
            </w:r>
            <w:r>
              <w:rPr>
                <w:noProof/>
                <w:webHidden/>
              </w:rPr>
              <w:fldChar w:fldCharType="separate"/>
            </w:r>
            <w:r>
              <w:rPr>
                <w:noProof/>
                <w:webHidden/>
              </w:rPr>
              <w:t>77</w:t>
            </w:r>
            <w:r>
              <w:rPr>
                <w:noProof/>
                <w:webHidden/>
              </w:rPr>
              <w:fldChar w:fldCharType="end"/>
            </w:r>
          </w:hyperlink>
        </w:p>
        <w:p w14:paraId="46572252" w14:textId="644003B2" w:rsidR="00104298" w:rsidRDefault="00104298">
          <w:pPr>
            <w:pStyle w:val="TOC3"/>
            <w:tabs>
              <w:tab w:val="right" w:leader="dot" w:pos="9350"/>
            </w:tabs>
            <w:rPr>
              <w:rFonts w:eastAsiaTheme="minorEastAsia"/>
              <w:noProof/>
            </w:rPr>
          </w:pPr>
          <w:hyperlink w:anchor="_Toc238690220" w:history="1">
            <w:r w:rsidRPr="00D248CC">
              <w:rPr>
                <w:rStyle w:val="Hyperlink"/>
                <w:noProof/>
              </w:rPr>
              <w:t>5.3.1 RQ1: How Has CSR Developed Since Jones et al. (2005)?</w:t>
            </w:r>
            <w:r>
              <w:rPr>
                <w:noProof/>
                <w:webHidden/>
              </w:rPr>
              <w:tab/>
            </w:r>
            <w:r>
              <w:rPr>
                <w:noProof/>
                <w:webHidden/>
              </w:rPr>
              <w:fldChar w:fldCharType="begin"/>
            </w:r>
            <w:r>
              <w:rPr>
                <w:noProof/>
                <w:webHidden/>
              </w:rPr>
              <w:instrText xml:space="preserve"> PAGEREF _Toc238690220 \h </w:instrText>
            </w:r>
            <w:r>
              <w:rPr>
                <w:noProof/>
                <w:webHidden/>
              </w:rPr>
            </w:r>
            <w:r>
              <w:rPr>
                <w:noProof/>
                <w:webHidden/>
              </w:rPr>
              <w:fldChar w:fldCharType="separate"/>
            </w:r>
            <w:r>
              <w:rPr>
                <w:noProof/>
                <w:webHidden/>
              </w:rPr>
              <w:t>77</w:t>
            </w:r>
            <w:r>
              <w:rPr>
                <w:noProof/>
                <w:webHidden/>
              </w:rPr>
              <w:fldChar w:fldCharType="end"/>
            </w:r>
          </w:hyperlink>
        </w:p>
        <w:p w14:paraId="17CC8B91" w14:textId="10EF54F4" w:rsidR="00104298" w:rsidRDefault="00104298">
          <w:pPr>
            <w:pStyle w:val="TOC3"/>
            <w:tabs>
              <w:tab w:val="right" w:leader="dot" w:pos="9350"/>
            </w:tabs>
            <w:rPr>
              <w:rFonts w:eastAsiaTheme="minorEastAsia"/>
              <w:noProof/>
            </w:rPr>
          </w:pPr>
          <w:hyperlink w:anchor="_Toc238690221" w:history="1">
            <w:r w:rsidRPr="00D248CC">
              <w:rPr>
                <w:rStyle w:val="Hyperlink"/>
                <w:rFonts w:ascii="Arial" w:hAnsi="Arial" w:cs="Arial"/>
                <w:noProof/>
              </w:rPr>
              <w:t>5.3.2 RQ2: What Evidence Exists of Substantive CSR Integration?</w:t>
            </w:r>
            <w:r>
              <w:rPr>
                <w:noProof/>
                <w:webHidden/>
              </w:rPr>
              <w:tab/>
            </w:r>
            <w:r>
              <w:rPr>
                <w:noProof/>
                <w:webHidden/>
              </w:rPr>
              <w:fldChar w:fldCharType="begin"/>
            </w:r>
            <w:r>
              <w:rPr>
                <w:noProof/>
                <w:webHidden/>
              </w:rPr>
              <w:instrText xml:space="preserve"> PAGEREF _Toc238690221 \h </w:instrText>
            </w:r>
            <w:r>
              <w:rPr>
                <w:noProof/>
                <w:webHidden/>
              </w:rPr>
            </w:r>
            <w:r>
              <w:rPr>
                <w:noProof/>
                <w:webHidden/>
              </w:rPr>
              <w:fldChar w:fldCharType="separate"/>
            </w:r>
            <w:r>
              <w:rPr>
                <w:noProof/>
                <w:webHidden/>
              </w:rPr>
              <w:t>78</w:t>
            </w:r>
            <w:r>
              <w:rPr>
                <w:noProof/>
                <w:webHidden/>
              </w:rPr>
              <w:fldChar w:fldCharType="end"/>
            </w:r>
          </w:hyperlink>
        </w:p>
        <w:p w14:paraId="1D13031C" w14:textId="76DC02F8" w:rsidR="00104298" w:rsidRDefault="00104298">
          <w:pPr>
            <w:pStyle w:val="TOC3"/>
            <w:tabs>
              <w:tab w:val="right" w:leader="dot" w:pos="9350"/>
            </w:tabs>
            <w:rPr>
              <w:rFonts w:eastAsiaTheme="minorEastAsia"/>
              <w:noProof/>
            </w:rPr>
          </w:pPr>
          <w:hyperlink w:anchor="_Toc238690222" w:history="1">
            <w:r w:rsidRPr="00D248CC">
              <w:rPr>
                <w:rStyle w:val="Hyperlink"/>
                <w:rFonts w:ascii="Arial" w:hAnsi="Arial" w:cs="Arial"/>
                <w:noProof/>
              </w:rPr>
              <w:t>5.3.3 RQ3: How Do Business Models Differ?</w:t>
            </w:r>
            <w:r>
              <w:rPr>
                <w:noProof/>
                <w:webHidden/>
              </w:rPr>
              <w:tab/>
            </w:r>
            <w:r>
              <w:rPr>
                <w:noProof/>
                <w:webHidden/>
              </w:rPr>
              <w:fldChar w:fldCharType="begin"/>
            </w:r>
            <w:r>
              <w:rPr>
                <w:noProof/>
                <w:webHidden/>
              </w:rPr>
              <w:instrText xml:space="preserve"> PAGEREF _Toc238690222 \h </w:instrText>
            </w:r>
            <w:r>
              <w:rPr>
                <w:noProof/>
                <w:webHidden/>
              </w:rPr>
            </w:r>
            <w:r>
              <w:rPr>
                <w:noProof/>
                <w:webHidden/>
              </w:rPr>
              <w:fldChar w:fldCharType="separate"/>
            </w:r>
            <w:r>
              <w:rPr>
                <w:noProof/>
                <w:webHidden/>
              </w:rPr>
              <w:t>78</w:t>
            </w:r>
            <w:r>
              <w:rPr>
                <w:noProof/>
                <w:webHidden/>
              </w:rPr>
              <w:fldChar w:fldCharType="end"/>
            </w:r>
          </w:hyperlink>
        </w:p>
        <w:p w14:paraId="7D6AFCF2" w14:textId="2D0CE60D" w:rsidR="00104298" w:rsidRDefault="00104298">
          <w:pPr>
            <w:pStyle w:val="TOC3"/>
            <w:tabs>
              <w:tab w:val="right" w:leader="dot" w:pos="9350"/>
            </w:tabs>
            <w:rPr>
              <w:rFonts w:eastAsiaTheme="minorEastAsia"/>
              <w:noProof/>
            </w:rPr>
          </w:pPr>
          <w:hyperlink w:anchor="_Toc238690223" w:history="1">
            <w:r w:rsidRPr="00D248CC">
              <w:rPr>
                <w:rStyle w:val="Hyperlink"/>
                <w:rFonts w:ascii="Arial" w:hAnsi="Arial" w:cs="Arial"/>
                <w:noProof/>
              </w:rPr>
              <w:t>5.3.4 RQ4: How Are Emerging Priorities Shaping Agendas?</w:t>
            </w:r>
            <w:r>
              <w:rPr>
                <w:noProof/>
                <w:webHidden/>
              </w:rPr>
              <w:tab/>
            </w:r>
            <w:r>
              <w:rPr>
                <w:noProof/>
                <w:webHidden/>
              </w:rPr>
              <w:fldChar w:fldCharType="begin"/>
            </w:r>
            <w:r>
              <w:rPr>
                <w:noProof/>
                <w:webHidden/>
              </w:rPr>
              <w:instrText xml:space="preserve"> PAGEREF _Toc238690223 \h </w:instrText>
            </w:r>
            <w:r>
              <w:rPr>
                <w:noProof/>
                <w:webHidden/>
              </w:rPr>
            </w:r>
            <w:r>
              <w:rPr>
                <w:noProof/>
                <w:webHidden/>
              </w:rPr>
              <w:fldChar w:fldCharType="separate"/>
            </w:r>
            <w:r>
              <w:rPr>
                <w:noProof/>
                <w:webHidden/>
              </w:rPr>
              <w:t>79</w:t>
            </w:r>
            <w:r>
              <w:rPr>
                <w:noProof/>
                <w:webHidden/>
              </w:rPr>
              <w:fldChar w:fldCharType="end"/>
            </w:r>
          </w:hyperlink>
        </w:p>
        <w:p w14:paraId="0C76BD76" w14:textId="1CB9C607" w:rsidR="00104298" w:rsidRDefault="00104298">
          <w:pPr>
            <w:pStyle w:val="TOC2"/>
            <w:tabs>
              <w:tab w:val="right" w:leader="dot" w:pos="9350"/>
            </w:tabs>
            <w:rPr>
              <w:rFonts w:eastAsiaTheme="minorEastAsia"/>
              <w:noProof/>
            </w:rPr>
          </w:pPr>
          <w:hyperlink w:anchor="_Toc238690224" w:history="1">
            <w:r w:rsidRPr="00D248CC">
              <w:rPr>
                <w:rStyle w:val="Hyperlink"/>
                <w:rFonts w:ascii="Arial" w:hAnsi="Arial" w:cs="Arial"/>
                <w:noProof/>
              </w:rPr>
              <w:t>5.4 Recommendations</w:t>
            </w:r>
            <w:r>
              <w:rPr>
                <w:noProof/>
                <w:webHidden/>
              </w:rPr>
              <w:tab/>
            </w:r>
            <w:r>
              <w:rPr>
                <w:noProof/>
                <w:webHidden/>
              </w:rPr>
              <w:fldChar w:fldCharType="begin"/>
            </w:r>
            <w:r>
              <w:rPr>
                <w:noProof/>
                <w:webHidden/>
              </w:rPr>
              <w:instrText xml:space="preserve"> PAGEREF _Toc238690224 \h </w:instrText>
            </w:r>
            <w:r>
              <w:rPr>
                <w:noProof/>
                <w:webHidden/>
              </w:rPr>
            </w:r>
            <w:r>
              <w:rPr>
                <w:noProof/>
                <w:webHidden/>
              </w:rPr>
              <w:fldChar w:fldCharType="separate"/>
            </w:r>
            <w:r>
              <w:rPr>
                <w:noProof/>
                <w:webHidden/>
              </w:rPr>
              <w:t>79</w:t>
            </w:r>
            <w:r>
              <w:rPr>
                <w:noProof/>
                <w:webHidden/>
              </w:rPr>
              <w:fldChar w:fldCharType="end"/>
            </w:r>
          </w:hyperlink>
        </w:p>
        <w:p w14:paraId="424F20EC" w14:textId="69E9F83A" w:rsidR="00104298" w:rsidRDefault="00104298">
          <w:pPr>
            <w:pStyle w:val="TOC2"/>
            <w:tabs>
              <w:tab w:val="right" w:leader="dot" w:pos="9350"/>
            </w:tabs>
            <w:rPr>
              <w:rFonts w:eastAsiaTheme="minorEastAsia"/>
              <w:noProof/>
            </w:rPr>
          </w:pPr>
          <w:hyperlink w:anchor="_Toc238690225" w:history="1">
            <w:r w:rsidRPr="00D248CC">
              <w:rPr>
                <w:rStyle w:val="Hyperlink"/>
                <w:rFonts w:ascii="Arial" w:hAnsi="Arial" w:cs="Arial"/>
                <w:noProof/>
              </w:rPr>
              <w:t>5.6 Priorities for Future Research</w:t>
            </w:r>
            <w:r>
              <w:rPr>
                <w:noProof/>
                <w:webHidden/>
              </w:rPr>
              <w:tab/>
            </w:r>
            <w:r>
              <w:rPr>
                <w:noProof/>
                <w:webHidden/>
              </w:rPr>
              <w:fldChar w:fldCharType="begin"/>
            </w:r>
            <w:r>
              <w:rPr>
                <w:noProof/>
                <w:webHidden/>
              </w:rPr>
              <w:instrText xml:space="preserve"> PAGEREF _Toc238690225 \h </w:instrText>
            </w:r>
            <w:r>
              <w:rPr>
                <w:noProof/>
                <w:webHidden/>
              </w:rPr>
            </w:r>
            <w:r>
              <w:rPr>
                <w:noProof/>
                <w:webHidden/>
              </w:rPr>
              <w:fldChar w:fldCharType="separate"/>
            </w:r>
            <w:r>
              <w:rPr>
                <w:noProof/>
                <w:webHidden/>
              </w:rPr>
              <w:t>80</w:t>
            </w:r>
            <w:r>
              <w:rPr>
                <w:noProof/>
                <w:webHidden/>
              </w:rPr>
              <w:fldChar w:fldCharType="end"/>
            </w:r>
          </w:hyperlink>
        </w:p>
        <w:p w14:paraId="70AEDB64" w14:textId="131681A1" w:rsidR="00104298" w:rsidRDefault="00104298">
          <w:pPr>
            <w:pStyle w:val="TOC2"/>
            <w:tabs>
              <w:tab w:val="right" w:leader="dot" w:pos="9350"/>
            </w:tabs>
            <w:rPr>
              <w:rFonts w:eastAsiaTheme="minorEastAsia"/>
              <w:noProof/>
            </w:rPr>
          </w:pPr>
          <w:hyperlink w:anchor="_Toc238690226" w:history="1">
            <w:r w:rsidRPr="00D248CC">
              <w:rPr>
                <w:rStyle w:val="Hyperlink"/>
                <w:rFonts w:ascii="Arial" w:hAnsi="Arial" w:cs="Arial"/>
                <w:noProof/>
              </w:rPr>
              <w:t>5.7 Final Reflections and Conclusion</w:t>
            </w:r>
            <w:r>
              <w:rPr>
                <w:noProof/>
                <w:webHidden/>
              </w:rPr>
              <w:tab/>
            </w:r>
            <w:r>
              <w:rPr>
                <w:noProof/>
                <w:webHidden/>
              </w:rPr>
              <w:fldChar w:fldCharType="begin"/>
            </w:r>
            <w:r>
              <w:rPr>
                <w:noProof/>
                <w:webHidden/>
              </w:rPr>
              <w:instrText xml:space="preserve"> PAGEREF _Toc238690226 \h </w:instrText>
            </w:r>
            <w:r>
              <w:rPr>
                <w:noProof/>
                <w:webHidden/>
              </w:rPr>
            </w:r>
            <w:r>
              <w:rPr>
                <w:noProof/>
                <w:webHidden/>
              </w:rPr>
              <w:fldChar w:fldCharType="separate"/>
            </w:r>
            <w:r>
              <w:rPr>
                <w:noProof/>
                <w:webHidden/>
              </w:rPr>
              <w:t>81</w:t>
            </w:r>
            <w:r>
              <w:rPr>
                <w:noProof/>
                <w:webHidden/>
              </w:rPr>
              <w:fldChar w:fldCharType="end"/>
            </w:r>
          </w:hyperlink>
        </w:p>
        <w:p w14:paraId="7F238D7A" w14:textId="46A79298" w:rsidR="00104298" w:rsidRDefault="00104298">
          <w:pPr>
            <w:pStyle w:val="TOC1"/>
            <w:tabs>
              <w:tab w:val="right" w:leader="dot" w:pos="9350"/>
            </w:tabs>
            <w:rPr>
              <w:rFonts w:eastAsiaTheme="minorEastAsia"/>
              <w:noProof/>
            </w:rPr>
          </w:pPr>
          <w:hyperlink w:anchor="_Toc238690227" w:history="1">
            <w:r w:rsidRPr="00D248CC">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_Toc238690227 \h </w:instrText>
            </w:r>
            <w:r>
              <w:rPr>
                <w:noProof/>
                <w:webHidden/>
              </w:rPr>
            </w:r>
            <w:r>
              <w:rPr>
                <w:noProof/>
                <w:webHidden/>
              </w:rPr>
              <w:fldChar w:fldCharType="separate"/>
            </w:r>
            <w:r>
              <w:rPr>
                <w:noProof/>
                <w:webHidden/>
              </w:rPr>
              <w:t>83</w:t>
            </w:r>
            <w:r>
              <w:rPr>
                <w:noProof/>
                <w:webHidden/>
              </w:rPr>
              <w:fldChar w:fldCharType="end"/>
            </w:r>
          </w:hyperlink>
        </w:p>
        <w:p w14:paraId="773C80F3" w14:textId="11F76ECB" w:rsidR="00CD1D85" w:rsidRDefault="00CD1D85">
          <w:r>
            <w:rPr>
              <w:b/>
              <w:bCs/>
              <w:noProof/>
            </w:rPr>
            <w:fldChar w:fldCharType="end"/>
          </w:r>
        </w:p>
      </w:sdtContent>
    </w:sdt>
    <w:p w14:paraId="37EEB86E" w14:textId="77777777" w:rsidR="00C81F38" w:rsidRPr="00791A3F" w:rsidRDefault="00C81F38" w:rsidP="00791A3F">
      <w:pPr>
        <w:pStyle w:val="Heading1"/>
        <w:spacing w:line="360" w:lineRule="auto"/>
        <w:rPr>
          <w:rFonts w:ascii="Arial" w:hAnsi="Arial" w:cs="Arial"/>
        </w:rPr>
      </w:pPr>
    </w:p>
    <w:p w14:paraId="5C2635BE" w14:textId="77777777" w:rsidR="00C81F38" w:rsidRPr="00791A3F" w:rsidRDefault="00C81F38" w:rsidP="00791A3F">
      <w:pPr>
        <w:spacing w:line="360" w:lineRule="auto"/>
        <w:rPr>
          <w:rFonts w:ascii="Arial" w:eastAsiaTheme="majorEastAsia" w:hAnsi="Arial" w:cs="Arial"/>
          <w:color w:val="0F4761" w:themeColor="accent1" w:themeShade="BF"/>
          <w:sz w:val="40"/>
          <w:szCs w:val="40"/>
        </w:rPr>
      </w:pPr>
      <w:r w:rsidRPr="00791A3F">
        <w:rPr>
          <w:rFonts w:ascii="Arial" w:hAnsi="Arial" w:cs="Arial"/>
        </w:rPr>
        <w:br w:type="page"/>
      </w:r>
    </w:p>
    <w:p w14:paraId="40E89570" w14:textId="77777777" w:rsidR="00507FF4" w:rsidRPr="00791A3F" w:rsidRDefault="00507FF4" w:rsidP="00791A3F">
      <w:pPr>
        <w:pStyle w:val="Heading1"/>
        <w:spacing w:line="360" w:lineRule="auto"/>
        <w:rPr>
          <w:rFonts w:ascii="Arial" w:hAnsi="Arial" w:cs="Arial"/>
        </w:rPr>
      </w:pPr>
      <w:bookmarkStart w:id="1" w:name="_Toc238690154"/>
      <w:r w:rsidRPr="00791A3F">
        <w:rPr>
          <w:rFonts w:ascii="Arial" w:hAnsi="Arial" w:cs="Arial"/>
        </w:rPr>
        <w:lastRenderedPageBreak/>
        <w:t>Chapter 1: Introduction</w:t>
      </w:r>
      <w:bookmarkEnd w:id="0"/>
      <w:bookmarkEnd w:id="1"/>
    </w:p>
    <w:p w14:paraId="35B9B43E" w14:textId="77777777" w:rsidR="001D0206" w:rsidRPr="00791A3F" w:rsidRDefault="001D0206" w:rsidP="00791A3F">
      <w:pPr>
        <w:pStyle w:val="Heading2"/>
        <w:spacing w:line="360" w:lineRule="auto"/>
        <w:rPr>
          <w:rFonts w:ascii="Arial" w:hAnsi="Arial" w:cs="Arial"/>
        </w:rPr>
      </w:pPr>
      <w:bookmarkStart w:id="2" w:name="_Toc237956875"/>
      <w:bookmarkStart w:id="3" w:name="_Toc238690155"/>
      <w:r w:rsidRPr="00791A3F">
        <w:rPr>
          <w:rFonts w:ascii="Arial" w:hAnsi="Arial" w:cs="Arial"/>
        </w:rPr>
        <w:t>1.1 Background and Problem Statement</w:t>
      </w:r>
      <w:bookmarkEnd w:id="2"/>
      <w:bookmarkEnd w:id="3"/>
    </w:p>
    <w:p w14:paraId="30447E19" w14:textId="77777777" w:rsidR="005903F1" w:rsidRPr="00791A3F" w:rsidRDefault="005903F1" w:rsidP="00791A3F">
      <w:pPr>
        <w:spacing w:line="360" w:lineRule="auto"/>
        <w:jc w:val="both"/>
        <w:rPr>
          <w:rFonts w:ascii="Arial" w:hAnsi="Arial" w:cs="Arial"/>
        </w:rPr>
      </w:pPr>
      <w:r w:rsidRPr="00791A3F">
        <w:rPr>
          <w:rFonts w:ascii="Arial" w:hAnsi="Arial" w:cs="Arial"/>
        </w:rPr>
        <w:t>Originally a philanthropic gesture, CSR is now an integral part of the company’s strategy, legitimacy, competitiveness, and stakeholder governance (Gond et al., 2020; Sharma et al., 2022). It is important in the case of the UK food retail sector, especially for the large-scale retailers, who have a dominant position in the global food supply chain and exert influence over the food production process, diet, employment and community wellbeing (Jones et al., 2005). Strategic importance of sustainability has increased since the mid-2000s, driven by pressures from climate change, biodiversity loss, vulnerability of supply chains, regulation, and investor expectations (Christensen et al., 2021; UK Government, 2021).</w:t>
      </w:r>
    </w:p>
    <w:p w14:paraId="088176E1" w14:textId="77777777" w:rsidR="00CC2C34" w:rsidRPr="00791A3F" w:rsidRDefault="00CC2C34" w:rsidP="00791A3F">
      <w:pPr>
        <w:spacing w:line="360" w:lineRule="auto"/>
        <w:jc w:val="both"/>
        <w:rPr>
          <w:rFonts w:ascii="Arial" w:hAnsi="Arial" w:cs="Arial"/>
        </w:rPr>
      </w:pPr>
      <w:r w:rsidRPr="00791A3F">
        <w:rPr>
          <w:rFonts w:ascii="Arial" w:hAnsi="Arial" w:cs="Arial"/>
        </w:rPr>
        <w:t>COVID-19 amplified these stresses, including the importance of resilient food systems, and the importance of supporting workers and communities (Hobbs, 2021; Pantano et al., 2020). At the same time, however, the expectations for proof that would support assertions of corporate sustainability have increased, including through the recent development of ESG investing frameworks, digital transparency technologies, media attention, and civil-society campaigns. The role of symbolic CSR (i.e. communication without operational action) is increasingly being called into question (Lyon and Maxwell, 2011; Torelli et al. 2020).</w:t>
      </w:r>
    </w:p>
    <w:p w14:paraId="5F049BDF" w14:textId="68D32D65" w:rsidR="005903F1" w:rsidRPr="00791A3F" w:rsidRDefault="005903F1" w:rsidP="00791A3F">
      <w:pPr>
        <w:spacing w:line="360" w:lineRule="auto"/>
        <w:jc w:val="both"/>
        <w:rPr>
          <w:rFonts w:ascii="Arial" w:hAnsi="Arial" w:cs="Arial"/>
        </w:rPr>
      </w:pPr>
      <w:r w:rsidRPr="00791A3F">
        <w:rPr>
          <w:rFonts w:ascii="Arial" w:hAnsi="Arial" w:cs="Arial"/>
        </w:rPr>
        <w:t xml:space="preserve">Food retailers in the UK now have comprehensive sustainability reports, based on frameworks like GRI, TCFD and SASB (Hahn and </w:t>
      </w:r>
      <w:proofErr w:type="spellStart"/>
      <w:r w:rsidRPr="00791A3F">
        <w:rPr>
          <w:rFonts w:ascii="Arial" w:hAnsi="Arial" w:cs="Arial"/>
        </w:rPr>
        <w:t>Kühnen</w:t>
      </w:r>
      <w:proofErr w:type="spellEnd"/>
      <w:r w:rsidRPr="00791A3F">
        <w:rPr>
          <w:rFonts w:ascii="Arial" w:hAnsi="Arial" w:cs="Arial"/>
        </w:rPr>
        <w:t>, 2013; Michelon et al., 2020). But greater transparency brings up a fundamental question: does it help to create a transformation in operations or simply for image management?</w:t>
      </w:r>
    </w:p>
    <w:p w14:paraId="4EDCA1A3" w14:textId="6EE38E4D" w:rsidR="005903F1" w:rsidRPr="00791A3F" w:rsidRDefault="00CC2C34" w:rsidP="00791A3F">
      <w:pPr>
        <w:spacing w:line="360" w:lineRule="auto"/>
        <w:jc w:val="both"/>
        <w:rPr>
          <w:rFonts w:ascii="Arial" w:hAnsi="Arial" w:cs="Arial"/>
        </w:rPr>
      </w:pPr>
      <w:r w:rsidRPr="00791A3F">
        <w:rPr>
          <w:rFonts w:ascii="Arial" w:hAnsi="Arial" w:cs="Arial"/>
        </w:rPr>
        <w:t xml:space="preserve">The CSR implementation gap is the gap between CSR discourse and implementation (Torelli et al., 2020). Although symbolic CSR is more about communication and disclosure than transformation, substantive CSR incorporates sustainability into the company's business strategies, operations, and supply chain governance and decision making (Walker and Wan, 2012; Siano et al., 2017; Marquis et al., 2016). This gap is closely </w:t>
      </w:r>
      <w:r w:rsidRPr="00791A3F">
        <w:rPr>
          <w:rFonts w:ascii="Arial" w:hAnsi="Arial" w:cs="Arial"/>
        </w:rPr>
        <w:lastRenderedPageBreak/>
        <w:t>related to greenwashing, which can impact the credibility of a company's sustainability claims (Delmas and Burbano, 2011; Lyon and Maxwell, 2011).</w:t>
      </w:r>
    </w:p>
    <w:p w14:paraId="0131CC13" w14:textId="77777777" w:rsidR="005903F1" w:rsidRPr="00791A3F" w:rsidRDefault="005903F1" w:rsidP="00791A3F">
      <w:pPr>
        <w:spacing w:line="360" w:lineRule="auto"/>
        <w:jc w:val="both"/>
        <w:rPr>
          <w:rFonts w:ascii="Arial" w:hAnsi="Arial" w:cs="Arial"/>
        </w:rPr>
      </w:pPr>
      <w:r w:rsidRPr="00791A3F">
        <w:rPr>
          <w:rFonts w:ascii="Arial" w:hAnsi="Arial" w:cs="Arial"/>
        </w:rPr>
        <w:t xml:space="preserve">Jones et al. (2005) offer a valuable benchmark in looking at food retailers in the UK in the areas of environmental management, ethical sourcing, community involvement, employee wellbeing and customer relationships. There have been significant changes to the institutional landscape since then, for example, from the Modern Slavery Act 2015, the requirement for TCFD reporting, net-zero commitments and packaging regulation (LeBaron and Lister, 2022; Stevenson and Cole, 2021; UK Government, 2021). Other priorities have also surfaced, such as Scope 3 emissions, circular economy, social justice and public health issues relating to ultra-processed foods (CDP 2023, Sacks et al., 2020, </w:t>
      </w:r>
      <w:proofErr w:type="spellStart"/>
      <w:r w:rsidRPr="00791A3F">
        <w:rPr>
          <w:rFonts w:ascii="Arial" w:hAnsi="Arial" w:cs="Arial"/>
        </w:rPr>
        <w:t>Taillie</w:t>
      </w:r>
      <w:proofErr w:type="spellEnd"/>
      <w:r w:rsidRPr="00791A3F">
        <w:rPr>
          <w:rFonts w:ascii="Arial" w:hAnsi="Arial" w:cs="Arial"/>
        </w:rPr>
        <w:t xml:space="preserve"> et al., 2020).</w:t>
      </w:r>
    </w:p>
    <w:p w14:paraId="6E6EB0EB" w14:textId="77777777" w:rsidR="00A72DED" w:rsidRPr="00791A3F" w:rsidRDefault="005903F1" w:rsidP="00791A3F">
      <w:pPr>
        <w:spacing w:line="360" w:lineRule="auto"/>
        <w:jc w:val="both"/>
        <w:rPr>
          <w:rFonts w:ascii="Arial" w:hAnsi="Arial" w:cs="Arial"/>
        </w:rPr>
      </w:pPr>
      <w:r w:rsidRPr="00791A3F">
        <w:rPr>
          <w:rFonts w:ascii="Arial" w:hAnsi="Arial" w:cs="Arial"/>
        </w:rPr>
        <w:t>Despite these developments, there is still not a wealth of longitudinal data that can be correlated to disclosure growth and operational transformation. The research also fails to offer adequate comparisons between mainstream supermarkets and discount stores and cooperative models due to ownership, margins, governance and stakeholder structure (Birchall, 2013). This study thus compares CSR development between 2005 and 2025 with the help of clear criteria to differentiate substantive integration from symbolic conformity.</w:t>
      </w:r>
    </w:p>
    <w:p w14:paraId="2786142C" w14:textId="77777777" w:rsidR="001D0206" w:rsidRPr="00791A3F" w:rsidRDefault="001D0206" w:rsidP="00791A3F">
      <w:pPr>
        <w:pStyle w:val="Heading2"/>
        <w:spacing w:line="360" w:lineRule="auto"/>
        <w:rPr>
          <w:rFonts w:ascii="Arial" w:hAnsi="Arial" w:cs="Arial"/>
        </w:rPr>
      </w:pPr>
      <w:bookmarkStart w:id="4" w:name="_Toc237956876"/>
      <w:bookmarkStart w:id="5" w:name="_Toc238690156"/>
      <w:r w:rsidRPr="00791A3F">
        <w:rPr>
          <w:rFonts w:ascii="Arial" w:hAnsi="Arial" w:cs="Arial"/>
        </w:rPr>
        <w:t>1.2 Research Aim</w:t>
      </w:r>
      <w:bookmarkEnd w:id="4"/>
      <w:bookmarkEnd w:id="5"/>
    </w:p>
    <w:p w14:paraId="5DC0911B" w14:textId="77777777" w:rsidR="00687B77" w:rsidRPr="00791A3F" w:rsidRDefault="00687B77" w:rsidP="00791A3F">
      <w:pPr>
        <w:spacing w:line="360" w:lineRule="auto"/>
        <w:jc w:val="both"/>
        <w:rPr>
          <w:rFonts w:ascii="Arial" w:hAnsi="Arial" w:cs="Arial"/>
        </w:rPr>
      </w:pPr>
      <w:r w:rsidRPr="00791A3F">
        <w:rPr>
          <w:rFonts w:ascii="Arial" w:hAnsi="Arial" w:cs="Arial"/>
        </w:rPr>
        <w:t>This study is designed to assess the changes in the CSR of the UK food retail industry from 2005 to 2025. It draws on Jones et al. (2005) as a benchmark to determine if the leading retailers have progressed from symbolic reporting to substantive integration of CSR into their core business and explores the impact of different types of business model on CSR depth and authenticity.</w:t>
      </w:r>
    </w:p>
    <w:p w14:paraId="3F8BB0B2" w14:textId="77777777" w:rsidR="001D0206" w:rsidRPr="00791A3F" w:rsidRDefault="001D0206" w:rsidP="00791A3F">
      <w:pPr>
        <w:pStyle w:val="Heading2"/>
        <w:spacing w:line="360" w:lineRule="auto"/>
        <w:rPr>
          <w:rFonts w:ascii="Arial" w:hAnsi="Arial" w:cs="Arial"/>
        </w:rPr>
      </w:pPr>
      <w:bookmarkStart w:id="6" w:name="_Toc237956877"/>
      <w:bookmarkStart w:id="7" w:name="_Toc238690157"/>
      <w:r w:rsidRPr="00791A3F">
        <w:rPr>
          <w:rFonts w:ascii="Arial" w:hAnsi="Arial" w:cs="Arial"/>
        </w:rPr>
        <w:t>1.3 Research Objectives</w:t>
      </w:r>
      <w:bookmarkEnd w:id="6"/>
      <w:bookmarkEnd w:id="7"/>
    </w:p>
    <w:p w14:paraId="6D06681D" w14:textId="77777777" w:rsidR="00D2275A" w:rsidRPr="00791A3F" w:rsidRDefault="00D2275A" w:rsidP="00791A3F">
      <w:pPr>
        <w:spacing w:line="360" w:lineRule="auto"/>
        <w:jc w:val="both"/>
        <w:rPr>
          <w:rFonts w:ascii="Arial" w:hAnsi="Arial" w:cs="Arial"/>
        </w:rPr>
      </w:pPr>
      <w:r w:rsidRPr="00791A3F">
        <w:rPr>
          <w:rFonts w:ascii="Arial" w:hAnsi="Arial" w:cs="Arial"/>
        </w:rPr>
        <w:t>RO1: To critically examine theoretical perspectives of CSR such as substantive and symbolic CSR, greenwashing and stakeholder accountability within UK food retail.</w:t>
      </w:r>
    </w:p>
    <w:p w14:paraId="2BF1D571" w14:textId="77777777" w:rsidR="006A528C" w:rsidRPr="00791A3F" w:rsidRDefault="006A528C" w:rsidP="00791A3F">
      <w:pPr>
        <w:spacing w:line="360" w:lineRule="auto"/>
        <w:jc w:val="both"/>
        <w:rPr>
          <w:rFonts w:ascii="Arial" w:hAnsi="Arial" w:cs="Arial"/>
        </w:rPr>
      </w:pPr>
      <w:r w:rsidRPr="00791A3F">
        <w:rPr>
          <w:rFonts w:ascii="Arial" w:hAnsi="Arial" w:cs="Arial"/>
        </w:rPr>
        <w:lastRenderedPageBreak/>
        <w:t>RO2: Systematic analysis of CSR disclosures of the 7 main food retailers as per the corporate report, third party evaluation and sustainability rating systems.</w:t>
      </w:r>
    </w:p>
    <w:p w14:paraId="6FD46A4D" w14:textId="6CDB1642" w:rsidR="00D2275A" w:rsidRPr="00791A3F" w:rsidRDefault="00D2275A" w:rsidP="00791A3F">
      <w:pPr>
        <w:spacing w:line="360" w:lineRule="auto"/>
        <w:jc w:val="both"/>
        <w:rPr>
          <w:rFonts w:ascii="Arial" w:hAnsi="Arial" w:cs="Arial"/>
        </w:rPr>
      </w:pPr>
      <w:r w:rsidRPr="00791A3F">
        <w:rPr>
          <w:rFonts w:ascii="Arial" w:hAnsi="Arial" w:cs="Arial"/>
        </w:rPr>
        <w:t>RO3: To compare current CSR practice to Jones et al (2005) baseline data within 5 areas of the CSR process including environmental management, ethical sourcing, employee welfare, community engagement and customer responsibility and include emerging priorities including climate responsibility, circular economy and social justice.</w:t>
      </w:r>
    </w:p>
    <w:p w14:paraId="42FEECEE" w14:textId="77777777" w:rsidR="00D2275A" w:rsidRPr="00791A3F" w:rsidRDefault="00D2275A" w:rsidP="00791A3F">
      <w:pPr>
        <w:spacing w:line="360" w:lineRule="auto"/>
        <w:jc w:val="both"/>
        <w:rPr>
          <w:rFonts w:ascii="Arial" w:hAnsi="Arial" w:cs="Arial"/>
        </w:rPr>
      </w:pPr>
      <w:r w:rsidRPr="00791A3F">
        <w:rPr>
          <w:rFonts w:ascii="Arial" w:hAnsi="Arial" w:cs="Arial"/>
        </w:rPr>
        <w:t>RO4: To evaluate the impact of discount, mainstream and cooperative business models on CSR depth, authenticity and integration into operations.</w:t>
      </w:r>
    </w:p>
    <w:p w14:paraId="11F8988B" w14:textId="77777777" w:rsidR="001D0206" w:rsidRPr="00791A3F" w:rsidRDefault="001D0206" w:rsidP="00791A3F">
      <w:pPr>
        <w:pStyle w:val="Heading2"/>
        <w:spacing w:line="360" w:lineRule="auto"/>
        <w:rPr>
          <w:rFonts w:ascii="Arial" w:hAnsi="Arial" w:cs="Arial"/>
        </w:rPr>
      </w:pPr>
      <w:bookmarkStart w:id="8" w:name="_Toc237956878"/>
      <w:bookmarkStart w:id="9" w:name="_Toc238690158"/>
      <w:r w:rsidRPr="00791A3F">
        <w:rPr>
          <w:rFonts w:ascii="Arial" w:hAnsi="Arial" w:cs="Arial"/>
        </w:rPr>
        <w:t>1.4 Research Questions</w:t>
      </w:r>
      <w:bookmarkEnd w:id="8"/>
      <w:bookmarkEnd w:id="9"/>
    </w:p>
    <w:p w14:paraId="0900CFB6" w14:textId="77777777" w:rsidR="00662FB5" w:rsidRPr="00791A3F" w:rsidRDefault="00662FB5" w:rsidP="00791A3F">
      <w:pPr>
        <w:spacing w:line="360" w:lineRule="auto"/>
        <w:jc w:val="both"/>
        <w:rPr>
          <w:rFonts w:ascii="Arial" w:hAnsi="Arial" w:cs="Arial"/>
        </w:rPr>
      </w:pPr>
      <w:r w:rsidRPr="00791A3F">
        <w:rPr>
          <w:rFonts w:ascii="Arial" w:hAnsi="Arial" w:cs="Arial"/>
        </w:rPr>
        <w:t>RQ1: What is the evolution of CSR from the base put in place by Jones et al. (2005) and how can this evolution be evaluated by looking at integration into the main dimensions of business?</w:t>
      </w:r>
    </w:p>
    <w:p w14:paraId="7F2D29F8" w14:textId="77777777" w:rsidR="00662FB5" w:rsidRPr="00791A3F" w:rsidRDefault="00662FB5" w:rsidP="00791A3F">
      <w:pPr>
        <w:spacing w:line="360" w:lineRule="auto"/>
        <w:jc w:val="both"/>
        <w:rPr>
          <w:rFonts w:ascii="Arial" w:hAnsi="Arial" w:cs="Arial"/>
        </w:rPr>
      </w:pPr>
      <w:r w:rsidRPr="00791A3F">
        <w:rPr>
          <w:rFonts w:ascii="Arial" w:hAnsi="Arial" w:cs="Arial"/>
        </w:rPr>
        <w:t>RQ2: What are the empirical findings on the integration of substantive CSR as opposed to symbolic CSR in terms of environmental management, ethical sourcing, employee welfare, community engagement and customer responsibility?</w:t>
      </w:r>
    </w:p>
    <w:p w14:paraId="02AFF96C" w14:textId="77777777" w:rsidR="00662FB5" w:rsidRPr="00791A3F" w:rsidRDefault="00662FB5" w:rsidP="00791A3F">
      <w:pPr>
        <w:spacing w:line="360" w:lineRule="auto"/>
        <w:jc w:val="both"/>
        <w:rPr>
          <w:rFonts w:ascii="Arial" w:hAnsi="Arial" w:cs="Arial"/>
        </w:rPr>
      </w:pPr>
      <w:r w:rsidRPr="00791A3F">
        <w:rPr>
          <w:rFonts w:ascii="Arial" w:hAnsi="Arial" w:cs="Arial"/>
        </w:rPr>
        <w:t>RQ3: What are the differences in CSR strategies and intensity of implementation between discount, mainstream and co-operative retail models and what are the structural causes for these differences?</w:t>
      </w:r>
    </w:p>
    <w:p w14:paraId="34004E1F" w14:textId="77777777" w:rsidR="00662FB5" w:rsidRPr="00791A3F" w:rsidRDefault="00662FB5" w:rsidP="00791A3F">
      <w:pPr>
        <w:spacing w:line="360" w:lineRule="auto"/>
        <w:jc w:val="both"/>
        <w:rPr>
          <w:rFonts w:ascii="Arial" w:hAnsi="Arial" w:cs="Arial"/>
        </w:rPr>
      </w:pPr>
      <w:r w:rsidRPr="00791A3F">
        <w:rPr>
          <w:rFonts w:ascii="Arial" w:hAnsi="Arial" w:cs="Arial"/>
        </w:rPr>
        <w:t>RQ4: What impact are emerging priorities (such as Scope 3 emissions, circular economy themes and practices, prevention of modern slavery, and prevention of harm to health) having on CSR agendas and how are they becoming part of operational action?</w:t>
      </w:r>
    </w:p>
    <w:p w14:paraId="0AC1C359" w14:textId="77777777" w:rsidR="001D0206" w:rsidRPr="00791A3F" w:rsidRDefault="001D0206" w:rsidP="00791A3F">
      <w:pPr>
        <w:pStyle w:val="Heading2"/>
        <w:spacing w:line="360" w:lineRule="auto"/>
        <w:rPr>
          <w:rFonts w:ascii="Arial" w:hAnsi="Arial" w:cs="Arial"/>
        </w:rPr>
      </w:pPr>
      <w:bookmarkStart w:id="10" w:name="_Toc237956879"/>
      <w:bookmarkStart w:id="11" w:name="_Toc238690159"/>
      <w:r w:rsidRPr="00791A3F">
        <w:rPr>
          <w:rFonts w:ascii="Arial" w:hAnsi="Arial" w:cs="Arial"/>
        </w:rPr>
        <w:t>1.5 Significance / Relevance of Study</w:t>
      </w:r>
      <w:bookmarkEnd w:id="10"/>
      <w:bookmarkEnd w:id="11"/>
    </w:p>
    <w:p w14:paraId="466FEDC5" w14:textId="77777777" w:rsidR="00DA3036" w:rsidRPr="00791A3F" w:rsidRDefault="00DA3036" w:rsidP="00791A3F">
      <w:pPr>
        <w:spacing w:line="360" w:lineRule="auto"/>
        <w:jc w:val="both"/>
        <w:rPr>
          <w:rFonts w:ascii="Arial" w:hAnsi="Arial" w:cs="Arial"/>
        </w:rPr>
      </w:pPr>
      <w:r w:rsidRPr="00791A3F">
        <w:rPr>
          <w:rFonts w:ascii="Arial" w:hAnsi="Arial" w:cs="Arial"/>
        </w:rPr>
        <w:t xml:space="preserve">The research has policy, stakeholder and scholarship value. Governments now require </w:t>
      </w:r>
      <w:proofErr w:type="spellStart"/>
      <w:r w:rsidRPr="00791A3F">
        <w:rPr>
          <w:rFonts w:ascii="Arial" w:hAnsi="Arial" w:cs="Arial"/>
        </w:rPr>
        <w:t>organisations</w:t>
      </w:r>
      <w:proofErr w:type="spellEnd"/>
      <w:r w:rsidRPr="00791A3F">
        <w:rPr>
          <w:rFonts w:ascii="Arial" w:hAnsi="Arial" w:cs="Arial"/>
        </w:rPr>
        <w:t xml:space="preserve"> to take “concrete steps” on net zero, climate disclosure and supply-chain due diligence (UK Government, 2021; Christensen et al., 2021). The aim of this study is to assess the extent to which such developments seem to reinforce substantive CSR.</w:t>
      </w:r>
    </w:p>
    <w:p w14:paraId="4F01807F" w14:textId="77777777" w:rsidR="00DA3036" w:rsidRPr="00791A3F" w:rsidRDefault="00DA3036" w:rsidP="00791A3F">
      <w:pPr>
        <w:spacing w:line="360" w:lineRule="auto"/>
        <w:jc w:val="both"/>
        <w:rPr>
          <w:rFonts w:ascii="Arial" w:hAnsi="Arial" w:cs="Arial"/>
        </w:rPr>
      </w:pPr>
      <w:r w:rsidRPr="00791A3F">
        <w:rPr>
          <w:rFonts w:ascii="Arial" w:hAnsi="Arial" w:cs="Arial"/>
        </w:rPr>
        <w:lastRenderedPageBreak/>
        <w:t>Consumers and investors are no longer satisfied with words alone when it comes to sustainability (Christensen et al., 2021; White et al., 2020). The evaluative criteria in the study offer a structured method to differentiate disclosure quality from operational performance.</w:t>
      </w:r>
    </w:p>
    <w:p w14:paraId="07AB717D" w14:textId="77777777" w:rsidR="00DA3036" w:rsidRPr="00791A3F" w:rsidRDefault="00DA3036" w:rsidP="00791A3F">
      <w:pPr>
        <w:spacing w:line="360" w:lineRule="auto"/>
        <w:jc w:val="both"/>
        <w:rPr>
          <w:rFonts w:ascii="Arial" w:hAnsi="Arial" w:cs="Arial"/>
        </w:rPr>
      </w:pPr>
      <w:r w:rsidRPr="00791A3F">
        <w:rPr>
          <w:rFonts w:ascii="Arial" w:hAnsi="Arial" w:cs="Arial"/>
        </w:rPr>
        <w:t>The research has three academic contributions. First of all, it offers a longitudinal evaluation of food-retail CSR since the baseline of Jones et al. (2005). Secondly, it reviews the under-researched linkage between business model differentiation and CSR depth. Third, it translates the substantive-symbolic CSR continuum into five criteria: verifiability, measurability, accountability, integration and comparability.</w:t>
      </w:r>
    </w:p>
    <w:p w14:paraId="572D8AB8" w14:textId="77777777" w:rsidR="00DA3036" w:rsidRPr="00791A3F" w:rsidRDefault="00DA3036" w:rsidP="00791A3F">
      <w:pPr>
        <w:spacing w:line="360" w:lineRule="auto"/>
        <w:jc w:val="both"/>
        <w:rPr>
          <w:rFonts w:ascii="Arial" w:hAnsi="Arial" w:cs="Arial"/>
        </w:rPr>
      </w:pPr>
      <w:r w:rsidRPr="00791A3F">
        <w:rPr>
          <w:rFonts w:ascii="Arial" w:hAnsi="Arial" w:cs="Arial"/>
        </w:rPr>
        <w:t xml:space="preserve">The results can thus be applied to retailers, sustainability managers, investors, civil-society </w:t>
      </w:r>
      <w:proofErr w:type="spellStart"/>
      <w:r w:rsidRPr="00791A3F">
        <w:rPr>
          <w:rFonts w:ascii="Arial" w:hAnsi="Arial" w:cs="Arial"/>
        </w:rPr>
        <w:t>organisations</w:t>
      </w:r>
      <w:proofErr w:type="spellEnd"/>
      <w:r w:rsidRPr="00791A3F">
        <w:rPr>
          <w:rFonts w:ascii="Arial" w:hAnsi="Arial" w:cs="Arial"/>
        </w:rPr>
        <w:t xml:space="preserve"> and consumers looking to better understand what is truly happening here and how they can spot greenwashing from real sustainability transformation.</w:t>
      </w:r>
    </w:p>
    <w:p w14:paraId="092FAB89" w14:textId="77777777" w:rsidR="001D0206" w:rsidRPr="00791A3F" w:rsidRDefault="001D0206" w:rsidP="00791A3F">
      <w:pPr>
        <w:pStyle w:val="Heading2"/>
        <w:spacing w:line="360" w:lineRule="auto"/>
        <w:rPr>
          <w:rFonts w:ascii="Arial" w:hAnsi="Arial" w:cs="Arial"/>
        </w:rPr>
      </w:pPr>
      <w:bookmarkStart w:id="12" w:name="_Toc237956880"/>
      <w:bookmarkStart w:id="13" w:name="_Toc238690160"/>
      <w:r w:rsidRPr="00791A3F">
        <w:rPr>
          <w:rFonts w:ascii="Arial" w:hAnsi="Arial" w:cs="Arial"/>
        </w:rPr>
        <w:t>1.6 Brief Research Methodology</w:t>
      </w:r>
      <w:bookmarkEnd w:id="12"/>
      <w:bookmarkEnd w:id="13"/>
    </w:p>
    <w:p w14:paraId="04D44F76" w14:textId="77777777" w:rsidR="00887BA8" w:rsidRPr="00791A3F" w:rsidRDefault="00887BA8" w:rsidP="00791A3F">
      <w:pPr>
        <w:spacing w:line="360" w:lineRule="auto"/>
        <w:jc w:val="both"/>
        <w:rPr>
          <w:rFonts w:ascii="Arial" w:hAnsi="Arial" w:cs="Arial"/>
        </w:rPr>
      </w:pPr>
      <w:r w:rsidRPr="00791A3F">
        <w:rPr>
          <w:rFonts w:ascii="Arial" w:hAnsi="Arial" w:cs="Arial"/>
        </w:rPr>
        <w:t xml:space="preserve">The study is driven by the interpretivist philosophy which acknowledges CSR as a social construct that emerges based on the expectations, institutional pressures, </w:t>
      </w:r>
      <w:proofErr w:type="spellStart"/>
      <w:r w:rsidRPr="00791A3F">
        <w:rPr>
          <w:rFonts w:ascii="Arial" w:hAnsi="Arial" w:cs="Arial"/>
        </w:rPr>
        <w:t>organisational</w:t>
      </w:r>
      <w:proofErr w:type="spellEnd"/>
      <w:r w:rsidRPr="00791A3F">
        <w:rPr>
          <w:rFonts w:ascii="Arial" w:hAnsi="Arial" w:cs="Arial"/>
        </w:rPr>
        <w:t xml:space="preserve"> cultures and strategic interests of the stakeholders (Saunders et al., 2019). The type of study that is adopted was based on the qualitative multiple case study design which offers a contextual analysis in relation to the various retail </w:t>
      </w:r>
      <w:proofErr w:type="spellStart"/>
      <w:r w:rsidRPr="00791A3F">
        <w:rPr>
          <w:rFonts w:ascii="Arial" w:hAnsi="Arial" w:cs="Arial"/>
        </w:rPr>
        <w:t>organisations</w:t>
      </w:r>
      <w:proofErr w:type="spellEnd"/>
      <w:r w:rsidRPr="00791A3F">
        <w:rPr>
          <w:rFonts w:ascii="Arial" w:hAnsi="Arial" w:cs="Arial"/>
        </w:rPr>
        <w:t xml:space="preserve"> (Yin, 2018).</w:t>
      </w:r>
    </w:p>
    <w:p w14:paraId="5FF9072E" w14:textId="77777777" w:rsidR="00887BA8" w:rsidRPr="00791A3F" w:rsidRDefault="00887BA8" w:rsidP="00791A3F">
      <w:pPr>
        <w:spacing w:line="360" w:lineRule="auto"/>
        <w:jc w:val="both"/>
        <w:rPr>
          <w:rFonts w:ascii="Arial" w:hAnsi="Arial" w:cs="Arial"/>
        </w:rPr>
      </w:pPr>
      <w:r w:rsidRPr="00791A3F">
        <w:rPr>
          <w:rFonts w:ascii="Arial" w:hAnsi="Arial" w:cs="Arial"/>
        </w:rPr>
        <w:t>The six retailers are purposefully sampled to include those of a mainstream, discount and cooperative model. Secondary data were divided into two time periods – Phase 1 (2003-2007) to reflect the baseline period of Jones et al. (2005) and Phase 2 (2020-2025) to reflect contemporary practice. These are corporate sustainability and annual reports, governance statements, statements from the Modern Slavery Act, CDP disclosures, third-party assessments, regulatory documents and investigative journalism.</w:t>
      </w:r>
    </w:p>
    <w:p w14:paraId="6F955B15" w14:textId="77777777" w:rsidR="00887BA8" w:rsidRPr="00791A3F" w:rsidRDefault="00887BA8" w:rsidP="00791A3F">
      <w:pPr>
        <w:spacing w:line="360" w:lineRule="auto"/>
        <w:jc w:val="both"/>
        <w:rPr>
          <w:rFonts w:ascii="Arial" w:hAnsi="Arial" w:cs="Arial"/>
        </w:rPr>
      </w:pPr>
      <w:r w:rsidRPr="00791A3F">
        <w:rPr>
          <w:rFonts w:ascii="Arial" w:hAnsi="Arial" w:cs="Arial"/>
        </w:rPr>
        <w:t xml:space="preserve">Thematic content analysis (Braun &amp; Clarke, 2006; Saldaña, 2015) is the main analysis technique used. The dimensions of CSR developed by Jones et al. (2005) and current sustainability themes are analyzed. The five criteria used to differentiate substantive and symbolic practices include verifiability, because they are supported by independent audits or certifications; measurability, because they have quantified targets and measurable </w:t>
      </w:r>
      <w:r w:rsidRPr="00791A3F">
        <w:rPr>
          <w:rFonts w:ascii="Arial" w:hAnsi="Arial" w:cs="Arial"/>
        </w:rPr>
        <w:lastRenderedPageBreak/>
        <w:t>progress; accountability, because they are governed by the owner and have mechanisms to correct; integration, because the practices are embedded in operations and incentives; and comparability, because they have consistent metrics over time.</w:t>
      </w:r>
    </w:p>
    <w:p w14:paraId="4FD419A2" w14:textId="77777777" w:rsidR="00887BA8" w:rsidRPr="00791A3F" w:rsidRDefault="00887BA8" w:rsidP="00791A3F">
      <w:pPr>
        <w:spacing w:line="360" w:lineRule="auto"/>
        <w:jc w:val="both"/>
        <w:rPr>
          <w:rFonts w:ascii="Arial" w:hAnsi="Arial" w:cs="Arial"/>
        </w:rPr>
      </w:pPr>
      <w:r w:rsidRPr="00791A3F">
        <w:rPr>
          <w:rFonts w:ascii="Arial" w:hAnsi="Arial" w:cs="Arial"/>
        </w:rPr>
        <w:t>Data triangulation, audit trails, reflexive journalling and systematic data management are used to support research quality based on the trustworthiness principles of Lincoln and Guba (1985). Ethical issues are addressed by using careful citations, responsible use of corporate evidence, transparent documentation, protection of data integrity and evidential transparency throughout.</w:t>
      </w:r>
    </w:p>
    <w:p w14:paraId="16E83000" w14:textId="77777777" w:rsidR="001D0206" w:rsidRPr="00791A3F" w:rsidRDefault="001D0206" w:rsidP="00791A3F">
      <w:pPr>
        <w:pStyle w:val="Heading2"/>
        <w:spacing w:line="360" w:lineRule="auto"/>
        <w:rPr>
          <w:rFonts w:ascii="Arial" w:hAnsi="Arial" w:cs="Arial"/>
        </w:rPr>
      </w:pPr>
      <w:bookmarkStart w:id="14" w:name="_Toc237956881"/>
      <w:bookmarkStart w:id="15" w:name="_Toc238690161"/>
      <w:r w:rsidRPr="00791A3F">
        <w:rPr>
          <w:rFonts w:ascii="Arial" w:hAnsi="Arial" w:cs="Arial"/>
        </w:rPr>
        <w:t>1.7 Structure of the Rest of the Project</w:t>
      </w:r>
      <w:bookmarkEnd w:id="14"/>
      <w:bookmarkEnd w:id="15"/>
    </w:p>
    <w:p w14:paraId="648622CD" w14:textId="77777777" w:rsidR="00C745A7" w:rsidRPr="00791A3F" w:rsidRDefault="00C745A7" w:rsidP="00791A3F">
      <w:pPr>
        <w:spacing w:line="360" w:lineRule="auto"/>
        <w:jc w:val="both"/>
        <w:rPr>
          <w:rFonts w:ascii="Arial" w:hAnsi="Arial" w:cs="Arial"/>
        </w:rPr>
      </w:pPr>
      <w:r w:rsidRPr="00791A3F">
        <w:rPr>
          <w:rFonts w:ascii="Arial" w:hAnsi="Arial" w:cs="Arial"/>
        </w:rPr>
        <w:t>Chapter 2: Literature Review — Reviews stakeholder theory, institutional theory, shared value creation, substantive and symbolic CSR, greenwashing and sustainability challenges in food retail in the UK. It sets up the conceptual structure for the empirical investigation.</w:t>
      </w:r>
    </w:p>
    <w:p w14:paraId="08F1F229" w14:textId="77777777" w:rsidR="00C745A7" w:rsidRPr="00791A3F" w:rsidRDefault="00C745A7" w:rsidP="00791A3F">
      <w:pPr>
        <w:spacing w:line="360" w:lineRule="auto"/>
        <w:jc w:val="both"/>
        <w:rPr>
          <w:rFonts w:ascii="Arial" w:hAnsi="Arial" w:cs="Arial"/>
        </w:rPr>
      </w:pPr>
      <w:r w:rsidRPr="00791A3F">
        <w:rPr>
          <w:rFonts w:ascii="Arial" w:hAnsi="Arial" w:cs="Arial"/>
        </w:rPr>
        <w:t>Chapter 3: Research Methodology — Describes research philosophy, research design, cases selection, data collection, analysis, quality research and ethical issues.</w:t>
      </w:r>
    </w:p>
    <w:p w14:paraId="44E3C0A6" w14:textId="77777777" w:rsidR="00C745A7" w:rsidRPr="00791A3F" w:rsidRDefault="00C745A7" w:rsidP="00791A3F">
      <w:pPr>
        <w:spacing w:line="360" w:lineRule="auto"/>
        <w:jc w:val="both"/>
        <w:rPr>
          <w:rFonts w:ascii="Arial" w:hAnsi="Arial" w:cs="Arial"/>
        </w:rPr>
      </w:pPr>
      <w:r w:rsidRPr="00791A3F">
        <w:rPr>
          <w:rFonts w:ascii="Arial" w:hAnsi="Arial" w:cs="Arial"/>
        </w:rPr>
        <w:t>Chapter 4: Findings, Analysis and Discussion — Provides empirical results, showing that the evidence for 2020–2025 differs from that of the 2005 baseline, and discusses substantive vs. symbolic CSR, business-model differences and current sustainability priorities.</w:t>
      </w:r>
    </w:p>
    <w:p w14:paraId="70626B28" w14:textId="77777777" w:rsidR="00F13FE9" w:rsidRPr="00791A3F" w:rsidRDefault="00C745A7" w:rsidP="00791A3F">
      <w:pPr>
        <w:spacing w:line="360" w:lineRule="auto"/>
        <w:jc w:val="both"/>
        <w:rPr>
          <w:rFonts w:ascii="Arial" w:hAnsi="Arial" w:cs="Arial"/>
        </w:rPr>
      </w:pPr>
      <w:r w:rsidRPr="00791A3F">
        <w:rPr>
          <w:rFonts w:ascii="Arial" w:hAnsi="Arial" w:cs="Arial"/>
        </w:rPr>
        <w:t xml:space="preserve">Chapter 5: Conclusions and Recommendations - </w:t>
      </w:r>
      <w:proofErr w:type="spellStart"/>
      <w:r w:rsidRPr="00791A3F">
        <w:rPr>
          <w:rFonts w:ascii="Arial" w:hAnsi="Arial" w:cs="Arial"/>
        </w:rPr>
        <w:t>Summarises</w:t>
      </w:r>
      <w:proofErr w:type="spellEnd"/>
      <w:r w:rsidRPr="00791A3F">
        <w:rPr>
          <w:rFonts w:ascii="Arial" w:hAnsi="Arial" w:cs="Arial"/>
        </w:rPr>
        <w:t xml:space="preserve"> results, provides answers to the research questions, suggests both practical and theoretical recommendations, acknowledges limitations, and identifies areas for future research. </w:t>
      </w:r>
      <w:r w:rsidR="00F13FE9" w:rsidRPr="00791A3F">
        <w:rPr>
          <w:rFonts w:ascii="Arial" w:hAnsi="Arial" w:cs="Arial"/>
        </w:rPr>
        <w:br w:type="page"/>
      </w:r>
    </w:p>
    <w:p w14:paraId="0AB5C8FB" w14:textId="77777777" w:rsidR="00507FF4" w:rsidRPr="00791A3F" w:rsidRDefault="004E19DE" w:rsidP="00791A3F">
      <w:pPr>
        <w:pStyle w:val="Heading1"/>
        <w:spacing w:line="360" w:lineRule="auto"/>
        <w:rPr>
          <w:rFonts w:ascii="Arial" w:hAnsi="Arial" w:cs="Arial"/>
        </w:rPr>
      </w:pPr>
      <w:bookmarkStart w:id="16" w:name="_Toc237956882"/>
      <w:bookmarkStart w:id="17" w:name="_Toc238690162"/>
      <w:r w:rsidRPr="00791A3F">
        <w:rPr>
          <w:rFonts w:ascii="Arial" w:hAnsi="Arial" w:cs="Arial"/>
        </w:rPr>
        <w:lastRenderedPageBreak/>
        <w:t>Chapter 2: Literature Review</w:t>
      </w:r>
      <w:bookmarkEnd w:id="16"/>
      <w:bookmarkEnd w:id="17"/>
    </w:p>
    <w:p w14:paraId="7AEC0AF0" w14:textId="77777777" w:rsidR="00902E11" w:rsidRPr="00791A3F" w:rsidRDefault="00902E11" w:rsidP="00791A3F">
      <w:pPr>
        <w:pStyle w:val="Heading2"/>
        <w:spacing w:line="360" w:lineRule="auto"/>
        <w:rPr>
          <w:rFonts w:ascii="Arial" w:hAnsi="Arial" w:cs="Arial"/>
        </w:rPr>
      </w:pPr>
      <w:bookmarkStart w:id="18" w:name="_Toc237956883"/>
      <w:bookmarkStart w:id="19" w:name="_Toc238690163"/>
      <w:r w:rsidRPr="00791A3F">
        <w:rPr>
          <w:rFonts w:ascii="Arial" w:hAnsi="Arial" w:cs="Arial"/>
        </w:rPr>
        <w:t>2.1 Introduction</w:t>
      </w:r>
      <w:bookmarkEnd w:id="18"/>
      <w:bookmarkEnd w:id="19"/>
    </w:p>
    <w:p w14:paraId="4C6C9D83" w14:textId="77777777" w:rsidR="0043549C" w:rsidRPr="00791A3F" w:rsidRDefault="0043549C" w:rsidP="00791A3F">
      <w:pPr>
        <w:spacing w:line="360" w:lineRule="auto"/>
        <w:jc w:val="both"/>
        <w:rPr>
          <w:rFonts w:ascii="Arial" w:hAnsi="Arial" w:cs="Arial"/>
        </w:rPr>
      </w:pPr>
      <w:r w:rsidRPr="00791A3F">
        <w:rPr>
          <w:rFonts w:ascii="Arial" w:hAnsi="Arial" w:cs="Arial"/>
        </w:rPr>
        <w:t xml:space="preserve">The literature review critically examines the theoretical and empirical studies of the development of Corporate Social Responsibility (CSR) within the UK food retail sector, from symbolic compliance to substantive implementation over the past twenty years. This review builds on the foundation laid by Jones et al. (2005) and </w:t>
      </w:r>
      <w:proofErr w:type="spellStart"/>
      <w:r w:rsidRPr="00791A3F">
        <w:rPr>
          <w:rFonts w:ascii="Arial" w:hAnsi="Arial" w:cs="Arial"/>
        </w:rPr>
        <w:t>synthesises</w:t>
      </w:r>
      <w:proofErr w:type="spellEnd"/>
      <w:r w:rsidRPr="00791A3F">
        <w:rPr>
          <w:rFonts w:ascii="Arial" w:hAnsi="Arial" w:cs="Arial"/>
        </w:rPr>
        <w:t xml:space="preserve"> recent research on the concept of stakeholder accountability, institutional pressures, greenwashing phenomena, business model differentiation, and new sustainability concerns such as climate disclosure, the circular economy, preventing modern slavery, and public health responsibilities.</w:t>
      </w:r>
    </w:p>
    <w:p w14:paraId="7DE37C09" w14:textId="77777777" w:rsidR="0043549C" w:rsidRPr="00791A3F" w:rsidRDefault="0043549C" w:rsidP="00791A3F">
      <w:pPr>
        <w:spacing w:line="360" w:lineRule="auto"/>
        <w:jc w:val="both"/>
        <w:rPr>
          <w:rFonts w:ascii="Arial" w:hAnsi="Arial" w:cs="Arial"/>
        </w:rPr>
      </w:pPr>
      <w:r w:rsidRPr="00791A3F">
        <w:rPr>
          <w:rFonts w:ascii="Arial" w:hAnsi="Arial" w:cs="Arial"/>
        </w:rPr>
        <w:t>The review is organized thematically to discuss the research goals mentioned in Chapter 1, and attempts to critically explore the development of CSR from a philanthropic mode to a business strategy, also questioning the ongoing gap between the implementation of CSR and the business strategy itself. This chapter brings together 50 peer-reviewed articles addressing various aspects of the key stakeholder theory, institutional legitimacy, substantive versus symbolic CSR practices, regulatory frameworks, ESG performance, and sector-specific sustainability challenges to provide a foundation for empirical research.</w:t>
      </w:r>
    </w:p>
    <w:p w14:paraId="1B1A501F" w14:textId="77777777" w:rsidR="00902E11" w:rsidRPr="00791A3F" w:rsidRDefault="0043549C" w:rsidP="00791A3F">
      <w:pPr>
        <w:spacing w:line="360" w:lineRule="auto"/>
        <w:jc w:val="both"/>
        <w:rPr>
          <w:rFonts w:ascii="Arial" w:hAnsi="Arial" w:cs="Arial"/>
        </w:rPr>
      </w:pPr>
      <w:r w:rsidRPr="00791A3F">
        <w:rPr>
          <w:rFonts w:ascii="Arial" w:hAnsi="Arial" w:cs="Arial"/>
        </w:rPr>
        <w:t xml:space="preserve">The review also points to key research gaps such as: a lack of studies using a longitudinal approach to investigate the UK food retail sector since Jones et al. (2005); a lack of comparative analysis of CSR authenticity for the different business models (discount, mainstream, cooperative); the lack of </w:t>
      </w:r>
      <w:proofErr w:type="spellStart"/>
      <w:r w:rsidRPr="00791A3F">
        <w:rPr>
          <w:rFonts w:ascii="Arial" w:hAnsi="Arial" w:cs="Arial"/>
        </w:rPr>
        <w:t>operationalised</w:t>
      </w:r>
      <w:proofErr w:type="spellEnd"/>
      <w:r w:rsidRPr="00791A3F">
        <w:rPr>
          <w:rFonts w:ascii="Arial" w:hAnsi="Arial" w:cs="Arial"/>
        </w:rPr>
        <w:t xml:space="preserve"> frameworks that separate substantive from symbolic practices of CSR; and the lack of integration of new sustainability priorities into CSR evaluation frameworks .The gaps identified guide the research design and analytical techniques used in the subsequent chapters of this study, and situates it in the context of current research into the nature of corporate accountability and sustainability governance (Jones et al., 2005; Sharma et al., 2024; Christensen et al., 2021).</w:t>
      </w:r>
    </w:p>
    <w:p w14:paraId="5B8069A3" w14:textId="77777777" w:rsidR="00902E11" w:rsidRPr="00791A3F" w:rsidRDefault="00902E11" w:rsidP="00791A3F">
      <w:pPr>
        <w:pStyle w:val="Heading2"/>
        <w:spacing w:line="360" w:lineRule="auto"/>
        <w:rPr>
          <w:rFonts w:ascii="Arial" w:hAnsi="Arial" w:cs="Arial"/>
        </w:rPr>
      </w:pPr>
      <w:bookmarkStart w:id="20" w:name="_Toc237956884"/>
      <w:bookmarkStart w:id="21" w:name="_Toc238690164"/>
      <w:r w:rsidRPr="00791A3F">
        <w:rPr>
          <w:rFonts w:ascii="Arial" w:hAnsi="Arial" w:cs="Arial"/>
        </w:rPr>
        <w:lastRenderedPageBreak/>
        <w:t>2.2 Research Areas/Topics: Systematic Review Table</w:t>
      </w:r>
      <w:bookmarkEnd w:id="20"/>
      <w:bookmarkEnd w:id="21"/>
    </w:p>
    <w:tbl>
      <w:tblPr>
        <w:tblStyle w:val="TableGrid"/>
        <w:tblW w:w="5000" w:type="pct"/>
        <w:tblLook w:val="04A0" w:firstRow="1" w:lastRow="0" w:firstColumn="1" w:lastColumn="0" w:noHBand="0" w:noVBand="1"/>
      </w:tblPr>
      <w:tblGrid>
        <w:gridCol w:w="2028"/>
        <w:gridCol w:w="1750"/>
        <w:gridCol w:w="1266"/>
        <w:gridCol w:w="2651"/>
        <w:gridCol w:w="1655"/>
      </w:tblGrid>
      <w:tr w:rsidR="00902E11" w:rsidRPr="00791A3F" w14:paraId="3BA0D4B5" w14:textId="77777777" w:rsidTr="007A6F53">
        <w:tc>
          <w:tcPr>
            <w:tcW w:w="1814" w:type="pct"/>
            <w:noWrap/>
            <w:hideMark/>
          </w:tcPr>
          <w:p w14:paraId="68616AC7" w14:textId="77777777" w:rsidR="00902E11" w:rsidRPr="00791A3F" w:rsidRDefault="00902E11" w:rsidP="00791A3F">
            <w:pPr>
              <w:spacing w:after="160" w:line="360" w:lineRule="auto"/>
              <w:rPr>
                <w:rFonts w:ascii="Arial" w:hAnsi="Arial" w:cs="Arial"/>
                <w:b/>
                <w:bCs/>
              </w:rPr>
            </w:pPr>
            <w:r w:rsidRPr="00791A3F">
              <w:rPr>
                <w:rFonts w:ascii="Arial" w:hAnsi="Arial" w:cs="Arial"/>
                <w:b/>
                <w:bCs/>
              </w:rPr>
              <w:t>Article</w:t>
            </w:r>
          </w:p>
        </w:tc>
        <w:tc>
          <w:tcPr>
            <w:tcW w:w="846" w:type="pct"/>
            <w:noWrap/>
            <w:hideMark/>
          </w:tcPr>
          <w:p w14:paraId="7C4A48F4" w14:textId="77777777" w:rsidR="00902E11" w:rsidRPr="00791A3F" w:rsidRDefault="00902E11" w:rsidP="00791A3F">
            <w:pPr>
              <w:spacing w:after="160" w:line="360" w:lineRule="auto"/>
              <w:rPr>
                <w:rFonts w:ascii="Arial" w:hAnsi="Arial" w:cs="Arial"/>
                <w:b/>
                <w:bCs/>
              </w:rPr>
            </w:pPr>
            <w:r w:rsidRPr="00791A3F">
              <w:rPr>
                <w:rFonts w:ascii="Arial" w:hAnsi="Arial" w:cs="Arial"/>
                <w:b/>
                <w:bCs/>
              </w:rPr>
              <w:t>Aims and Objectives</w:t>
            </w:r>
          </w:p>
        </w:tc>
        <w:tc>
          <w:tcPr>
            <w:tcW w:w="686" w:type="pct"/>
            <w:noWrap/>
            <w:hideMark/>
          </w:tcPr>
          <w:p w14:paraId="48DDB1B9" w14:textId="77777777" w:rsidR="00902E11" w:rsidRPr="00791A3F" w:rsidRDefault="00902E11" w:rsidP="00791A3F">
            <w:pPr>
              <w:spacing w:after="160" w:line="360" w:lineRule="auto"/>
              <w:rPr>
                <w:rFonts w:ascii="Arial" w:hAnsi="Arial" w:cs="Arial"/>
                <w:b/>
                <w:bCs/>
              </w:rPr>
            </w:pPr>
            <w:r w:rsidRPr="00791A3F">
              <w:rPr>
                <w:rFonts w:ascii="Arial" w:hAnsi="Arial" w:cs="Arial"/>
                <w:b/>
                <w:bCs/>
              </w:rPr>
              <w:t>Methodology</w:t>
            </w:r>
          </w:p>
        </w:tc>
        <w:tc>
          <w:tcPr>
            <w:tcW w:w="824" w:type="pct"/>
            <w:noWrap/>
            <w:hideMark/>
          </w:tcPr>
          <w:p w14:paraId="7BF7F46C" w14:textId="77777777" w:rsidR="00902E11" w:rsidRPr="00791A3F" w:rsidRDefault="00902E11" w:rsidP="00791A3F">
            <w:pPr>
              <w:spacing w:after="160" w:line="360" w:lineRule="auto"/>
              <w:rPr>
                <w:rFonts w:ascii="Arial" w:hAnsi="Arial" w:cs="Arial"/>
                <w:b/>
                <w:bCs/>
              </w:rPr>
            </w:pPr>
            <w:r w:rsidRPr="00791A3F">
              <w:rPr>
                <w:rFonts w:ascii="Arial" w:hAnsi="Arial" w:cs="Arial"/>
                <w:b/>
                <w:bCs/>
              </w:rPr>
              <w:t>Main Findings and Contributions</w:t>
            </w:r>
          </w:p>
        </w:tc>
        <w:tc>
          <w:tcPr>
            <w:tcW w:w="830" w:type="pct"/>
            <w:noWrap/>
            <w:hideMark/>
          </w:tcPr>
          <w:p w14:paraId="7268DADA" w14:textId="77777777" w:rsidR="00902E11" w:rsidRPr="00791A3F" w:rsidRDefault="00902E11" w:rsidP="00791A3F">
            <w:pPr>
              <w:spacing w:after="160" w:line="360" w:lineRule="auto"/>
              <w:rPr>
                <w:rFonts w:ascii="Arial" w:hAnsi="Arial" w:cs="Arial"/>
                <w:b/>
                <w:bCs/>
              </w:rPr>
            </w:pPr>
            <w:r w:rsidRPr="00791A3F">
              <w:rPr>
                <w:rFonts w:ascii="Arial" w:hAnsi="Arial" w:cs="Arial"/>
                <w:b/>
                <w:bCs/>
              </w:rPr>
              <w:t>Relevance to Study</w:t>
            </w:r>
          </w:p>
        </w:tc>
      </w:tr>
      <w:tr w:rsidR="00902E11" w:rsidRPr="00791A3F" w14:paraId="2AB807D7" w14:textId="77777777" w:rsidTr="007A6F53">
        <w:tc>
          <w:tcPr>
            <w:tcW w:w="1814" w:type="pct"/>
            <w:hideMark/>
          </w:tcPr>
          <w:p w14:paraId="240CF2CE"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Configuration of External Influences: The Combined Effects of Institutions and Stakeholders on CSR Strategies</w:t>
            </w:r>
          </w:p>
          <w:p w14:paraId="1FCB9484"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Bansal &amp; Roth (2000)</w:t>
            </w:r>
          </w:p>
          <w:p w14:paraId="600D50F6"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9" w:tgtFrame="_blank" w:history="1">
              <w:r w:rsidRPr="00791A3F">
                <w:rPr>
                  <w:rStyle w:val="Hyperlink"/>
                  <w:rFonts w:ascii="Arial" w:hAnsi="Arial" w:cs="Arial"/>
                </w:rPr>
                <w:t>Springer</w:t>
              </w:r>
            </w:hyperlink>
          </w:p>
        </w:tc>
        <w:tc>
          <w:tcPr>
            <w:tcW w:w="846" w:type="pct"/>
            <w:hideMark/>
          </w:tcPr>
          <w:p w14:paraId="79E7D25E" w14:textId="77777777" w:rsidR="00902E11" w:rsidRPr="00791A3F" w:rsidRDefault="00902E11" w:rsidP="00791A3F">
            <w:pPr>
              <w:spacing w:after="160" w:line="360" w:lineRule="auto"/>
              <w:rPr>
                <w:rFonts w:ascii="Arial" w:hAnsi="Arial" w:cs="Arial"/>
              </w:rPr>
            </w:pPr>
            <w:r w:rsidRPr="00791A3F">
              <w:rPr>
                <w:rFonts w:ascii="Arial" w:hAnsi="Arial" w:cs="Arial"/>
              </w:rPr>
              <w:t>Examine how institutional and stakeholder pressures jointly shape CSR strategy adoption</w:t>
            </w:r>
          </w:p>
        </w:tc>
        <w:tc>
          <w:tcPr>
            <w:tcW w:w="686" w:type="pct"/>
            <w:hideMark/>
          </w:tcPr>
          <w:p w14:paraId="4D7E5AA8" w14:textId="77777777" w:rsidR="00902E11" w:rsidRPr="00791A3F" w:rsidRDefault="00902E11" w:rsidP="00791A3F">
            <w:pPr>
              <w:spacing w:after="160" w:line="360" w:lineRule="auto"/>
              <w:rPr>
                <w:rFonts w:ascii="Arial" w:hAnsi="Arial" w:cs="Arial"/>
              </w:rPr>
            </w:pPr>
            <w:r w:rsidRPr="00791A3F">
              <w:rPr>
                <w:rFonts w:ascii="Arial" w:hAnsi="Arial" w:cs="Arial"/>
              </w:rPr>
              <w:t>Cross-sectional survey; 99 firms; Multiple industries; Regression analysis</w:t>
            </w:r>
          </w:p>
        </w:tc>
        <w:tc>
          <w:tcPr>
            <w:tcW w:w="824" w:type="pct"/>
            <w:hideMark/>
          </w:tcPr>
          <w:p w14:paraId="0368B846" w14:textId="77777777" w:rsidR="00902E11" w:rsidRPr="00791A3F" w:rsidRDefault="00902E11" w:rsidP="00791A3F">
            <w:pPr>
              <w:spacing w:after="160" w:line="360" w:lineRule="auto"/>
              <w:rPr>
                <w:rFonts w:ascii="Arial" w:hAnsi="Arial" w:cs="Arial"/>
              </w:rPr>
            </w:pPr>
            <w:r w:rsidRPr="00791A3F">
              <w:rPr>
                <w:rFonts w:ascii="Arial" w:hAnsi="Arial" w:cs="Arial"/>
              </w:rPr>
              <w:t>Institutional and stakeholder pressures interact; coercive institutional forces drive symbolic compliance whilst normative stakeholder engagement fosters substantive integration</w:t>
            </w:r>
          </w:p>
        </w:tc>
        <w:tc>
          <w:tcPr>
            <w:tcW w:w="830" w:type="pct"/>
            <w:hideMark/>
          </w:tcPr>
          <w:p w14:paraId="637215B7" w14:textId="77777777" w:rsidR="00902E11" w:rsidRPr="00791A3F" w:rsidRDefault="00902E11" w:rsidP="00791A3F">
            <w:pPr>
              <w:spacing w:after="160" w:line="360" w:lineRule="auto"/>
              <w:rPr>
                <w:rFonts w:ascii="Arial" w:hAnsi="Arial" w:cs="Arial"/>
              </w:rPr>
            </w:pPr>
            <w:r w:rsidRPr="00791A3F">
              <w:rPr>
                <w:rFonts w:ascii="Arial" w:hAnsi="Arial" w:cs="Arial"/>
              </w:rPr>
              <w:t>Provides theoretical foundation for understanding dual pressures (regulatory vs stakeholder-driven) shaping UK retail CSR evolution since 2005</w:t>
            </w:r>
          </w:p>
        </w:tc>
      </w:tr>
      <w:tr w:rsidR="00902E11" w:rsidRPr="00791A3F" w14:paraId="5B25509A" w14:textId="77777777" w:rsidTr="007A6F53">
        <w:tc>
          <w:tcPr>
            <w:tcW w:w="1814" w:type="pct"/>
            <w:hideMark/>
          </w:tcPr>
          <w:p w14:paraId="71118E55"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Corporate social responsibility: Evolution through institutional and stakeholder perspectives</w:t>
            </w:r>
          </w:p>
          <w:p w14:paraId="498E3ACE"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Jamali &amp; Karam (2018)</w:t>
            </w:r>
          </w:p>
          <w:p w14:paraId="7072C846"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Link:</w:t>
            </w:r>
            <w:r w:rsidRPr="00791A3F">
              <w:rPr>
                <w:rFonts w:ascii="Arial" w:hAnsi="Arial" w:cs="Arial"/>
              </w:rPr>
              <w:t> </w:t>
            </w:r>
            <w:hyperlink r:id="rId10" w:tgtFrame="_blank" w:history="1">
              <w:r w:rsidRPr="00791A3F">
                <w:rPr>
                  <w:rStyle w:val="Hyperlink"/>
                  <w:rFonts w:ascii="Arial" w:hAnsi="Arial" w:cs="Arial"/>
                </w:rPr>
                <w:t>ScienceDirect</w:t>
              </w:r>
            </w:hyperlink>
          </w:p>
        </w:tc>
        <w:tc>
          <w:tcPr>
            <w:tcW w:w="846" w:type="pct"/>
            <w:hideMark/>
          </w:tcPr>
          <w:p w14:paraId="7E7A24A8"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Trace CSR evolution through combined theoretical lenses; identify convergence patterns</w:t>
            </w:r>
          </w:p>
        </w:tc>
        <w:tc>
          <w:tcPr>
            <w:tcW w:w="686" w:type="pct"/>
            <w:hideMark/>
          </w:tcPr>
          <w:p w14:paraId="2EDD2B5B" w14:textId="77777777" w:rsidR="00902E11" w:rsidRPr="00791A3F" w:rsidRDefault="00902E11" w:rsidP="00791A3F">
            <w:pPr>
              <w:spacing w:after="160" w:line="360" w:lineRule="auto"/>
              <w:rPr>
                <w:rFonts w:ascii="Arial" w:hAnsi="Arial" w:cs="Arial"/>
              </w:rPr>
            </w:pPr>
            <w:r w:rsidRPr="00791A3F">
              <w:rPr>
                <w:rFonts w:ascii="Arial" w:hAnsi="Arial" w:cs="Arial"/>
              </w:rPr>
              <w:t>Systematic literature review; 1970–2015; Conceptual synthesis</w:t>
            </w:r>
          </w:p>
        </w:tc>
        <w:tc>
          <w:tcPr>
            <w:tcW w:w="824" w:type="pct"/>
            <w:hideMark/>
          </w:tcPr>
          <w:p w14:paraId="75D5124E" w14:textId="77777777" w:rsidR="00902E11" w:rsidRPr="00791A3F" w:rsidRDefault="00902E11" w:rsidP="00791A3F">
            <w:pPr>
              <w:spacing w:after="160" w:line="360" w:lineRule="auto"/>
              <w:rPr>
                <w:rFonts w:ascii="Arial" w:hAnsi="Arial" w:cs="Arial"/>
              </w:rPr>
            </w:pPr>
            <w:r w:rsidRPr="00791A3F">
              <w:rPr>
                <w:rFonts w:ascii="Arial" w:hAnsi="Arial" w:cs="Arial"/>
              </w:rPr>
              <w:t>CSR legitimacy increasingly requires simultaneous institutional compliance and stakeholder accountability; tension between efficiency and ethics persists</w:t>
            </w:r>
          </w:p>
        </w:tc>
        <w:tc>
          <w:tcPr>
            <w:tcW w:w="830" w:type="pct"/>
            <w:hideMark/>
          </w:tcPr>
          <w:p w14:paraId="0A2C28C9"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Supports dual-theory framework (institutional + stakeholder) for </w:t>
            </w:r>
            <w:proofErr w:type="spellStart"/>
            <w:r w:rsidRPr="00791A3F">
              <w:rPr>
                <w:rFonts w:ascii="Arial" w:hAnsi="Arial" w:cs="Arial"/>
              </w:rPr>
              <w:t>analysing</w:t>
            </w:r>
            <w:proofErr w:type="spellEnd"/>
            <w:r w:rsidRPr="00791A3F">
              <w:rPr>
                <w:rFonts w:ascii="Arial" w:hAnsi="Arial" w:cs="Arial"/>
              </w:rPr>
              <w:t xml:space="preserve"> UK food retail CSR authenticity</w:t>
            </w:r>
          </w:p>
        </w:tc>
      </w:tr>
      <w:tr w:rsidR="00902E11" w:rsidRPr="00791A3F" w14:paraId="0C2458FC" w14:textId="77777777" w:rsidTr="007A6F53">
        <w:tc>
          <w:tcPr>
            <w:tcW w:w="1814" w:type="pct"/>
            <w:hideMark/>
          </w:tcPr>
          <w:p w14:paraId="41921CE1"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Corporate Social Responsibility and Stakeholder Theory: An Integrated Review</w:t>
            </w:r>
          </w:p>
          <w:p w14:paraId="1D6AC406"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Sardana et al. (2024)</w:t>
            </w:r>
          </w:p>
          <w:p w14:paraId="23EEDD51"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1" w:tgtFrame="_blank" w:history="1">
              <w:r w:rsidRPr="00791A3F">
                <w:rPr>
                  <w:rStyle w:val="Hyperlink"/>
                  <w:rFonts w:ascii="Arial" w:hAnsi="Arial" w:cs="Arial"/>
                </w:rPr>
                <w:t>Academia.edu</w:t>
              </w:r>
            </w:hyperlink>
          </w:p>
        </w:tc>
        <w:tc>
          <w:tcPr>
            <w:tcW w:w="846" w:type="pct"/>
            <w:hideMark/>
          </w:tcPr>
          <w:p w14:paraId="1DAD3CAD"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t>Synthesise</w:t>
            </w:r>
            <w:proofErr w:type="spellEnd"/>
            <w:r w:rsidRPr="00791A3F">
              <w:rPr>
                <w:rFonts w:ascii="Arial" w:hAnsi="Arial" w:cs="Arial"/>
              </w:rPr>
              <w:t xml:space="preserve"> stakeholder theory applications in CSR research; identify implementation challenges</w:t>
            </w:r>
          </w:p>
        </w:tc>
        <w:tc>
          <w:tcPr>
            <w:tcW w:w="686" w:type="pct"/>
            <w:hideMark/>
          </w:tcPr>
          <w:p w14:paraId="19FD80EE" w14:textId="77777777" w:rsidR="00902E11" w:rsidRPr="00791A3F" w:rsidRDefault="00902E11" w:rsidP="00791A3F">
            <w:pPr>
              <w:spacing w:after="160" w:line="360" w:lineRule="auto"/>
              <w:rPr>
                <w:rFonts w:ascii="Arial" w:hAnsi="Arial" w:cs="Arial"/>
              </w:rPr>
            </w:pPr>
            <w:r w:rsidRPr="00791A3F">
              <w:rPr>
                <w:rFonts w:ascii="Arial" w:hAnsi="Arial" w:cs="Arial"/>
              </w:rPr>
              <w:t>Meta-review; 150+ studies; Thematic analysis</w:t>
            </w:r>
          </w:p>
        </w:tc>
        <w:tc>
          <w:tcPr>
            <w:tcW w:w="824" w:type="pct"/>
            <w:hideMark/>
          </w:tcPr>
          <w:p w14:paraId="2D47FA43" w14:textId="77777777" w:rsidR="00902E11" w:rsidRPr="00791A3F" w:rsidRDefault="00902E11" w:rsidP="00791A3F">
            <w:pPr>
              <w:spacing w:after="160" w:line="360" w:lineRule="auto"/>
              <w:rPr>
                <w:rFonts w:ascii="Arial" w:hAnsi="Arial" w:cs="Arial"/>
              </w:rPr>
            </w:pPr>
            <w:r w:rsidRPr="00791A3F">
              <w:rPr>
                <w:rFonts w:ascii="Arial" w:hAnsi="Arial" w:cs="Arial"/>
              </w:rPr>
              <w:t>Stakeholder salience (power, legitimacy, urgency) determines CSR priority areas; gaps persist between stakeholder identification and meaningful engagement</w:t>
            </w:r>
          </w:p>
        </w:tc>
        <w:tc>
          <w:tcPr>
            <w:tcW w:w="830" w:type="pct"/>
            <w:hideMark/>
          </w:tcPr>
          <w:p w14:paraId="3D58A0FA" w14:textId="77777777" w:rsidR="00902E11" w:rsidRPr="00791A3F" w:rsidRDefault="00902E11" w:rsidP="00791A3F">
            <w:pPr>
              <w:spacing w:after="160" w:line="360" w:lineRule="auto"/>
              <w:rPr>
                <w:rFonts w:ascii="Arial" w:hAnsi="Arial" w:cs="Arial"/>
              </w:rPr>
            </w:pPr>
            <w:r w:rsidRPr="00791A3F">
              <w:rPr>
                <w:rFonts w:ascii="Arial" w:hAnsi="Arial" w:cs="Arial"/>
              </w:rPr>
              <w:t>Informs stakeholder-centric evaluation of UK retailers' CSR across employee welfare, community engagement, and supplier relations</w:t>
            </w:r>
          </w:p>
        </w:tc>
      </w:tr>
      <w:tr w:rsidR="00902E11" w:rsidRPr="00791A3F" w14:paraId="539DBCD8" w14:textId="77777777" w:rsidTr="007A6F53">
        <w:tc>
          <w:tcPr>
            <w:tcW w:w="1814" w:type="pct"/>
            <w:hideMark/>
          </w:tcPr>
          <w:p w14:paraId="69767DEE"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Stakeholders, stakeholder theory and Corporate Social Responsibility (CSR)</w:t>
            </w:r>
          </w:p>
          <w:p w14:paraId="01CA111F"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Sharma et al. (2024)</w:t>
            </w:r>
          </w:p>
          <w:p w14:paraId="3FFF76D4"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2" w:tgtFrame="_blank" w:history="1">
              <w:r w:rsidRPr="00791A3F">
                <w:rPr>
                  <w:rStyle w:val="Hyperlink"/>
                  <w:rFonts w:ascii="Arial" w:hAnsi="Arial" w:cs="Arial"/>
                </w:rPr>
                <w:t>Springer JCSR</w:t>
              </w:r>
            </w:hyperlink>
          </w:p>
        </w:tc>
        <w:tc>
          <w:tcPr>
            <w:tcW w:w="846" w:type="pct"/>
            <w:hideMark/>
          </w:tcPr>
          <w:p w14:paraId="467E6F12" w14:textId="77777777" w:rsidR="00902E11" w:rsidRPr="00791A3F" w:rsidRDefault="00902E11" w:rsidP="00791A3F">
            <w:pPr>
              <w:spacing w:after="160" w:line="360" w:lineRule="auto"/>
              <w:rPr>
                <w:rFonts w:ascii="Arial" w:hAnsi="Arial" w:cs="Arial"/>
              </w:rPr>
            </w:pPr>
            <w:r w:rsidRPr="00791A3F">
              <w:rPr>
                <w:rFonts w:ascii="Arial" w:hAnsi="Arial" w:cs="Arial"/>
              </w:rPr>
              <w:t>Examine contemporary stakeholder theory relevance; assess CSR accountability mechanisms</w:t>
            </w:r>
          </w:p>
        </w:tc>
        <w:tc>
          <w:tcPr>
            <w:tcW w:w="686" w:type="pct"/>
            <w:hideMark/>
          </w:tcPr>
          <w:p w14:paraId="7B77DE07"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2015–2023; Framework development</w:t>
            </w:r>
          </w:p>
        </w:tc>
        <w:tc>
          <w:tcPr>
            <w:tcW w:w="824" w:type="pct"/>
            <w:hideMark/>
          </w:tcPr>
          <w:p w14:paraId="408DA03D"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Digital transparency tools empower stakeholder scrutiny; ESG investment frameworks </w:t>
            </w:r>
            <w:proofErr w:type="spellStart"/>
            <w:r w:rsidRPr="00791A3F">
              <w:rPr>
                <w:rFonts w:ascii="Arial" w:hAnsi="Arial" w:cs="Arial"/>
              </w:rPr>
              <w:t>institutionalise</w:t>
            </w:r>
            <w:proofErr w:type="spellEnd"/>
            <w:r w:rsidRPr="00791A3F">
              <w:rPr>
                <w:rFonts w:ascii="Arial" w:hAnsi="Arial" w:cs="Arial"/>
              </w:rPr>
              <w:t xml:space="preserve"> accountability; symbolic CSR increasingly untenable</w:t>
            </w:r>
          </w:p>
        </w:tc>
        <w:tc>
          <w:tcPr>
            <w:tcW w:w="830" w:type="pct"/>
            <w:hideMark/>
          </w:tcPr>
          <w:p w14:paraId="14491B01"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t>Contextualises</w:t>
            </w:r>
            <w:proofErr w:type="spellEnd"/>
            <w:r w:rsidRPr="00791A3F">
              <w:rPr>
                <w:rFonts w:ascii="Arial" w:hAnsi="Arial" w:cs="Arial"/>
              </w:rPr>
              <w:t xml:space="preserve"> heightened accountability ecosystem (ESG ratings, digital platforms) transforming UK retail CSR since Jones et al. (2005)</w:t>
            </w:r>
          </w:p>
        </w:tc>
      </w:tr>
      <w:tr w:rsidR="00902E11" w:rsidRPr="00791A3F" w14:paraId="1D90718D" w14:textId="77777777" w:rsidTr="007A6F53">
        <w:tc>
          <w:tcPr>
            <w:tcW w:w="1814" w:type="pct"/>
            <w:hideMark/>
          </w:tcPr>
          <w:p w14:paraId="65628F3F"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The Relationship </w:t>
            </w:r>
            <w:r w:rsidRPr="00791A3F">
              <w:rPr>
                <w:rFonts w:ascii="Arial" w:hAnsi="Arial" w:cs="Arial"/>
              </w:rPr>
              <w:lastRenderedPageBreak/>
              <w:t>between Stakeholder Theory and Corporate Social Responsibility</w:t>
            </w:r>
          </w:p>
          <w:p w14:paraId="111E497E"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Miles (2017)</w:t>
            </w:r>
          </w:p>
          <w:p w14:paraId="51F625F0"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3" w:tgtFrame="_blank" w:history="1">
              <w:r w:rsidRPr="00791A3F">
                <w:rPr>
                  <w:rStyle w:val="Hyperlink"/>
                  <w:rFonts w:ascii="Arial" w:hAnsi="Arial" w:cs="Arial"/>
                </w:rPr>
                <w:t>Wiley</w:t>
              </w:r>
            </w:hyperlink>
          </w:p>
        </w:tc>
        <w:tc>
          <w:tcPr>
            <w:tcW w:w="846" w:type="pct"/>
            <w:hideMark/>
          </w:tcPr>
          <w:p w14:paraId="6B1A46BF"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Clarify conceptual </w:t>
            </w:r>
            <w:r w:rsidRPr="00791A3F">
              <w:rPr>
                <w:rFonts w:ascii="Arial" w:hAnsi="Arial" w:cs="Arial"/>
              </w:rPr>
              <w:lastRenderedPageBreak/>
              <w:t>distinctions and overlaps between stakeholder theory and CSR frameworks</w:t>
            </w:r>
          </w:p>
        </w:tc>
        <w:tc>
          <w:tcPr>
            <w:tcW w:w="686" w:type="pct"/>
            <w:hideMark/>
          </w:tcPr>
          <w:p w14:paraId="6A18F011"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Conceptual </w:t>
            </w:r>
            <w:r w:rsidRPr="00791A3F">
              <w:rPr>
                <w:rFonts w:ascii="Arial" w:hAnsi="Arial" w:cs="Arial"/>
              </w:rPr>
              <w:lastRenderedPageBreak/>
              <w:t>analysis; Theoretical synthesis</w:t>
            </w:r>
          </w:p>
        </w:tc>
        <w:tc>
          <w:tcPr>
            <w:tcW w:w="824" w:type="pct"/>
            <w:hideMark/>
          </w:tcPr>
          <w:p w14:paraId="59BE9E8E"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Stakeholder theory provides normative </w:t>
            </w:r>
            <w:r w:rsidRPr="00791A3F">
              <w:rPr>
                <w:rFonts w:ascii="Arial" w:hAnsi="Arial" w:cs="Arial"/>
              </w:rPr>
              <w:lastRenderedPageBreak/>
              <w:t>foundation for CSR obligations; instrumental stakeholder management explains strategic CSR adoption</w:t>
            </w:r>
          </w:p>
        </w:tc>
        <w:tc>
          <w:tcPr>
            <w:tcW w:w="830" w:type="pct"/>
            <w:hideMark/>
          </w:tcPr>
          <w:p w14:paraId="00D59A63"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Justifies stakeholder </w:t>
            </w:r>
            <w:r w:rsidRPr="00791A3F">
              <w:rPr>
                <w:rFonts w:ascii="Arial" w:hAnsi="Arial" w:cs="Arial"/>
              </w:rPr>
              <w:lastRenderedPageBreak/>
              <w:t>accountability as core dimension of substantive CSR evaluation framework</w:t>
            </w:r>
          </w:p>
        </w:tc>
      </w:tr>
      <w:tr w:rsidR="00902E11" w:rsidRPr="00791A3F" w14:paraId="68969A56" w14:textId="77777777" w:rsidTr="007A6F53">
        <w:tc>
          <w:tcPr>
            <w:tcW w:w="1814" w:type="pct"/>
            <w:hideMark/>
          </w:tcPr>
          <w:p w14:paraId="496100CB"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xml:space="preserve"> Corporate Social Responsibility and Stakeholder Theory: Learning </w:t>
            </w:r>
            <w:proofErr w:type="gramStart"/>
            <w:r w:rsidRPr="00791A3F">
              <w:rPr>
                <w:rFonts w:ascii="Arial" w:hAnsi="Arial" w:cs="Arial"/>
              </w:rPr>
              <w:t>From</w:t>
            </w:r>
            <w:proofErr w:type="gramEnd"/>
            <w:r w:rsidRPr="00791A3F">
              <w:rPr>
                <w:rFonts w:ascii="Arial" w:hAnsi="Arial" w:cs="Arial"/>
              </w:rPr>
              <w:t xml:space="preserve"> Each Other</w:t>
            </w:r>
          </w:p>
          <w:p w14:paraId="29685788"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Laplume et al. (2008)</w:t>
            </w:r>
          </w:p>
          <w:p w14:paraId="22F2CE3B"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4" w:tgtFrame="_blank" w:history="1">
              <w:r w:rsidRPr="00791A3F">
                <w:rPr>
                  <w:rStyle w:val="Hyperlink"/>
                  <w:rFonts w:ascii="Arial" w:hAnsi="Arial" w:cs="Arial"/>
                </w:rPr>
                <w:t>ResearchGate</w:t>
              </w:r>
            </w:hyperlink>
          </w:p>
        </w:tc>
        <w:tc>
          <w:tcPr>
            <w:tcW w:w="846" w:type="pct"/>
            <w:hideMark/>
          </w:tcPr>
          <w:p w14:paraId="57DE6E65" w14:textId="77777777" w:rsidR="00902E11" w:rsidRPr="00791A3F" w:rsidRDefault="00902E11" w:rsidP="00791A3F">
            <w:pPr>
              <w:spacing w:after="160" w:line="360" w:lineRule="auto"/>
              <w:rPr>
                <w:rFonts w:ascii="Arial" w:hAnsi="Arial" w:cs="Arial"/>
              </w:rPr>
            </w:pPr>
            <w:r w:rsidRPr="00791A3F">
              <w:rPr>
                <w:rFonts w:ascii="Arial" w:hAnsi="Arial" w:cs="Arial"/>
              </w:rPr>
              <w:t>Explore theoretical complementarities; propose integrated research agenda</w:t>
            </w:r>
          </w:p>
        </w:tc>
        <w:tc>
          <w:tcPr>
            <w:tcW w:w="686" w:type="pct"/>
            <w:hideMark/>
          </w:tcPr>
          <w:p w14:paraId="0B3E050B" w14:textId="77777777" w:rsidR="00902E11" w:rsidRPr="00791A3F" w:rsidRDefault="00902E11" w:rsidP="00791A3F">
            <w:pPr>
              <w:spacing w:after="160" w:line="360" w:lineRule="auto"/>
              <w:rPr>
                <w:rFonts w:ascii="Arial" w:hAnsi="Arial" w:cs="Arial"/>
              </w:rPr>
            </w:pPr>
            <w:r w:rsidRPr="00791A3F">
              <w:rPr>
                <w:rFonts w:ascii="Arial" w:hAnsi="Arial" w:cs="Arial"/>
              </w:rPr>
              <w:t>Conceptual review; Theory triangulation</w:t>
            </w:r>
          </w:p>
        </w:tc>
        <w:tc>
          <w:tcPr>
            <w:tcW w:w="824" w:type="pct"/>
            <w:hideMark/>
          </w:tcPr>
          <w:p w14:paraId="65541D22" w14:textId="77777777" w:rsidR="00902E11" w:rsidRPr="00791A3F" w:rsidRDefault="00902E11" w:rsidP="00791A3F">
            <w:pPr>
              <w:spacing w:after="160" w:line="360" w:lineRule="auto"/>
              <w:rPr>
                <w:rFonts w:ascii="Arial" w:hAnsi="Arial" w:cs="Arial"/>
              </w:rPr>
            </w:pPr>
            <w:r w:rsidRPr="00791A3F">
              <w:rPr>
                <w:rFonts w:ascii="Arial" w:hAnsi="Arial" w:cs="Arial"/>
              </w:rPr>
              <w:t>Stakeholder theory enriches CSR with accountability mechanisms; CSR research provides empirical validation of stakeholder propositions</w:t>
            </w:r>
          </w:p>
        </w:tc>
        <w:tc>
          <w:tcPr>
            <w:tcW w:w="830" w:type="pct"/>
            <w:hideMark/>
          </w:tcPr>
          <w:p w14:paraId="66EE8CA6" w14:textId="77777777" w:rsidR="00902E11" w:rsidRPr="00791A3F" w:rsidRDefault="00902E11" w:rsidP="00791A3F">
            <w:pPr>
              <w:spacing w:after="160" w:line="360" w:lineRule="auto"/>
              <w:rPr>
                <w:rFonts w:ascii="Arial" w:hAnsi="Arial" w:cs="Arial"/>
              </w:rPr>
            </w:pPr>
            <w:r w:rsidRPr="00791A3F">
              <w:rPr>
                <w:rFonts w:ascii="Arial" w:hAnsi="Arial" w:cs="Arial"/>
              </w:rPr>
              <w:t>Reinforces theoretical integration underpinning this study's conceptual framework</w:t>
            </w:r>
          </w:p>
        </w:tc>
      </w:tr>
      <w:tr w:rsidR="00902E11" w:rsidRPr="00791A3F" w14:paraId="14A7A885" w14:textId="77777777" w:rsidTr="007A6F53">
        <w:tc>
          <w:tcPr>
            <w:tcW w:w="1814" w:type="pct"/>
            <w:hideMark/>
          </w:tcPr>
          <w:p w14:paraId="74ABD3DE"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Cooperative governance under increasing member diversity: Towards a new theoretical framework</w:t>
            </w:r>
          </w:p>
          <w:p w14:paraId="7EEBEACC"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Authors:</w:t>
            </w:r>
            <w:r w:rsidRPr="00791A3F">
              <w:rPr>
                <w:rFonts w:ascii="Arial" w:hAnsi="Arial" w:cs="Arial"/>
              </w:rPr>
              <w:t> Hernández-</w:t>
            </w:r>
            <w:proofErr w:type="spellStart"/>
            <w:r w:rsidRPr="00791A3F">
              <w:rPr>
                <w:rFonts w:ascii="Arial" w:hAnsi="Arial" w:cs="Arial"/>
              </w:rPr>
              <w:t>Espallardo</w:t>
            </w:r>
            <w:proofErr w:type="spellEnd"/>
            <w:r w:rsidRPr="00791A3F">
              <w:rPr>
                <w:rFonts w:ascii="Arial" w:hAnsi="Arial" w:cs="Arial"/>
              </w:rPr>
              <w:t xml:space="preserve"> et al. (2021)</w:t>
            </w:r>
          </w:p>
          <w:p w14:paraId="3B9B9DC1"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5" w:tgtFrame="_blank" w:history="1">
              <w:r w:rsidRPr="00791A3F">
                <w:rPr>
                  <w:rStyle w:val="Hyperlink"/>
                  <w:rFonts w:ascii="Arial" w:hAnsi="Arial" w:cs="Arial"/>
                </w:rPr>
                <w:t>ScienceDirect</w:t>
              </w:r>
            </w:hyperlink>
          </w:p>
        </w:tc>
        <w:tc>
          <w:tcPr>
            <w:tcW w:w="846" w:type="pct"/>
            <w:hideMark/>
          </w:tcPr>
          <w:p w14:paraId="5BFFC283"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lastRenderedPageBreak/>
              <w:t>Analyse</w:t>
            </w:r>
            <w:proofErr w:type="spellEnd"/>
            <w:r w:rsidRPr="00791A3F">
              <w:rPr>
                <w:rFonts w:ascii="Arial" w:hAnsi="Arial" w:cs="Arial"/>
              </w:rPr>
              <w:t xml:space="preserve"> how cooperative governance structures influence CSR commitment</w:t>
            </w:r>
          </w:p>
        </w:tc>
        <w:tc>
          <w:tcPr>
            <w:tcW w:w="686" w:type="pct"/>
            <w:hideMark/>
          </w:tcPr>
          <w:p w14:paraId="7DD60DC7" w14:textId="77777777" w:rsidR="00902E11" w:rsidRPr="00791A3F" w:rsidRDefault="00902E11" w:rsidP="00791A3F">
            <w:pPr>
              <w:spacing w:after="160" w:line="360" w:lineRule="auto"/>
              <w:rPr>
                <w:rFonts w:ascii="Arial" w:hAnsi="Arial" w:cs="Arial"/>
              </w:rPr>
            </w:pPr>
            <w:r w:rsidRPr="00791A3F">
              <w:rPr>
                <w:rFonts w:ascii="Arial" w:hAnsi="Arial" w:cs="Arial"/>
              </w:rPr>
              <w:t>Case studies; 3 European cooperatives; Qualitative interviews</w:t>
            </w:r>
          </w:p>
        </w:tc>
        <w:tc>
          <w:tcPr>
            <w:tcW w:w="824" w:type="pct"/>
            <w:hideMark/>
          </w:tcPr>
          <w:p w14:paraId="17DB849B"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Democratic governance and member ownership structurally align with stakeholder accountability; tensions emerge between social </w:t>
            </w:r>
            <w:r w:rsidRPr="00791A3F">
              <w:rPr>
                <w:rFonts w:ascii="Arial" w:hAnsi="Arial" w:cs="Arial"/>
              </w:rPr>
              <w:lastRenderedPageBreak/>
              <w:t>mission and competitive pressures</w:t>
            </w:r>
          </w:p>
        </w:tc>
        <w:tc>
          <w:tcPr>
            <w:tcW w:w="830" w:type="pct"/>
            <w:hideMark/>
          </w:tcPr>
          <w:p w14:paraId="5B7AE4C8"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Critical for RO4: assessing whether cooperative business model (Co-op) demonstrate</w:t>
            </w:r>
            <w:r w:rsidRPr="00791A3F">
              <w:rPr>
                <w:rFonts w:ascii="Arial" w:hAnsi="Arial" w:cs="Arial"/>
              </w:rPr>
              <w:lastRenderedPageBreak/>
              <w:t>s deeper CSR integration than shareholder-led models</w:t>
            </w:r>
          </w:p>
        </w:tc>
      </w:tr>
      <w:tr w:rsidR="00902E11" w:rsidRPr="00791A3F" w14:paraId="34E8DED6" w14:textId="77777777" w:rsidTr="007A6F53">
        <w:tc>
          <w:tcPr>
            <w:tcW w:w="1814" w:type="pct"/>
            <w:hideMark/>
          </w:tcPr>
          <w:p w14:paraId="7EF8C450"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Does Sustainability Report Assurance Matter? Symbolic Versus Substantive ESG Greenwashing</w:t>
            </w:r>
          </w:p>
          <w:p w14:paraId="289034A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w:t>
            </w:r>
            <w:proofErr w:type="spellStart"/>
            <w:r w:rsidRPr="00791A3F">
              <w:rPr>
                <w:rFonts w:ascii="Arial" w:hAnsi="Arial" w:cs="Arial"/>
              </w:rPr>
              <w:t>Kusumawardani</w:t>
            </w:r>
            <w:proofErr w:type="spellEnd"/>
            <w:r w:rsidRPr="00791A3F">
              <w:rPr>
                <w:rFonts w:ascii="Arial" w:hAnsi="Arial" w:cs="Arial"/>
              </w:rPr>
              <w:t xml:space="preserve"> &amp; </w:t>
            </w:r>
            <w:proofErr w:type="spellStart"/>
            <w:r w:rsidRPr="00791A3F">
              <w:rPr>
                <w:rFonts w:ascii="Arial" w:hAnsi="Arial" w:cs="Arial"/>
              </w:rPr>
              <w:t>Dwiridotjahjono</w:t>
            </w:r>
            <w:proofErr w:type="spellEnd"/>
            <w:r w:rsidRPr="00791A3F">
              <w:rPr>
                <w:rFonts w:ascii="Arial" w:hAnsi="Arial" w:cs="Arial"/>
              </w:rPr>
              <w:t xml:space="preserve"> (2024)</w:t>
            </w:r>
          </w:p>
          <w:p w14:paraId="3F40298E"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proofErr w:type="spellStart"/>
            <w:r w:rsidRPr="00791A3F">
              <w:rPr>
                <w:rFonts w:ascii="Arial" w:hAnsi="Arial" w:cs="Arial"/>
              </w:rPr>
              <w:fldChar w:fldCharType="begin"/>
            </w:r>
            <w:r w:rsidRPr="00791A3F">
              <w:rPr>
                <w:rFonts w:ascii="Arial" w:hAnsi="Arial" w:cs="Arial"/>
              </w:rPr>
              <w:instrText>HYPERLINK "https://scholarhub.ui.ac.id/jaki/vol23/iss1/4/" \t "_blank"</w:instrText>
            </w:r>
            <w:r w:rsidRPr="00791A3F">
              <w:rPr>
                <w:rFonts w:ascii="Arial" w:hAnsi="Arial" w:cs="Arial"/>
              </w:rPr>
            </w:r>
            <w:r w:rsidRPr="00791A3F">
              <w:rPr>
                <w:rFonts w:ascii="Arial" w:hAnsi="Arial" w:cs="Arial"/>
              </w:rPr>
              <w:fldChar w:fldCharType="separate"/>
            </w:r>
            <w:r w:rsidRPr="00791A3F">
              <w:rPr>
                <w:rStyle w:val="Hyperlink"/>
                <w:rFonts w:ascii="Arial" w:hAnsi="Arial" w:cs="Arial"/>
              </w:rPr>
              <w:t>ScholarHub</w:t>
            </w:r>
            <w:proofErr w:type="spellEnd"/>
            <w:r w:rsidRPr="00791A3F">
              <w:rPr>
                <w:rFonts w:ascii="Arial" w:hAnsi="Arial" w:cs="Arial"/>
              </w:rPr>
              <w:fldChar w:fldCharType="end"/>
            </w:r>
          </w:p>
        </w:tc>
        <w:tc>
          <w:tcPr>
            <w:tcW w:w="846" w:type="pct"/>
            <w:hideMark/>
          </w:tcPr>
          <w:p w14:paraId="1B870C59" w14:textId="77777777" w:rsidR="00902E11" w:rsidRPr="00791A3F" w:rsidRDefault="00902E11" w:rsidP="00791A3F">
            <w:pPr>
              <w:spacing w:after="160" w:line="360" w:lineRule="auto"/>
              <w:rPr>
                <w:rFonts w:ascii="Arial" w:hAnsi="Arial" w:cs="Arial"/>
              </w:rPr>
            </w:pPr>
            <w:r w:rsidRPr="00791A3F">
              <w:rPr>
                <w:rFonts w:ascii="Arial" w:hAnsi="Arial" w:cs="Arial"/>
              </w:rPr>
              <w:t>Test whether third-party assurance differentiates symbolic from substantive ESG reporting</w:t>
            </w:r>
          </w:p>
        </w:tc>
        <w:tc>
          <w:tcPr>
            <w:tcW w:w="686" w:type="pct"/>
            <w:hideMark/>
          </w:tcPr>
          <w:p w14:paraId="26F16B0E" w14:textId="77777777" w:rsidR="00902E11" w:rsidRPr="00791A3F" w:rsidRDefault="00902E11" w:rsidP="00791A3F">
            <w:pPr>
              <w:spacing w:after="160" w:line="360" w:lineRule="auto"/>
              <w:rPr>
                <w:rFonts w:ascii="Arial" w:hAnsi="Arial" w:cs="Arial"/>
              </w:rPr>
            </w:pPr>
            <w:r w:rsidRPr="00791A3F">
              <w:rPr>
                <w:rFonts w:ascii="Arial" w:hAnsi="Arial" w:cs="Arial"/>
              </w:rPr>
              <w:t>Quantitative; 200 Indonesian firms; 2018–2021; Regression</w:t>
            </w:r>
          </w:p>
        </w:tc>
        <w:tc>
          <w:tcPr>
            <w:tcW w:w="824" w:type="pct"/>
            <w:hideMark/>
          </w:tcPr>
          <w:p w14:paraId="16A4BED2" w14:textId="77777777" w:rsidR="00902E11" w:rsidRPr="00791A3F" w:rsidRDefault="00902E11" w:rsidP="00791A3F">
            <w:pPr>
              <w:spacing w:after="160" w:line="360" w:lineRule="auto"/>
              <w:rPr>
                <w:rFonts w:ascii="Arial" w:hAnsi="Arial" w:cs="Arial"/>
              </w:rPr>
            </w:pPr>
            <w:r w:rsidRPr="00791A3F">
              <w:rPr>
                <w:rFonts w:ascii="Arial" w:hAnsi="Arial" w:cs="Arial"/>
              </w:rPr>
              <w:t>External assurance correlates with higher ESG performance scores; however, assurance scope variability enables selective verification</w:t>
            </w:r>
          </w:p>
        </w:tc>
        <w:tc>
          <w:tcPr>
            <w:tcW w:w="830" w:type="pct"/>
            <w:hideMark/>
          </w:tcPr>
          <w:p w14:paraId="493943BF" w14:textId="77777777" w:rsidR="00902E11" w:rsidRPr="00791A3F" w:rsidRDefault="00902E11" w:rsidP="00791A3F">
            <w:pPr>
              <w:spacing w:after="160" w:line="360" w:lineRule="auto"/>
              <w:rPr>
                <w:rFonts w:ascii="Arial" w:hAnsi="Arial" w:cs="Arial"/>
              </w:rPr>
            </w:pPr>
            <w:r w:rsidRPr="00791A3F">
              <w:rPr>
                <w:rFonts w:ascii="Arial" w:hAnsi="Arial" w:cs="Arial"/>
              </w:rPr>
              <w:t>Informs verifiability criterion in evaluative framework; highlights importance of assurance quality not just presence</w:t>
            </w:r>
          </w:p>
        </w:tc>
      </w:tr>
      <w:tr w:rsidR="00902E11" w:rsidRPr="00791A3F" w14:paraId="1D13B37B" w14:textId="77777777" w:rsidTr="007A6F53">
        <w:tc>
          <w:tcPr>
            <w:tcW w:w="1814" w:type="pct"/>
            <w:hideMark/>
          </w:tcPr>
          <w:p w14:paraId="64B99986"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Concepts and forms of greenwashing: a systematic review</w:t>
            </w:r>
          </w:p>
          <w:p w14:paraId="3F438518"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Authors:</w:t>
            </w:r>
            <w:r w:rsidRPr="00791A3F">
              <w:rPr>
                <w:rFonts w:ascii="Arial" w:hAnsi="Arial" w:cs="Arial"/>
              </w:rPr>
              <w:t> de Freitas Netto et al. (2020)</w:t>
            </w:r>
          </w:p>
          <w:p w14:paraId="1C55B446"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6" w:tgtFrame="_blank" w:history="1">
              <w:r w:rsidRPr="00791A3F">
                <w:rPr>
                  <w:rStyle w:val="Hyperlink"/>
                  <w:rFonts w:ascii="Arial" w:hAnsi="Arial" w:cs="Arial"/>
                </w:rPr>
                <w:t>Springer</w:t>
              </w:r>
            </w:hyperlink>
          </w:p>
        </w:tc>
        <w:tc>
          <w:tcPr>
            <w:tcW w:w="846" w:type="pct"/>
            <w:hideMark/>
          </w:tcPr>
          <w:p w14:paraId="1EF1B102"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Develop comprehensive greenwashing taxonomy; identify detection mechanisms</w:t>
            </w:r>
          </w:p>
        </w:tc>
        <w:tc>
          <w:tcPr>
            <w:tcW w:w="686" w:type="pct"/>
            <w:hideMark/>
          </w:tcPr>
          <w:p w14:paraId="39204975"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87 studies; Conceptual framework</w:t>
            </w:r>
          </w:p>
        </w:tc>
        <w:tc>
          <w:tcPr>
            <w:tcW w:w="824" w:type="pct"/>
            <w:hideMark/>
          </w:tcPr>
          <w:p w14:paraId="26AEDC08" w14:textId="77777777" w:rsidR="00902E11" w:rsidRPr="00791A3F" w:rsidRDefault="00902E11" w:rsidP="00791A3F">
            <w:pPr>
              <w:spacing w:after="160" w:line="360" w:lineRule="auto"/>
              <w:rPr>
                <w:rFonts w:ascii="Arial" w:hAnsi="Arial" w:cs="Arial"/>
              </w:rPr>
            </w:pPr>
            <w:r w:rsidRPr="00791A3F">
              <w:rPr>
                <w:rFonts w:ascii="Arial" w:hAnsi="Arial" w:cs="Arial"/>
              </w:rPr>
              <w:t>Seven greenwashing types: hidden trade-offs, no proof, vagueness, false labels, irrelevance, lesser of two evils, fibbing; detection requires triangulation</w:t>
            </w:r>
          </w:p>
        </w:tc>
        <w:tc>
          <w:tcPr>
            <w:tcW w:w="830" w:type="pct"/>
            <w:hideMark/>
          </w:tcPr>
          <w:p w14:paraId="1D3BE02C"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Provides operational greenwashing indicators for </w:t>
            </w:r>
            <w:proofErr w:type="spellStart"/>
            <w:r w:rsidRPr="00791A3F">
              <w:rPr>
                <w:rFonts w:ascii="Arial" w:hAnsi="Arial" w:cs="Arial"/>
              </w:rPr>
              <w:t>analysing</w:t>
            </w:r>
            <w:proofErr w:type="spellEnd"/>
            <w:r w:rsidRPr="00791A3F">
              <w:rPr>
                <w:rFonts w:ascii="Arial" w:hAnsi="Arial" w:cs="Arial"/>
              </w:rPr>
              <w:t xml:space="preserve"> UK retailer environmental claims</w:t>
            </w:r>
          </w:p>
        </w:tc>
      </w:tr>
      <w:tr w:rsidR="00902E11" w:rsidRPr="00791A3F" w14:paraId="747C221C" w14:textId="77777777" w:rsidTr="007A6F53">
        <w:tc>
          <w:tcPr>
            <w:tcW w:w="1814" w:type="pct"/>
            <w:hideMark/>
          </w:tcPr>
          <w:p w14:paraId="17D931B4"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Identifying greenwashing in corporate-social responsibility reports using natural-language processing</w:t>
            </w:r>
          </w:p>
          <w:p w14:paraId="02548CD4"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Bose et al. (2024)</w:t>
            </w:r>
          </w:p>
          <w:p w14:paraId="00AB4A9B"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7" w:tgtFrame="_blank" w:history="1">
              <w:r w:rsidRPr="00791A3F">
                <w:rPr>
                  <w:rStyle w:val="Hyperlink"/>
                  <w:rFonts w:ascii="Arial" w:hAnsi="Arial" w:cs="Arial"/>
                </w:rPr>
                <w:t>Wiley</w:t>
              </w:r>
            </w:hyperlink>
          </w:p>
        </w:tc>
        <w:tc>
          <w:tcPr>
            <w:tcW w:w="846" w:type="pct"/>
            <w:hideMark/>
          </w:tcPr>
          <w:p w14:paraId="4659C885" w14:textId="77777777" w:rsidR="00902E11" w:rsidRPr="00791A3F" w:rsidRDefault="00902E11" w:rsidP="00791A3F">
            <w:pPr>
              <w:spacing w:after="160" w:line="360" w:lineRule="auto"/>
              <w:rPr>
                <w:rFonts w:ascii="Arial" w:hAnsi="Arial" w:cs="Arial"/>
              </w:rPr>
            </w:pPr>
            <w:r w:rsidRPr="00791A3F">
              <w:rPr>
                <w:rFonts w:ascii="Arial" w:hAnsi="Arial" w:cs="Arial"/>
              </w:rPr>
              <w:t>Develop automated greenwashing detection methodology; test on CSR reports</w:t>
            </w:r>
          </w:p>
        </w:tc>
        <w:tc>
          <w:tcPr>
            <w:tcW w:w="686" w:type="pct"/>
            <w:hideMark/>
          </w:tcPr>
          <w:p w14:paraId="7D6E673B" w14:textId="77777777" w:rsidR="00902E11" w:rsidRPr="00791A3F" w:rsidRDefault="00902E11" w:rsidP="00791A3F">
            <w:pPr>
              <w:spacing w:after="160" w:line="360" w:lineRule="auto"/>
              <w:rPr>
                <w:rFonts w:ascii="Arial" w:hAnsi="Arial" w:cs="Arial"/>
              </w:rPr>
            </w:pPr>
            <w:r w:rsidRPr="00791A3F">
              <w:rPr>
                <w:rFonts w:ascii="Arial" w:hAnsi="Arial" w:cs="Arial"/>
              </w:rPr>
              <w:t>Machine learning; 1,200+ CSR reports; NLP analysis</w:t>
            </w:r>
          </w:p>
        </w:tc>
        <w:tc>
          <w:tcPr>
            <w:tcW w:w="824" w:type="pct"/>
            <w:hideMark/>
          </w:tcPr>
          <w:p w14:paraId="0F7B3620" w14:textId="77777777" w:rsidR="00902E11" w:rsidRPr="00791A3F" w:rsidRDefault="00902E11" w:rsidP="00791A3F">
            <w:pPr>
              <w:spacing w:after="160" w:line="360" w:lineRule="auto"/>
              <w:rPr>
                <w:rFonts w:ascii="Arial" w:hAnsi="Arial" w:cs="Arial"/>
              </w:rPr>
            </w:pPr>
            <w:r w:rsidRPr="00791A3F">
              <w:rPr>
                <w:rFonts w:ascii="Arial" w:hAnsi="Arial" w:cs="Arial"/>
              </w:rPr>
              <w:t>Vague quantifiers, future-tense commitments, passive voice correlate with greenwashing; specific metrics and past-tense achievements indicate substance</w:t>
            </w:r>
          </w:p>
        </w:tc>
        <w:tc>
          <w:tcPr>
            <w:tcW w:w="830" w:type="pct"/>
            <w:hideMark/>
          </w:tcPr>
          <w:p w14:paraId="04D82E7D" w14:textId="77777777" w:rsidR="00902E11" w:rsidRPr="00791A3F" w:rsidRDefault="00902E11" w:rsidP="00791A3F">
            <w:pPr>
              <w:spacing w:after="160" w:line="360" w:lineRule="auto"/>
              <w:rPr>
                <w:rFonts w:ascii="Arial" w:hAnsi="Arial" w:cs="Arial"/>
              </w:rPr>
            </w:pPr>
            <w:r w:rsidRPr="00791A3F">
              <w:rPr>
                <w:rFonts w:ascii="Arial" w:hAnsi="Arial" w:cs="Arial"/>
              </w:rPr>
              <w:t>Methodological contribution: supports content analysis approach distinguishing aspirational language from measurable outcomes</w:t>
            </w:r>
          </w:p>
        </w:tc>
      </w:tr>
      <w:tr w:rsidR="00902E11" w:rsidRPr="00791A3F" w14:paraId="115CDC9B" w14:textId="77777777" w:rsidTr="007A6F53">
        <w:tc>
          <w:tcPr>
            <w:tcW w:w="1814" w:type="pct"/>
            <w:hideMark/>
          </w:tcPr>
          <w:p w14:paraId="59358EEC"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Symbolic Versus Substantive ESG Practices: A Systematic Review and Integrative Framework</w:t>
            </w:r>
          </w:p>
          <w:p w14:paraId="76B8CC39"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Yang et al. (2025)</w:t>
            </w:r>
          </w:p>
          <w:p w14:paraId="2A7F9467"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8" w:tgtFrame="_blank" w:history="1">
              <w:r w:rsidRPr="00791A3F">
                <w:rPr>
                  <w:rStyle w:val="Hyperlink"/>
                  <w:rFonts w:ascii="Arial" w:hAnsi="Arial" w:cs="Arial"/>
                </w:rPr>
                <w:t>Wiley</w:t>
              </w:r>
            </w:hyperlink>
          </w:p>
        </w:tc>
        <w:tc>
          <w:tcPr>
            <w:tcW w:w="846" w:type="pct"/>
            <w:hideMark/>
          </w:tcPr>
          <w:p w14:paraId="7B6D0A42"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t>Synthesise</w:t>
            </w:r>
            <w:proofErr w:type="spellEnd"/>
            <w:r w:rsidRPr="00791A3F">
              <w:rPr>
                <w:rFonts w:ascii="Arial" w:hAnsi="Arial" w:cs="Arial"/>
              </w:rPr>
              <w:t xml:space="preserve"> symbolic-substantive CSR literature; propose evaluation framework</w:t>
            </w:r>
          </w:p>
        </w:tc>
        <w:tc>
          <w:tcPr>
            <w:tcW w:w="686" w:type="pct"/>
            <w:hideMark/>
          </w:tcPr>
          <w:p w14:paraId="212F73D3"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2000–2024; Framework development</w:t>
            </w:r>
          </w:p>
        </w:tc>
        <w:tc>
          <w:tcPr>
            <w:tcW w:w="824" w:type="pct"/>
            <w:hideMark/>
          </w:tcPr>
          <w:p w14:paraId="347B2438" w14:textId="77777777" w:rsidR="00902E11" w:rsidRPr="00791A3F" w:rsidRDefault="00902E11" w:rsidP="00791A3F">
            <w:pPr>
              <w:spacing w:after="160" w:line="360" w:lineRule="auto"/>
              <w:rPr>
                <w:rFonts w:ascii="Arial" w:hAnsi="Arial" w:cs="Arial"/>
              </w:rPr>
            </w:pPr>
            <w:r w:rsidRPr="00791A3F">
              <w:rPr>
                <w:rFonts w:ascii="Arial" w:hAnsi="Arial" w:cs="Arial"/>
              </w:rPr>
              <w:t>Substantive ESG requires: governance integration, measurable targets, independent verification, stakeholder engagement, operational embeddedness</w:t>
            </w:r>
          </w:p>
        </w:tc>
        <w:tc>
          <w:tcPr>
            <w:tcW w:w="830" w:type="pct"/>
            <w:hideMark/>
          </w:tcPr>
          <w:p w14:paraId="73294584" w14:textId="77777777" w:rsidR="00902E11" w:rsidRPr="00791A3F" w:rsidRDefault="00902E11" w:rsidP="00791A3F">
            <w:pPr>
              <w:spacing w:after="160" w:line="360" w:lineRule="auto"/>
              <w:rPr>
                <w:rFonts w:ascii="Arial" w:hAnsi="Arial" w:cs="Arial"/>
              </w:rPr>
            </w:pPr>
            <w:r w:rsidRPr="00791A3F">
              <w:rPr>
                <w:rFonts w:ascii="Arial" w:hAnsi="Arial" w:cs="Arial"/>
              </w:rPr>
              <w:t>Directly informs study's five evaluative criteria (verifiability, measurability, accountability, integration, comparability)</w:t>
            </w:r>
          </w:p>
        </w:tc>
      </w:tr>
      <w:tr w:rsidR="00902E11" w:rsidRPr="00791A3F" w14:paraId="33520E34" w14:textId="77777777" w:rsidTr="007A6F53">
        <w:tc>
          <w:tcPr>
            <w:tcW w:w="1814" w:type="pct"/>
            <w:hideMark/>
          </w:tcPr>
          <w:p w14:paraId="3287DF55"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Mapping the greenwashing research landscape: a theoretical and field analysis</w:t>
            </w:r>
          </w:p>
          <w:p w14:paraId="218F7C20"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Mehmood et al. (2025)</w:t>
            </w:r>
          </w:p>
          <w:p w14:paraId="18998C9A"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9" w:tgtFrame="_blank" w:history="1">
              <w:r w:rsidRPr="00791A3F">
                <w:rPr>
                  <w:rStyle w:val="Hyperlink"/>
                  <w:rFonts w:ascii="Arial" w:hAnsi="Arial" w:cs="Arial"/>
                </w:rPr>
                <w:t>Springer</w:t>
              </w:r>
            </w:hyperlink>
          </w:p>
        </w:tc>
        <w:tc>
          <w:tcPr>
            <w:tcW w:w="846" w:type="pct"/>
            <w:hideMark/>
          </w:tcPr>
          <w:p w14:paraId="55B3B388" w14:textId="77777777" w:rsidR="00902E11" w:rsidRPr="00791A3F" w:rsidRDefault="00902E11" w:rsidP="00791A3F">
            <w:pPr>
              <w:spacing w:after="160" w:line="360" w:lineRule="auto"/>
              <w:rPr>
                <w:rFonts w:ascii="Arial" w:hAnsi="Arial" w:cs="Arial"/>
              </w:rPr>
            </w:pPr>
            <w:r w:rsidRPr="00791A3F">
              <w:rPr>
                <w:rFonts w:ascii="Arial" w:hAnsi="Arial" w:cs="Arial"/>
              </w:rPr>
              <w:t>Bibliometric analysis of greenwashing scholarship; identify research frontiers</w:t>
            </w:r>
          </w:p>
        </w:tc>
        <w:tc>
          <w:tcPr>
            <w:tcW w:w="686" w:type="pct"/>
            <w:hideMark/>
          </w:tcPr>
          <w:p w14:paraId="69FB3C19"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Bibliometric review; 1990–2024; </w:t>
            </w:r>
            <w:proofErr w:type="spellStart"/>
            <w:r w:rsidRPr="00791A3F">
              <w:rPr>
                <w:rFonts w:ascii="Arial" w:hAnsi="Arial" w:cs="Arial"/>
              </w:rPr>
              <w:t>VOSviewer</w:t>
            </w:r>
            <w:proofErr w:type="spellEnd"/>
            <w:r w:rsidRPr="00791A3F">
              <w:rPr>
                <w:rFonts w:ascii="Arial" w:hAnsi="Arial" w:cs="Arial"/>
              </w:rPr>
              <w:t xml:space="preserve"> analysis</w:t>
            </w:r>
          </w:p>
        </w:tc>
        <w:tc>
          <w:tcPr>
            <w:tcW w:w="824" w:type="pct"/>
            <w:hideMark/>
          </w:tcPr>
          <w:p w14:paraId="663D8729" w14:textId="77777777" w:rsidR="00902E11" w:rsidRPr="00791A3F" w:rsidRDefault="00902E11" w:rsidP="00791A3F">
            <w:pPr>
              <w:spacing w:after="160" w:line="360" w:lineRule="auto"/>
              <w:rPr>
                <w:rFonts w:ascii="Arial" w:hAnsi="Arial" w:cs="Arial"/>
              </w:rPr>
            </w:pPr>
            <w:r w:rsidRPr="00791A3F">
              <w:rPr>
                <w:rFonts w:ascii="Arial" w:hAnsi="Arial" w:cs="Arial"/>
              </w:rPr>
              <w:t>Greenwashing research clusters: drivers, consequences, detection methods, regulatory responses; food industry emerging as high-risk sector</w:t>
            </w:r>
          </w:p>
        </w:tc>
        <w:tc>
          <w:tcPr>
            <w:tcW w:w="830" w:type="pct"/>
            <w:hideMark/>
          </w:tcPr>
          <w:p w14:paraId="6177284D" w14:textId="77777777" w:rsidR="00902E11" w:rsidRPr="00791A3F" w:rsidRDefault="00902E11" w:rsidP="00791A3F">
            <w:pPr>
              <w:spacing w:after="160" w:line="360" w:lineRule="auto"/>
              <w:rPr>
                <w:rFonts w:ascii="Arial" w:hAnsi="Arial" w:cs="Arial"/>
              </w:rPr>
            </w:pPr>
            <w:r w:rsidRPr="00791A3F">
              <w:rPr>
                <w:rFonts w:ascii="Arial" w:hAnsi="Arial" w:cs="Arial"/>
              </w:rPr>
              <w:t>Positions food retail as critical sector for greenwashing investigation; justifies sector selection</w:t>
            </w:r>
          </w:p>
        </w:tc>
      </w:tr>
      <w:tr w:rsidR="00902E11" w:rsidRPr="00791A3F" w14:paraId="2D679771" w14:textId="77777777" w:rsidTr="007A6F53">
        <w:tc>
          <w:tcPr>
            <w:tcW w:w="1814" w:type="pct"/>
            <w:hideMark/>
          </w:tcPr>
          <w:p w14:paraId="6DF7C0DF"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Quantifying firm-level greenwashing: A systematic literature review</w:t>
            </w:r>
          </w:p>
          <w:p w14:paraId="54AF1F00"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Stanny &amp; Ely (2024)</w:t>
            </w:r>
          </w:p>
          <w:p w14:paraId="5D4523BB"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0" w:tgtFrame="_blank" w:history="1">
              <w:r w:rsidRPr="00791A3F">
                <w:rPr>
                  <w:rStyle w:val="Hyperlink"/>
                  <w:rFonts w:ascii="Arial" w:hAnsi="Arial" w:cs="Arial"/>
                </w:rPr>
                <w:t>ScienceDirect</w:t>
              </w:r>
            </w:hyperlink>
          </w:p>
        </w:tc>
        <w:tc>
          <w:tcPr>
            <w:tcW w:w="846" w:type="pct"/>
            <w:hideMark/>
          </w:tcPr>
          <w:p w14:paraId="4078A9E1" w14:textId="77777777" w:rsidR="00902E11" w:rsidRPr="00791A3F" w:rsidRDefault="00902E11" w:rsidP="00791A3F">
            <w:pPr>
              <w:spacing w:after="160" w:line="360" w:lineRule="auto"/>
              <w:rPr>
                <w:rFonts w:ascii="Arial" w:hAnsi="Arial" w:cs="Arial"/>
              </w:rPr>
            </w:pPr>
            <w:r w:rsidRPr="00791A3F">
              <w:rPr>
                <w:rFonts w:ascii="Arial" w:hAnsi="Arial" w:cs="Arial"/>
              </w:rPr>
              <w:t>Review greenwashing measurement methodologies; assess validity and reliability</w:t>
            </w:r>
          </w:p>
        </w:tc>
        <w:tc>
          <w:tcPr>
            <w:tcW w:w="686" w:type="pct"/>
            <w:hideMark/>
          </w:tcPr>
          <w:p w14:paraId="7019FA9F" w14:textId="77777777" w:rsidR="00902E11" w:rsidRPr="00791A3F" w:rsidRDefault="00902E11" w:rsidP="00791A3F">
            <w:pPr>
              <w:spacing w:after="160" w:line="360" w:lineRule="auto"/>
              <w:rPr>
                <w:rFonts w:ascii="Arial" w:hAnsi="Arial" w:cs="Arial"/>
              </w:rPr>
            </w:pPr>
            <w:r w:rsidRPr="00791A3F">
              <w:rPr>
                <w:rFonts w:ascii="Arial" w:hAnsi="Arial" w:cs="Arial"/>
              </w:rPr>
              <w:t>Meta-review; 65 empirical studies; Methodological synthesis</w:t>
            </w:r>
          </w:p>
        </w:tc>
        <w:tc>
          <w:tcPr>
            <w:tcW w:w="824" w:type="pct"/>
            <w:hideMark/>
          </w:tcPr>
          <w:p w14:paraId="2FB09675" w14:textId="77777777" w:rsidR="00902E11" w:rsidRPr="00791A3F" w:rsidRDefault="00902E11" w:rsidP="00791A3F">
            <w:pPr>
              <w:spacing w:after="160" w:line="360" w:lineRule="auto"/>
              <w:rPr>
                <w:rFonts w:ascii="Arial" w:hAnsi="Arial" w:cs="Arial"/>
              </w:rPr>
            </w:pPr>
            <w:r w:rsidRPr="00791A3F">
              <w:rPr>
                <w:rFonts w:ascii="Arial" w:hAnsi="Arial" w:cs="Arial"/>
              </w:rPr>
              <w:t>Three measurement approaches: disclosure-performance gap indices, textual analysis, third-party ratings; triangulation enhances validity</w:t>
            </w:r>
          </w:p>
        </w:tc>
        <w:tc>
          <w:tcPr>
            <w:tcW w:w="830" w:type="pct"/>
            <w:hideMark/>
          </w:tcPr>
          <w:p w14:paraId="2488C12D"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Methodological justification for combining corporate disclosures with independent assessments (CDP, Ethical Consumer, </w:t>
            </w:r>
            <w:proofErr w:type="spellStart"/>
            <w:r w:rsidRPr="00791A3F">
              <w:rPr>
                <w:rFonts w:ascii="Arial" w:hAnsi="Arial" w:cs="Arial"/>
              </w:rPr>
              <w:t>ShareAction</w:t>
            </w:r>
            <w:proofErr w:type="spellEnd"/>
            <w:r w:rsidRPr="00791A3F">
              <w:rPr>
                <w:rFonts w:ascii="Arial" w:hAnsi="Arial" w:cs="Arial"/>
              </w:rPr>
              <w:t>)</w:t>
            </w:r>
          </w:p>
        </w:tc>
      </w:tr>
      <w:tr w:rsidR="00902E11" w:rsidRPr="00791A3F" w14:paraId="02C3D9E1" w14:textId="77777777" w:rsidTr="007A6F53">
        <w:tc>
          <w:tcPr>
            <w:tcW w:w="1814" w:type="pct"/>
            <w:hideMark/>
          </w:tcPr>
          <w:p w14:paraId="7A299773"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Greenwashing or Striving to Persist: An Alternative Explanation of a Loose Coupling</w:t>
            </w:r>
          </w:p>
          <w:p w14:paraId="28A408F8"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Authors:</w:t>
            </w:r>
            <w:r w:rsidRPr="00791A3F">
              <w:rPr>
                <w:rFonts w:ascii="Arial" w:hAnsi="Arial" w:cs="Arial"/>
              </w:rPr>
              <w:t> Goelzer &amp; Wilkinson (2024)</w:t>
            </w:r>
          </w:p>
          <w:p w14:paraId="37F8E50A"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1" w:tgtFrame="_blank" w:history="1">
              <w:r w:rsidRPr="00791A3F">
                <w:rPr>
                  <w:rStyle w:val="Hyperlink"/>
                  <w:rFonts w:ascii="Arial" w:hAnsi="Arial" w:cs="Arial"/>
                </w:rPr>
                <w:t>Springer</w:t>
              </w:r>
            </w:hyperlink>
          </w:p>
        </w:tc>
        <w:tc>
          <w:tcPr>
            <w:tcW w:w="846" w:type="pct"/>
            <w:hideMark/>
          </w:tcPr>
          <w:p w14:paraId="62778D64"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Explore nuanced reasons for CSR implementation gaps </w:t>
            </w:r>
            <w:r w:rsidRPr="00791A3F">
              <w:rPr>
                <w:rFonts w:ascii="Arial" w:hAnsi="Arial" w:cs="Arial"/>
              </w:rPr>
              <w:lastRenderedPageBreak/>
              <w:t>beyond intentional greenwashing</w:t>
            </w:r>
          </w:p>
        </w:tc>
        <w:tc>
          <w:tcPr>
            <w:tcW w:w="686" w:type="pct"/>
            <w:hideMark/>
          </w:tcPr>
          <w:p w14:paraId="1F783096"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Case study; 4 Brazilian firms; Institutional </w:t>
            </w:r>
            <w:r w:rsidRPr="00791A3F">
              <w:rPr>
                <w:rFonts w:ascii="Arial" w:hAnsi="Arial" w:cs="Arial"/>
              </w:rPr>
              <w:lastRenderedPageBreak/>
              <w:t>ethnography</w:t>
            </w:r>
          </w:p>
        </w:tc>
        <w:tc>
          <w:tcPr>
            <w:tcW w:w="824" w:type="pct"/>
            <w:hideMark/>
          </w:tcPr>
          <w:p w14:paraId="60ECBC9D"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Some symbolic CSR reflects genuine institutional constraints (resource scarcity, supply chain complexity) rather </w:t>
            </w:r>
            <w:r w:rsidRPr="00791A3F">
              <w:rPr>
                <w:rFonts w:ascii="Arial" w:hAnsi="Arial" w:cs="Arial"/>
              </w:rPr>
              <w:lastRenderedPageBreak/>
              <w:t>than deliberate deception</w:t>
            </w:r>
          </w:p>
        </w:tc>
        <w:tc>
          <w:tcPr>
            <w:tcW w:w="830" w:type="pct"/>
            <w:hideMark/>
          </w:tcPr>
          <w:p w14:paraId="750CAFDE"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Adds interpretive nuance: not all implementation gaps </w:t>
            </w:r>
            <w:r w:rsidRPr="00791A3F">
              <w:rPr>
                <w:rFonts w:ascii="Arial" w:hAnsi="Arial" w:cs="Arial"/>
              </w:rPr>
              <w:lastRenderedPageBreak/>
              <w:t>constitute greenwashing; distinguishes capacity constraints from intentional misrepresentation</w:t>
            </w:r>
          </w:p>
        </w:tc>
      </w:tr>
      <w:tr w:rsidR="00902E11" w:rsidRPr="00791A3F" w14:paraId="54AD4731" w14:textId="77777777" w:rsidTr="007A6F53">
        <w:tc>
          <w:tcPr>
            <w:tcW w:w="1814" w:type="pct"/>
            <w:hideMark/>
          </w:tcPr>
          <w:p w14:paraId="2E8A3487"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Grey zone in – greenwash out. A review of greenwashing research</w:t>
            </w:r>
          </w:p>
          <w:p w14:paraId="070DE3D5"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Torelli et al. (2019)</w:t>
            </w:r>
          </w:p>
          <w:p w14:paraId="3AEA231E"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2" w:tgtFrame="_blank" w:history="1">
              <w:r w:rsidRPr="00791A3F">
                <w:rPr>
                  <w:rStyle w:val="Hyperlink"/>
                  <w:rFonts w:ascii="Arial" w:hAnsi="Arial" w:cs="Arial"/>
                </w:rPr>
                <w:t>Springer JCSR</w:t>
              </w:r>
            </w:hyperlink>
          </w:p>
        </w:tc>
        <w:tc>
          <w:tcPr>
            <w:tcW w:w="846" w:type="pct"/>
            <w:hideMark/>
          </w:tcPr>
          <w:p w14:paraId="43520D57" w14:textId="77777777" w:rsidR="00902E11" w:rsidRPr="00791A3F" w:rsidRDefault="00902E11" w:rsidP="00791A3F">
            <w:pPr>
              <w:spacing w:after="160" w:line="360" w:lineRule="auto"/>
              <w:rPr>
                <w:rFonts w:ascii="Arial" w:hAnsi="Arial" w:cs="Arial"/>
              </w:rPr>
            </w:pPr>
            <w:r w:rsidRPr="00791A3F">
              <w:rPr>
                <w:rFonts w:ascii="Arial" w:hAnsi="Arial" w:cs="Arial"/>
              </w:rPr>
              <w:t>Map greenwashing antecedents, manifestations, and consequences</w:t>
            </w:r>
          </w:p>
        </w:tc>
        <w:tc>
          <w:tcPr>
            <w:tcW w:w="686" w:type="pct"/>
            <w:hideMark/>
          </w:tcPr>
          <w:p w14:paraId="3DD69B79"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1990–2018; Conceptual model</w:t>
            </w:r>
          </w:p>
        </w:tc>
        <w:tc>
          <w:tcPr>
            <w:tcW w:w="824" w:type="pct"/>
            <w:hideMark/>
          </w:tcPr>
          <w:p w14:paraId="6D1734C4" w14:textId="77777777" w:rsidR="00902E11" w:rsidRPr="00791A3F" w:rsidRDefault="00902E11" w:rsidP="00791A3F">
            <w:pPr>
              <w:spacing w:after="160" w:line="360" w:lineRule="auto"/>
              <w:rPr>
                <w:rFonts w:ascii="Arial" w:hAnsi="Arial" w:cs="Arial"/>
              </w:rPr>
            </w:pPr>
            <w:r w:rsidRPr="00791A3F">
              <w:rPr>
                <w:rFonts w:ascii="Arial" w:hAnsi="Arial" w:cs="Arial"/>
              </w:rPr>
              <w:t>Greenwashing driven by: regulatory gaps, stakeholder pressure without monitoring capacity, short-term financial incentives; consequences include legitimacy loss and consumer backlash</w:t>
            </w:r>
          </w:p>
        </w:tc>
        <w:tc>
          <w:tcPr>
            <w:tcW w:w="830" w:type="pct"/>
            <w:hideMark/>
          </w:tcPr>
          <w:p w14:paraId="2E502BCE"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Theoretical foundation for understanding institutional and </w:t>
            </w:r>
            <w:proofErr w:type="spellStart"/>
            <w:r w:rsidRPr="00791A3F">
              <w:rPr>
                <w:rFonts w:ascii="Arial" w:hAnsi="Arial" w:cs="Arial"/>
              </w:rPr>
              <w:t>organisational</w:t>
            </w:r>
            <w:proofErr w:type="spellEnd"/>
            <w:r w:rsidRPr="00791A3F">
              <w:rPr>
                <w:rFonts w:ascii="Arial" w:hAnsi="Arial" w:cs="Arial"/>
              </w:rPr>
              <w:t xml:space="preserve"> drivers of symbolic CSR in UK retail context</w:t>
            </w:r>
          </w:p>
        </w:tc>
      </w:tr>
      <w:tr w:rsidR="00902E11" w:rsidRPr="00791A3F" w14:paraId="72A4B4FA" w14:textId="77777777" w:rsidTr="007A6F53">
        <w:tc>
          <w:tcPr>
            <w:tcW w:w="1814" w:type="pct"/>
            <w:hideMark/>
          </w:tcPr>
          <w:p w14:paraId="1690F5F9"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Not all that glitters is green: empirical evidence from the Eurostoxx600 on greenwashing perception</w:t>
            </w:r>
          </w:p>
          <w:p w14:paraId="52391CC2"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Authors:</w:t>
            </w:r>
            <w:r w:rsidRPr="00791A3F">
              <w:rPr>
                <w:rFonts w:ascii="Arial" w:hAnsi="Arial" w:cs="Arial"/>
              </w:rPr>
              <w:t> </w:t>
            </w:r>
            <w:proofErr w:type="spellStart"/>
            <w:r w:rsidRPr="00791A3F">
              <w:rPr>
                <w:rFonts w:ascii="Arial" w:hAnsi="Arial" w:cs="Arial"/>
              </w:rPr>
              <w:t>Citterio</w:t>
            </w:r>
            <w:proofErr w:type="spellEnd"/>
            <w:r w:rsidRPr="00791A3F">
              <w:rPr>
                <w:rFonts w:ascii="Arial" w:hAnsi="Arial" w:cs="Arial"/>
              </w:rPr>
              <w:t xml:space="preserve"> &amp; King (2024)</w:t>
            </w:r>
          </w:p>
          <w:p w14:paraId="74112D5E"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3" w:tgtFrame="_blank" w:history="1">
              <w:r w:rsidRPr="00791A3F">
                <w:rPr>
                  <w:rStyle w:val="Hyperlink"/>
                  <w:rFonts w:ascii="Arial" w:hAnsi="Arial" w:cs="Arial"/>
                </w:rPr>
                <w:t>Springer</w:t>
              </w:r>
            </w:hyperlink>
          </w:p>
        </w:tc>
        <w:tc>
          <w:tcPr>
            <w:tcW w:w="846" w:type="pct"/>
            <w:hideMark/>
          </w:tcPr>
          <w:p w14:paraId="520668C2"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Test investor perception of greenwashing using ESG controversies and stock performance</w:t>
            </w:r>
          </w:p>
        </w:tc>
        <w:tc>
          <w:tcPr>
            <w:tcW w:w="686" w:type="pct"/>
            <w:hideMark/>
          </w:tcPr>
          <w:p w14:paraId="5AEDACD2" w14:textId="77777777" w:rsidR="00902E11" w:rsidRPr="00791A3F" w:rsidRDefault="00902E11" w:rsidP="00791A3F">
            <w:pPr>
              <w:spacing w:after="160" w:line="360" w:lineRule="auto"/>
              <w:rPr>
                <w:rFonts w:ascii="Arial" w:hAnsi="Arial" w:cs="Arial"/>
              </w:rPr>
            </w:pPr>
            <w:r w:rsidRPr="00791A3F">
              <w:rPr>
                <w:rFonts w:ascii="Arial" w:hAnsi="Arial" w:cs="Arial"/>
              </w:rPr>
              <w:t>Quantitative; 600 European firms; 2015–2022; Event study</w:t>
            </w:r>
          </w:p>
        </w:tc>
        <w:tc>
          <w:tcPr>
            <w:tcW w:w="824" w:type="pct"/>
            <w:hideMark/>
          </w:tcPr>
          <w:p w14:paraId="6B0BE607"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ESG controversies (greenwashing exposure) trigger negative abnormal returns; market increasingly </w:t>
            </w:r>
            <w:proofErr w:type="spellStart"/>
            <w:r w:rsidRPr="00791A3F">
              <w:rPr>
                <w:rFonts w:ascii="Arial" w:hAnsi="Arial" w:cs="Arial"/>
              </w:rPr>
              <w:t>penalises</w:t>
            </w:r>
            <w:proofErr w:type="spellEnd"/>
            <w:r w:rsidRPr="00791A3F">
              <w:rPr>
                <w:rFonts w:ascii="Arial" w:hAnsi="Arial" w:cs="Arial"/>
              </w:rPr>
              <w:t xml:space="preserve"> symbolic sustainability</w:t>
            </w:r>
          </w:p>
        </w:tc>
        <w:tc>
          <w:tcPr>
            <w:tcW w:w="830" w:type="pct"/>
            <w:hideMark/>
          </w:tcPr>
          <w:p w14:paraId="42849068" w14:textId="77777777" w:rsidR="00902E11" w:rsidRPr="00791A3F" w:rsidRDefault="00902E11" w:rsidP="00791A3F">
            <w:pPr>
              <w:spacing w:after="160" w:line="360" w:lineRule="auto"/>
              <w:rPr>
                <w:rFonts w:ascii="Arial" w:hAnsi="Arial" w:cs="Arial"/>
              </w:rPr>
            </w:pPr>
            <w:r w:rsidRPr="00791A3F">
              <w:rPr>
                <w:rFonts w:ascii="Arial" w:hAnsi="Arial" w:cs="Arial"/>
              </w:rPr>
              <w:t>Demonstrates financial materiality of greenwashing risk; relevant to investor accountability discussion</w:t>
            </w:r>
          </w:p>
        </w:tc>
      </w:tr>
      <w:tr w:rsidR="00902E11" w:rsidRPr="00791A3F" w14:paraId="67230076" w14:textId="77777777" w:rsidTr="007A6F53">
        <w:tc>
          <w:tcPr>
            <w:tcW w:w="1814" w:type="pct"/>
            <w:hideMark/>
          </w:tcPr>
          <w:p w14:paraId="33BFDACD"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Corporate social responsibility: a case study of the UK's leading food retailers</w:t>
            </w:r>
          </w:p>
          <w:p w14:paraId="6239A73D"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Jones et al. (2005)</w:t>
            </w:r>
          </w:p>
          <w:p w14:paraId="58D1B4E9"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4" w:tgtFrame="_blank" w:history="1">
              <w:r w:rsidRPr="00791A3F">
                <w:rPr>
                  <w:rStyle w:val="Hyperlink"/>
                  <w:rFonts w:ascii="Arial" w:hAnsi="Arial" w:cs="Arial"/>
                </w:rPr>
                <w:t>Emerald</w:t>
              </w:r>
            </w:hyperlink>
          </w:p>
        </w:tc>
        <w:tc>
          <w:tcPr>
            <w:tcW w:w="846" w:type="pct"/>
            <w:hideMark/>
          </w:tcPr>
          <w:p w14:paraId="0016421D" w14:textId="77777777" w:rsidR="00902E11" w:rsidRPr="00791A3F" w:rsidRDefault="00902E11" w:rsidP="00791A3F">
            <w:pPr>
              <w:spacing w:after="160" w:line="360" w:lineRule="auto"/>
              <w:rPr>
                <w:rFonts w:ascii="Arial" w:hAnsi="Arial" w:cs="Arial"/>
              </w:rPr>
            </w:pPr>
            <w:r w:rsidRPr="00791A3F">
              <w:rPr>
                <w:rFonts w:ascii="Arial" w:hAnsi="Arial" w:cs="Arial"/>
              </w:rPr>
              <w:t>Establish baseline assessment of UK food retail CSR across five dimensions</w:t>
            </w:r>
          </w:p>
        </w:tc>
        <w:tc>
          <w:tcPr>
            <w:tcW w:w="686" w:type="pct"/>
            <w:hideMark/>
          </w:tcPr>
          <w:p w14:paraId="70F3027D" w14:textId="77777777" w:rsidR="00902E11" w:rsidRPr="00791A3F" w:rsidRDefault="00902E11" w:rsidP="00791A3F">
            <w:pPr>
              <w:spacing w:after="160" w:line="360" w:lineRule="auto"/>
              <w:rPr>
                <w:rFonts w:ascii="Arial" w:hAnsi="Arial" w:cs="Arial"/>
              </w:rPr>
            </w:pPr>
            <w:r w:rsidRPr="00791A3F">
              <w:rPr>
                <w:rFonts w:ascii="Arial" w:hAnsi="Arial" w:cs="Arial"/>
              </w:rPr>
              <w:t>Content analysis; 10 UK retailers; 2003–2004; Corporate reports</w:t>
            </w:r>
          </w:p>
        </w:tc>
        <w:tc>
          <w:tcPr>
            <w:tcW w:w="824" w:type="pct"/>
            <w:hideMark/>
          </w:tcPr>
          <w:p w14:paraId="35B358D8" w14:textId="77777777" w:rsidR="00902E11" w:rsidRPr="00791A3F" w:rsidRDefault="00902E11" w:rsidP="00791A3F">
            <w:pPr>
              <w:spacing w:after="160" w:line="360" w:lineRule="auto"/>
              <w:rPr>
                <w:rFonts w:ascii="Arial" w:hAnsi="Arial" w:cs="Arial"/>
              </w:rPr>
            </w:pPr>
            <w:r w:rsidRPr="00791A3F">
              <w:rPr>
                <w:rFonts w:ascii="Arial" w:hAnsi="Arial" w:cs="Arial"/>
              </w:rPr>
              <w:t>CSR activity concentrated on environmental management and community engagement; ethical sourcing nascent; employee welfare and customer health under-developed</w:t>
            </w:r>
          </w:p>
        </w:tc>
        <w:tc>
          <w:tcPr>
            <w:tcW w:w="830" w:type="pct"/>
            <w:hideMark/>
          </w:tcPr>
          <w:p w14:paraId="3C641915" w14:textId="77777777" w:rsidR="00902E11" w:rsidRPr="00791A3F" w:rsidRDefault="00902E11" w:rsidP="00791A3F">
            <w:pPr>
              <w:spacing w:after="160" w:line="360" w:lineRule="auto"/>
              <w:rPr>
                <w:rFonts w:ascii="Arial" w:hAnsi="Arial" w:cs="Arial"/>
              </w:rPr>
            </w:pPr>
            <w:r w:rsidRPr="00791A3F">
              <w:rPr>
                <w:rFonts w:ascii="Arial" w:hAnsi="Arial" w:cs="Arial"/>
                <w:b/>
                <w:bCs/>
              </w:rPr>
              <w:t>Core baseline study:</w:t>
            </w:r>
            <w:r w:rsidRPr="00791A3F">
              <w:rPr>
                <w:rFonts w:ascii="Arial" w:hAnsi="Arial" w:cs="Arial"/>
              </w:rPr>
              <w:t> establishes 2005 benchmark for longitudinal comparison; defines five CSR dimensions adapted in this research</w:t>
            </w:r>
          </w:p>
        </w:tc>
      </w:tr>
      <w:tr w:rsidR="00902E11" w:rsidRPr="00791A3F" w14:paraId="2139F79E" w14:textId="77777777" w:rsidTr="007A6F53">
        <w:tc>
          <w:tcPr>
            <w:tcW w:w="1814" w:type="pct"/>
            <w:hideMark/>
          </w:tcPr>
          <w:p w14:paraId="44D593CC"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CSR: the co-evolution of grocery multiples in the UK (2005–2010)</w:t>
            </w:r>
          </w:p>
          <w:p w14:paraId="5093C649"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Nicholls &amp; Opal (2014)</w:t>
            </w:r>
          </w:p>
          <w:p w14:paraId="502ABBCE"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5" w:tgtFrame="_blank" w:history="1">
              <w:r w:rsidRPr="00791A3F">
                <w:rPr>
                  <w:rStyle w:val="Hyperlink"/>
                  <w:rFonts w:ascii="Arial" w:hAnsi="Arial" w:cs="Arial"/>
                </w:rPr>
                <w:t>Centaur</w:t>
              </w:r>
            </w:hyperlink>
          </w:p>
        </w:tc>
        <w:tc>
          <w:tcPr>
            <w:tcW w:w="846" w:type="pct"/>
            <w:hideMark/>
          </w:tcPr>
          <w:p w14:paraId="1273AD26" w14:textId="77777777" w:rsidR="00902E11" w:rsidRPr="00791A3F" w:rsidRDefault="00902E11" w:rsidP="00791A3F">
            <w:pPr>
              <w:spacing w:after="160" w:line="360" w:lineRule="auto"/>
              <w:rPr>
                <w:rFonts w:ascii="Arial" w:hAnsi="Arial" w:cs="Arial"/>
              </w:rPr>
            </w:pPr>
            <w:r w:rsidRPr="00791A3F">
              <w:rPr>
                <w:rFonts w:ascii="Arial" w:hAnsi="Arial" w:cs="Arial"/>
              </w:rPr>
              <w:t>Track CSR evolution in UK grocery sector 2005–2010; identify institutional drivers</w:t>
            </w:r>
          </w:p>
        </w:tc>
        <w:tc>
          <w:tcPr>
            <w:tcW w:w="686" w:type="pct"/>
            <w:hideMark/>
          </w:tcPr>
          <w:p w14:paraId="7AC64013" w14:textId="77777777" w:rsidR="00902E11" w:rsidRPr="00791A3F" w:rsidRDefault="00902E11" w:rsidP="00791A3F">
            <w:pPr>
              <w:spacing w:after="160" w:line="360" w:lineRule="auto"/>
              <w:rPr>
                <w:rFonts w:ascii="Arial" w:hAnsi="Arial" w:cs="Arial"/>
              </w:rPr>
            </w:pPr>
            <w:r w:rsidRPr="00791A3F">
              <w:rPr>
                <w:rFonts w:ascii="Arial" w:hAnsi="Arial" w:cs="Arial"/>
              </w:rPr>
              <w:t>Longitudinal; 6 retailers; Corporate reports + interviews; Thematic analysis</w:t>
            </w:r>
          </w:p>
        </w:tc>
        <w:tc>
          <w:tcPr>
            <w:tcW w:w="824" w:type="pct"/>
            <w:hideMark/>
          </w:tcPr>
          <w:p w14:paraId="22951EBA"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CSR </w:t>
            </w:r>
            <w:proofErr w:type="spellStart"/>
            <w:r w:rsidRPr="00791A3F">
              <w:rPr>
                <w:rFonts w:ascii="Arial" w:hAnsi="Arial" w:cs="Arial"/>
              </w:rPr>
              <w:t>professionalisation</w:t>
            </w:r>
            <w:proofErr w:type="spellEnd"/>
            <w:r w:rsidRPr="00791A3F">
              <w:rPr>
                <w:rFonts w:ascii="Arial" w:hAnsi="Arial" w:cs="Arial"/>
              </w:rPr>
              <w:t xml:space="preserve"> driven by reputational risk, competitive benchmarking, regulatory anticipation; limited evidence of deep operational integration</w:t>
            </w:r>
          </w:p>
        </w:tc>
        <w:tc>
          <w:tcPr>
            <w:tcW w:w="830" w:type="pct"/>
            <w:hideMark/>
          </w:tcPr>
          <w:p w14:paraId="4DC888EE"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Provides interim longitudinal data bridging Jones et al. (2005) and current study period; identifies </w:t>
            </w:r>
            <w:proofErr w:type="spellStart"/>
            <w:r w:rsidRPr="00791A3F">
              <w:rPr>
                <w:rFonts w:ascii="Arial" w:hAnsi="Arial" w:cs="Arial"/>
              </w:rPr>
              <w:t>institutionalisation</w:t>
            </w:r>
            <w:proofErr w:type="spellEnd"/>
            <w:r w:rsidRPr="00791A3F">
              <w:rPr>
                <w:rFonts w:ascii="Arial" w:hAnsi="Arial" w:cs="Arial"/>
              </w:rPr>
              <w:t xml:space="preserve"> without substantiation trend</w:t>
            </w:r>
          </w:p>
        </w:tc>
      </w:tr>
      <w:tr w:rsidR="00902E11" w:rsidRPr="00791A3F" w14:paraId="0B69E453" w14:textId="77777777" w:rsidTr="007A6F53">
        <w:tc>
          <w:tcPr>
            <w:tcW w:w="1814" w:type="pct"/>
            <w:hideMark/>
          </w:tcPr>
          <w:p w14:paraId="47DD241E"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Comparing UK food retailers' corporate social responsibility strategies</w:t>
            </w:r>
          </w:p>
          <w:p w14:paraId="09BF63D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Blythman (2017)</w:t>
            </w:r>
          </w:p>
          <w:p w14:paraId="0E654FBA"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6" w:tgtFrame="_blank" w:history="1">
              <w:r w:rsidRPr="00791A3F">
                <w:rPr>
                  <w:rStyle w:val="Hyperlink"/>
                  <w:rFonts w:ascii="Arial" w:hAnsi="Arial" w:cs="Arial"/>
                </w:rPr>
                <w:t>ResearchGate</w:t>
              </w:r>
            </w:hyperlink>
          </w:p>
        </w:tc>
        <w:tc>
          <w:tcPr>
            <w:tcW w:w="846" w:type="pct"/>
            <w:hideMark/>
          </w:tcPr>
          <w:p w14:paraId="5FB03D47" w14:textId="77777777" w:rsidR="00902E11" w:rsidRPr="00791A3F" w:rsidRDefault="00902E11" w:rsidP="00791A3F">
            <w:pPr>
              <w:spacing w:after="160" w:line="360" w:lineRule="auto"/>
              <w:rPr>
                <w:rFonts w:ascii="Arial" w:hAnsi="Arial" w:cs="Arial"/>
              </w:rPr>
            </w:pPr>
            <w:r w:rsidRPr="00791A3F">
              <w:rPr>
                <w:rFonts w:ascii="Arial" w:hAnsi="Arial" w:cs="Arial"/>
              </w:rPr>
              <w:t>Comparative analysis of CSR strategy differentiation among UK retailers</w:t>
            </w:r>
          </w:p>
        </w:tc>
        <w:tc>
          <w:tcPr>
            <w:tcW w:w="686" w:type="pct"/>
            <w:hideMark/>
          </w:tcPr>
          <w:p w14:paraId="072BBB2B" w14:textId="77777777" w:rsidR="00902E11" w:rsidRPr="00791A3F" w:rsidRDefault="00902E11" w:rsidP="00791A3F">
            <w:pPr>
              <w:spacing w:after="160" w:line="360" w:lineRule="auto"/>
              <w:rPr>
                <w:rFonts w:ascii="Arial" w:hAnsi="Arial" w:cs="Arial"/>
              </w:rPr>
            </w:pPr>
            <w:r w:rsidRPr="00791A3F">
              <w:rPr>
                <w:rFonts w:ascii="Arial" w:hAnsi="Arial" w:cs="Arial"/>
              </w:rPr>
              <w:t>Qualitative; 5 retailers; Interviews + document analysis</w:t>
            </w:r>
          </w:p>
        </w:tc>
        <w:tc>
          <w:tcPr>
            <w:tcW w:w="824" w:type="pct"/>
            <w:hideMark/>
          </w:tcPr>
          <w:p w14:paraId="33B80317"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Mainstream retailers </w:t>
            </w:r>
            <w:proofErr w:type="spellStart"/>
            <w:r w:rsidRPr="00791A3F">
              <w:rPr>
                <w:rFonts w:ascii="Arial" w:hAnsi="Arial" w:cs="Arial"/>
              </w:rPr>
              <w:t>emphasise</w:t>
            </w:r>
            <w:proofErr w:type="spellEnd"/>
            <w:r w:rsidRPr="00791A3F">
              <w:rPr>
                <w:rFonts w:ascii="Arial" w:hAnsi="Arial" w:cs="Arial"/>
              </w:rPr>
              <w:t xml:space="preserve"> supply chain governance; discounters focus on operational efficiency; cooperatives </w:t>
            </w:r>
            <w:proofErr w:type="spellStart"/>
            <w:r w:rsidRPr="00791A3F">
              <w:rPr>
                <w:rFonts w:ascii="Arial" w:hAnsi="Arial" w:cs="Arial"/>
              </w:rPr>
              <w:t>prioritise</w:t>
            </w:r>
            <w:proofErr w:type="spellEnd"/>
            <w:r w:rsidRPr="00791A3F">
              <w:rPr>
                <w:rFonts w:ascii="Arial" w:hAnsi="Arial" w:cs="Arial"/>
              </w:rPr>
              <w:t xml:space="preserve"> community engagement; strategies reflect business model logics</w:t>
            </w:r>
          </w:p>
        </w:tc>
        <w:tc>
          <w:tcPr>
            <w:tcW w:w="830" w:type="pct"/>
            <w:hideMark/>
          </w:tcPr>
          <w:p w14:paraId="355B521D" w14:textId="77777777" w:rsidR="00902E11" w:rsidRPr="00791A3F" w:rsidRDefault="00902E11" w:rsidP="00791A3F">
            <w:pPr>
              <w:spacing w:after="160" w:line="360" w:lineRule="auto"/>
              <w:rPr>
                <w:rFonts w:ascii="Arial" w:hAnsi="Arial" w:cs="Arial"/>
              </w:rPr>
            </w:pPr>
            <w:r w:rsidRPr="00791A3F">
              <w:rPr>
                <w:rFonts w:ascii="Arial" w:hAnsi="Arial" w:cs="Arial"/>
              </w:rPr>
              <w:t>Empirical support for RO4: business model influences CSR priorities and implementation approaches</w:t>
            </w:r>
          </w:p>
        </w:tc>
      </w:tr>
      <w:tr w:rsidR="00902E11" w:rsidRPr="00791A3F" w14:paraId="639AA75C" w14:textId="77777777" w:rsidTr="007A6F53">
        <w:tc>
          <w:tcPr>
            <w:tcW w:w="1814" w:type="pct"/>
            <w:hideMark/>
          </w:tcPr>
          <w:p w14:paraId="78690A0F"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Moving towards sustainable food retailing?</w:t>
            </w:r>
          </w:p>
          <w:p w14:paraId="70B3CD58"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Clarke et al. (2012)</w:t>
            </w:r>
          </w:p>
          <w:p w14:paraId="3CD99863"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7" w:tgtFrame="_blank" w:history="1">
              <w:r w:rsidRPr="00791A3F">
                <w:rPr>
                  <w:rStyle w:val="Hyperlink"/>
                  <w:rFonts w:ascii="Arial" w:hAnsi="Arial" w:cs="Arial"/>
                </w:rPr>
                <w:t>ResearchGate</w:t>
              </w:r>
            </w:hyperlink>
          </w:p>
        </w:tc>
        <w:tc>
          <w:tcPr>
            <w:tcW w:w="846" w:type="pct"/>
            <w:hideMark/>
          </w:tcPr>
          <w:p w14:paraId="02B7EBB4" w14:textId="77777777" w:rsidR="00902E11" w:rsidRPr="00791A3F" w:rsidRDefault="00902E11" w:rsidP="00791A3F">
            <w:pPr>
              <w:spacing w:after="160" w:line="360" w:lineRule="auto"/>
              <w:rPr>
                <w:rFonts w:ascii="Arial" w:hAnsi="Arial" w:cs="Arial"/>
              </w:rPr>
            </w:pPr>
            <w:r w:rsidRPr="00791A3F">
              <w:rPr>
                <w:rFonts w:ascii="Arial" w:hAnsi="Arial" w:cs="Arial"/>
              </w:rPr>
              <w:t>Assess UK retailer progress towards sustainable retailing; identify barriers</w:t>
            </w:r>
          </w:p>
        </w:tc>
        <w:tc>
          <w:tcPr>
            <w:tcW w:w="686" w:type="pct"/>
            <w:hideMark/>
          </w:tcPr>
          <w:p w14:paraId="64DA14C8" w14:textId="77777777" w:rsidR="00902E11" w:rsidRPr="00791A3F" w:rsidRDefault="00902E11" w:rsidP="00791A3F">
            <w:pPr>
              <w:spacing w:after="160" w:line="360" w:lineRule="auto"/>
              <w:rPr>
                <w:rFonts w:ascii="Arial" w:hAnsi="Arial" w:cs="Arial"/>
              </w:rPr>
            </w:pPr>
            <w:r w:rsidRPr="00791A3F">
              <w:rPr>
                <w:rFonts w:ascii="Arial" w:hAnsi="Arial" w:cs="Arial"/>
              </w:rPr>
              <w:t>Mixed methods; Interviews + store audits; 2010–2011</w:t>
            </w:r>
          </w:p>
        </w:tc>
        <w:tc>
          <w:tcPr>
            <w:tcW w:w="824" w:type="pct"/>
            <w:hideMark/>
          </w:tcPr>
          <w:p w14:paraId="1D5C25EF" w14:textId="77777777" w:rsidR="00902E11" w:rsidRPr="00791A3F" w:rsidRDefault="00902E11" w:rsidP="00791A3F">
            <w:pPr>
              <w:spacing w:after="160" w:line="360" w:lineRule="auto"/>
              <w:rPr>
                <w:rFonts w:ascii="Arial" w:hAnsi="Arial" w:cs="Arial"/>
              </w:rPr>
            </w:pPr>
            <w:r w:rsidRPr="00791A3F">
              <w:rPr>
                <w:rFonts w:ascii="Arial" w:hAnsi="Arial" w:cs="Arial"/>
              </w:rPr>
              <w:t>Progress on energy efficiency and packaging reduction; limited traction on food waste, healthy eating, living wages; commercial imperatives constrain ambition</w:t>
            </w:r>
          </w:p>
        </w:tc>
        <w:tc>
          <w:tcPr>
            <w:tcW w:w="830" w:type="pct"/>
            <w:hideMark/>
          </w:tcPr>
          <w:p w14:paraId="7328142B" w14:textId="77777777" w:rsidR="00902E11" w:rsidRPr="00791A3F" w:rsidRDefault="00902E11" w:rsidP="00791A3F">
            <w:pPr>
              <w:spacing w:after="160" w:line="360" w:lineRule="auto"/>
              <w:rPr>
                <w:rFonts w:ascii="Arial" w:hAnsi="Arial" w:cs="Arial"/>
              </w:rPr>
            </w:pPr>
            <w:r w:rsidRPr="00791A3F">
              <w:rPr>
                <w:rFonts w:ascii="Arial" w:hAnsi="Arial" w:cs="Arial"/>
              </w:rPr>
              <w:t>Identifies persistent implementation barriers relevant to evaluating 2020–2025 progress against 2005 baseline</w:t>
            </w:r>
          </w:p>
        </w:tc>
      </w:tr>
      <w:tr w:rsidR="00902E11" w:rsidRPr="00791A3F" w14:paraId="17324111" w14:textId="77777777" w:rsidTr="007A6F53">
        <w:tc>
          <w:tcPr>
            <w:tcW w:w="1814" w:type="pct"/>
            <w:hideMark/>
          </w:tcPr>
          <w:p w14:paraId="3F136A6F"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Corporate Social Responsibility and UK Retailers</w:t>
            </w:r>
          </w:p>
          <w:p w14:paraId="66E70162"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Quazi &amp; O'Brien (2000)</w:t>
            </w:r>
          </w:p>
          <w:p w14:paraId="472CFD5E"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Link:</w:t>
            </w:r>
            <w:r w:rsidRPr="00791A3F">
              <w:rPr>
                <w:rFonts w:ascii="Arial" w:hAnsi="Arial" w:cs="Arial"/>
              </w:rPr>
              <w:t> </w:t>
            </w:r>
            <w:hyperlink r:id="rId28" w:tgtFrame="_blank" w:history="1">
              <w:r w:rsidRPr="00791A3F">
                <w:rPr>
                  <w:rStyle w:val="Hyperlink"/>
                  <w:rFonts w:ascii="Arial" w:hAnsi="Arial" w:cs="Arial"/>
                </w:rPr>
                <w:t>ResearchGate</w:t>
              </w:r>
            </w:hyperlink>
          </w:p>
        </w:tc>
        <w:tc>
          <w:tcPr>
            <w:tcW w:w="846" w:type="pct"/>
            <w:hideMark/>
          </w:tcPr>
          <w:p w14:paraId="2400E727"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Examine drivers and manifestations of CSR in UK retail sector</w:t>
            </w:r>
          </w:p>
        </w:tc>
        <w:tc>
          <w:tcPr>
            <w:tcW w:w="686" w:type="pct"/>
            <w:hideMark/>
          </w:tcPr>
          <w:p w14:paraId="51B07B23" w14:textId="77777777" w:rsidR="00902E11" w:rsidRPr="00791A3F" w:rsidRDefault="00902E11" w:rsidP="00791A3F">
            <w:pPr>
              <w:spacing w:after="160" w:line="360" w:lineRule="auto"/>
              <w:rPr>
                <w:rFonts w:ascii="Arial" w:hAnsi="Arial" w:cs="Arial"/>
              </w:rPr>
            </w:pPr>
            <w:r w:rsidRPr="00791A3F">
              <w:rPr>
                <w:rFonts w:ascii="Arial" w:hAnsi="Arial" w:cs="Arial"/>
              </w:rPr>
              <w:t>Survey; 50 UK retailers; Quantitative analysis</w:t>
            </w:r>
          </w:p>
        </w:tc>
        <w:tc>
          <w:tcPr>
            <w:tcW w:w="824" w:type="pct"/>
            <w:hideMark/>
          </w:tcPr>
          <w:p w14:paraId="7A70E1DA" w14:textId="77777777" w:rsidR="00902E11" w:rsidRPr="00791A3F" w:rsidRDefault="00902E11" w:rsidP="00791A3F">
            <w:pPr>
              <w:spacing w:after="160" w:line="360" w:lineRule="auto"/>
              <w:rPr>
                <w:rFonts w:ascii="Arial" w:hAnsi="Arial" w:cs="Arial"/>
              </w:rPr>
            </w:pPr>
            <w:r w:rsidRPr="00791A3F">
              <w:rPr>
                <w:rFonts w:ascii="Arial" w:hAnsi="Arial" w:cs="Arial"/>
              </w:rPr>
              <w:t>CSR adoption driven by brand reputation concerns and stakeholder expectations; implementation primarily focused on visible environmental initiatives</w:t>
            </w:r>
          </w:p>
        </w:tc>
        <w:tc>
          <w:tcPr>
            <w:tcW w:w="830" w:type="pct"/>
            <w:hideMark/>
          </w:tcPr>
          <w:p w14:paraId="579556DD"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t>Contextualises</w:t>
            </w:r>
            <w:proofErr w:type="spellEnd"/>
            <w:r w:rsidRPr="00791A3F">
              <w:rPr>
                <w:rFonts w:ascii="Arial" w:hAnsi="Arial" w:cs="Arial"/>
              </w:rPr>
              <w:t xml:space="preserve"> reputational drivers of UK retail CSR; supports institutional legitimacy </w:t>
            </w:r>
            <w:r w:rsidRPr="00791A3F">
              <w:rPr>
                <w:rFonts w:ascii="Arial" w:hAnsi="Arial" w:cs="Arial"/>
              </w:rPr>
              <w:lastRenderedPageBreak/>
              <w:t>theory application</w:t>
            </w:r>
          </w:p>
        </w:tc>
      </w:tr>
      <w:tr w:rsidR="00902E11" w:rsidRPr="00791A3F" w14:paraId="7F3C1C5E" w14:textId="77777777" w:rsidTr="007A6F53">
        <w:tc>
          <w:tcPr>
            <w:tcW w:w="1814" w:type="pct"/>
            <w:hideMark/>
          </w:tcPr>
          <w:p w14:paraId="7DF6E869"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Supermarket nutritionists' perspectives on affordability interventions for healthier, sustainable food purchasing in UK retail</w:t>
            </w:r>
          </w:p>
          <w:p w14:paraId="043F100A"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Robinson et al. (2025)</w:t>
            </w:r>
          </w:p>
          <w:p w14:paraId="025707E8"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9" w:tgtFrame="_blank" w:history="1">
              <w:r w:rsidRPr="00791A3F">
                <w:rPr>
                  <w:rStyle w:val="Hyperlink"/>
                  <w:rFonts w:ascii="Arial" w:hAnsi="Arial" w:cs="Arial"/>
                </w:rPr>
                <w:t>PMC</w:t>
              </w:r>
            </w:hyperlink>
          </w:p>
        </w:tc>
        <w:tc>
          <w:tcPr>
            <w:tcW w:w="846" w:type="pct"/>
            <w:hideMark/>
          </w:tcPr>
          <w:p w14:paraId="5FD71291" w14:textId="77777777" w:rsidR="00902E11" w:rsidRPr="00791A3F" w:rsidRDefault="00902E11" w:rsidP="00791A3F">
            <w:pPr>
              <w:spacing w:after="160" w:line="360" w:lineRule="auto"/>
              <w:rPr>
                <w:rFonts w:ascii="Arial" w:hAnsi="Arial" w:cs="Arial"/>
              </w:rPr>
            </w:pPr>
            <w:r w:rsidRPr="00791A3F">
              <w:rPr>
                <w:rFonts w:ascii="Arial" w:hAnsi="Arial" w:cs="Arial"/>
              </w:rPr>
              <w:t>Explore retailer nutritionist perspectives on health-sustainability-affordability trade-offs</w:t>
            </w:r>
          </w:p>
        </w:tc>
        <w:tc>
          <w:tcPr>
            <w:tcW w:w="686" w:type="pct"/>
            <w:hideMark/>
          </w:tcPr>
          <w:p w14:paraId="58F022DD" w14:textId="77777777" w:rsidR="00902E11" w:rsidRPr="00791A3F" w:rsidRDefault="00902E11" w:rsidP="00791A3F">
            <w:pPr>
              <w:spacing w:after="160" w:line="360" w:lineRule="auto"/>
              <w:rPr>
                <w:rFonts w:ascii="Arial" w:hAnsi="Arial" w:cs="Arial"/>
              </w:rPr>
            </w:pPr>
            <w:r w:rsidRPr="00791A3F">
              <w:rPr>
                <w:rFonts w:ascii="Arial" w:hAnsi="Arial" w:cs="Arial"/>
              </w:rPr>
              <w:t>Qualitative; Interviews with 15 UK supermarket nutritionists; 2023; Thematic analysis</w:t>
            </w:r>
          </w:p>
        </w:tc>
        <w:tc>
          <w:tcPr>
            <w:tcW w:w="824" w:type="pct"/>
            <w:hideMark/>
          </w:tcPr>
          <w:p w14:paraId="0F764F21"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Nutritionists advocate for affordable healthy options but face commercial pressures </w:t>
            </w:r>
            <w:proofErr w:type="spellStart"/>
            <w:r w:rsidRPr="00791A3F">
              <w:rPr>
                <w:rFonts w:ascii="Arial" w:hAnsi="Arial" w:cs="Arial"/>
              </w:rPr>
              <w:t>prioritising</w:t>
            </w:r>
            <w:proofErr w:type="spellEnd"/>
            <w:r w:rsidRPr="00791A3F">
              <w:rPr>
                <w:rFonts w:ascii="Arial" w:hAnsi="Arial" w:cs="Arial"/>
              </w:rPr>
              <w:t xml:space="preserve"> profit margins; tensions between public health goals and shareholder expectations</w:t>
            </w:r>
          </w:p>
        </w:tc>
        <w:tc>
          <w:tcPr>
            <w:tcW w:w="830" w:type="pct"/>
            <w:hideMark/>
          </w:tcPr>
          <w:p w14:paraId="48C66C78" w14:textId="77777777" w:rsidR="00902E11" w:rsidRPr="00791A3F" w:rsidRDefault="00902E11" w:rsidP="00791A3F">
            <w:pPr>
              <w:spacing w:after="160" w:line="360" w:lineRule="auto"/>
              <w:rPr>
                <w:rFonts w:ascii="Arial" w:hAnsi="Arial" w:cs="Arial"/>
              </w:rPr>
            </w:pPr>
            <w:r w:rsidRPr="00791A3F">
              <w:rPr>
                <w:rFonts w:ascii="Arial" w:hAnsi="Arial" w:cs="Arial"/>
              </w:rPr>
              <w:t>Reveals internal tensions constraining substantive health CSR; relevant to RQ4 (emerging priorities) and customer responsibility dimension</w:t>
            </w:r>
          </w:p>
        </w:tc>
      </w:tr>
      <w:tr w:rsidR="00902E11" w:rsidRPr="00791A3F" w14:paraId="071971B8" w14:textId="77777777" w:rsidTr="007A6F53">
        <w:tc>
          <w:tcPr>
            <w:tcW w:w="1814" w:type="pct"/>
            <w:hideMark/>
          </w:tcPr>
          <w:p w14:paraId="40194E1D"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Corporate Social Responsibility: A Case Study of the UK's Leading Food Retailers (extended discussion)</w:t>
            </w:r>
          </w:p>
          <w:p w14:paraId="25D69411"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Jones et al. (2011)</w:t>
            </w:r>
          </w:p>
          <w:p w14:paraId="33FB0860"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0" w:tgtFrame="_blank" w:history="1">
              <w:r w:rsidRPr="00791A3F">
                <w:rPr>
                  <w:rStyle w:val="Hyperlink"/>
                  <w:rFonts w:ascii="Arial" w:hAnsi="Arial" w:cs="Arial"/>
                </w:rPr>
                <w:t>ResearchGate</w:t>
              </w:r>
            </w:hyperlink>
          </w:p>
        </w:tc>
        <w:tc>
          <w:tcPr>
            <w:tcW w:w="846" w:type="pct"/>
            <w:hideMark/>
          </w:tcPr>
          <w:p w14:paraId="407D0731" w14:textId="77777777" w:rsidR="00902E11" w:rsidRPr="00791A3F" w:rsidRDefault="00902E11" w:rsidP="00791A3F">
            <w:pPr>
              <w:spacing w:after="160" w:line="360" w:lineRule="auto"/>
              <w:rPr>
                <w:rFonts w:ascii="Arial" w:hAnsi="Arial" w:cs="Arial"/>
              </w:rPr>
            </w:pPr>
            <w:r w:rsidRPr="00791A3F">
              <w:rPr>
                <w:rFonts w:ascii="Arial" w:hAnsi="Arial" w:cs="Arial"/>
              </w:rPr>
              <w:t>Extended methodological discussion and sector analysis building on 2005 study</w:t>
            </w:r>
          </w:p>
        </w:tc>
        <w:tc>
          <w:tcPr>
            <w:tcW w:w="686" w:type="pct"/>
            <w:hideMark/>
          </w:tcPr>
          <w:p w14:paraId="1789C51C" w14:textId="77777777" w:rsidR="00902E11" w:rsidRPr="00791A3F" w:rsidRDefault="00902E11" w:rsidP="00791A3F">
            <w:pPr>
              <w:spacing w:after="160" w:line="360" w:lineRule="auto"/>
              <w:rPr>
                <w:rFonts w:ascii="Arial" w:hAnsi="Arial" w:cs="Arial"/>
              </w:rPr>
            </w:pPr>
            <w:r w:rsidRPr="00791A3F">
              <w:rPr>
                <w:rFonts w:ascii="Arial" w:hAnsi="Arial" w:cs="Arial"/>
              </w:rPr>
              <w:t>Conceptual; Literature review</w:t>
            </w:r>
          </w:p>
        </w:tc>
        <w:tc>
          <w:tcPr>
            <w:tcW w:w="824" w:type="pct"/>
            <w:hideMark/>
          </w:tcPr>
          <w:p w14:paraId="1B5B82A4" w14:textId="77777777" w:rsidR="00902E11" w:rsidRPr="00791A3F" w:rsidRDefault="00902E11" w:rsidP="00791A3F">
            <w:pPr>
              <w:spacing w:after="160" w:line="360" w:lineRule="auto"/>
              <w:rPr>
                <w:rFonts w:ascii="Arial" w:hAnsi="Arial" w:cs="Arial"/>
              </w:rPr>
            </w:pPr>
            <w:r w:rsidRPr="00791A3F">
              <w:rPr>
                <w:rFonts w:ascii="Arial" w:hAnsi="Arial" w:cs="Arial"/>
              </w:rPr>
              <w:t>UK food retail CSR evolved from philanthropic add-on to strategic necessity; external pressures (regulation, civil society, investors) drive adoption; implementation depth remains variable</w:t>
            </w:r>
          </w:p>
        </w:tc>
        <w:tc>
          <w:tcPr>
            <w:tcW w:w="830" w:type="pct"/>
            <w:hideMark/>
          </w:tcPr>
          <w:p w14:paraId="20AF7B49" w14:textId="77777777" w:rsidR="00902E11" w:rsidRPr="00791A3F" w:rsidRDefault="00902E11" w:rsidP="00791A3F">
            <w:pPr>
              <w:spacing w:after="160" w:line="360" w:lineRule="auto"/>
              <w:rPr>
                <w:rFonts w:ascii="Arial" w:hAnsi="Arial" w:cs="Arial"/>
              </w:rPr>
            </w:pPr>
            <w:r w:rsidRPr="00791A3F">
              <w:rPr>
                <w:rFonts w:ascii="Arial" w:hAnsi="Arial" w:cs="Arial"/>
              </w:rPr>
              <w:t>Theoretical elaboration of 2005 baseline; provides historical context for 20-year evaluation period</w:t>
            </w:r>
          </w:p>
        </w:tc>
      </w:tr>
      <w:tr w:rsidR="00902E11" w:rsidRPr="00791A3F" w14:paraId="4D8DA6FF" w14:textId="77777777" w:rsidTr="007A6F53">
        <w:tc>
          <w:tcPr>
            <w:tcW w:w="1814" w:type="pct"/>
            <w:hideMark/>
          </w:tcPr>
          <w:p w14:paraId="762C5D48"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Modern slavery in supply chains: a systematic literature review</w:t>
            </w:r>
          </w:p>
          <w:p w14:paraId="1F03914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xml:space="preserve"> Meehan &amp; </w:t>
            </w:r>
            <w:proofErr w:type="spellStart"/>
            <w:r w:rsidRPr="00791A3F">
              <w:rPr>
                <w:rFonts w:ascii="Arial" w:hAnsi="Arial" w:cs="Arial"/>
              </w:rPr>
              <w:t>Pinnington</w:t>
            </w:r>
            <w:proofErr w:type="spellEnd"/>
            <w:r w:rsidRPr="00791A3F">
              <w:rPr>
                <w:rFonts w:ascii="Arial" w:hAnsi="Arial" w:cs="Arial"/>
              </w:rPr>
              <w:t xml:space="preserve"> (2022)</w:t>
            </w:r>
          </w:p>
          <w:p w14:paraId="66E885CA"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1" w:tgtFrame="_blank" w:history="1">
              <w:r w:rsidRPr="00791A3F">
                <w:rPr>
                  <w:rStyle w:val="Hyperlink"/>
                  <w:rFonts w:ascii="Arial" w:hAnsi="Arial" w:cs="Arial"/>
                </w:rPr>
                <w:t>Taylor &amp; Francis</w:t>
              </w:r>
            </w:hyperlink>
          </w:p>
        </w:tc>
        <w:tc>
          <w:tcPr>
            <w:tcW w:w="846" w:type="pct"/>
            <w:hideMark/>
          </w:tcPr>
          <w:p w14:paraId="0161770B"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t>Synthesise</w:t>
            </w:r>
            <w:proofErr w:type="spellEnd"/>
            <w:r w:rsidRPr="00791A3F">
              <w:rPr>
                <w:rFonts w:ascii="Arial" w:hAnsi="Arial" w:cs="Arial"/>
              </w:rPr>
              <w:t xml:space="preserve"> modern slavery supply chain scholarship; assess disclosure effectiveness</w:t>
            </w:r>
          </w:p>
        </w:tc>
        <w:tc>
          <w:tcPr>
            <w:tcW w:w="686" w:type="pct"/>
            <w:hideMark/>
          </w:tcPr>
          <w:p w14:paraId="1320A09D"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2015–2021; 78 studies</w:t>
            </w:r>
          </w:p>
        </w:tc>
        <w:tc>
          <w:tcPr>
            <w:tcW w:w="824" w:type="pct"/>
            <w:hideMark/>
          </w:tcPr>
          <w:p w14:paraId="65BE62AD" w14:textId="77777777" w:rsidR="00902E11" w:rsidRPr="00791A3F" w:rsidRDefault="00902E11" w:rsidP="00791A3F">
            <w:pPr>
              <w:spacing w:after="160" w:line="360" w:lineRule="auto"/>
              <w:rPr>
                <w:rFonts w:ascii="Arial" w:hAnsi="Arial" w:cs="Arial"/>
              </w:rPr>
            </w:pPr>
            <w:r w:rsidRPr="00791A3F">
              <w:rPr>
                <w:rFonts w:ascii="Arial" w:hAnsi="Arial" w:cs="Arial"/>
              </w:rPr>
              <w:t>Modern Slavery Act (2015) increased disclosure volume but not transparency depth; reporting focuses on governance processes rather than worker outcomes</w:t>
            </w:r>
          </w:p>
        </w:tc>
        <w:tc>
          <w:tcPr>
            <w:tcW w:w="830" w:type="pct"/>
            <w:hideMark/>
          </w:tcPr>
          <w:p w14:paraId="53DC82AA" w14:textId="77777777" w:rsidR="00902E11" w:rsidRPr="00791A3F" w:rsidRDefault="00902E11" w:rsidP="00791A3F">
            <w:pPr>
              <w:spacing w:after="160" w:line="360" w:lineRule="auto"/>
              <w:rPr>
                <w:rFonts w:ascii="Arial" w:hAnsi="Arial" w:cs="Arial"/>
              </w:rPr>
            </w:pPr>
            <w:r w:rsidRPr="00791A3F">
              <w:rPr>
                <w:rFonts w:ascii="Arial" w:hAnsi="Arial" w:cs="Arial"/>
              </w:rPr>
              <w:t>Directly relevant to RO3: evaluating ethical sourcing dimension and Modern Slavery Act compliance effectiveness</w:t>
            </w:r>
          </w:p>
        </w:tc>
      </w:tr>
      <w:tr w:rsidR="00902E11" w:rsidRPr="00791A3F" w14:paraId="27BF371D" w14:textId="77777777" w:rsidTr="007A6F53">
        <w:tc>
          <w:tcPr>
            <w:tcW w:w="1814" w:type="pct"/>
            <w:hideMark/>
          </w:tcPr>
          <w:p w14:paraId="4E4C6C69"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w:t>
            </w:r>
            <w:proofErr w:type="spellStart"/>
            <w:r w:rsidRPr="00791A3F">
              <w:rPr>
                <w:rFonts w:ascii="Arial" w:hAnsi="Arial" w:cs="Arial"/>
              </w:rPr>
              <w:t>Labour</w:t>
            </w:r>
            <w:proofErr w:type="spellEnd"/>
            <w:r w:rsidRPr="00791A3F">
              <w:rPr>
                <w:rFonts w:ascii="Arial" w:hAnsi="Arial" w:cs="Arial"/>
              </w:rPr>
              <w:t xml:space="preserve"> Rights Movements and Modern Slavery Audit Disclosures within Global Supply Chains: A Political Mediation Perspective</w:t>
            </w:r>
          </w:p>
          <w:p w14:paraId="64E7E7F0"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Sarfaty &amp; Zhang (2025)</w:t>
            </w:r>
          </w:p>
          <w:p w14:paraId="2FB9BC54"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2" w:tgtFrame="_blank" w:history="1">
              <w:r w:rsidRPr="00791A3F">
                <w:rPr>
                  <w:rStyle w:val="Hyperlink"/>
                  <w:rFonts w:ascii="Arial" w:hAnsi="Arial" w:cs="Arial"/>
                </w:rPr>
                <w:t>Taylor &amp; Francis</w:t>
              </w:r>
            </w:hyperlink>
          </w:p>
        </w:tc>
        <w:tc>
          <w:tcPr>
            <w:tcW w:w="846" w:type="pct"/>
            <w:hideMark/>
          </w:tcPr>
          <w:p w14:paraId="037AA9B4"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Examine influence of </w:t>
            </w:r>
            <w:proofErr w:type="spellStart"/>
            <w:r w:rsidRPr="00791A3F">
              <w:rPr>
                <w:rFonts w:ascii="Arial" w:hAnsi="Arial" w:cs="Arial"/>
              </w:rPr>
              <w:t>labour</w:t>
            </w:r>
            <w:proofErr w:type="spellEnd"/>
            <w:r w:rsidRPr="00791A3F">
              <w:rPr>
                <w:rFonts w:ascii="Arial" w:hAnsi="Arial" w:cs="Arial"/>
              </w:rPr>
              <w:t xml:space="preserve"> rights activism on modern slavery reporting quality</w:t>
            </w:r>
          </w:p>
        </w:tc>
        <w:tc>
          <w:tcPr>
            <w:tcW w:w="686" w:type="pct"/>
            <w:hideMark/>
          </w:tcPr>
          <w:p w14:paraId="13CD00F0" w14:textId="77777777" w:rsidR="00902E11" w:rsidRPr="00791A3F" w:rsidRDefault="00902E11" w:rsidP="00791A3F">
            <w:pPr>
              <w:spacing w:after="160" w:line="360" w:lineRule="auto"/>
              <w:rPr>
                <w:rFonts w:ascii="Arial" w:hAnsi="Arial" w:cs="Arial"/>
              </w:rPr>
            </w:pPr>
            <w:r w:rsidRPr="00791A3F">
              <w:rPr>
                <w:rFonts w:ascii="Arial" w:hAnsi="Arial" w:cs="Arial"/>
              </w:rPr>
              <w:t>Quantitative; 200 UK firms; 2016–2023; Regression</w:t>
            </w:r>
          </w:p>
        </w:tc>
        <w:tc>
          <w:tcPr>
            <w:tcW w:w="824" w:type="pct"/>
            <w:hideMark/>
          </w:tcPr>
          <w:p w14:paraId="3AA9A08C" w14:textId="77777777" w:rsidR="00902E11" w:rsidRPr="00791A3F" w:rsidRDefault="00902E11" w:rsidP="00791A3F">
            <w:pPr>
              <w:spacing w:after="160" w:line="360" w:lineRule="auto"/>
              <w:rPr>
                <w:rFonts w:ascii="Arial" w:hAnsi="Arial" w:cs="Arial"/>
              </w:rPr>
            </w:pPr>
            <w:r w:rsidRPr="00791A3F">
              <w:rPr>
                <w:rFonts w:ascii="Arial" w:hAnsi="Arial" w:cs="Arial"/>
              </w:rPr>
              <w:t>Civil society pressure correlates with disclosure improvement; however, substantive remediation evidence remains limited; political mediation mechanisms (naming-and-shaming) more effective than regulatory mandates alone</w:t>
            </w:r>
          </w:p>
        </w:tc>
        <w:tc>
          <w:tcPr>
            <w:tcW w:w="830" w:type="pct"/>
            <w:hideMark/>
          </w:tcPr>
          <w:p w14:paraId="1880FEE4" w14:textId="77777777" w:rsidR="00902E11" w:rsidRPr="00791A3F" w:rsidRDefault="00902E11" w:rsidP="00791A3F">
            <w:pPr>
              <w:spacing w:after="160" w:line="360" w:lineRule="auto"/>
              <w:rPr>
                <w:rFonts w:ascii="Arial" w:hAnsi="Arial" w:cs="Arial"/>
              </w:rPr>
            </w:pPr>
            <w:proofErr w:type="gramStart"/>
            <w:r w:rsidRPr="00791A3F">
              <w:rPr>
                <w:rFonts w:ascii="Arial" w:hAnsi="Arial" w:cs="Arial"/>
              </w:rPr>
              <w:t>Highlights</w:t>
            </w:r>
            <w:proofErr w:type="gramEnd"/>
            <w:r w:rsidRPr="00791A3F">
              <w:rPr>
                <w:rFonts w:ascii="Arial" w:hAnsi="Arial" w:cs="Arial"/>
              </w:rPr>
              <w:t xml:space="preserve"> role of NGO accountability (Oxfam, </w:t>
            </w:r>
            <w:proofErr w:type="spellStart"/>
            <w:r w:rsidRPr="00791A3F">
              <w:rPr>
                <w:rFonts w:ascii="Arial" w:hAnsi="Arial" w:cs="Arial"/>
              </w:rPr>
              <w:t>ShareAction</w:t>
            </w:r>
            <w:proofErr w:type="spellEnd"/>
            <w:r w:rsidRPr="00791A3F">
              <w:rPr>
                <w:rFonts w:ascii="Arial" w:hAnsi="Arial" w:cs="Arial"/>
              </w:rPr>
              <w:t>) in driving substantive CSR; informs data triangulation strategy</w:t>
            </w:r>
          </w:p>
        </w:tc>
      </w:tr>
      <w:tr w:rsidR="00902E11" w:rsidRPr="00791A3F" w14:paraId="165F0280" w14:textId="77777777" w:rsidTr="007A6F53">
        <w:tc>
          <w:tcPr>
            <w:tcW w:w="1814" w:type="pct"/>
            <w:hideMark/>
          </w:tcPr>
          <w:p w14:paraId="6DB2158B"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Modern slavery </w:t>
            </w:r>
            <w:r w:rsidRPr="00791A3F">
              <w:rPr>
                <w:rFonts w:ascii="Arial" w:hAnsi="Arial" w:cs="Arial"/>
              </w:rPr>
              <w:lastRenderedPageBreak/>
              <w:t>statements: From regulation to substantive supply chain reporting</w:t>
            </w:r>
          </w:p>
          <w:p w14:paraId="63F176AC"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Stevenson &amp; Cole (2021)</w:t>
            </w:r>
          </w:p>
          <w:p w14:paraId="41628405"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3" w:tgtFrame="_blank" w:history="1">
              <w:r w:rsidRPr="00791A3F">
                <w:rPr>
                  <w:rStyle w:val="Hyperlink"/>
                  <w:rFonts w:ascii="Arial" w:hAnsi="Arial" w:cs="Arial"/>
                </w:rPr>
                <w:t>ScienceDirect</w:t>
              </w:r>
            </w:hyperlink>
          </w:p>
        </w:tc>
        <w:tc>
          <w:tcPr>
            <w:tcW w:w="846" w:type="pct"/>
            <w:hideMark/>
          </w:tcPr>
          <w:p w14:paraId="7B6F7DFE"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Evaluate UK Modern </w:t>
            </w:r>
            <w:r w:rsidRPr="00791A3F">
              <w:rPr>
                <w:rFonts w:ascii="Arial" w:hAnsi="Arial" w:cs="Arial"/>
              </w:rPr>
              <w:lastRenderedPageBreak/>
              <w:t>Slavery Act reporting quality; propose improvement framework</w:t>
            </w:r>
          </w:p>
        </w:tc>
        <w:tc>
          <w:tcPr>
            <w:tcW w:w="686" w:type="pct"/>
            <w:hideMark/>
          </w:tcPr>
          <w:p w14:paraId="7F4172BB"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Content analysis; </w:t>
            </w:r>
            <w:r w:rsidRPr="00791A3F">
              <w:rPr>
                <w:rFonts w:ascii="Arial" w:hAnsi="Arial" w:cs="Arial"/>
              </w:rPr>
              <w:lastRenderedPageBreak/>
              <w:t>100 UK retailers; 2016–2020; Transparency International framework</w:t>
            </w:r>
          </w:p>
        </w:tc>
        <w:tc>
          <w:tcPr>
            <w:tcW w:w="824" w:type="pct"/>
            <w:hideMark/>
          </w:tcPr>
          <w:p w14:paraId="0CDB5AB6"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Only 23% of statements include </w:t>
            </w:r>
            <w:r w:rsidRPr="00791A3F">
              <w:rPr>
                <w:rFonts w:ascii="Arial" w:hAnsi="Arial" w:cs="Arial"/>
              </w:rPr>
              <w:lastRenderedPageBreak/>
              <w:t>due diligence evidence; 12% report worker remediation; reporting predominantly symbolic; deep-tier supply chain visibility absent</w:t>
            </w:r>
          </w:p>
        </w:tc>
        <w:tc>
          <w:tcPr>
            <w:tcW w:w="830" w:type="pct"/>
            <w:hideMark/>
          </w:tcPr>
          <w:p w14:paraId="5633A573"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Critical for RO3:</w:t>
            </w:r>
            <w:r w:rsidRPr="00791A3F">
              <w:rPr>
                <w:rFonts w:ascii="Arial" w:hAnsi="Arial" w:cs="Arial"/>
              </w:rPr>
              <w:t> provide</w:t>
            </w:r>
            <w:r w:rsidRPr="00791A3F">
              <w:rPr>
                <w:rFonts w:ascii="Arial" w:hAnsi="Arial" w:cs="Arial"/>
              </w:rPr>
              <w:lastRenderedPageBreak/>
              <w:t>s benchmark data on ethical sourcing disclosure quality; distinguishes process reporting from outcome evidence</w:t>
            </w:r>
          </w:p>
        </w:tc>
      </w:tr>
      <w:tr w:rsidR="00902E11" w:rsidRPr="00791A3F" w14:paraId="60619EBA" w14:textId="77777777" w:rsidTr="007A6F53">
        <w:tc>
          <w:tcPr>
            <w:tcW w:w="1814" w:type="pct"/>
            <w:hideMark/>
          </w:tcPr>
          <w:p w14:paraId="55EF942F"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Modern Slavery Disclosure Regulation and Global Supply Chains: Insights from Stakeholder Narratives on the UK Modern Slavery Act</w:t>
            </w:r>
          </w:p>
          <w:p w14:paraId="6314A4F1"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LeBaron et al. (2021)</w:t>
            </w:r>
          </w:p>
          <w:p w14:paraId="2A089189"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4" w:tgtFrame="_blank" w:history="1">
              <w:r w:rsidRPr="00791A3F">
                <w:rPr>
                  <w:rStyle w:val="Hyperlink"/>
                  <w:rFonts w:ascii="Arial" w:hAnsi="Arial" w:cs="Arial"/>
                </w:rPr>
                <w:t>Springer</w:t>
              </w:r>
            </w:hyperlink>
          </w:p>
        </w:tc>
        <w:tc>
          <w:tcPr>
            <w:tcW w:w="846" w:type="pct"/>
            <w:hideMark/>
          </w:tcPr>
          <w:p w14:paraId="25C40266" w14:textId="77777777" w:rsidR="00902E11" w:rsidRPr="00791A3F" w:rsidRDefault="00902E11" w:rsidP="00791A3F">
            <w:pPr>
              <w:spacing w:after="160" w:line="360" w:lineRule="auto"/>
              <w:rPr>
                <w:rFonts w:ascii="Arial" w:hAnsi="Arial" w:cs="Arial"/>
              </w:rPr>
            </w:pPr>
            <w:r w:rsidRPr="00791A3F">
              <w:rPr>
                <w:rFonts w:ascii="Arial" w:hAnsi="Arial" w:cs="Arial"/>
              </w:rPr>
              <w:t>Examine stakeholder perceptions of Modern Slavery Act effectiveness</w:t>
            </w:r>
          </w:p>
        </w:tc>
        <w:tc>
          <w:tcPr>
            <w:tcW w:w="686" w:type="pct"/>
            <w:hideMark/>
          </w:tcPr>
          <w:p w14:paraId="6B9CBD6C" w14:textId="77777777" w:rsidR="00902E11" w:rsidRPr="00791A3F" w:rsidRDefault="00902E11" w:rsidP="00791A3F">
            <w:pPr>
              <w:spacing w:after="160" w:line="360" w:lineRule="auto"/>
              <w:rPr>
                <w:rFonts w:ascii="Arial" w:hAnsi="Arial" w:cs="Arial"/>
              </w:rPr>
            </w:pPr>
            <w:r w:rsidRPr="00791A3F">
              <w:rPr>
                <w:rFonts w:ascii="Arial" w:hAnsi="Arial" w:cs="Arial"/>
              </w:rPr>
              <w:t>Qualitative; 45 interviews; Retailers, NGOs, auditors; UK; Narrative analysis</w:t>
            </w:r>
          </w:p>
        </w:tc>
        <w:tc>
          <w:tcPr>
            <w:tcW w:w="824" w:type="pct"/>
            <w:hideMark/>
          </w:tcPr>
          <w:p w14:paraId="771BC52D" w14:textId="77777777" w:rsidR="00902E11" w:rsidRPr="00791A3F" w:rsidRDefault="00902E11" w:rsidP="00791A3F">
            <w:pPr>
              <w:spacing w:after="160" w:line="360" w:lineRule="auto"/>
              <w:rPr>
                <w:rFonts w:ascii="Arial" w:hAnsi="Arial" w:cs="Arial"/>
              </w:rPr>
            </w:pPr>
            <w:r w:rsidRPr="00791A3F">
              <w:rPr>
                <w:rFonts w:ascii="Arial" w:hAnsi="Arial" w:cs="Arial"/>
              </w:rPr>
              <w:t>Stakeholders critique weak enforcement, absence of penalties, limited scope (Tier 1 focus); call for mandatory due diligence, supply chain mapping, worker voice mechanisms</w:t>
            </w:r>
          </w:p>
        </w:tc>
        <w:tc>
          <w:tcPr>
            <w:tcW w:w="830" w:type="pct"/>
            <w:hideMark/>
          </w:tcPr>
          <w:p w14:paraId="7F6853BE" w14:textId="77777777" w:rsidR="00902E11" w:rsidRPr="00791A3F" w:rsidRDefault="00902E11" w:rsidP="00791A3F">
            <w:pPr>
              <w:spacing w:after="160" w:line="360" w:lineRule="auto"/>
              <w:rPr>
                <w:rFonts w:ascii="Arial" w:hAnsi="Arial" w:cs="Arial"/>
              </w:rPr>
            </w:pPr>
            <w:r w:rsidRPr="00791A3F">
              <w:rPr>
                <w:rFonts w:ascii="Arial" w:hAnsi="Arial" w:cs="Arial"/>
              </w:rPr>
              <w:t>Informs evaluation criteria for ethical sourcing: mandates alone insufficient without enforcement and stakeholder engagement</w:t>
            </w:r>
          </w:p>
        </w:tc>
      </w:tr>
      <w:tr w:rsidR="00902E11" w:rsidRPr="00791A3F" w14:paraId="089931DF" w14:textId="77777777" w:rsidTr="007A6F53">
        <w:tc>
          <w:tcPr>
            <w:tcW w:w="1814" w:type="pct"/>
            <w:hideMark/>
          </w:tcPr>
          <w:p w14:paraId="1C132568"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Evaluating TCFD Reporting: A </w:t>
            </w:r>
            <w:r w:rsidRPr="00791A3F">
              <w:rPr>
                <w:rFonts w:ascii="Arial" w:hAnsi="Arial" w:cs="Arial"/>
              </w:rPr>
              <w:lastRenderedPageBreak/>
              <w:t>New Application of Zero-Shot Analysis to Climate-Related Financial Disclosures</w:t>
            </w:r>
          </w:p>
          <w:p w14:paraId="258EC679"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Bingler et al. (2023)</w:t>
            </w:r>
          </w:p>
          <w:p w14:paraId="7160D291"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proofErr w:type="spellStart"/>
            <w:r w:rsidRPr="00791A3F">
              <w:rPr>
                <w:rFonts w:ascii="Arial" w:hAnsi="Arial" w:cs="Arial"/>
              </w:rPr>
              <w:fldChar w:fldCharType="begin"/>
            </w:r>
            <w:r w:rsidRPr="00791A3F">
              <w:rPr>
                <w:rFonts w:ascii="Arial" w:hAnsi="Arial" w:cs="Arial"/>
              </w:rPr>
              <w:instrText>HYPERLINK "https://arxiv.org/pdf/2302.00326" \t "_blank"</w:instrText>
            </w:r>
            <w:r w:rsidRPr="00791A3F">
              <w:rPr>
                <w:rFonts w:ascii="Arial" w:hAnsi="Arial" w:cs="Arial"/>
              </w:rPr>
            </w:r>
            <w:r w:rsidRPr="00791A3F">
              <w:rPr>
                <w:rFonts w:ascii="Arial" w:hAnsi="Arial" w:cs="Arial"/>
              </w:rPr>
              <w:fldChar w:fldCharType="separate"/>
            </w:r>
            <w:r w:rsidRPr="00791A3F">
              <w:rPr>
                <w:rStyle w:val="Hyperlink"/>
                <w:rFonts w:ascii="Arial" w:hAnsi="Arial" w:cs="Arial"/>
              </w:rPr>
              <w:t>arXiv</w:t>
            </w:r>
            <w:proofErr w:type="spellEnd"/>
            <w:r w:rsidRPr="00791A3F">
              <w:rPr>
                <w:rFonts w:ascii="Arial" w:hAnsi="Arial" w:cs="Arial"/>
              </w:rPr>
              <w:fldChar w:fldCharType="end"/>
            </w:r>
          </w:p>
        </w:tc>
        <w:tc>
          <w:tcPr>
            <w:tcW w:w="846" w:type="pct"/>
            <w:hideMark/>
          </w:tcPr>
          <w:p w14:paraId="2A7AF0E0"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Develop methodology assessing </w:t>
            </w:r>
            <w:r w:rsidRPr="00791A3F">
              <w:rPr>
                <w:rFonts w:ascii="Arial" w:hAnsi="Arial" w:cs="Arial"/>
              </w:rPr>
              <w:lastRenderedPageBreak/>
              <w:t>TCFD disclosure quality; test on corporate reports</w:t>
            </w:r>
          </w:p>
        </w:tc>
        <w:tc>
          <w:tcPr>
            <w:tcW w:w="686" w:type="pct"/>
            <w:hideMark/>
          </w:tcPr>
          <w:p w14:paraId="49777FF1"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Machine learning; 800+ </w:t>
            </w:r>
            <w:r w:rsidRPr="00791A3F">
              <w:rPr>
                <w:rFonts w:ascii="Arial" w:hAnsi="Arial" w:cs="Arial"/>
              </w:rPr>
              <w:lastRenderedPageBreak/>
              <w:t>TCFD reports; Natural language processing</w:t>
            </w:r>
          </w:p>
        </w:tc>
        <w:tc>
          <w:tcPr>
            <w:tcW w:w="824" w:type="pct"/>
            <w:hideMark/>
          </w:tcPr>
          <w:p w14:paraId="08740DBB"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TCFD compliance exhibits significant quality variation; firms </w:t>
            </w:r>
            <w:proofErr w:type="spellStart"/>
            <w:r w:rsidRPr="00791A3F">
              <w:rPr>
                <w:rFonts w:ascii="Arial" w:hAnsi="Arial" w:cs="Arial"/>
              </w:rPr>
              <w:lastRenderedPageBreak/>
              <w:t>emphasise</w:t>
            </w:r>
            <w:proofErr w:type="spellEnd"/>
            <w:r w:rsidRPr="00791A3F">
              <w:rPr>
                <w:rFonts w:ascii="Arial" w:hAnsi="Arial" w:cs="Arial"/>
              </w:rPr>
              <w:t xml:space="preserve"> governance and risk disclosure over quantified emissions targets and transition plans</w:t>
            </w:r>
          </w:p>
        </w:tc>
        <w:tc>
          <w:tcPr>
            <w:tcW w:w="830" w:type="pct"/>
            <w:hideMark/>
          </w:tcPr>
          <w:p w14:paraId="673F75DB"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Methodological insight: TCFD </w:t>
            </w:r>
            <w:r w:rsidRPr="00791A3F">
              <w:rPr>
                <w:rFonts w:ascii="Arial" w:hAnsi="Arial" w:cs="Arial"/>
              </w:rPr>
              <w:lastRenderedPageBreak/>
              <w:t>adoption does not guarantee substantive climate disclosure; informs climate accountability evaluation (RO3, RQ4)</w:t>
            </w:r>
          </w:p>
        </w:tc>
      </w:tr>
      <w:tr w:rsidR="00902E11" w:rsidRPr="00791A3F" w14:paraId="5574D812" w14:textId="77777777" w:rsidTr="007A6F53">
        <w:tc>
          <w:tcPr>
            <w:tcW w:w="1814" w:type="pct"/>
            <w:hideMark/>
          </w:tcPr>
          <w:p w14:paraId="781AED48"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Climate change and Task Force on Climate-related Financial Disclosures (TCFD) reports: Italy and Spain comparison</w:t>
            </w:r>
          </w:p>
          <w:p w14:paraId="3C0DE8FB"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Aureli et al. (2024)</w:t>
            </w:r>
          </w:p>
          <w:p w14:paraId="7CAFA88A"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5" w:tgtFrame="_blank" w:history="1">
              <w:r w:rsidRPr="00791A3F">
                <w:rPr>
                  <w:rStyle w:val="Hyperlink"/>
                  <w:rFonts w:ascii="Arial" w:hAnsi="Arial" w:cs="Arial"/>
                </w:rPr>
                <w:t>Emerald</w:t>
              </w:r>
            </w:hyperlink>
          </w:p>
        </w:tc>
        <w:tc>
          <w:tcPr>
            <w:tcW w:w="846" w:type="pct"/>
            <w:hideMark/>
          </w:tcPr>
          <w:p w14:paraId="79E1C1A5" w14:textId="77777777" w:rsidR="00902E11" w:rsidRPr="00791A3F" w:rsidRDefault="00902E11" w:rsidP="00791A3F">
            <w:pPr>
              <w:spacing w:after="160" w:line="360" w:lineRule="auto"/>
              <w:rPr>
                <w:rFonts w:ascii="Arial" w:hAnsi="Arial" w:cs="Arial"/>
              </w:rPr>
            </w:pPr>
            <w:r w:rsidRPr="00791A3F">
              <w:rPr>
                <w:rFonts w:ascii="Arial" w:hAnsi="Arial" w:cs="Arial"/>
              </w:rPr>
              <w:t>Comparative TCFD implementation analysis across regulatory contexts</w:t>
            </w:r>
          </w:p>
        </w:tc>
        <w:tc>
          <w:tcPr>
            <w:tcW w:w="686" w:type="pct"/>
            <w:hideMark/>
          </w:tcPr>
          <w:p w14:paraId="64CEDF89" w14:textId="77777777" w:rsidR="00902E11" w:rsidRPr="00791A3F" w:rsidRDefault="00902E11" w:rsidP="00791A3F">
            <w:pPr>
              <w:spacing w:after="160" w:line="360" w:lineRule="auto"/>
              <w:rPr>
                <w:rFonts w:ascii="Arial" w:hAnsi="Arial" w:cs="Arial"/>
              </w:rPr>
            </w:pPr>
            <w:r w:rsidRPr="00791A3F">
              <w:rPr>
                <w:rFonts w:ascii="Arial" w:hAnsi="Arial" w:cs="Arial"/>
              </w:rPr>
              <w:t>Content analysis; 60 firms; Italy vs Spain; 2020–2022</w:t>
            </w:r>
          </w:p>
        </w:tc>
        <w:tc>
          <w:tcPr>
            <w:tcW w:w="824" w:type="pct"/>
            <w:hideMark/>
          </w:tcPr>
          <w:p w14:paraId="6F6269B3"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Mandatory TCFD (UK-like context) produces higher disclosure completeness; voluntary regimes yield selective, </w:t>
            </w:r>
            <w:proofErr w:type="spellStart"/>
            <w:r w:rsidRPr="00791A3F">
              <w:rPr>
                <w:rFonts w:ascii="Arial" w:hAnsi="Arial" w:cs="Arial"/>
              </w:rPr>
              <w:t>favourable</w:t>
            </w:r>
            <w:proofErr w:type="spellEnd"/>
            <w:r w:rsidRPr="00791A3F">
              <w:rPr>
                <w:rFonts w:ascii="Arial" w:hAnsi="Arial" w:cs="Arial"/>
              </w:rPr>
              <w:t xml:space="preserve"> disclosure</w:t>
            </w:r>
          </w:p>
        </w:tc>
        <w:tc>
          <w:tcPr>
            <w:tcW w:w="830" w:type="pct"/>
            <w:hideMark/>
          </w:tcPr>
          <w:p w14:paraId="2D7DFD8D" w14:textId="77777777" w:rsidR="00902E11" w:rsidRPr="00791A3F" w:rsidRDefault="00902E11" w:rsidP="00791A3F">
            <w:pPr>
              <w:spacing w:after="160" w:line="360" w:lineRule="auto"/>
              <w:rPr>
                <w:rFonts w:ascii="Arial" w:hAnsi="Arial" w:cs="Arial"/>
              </w:rPr>
            </w:pPr>
            <w:r w:rsidRPr="00791A3F">
              <w:rPr>
                <w:rFonts w:ascii="Arial" w:hAnsi="Arial" w:cs="Arial"/>
              </w:rPr>
              <w:t>Supports argument that UK mandatory TCFD (from 2021) should improve climate transparency; provides comparative context</w:t>
            </w:r>
          </w:p>
        </w:tc>
      </w:tr>
      <w:tr w:rsidR="00902E11" w:rsidRPr="00791A3F" w14:paraId="14E255BE" w14:textId="77777777" w:rsidTr="007A6F53">
        <w:tc>
          <w:tcPr>
            <w:tcW w:w="1814" w:type="pct"/>
            <w:hideMark/>
          </w:tcPr>
          <w:p w14:paraId="7E92202C"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Quality, determinants and financial consequences of climate change </w:t>
            </w:r>
            <w:r w:rsidRPr="00791A3F">
              <w:rPr>
                <w:rFonts w:ascii="Arial" w:hAnsi="Arial" w:cs="Arial"/>
              </w:rPr>
              <w:lastRenderedPageBreak/>
              <w:t>disclosures: a structured review</w:t>
            </w:r>
          </w:p>
          <w:p w14:paraId="46E93EEE"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w:t>
            </w:r>
            <w:proofErr w:type="spellStart"/>
            <w:r w:rsidRPr="00791A3F">
              <w:rPr>
                <w:rFonts w:ascii="Arial" w:hAnsi="Arial" w:cs="Arial"/>
              </w:rPr>
              <w:t>Suardi</w:t>
            </w:r>
            <w:proofErr w:type="spellEnd"/>
            <w:r w:rsidRPr="00791A3F">
              <w:rPr>
                <w:rFonts w:ascii="Arial" w:hAnsi="Arial" w:cs="Arial"/>
              </w:rPr>
              <w:t xml:space="preserve"> &amp; </w:t>
            </w:r>
            <w:proofErr w:type="spellStart"/>
            <w:r w:rsidRPr="00791A3F">
              <w:rPr>
                <w:rFonts w:ascii="Arial" w:hAnsi="Arial" w:cs="Arial"/>
              </w:rPr>
              <w:t>Fiandrino</w:t>
            </w:r>
            <w:proofErr w:type="spellEnd"/>
            <w:r w:rsidRPr="00791A3F">
              <w:rPr>
                <w:rFonts w:ascii="Arial" w:hAnsi="Arial" w:cs="Arial"/>
              </w:rPr>
              <w:t xml:space="preserve"> (2025)</w:t>
            </w:r>
          </w:p>
          <w:p w14:paraId="7D200F8B"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6" w:tgtFrame="_blank" w:history="1">
              <w:r w:rsidRPr="00791A3F">
                <w:rPr>
                  <w:rStyle w:val="Hyperlink"/>
                  <w:rFonts w:ascii="Arial" w:hAnsi="Arial" w:cs="Arial"/>
                </w:rPr>
                <w:t>Taylor &amp; Francis</w:t>
              </w:r>
            </w:hyperlink>
          </w:p>
        </w:tc>
        <w:tc>
          <w:tcPr>
            <w:tcW w:w="846" w:type="pct"/>
            <w:hideMark/>
          </w:tcPr>
          <w:p w14:paraId="52013497"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lastRenderedPageBreak/>
              <w:t>Synthesise</w:t>
            </w:r>
            <w:proofErr w:type="spellEnd"/>
            <w:r w:rsidRPr="00791A3F">
              <w:rPr>
                <w:rFonts w:ascii="Arial" w:hAnsi="Arial" w:cs="Arial"/>
              </w:rPr>
              <w:t xml:space="preserve"> climate disclosure literature; identify quality determinants </w:t>
            </w:r>
            <w:r w:rsidRPr="00791A3F">
              <w:rPr>
                <w:rFonts w:ascii="Arial" w:hAnsi="Arial" w:cs="Arial"/>
              </w:rPr>
              <w:lastRenderedPageBreak/>
              <w:t>and financial impacts</w:t>
            </w:r>
          </w:p>
        </w:tc>
        <w:tc>
          <w:tcPr>
            <w:tcW w:w="686" w:type="pct"/>
            <w:hideMark/>
          </w:tcPr>
          <w:p w14:paraId="134B70AE"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Systematic review; 2010–2024; 120+ studies</w:t>
            </w:r>
          </w:p>
        </w:tc>
        <w:tc>
          <w:tcPr>
            <w:tcW w:w="824" w:type="pct"/>
            <w:hideMark/>
          </w:tcPr>
          <w:p w14:paraId="502E854C"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High-quality climate disclosure (quantified, verified, forward-looking) correlates with lower cost of capital and higher </w:t>
            </w:r>
            <w:r w:rsidRPr="00791A3F">
              <w:rPr>
                <w:rFonts w:ascii="Arial" w:hAnsi="Arial" w:cs="Arial"/>
              </w:rPr>
              <w:lastRenderedPageBreak/>
              <w:t>ESG ratings; quality determinants include board expertise, institutional ownership, regulatory stringency</w:t>
            </w:r>
          </w:p>
        </w:tc>
        <w:tc>
          <w:tcPr>
            <w:tcW w:w="830" w:type="pct"/>
            <w:hideMark/>
          </w:tcPr>
          <w:p w14:paraId="23BC9665"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Reinforces financial materiality of climate disclosure quality; </w:t>
            </w:r>
            <w:r w:rsidRPr="00791A3F">
              <w:rPr>
                <w:rFonts w:ascii="Arial" w:hAnsi="Arial" w:cs="Arial"/>
              </w:rPr>
              <w:lastRenderedPageBreak/>
              <w:t>supports integration and measurability criteria in framework</w:t>
            </w:r>
          </w:p>
        </w:tc>
      </w:tr>
      <w:tr w:rsidR="00902E11" w:rsidRPr="00791A3F" w14:paraId="500BB71F" w14:textId="77777777" w:rsidTr="007A6F53">
        <w:tc>
          <w:tcPr>
            <w:tcW w:w="1814" w:type="pct"/>
            <w:hideMark/>
          </w:tcPr>
          <w:p w14:paraId="4A002494"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Climate-related disclosures under the TCFD framework and business green innovation: Evidence from China A-share companies</w:t>
            </w:r>
          </w:p>
          <w:p w14:paraId="02881158"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Chen &amp; Ma (2024)</w:t>
            </w:r>
          </w:p>
          <w:p w14:paraId="390E0CB3"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7" w:tgtFrame="_blank" w:history="1">
              <w:r w:rsidRPr="00791A3F">
                <w:rPr>
                  <w:rStyle w:val="Hyperlink"/>
                  <w:rFonts w:ascii="Arial" w:hAnsi="Arial" w:cs="Arial"/>
                </w:rPr>
                <w:t>ScienceDirect</w:t>
              </w:r>
            </w:hyperlink>
          </w:p>
        </w:tc>
        <w:tc>
          <w:tcPr>
            <w:tcW w:w="846" w:type="pct"/>
            <w:hideMark/>
          </w:tcPr>
          <w:p w14:paraId="6B09FD8D" w14:textId="77777777" w:rsidR="00902E11" w:rsidRPr="00791A3F" w:rsidRDefault="00902E11" w:rsidP="00791A3F">
            <w:pPr>
              <w:spacing w:after="160" w:line="360" w:lineRule="auto"/>
              <w:rPr>
                <w:rFonts w:ascii="Arial" w:hAnsi="Arial" w:cs="Arial"/>
              </w:rPr>
            </w:pPr>
            <w:r w:rsidRPr="00791A3F">
              <w:rPr>
                <w:rFonts w:ascii="Arial" w:hAnsi="Arial" w:cs="Arial"/>
              </w:rPr>
              <w:t>Test whether TCFD disclosure drives green innovation investment</w:t>
            </w:r>
          </w:p>
        </w:tc>
        <w:tc>
          <w:tcPr>
            <w:tcW w:w="686" w:type="pct"/>
            <w:hideMark/>
          </w:tcPr>
          <w:p w14:paraId="795108D9" w14:textId="77777777" w:rsidR="00902E11" w:rsidRPr="00791A3F" w:rsidRDefault="00902E11" w:rsidP="00791A3F">
            <w:pPr>
              <w:spacing w:after="160" w:line="360" w:lineRule="auto"/>
              <w:rPr>
                <w:rFonts w:ascii="Arial" w:hAnsi="Arial" w:cs="Arial"/>
              </w:rPr>
            </w:pPr>
            <w:r w:rsidRPr="00791A3F">
              <w:rPr>
                <w:rFonts w:ascii="Arial" w:hAnsi="Arial" w:cs="Arial"/>
              </w:rPr>
              <w:t>Quantitative; 500 Chinese firms; 2018–2022; Panel regression</w:t>
            </w:r>
          </w:p>
        </w:tc>
        <w:tc>
          <w:tcPr>
            <w:tcW w:w="824" w:type="pct"/>
            <w:hideMark/>
          </w:tcPr>
          <w:p w14:paraId="34CD6C23" w14:textId="77777777" w:rsidR="00902E11" w:rsidRPr="00791A3F" w:rsidRDefault="00902E11" w:rsidP="00791A3F">
            <w:pPr>
              <w:spacing w:after="160" w:line="360" w:lineRule="auto"/>
              <w:rPr>
                <w:rFonts w:ascii="Arial" w:hAnsi="Arial" w:cs="Arial"/>
              </w:rPr>
            </w:pPr>
            <w:r w:rsidRPr="00791A3F">
              <w:rPr>
                <w:rFonts w:ascii="Arial" w:hAnsi="Arial" w:cs="Arial"/>
              </w:rPr>
              <w:t>High-quality TCFD disclosure positively associated with green R&amp;D investment and patent filings; mechanism: stakeholder pressure and legitimacy gains</w:t>
            </w:r>
          </w:p>
        </w:tc>
        <w:tc>
          <w:tcPr>
            <w:tcW w:w="830" w:type="pct"/>
            <w:hideMark/>
          </w:tcPr>
          <w:p w14:paraId="47BA4591" w14:textId="77777777" w:rsidR="00902E11" w:rsidRPr="00791A3F" w:rsidRDefault="00902E11" w:rsidP="00791A3F">
            <w:pPr>
              <w:spacing w:after="160" w:line="360" w:lineRule="auto"/>
              <w:rPr>
                <w:rFonts w:ascii="Arial" w:hAnsi="Arial" w:cs="Arial"/>
              </w:rPr>
            </w:pPr>
            <w:r w:rsidRPr="00791A3F">
              <w:rPr>
                <w:rFonts w:ascii="Arial" w:hAnsi="Arial" w:cs="Arial"/>
              </w:rPr>
              <w:t>Suggests TCFD can drive substantive environmental action beyond symbolic reporting if coupled with accountability mechanisms</w:t>
            </w:r>
          </w:p>
        </w:tc>
      </w:tr>
      <w:tr w:rsidR="00902E11" w:rsidRPr="00791A3F" w14:paraId="7D302EED" w14:textId="77777777" w:rsidTr="007A6F53">
        <w:tc>
          <w:tcPr>
            <w:tcW w:w="1814" w:type="pct"/>
            <w:hideMark/>
          </w:tcPr>
          <w:p w14:paraId="6C7D0C3B"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Evaluating TCFD reporting — A new application of zero-shot analysis to </w:t>
            </w:r>
            <w:r w:rsidRPr="00791A3F">
              <w:rPr>
                <w:rFonts w:ascii="Arial" w:hAnsi="Arial" w:cs="Arial"/>
              </w:rPr>
              <w:lastRenderedPageBreak/>
              <w:t>climate-related financial disclosures</w:t>
            </w:r>
          </w:p>
          <w:p w14:paraId="144B29D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Bingler et al. (2023)</w:t>
            </w:r>
          </w:p>
          <w:p w14:paraId="229036D5"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8" w:tgtFrame="_blank" w:history="1">
              <w:r w:rsidRPr="00791A3F">
                <w:rPr>
                  <w:rStyle w:val="Hyperlink"/>
                  <w:rFonts w:ascii="Arial" w:hAnsi="Arial" w:cs="Arial"/>
                </w:rPr>
                <w:t>PLOS ONE</w:t>
              </w:r>
            </w:hyperlink>
          </w:p>
        </w:tc>
        <w:tc>
          <w:tcPr>
            <w:tcW w:w="846" w:type="pct"/>
            <w:hideMark/>
          </w:tcPr>
          <w:p w14:paraId="11943F2E"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Apply AI to assess TCFD alignment and greenwashing risk</w:t>
            </w:r>
          </w:p>
        </w:tc>
        <w:tc>
          <w:tcPr>
            <w:tcW w:w="686" w:type="pct"/>
            <w:hideMark/>
          </w:tcPr>
          <w:p w14:paraId="7F488B38"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Machine learning; 1,000+ reports; 2019–2021; </w:t>
            </w:r>
            <w:r w:rsidRPr="00791A3F">
              <w:rPr>
                <w:rFonts w:ascii="Arial" w:hAnsi="Arial" w:cs="Arial"/>
              </w:rPr>
              <w:lastRenderedPageBreak/>
              <w:t>Zero-shot classification</w:t>
            </w:r>
          </w:p>
        </w:tc>
        <w:tc>
          <w:tcPr>
            <w:tcW w:w="824" w:type="pct"/>
            <w:hideMark/>
          </w:tcPr>
          <w:p w14:paraId="1D11D670"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30% of self-declared TCFD reports exhibit low alignment; vague language and absence of quantified targets common; automated </w:t>
            </w:r>
            <w:r w:rsidRPr="00791A3F">
              <w:rPr>
                <w:rFonts w:ascii="Arial" w:hAnsi="Arial" w:cs="Arial"/>
              </w:rPr>
              <w:lastRenderedPageBreak/>
              <w:t>assessment identifies greenwashing risk</w:t>
            </w:r>
          </w:p>
        </w:tc>
        <w:tc>
          <w:tcPr>
            <w:tcW w:w="830" w:type="pct"/>
            <w:hideMark/>
          </w:tcPr>
          <w:p w14:paraId="505C3A2A"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Methodological contribution: supports automated content </w:t>
            </w:r>
            <w:r w:rsidRPr="00791A3F">
              <w:rPr>
                <w:rFonts w:ascii="Arial" w:hAnsi="Arial" w:cs="Arial"/>
              </w:rPr>
              <w:lastRenderedPageBreak/>
              <w:t>analysis as supplement to manual coding; identifies symbolic TCFD reporting patterns</w:t>
            </w:r>
          </w:p>
        </w:tc>
      </w:tr>
      <w:tr w:rsidR="00902E11" w:rsidRPr="00791A3F" w14:paraId="22126B57" w14:textId="77777777" w:rsidTr="007A6F53">
        <w:tc>
          <w:tcPr>
            <w:tcW w:w="1814" w:type="pct"/>
            <w:hideMark/>
          </w:tcPr>
          <w:p w14:paraId="3C8539DA"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Does Accounting Scope 3 Emissions Improve Sustainable Business Outcomes? Evidence From S&amp;P 500 Technology Companies</w:t>
            </w:r>
          </w:p>
          <w:p w14:paraId="5E092E7E"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Balsam et al. (2025)</w:t>
            </w:r>
          </w:p>
          <w:p w14:paraId="214990DC"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9" w:tgtFrame="_blank" w:history="1">
              <w:r w:rsidRPr="00791A3F">
                <w:rPr>
                  <w:rStyle w:val="Hyperlink"/>
                  <w:rFonts w:ascii="Arial" w:hAnsi="Arial" w:cs="Arial"/>
                </w:rPr>
                <w:t>Wiley</w:t>
              </w:r>
            </w:hyperlink>
          </w:p>
        </w:tc>
        <w:tc>
          <w:tcPr>
            <w:tcW w:w="846" w:type="pct"/>
            <w:hideMark/>
          </w:tcPr>
          <w:p w14:paraId="1E470FC8" w14:textId="77777777" w:rsidR="00902E11" w:rsidRPr="00791A3F" w:rsidRDefault="00902E11" w:rsidP="00791A3F">
            <w:pPr>
              <w:spacing w:after="160" w:line="360" w:lineRule="auto"/>
              <w:rPr>
                <w:rFonts w:ascii="Arial" w:hAnsi="Arial" w:cs="Arial"/>
              </w:rPr>
            </w:pPr>
            <w:r w:rsidRPr="00791A3F">
              <w:rPr>
                <w:rFonts w:ascii="Arial" w:hAnsi="Arial" w:cs="Arial"/>
              </w:rPr>
              <w:t>Test whether Scope 3 emission disclosure correlates with emission reduction outcomes</w:t>
            </w:r>
          </w:p>
        </w:tc>
        <w:tc>
          <w:tcPr>
            <w:tcW w:w="686" w:type="pct"/>
            <w:hideMark/>
          </w:tcPr>
          <w:p w14:paraId="2735268D" w14:textId="77777777" w:rsidR="00902E11" w:rsidRPr="00791A3F" w:rsidRDefault="00902E11" w:rsidP="00791A3F">
            <w:pPr>
              <w:spacing w:after="160" w:line="360" w:lineRule="auto"/>
              <w:rPr>
                <w:rFonts w:ascii="Arial" w:hAnsi="Arial" w:cs="Arial"/>
              </w:rPr>
            </w:pPr>
            <w:r w:rsidRPr="00791A3F">
              <w:rPr>
                <w:rFonts w:ascii="Arial" w:hAnsi="Arial" w:cs="Arial"/>
              </w:rPr>
              <w:t>Quantitative; 100 S&amp;P 500 tech firms; 2015–2023; Regression</w:t>
            </w:r>
          </w:p>
        </w:tc>
        <w:tc>
          <w:tcPr>
            <w:tcW w:w="824" w:type="pct"/>
            <w:hideMark/>
          </w:tcPr>
          <w:p w14:paraId="3D14C038" w14:textId="77777777" w:rsidR="00902E11" w:rsidRPr="00791A3F" w:rsidRDefault="00902E11" w:rsidP="00791A3F">
            <w:pPr>
              <w:spacing w:after="160" w:line="360" w:lineRule="auto"/>
              <w:rPr>
                <w:rFonts w:ascii="Arial" w:hAnsi="Arial" w:cs="Arial"/>
              </w:rPr>
            </w:pPr>
            <w:r w:rsidRPr="00791A3F">
              <w:rPr>
                <w:rFonts w:ascii="Arial" w:hAnsi="Arial" w:cs="Arial"/>
              </w:rPr>
              <w:t>Scope 3 disclosure alone does not reduce emissions; reduction occurs only when disclosure coupled with quantified targets and governance accountability</w:t>
            </w:r>
          </w:p>
        </w:tc>
        <w:tc>
          <w:tcPr>
            <w:tcW w:w="830" w:type="pct"/>
            <w:hideMark/>
          </w:tcPr>
          <w:p w14:paraId="601F0BBE" w14:textId="77777777" w:rsidR="00902E11" w:rsidRPr="00791A3F" w:rsidRDefault="00902E11" w:rsidP="00791A3F">
            <w:pPr>
              <w:spacing w:after="160" w:line="360" w:lineRule="auto"/>
              <w:rPr>
                <w:rFonts w:ascii="Arial" w:hAnsi="Arial" w:cs="Arial"/>
              </w:rPr>
            </w:pPr>
            <w:r w:rsidRPr="00791A3F">
              <w:rPr>
                <w:rFonts w:ascii="Arial" w:hAnsi="Arial" w:cs="Arial"/>
              </w:rPr>
              <w:t>Highly relevant to RQ4: Scope 3 emissions as emerging priority; distinguishes symbolic disclosure from substantive reduction strategies</w:t>
            </w:r>
          </w:p>
        </w:tc>
      </w:tr>
      <w:tr w:rsidR="00902E11" w:rsidRPr="00791A3F" w14:paraId="4165BF9B" w14:textId="77777777" w:rsidTr="007A6F53">
        <w:tc>
          <w:tcPr>
            <w:tcW w:w="1814" w:type="pct"/>
            <w:hideMark/>
          </w:tcPr>
          <w:p w14:paraId="37ACB0FD"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ESG performance and corporate carbon emission intensity: panel </w:t>
            </w:r>
            <w:r w:rsidRPr="00791A3F">
              <w:rPr>
                <w:rFonts w:ascii="Arial" w:hAnsi="Arial" w:cs="Arial"/>
              </w:rPr>
              <w:lastRenderedPageBreak/>
              <w:t>data analysis of A-share listed companies</w:t>
            </w:r>
          </w:p>
          <w:p w14:paraId="770E9F37"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Liu et al. (2024)</w:t>
            </w:r>
          </w:p>
          <w:p w14:paraId="06FF01DC"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0" w:tgtFrame="_blank" w:history="1">
              <w:r w:rsidRPr="00791A3F">
                <w:rPr>
                  <w:rStyle w:val="Hyperlink"/>
                  <w:rFonts w:ascii="Arial" w:hAnsi="Arial" w:cs="Arial"/>
                </w:rPr>
                <w:t>Frontiers</w:t>
              </w:r>
            </w:hyperlink>
          </w:p>
        </w:tc>
        <w:tc>
          <w:tcPr>
            <w:tcW w:w="846" w:type="pct"/>
            <w:hideMark/>
          </w:tcPr>
          <w:p w14:paraId="7FF71894"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Examine relationship between ESG scores and </w:t>
            </w:r>
            <w:r w:rsidRPr="00791A3F">
              <w:rPr>
                <w:rFonts w:ascii="Arial" w:hAnsi="Arial" w:cs="Arial"/>
              </w:rPr>
              <w:lastRenderedPageBreak/>
              <w:t>actual carbon intensity</w:t>
            </w:r>
          </w:p>
        </w:tc>
        <w:tc>
          <w:tcPr>
            <w:tcW w:w="686" w:type="pct"/>
            <w:hideMark/>
          </w:tcPr>
          <w:p w14:paraId="4576E6CB"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Panel data; 1,200 Chinese firms; </w:t>
            </w:r>
            <w:r w:rsidRPr="00791A3F">
              <w:rPr>
                <w:rFonts w:ascii="Arial" w:hAnsi="Arial" w:cs="Arial"/>
              </w:rPr>
              <w:lastRenderedPageBreak/>
              <w:t>2016–2022; Fixed-effects regression</w:t>
            </w:r>
          </w:p>
        </w:tc>
        <w:tc>
          <w:tcPr>
            <w:tcW w:w="824" w:type="pct"/>
            <w:hideMark/>
          </w:tcPr>
          <w:p w14:paraId="7D80CB7D"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Higher ESG disclosure scores correlate with lower Scope 1+2 emissions; however, Scope 3 emissions </w:t>
            </w:r>
            <w:r w:rsidRPr="00791A3F">
              <w:rPr>
                <w:rFonts w:ascii="Arial" w:hAnsi="Arial" w:cs="Arial"/>
              </w:rPr>
              <w:lastRenderedPageBreak/>
              <w:t>remain decoupled from ESG performance</w:t>
            </w:r>
          </w:p>
        </w:tc>
        <w:tc>
          <w:tcPr>
            <w:tcW w:w="830" w:type="pct"/>
            <w:hideMark/>
          </w:tcPr>
          <w:p w14:paraId="510B8121"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Reinforces need to examine Scope 3 transparency </w:t>
            </w:r>
            <w:r w:rsidRPr="00791A3F">
              <w:rPr>
                <w:rFonts w:ascii="Arial" w:hAnsi="Arial" w:cs="Arial"/>
              </w:rPr>
              <w:lastRenderedPageBreak/>
              <w:t>and reduction separately; informs environmental management evaluation criteria</w:t>
            </w:r>
          </w:p>
        </w:tc>
      </w:tr>
      <w:tr w:rsidR="00902E11" w:rsidRPr="00791A3F" w14:paraId="69D7F745" w14:textId="77777777" w:rsidTr="007A6F53">
        <w:tc>
          <w:tcPr>
            <w:tcW w:w="1814" w:type="pct"/>
            <w:hideMark/>
          </w:tcPr>
          <w:p w14:paraId="7774775F"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Market competitiveness and corporate ESG performance</w:t>
            </w:r>
          </w:p>
          <w:p w14:paraId="4A145E17"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Zhao et al. (2025)</w:t>
            </w:r>
          </w:p>
          <w:p w14:paraId="0A6A6576"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1" w:tgtFrame="_blank" w:history="1">
              <w:r w:rsidRPr="00791A3F">
                <w:rPr>
                  <w:rStyle w:val="Hyperlink"/>
                  <w:rFonts w:ascii="Arial" w:hAnsi="Arial" w:cs="Arial"/>
                </w:rPr>
                <w:t>ScienceDirect</w:t>
              </w:r>
            </w:hyperlink>
          </w:p>
        </w:tc>
        <w:tc>
          <w:tcPr>
            <w:tcW w:w="846" w:type="pct"/>
            <w:hideMark/>
          </w:tcPr>
          <w:p w14:paraId="2EC30FD3" w14:textId="77777777" w:rsidR="00902E11" w:rsidRPr="00791A3F" w:rsidRDefault="00902E11" w:rsidP="00791A3F">
            <w:pPr>
              <w:spacing w:after="160" w:line="360" w:lineRule="auto"/>
              <w:rPr>
                <w:rFonts w:ascii="Arial" w:hAnsi="Arial" w:cs="Arial"/>
              </w:rPr>
            </w:pPr>
            <w:r w:rsidRPr="00791A3F">
              <w:rPr>
                <w:rFonts w:ascii="Arial" w:hAnsi="Arial" w:cs="Arial"/>
              </w:rPr>
              <w:t>Test relationship between market competition intensity and ESG performance</w:t>
            </w:r>
          </w:p>
        </w:tc>
        <w:tc>
          <w:tcPr>
            <w:tcW w:w="686" w:type="pct"/>
            <w:hideMark/>
          </w:tcPr>
          <w:p w14:paraId="0C42CEB9" w14:textId="77777777" w:rsidR="00902E11" w:rsidRPr="00791A3F" w:rsidRDefault="00902E11" w:rsidP="00791A3F">
            <w:pPr>
              <w:spacing w:after="160" w:line="360" w:lineRule="auto"/>
              <w:rPr>
                <w:rFonts w:ascii="Arial" w:hAnsi="Arial" w:cs="Arial"/>
              </w:rPr>
            </w:pPr>
            <w:r w:rsidRPr="00791A3F">
              <w:rPr>
                <w:rFonts w:ascii="Arial" w:hAnsi="Arial" w:cs="Arial"/>
              </w:rPr>
              <w:t>Quantitative; 500 global firms; 2015–2023; Regression</w:t>
            </w:r>
          </w:p>
        </w:tc>
        <w:tc>
          <w:tcPr>
            <w:tcW w:w="824" w:type="pct"/>
            <w:hideMark/>
          </w:tcPr>
          <w:p w14:paraId="7A01441A" w14:textId="77777777" w:rsidR="00902E11" w:rsidRPr="00791A3F" w:rsidRDefault="00902E11" w:rsidP="00791A3F">
            <w:pPr>
              <w:spacing w:after="160" w:line="360" w:lineRule="auto"/>
              <w:rPr>
                <w:rFonts w:ascii="Arial" w:hAnsi="Arial" w:cs="Arial"/>
              </w:rPr>
            </w:pPr>
            <w:r w:rsidRPr="00791A3F">
              <w:rPr>
                <w:rFonts w:ascii="Arial" w:hAnsi="Arial" w:cs="Arial"/>
              </w:rPr>
              <w:t>Moderate competition fosters ESG investment; intense competition (e.g., discount retail) constrains ESG resources; monopolistic contexts reduce accountability pressure</w:t>
            </w:r>
          </w:p>
        </w:tc>
        <w:tc>
          <w:tcPr>
            <w:tcW w:w="830" w:type="pct"/>
            <w:hideMark/>
          </w:tcPr>
          <w:p w14:paraId="1D9EA2CB" w14:textId="77777777" w:rsidR="00902E11" w:rsidRPr="00791A3F" w:rsidRDefault="00902E11" w:rsidP="00791A3F">
            <w:pPr>
              <w:spacing w:after="160" w:line="360" w:lineRule="auto"/>
              <w:rPr>
                <w:rFonts w:ascii="Arial" w:hAnsi="Arial" w:cs="Arial"/>
              </w:rPr>
            </w:pPr>
            <w:r w:rsidRPr="00791A3F">
              <w:rPr>
                <w:rFonts w:ascii="Arial" w:hAnsi="Arial" w:cs="Arial"/>
              </w:rPr>
              <w:t>Theoretical insight for RO4: market competition (discount vs mainstream) influences CSR resource allocation and depth</w:t>
            </w:r>
          </w:p>
        </w:tc>
      </w:tr>
      <w:tr w:rsidR="00902E11" w:rsidRPr="00791A3F" w14:paraId="4B8B2266" w14:textId="77777777" w:rsidTr="007A6F53">
        <w:tc>
          <w:tcPr>
            <w:tcW w:w="1814" w:type="pct"/>
            <w:hideMark/>
          </w:tcPr>
          <w:p w14:paraId="1D3614BE"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ESG Performance and Financial Stability: A Bibliometric and Meta-Analysis</w:t>
            </w:r>
          </w:p>
          <w:p w14:paraId="3EC68E79"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Khan et al. (2025)</w:t>
            </w:r>
          </w:p>
          <w:p w14:paraId="62547C71"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2" w:tgtFrame="_blank" w:history="1">
              <w:r w:rsidRPr="00791A3F">
                <w:rPr>
                  <w:rStyle w:val="Hyperlink"/>
                  <w:rFonts w:ascii="Arial" w:hAnsi="Arial" w:cs="Arial"/>
                </w:rPr>
                <w:t>Sage</w:t>
              </w:r>
            </w:hyperlink>
          </w:p>
        </w:tc>
        <w:tc>
          <w:tcPr>
            <w:tcW w:w="846" w:type="pct"/>
            <w:hideMark/>
          </w:tcPr>
          <w:p w14:paraId="5E36D5A3" w14:textId="77777777" w:rsidR="00902E11" w:rsidRPr="00791A3F" w:rsidRDefault="00902E11" w:rsidP="00791A3F">
            <w:pPr>
              <w:spacing w:after="160" w:line="360" w:lineRule="auto"/>
              <w:rPr>
                <w:rFonts w:ascii="Arial" w:hAnsi="Arial" w:cs="Arial"/>
              </w:rPr>
            </w:pPr>
            <w:r w:rsidRPr="00791A3F">
              <w:rPr>
                <w:rFonts w:ascii="Arial" w:hAnsi="Arial" w:cs="Arial"/>
              </w:rPr>
              <w:t>Meta-analysis of ESG-financial performance relationship; identify moderators</w:t>
            </w:r>
          </w:p>
        </w:tc>
        <w:tc>
          <w:tcPr>
            <w:tcW w:w="686" w:type="pct"/>
            <w:hideMark/>
          </w:tcPr>
          <w:p w14:paraId="78AEBF34" w14:textId="77777777" w:rsidR="00902E11" w:rsidRPr="00791A3F" w:rsidRDefault="00902E11" w:rsidP="00791A3F">
            <w:pPr>
              <w:spacing w:after="160" w:line="360" w:lineRule="auto"/>
              <w:rPr>
                <w:rFonts w:ascii="Arial" w:hAnsi="Arial" w:cs="Arial"/>
              </w:rPr>
            </w:pPr>
            <w:r w:rsidRPr="00791A3F">
              <w:rPr>
                <w:rFonts w:ascii="Arial" w:hAnsi="Arial" w:cs="Arial"/>
              </w:rPr>
              <w:t>Meta-analysis; 150+ studies; 2000–2024</w:t>
            </w:r>
          </w:p>
        </w:tc>
        <w:tc>
          <w:tcPr>
            <w:tcW w:w="824" w:type="pct"/>
            <w:hideMark/>
          </w:tcPr>
          <w:p w14:paraId="62EA2ACB"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Positive ESG-financial performance relationship strengthened by: mandatory disclosure, third-party assurance, stakeholder engagement; relationship weaker in </w:t>
            </w:r>
            <w:r w:rsidRPr="00791A3F">
              <w:rPr>
                <w:rFonts w:ascii="Arial" w:hAnsi="Arial" w:cs="Arial"/>
              </w:rPr>
              <w:lastRenderedPageBreak/>
              <w:t>short-term, price-competitive sectors</w:t>
            </w:r>
          </w:p>
        </w:tc>
        <w:tc>
          <w:tcPr>
            <w:tcW w:w="830" w:type="pct"/>
            <w:hideMark/>
          </w:tcPr>
          <w:p w14:paraId="4C78A628"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lastRenderedPageBreak/>
              <w:t>Contextualises</w:t>
            </w:r>
            <w:proofErr w:type="spellEnd"/>
            <w:r w:rsidRPr="00791A3F">
              <w:rPr>
                <w:rFonts w:ascii="Arial" w:hAnsi="Arial" w:cs="Arial"/>
              </w:rPr>
              <w:t xml:space="preserve"> financial constraints on discount retailer CSR investment; supports business model </w:t>
            </w:r>
            <w:r w:rsidRPr="00791A3F">
              <w:rPr>
                <w:rFonts w:ascii="Arial" w:hAnsi="Arial" w:cs="Arial"/>
              </w:rPr>
              <w:lastRenderedPageBreak/>
              <w:t>differentiation hypothesis</w:t>
            </w:r>
          </w:p>
        </w:tc>
      </w:tr>
      <w:tr w:rsidR="00902E11" w:rsidRPr="00791A3F" w14:paraId="2C521B4B" w14:textId="77777777" w:rsidTr="007A6F53">
        <w:tc>
          <w:tcPr>
            <w:tcW w:w="1814" w:type="pct"/>
            <w:hideMark/>
          </w:tcPr>
          <w:p w14:paraId="33B3830A"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Does ESG performance affect corporate commitment, competitiveness, and profitability? Evidence from a developing country</w:t>
            </w:r>
          </w:p>
          <w:p w14:paraId="08B6E44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Hossain et al. (2025)</w:t>
            </w:r>
          </w:p>
          <w:p w14:paraId="6B5F98B5"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3" w:tgtFrame="_blank" w:history="1">
              <w:r w:rsidRPr="00791A3F">
                <w:rPr>
                  <w:rStyle w:val="Hyperlink"/>
                  <w:rFonts w:ascii="Arial" w:hAnsi="Arial" w:cs="Arial"/>
                </w:rPr>
                <w:t>Springer</w:t>
              </w:r>
            </w:hyperlink>
          </w:p>
        </w:tc>
        <w:tc>
          <w:tcPr>
            <w:tcW w:w="846" w:type="pct"/>
            <w:hideMark/>
          </w:tcPr>
          <w:p w14:paraId="4D7244B3" w14:textId="77777777" w:rsidR="00902E11" w:rsidRPr="00791A3F" w:rsidRDefault="00902E11" w:rsidP="00791A3F">
            <w:pPr>
              <w:spacing w:after="160" w:line="360" w:lineRule="auto"/>
              <w:rPr>
                <w:rFonts w:ascii="Arial" w:hAnsi="Arial" w:cs="Arial"/>
              </w:rPr>
            </w:pPr>
            <w:r w:rsidRPr="00791A3F">
              <w:rPr>
                <w:rFonts w:ascii="Arial" w:hAnsi="Arial" w:cs="Arial"/>
              </w:rPr>
              <w:t>Examine ESG-competitiveness relationship in resource-constrained context</w:t>
            </w:r>
          </w:p>
        </w:tc>
        <w:tc>
          <w:tcPr>
            <w:tcW w:w="686" w:type="pct"/>
            <w:hideMark/>
          </w:tcPr>
          <w:p w14:paraId="33C26510" w14:textId="77777777" w:rsidR="00902E11" w:rsidRPr="00791A3F" w:rsidRDefault="00902E11" w:rsidP="00791A3F">
            <w:pPr>
              <w:spacing w:after="160" w:line="360" w:lineRule="auto"/>
              <w:rPr>
                <w:rFonts w:ascii="Arial" w:hAnsi="Arial" w:cs="Arial"/>
              </w:rPr>
            </w:pPr>
            <w:r w:rsidRPr="00791A3F">
              <w:rPr>
                <w:rFonts w:ascii="Arial" w:hAnsi="Arial" w:cs="Arial"/>
              </w:rPr>
              <w:t>Quantitative; 200 Bangladeshi firms; 2018–2023; SEM</w:t>
            </w:r>
          </w:p>
        </w:tc>
        <w:tc>
          <w:tcPr>
            <w:tcW w:w="824" w:type="pct"/>
            <w:hideMark/>
          </w:tcPr>
          <w:p w14:paraId="43ABEF14" w14:textId="77777777" w:rsidR="00902E11" w:rsidRPr="00791A3F" w:rsidRDefault="00902E11" w:rsidP="00791A3F">
            <w:pPr>
              <w:spacing w:after="160" w:line="360" w:lineRule="auto"/>
              <w:rPr>
                <w:rFonts w:ascii="Arial" w:hAnsi="Arial" w:cs="Arial"/>
              </w:rPr>
            </w:pPr>
            <w:r w:rsidRPr="00791A3F">
              <w:rPr>
                <w:rFonts w:ascii="Arial" w:hAnsi="Arial" w:cs="Arial"/>
              </w:rPr>
              <w:t>ESG performance enhances long-term competitiveness but requires upfront investment capacity; small-margin firms struggle to sustain ESG commitment</w:t>
            </w:r>
          </w:p>
        </w:tc>
        <w:tc>
          <w:tcPr>
            <w:tcW w:w="830" w:type="pct"/>
            <w:hideMark/>
          </w:tcPr>
          <w:p w14:paraId="35FFAB0E" w14:textId="77777777" w:rsidR="00902E11" w:rsidRPr="00791A3F" w:rsidRDefault="00902E11" w:rsidP="00791A3F">
            <w:pPr>
              <w:spacing w:after="160" w:line="360" w:lineRule="auto"/>
              <w:rPr>
                <w:rFonts w:ascii="Arial" w:hAnsi="Arial" w:cs="Arial"/>
              </w:rPr>
            </w:pPr>
            <w:r w:rsidRPr="00791A3F">
              <w:rPr>
                <w:rFonts w:ascii="Arial" w:hAnsi="Arial" w:cs="Arial"/>
              </w:rPr>
              <w:t>Applicable to discount retailer CSR constraints; supports differentiated expectations by business model</w:t>
            </w:r>
          </w:p>
        </w:tc>
      </w:tr>
      <w:tr w:rsidR="00902E11" w:rsidRPr="00791A3F" w14:paraId="4ECFA13E" w14:textId="77777777" w:rsidTr="007A6F53">
        <w:tc>
          <w:tcPr>
            <w:tcW w:w="1814" w:type="pct"/>
            <w:hideMark/>
          </w:tcPr>
          <w:p w14:paraId="64EDD29A"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The impact of institutional ownership structure on corporate ESG performance: empirical evidence for the European capital market</w:t>
            </w:r>
          </w:p>
          <w:p w14:paraId="12B54D4B"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Velte (2025)</w:t>
            </w:r>
          </w:p>
          <w:p w14:paraId="5062E693"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4" w:tgtFrame="_blank" w:history="1">
              <w:r w:rsidRPr="00791A3F">
                <w:rPr>
                  <w:rStyle w:val="Hyperlink"/>
                  <w:rFonts w:ascii="Arial" w:hAnsi="Arial" w:cs="Arial"/>
                </w:rPr>
                <w:t>Springer</w:t>
              </w:r>
            </w:hyperlink>
          </w:p>
        </w:tc>
        <w:tc>
          <w:tcPr>
            <w:tcW w:w="846" w:type="pct"/>
            <w:hideMark/>
          </w:tcPr>
          <w:p w14:paraId="7D34754F" w14:textId="77777777" w:rsidR="00902E11" w:rsidRPr="00791A3F" w:rsidRDefault="00902E11" w:rsidP="00791A3F">
            <w:pPr>
              <w:spacing w:after="160" w:line="360" w:lineRule="auto"/>
              <w:rPr>
                <w:rFonts w:ascii="Arial" w:hAnsi="Arial" w:cs="Arial"/>
              </w:rPr>
            </w:pPr>
            <w:r w:rsidRPr="00791A3F">
              <w:rPr>
                <w:rFonts w:ascii="Arial" w:hAnsi="Arial" w:cs="Arial"/>
              </w:rPr>
              <w:t>Test influence of institutional investor ownership on ESG performance</w:t>
            </w:r>
          </w:p>
        </w:tc>
        <w:tc>
          <w:tcPr>
            <w:tcW w:w="686" w:type="pct"/>
            <w:hideMark/>
          </w:tcPr>
          <w:p w14:paraId="608544B8" w14:textId="77777777" w:rsidR="00902E11" w:rsidRPr="00791A3F" w:rsidRDefault="00902E11" w:rsidP="00791A3F">
            <w:pPr>
              <w:spacing w:after="160" w:line="360" w:lineRule="auto"/>
              <w:rPr>
                <w:rFonts w:ascii="Arial" w:hAnsi="Arial" w:cs="Arial"/>
              </w:rPr>
            </w:pPr>
            <w:r w:rsidRPr="00791A3F">
              <w:rPr>
                <w:rFonts w:ascii="Arial" w:hAnsi="Arial" w:cs="Arial"/>
              </w:rPr>
              <w:t>Quantitative; 600 European firms; 2015–2022; Panel regression</w:t>
            </w:r>
          </w:p>
        </w:tc>
        <w:tc>
          <w:tcPr>
            <w:tcW w:w="824" w:type="pct"/>
            <w:hideMark/>
          </w:tcPr>
          <w:p w14:paraId="73AA2BC5" w14:textId="77777777" w:rsidR="00902E11" w:rsidRPr="00791A3F" w:rsidRDefault="00902E11" w:rsidP="00791A3F">
            <w:pPr>
              <w:spacing w:after="160" w:line="360" w:lineRule="auto"/>
              <w:rPr>
                <w:rFonts w:ascii="Arial" w:hAnsi="Arial" w:cs="Arial"/>
              </w:rPr>
            </w:pPr>
            <w:r w:rsidRPr="00791A3F">
              <w:rPr>
                <w:rFonts w:ascii="Arial" w:hAnsi="Arial" w:cs="Arial"/>
              </w:rPr>
              <w:t>Long-term institutional investors (e.g., pension funds) positively predict ESG performance; short-term investors correlate with ESG washing; cooperative ownership structures exhibit highest ESG scores</w:t>
            </w:r>
          </w:p>
        </w:tc>
        <w:tc>
          <w:tcPr>
            <w:tcW w:w="830" w:type="pct"/>
            <w:hideMark/>
          </w:tcPr>
          <w:p w14:paraId="625E181B" w14:textId="77777777" w:rsidR="00902E11" w:rsidRPr="00791A3F" w:rsidRDefault="00902E11" w:rsidP="00791A3F">
            <w:pPr>
              <w:spacing w:after="160" w:line="360" w:lineRule="auto"/>
              <w:rPr>
                <w:rFonts w:ascii="Arial" w:hAnsi="Arial" w:cs="Arial"/>
              </w:rPr>
            </w:pPr>
            <w:r w:rsidRPr="00791A3F">
              <w:rPr>
                <w:rFonts w:ascii="Arial" w:hAnsi="Arial" w:cs="Arial"/>
              </w:rPr>
              <w:t>Empirical support for cooperative business model hypothesis (RO4); ownership structure influences CSR authenticity</w:t>
            </w:r>
          </w:p>
        </w:tc>
      </w:tr>
      <w:tr w:rsidR="00902E11" w:rsidRPr="00791A3F" w14:paraId="25C2101F" w14:textId="77777777" w:rsidTr="007A6F53">
        <w:tc>
          <w:tcPr>
            <w:tcW w:w="1814" w:type="pct"/>
            <w:hideMark/>
          </w:tcPr>
          <w:p w14:paraId="0E69B4C6"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xml:space="preserve"> Unveiling the Connection Between ESG Performance and Corporate Competitiveness: Evidence </w:t>
            </w:r>
            <w:proofErr w:type="gramStart"/>
            <w:r w:rsidRPr="00791A3F">
              <w:rPr>
                <w:rFonts w:ascii="Arial" w:hAnsi="Arial" w:cs="Arial"/>
              </w:rPr>
              <w:t>From</w:t>
            </w:r>
            <w:proofErr w:type="gramEnd"/>
            <w:r w:rsidRPr="00791A3F">
              <w:rPr>
                <w:rFonts w:ascii="Arial" w:hAnsi="Arial" w:cs="Arial"/>
              </w:rPr>
              <w:t xml:space="preserve"> Industrial Firms in Europe and the UK</w:t>
            </w:r>
          </w:p>
          <w:p w14:paraId="0848BCF7"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w:t>
            </w:r>
            <w:proofErr w:type="spellStart"/>
            <w:r w:rsidRPr="00791A3F">
              <w:rPr>
                <w:rFonts w:ascii="Arial" w:hAnsi="Arial" w:cs="Arial"/>
              </w:rPr>
              <w:t>Chouaibi</w:t>
            </w:r>
            <w:proofErr w:type="spellEnd"/>
            <w:r w:rsidRPr="00791A3F">
              <w:rPr>
                <w:rFonts w:ascii="Arial" w:hAnsi="Arial" w:cs="Arial"/>
              </w:rPr>
              <w:t xml:space="preserve"> &amp; Zouari (2025)</w:t>
            </w:r>
          </w:p>
          <w:p w14:paraId="69860993"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5" w:tgtFrame="_blank" w:history="1">
              <w:r w:rsidRPr="00791A3F">
                <w:rPr>
                  <w:rStyle w:val="Hyperlink"/>
                  <w:rFonts w:ascii="Arial" w:hAnsi="Arial" w:cs="Arial"/>
                </w:rPr>
                <w:t>Wiley</w:t>
              </w:r>
            </w:hyperlink>
          </w:p>
        </w:tc>
        <w:tc>
          <w:tcPr>
            <w:tcW w:w="846" w:type="pct"/>
            <w:hideMark/>
          </w:tcPr>
          <w:p w14:paraId="562A2EEF" w14:textId="77777777" w:rsidR="00902E11" w:rsidRPr="00791A3F" w:rsidRDefault="00902E11" w:rsidP="00791A3F">
            <w:pPr>
              <w:spacing w:after="160" w:line="360" w:lineRule="auto"/>
              <w:rPr>
                <w:rFonts w:ascii="Arial" w:hAnsi="Arial" w:cs="Arial"/>
              </w:rPr>
            </w:pPr>
            <w:r w:rsidRPr="00791A3F">
              <w:rPr>
                <w:rFonts w:ascii="Arial" w:hAnsi="Arial" w:cs="Arial"/>
              </w:rPr>
              <w:t>Examine ESG-competitiveness mechanisms in European industrial context</w:t>
            </w:r>
          </w:p>
        </w:tc>
        <w:tc>
          <w:tcPr>
            <w:tcW w:w="686" w:type="pct"/>
            <w:hideMark/>
          </w:tcPr>
          <w:p w14:paraId="2B575B32" w14:textId="77777777" w:rsidR="00902E11" w:rsidRPr="00791A3F" w:rsidRDefault="00902E11" w:rsidP="00791A3F">
            <w:pPr>
              <w:spacing w:after="160" w:line="360" w:lineRule="auto"/>
              <w:rPr>
                <w:rFonts w:ascii="Arial" w:hAnsi="Arial" w:cs="Arial"/>
              </w:rPr>
            </w:pPr>
            <w:r w:rsidRPr="00791A3F">
              <w:rPr>
                <w:rFonts w:ascii="Arial" w:hAnsi="Arial" w:cs="Arial"/>
              </w:rPr>
              <w:t>Quantitative; 400 UK/EU firms; 2017–2023; Mediation analysis</w:t>
            </w:r>
          </w:p>
        </w:tc>
        <w:tc>
          <w:tcPr>
            <w:tcW w:w="824" w:type="pct"/>
            <w:hideMark/>
          </w:tcPr>
          <w:p w14:paraId="515254DF" w14:textId="77777777" w:rsidR="00902E11" w:rsidRPr="00791A3F" w:rsidRDefault="00902E11" w:rsidP="00791A3F">
            <w:pPr>
              <w:spacing w:after="160" w:line="360" w:lineRule="auto"/>
              <w:rPr>
                <w:rFonts w:ascii="Arial" w:hAnsi="Arial" w:cs="Arial"/>
              </w:rPr>
            </w:pPr>
            <w:r w:rsidRPr="00791A3F">
              <w:rPr>
                <w:rFonts w:ascii="Arial" w:hAnsi="Arial" w:cs="Arial"/>
              </w:rPr>
              <w:t>ESG performance enhances competitiveness via reputation, innovation, and employee retention channels; effects strongest in consumer-facing sectors (including retail)</w:t>
            </w:r>
          </w:p>
        </w:tc>
        <w:tc>
          <w:tcPr>
            <w:tcW w:w="830" w:type="pct"/>
            <w:hideMark/>
          </w:tcPr>
          <w:p w14:paraId="5E8EC255" w14:textId="77777777" w:rsidR="00902E11" w:rsidRPr="00791A3F" w:rsidRDefault="00902E11" w:rsidP="00791A3F">
            <w:pPr>
              <w:spacing w:after="160" w:line="360" w:lineRule="auto"/>
              <w:rPr>
                <w:rFonts w:ascii="Arial" w:hAnsi="Arial" w:cs="Arial"/>
              </w:rPr>
            </w:pPr>
            <w:r w:rsidRPr="00791A3F">
              <w:rPr>
                <w:rFonts w:ascii="Arial" w:hAnsi="Arial" w:cs="Arial"/>
              </w:rPr>
              <w:t>Supports stakeholder value creation argument; ESG as competitive advantage particularly salient in retail</w:t>
            </w:r>
          </w:p>
        </w:tc>
      </w:tr>
      <w:tr w:rsidR="00902E11" w:rsidRPr="00791A3F" w14:paraId="438FA9F7" w14:textId="77777777" w:rsidTr="007A6F53">
        <w:tc>
          <w:tcPr>
            <w:tcW w:w="1814" w:type="pct"/>
            <w:hideMark/>
          </w:tcPr>
          <w:p w14:paraId="20F1358D"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The Next Generation of Sustainable Food Packaging to Preserve Our Environment in a Circular Economy Context</w:t>
            </w:r>
          </w:p>
          <w:p w14:paraId="60A03637"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Ncube et al. (2020)</w:t>
            </w:r>
          </w:p>
          <w:p w14:paraId="7D4CCD91"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6" w:tgtFrame="_blank" w:history="1">
              <w:r w:rsidRPr="00791A3F">
                <w:rPr>
                  <w:rStyle w:val="Hyperlink"/>
                  <w:rFonts w:ascii="Arial" w:hAnsi="Arial" w:cs="Arial"/>
                </w:rPr>
                <w:t>PMC</w:t>
              </w:r>
            </w:hyperlink>
          </w:p>
        </w:tc>
        <w:tc>
          <w:tcPr>
            <w:tcW w:w="846" w:type="pct"/>
            <w:hideMark/>
          </w:tcPr>
          <w:p w14:paraId="067741F8" w14:textId="77777777" w:rsidR="00902E11" w:rsidRPr="00791A3F" w:rsidRDefault="00902E11" w:rsidP="00791A3F">
            <w:pPr>
              <w:spacing w:after="160" w:line="360" w:lineRule="auto"/>
              <w:rPr>
                <w:rFonts w:ascii="Arial" w:hAnsi="Arial" w:cs="Arial"/>
              </w:rPr>
            </w:pPr>
            <w:r w:rsidRPr="00791A3F">
              <w:rPr>
                <w:rFonts w:ascii="Arial" w:hAnsi="Arial" w:cs="Arial"/>
              </w:rPr>
              <w:t>Review sustainable packaging innovations and circular economy integration</w:t>
            </w:r>
          </w:p>
        </w:tc>
        <w:tc>
          <w:tcPr>
            <w:tcW w:w="686" w:type="pct"/>
            <w:hideMark/>
          </w:tcPr>
          <w:p w14:paraId="282A782C"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Material science + retail practice</w:t>
            </w:r>
          </w:p>
        </w:tc>
        <w:tc>
          <w:tcPr>
            <w:tcW w:w="824" w:type="pct"/>
            <w:hideMark/>
          </w:tcPr>
          <w:p w14:paraId="005108DB" w14:textId="77777777" w:rsidR="00902E11" w:rsidRPr="00791A3F" w:rsidRDefault="00902E11" w:rsidP="00791A3F">
            <w:pPr>
              <w:spacing w:after="160" w:line="360" w:lineRule="auto"/>
              <w:rPr>
                <w:rFonts w:ascii="Arial" w:hAnsi="Arial" w:cs="Arial"/>
              </w:rPr>
            </w:pPr>
            <w:r w:rsidRPr="00791A3F">
              <w:rPr>
                <w:rFonts w:ascii="Arial" w:hAnsi="Arial" w:cs="Arial"/>
              </w:rPr>
              <w:t>Circular packaging requires systemic change: bio-based materials, reusable systems, end-of-life infrastructure; retailer procurement power critical to scaling solutions</w:t>
            </w:r>
          </w:p>
        </w:tc>
        <w:tc>
          <w:tcPr>
            <w:tcW w:w="830" w:type="pct"/>
            <w:hideMark/>
          </w:tcPr>
          <w:p w14:paraId="3FCD5701" w14:textId="77777777" w:rsidR="00902E11" w:rsidRPr="00791A3F" w:rsidRDefault="00902E11" w:rsidP="00791A3F">
            <w:pPr>
              <w:spacing w:after="160" w:line="360" w:lineRule="auto"/>
              <w:rPr>
                <w:rFonts w:ascii="Arial" w:hAnsi="Arial" w:cs="Arial"/>
              </w:rPr>
            </w:pPr>
            <w:r w:rsidRPr="00791A3F">
              <w:rPr>
                <w:rFonts w:ascii="Arial" w:hAnsi="Arial" w:cs="Arial"/>
              </w:rPr>
              <w:t>Relevant to RQ4: circular economy as emerging priority; retailers as leverage points for packaging sustainability</w:t>
            </w:r>
          </w:p>
        </w:tc>
      </w:tr>
      <w:tr w:rsidR="00902E11" w:rsidRPr="00791A3F" w14:paraId="7A06EDC0" w14:textId="77777777" w:rsidTr="007A6F53">
        <w:tc>
          <w:tcPr>
            <w:tcW w:w="1814" w:type="pct"/>
            <w:hideMark/>
          </w:tcPr>
          <w:p w14:paraId="79784078"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Consumer Behavior as a </w:t>
            </w:r>
            <w:r w:rsidRPr="00791A3F">
              <w:rPr>
                <w:rFonts w:ascii="Arial" w:hAnsi="Arial" w:cs="Arial"/>
              </w:rPr>
              <w:lastRenderedPageBreak/>
              <w:t>Challenge and Opportunity for Circular Food Packaging</w:t>
            </w:r>
          </w:p>
          <w:p w14:paraId="154E3056"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Herbes et al. (2023)</w:t>
            </w:r>
          </w:p>
          <w:p w14:paraId="73A106B7"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7" w:tgtFrame="_blank" w:history="1">
              <w:r w:rsidRPr="00791A3F">
                <w:rPr>
                  <w:rStyle w:val="Hyperlink"/>
                  <w:rFonts w:ascii="Arial" w:hAnsi="Arial" w:cs="Arial"/>
                </w:rPr>
                <w:t>Springer</w:t>
              </w:r>
            </w:hyperlink>
          </w:p>
        </w:tc>
        <w:tc>
          <w:tcPr>
            <w:tcW w:w="846" w:type="pct"/>
            <w:hideMark/>
          </w:tcPr>
          <w:p w14:paraId="038B9285"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Examine consumer </w:t>
            </w:r>
            <w:r w:rsidRPr="00791A3F">
              <w:rPr>
                <w:rFonts w:ascii="Arial" w:hAnsi="Arial" w:cs="Arial"/>
              </w:rPr>
              <w:lastRenderedPageBreak/>
              <w:t>acceptance of circular packaging; identify retailer intervention points</w:t>
            </w:r>
          </w:p>
        </w:tc>
        <w:tc>
          <w:tcPr>
            <w:tcW w:w="686" w:type="pct"/>
            <w:hideMark/>
          </w:tcPr>
          <w:p w14:paraId="1C80AB7F"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Systematic review; </w:t>
            </w:r>
            <w:proofErr w:type="spellStart"/>
            <w:r w:rsidRPr="00791A3F">
              <w:rPr>
                <w:rFonts w:ascii="Arial" w:hAnsi="Arial" w:cs="Arial"/>
              </w:rPr>
              <w:lastRenderedPageBreak/>
              <w:t>Behavioural</w:t>
            </w:r>
            <w:proofErr w:type="spellEnd"/>
            <w:r w:rsidRPr="00791A3F">
              <w:rPr>
                <w:rFonts w:ascii="Arial" w:hAnsi="Arial" w:cs="Arial"/>
              </w:rPr>
              <w:t xml:space="preserve"> studies; 2015–2022</w:t>
            </w:r>
          </w:p>
        </w:tc>
        <w:tc>
          <w:tcPr>
            <w:tcW w:w="824" w:type="pct"/>
            <w:hideMark/>
          </w:tcPr>
          <w:p w14:paraId="0F3FDCF0"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Consumer willingness-action gap on circular </w:t>
            </w:r>
            <w:r w:rsidRPr="00791A3F">
              <w:rPr>
                <w:rFonts w:ascii="Arial" w:hAnsi="Arial" w:cs="Arial"/>
              </w:rPr>
              <w:lastRenderedPageBreak/>
              <w:t xml:space="preserve">packaging; retailer interventions (defaults, incentives, information) can shift </w:t>
            </w:r>
            <w:proofErr w:type="spellStart"/>
            <w:r w:rsidRPr="00791A3F">
              <w:rPr>
                <w:rFonts w:ascii="Arial" w:hAnsi="Arial" w:cs="Arial"/>
              </w:rPr>
              <w:t>behaviour</w:t>
            </w:r>
            <w:proofErr w:type="spellEnd"/>
            <w:r w:rsidRPr="00791A3F">
              <w:rPr>
                <w:rFonts w:ascii="Arial" w:hAnsi="Arial" w:cs="Arial"/>
              </w:rPr>
              <w:t>; requires substantive operational commitment beyond symbolic labelling</w:t>
            </w:r>
          </w:p>
        </w:tc>
        <w:tc>
          <w:tcPr>
            <w:tcW w:w="830" w:type="pct"/>
            <w:hideMark/>
          </w:tcPr>
          <w:p w14:paraId="200BA6B3"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Informs evaluation of </w:t>
            </w:r>
            <w:r w:rsidRPr="00791A3F">
              <w:rPr>
                <w:rFonts w:ascii="Arial" w:hAnsi="Arial" w:cs="Arial"/>
              </w:rPr>
              <w:lastRenderedPageBreak/>
              <w:t>retailer circular economy authenticity: operational changes (e.g., refill stations) vs symbolic marketing</w:t>
            </w:r>
          </w:p>
        </w:tc>
      </w:tr>
      <w:tr w:rsidR="00902E11" w:rsidRPr="00791A3F" w14:paraId="4BE29DDA" w14:textId="77777777" w:rsidTr="007A6F53">
        <w:tc>
          <w:tcPr>
            <w:tcW w:w="1814" w:type="pct"/>
            <w:hideMark/>
          </w:tcPr>
          <w:p w14:paraId="76DBDEF3"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Food packaging business models as drivers for sustainability in the food packaging industry</w:t>
            </w:r>
          </w:p>
          <w:p w14:paraId="6C05086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Viere et al. (2025)</w:t>
            </w:r>
          </w:p>
          <w:p w14:paraId="181F9E66"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8" w:tgtFrame="_blank" w:history="1">
              <w:r w:rsidRPr="00791A3F">
                <w:rPr>
                  <w:rStyle w:val="Hyperlink"/>
                  <w:rFonts w:ascii="Arial" w:hAnsi="Arial" w:cs="Arial"/>
                </w:rPr>
                <w:t>Frontiers</w:t>
              </w:r>
            </w:hyperlink>
          </w:p>
        </w:tc>
        <w:tc>
          <w:tcPr>
            <w:tcW w:w="846" w:type="pct"/>
            <w:hideMark/>
          </w:tcPr>
          <w:p w14:paraId="100C8035"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t>Analyse</w:t>
            </w:r>
            <w:proofErr w:type="spellEnd"/>
            <w:r w:rsidRPr="00791A3F">
              <w:rPr>
                <w:rFonts w:ascii="Arial" w:hAnsi="Arial" w:cs="Arial"/>
              </w:rPr>
              <w:t xml:space="preserve"> how packaging business models enable/constrain circularity</w:t>
            </w:r>
          </w:p>
        </w:tc>
        <w:tc>
          <w:tcPr>
            <w:tcW w:w="686" w:type="pct"/>
            <w:hideMark/>
          </w:tcPr>
          <w:p w14:paraId="4A9F19DD" w14:textId="77777777" w:rsidR="00902E11" w:rsidRPr="00791A3F" w:rsidRDefault="00902E11" w:rsidP="00791A3F">
            <w:pPr>
              <w:spacing w:after="160" w:line="360" w:lineRule="auto"/>
              <w:rPr>
                <w:rFonts w:ascii="Arial" w:hAnsi="Arial" w:cs="Arial"/>
              </w:rPr>
            </w:pPr>
            <w:r w:rsidRPr="00791A3F">
              <w:rPr>
                <w:rFonts w:ascii="Arial" w:hAnsi="Arial" w:cs="Arial"/>
              </w:rPr>
              <w:t>Case study; 6 European packaging initiatives; Qualitative</w:t>
            </w:r>
          </w:p>
        </w:tc>
        <w:tc>
          <w:tcPr>
            <w:tcW w:w="824" w:type="pct"/>
            <w:hideMark/>
          </w:tcPr>
          <w:p w14:paraId="54B01E5B" w14:textId="77777777" w:rsidR="00902E11" w:rsidRPr="00791A3F" w:rsidRDefault="00902E11" w:rsidP="00791A3F">
            <w:pPr>
              <w:spacing w:after="160" w:line="360" w:lineRule="auto"/>
              <w:rPr>
                <w:rFonts w:ascii="Arial" w:hAnsi="Arial" w:cs="Arial"/>
              </w:rPr>
            </w:pPr>
            <w:r w:rsidRPr="00791A3F">
              <w:rPr>
                <w:rFonts w:ascii="Arial" w:hAnsi="Arial" w:cs="Arial"/>
              </w:rPr>
              <w:t>Deposit-return schemes and reusable models require retailer-producer collaboration; single-use reduction targets drive substantive innovation; voluntary commitments yield limited impact</w:t>
            </w:r>
          </w:p>
        </w:tc>
        <w:tc>
          <w:tcPr>
            <w:tcW w:w="830" w:type="pct"/>
            <w:hideMark/>
          </w:tcPr>
          <w:p w14:paraId="0389788E" w14:textId="77777777" w:rsidR="00902E11" w:rsidRPr="00791A3F" w:rsidRDefault="00902E11" w:rsidP="00791A3F">
            <w:pPr>
              <w:spacing w:after="160" w:line="360" w:lineRule="auto"/>
              <w:rPr>
                <w:rFonts w:ascii="Arial" w:hAnsi="Arial" w:cs="Arial"/>
              </w:rPr>
            </w:pPr>
            <w:r w:rsidRPr="00791A3F">
              <w:rPr>
                <w:rFonts w:ascii="Arial" w:hAnsi="Arial" w:cs="Arial"/>
              </w:rPr>
              <w:t>Distinguishes substantive circular economy integration (systemic change) from symbolic packaging reduction claims</w:t>
            </w:r>
          </w:p>
        </w:tc>
      </w:tr>
      <w:tr w:rsidR="00902E11" w:rsidRPr="00791A3F" w14:paraId="18700460" w14:textId="77777777" w:rsidTr="007A6F53">
        <w:tc>
          <w:tcPr>
            <w:tcW w:w="1814" w:type="pct"/>
            <w:hideMark/>
          </w:tcPr>
          <w:p w14:paraId="4FCE8BDC"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Identifying the Drivers of Circular Food Packaging: A Comprehensive Review for the Current State of </w:t>
            </w:r>
            <w:r w:rsidRPr="00791A3F">
              <w:rPr>
                <w:rFonts w:ascii="Arial" w:hAnsi="Arial" w:cs="Arial"/>
              </w:rPr>
              <w:lastRenderedPageBreak/>
              <w:t>the Food Supply Chain</w:t>
            </w:r>
          </w:p>
          <w:p w14:paraId="41D864B1"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Ribeiro et al. (2023)</w:t>
            </w:r>
          </w:p>
          <w:p w14:paraId="259BB81D"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9" w:tgtFrame="_blank" w:history="1">
              <w:r w:rsidRPr="00791A3F">
                <w:rPr>
                  <w:rStyle w:val="Hyperlink"/>
                  <w:rFonts w:ascii="Arial" w:hAnsi="Arial" w:cs="Arial"/>
                </w:rPr>
                <w:t>MDPI</w:t>
              </w:r>
            </w:hyperlink>
          </w:p>
        </w:tc>
        <w:tc>
          <w:tcPr>
            <w:tcW w:w="846" w:type="pct"/>
            <w:hideMark/>
          </w:tcPr>
          <w:p w14:paraId="61F2F3E5"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Map drivers and barriers of circular packaging across food supply chain</w:t>
            </w:r>
          </w:p>
        </w:tc>
        <w:tc>
          <w:tcPr>
            <w:tcW w:w="686" w:type="pct"/>
            <w:hideMark/>
          </w:tcPr>
          <w:p w14:paraId="40837D58"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100+ studies; 2010–2023</w:t>
            </w:r>
          </w:p>
        </w:tc>
        <w:tc>
          <w:tcPr>
            <w:tcW w:w="824" w:type="pct"/>
            <w:hideMark/>
          </w:tcPr>
          <w:p w14:paraId="0F6C7B0E"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Regulatory mandates (e.g., UK Plastic Packaging Tax) drive adoption; retailer procurement specifications critical; cost barriers persist </w:t>
            </w:r>
            <w:r w:rsidRPr="00791A3F">
              <w:rPr>
                <w:rFonts w:ascii="Arial" w:hAnsi="Arial" w:cs="Arial"/>
              </w:rPr>
              <w:lastRenderedPageBreak/>
              <w:t>without policy incentives</w:t>
            </w:r>
          </w:p>
        </w:tc>
        <w:tc>
          <w:tcPr>
            <w:tcW w:w="830" w:type="pct"/>
            <w:hideMark/>
          </w:tcPr>
          <w:p w14:paraId="4FB972A5"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lastRenderedPageBreak/>
              <w:t>Contextualises</w:t>
            </w:r>
            <w:proofErr w:type="spellEnd"/>
            <w:r w:rsidRPr="00791A3F">
              <w:rPr>
                <w:rFonts w:ascii="Arial" w:hAnsi="Arial" w:cs="Arial"/>
              </w:rPr>
              <w:t xml:space="preserve"> UK regulatory evolution (packaging reduction laws) as substantive </w:t>
            </w:r>
            <w:r w:rsidRPr="00791A3F">
              <w:rPr>
                <w:rFonts w:ascii="Arial" w:hAnsi="Arial" w:cs="Arial"/>
              </w:rPr>
              <w:lastRenderedPageBreak/>
              <w:t>driver; informs environmental management evaluation</w:t>
            </w:r>
          </w:p>
        </w:tc>
      </w:tr>
      <w:tr w:rsidR="00902E11" w:rsidRPr="00791A3F" w14:paraId="205D6D9F" w14:textId="77777777" w:rsidTr="007A6F53">
        <w:tc>
          <w:tcPr>
            <w:tcW w:w="1814" w:type="pct"/>
            <w:hideMark/>
          </w:tcPr>
          <w:p w14:paraId="1C64A7F3"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Circular economy and sustainable practices in the food industry: A comprehensive bibliometric analysis</w:t>
            </w:r>
          </w:p>
          <w:p w14:paraId="5C8BDD48"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Kumar et al. (2024)</w:t>
            </w:r>
          </w:p>
          <w:p w14:paraId="7CB50259"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0" w:tgtFrame="_blank" w:history="1">
              <w:r w:rsidRPr="00791A3F">
                <w:rPr>
                  <w:rStyle w:val="Hyperlink"/>
                  <w:rFonts w:ascii="Arial" w:hAnsi="Arial" w:cs="Arial"/>
                </w:rPr>
                <w:t>ScienceDirect</w:t>
              </w:r>
            </w:hyperlink>
          </w:p>
        </w:tc>
        <w:tc>
          <w:tcPr>
            <w:tcW w:w="846" w:type="pct"/>
            <w:hideMark/>
          </w:tcPr>
          <w:p w14:paraId="4727FF73" w14:textId="77777777" w:rsidR="00902E11" w:rsidRPr="00791A3F" w:rsidRDefault="00902E11" w:rsidP="00791A3F">
            <w:pPr>
              <w:spacing w:after="160" w:line="360" w:lineRule="auto"/>
              <w:rPr>
                <w:rFonts w:ascii="Arial" w:hAnsi="Arial" w:cs="Arial"/>
              </w:rPr>
            </w:pPr>
            <w:r w:rsidRPr="00791A3F">
              <w:rPr>
                <w:rFonts w:ascii="Arial" w:hAnsi="Arial" w:cs="Arial"/>
              </w:rPr>
              <w:t>Bibliometric mapping of circular economy food research; identify knowledge gaps</w:t>
            </w:r>
          </w:p>
        </w:tc>
        <w:tc>
          <w:tcPr>
            <w:tcW w:w="686" w:type="pct"/>
            <w:hideMark/>
          </w:tcPr>
          <w:p w14:paraId="647FC700"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Bibliometric; 2,000+ publications; 1990–2023; </w:t>
            </w:r>
            <w:proofErr w:type="spellStart"/>
            <w:r w:rsidRPr="00791A3F">
              <w:rPr>
                <w:rFonts w:ascii="Arial" w:hAnsi="Arial" w:cs="Arial"/>
              </w:rPr>
              <w:t>VOSviewer</w:t>
            </w:r>
            <w:proofErr w:type="spellEnd"/>
          </w:p>
        </w:tc>
        <w:tc>
          <w:tcPr>
            <w:tcW w:w="824" w:type="pct"/>
            <w:hideMark/>
          </w:tcPr>
          <w:p w14:paraId="15023E3E" w14:textId="77777777" w:rsidR="00902E11" w:rsidRPr="00791A3F" w:rsidRDefault="00902E11" w:rsidP="00791A3F">
            <w:pPr>
              <w:spacing w:after="160" w:line="360" w:lineRule="auto"/>
              <w:rPr>
                <w:rFonts w:ascii="Arial" w:hAnsi="Arial" w:cs="Arial"/>
              </w:rPr>
            </w:pPr>
            <w:r w:rsidRPr="00791A3F">
              <w:rPr>
                <w:rFonts w:ascii="Arial" w:hAnsi="Arial" w:cs="Arial"/>
              </w:rPr>
              <w:t>Research concentrated on production; retail and consumer phases under-researched; implementation gap between circular principles and practice identified as critical research frontier</w:t>
            </w:r>
          </w:p>
        </w:tc>
        <w:tc>
          <w:tcPr>
            <w:tcW w:w="830" w:type="pct"/>
            <w:hideMark/>
          </w:tcPr>
          <w:p w14:paraId="121A91F0"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Justifies </w:t>
            </w:r>
            <w:proofErr w:type="gramStart"/>
            <w:r w:rsidRPr="00791A3F">
              <w:rPr>
                <w:rFonts w:ascii="Arial" w:hAnsi="Arial" w:cs="Arial"/>
              </w:rPr>
              <w:t>focus</w:t>
            </w:r>
            <w:proofErr w:type="gramEnd"/>
            <w:r w:rsidRPr="00791A3F">
              <w:rPr>
                <w:rFonts w:ascii="Arial" w:hAnsi="Arial" w:cs="Arial"/>
              </w:rPr>
              <w:t xml:space="preserve"> on retail circular economy implementation; highlights research </w:t>
            </w:r>
            <w:proofErr w:type="gramStart"/>
            <w:r w:rsidRPr="00791A3F">
              <w:rPr>
                <w:rFonts w:ascii="Arial" w:hAnsi="Arial" w:cs="Arial"/>
              </w:rPr>
              <w:t>gap</w:t>
            </w:r>
            <w:proofErr w:type="gramEnd"/>
            <w:r w:rsidRPr="00791A3F">
              <w:rPr>
                <w:rFonts w:ascii="Arial" w:hAnsi="Arial" w:cs="Arial"/>
              </w:rPr>
              <w:t xml:space="preserve"> this study addresses</w:t>
            </w:r>
          </w:p>
        </w:tc>
      </w:tr>
      <w:tr w:rsidR="00902E11" w:rsidRPr="00791A3F" w14:paraId="6B6CA2DC" w14:textId="77777777" w:rsidTr="007A6F53">
        <w:tc>
          <w:tcPr>
            <w:tcW w:w="1814" w:type="pct"/>
            <w:hideMark/>
          </w:tcPr>
          <w:p w14:paraId="3B43208A"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Ultra-processed foods and public health: Evidence of harm and of conflicts of interest in the food industry to evade regulation</w:t>
            </w:r>
          </w:p>
          <w:p w14:paraId="19441551"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Authors:</w:t>
            </w:r>
            <w:r w:rsidRPr="00791A3F">
              <w:rPr>
                <w:rFonts w:ascii="Arial" w:hAnsi="Arial" w:cs="Arial"/>
              </w:rPr>
              <w:t> </w:t>
            </w:r>
            <w:proofErr w:type="spellStart"/>
            <w:r w:rsidRPr="00791A3F">
              <w:rPr>
                <w:rFonts w:ascii="Arial" w:hAnsi="Arial" w:cs="Arial"/>
              </w:rPr>
              <w:t>Scrinis</w:t>
            </w:r>
            <w:proofErr w:type="spellEnd"/>
            <w:r w:rsidRPr="00791A3F">
              <w:rPr>
                <w:rFonts w:ascii="Arial" w:hAnsi="Arial" w:cs="Arial"/>
              </w:rPr>
              <w:t xml:space="preserve"> &amp; Monteiro (2025)</w:t>
            </w:r>
          </w:p>
          <w:p w14:paraId="63F28D54"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1" w:tgtFrame="_blank" w:history="1">
              <w:r w:rsidRPr="00791A3F">
                <w:rPr>
                  <w:rStyle w:val="Hyperlink"/>
                  <w:rFonts w:ascii="Arial" w:hAnsi="Arial" w:cs="Arial"/>
                </w:rPr>
                <w:t>ScienceDirect</w:t>
              </w:r>
            </w:hyperlink>
          </w:p>
        </w:tc>
        <w:tc>
          <w:tcPr>
            <w:tcW w:w="846" w:type="pct"/>
            <w:hideMark/>
          </w:tcPr>
          <w:p w14:paraId="6B24C59A"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Examine public health impacts of ultra-processed foods and industry resistance to regulation</w:t>
            </w:r>
          </w:p>
        </w:tc>
        <w:tc>
          <w:tcPr>
            <w:tcW w:w="686" w:type="pct"/>
            <w:hideMark/>
          </w:tcPr>
          <w:p w14:paraId="7CBD88F9"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Public health literature; 2000–2024</w:t>
            </w:r>
          </w:p>
        </w:tc>
        <w:tc>
          <w:tcPr>
            <w:tcW w:w="824" w:type="pct"/>
            <w:hideMark/>
          </w:tcPr>
          <w:p w14:paraId="0E3CA52E" w14:textId="77777777" w:rsidR="00902E11" w:rsidRPr="00791A3F" w:rsidRDefault="00902E11" w:rsidP="00791A3F">
            <w:pPr>
              <w:spacing w:after="160" w:line="360" w:lineRule="auto"/>
              <w:rPr>
                <w:rFonts w:ascii="Arial" w:hAnsi="Arial" w:cs="Arial"/>
              </w:rPr>
            </w:pPr>
            <w:r w:rsidRPr="00791A3F">
              <w:rPr>
                <w:rFonts w:ascii="Arial" w:hAnsi="Arial" w:cs="Arial"/>
              </w:rPr>
              <w:t>Strong evidence linking ultra-processed food (UPF) consumption to obesity, diabetes, cardiovascular disease; industry employs voluntary self-regulation to forestall mandatory restrictions</w:t>
            </w:r>
          </w:p>
        </w:tc>
        <w:tc>
          <w:tcPr>
            <w:tcW w:w="830" w:type="pct"/>
            <w:hideMark/>
          </w:tcPr>
          <w:p w14:paraId="47999EC4"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Relevant to RO3 customer responsibility dimension; raises question whether retailer health commitments </w:t>
            </w:r>
            <w:r w:rsidRPr="00791A3F">
              <w:rPr>
                <w:rFonts w:ascii="Arial" w:hAnsi="Arial" w:cs="Arial"/>
              </w:rPr>
              <w:lastRenderedPageBreak/>
              <w:t>are substantive or symbolic industry self-regulation</w:t>
            </w:r>
          </w:p>
        </w:tc>
      </w:tr>
      <w:tr w:rsidR="00902E11" w:rsidRPr="00791A3F" w14:paraId="18F59A30" w14:textId="77777777" w:rsidTr="007A6F53">
        <w:tc>
          <w:tcPr>
            <w:tcW w:w="1814" w:type="pct"/>
            <w:hideMark/>
          </w:tcPr>
          <w:p w14:paraId="41B0D413"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Ultra-Processed Foods in the Global Food System: The Role of US Tobacco Companies</w:t>
            </w:r>
          </w:p>
          <w:p w14:paraId="37C4A40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w:t>
            </w:r>
            <w:proofErr w:type="spellStart"/>
            <w:r w:rsidRPr="00791A3F">
              <w:rPr>
                <w:rFonts w:ascii="Arial" w:hAnsi="Arial" w:cs="Arial"/>
              </w:rPr>
              <w:t>Mialon</w:t>
            </w:r>
            <w:proofErr w:type="spellEnd"/>
            <w:r w:rsidRPr="00791A3F">
              <w:rPr>
                <w:rFonts w:ascii="Arial" w:hAnsi="Arial" w:cs="Arial"/>
              </w:rPr>
              <w:t xml:space="preserve"> et al. (2026)</w:t>
            </w:r>
          </w:p>
          <w:p w14:paraId="0DD4C908"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2" w:tgtFrame="_blank" w:history="1">
              <w:r w:rsidRPr="00791A3F">
                <w:rPr>
                  <w:rStyle w:val="Hyperlink"/>
                  <w:rFonts w:ascii="Arial" w:hAnsi="Arial" w:cs="Arial"/>
                </w:rPr>
                <w:t>AJPH</w:t>
              </w:r>
            </w:hyperlink>
          </w:p>
        </w:tc>
        <w:tc>
          <w:tcPr>
            <w:tcW w:w="846" w:type="pct"/>
            <w:hideMark/>
          </w:tcPr>
          <w:p w14:paraId="3730E563" w14:textId="77777777" w:rsidR="00902E11" w:rsidRPr="00791A3F" w:rsidRDefault="00902E11" w:rsidP="00791A3F">
            <w:pPr>
              <w:spacing w:after="160" w:line="360" w:lineRule="auto"/>
              <w:rPr>
                <w:rFonts w:ascii="Arial" w:hAnsi="Arial" w:cs="Arial"/>
              </w:rPr>
            </w:pPr>
            <w:r w:rsidRPr="00791A3F">
              <w:rPr>
                <w:rFonts w:ascii="Arial" w:hAnsi="Arial" w:cs="Arial"/>
              </w:rPr>
              <w:t>Trace corporate strategies influencing food system; examine political interference</w:t>
            </w:r>
          </w:p>
        </w:tc>
        <w:tc>
          <w:tcPr>
            <w:tcW w:w="686" w:type="pct"/>
            <w:hideMark/>
          </w:tcPr>
          <w:p w14:paraId="69DCEA9E" w14:textId="77777777" w:rsidR="00902E11" w:rsidRPr="00791A3F" w:rsidRDefault="00902E11" w:rsidP="00791A3F">
            <w:pPr>
              <w:spacing w:after="160" w:line="360" w:lineRule="auto"/>
              <w:rPr>
                <w:rFonts w:ascii="Arial" w:hAnsi="Arial" w:cs="Arial"/>
              </w:rPr>
            </w:pPr>
            <w:r w:rsidRPr="00791A3F">
              <w:rPr>
                <w:rFonts w:ascii="Arial" w:hAnsi="Arial" w:cs="Arial"/>
              </w:rPr>
              <w:t>Historical analysis; Corporate documents; 1980–2020</w:t>
            </w:r>
          </w:p>
        </w:tc>
        <w:tc>
          <w:tcPr>
            <w:tcW w:w="824" w:type="pct"/>
            <w:hideMark/>
          </w:tcPr>
          <w:p w14:paraId="5B219F91" w14:textId="77777777" w:rsidR="00902E11" w:rsidRPr="00791A3F" w:rsidRDefault="00902E11" w:rsidP="00791A3F">
            <w:pPr>
              <w:spacing w:after="160" w:line="360" w:lineRule="auto"/>
              <w:rPr>
                <w:rFonts w:ascii="Arial" w:hAnsi="Arial" w:cs="Arial"/>
              </w:rPr>
            </w:pPr>
            <w:r w:rsidRPr="00791A3F">
              <w:rPr>
                <w:rFonts w:ascii="Arial" w:hAnsi="Arial" w:cs="Arial"/>
              </w:rPr>
              <w:t>Food industry adopts tobacco playbook: voluntary codes, CSR initiatives, lobbying to prevent regulation; symbolic health marketing accompanies continued UPF promotion</w:t>
            </w:r>
          </w:p>
        </w:tc>
        <w:tc>
          <w:tcPr>
            <w:tcW w:w="830" w:type="pct"/>
            <w:hideMark/>
          </w:tcPr>
          <w:p w14:paraId="33F3544B" w14:textId="77777777" w:rsidR="00902E11" w:rsidRPr="00791A3F" w:rsidRDefault="00902E11" w:rsidP="00791A3F">
            <w:pPr>
              <w:spacing w:after="160" w:line="360" w:lineRule="auto"/>
              <w:rPr>
                <w:rFonts w:ascii="Arial" w:hAnsi="Arial" w:cs="Arial"/>
              </w:rPr>
            </w:pPr>
            <w:r w:rsidRPr="00791A3F">
              <w:rPr>
                <w:rFonts w:ascii="Arial" w:hAnsi="Arial" w:cs="Arial"/>
              </w:rPr>
              <w:t>Critical lens for evaluating retailer health CSR authenticity: voluntary commitments may serve regulatory forestalling function</w:t>
            </w:r>
          </w:p>
        </w:tc>
      </w:tr>
      <w:tr w:rsidR="00902E11" w:rsidRPr="00791A3F" w14:paraId="4D64A3B7" w14:textId="77777777" w:rsidTr="007A6F53">
        <w:tc>
          <w:tcPr>
            <w:tcW w:w="1814" w:type="pct"/>
            <w:hideMark/>
          </w:tcPr>
          <w:p w14:paraId="2128EE38"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Ultra-processed foods and public health: advancing evidence, policy, and interdisciplinary dialogue</w:t>
            </w:r>
          </w:p>
          <w:p w14:paraId="3A479876"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Baker et al. (2026)</w:t>
            </w:r>
          </w:p>
          <w:p w14:paraId="67B0B098"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Link:</w:t>
            </w:r>
            <w:r w:rsidRPr="00791A3F">
              <w:rPr>
                <w:rFonts w:ascii="Arial" w:hAnsi="Arial" w:cs="Arial"/>
              </w:rPr>
              <w:t> </w:t>
            </w:r>
            <w:hyperlink r:id="rId53" w:tgtFrame="_blank" w:history="1">
              <w:r w:rsidRPr="00791A3F">
                <w:rPr>
                  <w:rStyle w:val="Hyperlink"/>
                  <w:rFonts w:ascii="Arial" w:hAnsi="Arial" w:cs="Arial"/>
                </w:rPr>
                <w:t>Frontiers</w:t>
              </w:r>
            </w:hyperlink>
          </w:p>
        </w:tc>
        <w:tc>
          <w:tcPr>
            <w:tcW w:w="846" w:type="pct"/>
            <w:hideMark/>
          </w:tcPr>
          <w:p w14:paraId="0073AD3C"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lastRenderedPageBreak/>
              <w:t>Synthesise</w:t>
            </w:r>
            <w:proofErr w:type="spellEnd"/>
            <w:r w:rsidRPr="00791A3F">
              <w:rPr>
                <w:rFonts w:ascii="Arial" w:hAnsi="Arial" w:cs="Arial"/>
              </w:rPr>
              <w:t xml:space="preserve"> UPF public health scholarship; propose policy responses</w:t>
            </w:r>
          </w:p>
        </w:tc>
        <w:tc>
          <w:tcPr>
            <w:tcW w:w="686" w:type="pct"/>
            <w:hideMark/>
          </w:tcPr>
          <w:p w14:paraId="70C98D7E"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Policy analysis; 2024–2025</w:t>
            </w:r>
          </w:p>
        </w:tc>
        <w:tc>
          <w:tcPr>
            <w:tcW w:w="824" w:type="pct"/>
            <w:hideMark/>
          </w:tcPr>
          <w:p w14:paraId="7F460B8A" w14:textId="77777777" w:rsidR="00902E11" w:rsidRPr="00791A3F" w:rsidRDefault="00902E11" w:rsidP="00791A3F">
            <w:pPr>
              <w:spacing w:after="160" w:line="360" w:lineRule="auto"/>
              <w:rPr>
                <w:rFonts w:ascii="Arial" w:hAnsi="Arial" w:cs="Arial"/>
              </w:rPr>
            </w:pPr>
            <w:r w:rsidRPr="00791A3F">
              <w:rPr>
                <w:rFonts w:ascii="Arial" w:hAnsi="Arial" w:cs="Arial"/>
              </w:rPr>
              <w:t>Mandatory reformulation, fiscal measures, marketing restrictions needed; voluntary retailer health initiatives insufficient; substantive CSR requires product portfolio shift not just labelling</w:t>
            </w:r>
          </w:p>
        </w:tc>
        <w:tc>
          <w:tcPr>
            <w:tcW w:w="830" w:type="pct"/>
            <w:hideMark/>
          </w:tcPr>
          <w:p w14:paraId="3D35A0BF"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Informs customer responsibility evaluation: distinguishes substantive health commitment (UPF reduction) from symbolic </w:t>
            </w:r>
            <w:r w:rsidRPr="00791A3F">
              <w:rPr>
                <w:rFonts w:ascii="Arial" w:hAnsi="Arial" w:cs="Arial"/>
              </w:rPr>
              <w:lastRenderedPageBreak/>
              <w:t>labelling/education</w:t>
            </w:r>
          </w:p>
        </w:tc>
      </w:tr>
      <w:tr w:rsidR="00902E11" w:rsidRPr="00791A3F" w14:paraId="198FBD99" w14:textId="77777777" w:rsidTr="007A6F53">
        <w:tc>
          <w:tcPr>
            <w:tcW w:w="1814" w:type="pct"/>
            <w:hideMark/>
          </w:tcPr>
          <w:p w14:paraId="28E985A3"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Agri-food supply chain resilience strategies for preparing, responding, recovering, and adapting: a cross-country comparative analysis from the COVID-19 pandemic</w:t>
            </w:r>
          </w:p>
          <w:p w14:paraId="21B8961C"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Hobbs &amp; Rude (2022)</w:t>
            </w:r>
          </w:p>
          <w:p w14:paraId="4163661F"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4" w:tgtFrame="_blank" w:history="1">
              <w:r w:rsidRPr="00791A3F">
                <w:rPr>
                  <w:rStyle w:val="Hyperlink"/>
                  <w:rFonts w:ascii="Arial" w:hAnsi="Arial" w:cs="Arial"/>
                </w:rPr>
                <w:t>Wiley</w:t>
              </w:r>
            </w:hyperlink>
          </w:p>
        </w:tc>
        <w:tc>
          <w:tcPr>
            <w:tcW w:w="846" w:type="pct"/>
            <w:hideMark/>
          </w:tcPr>
          <w:p w14:paraId="1D5184B6"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t>Analyse</w:t>
            </w:r>
            <w:proofErr w:type="spellEnd"/>
            <w:r w:rsidRPr="00791A3F">
              <w:rPr>
                <w:rFonts w:ascii="Arial" w:hAnsi="Arial" w:cs="Arial"/>
              </w:rPr>
              <w:t xml:space="preserve"> supply chain resilience strategies during COVID-19; compare national responses</w:t>
            </w:r>
          </w:p>
        </w:tc>
        <w:tc>
          <w:tcPr>
            <w:tcW w:w="686" w:type="pct"/>
            <w:hideMark/>
          </w:tcPr>
          <w:p w14:paraId="5B5CFE9A" w14:textId="77777777" w:rsidR="00902E11" w:rsidRPr="00791A3F" w:rsidRDefault="00902E11" w:rsidP="00791A3F">
            <w:pPr>
              <w:spacing w:after="160" w:line="360" w:lineRule="auto"/>
              <w:rPr>
                <w:rFonts w:ascii="Arial" w:hAnsi="Arial" w:cs="Arial"/>
              </w:rPr>
            </w:pPr>
            <w:r w:rsidRPr="00791A3F">
              <w:rPr>
                <w:rFonts w:ascii="Arial" w:hAnsi="Arial" w:cs="Arial"/>
              </w:rPr>
              <w:t>Comparative case study; 5 countries including UK; 2020–2021; Mixed methods</w:t>
            </w:r>
          </w:p>
        </w:tc>
        <w:tc>
          <w:tcPr>
            <w:tcW w:w="824" w:type="pct"/>
            <w:hideMark/>
          </w:tcPr>
          <w:p w14:paraId="19A03489" w14:textId="77777777" w:rsidR="00902E11" w:rsidRPr="00791A3F" w:rsidRDefault="00902E11" w:rsidP="00791A3F">
            <w:pPr>
              <w:spacing w:after="160" w:line="360" w:lineRule="auto"/>
              <w:rPr>
                <w:rFonts w:ascii="Arial" w:hAnsi="Arial" w:cs="Arial"/>
              </w:rPr>
            </w:pPr>
            <w:r w:rsidRPr="00791A3F">
              <w:rPr>
                <w:rFonts w:ascii="Arial" w:hAnsi="Arial" w:cs="Arial"/>
              </w:rPr>
              <w:t>UK retailers demonstrated operational agility (supply reconfigurations) and social responsibility (employee protections, vulnerable customer support); crisis accelerated substantive CSR in employee welfare</w:t>
            </w:r>
          </w:p>
        </w:tc>
        <w:tc>
          <w:tcPr>
            <w:tcW w:w="830" w:type="pct"/>
            <w:hideMark/>
          </w:tcPr>
          <w:p w14:paraId="320C3666" w14:textId="77777777" w:rsidR="00902E11" w:rsidRPr="00791A3F" w:rsidRDefault="00902E11" w:rsidP="00791A3F">
            <w:pPr>
              <w:spacing w:after="160" w:line="360" w:lineRule="auto"/>
              <w:rPr>
                <w:rFonts w:ascii="Arial" w:hAnsi="Arial" w:cs="Arial"/>
              </w:rPr>
            </w:pPr>
            <w:proofErr w:type="spellStart"/>
            <w:r w:rsidRPr="00791A3F">
              <w:rPr>
                <w:rFonts w:ascii="Arial" w:hAnsi="Arial" w:cs="Arial"/>
              </w:rPr>
              <w:t>Contextualises</w:t>
            </w:r>
            <w:proofErr w:type="spellEnd"/>
            <w:r w:rsidRPr="00791A3F">
              <w:rPr>
                <w:rFonts w:ascii="Arial" w:hAnsi="Arial" w:cs="Arial"/>
              </w:rPr>
              <w:t xml:space="preserve"> COVID-19 as critical juncture potentially shifting CSR from symbolic to substantive; informs employee welfare evaluation</w:t>
            </w:r>
          </w:p>
        </w:tc>
      </w:tr>
      <w:tr w:rsidR="00902E11" w:rsidRPr="00791A3F" w14:paraId="66D9CD57" w14:textId="77777777" w:rsidTr="007A6F53">
        <w:tc>
          <w:tcPr>
            <w:tcW w:w="1814" w:type="pct"/>
            <w:hideMark/>
          </w:tcPr>
          <w:p w14:paraId="3A69688E"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Impact of COVID-19 on the food supply chain</w:t>
            </w:r>
          </w:p>
          <w:p w14:paraId="78DCDE7B"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Chowdhury et al. (2020)</w:t>
            </w:r>
          </w:p>
          <w:p w14:paraId="4C501F27"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5" w:tgtFrame="_blank" w:history="1">
              <w:r w:rsidRPr="00791A3F">
                <w:rPr>
                  <w:rStyle w:val="Hyperlink"/>
                  <w:rFonts w:ascii="Arial" w:hAnsi="Arial" w:cs="Arial"/>
                </w:rPr>
                <w:t>Oxford Academic</w:t>
              </w:r>
            </w:hyperlink>
          </w:p>
        </w:tc>
        <w:tc>
          <w:tcPr>
            <w:tcW w:w="846" w:type="pct"/>
            <w:hideMark/>
          </w:tcPr>
          <w:p w14:paraId="38C7E86B" w14:textId="77777777" w:rsidR="00902E11" w:rsidRPr="00791A3F" w:rsidRDefault="00902E11" w:rsidP="00791A3F">
            <w:pPr>
              <w:spacing w:after="160" w:line="360" w:lineRule="auto"/>
              <w:rPr>
                <w:rFonts w:ascii="Arial" w:hAnsi="Arial" w:cs="Arial"/>
              </w:rPr>
            </w:pPr>
            <w:r w:rsidRPr="00791A3F">
              <w:rPr>
                <w:rFonts w:ascii="Arial" w:hAnsi="Arial" w:cs="Arial"/>
              </w:rPr>
              <w:t>Examine pandemic disruptions and retailer responses across global food supply chain</w:t>
            </w:r>
          </w:p>
        </w:tc>
        <w:tc>
          <w:tcPr>
            <w:tcW w:w="686" w:type="pct"/>
            <w:hideMark/>
          </w:tcPr>
          <w:p w14:paraId="682C351F" w14:textId="77777777" w:rsidR="00902E11" w:rsidRPr="00791A3F" w:rsidRDefault="00902E11" w:rsidP="00791A3F">
            <w:pPr>
              <w:spacing w:after="160" w:line="360" w:lineRule="auto"/>
              <w:rPr>
                <w:rFonts w:ascii="Arial" w:hAnsi="Arial" w:cs="Arial"/>
              </w:rPr>
            </w:pPr>
            <w:r w:rsidRPr="00791A3F">
              <w:rPr>
                <w:rFonts w:ascii="Arial" w:hAnsi="Arial" w:cs="Arial"/>
              </w:rPr>
              <w:t>Mixed methods; Interviews + secondary data; Global including UK; 2020</w:t>
            </w:r>
          </w:p>
        </w:tc>
        <w:tc>
          <w:tcPr>
            <w:tcW w:w="824" w:type="pct"/>
            <w:hideMark/>
          </w:tcPr>
          <w:p w14:paraId="02FEE7D1"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Retailers </w:t>
            </w:r>
            <w:proofErr w:type="spellStart"/>
            <w:r w:rsidRPr="00791A3F">
              <w:rPr>
                <w:rFonts w:ascii="Arial" w:hAnsi="Arial" w:cs="Arial"/>
              </w:rPr>
              <w:t>prioritised</w:t>
            </w:r>
            <w:proofErr w:type="spellEnd"/>
            <w:r w:rsidRPr="00791A3F">
              <w:rPr>
                <w:rFonts w:ascii="Arial" w:hAnsi="Arial" w:cs="Arial"/>
              </w:rPr>
              <w:t xml:space="preserve"> essential worker safety and supply continuity; inequalities exposed in supply chain </w:t>
            </w:r>
            <w:proofErr w:type="spellStart"/>
            <w:r w:rsidRPr="00791A3F">
              <w:rPr>
                <w:rFonts w:ascii="Arial" w:hAnsi="Arial" w:cs="Arial"/>
              </w:rPr>
              <w:t>labour</w:t>
            </w:r>
            <w:proofErr w:type="spellEnd"/>
            <w:r w:rsidRPr="00791A3F">
              <w:rPr>
                <w:rFonts w:ascii="Arial" w:hAnsi="Arial" w:cs="Arial"/>
              </w:rPr>
              <w:t xml:space="preserve"> conditions; CSR commitments tested under crisis</w:t>
            </w:r>
          </w:p>
        </w:tc>
        <w:tc>
          <w:tcPr>
            <w:tcW w:w="830" w:type="pct"/>
            <w:hideMark/>
          </w:tcPr>
          <w:p w14:paraId="080FF294"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Empirical evidence of pandemic as CSR stress-test; informs employee welfare and ethical sourcing temporal comparison </w:t>
            </w:r>
            <w:r w:rsidRPr="00791A3F">
              <w:rPr>
                <w:rFonts w:ascii="Arial" w:hAnsi="Arial" w:cs="Arial"/>
              </w:rPr>
              <w:lastRenderedPageBreak/>
              <w:t>(2005 vs 2020–2025)</w:t>
            </w:r>
          </w:p>
        </w:tc>
      </w:tr>
      <w:tr w:rsidR="00902E11" w:rsidRPr="00791A3F" w14:paraId="58180A9F" w14:textId="77777777" w:rsidTr="007A6F53">
        <w:tc>
          <w:tcPr>
            <w:tcW w:w="1814" w:type="pct"/>
            <w:hideMark/>
          </w:tcPr>
          <w:p w14:paraId="4CA76E91"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Supply chain resilience during the COVID-19 pandemic</w:t>
            </w:r>
          </w:p>
          <w:p w14:paraId="4E4997C7"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Sarkis et al. (2021)</w:t>
            </w:r>
          </w:p>
          <w:p w14:paraId="785084BB"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6" w:tgtFrame="_blank" w:history="1">
              <w:r w:rsidRPr="00791A3F">
                <w:rPr>
                  <w:rStyle w:val="Hyperlink"/>
                  <w:rFonts w:ascii="Arial" w:hAnsi="Arial" w:cs="Arial"/>
                </w:rPr>
                <w:t>PMC</w:t>
              </w:r>
            </w:hyperlink>
          </w:p>
        </w:tc>
        <w:tc>
          <w:tcPr>
            <w:tcW w:w="846" w:type="pct"/>
            <w:hideMark/>
          </w:tcPr>
          <w:p w14:paraId="4400F929" w14:textId="77777777" w:rsidR="00902E11" w:rsidRPr="00791A3F" w:rsidRDefault="00902E11" w:rsidP="00791A3F">
            <w:pPr>
              <w:spacing w:after="160" w:line="360" w:lineRule="auto"/>
              <w:rPr>
                <w:rFonts w:ascii="Arial" w:hAnsi="Arial" w:cs="Arial"/>
              </w:rPr>
            </w:pPr>
            <w:r w:rsidRPr="00791A3F">
              <w:rPr>
                <w:rFonts w:ascii="Arial" w:hAnsi="Arial" w:cs="Arial"/>
              </w:rPr>
              <w:t>Investigate UK perishable goods retail employee experiences during pandemic</w:t>
            </w:r>
          </w:p>
        </w:tc>
        <w:tc>
          <w:tcPr>
            <w:tcW w:w="686" w:type="pct"/>
            <w:hideMark/>
          </w:tcPr>
          <w:p w14:paraId="74638437" w14:textId="77777777" w:rsidR="00902E11" w:rsidRPr="00791A3F" w:rsidRDefault="00902E11" w:rsidP="00791A3F">
            <w:pPr>
              <w:spacing w:after="160" w:line="360" w:lineRule="auto"/>
              <w:rPr>
                <w:rFonts w:ascii="Arial" w:hAnsi="Arial" w:cs="Arial"/>
              </w:rPr>
            </w:pPr>
            <w:r w:rsidRPr="00791A3F">
              <w:rPr>
                <w:rFonts w:ascii="Arial" w:hAnsi="Arial" w:cs="Arial"/>
              </w:rPr>
              <w:t>Qualitative; 30 UK supermarket employees; 2020–2021; Interviews</w:t>
            </w:r>
          </w:p>
        </w:tc>
        <w:tc>
          <w:tcPr>
            <w:tcW w:w="824" w:type="pct"/>
            <w:hideMark/>
          </w:tcPr>
          <w:p w14:paraId="28D42885" w14:textId="77777777" w:rsidR="00902E11" w:rsidRPr="00791A3F" w:rsidRDefault="00902E11" w:rsidP="00791A3F">
            <w:pPr>
              <w:spacing w:after="160" w:line="360" w:lineRule="auto"/>
              <w:rPr>
                <w:rFonts w:ascii="Arial" w:hAnsi="Arial" w:cs="Arial"/>
              </w:rPr>
            </w:pPr>
            <w:r w:rsidRPr="00791A3F">
              <w:rPr>
                <w:rFonts w:ascii="Arial" w:hAnsi="Arial" w:cs="Arial"/>
              </w:rPr>
              <w:t>Employees reported increased workload, health risks, insufficient PPE initially; retailer responses varied: some provided hazard pay and enhanced protections (substantive); others relied on symbolic public appreciation</w:t>
            </w:r>
          </w:p>
        </w:tc>
        <w:tc>
          <w:tcPr>
            <w:tcW w:w="830" w:type="pct"/>
            <w:hideMark/>
          </w:tcPr>
          <w:p w14:paraId="6E233794" w14:textId="77777777" w:rsidR="00902E11" w:rsidRPr="00791A3F" w:rsidRDefault="00902E11" w:rsidP="00791A3F">
            <w:pPr>
              <w:spacing w:after="160" w:line="360" w:lineRule="auto"/>
              <w:rPr>
                <w:rFonts w:ascii="Arial" w:hAnsi="Arial" w:cs="Arial"/>
              </w:rPr>
            </w:pPr>
            <w:r w:rsidRPr="00791A3F">
              <w:rPr>
                <w:rFonts w:ascii="Arial" w:hAnsi="Arial" w:cs="Arial"/>
              </w:rPr>
              <w:t>Provides worker perspective on CSR authenticity during crisis; distinguishes performative appreciation from operational protections</w:t>
            </w:r>
          </w:p>
        </w:tc>
      </w:tr>
    </w:tbl>
    <w:p w14:paraId="2D5C584B" w14:textId="77777777" w:rsidR="00902E11" w:rsidRPr="00791A3F" w:rsidRDefault="00902E11" w:rsidP="00791A3F">
      <w:pPr>
        <w:spacing w:line="360" w:lineRule="auto"/>
        <w:jc w:val="both"/>
        <w:rPr>
          <w:rFonts w:ascii="Arial" w:hAnsi="Arial" w:cs="Arial"/>
        </w:rPr>
      </w:pPr>
    </w:p>
    <w:p w14:paraId="4AB4099D" w14:textId="77777777" w:rsidR="00A3718E" w:rsidRPr="00791A3F" w:rsidRDefault="00A3718E" w:rsidP="00791A3F">
      <w:pPr>
        <w:pStyle w:val="Heading2"/>
        <w:spacing w:line="360" w:lineRule="auto"/>
        <w:rPr>
          <w:rFonts w:ascii="Arial" w:hAnsi="Arial" w:cs="Arial"/>
        </w:rPr>
      </w:pPr>
      <w:bookmarkStart w:id="22" w:name="_Toc237956885"/>
      <w:bookmarkStart w:id="23" w:name="_Toc238690165"/>
      <w:r w:rsidRPr="00791A3F">
        <w:rPr>
          <w:rFonts w:ascii="Arial" w:hAnsi="Arial" w:cs="Arial"/>
        </w:rPr>
        <w:t>2.3 Thematic Synthesis and Critical Analysis</w:t>
      </w:r>
      <w:bookmarkEnd w:id="22"/>
      <w:bookmarkEnd w:id="23"/>
    </w:p>
    <w:p w14:paraId="77E1BA1A" w14:textId="77777777" w:rsidR="00A3718E" w:rsidRPr="00791A3F" w:rsidRDefault="00A3718E" w:rsidP="00791A3F">
      <w:pPr>
        <w:pStyle w:val="Heading3"/>
        <w:spacing w:line="360" w:lineRule="auto"/>
        <w:rPr>
          <w:rFonts w:ascii="Arial" w:hAnsi="Arial" w:cs="Arial"/>
        </w:rPr>
      </w:pPr>
      <w:bookmarkStart w:id="24" w:name="_Toc237956886"/>
      <w:bookmarkStart w:id="25" w:name="_Toc238690166"/>
      <w:r w:rsidRPr="00791A3F">
        <w:rPr>
          <w:rFonts w:ascii="Arial" w:hAnsi="Arial" w:cs="Arial"/>
        </w:rPr>
        <w:t>2.3.1 Theoretical Frameworks of CSR: Stakeholder Theory, Institutional Theory, and Shared Value Creation</w:t>
      </w:r>
      <w:bookmarkEnd w:id="24"/>
      <w:bookmarkEnd w:id="25"/>
    </w:p>
    <w:p w14:paraId="29AD7121" w14:textId="77777777" w:rsidR="008E0A93" w:rsidRPr="00791A3F" w:rsidRDefault="008E0A93" w:rsidP="00791A3F">
      <w:pPr>
        <w:spacing w:line="360" w:lineRule="auto"/>
        <w:jc w:val="both"/>
        <w:rPr>
          <w:rFonts w:ascii="Arial" w:hAnsi="Arial" w:cs="Arial"/>
        </w:rPr>
      </w:pPr>
      <w:r w:rsidRPr="00791A3F">
        <w:rPr>
          <w:rFonts w:ascii="Arial" w:hAnsi="Arial" w:cs="Arial"/>
        </w:rPr>
        <w:t xml:space="preserve">There are several theories that inform the CSR scholarship that explains why </w:t>
      </w:r>
      <w:proofErr w:type="spellStart"/>
      <w:r w:rsidRPr="00791A3F">
        <w:rPr>
          <w:rFonts w:ascii="Arial" w:hAnsi="Arial" w:cs="Arial"/>
        </w:rPr>
        <w:t>organisations</w:t>
      </w:r>
      <w:proofErr w:type="spellEnd"/>
      <w:r w:rsidRPr="00791A3F">
        <w:rPr>
          <w:rFonts w:ascii="Arial" w:hAnsi="Arial" w:cs="Arial"/>
        </w:rPr>
        <w:t xml:space="preserve"> undertake responsibility practices and why responsibility practices become entrenched or remain peripheral to core practices. The stakeholder theory, the institutional theory and shared value creation were combined in this study since both theories focus on different parts of CSR authenticity. The stakeholder theory defines who </w:t>
      </w:r>
      <w:proofErr w:type="spellStart"/>
      <w:r w:rsidRPr="00791A3F">
        <w:rPr>
          <w:rFonts w:ascii="Arial" w:hAnsi="Arial" w:cs="Arial"/>
        </w:rPr>
        <w:t>organisations</w:t>
      </w:r>
      <w:proofErr w:type="spellEnd"/>
      <w:r w:rsidRPr="00791A3F">
        <w:rPr>
          <w:rFonts w:ascii="Arial" w:hAnsi="Arial" w:cs="Arial"/>
        </w:rPr>
        <w:t xml:space="preserve"> are responsible to; the institutional theory is used to describe how external forces affect corporate </w:t>
      </w:r>
      <w:proofErr w:type="spellStart"/>
      <w:r w:rsidRPr="00791A3F">
        <w:rPr>
          <w:rFonts w:ascii="Arial" w:hAnsi="Arial" w:cs="Arial"/>
        </w:rPr>
        <w:t>behaviour</w:t>
      </w:r>
      <w:proofErr w:type="spellEnd"/>
      <w:r w:rsidRPr="00791A3F">
        <w:rPr>
          <w:rFonts w:ascii="Arial" w:hAnsi="Arial" w:cs="Arial"/>
        </w:rPr>
        <w:t xml:space="preserve"> and why decoupling can take place; and the shared value creation theory addresses the question of whether it is possible for social and environmental goals to be aligned with the competitive strategy.</w:t>
      </w:r>
    </w:p>
    <w:p w14:paraId="7DD9D839" w14:textId="77777777" w:rsidR="008E0A93" w:rsidRPr="00791A3F" w:rsidRDefault="008E0A93" w:rsidP="00791A3F">
      <w:pPr>
        <w:spacing w:line="360" w:lineRule="auto"/>
        <w:jc w:val="both"/>
        <w:rPr>
          <w:rFonts w:ascii="Arial" w:hAnsi="Arial" w:cs="Arial"/>
        </w:rPr>
      </w:pPr>
      <w:r w:rsidRPr="00791A3F">
        <w:rPr>
          <w:rFonts w:ascii="Arial" w:hAnsi="Arial" w:cs="Arial"/>
        </w:rPr>
        <w:lastRenderedPageBreak/>
        <w:t xml:space="preserve">Stakeholder theory states that organizations hold responsibilities towards stakeholders, including employees, customers, suppliers, communities and the natural environment, in addition to shareholders (Freeman, 1984; Donaldson &amp; Preston, 1995; Mitchell et al., 1997). Its normative value is that the interests of the stakeholders are legitimate, not just limiting the profitability. Managing stakeholders effectively can enhance the reputation, long-term performance and social </w:t>
      </w:r>
      <w:proofErr w:type="spellStart"/>
      <w:r w:rsidRPr="00791A3F">
        <w:rPr>
          <w:rFonts w:ascii="Arial" w:hAnsi="Arial" w:cs="Arial"/>
        </w:rPr>
        <w:t>licence</w:t>
      </w:r>
      <w:proofErr w:type="spellEnd"/>
      <w:r w:rsidRPr="00791A3F">
        <w:rPr>
          <w:rFonts w:ascii="Arial" w:hAnsi="Arial" w:cs="Arial"/>
        </w:rPr>
        <w:t xml:space="preserve"> to operate (Carroll &amp; Shabana, 2010; Freeman et al., 2020). Power, legitimacy, and urgency are other factors suggested by stakeholder salience theory that determines who will be included in the management process and what stakeholder interests will be addressed (Sardana et al., 2024; Sharma et al., 2024).</w:t>
      </w:r>
    </w:p>
    <w:p w14:paraId="29490FB9" w14:textId="77777777" w:rsidR="008E0A93" w:rsidRPr="00791A3F" w:rsidRDefault="008E0A93" w:rsidP="00791A3F">
      <w:pPr>
        <w:spacing w:line="360" w:lineRule="auto"/>
        <w:jc w:val="both"/>
        <w:rPr>
          <w:rFonts w:ascii="Arial" w:hAnsi="Arial" w:cs="Arial"/>
        </w:rPr>
      </w:pPr>
      <w:r w:rsidRPr="00791A3F">
        <w:rPr>
          <w:rFonts w:ascii="Arial" w:hAnsi="Arial" w:cs="Arial"/>
        </w:rPr>
        <w:t>Shared value creation is a strategic approach. Porter and Kramer (2011) contend that it is possible to achieve both social and business value in products and markets, value-chain productivity and local cluster development. Examples in food retail include: healthier product, resource efficiency, supplier development, waste reduction, and community economic development. CSR can then shift from being a side-effect of philanthropy to being an integral part of the strategy.</w:t>
      </w:r>
    </w:p>
    <w:p w14:paraId="72ED0059" w14:textId="77777777" w:rsidR="008E0A93" w:rsidRPr="00791A3F" w:rsidRDefault="008E0A93" w:rsidP="00791A3F">
      <w:pPr>
        <w:spacing w:line="360" w:lineRule="auto"/>
        <w:jc w:val="both"/>
        <w:rPr>
          <w:rFonts w:ascii="Arial" w:hAnsi="Arial" w:cs="Arial"/>
        </w:rPr>
      </w:pPr>
      <w:r w:rsidRPr="00791A3F">
        <w:rPr>
          <w:rFonts w:ascii="Arial" w:hAnsi="Arial" w:cs="Arial"/>
        </w:rPr>
        <w:t xml:space="preserve">These views are complemented by the institutional theory, which seeks to understand why </w:t>
      </w:r>
      <w:proofErr w:type="spellStart"/>
      <w:r w:rsidRPr="00791A3F">
        <w:rPr>
          <w:rFonts w:ascii="Arial" w:hAnsi="Arial" w:cs="Arial"/>
        </w:rPr>
        <w:t>organisations</w:t>
      </w:r>
      <w:proofErr w:type="spellEnd"/>
      <w:r w:rsidRPr="00791A3F">
        <w:rPr>
          <w:rFonts w:ascii="Arial" w:hAnsi="Arial" w:cs="Arial"/>
        </w:rPr>
        <w:t xml:space="preserve"> in similar pressures have similar structures and language. </w:t>
      </w:r>
      <w:proofErr w:type="spellStart"/>
      <w:r w:rsidRPr="00791A3F">
        <w:rPr>
          <w:rFonts w:ascii="Arial" w:hAnsi="Arial" w:cs="Arial"/>
        </w:rPr>
        <w:t>Organisational</w:t>
      </w:r>
      <w:proofErr w:type="spellEnd"/>
      <w:r w:rsidRPr="00791A3F">
        <w:rPr>
          <w:rFonts w:ascii="Arial" w:hAnsi="Arial" w:cs="Arial"/>
        </w:rPr>
        <w:t xml:space="preserve"> convergence can result from coercive regulation, normative expectations and mimetic competition (Bansal &amp; Roth, 2000; DiMaggio &amp; Powell, 1983). The convergence in disclosure doesn't necessarily equate to convergence in performance, however. </w:t>
      </w:r>
      <w:proofErr w:type="spellStart"/>
      <w:r w:rsidRPr="00791A3F">
        <w:rPr>
          <w:rFonts w:ascii="Arial" w:hAnsi="Arial" w:cs="Arial"/>
        </w:rPr>
        <w:t>Organisation</w:t>
      </w:r>
      <w:proofErr w:type="spellEnd"/>
      <w:r w:rsidRPr="00791A3F">
        <w:rPr>
          <w:rFonts w:ascii="Arial" w:hAnsi="Arial" w:cs="Arial"/>
        </w:rPr>
        <w:t xml:space="preserve"> may have visible policies to meet expectations and internal practices that are different, leading to </w:t>
      </w:r>
      <w:proofErr w:type="spellStart"/>
      <w:r w:rsidRPr="00791A3F">
        <w:rPr>
          <w:rFonts w:ascii="Arial" w:hAnsi="Arial" w:cs="Arial"/>
        </w:rPr>
        <w:t>organisational</w:t>
      </w:r>
      <w:proofErr w:type="spellEnd"/>
      <w:r w:rsidRPr="00791A3F">
        <w:rPr>
          <w:rFonts w:ascii="Arial" w:hAnsi="Arial" w:cs="Arial"/>
        </w:rPr>
        <w:t xml:space="preserve"> decoupling. This is crucial in the evaluation of CSR authenticity since this can mask varying degrees of implementation.</w:t>
      </w:r>
    </w:p>
    <w:p w14:paraId="093355DD" w14:textId="77777777" w:rsidR="00A3718E" w:rsidRPr="00791A3F" w:rsidRDefault="00A3718E" w:rsidP="00791A3F">
      <w:pPr>
        <w:pStyle w:val="Heading3"/>
        <w:spacing w:line="360" w:lineRule="auto"/>
        <w:rPr>
          <w:rFonts w:ascii="Arial" w:hAnsi="Arial" w:cs="Arial"/>
        </w:rPr>
      </w:pPr>
      <w:bookmarkStart w:id="26" w:name="_Toc237956887"/>
      <w:bookmarkStart w:id="27" w:name="_Toc238690167"/>
      <w:r w:rsidRPr="00791A3F">
        <w:rPr>
          <w:rFonts w:ascii="Arial" w:hAnsi="Arial" w:cs="Arial"/>
        </w:rPr>
        <w:t>2.3.2 The Substantive-Symbolic CSR Continuum and Greenwashing</w:t>
      </w:r>
      <w:bookmarkEnd w:id="26"/>
      <w:bookmarkEnd w:id="27"/>
    </w:p>
    <w:p w14:paraId="1171B8C2" w14:textId="77777777" w:rsidR="006D0EF4" w:rsidRPr="00791A3F" w:rsidRDefault="006D0EF4" w:rsidP="00791A3F">
      <w:pPr>
        <w:spacing w:line="360" w:lineRule="auto"/>
        <w:jc w:val="both"/>
        <w:rPr>
          <w:rFonts w:ascii="Arial" w:hAnsi="Arial" w:cs="Arial"/>
        </w:rPr>
      </w:pPr>
      <w:r w:rsidRPr="00791A3F">
        <w:rPr>
          <w:rFonts w:ascii="Arial" w:hAnsi="Arial" w:cs="Arial"/>
        </w:rPr>
        <w:t xml:space="preserve">This is provided by the difference between substantive and symbolic CSR as used as the central analytical lens. Substantive CSR focuses on the “true” change in behavior, resource allocation, decision-making and performance, while symbolic CSR is based on communication or legitimacy without corresponding change in the behavior of the company (Walker &amp; Wan, 2012; Torelli et al., 2020; Yang et al., 2025). It is best viewed </w:t>
      </w:r>
      <w:r w:rsidRPr="00791A3F">
        <w:rPr>
          <w:rFonts w:ascii="Arial" w:hAnsi="Arial" w:cs="Arial"/>
        </w:rPr>
        <w:lastRenderedPageBreak/>
        <w:t>as a continuum as a company might be substantive in some aspects of CSR and symbolic in others (Goelzer &amp; Wilkinson, 2024).</w:t>
      </w:r>
    </w:p>
    <w:p w14:paraId="52C9AA2A" w14:textId="77777777" w:rsidR="006D0EF4" w:rsidRPr="00791A3F" w:rsidRDefault="006D0EF4" w:rsidP="00791A3F">
      <w:pPr>
        <w:spacing w:line="360" w:lineRule="auto"/>
        <w:jc w:val="both"/>
        <w:rPr>
          <w:rFonts w:ascii="Arial" w:hAnsi="Arial" w:cs="Arial"/>
        </w:rPr>
      </w:pPr>
    </w:p>
    <w:p w14:paraId="1D91F63C" w14:textId="77777777" w:rsidR="006D0EF4" w:rsidRPr="00791A3F" w:rsidRDefault="006D0EF4" w:rsidP="00791A3F">
      <w:pPr>
        <w:spacing w:line="360" w:lineRule="auto"/>
        <w:jc w:val="both"/>
        <w:rPr>
          <w:rFonts w:ascii="Arial" w:hAnsi="Arial" w:cs="Arial"/>
        </w:rPr>
      </w:pPr>
      <w:r w:rsidRPr="00791A3F">
        <w:rPr>
          <w:rFonts w:ascii="Arial" w:hAnsi="Arial" w:cs="Arial"/>
        </w:rPr>
        <w:t xml:space="preserve">Decoupling is a widespread CSR practice in the symbolic form, which are formal commitments separated from everyday practice (Lyon &amp; Maxwell, 2011; Delmas &amp; Burbano, 2011). The absence of baselines, responsibilities, resources, deadlines, or consequences for failure are possible in aspirational language (Bose et al., 2024; Siano et al., 2017). Selective disclosure may bring to light positive signs and exclude negative results (Marquis et al., 2016; de Freitas Netto et al., 2020). </w:t>
      </w:r>
      <w:proofErr w:type="spellStart"/>
      <w:r w:rsidRPr="00791A3F">
        <w:rPr>
          <w:rFonts w:ascii="Arial" w:hAnsi="Arial" w:cs="Arial"/>
        </w:rPr>
        <w:t>Organisations</w:t>
      </w:r>
      <w:proofErr w:type="spellEnd"/>
      <w:r w:rsidRPr="00791A3F">
        <w:rPr>
          <w:rFonts w:ascii="Arial" w:hAnsi="Arial" w:cs="Arial"/>
        </w:rPr>
        <w:t xml:space="preserve"> might focus on policies and processes instead of on measurable impacts (Stevenson &amp; Cole, 2021; Font et al., 2016). Stakeholders have limited ability to challenge claims as a result of weak accountability mechanisms (LeBaron et al., 2021).</w:t>
      </w:r>
    </w:p>
    <w:p w14:paraId="3137026B" w14:textId="74BF4E74" w:rsidR="006D0EF4" w:rsidRPr="00791A3F" w:rsidRDefault="006D0EF4" w:rsidP="00791A3F">
      <w:pPr>
        <w:spacing w:line="360" w:lineRule="auto"/>
        <w:jc w:val="both"/>
        <w:rPr>
          <w:rFonts w:ascii="Arial" w:hAnsi="Arial" w:cs="Arial"/>
        </w:rPr>
      </w:pPr>
      <w:r w:rsidRPr="00791A3F">
        <w:rPr>
          <w:rFonts w:ascii="Arial" w:hAnsi="Arial" w:cs="Arial"/>
        </w:rPr>
        <w:t>Greenwashing is one of the symbolic CSR measures of importance. It happens when wrong information about sustainability performance is given in the environment through communication (Lyon &amp; Maxwell, 2011; Delmas &amp; Burbano, 2011; Torelli et al., 2019). They can take a variety of forms, such as hidden trade-offs, unsupported claims, vague language, false labels, irrelevant claims, lesser-evil framing, and even false statements (de Freitas Netto et al., 2020; Siano et al., 2017). However, counts of sustainability claims are limited as they do not necessarily imply strong evidence in support of the claim, especially if claims are communicated extensively.</w:t>
      </w:r>
    </w:p>
    <w:p w14:paraId="2664900D" w14:textId="77777777" w:rsidR="006D0EF4" w:rsidRPr="00791A3F" w:rsidRDefault="006D0EF4" w:rsidP="00791A3F">
      <w:pPr>
        <w:spacing w:line="360" w:lineRule="auto"/>
        <w:jc w:val="both"/>
        <w:rPr>
          <w:rFonts w:ascii="Arial" w:hAnsi="Arial" w:cs="Arial"/>
        </w:rPr>
      </w:pPr>
      <w:r w:rsidRPr="00791A3F">
        <w:rPr>
          <w:rFonts w:ascii="Arial" w:hAnsi="Arial" w:cs="Arial"/>
        </w:rPr>
        <w:t>Recent methods are based on the analysis of reporting language. Bingler et al., (2023) and Bose et al., (2024) report that vague quantifiers, future commitments, passive voice, and missing baselines are all some of the possible signs of symbolic reporting, whereas quantified targets and evidence of completed action is indicative of more substance. But linguistic analysis is not a means to establish operational truth, but rather to complement, and not to replace, triangulation.</w:t>
      </w:r>
    </w:p>
    <w:p w14:paraId="7AF6F9A4" w14:textId="77777777" w:rsidR="006D0EF4" w:rsidRPr="00791A3F" w:rsidRDefault="006D0EF4" w:rsidP="00791A3F">
      <w:pPr>
        <w:spacing w:line="360" w:lineRule="auto"/>
        <w:jc w:val="both"/>
        <w:rPr>
          <w:rFonts w:ascii="Arial" w:hAnsi="Arial" w:cs="Arial"/>
        </w:rPr>
      </w:pPr>
      <w:r w:rsidRPr="00791A3F">
        <w:rPr>
          <w:rFonts w:ascii="Arial" w:hAnsi="Arial" w:cs="Arial"/>
        </w:rPr>
        <w:t xml:space="preserve">There are a number of conditions that promote symbolic CSR. Although weak, enforcement can allow for formal compliance with the rule without changing </w:t>
      </w:r>
      <w:proofErr w:type="spellStart"/>
      <w:r w:rsidRPr="00791A3F">
        <w:rPr>
          <w:rFonts w:ascii="Arial" w:hAnsi="Arial" w:cs="Arial"/>
        </w:rPr>
        <w:t>behaviour</w:t>
      </w:r>
      <w:proofErr w:type="spellEnd"/>
      <w:r w:rsidRPr="00791A3F">
        <w:rPr>
          <w:rFonts w:ascii="Arial" w:hAnsi="Arial" w:cs="Arial"/>
        </w:rPr>
        <w:t xml:space="preserve"> (Delmas and Burbano, 2011; Torelli et al., 2019). Stakeholders might request </w:t>
      </w:r>
      <w:r w:rsidRPr="00791A3F">
        <w:rPr>
          <w:rFonts w:ascii="Arial" w:hAnsi="Arial" w:cs="Arial"/>
        </w:rPr>
        <w:lastRenderedPageBreak/>
        <w:t>sustainability when they are not provided with enough information or do not have enough power to be able to validate claims (Marquis et al., 2016; Lyon &amp; Maxwell, 2011). Financial pressures can deter investors from investing for the long run (Zhao et al., 2025). Comparisons to others can result in mimetic adoption of sustainability language and structures (Bansal &amp; Roth, 2000; Nicholls &amp; Opal, 2014).</w:t>
      </w:r>
    </w:p>
    <w:p w14:paraId="6FD40E3F" w14:textId="77777777" w:rsidR="00031EC3" w:rsidRPr="00791A3F" w:rsidRDefault="006D0EF4" w:rsidP="00791A3F">
      <w:pPr>
        <w:spacing w:line="360" w:lineRule="auto"/>
        <w:jc w:val="both"/>
        <w:rPr>
          <w:rFonts w:ascii="Arial" w:hAnsi="Arial" w:cs="Arial"/>
        </w:rPr>
      </w:pPr>
      <w:r w:rsidRPr="00791A3F">
        <w:rPr>
          <w:rFonts w:ascii="Arial" w:hAnsi="Arial" w:cs="Arial"/>
        </w:rPr>
        <w:t>In the present study the substance-symbolism problem is approached by five criteria. Verifiability: Does a claim have evidence that is independent? Measurability takes into account measured targets, baseline and progress. Accountability looks at governance ownership, mechanisms of stakeholders and corrective action. Integration assesses the extent to which CSR is part of the strategy and operations. Comparability is used to determine whether there is consistency between retailers and time. These are the criteria that can be used to systematically assess whether CSR is beyond communication.</w:t>
      </w:r>
    </w:p>
    <w:p w14:paraId="353388E3" w14:textId="77777777" w:rsidR="00A3718E" w:rsidRPr="00791A3F" w:rsidRDefault="00A3718E" w:rsidP="00791A3F">
      <w:pPr>
        <w:pStyle w:val="Heading3"/>
        <w:spacing w:line="360" w:lineRule="auto"/>
        <w:rPr>
          <w:rFonts w:ascii="Arial" w:hAnsi="Arial" w:cs="Arial"/>
        </w:rPr>
      </w:pPr>
      <w:bookmarkStart w:id="28" w:name="_Toc237956888"/>
      <w:bookmarkStart w:id="29" w:name="_Toc238690168"/>
      <w:r w:rsidRPr="00791A3F">
        <w:rPr>
          <w:rFonts w:ascii="Arial" w:hAnsi="Arial" w:cs="Arial"/>
        </w:rPr>
        <w:t>2.3.3 Business Model Differentiation and CSR Implementation</w:t>
      </w:r>
      <w:bookmarkEnd w:id="28"/>
      <w:bookmarkEnd w:id="29"/>
    </w:p>
    <w:p w14:paraId="24BDBC88" w14:textId="77777777" w:rsidR="006A528C" w:rsidRPr="00791A3F" w:rsidRDefault="006A528C" w:rsidP="00791A3F">
      <w:pPr>
        <w:spacing w:line="360" w:lineRule="auto"/>
        <w:jc w:val="both"/>
        <w:rPr>
          <w:rFonts w:ascii="Arial" w:hAnsi="Arial" w:cs="Arial"/>
        </w:rPr>
      </w:pPr>
      <w:r w:rsidRPr="00791A3F">
        <w:rPr>
          <w:rFonts w:ascii="Arial" w:hAnsi="Arial" w:cs="Arial"/>
        </w:rPr>
        <w:t xml:space="preserve">Food retail differs and is not homogenous across the UK, as the ownership, governance, margin, product range and relationships between the stakeholders vary amongst the different types of </w:t>
      </w:r>
      <w:proofErr w:type="gramStart"/>
      <w:r w:rsidRPr="00791A3F">
        <w:rPr>
          <w:rFonts w:ascii="Arial" w:hAnsi="Arial" w:cs="Arial"/>
        </w:rPr>
        <w:t>retailer</w:t>
      </w:r>
      <w:proofErr w:type="gramEnd"/>
      <w:r w:rsidRPr="00791A3F">
        <w:rPr>
          <w:rFonts w:ascii="Arial" w:hAnsi="Arial" w:cs="Arial"/>
        </w:rPr>
        <w:t>. For this study two discount retailers, (Aldi and Lidl), four mainstream retailers (Tesco, Sainsbury's, Morrisons and Asda) and The Co-operative Food which operates on a cooperative model are used in comparison.</w:t>
      </w:r>
    </w:p>
    <w:p w14:paraId="39CB662E" w14:textId="5F9CFDB4" w:rsidR="00031EC3" w:rsidRPr="00791A3F" w:rsidRDefault="00031EC3" w:rsidP="00791A3F">
      <w:pPr>
        <w:spacing w:line="360" w:lineRule="auto"/>
        <w:jc w:val="both"/>
        <w:rPr>
          <w:rFonts w:ascii="Arial" w:hAnsi="Arial" w:cs="Arial"/>
        </w:rPr>
      </w:pPr>
      <w:r w:rsidRPr="00791A3F">
        <w:rPr>
          <w:rFonts w:ascii="Arial" w:hAnsi="Arial" w:cs="Arial"/>
        </w:rPr>
        <w:t xml:space="preserve">Their strategies for competition include low price and simplicity of operation, limited ranges, private label products and efficiency (Richards, 2023; Blythman, 2017). The features thus result in a "CSR paradox. Efficiently can be the environmental benefit, which can help to reduce the number of stores, and make the packaging and logistics easier (Richards, 2023; Zhao et al., 2025). </w:t>
      </w:r>
      <w:proofErr w:type="gramStart"/>
      <w:r w:rsidRPr="00791A3F">
        <w:rPr>
          <w:rFonts w:ascii="Arial" w:hAnsi="Arial" w:cs="Arial"/>
        </w:rPr>
        <w:t>But,</w:t>
      </w:r>
      <w:proofErr w:type="gramEnd"/>
      <w:r w:rsidRPr="00791A3F">
        <w:rPr>
          <w:rFonts w:ascii="Arial" w:hAnsi="Arial" w:cs="Arial"/>
        </w:rPr>
        <w:t xml:space="preserve"> margins may be tight in investment in reporting and assurance, engagement with stakeholders, and </w:t>
      </w:r>
      <w:proofErr w:type="gramStart"/>
      <w:r w:rsidRPr="00791A3F">
        <w:rPr>
          <w:rFonts w:ascii="Arial" w:hAnsi="Arial" w:cs="Arial"/>
        </w:rPr>
        <w:t>build</w:t>
      </w:r>
      <w:proofErr w:type="gramEnd"/>
      <w:r w:rsidRPr="00791A3F">
        <w:rPr>
          <w:rFonts w:ascii="Arial" w:hAnsi="Arial" w:cs="Arial"/>
        </w:rPr>
        <w:t xml:space="preserve"> of sustainability infrastructure (Zhao et al., 2025; </w:t>
      </w:r>
      <w:proofErr w:type="spellStart"/>
      <w:r w:rsidRPr="00791A3F">
        <w:rPr>
          <w:rFonts w:ascii="Arial" w:hAnsi="Arial" w:cs="Arial"/>
        </w:rPr>
        <w:t>ShareAction</w:t>
      </w:r>
      <w:proofErr w:type="spellEnd"/>
      <w:r w:rsidRPr="00791A3F">
        <w:rPr>
          <w:rFonts w:ascii="Arial" w:hAnsi="Arial" w:cs="Arial"/>
        </w:rPr>
        <w:t>, 2023). It can also be challenging to make an external verification because of a lack of transparency.</w:t>
      </w:r>
    </w:p>
    <w:p w14:paraId="4B1BC5CE" w14:textId="77777777" w:rsidR="00031EC3" w:rsidRPr="00791A3F" w:rsidRDefault="00031EC3" w:rsidP="00791A3F">
      <w:pPr>
        <w:spacing w:line="360" w:lineRule="auto"/>
        <w:jc w:val="both"/>
        <w:rPr>
          <w:rFonts w:ascii="Arial" w:hAnsi="Arial" w:cs="Arial"/>
        </w:rPr>
      </w:pPr>
      <w:r w:rsidRPr="00791A3F">
        <w:rPr>
          <w:rFonts w:ascii="Arial" w:hAnsi="Arial" w:cs="Arial"/>
        </w:rPr>
        <w:t xml:space="preserve">The high volume, diversified supermarket is a typical business model, and has complex supply chains in mainstream supermarkets. They are very public, and are listed, putting pressure on them from investors, regulators and reputational (Jones et al., 2011; Clarke </w:t>
      </w:r>
      <w:r w:rsidRPr="00791A3F">
        <w:rPr>
          <w:rFonts w:ascii="Arial" w:hAnsi="Arial" w:cs="Arial"/>
        </w:rPr>
        <w:lastRenderedPageBreak/>
        <w:t xml:space="preserve">et al., 2012). They have a greater number of resources at their disposal for the sustainability teams, reporting, supplier </w:t>
      </w:r>
      <w:proofErr w:type="spellStart"/>
      <w:r w:rsidRPr="00791A3F">
        <w:rPr>
          <w:rFonts w:ascii="Arial" w:hAnsi="Arial" w:cs="Arial"/>
        </w:rPr>
        <w:t>programmes</w:t>
      </w:r>
      <w:proofErr w:type="spellEnd"/>
      <w:r w:rsidRPr="00791A3F">
        <w:rPr>
          <w:rFonts w:ascii="Arial" w:hAnsi="Arial" w:cs="Arial"/>
        </w:rPr>
        <w:t xml:space="preserve">, assurance and climate accounting (Nicholls &amp; Opal, 2014; Hahn &amp; </w:t>
      </w:r>
      <w:proofErr w:type="spellStart"/>
      <w:r w:rsidRPr="00791A3F">
        <w:rPr>
          <w:rFonts w:ascii="Arial" w:hAnsi="Arial" w:cs="Arial"/>
        </w:rPr>
        <w:t>Kühnen</w:t>
      </w:r>
      <w:proofErr w:type="spellEnd"/>
      <w:r w:rsidRPr="00791A3F">
        <w:rPr>
          <w:rFonts w:ascii="Arial" w:hAnsi="Arial" w:cs="Arial"/>
        </w:rPr>
        <w:t xml:space="preserve">, 2013). But it does not imply that the higher the level of sophistication in reporting, the deeper the level of implementation, as there are challenges to be faced including </w:t>
      </w:r>
      <w:proofErr w:type="spellStart"/>
      <w:r w:rsidRPr="00791A3F">
        <w:rPr>
          <w:rFonts w:ascii="Arial" w:hAnsi="Arial" w:cs="Arial"/>
        </w:rPr>
        <w:t>labour</w:t>
      </w:r>
      <w:proofErr w:type="spellEnd"/>
      <w:r w:rsidRPr="00791A3F">
        <w:rPr>
          <w:rFonts w:ascii="Arial" w:hAnsi="Arial" w:cs="Arial"/>
        </w:rPr>
        <w:t xml:space="preserve">, wages, emissions in supply chains, food health and waste (Font et al., 2016; LeBaron &amp; Lister, 2022; </w:t>
      </w:r>
      <w:proofErr w:type="spellStart"/>
      <w:r w:rsidRPr="00791A3F">
        <w:rPr>
          <w:rFonts w:ascii="Arial" w:hAnsi="Arial" w:cs="Arial"/>
        </w:rPr>
        <w:t>Mialon</w:t>
      </w:r>
      <w:proofErr w:type="spellEnd"/>
      <w:r w:rsidRPr="00791A3F">
        <w:rPr>
          <w:rFonts w:ascii="Arial" w:hAnsi="Arial" w:cs="Arial"/>
        </w:rPr>
        <w:t xml:space="preserve"> et al., 2026). Sustainability investments come with a higher price tag and may be limited based on the appetite of shareholders for the investment (Velte, 2025; Zhao et al., 2025).</w:t>
      </w:r>
    </w:p>
    <w:p w14:paraId="03805A8A" w14:textId="77777777" w:rsidR="00031EC3" w:rsidRPr="00791A3F" w:rsidRDefault="00031EC3" w:rsidP="00791A3F">
      <w:pPr>
        <w:spacing w:line="360" w:lineRule="auto"/>
        <w:jc w:val="both"/>
        <w:rPr>
          <w:rFonts w:ascii="Arial" w:hAnsi="Arial" w:cs="Arial"/>
        </w:rPr>
      </w:pPr>
      <w:r w:rsidRPr="00791A3F">
        <w:rPr>
          <w:rFonts w:ascii="Arial" w:hAnsi="Arial" w:cs="Arial"/>
        </w:rPr>
        <w:t xml:space="preserve">Cooperative retailers are unique as their purpose and governance is democratic which can help to </w:t>
      </w:r>
      <w:proofErr w:type="spellStart"/>
      <w:r w:rsidRPr="00791A3F">
        <w:rPr>
          <w:rFonts w:ascii="Arial" w:hAnsi="Arial" w:cs="Arial"/>
        </w:rPr>
        <w:t>internalise</w:t>
      </w:r>
      <w:proofErr w:type="spellEnd"/>
      <w:r w:rsidRPr="00791A3F">
        <w:rPr>
          <w:rFonts w:ascii="Arial" w:hAnsi="Arial" w:cs="Arial"/>
        </w:rPr>
        <w:t xml:space="preserve"> social goals in their activities (Birchall, 2013; Hernández-</w:t>
      </w:r>
      <w:proofErr w:type="spellStart"/>
      <w:r w:rsidRPr="00791A3F">
        <w:rPr>
          <w:rFonts w:ascii="Arial" w:hAnsi="Arial" w:cs="Arial"/>
        </w:rPr>
        <w:t>Espallardo</w:t>
      </w:r>
      <w:proofErr w:type="spellEnd"/>
      <w:r w:rsidRPr="00791A3F">
        <w:rPr>
          <w:rFonts w:ascii="Arial" w:hAnsi="Arial" w:cs="Arial"/>
        </w:rPr>
        <w:t xml:space="preserve"> et al., 2021). The Co-operative Group reflects this collaborative approach in two ways, as members of the cooperative, and as community investors and in their ethical sourcing. These can be used to establish more accountability for stakeholders. It is not a substantive CSR as the operating constraints like financial and competitive pressures can affect the implementation of CSR (Hernandez-</w:t>
      </w:r>
      <w:proofErr w:type="spellStart"/>
      <w:r w:rsidRPr="00791A3F">
        <w:rPr>
          <w:rFonts w:ascii="Arial" w:hAnsi="Arial" w:cs="Arial"/>
        </w:rPr>
        <w:t>Espallardo</w:t>
      </w:r>
      <w:proofErr w:type="spellEnd"/>
      <w:r w:rsidRPr="00791A3F">
        <w:rPr>
          <w:rFonts w:ascii="Arial" w:hAnsi="Arial" w:cs="Arial"/>
        </w:rPr>
        <w:t xml:space="preserve"> et al., 2021).</w:t>
      </w:r>
    </w:p>
    <w:p w14:paraId="6E1E066B" w14:textId="77777777" w:rsidR="00031EC3" w:rsidRPr="00791A3F" w:rsidRDefault="00031EC3" w:rsidP="00791A3F">
      <w:pPr>
        <w:spacing w:line="360" w:lineRule="auto"/>
        <w:jc w:val="both"/>
        <w:rPr>
          <w:rFonts w:ascii="Arial" w:hAnsi="Arial" w:cs="Arial"/>
        </w:rPr>
      </w:pPr>
      <w:r w:rsidRPr="00791A3F">
        <w:rPr>
          <w:rFonts w:ascii="Arial" w:hAnsi="Arial" w:cs="Arial"/>
        </w:rPr>
        <w:t xml:space="preserve">Three expectations follow. It is anticipated that the report quality of the main stream supermarkets will be highest, discount supermarkets lowest and co-operative supermarkets will be in between. Cooperatives may have a higher level of social CSR </w:t>
      </w:r>
      <w:proofErr w:type="gramStart"/>
      <w:r w:rsidRPr="00791A3F">
        <w:rPr>
          <w:rFonts w:ascii="Arial" w:hAnsi="Arial" w:cs="Arial"/>
        </w:rPr>
        <w:t>integration,</w:t>
      </w:r>
      <w:proofErr w:type="gramEnd"/>
      <w:r w:rsidRPr="00791A3F">
        <w:rPr>
          <w:rFonts w:ascii="Arial" w:hAnsi="Arial" w:cs="Arial"/>
        </w:rPr>
        <w:t xml:space="preserve"> operational environmental efficiency may be greater with discount retailers and there may be a greater disclosure-performance gap with mainstream retailers. Convergence can over time be achieved due to regulatory and competitive forces.</w:t>
      </w:r>
    </w:p>
    <w:p w14:paraId="10E9301C" w14:textId="77777777" w:rsidR="00A3718E" w:rsidRPr="00791A3F" w:rsidRDefault="00A3718E" w:rsidP="00791A3F">
      <w:pPr>
        <w:pStyle w:val="Heading3"/>
        <w:spacing w:line="360" w:lineRule="auto"/>
        <w:rPr>
          <w:rFonts w:ascii="Arial" w:hAnsi="Arial" w:cs="Arial"/>
        </w:rPr>
      </w:pPr>
      <w:bookmarkStart w:id="30" w:name="_Toc237956889"/>
      <w:bookmarkStart w:id="31" w:name="_Toc238690169"/>
      <w:r w:rsidRPr="00791A3F">
        <w:rPr>
          <w:rFonts w:ascii="Arial" w:hAnsi="Arial" w:cs="Arial"/>
        </w:rPr>
        <w:t>2.3.4 Sectoral Context: Sustainability Challenges in UK Food Retail</w:t>
      </w:r>
      <w:bookmarkEnd w:id="30"/>
      <w:bookmarkEnd w:id="31"/>
    </w:p>
    <w:p w14:paraId="5CE751C0" w14:textId="77777777" w:rsidR="009069EF" w:rsidRPr="00791A3F" w:rsidRDefault="009069EF" w:rsidP="00791A3F">
      <w:pPr>
        <w:spacing w:line="360" w:lineRule="auto"/>
        <w:jc w:val="both"/>
        <w:rPr>
          <w:rFonts w:ascii="Arial" w:hAnsi="Arial" w:cs="Arial"/>
        </w:rPr>
      </w:pPr>
      <w:r w:rsidRPr="00791A3F">
        <w:rPr>
          <w:rFonts w:ascii="Arial" w:hAnsi="Arial" w:cs="Arial"/>
        </w:rPr>
        <w:t xml:space="preserve">The effects of the food retailers' CSR are significant and real (Jones et al, 2005; </w:t>
      </w:r>
      <w:proofErr w:type="spellStart"/>
      <w:r w:rsidRPr="00791A3F">
        <w:rPr>
          <w:rFonts w:ascii="Arial" w:hAnsi="Arial" w:cs="Arial"/>
        </w:rPr>
        <w:t>Dauvergne</w:t>
      </w:r>
      <w:proofErr w:type="spellEnd"/>
      <w:r w:rsidRPr="00791A3F">
        <w:rPr>
          <w:rFonts w:ascii="Arial" w:hAnsi="Arial" w:cs="Arial"/>
        </w:rPr>
        <w:t xml:space="preserve"> &amp; Lister, 2013) in that they affect the production, sourcing, employment, consumption and the environment. Since 2005, the responsible retailing has grown, which involves public health, regulation, complexity of the supply chain, climate change and the expectations of the stakeholders.</w:t>
      </w:r>
    </w:p>
    <w:p w14:paraId="313819B4" w14:textId="77777777" w:rsidR="009069EF" w:rsidRPr="00791A3F" w:rsidRDefault="009069EF" w:rsidP="00791A3F">
      <w:pPr>
        <w:spacing w:line="360" w:lineRule="auto"/>
        <w:jc w:val="both"/>
        <w:rPr>
          <w:rFonts w:ascii="Arial" w:hAnsi="Arial" w:cs="Arial"/>
        </w:rPr>
      </w:pPr>
      <w:r w:rsidRPr="00791A3F">
        <w:rPr>
          <w:rFonts w:ascii="Arial" w:hAnsi="Arial" w:cs="Arial"/>
        </w:rPr>
        <w:t xml:space="preserve">The key emphasis is on being environmentally responsible. Retailers affect Scope 1 and Scope 2 emissions (stores, refrigeration, transport and energy) and for retailers, the </w:t>
      </w:r>
      <w:r w:rsidRPr="00791A3F">
        <w:rPr>
          <w:rFonts w:ascii="Arial" w:hAnsi="Arial" w:cs="Arial"/>
        </w:rPr>
        <w:lastRenderedPageBreak/>
        <w:t>majority of corporate footprints are in the area of Scope 3 (purchased goods and suppliers) emissions (CDP, 2023; Liu et al., 2024; Balsam et al., 2025). TCFD disclosure helps to increase transparency but reporting does not set reductions. Real targets, supplier involvement, measurable and verifiable reductions are necessary to have substantive climate CSR.</w:t>
      </w:r>
    </w:p>
    <w:p w14:paraId="503ED7E5" w14:textId="77777777" w:rsidR="009069EF" w:rsidRPr="00791A3F" w:rsidRDefault="009069EF" w:rsidP="00791A3F">
      <w:pPr>
        <w:spacing w:line="360" w:lineRule="auto"/>
        <w:jc w:val="both"/>
        <w:rPr>
          <w:rFonts w:ascii="Arial" w:hAnsi="Arial" w:cs="Arial"/>
        </w:rPr>
      </w:pPr>
      <w:r w:rsidRPr="00791A3F">
        <w:rPr>
          <w:rFonts w:ascii="Arial" w:hAnsi="Arial" w:cs="Arial"/>
        </w:rPr>
        <w:t>There are also barriers due to the biodiversity and land use as the purchasing of products like soy, palm oil and beef can lead to ecological damage and deforestation (</w:t>
      </w:r>
      <w:proofErr w:type="spellStart"/>
      <w:r w:rsidRPr="00791A3F">
        <w:rPr>
          <w:rFonts w:ascii="Arial" w:hAnsi="Arial" w:cs="Arial"/>
        </w:rPr>
        <w:t>Dauvergne</w:t>
      </w:r>
      <w:proofErr w:type="spellEnd"/>
      <w:r w:rsidRPr="00791A3F">
        <w:rPr>
          <w:rFonts w:ascii="Arial" w:hAnsi="Arial" w:cs="Arial"/>
        </w:rPr>
        <w:t xml:space="preserve"> &amp; Lister, 2013). For meaningful action it's necessary to have traceability and action specific to commodities. In addition, reduction, recycling, and reuse, and design-for-circularity are also challenges for the practices of circular economy, where there is a tendency to promote reduction and recycling, but with the objective of achieving circularity; the focus is on reuse, refill and design-for-circularity (Ncube et al., 2020; Herbes et al., 2023; Ribeiro et al., 2023).</w:t>
      </w:r>
    </w:p>
    <w:p w14:paraId="35BE0BC8" w14:textId="77777777" w:rsidR="003C73D6" w:rsidRPr="00791A3F" w:rsidRDefault="003C73D6" w:rsidP="00791A3F">
      <w:pPr>
        <w:spacing w:line="360" w:lineRule="auto"/>
        <w:jc w:val="both"/>
        <w:rPr>
          <w:rFonts w:ascii="Arial" w:hAnsi="Arial" w:cs="Arial"/>
        </w:rPr>
      </w:pPr>
      <w:r w:rsidRPr="00791A3F">
        <w:rPr>
          <w:rFonts w:ascii="Arial" w:hAnsi="Arial" w:cs="Arial"/>
        </w:rPr>
        <w:t xml:space="preserve">Social sustainability issues are equally a matter of concern. There </w:t>
      </w:r>
      <w:proofErr w:type="gramStart"/>
      <w:r w:rsidRPr="00791A3F">
        <w:rPr>
          <w:rFonts w:ascii="Arial" w:hAnsi="Arial" w:cs="Arial"/>
        </w:rPr>
        <w:t>are</w:t>
      </w:r>
      <w:proofErr w:type="gramEnd"/>
      <w:r w:rsidRPr="00791A3F">
        <w:rPr>
          <w:rFonts w:ascii="Arial" w:hAnsi="Arial" w:cs="Arial"/>
        </w:rPr>
        <w:t xml:space="preserve"> potential forced </w:t>
      </w:r>
      <w:proofErr w:type="spellStart"/>
      <w:r w:rsidRPr="00791A3F">
        <w:rPr>
          <w:rFonts w:ascii="Arial" w:hAnsi="Arial" w:cs="Arial"/>
        </w:rPr>
        <w:t>labour</w:t>
      </w:r>
      <w:proofErr w:type="spellEnd"/>
      <w:r w:rsidRPr="00791A3F">
        <w:rPr>
          <w:rFonts w:ascii="Arial" w:hAnsi="Arial" w:cs="Arial"/>
        </w:rPr>
        <w:t xml:space="preserve">, low-income, insecurity and unsafe working conditions throughout the food supply chain (Stevenson &amp; Cole, 2021; LeBaron &amp; Lister, 2022; Meehan &amp; </w:t>
      </w:r>
      <w:proofErr w:type="spellStart"/>
      <w:r w:rsidRPr="00791A3F">
        <w:rPr>
          <w:rFonts w:ascii="Arial" w:hAnsi="Arial" w:cs="Arial"/>
        </w:rPr>
        <w:t>Pinnington</w:t>
      </w:r>
      <w:proofErr w:type="spellEnd"/>
      <w:r w:rsidRPr="00791A3F">
        <w:rPr>
          <w:rFonts w:ascii="Arial" w:hAnsi="Arial" w:cs="Arial"/>
        </w:rPr>
        <w:t>, 2022). There's been increased transparency and disclosure in the Modern Slavery Act, but not necessarily deep tier visibility and remediation of workers. To implement substantive ethical sourcing, a company needs to be vigilant, engage the workers and take remedial measures, and commit to wages, as pointed out by LeBaron &amp; Lister, 2022 and Sarfaty &amp; Zhang, 2025.</w:t>
      </w:r>
    </w:p>
    <w:p w14:paraId="4BBB4608" w14:textId="5E7E7E3E" w:rsidR="009069EF" w:rsidRPr="00791A3F" w:rsidRDefault="009069EF" w:rsidP="00791A3F">
      <w:pPr>
        <w:spacing w:line="360" w:lineRule="auto"/>
        <w:jc w:val="both"/>
        <w:rPr>
          <w:rFonts w:ascii="Arial" w:hAnsi="Arial" w:cs="Arial"/>
        </w:rPr>
      </w:pPr>
      <w:r w:rsidRPr="00791A3F">
        <w:rPr>
          <w:rFonts w:ascii="Arial" w:hAnsi="Arial" w:cs="Arial"/>
        </w:rPr>
        <w:t xml:space="preserve">In employee welfare, the following aspects come under it: Wage, Security, Health and Safety of the employees, Training and involvement of the employees. These become more apparent during times of COVID-19 (Hobbs &amp; Rude, 2022; Sarkis et al., 2021). In addition to their impact on communities through employment, retailers also have an impact on their communities through their procurement, store investment and community </w:t>
      </w:r>
      <w:proofErr w:type="spellStart"/>
      <w:r w:rsidRPr="00791A3F">
        <w:rPr>
          <w:rFonts w:ascii="Arial" w:hAnsi="Arial" w:cs="Arial"/>
        </w:rPr>
        <w:t>programmes</w:t>
      </w:r>
      <w:proofErr w:type="spellEnd"/>
      <w:r w:rsidRPr="00791A3F">
        <w:rPr>
          <w:rFonts w:ascii="Arial" w:hAnsi="Arial" w:cs="Arial"/>
        </w:rPr>
        <w:t xml:space="preserve"> (Clarke et al., 2012; Birchall, 2013).</w:t>
      </w:r>
    </w:p>
    <w:p w14:paraId="6A7A908C" w14:textId="77777777" w:rsidR="009069EF" w:rsidRPr="00791A3F" w:rsidRDefault="009069EF" w:rsidP="00791A3F">
      <w:pPr>
        <w:spacing w:line="360" w:lineRule="auto"/>
        <w:jc w:val="both"/>
        <w:rPr>
          <w:rFonts w:ascii="Arial" w:hAnsi="Arial" w:cs="Arial"/>
        </w:rPr>
      </w:pPr>
      <w:r w:rsidRPr="00791A3F">
        <w:rPr>
          <w:rFonts w:ascii="Arial" w:hAnsi="Arial" w:cs="Arial"/>
        </w:rPr>
        <w:t xml:space="preserve">Product availability, product pricing, product placement and product promotion and reformulation are all strategies used to impact public health (Sacks et al., 2020; </w:t>
      </w:r>
      <w:proofErr w:type="spellStart"/>
      <w:r w:rsidRPr="00791A3F">
        <w:rPr>
          <w:rFonts w:ascii="Arial" w:hAnsi="Arial" w:cs="Arial"/>
        </w:rPr>
        <w:t>Taillie</w:t>
      </w:r>
      <w:proofErr w:type="spellEnd"/>
      <w:r w:rsidRPr="00791A3F">
        <w:rPr>
          <w:rFonts w:ascii="Arial" w:hAnsi="Arial" w:cs="Arial"/>
        </w:rPr>
        <w:t xml:space="preserve"> et al., 2020). However, there is a spectrum of concern on this topic regarding the need for </w:t>
      </w:r>
      <w:r w:rsidRPr="00791A3F">
        <w:rPr>
          <w:rFonts w:ascii="Arial" w:hAnsi="Arial" w:cs="Arial"/>
        </w:rPr>
        <w:lastRenderedPageBreak/>
        <w:t>reformulation of the products and marketing of ultra-processed foods, which requires a different strategy than simply the promotion of more healthy options, but of an action-oriented health CSR (</w:t>
      </w:r>
      <w:proofErr w:type="spellStart"/>
      <w:r w:rsidRPr="00791A3F">
        <w:rPr>
          <w:rFonts w:ascii="Arial" w:hAnsi="Arial" w:cs="Arial"/>
        </w:rPr>
        <w:t>Scrinis</w:t>
      </w:r>
      <w:proofErr w:type="spellEnd"/>
      <w:r w:rsidRPr="00791A3F">
        <w:rPr>
          <w:rFonts w:ascii="Arial" w:hAnsi="Arial" w:cs="Arial"/>
        </w:rPr>
        <w:t xml:space="preserve"> &amp; Monteiro, 2025; </w:t>
      </w:r>
      <w:proofErr w:type="spellStart"/>
      <w:r w:rsidRPr="00791A3F">
        <w:rPr>
          <w:rFonts w:ascii="Arial" w:hAnsi="Arial" w:cs="Arial"/>
        </w:rPr>
        <w:t>Mialon</w:t>
      </w:r>
      <w:proofErr w:type="spellEnd"/>
      <w:r w:rsidRPr="00791A3F">
        <w:rPr>
          <w:rFonts w:ascii="Arial" w:hAnsi="Arial" w:cs="Arial"/>
        </w:rPr>
        <w:t xml:space="preserve"> et al., 2026). An equity dimension (Robinson et al., 2025; Hobbs, 2021) is added by factors of affordability and food insecurity.</w:t>
      </w:r>
    </w:p>
    <w:p w14:paraId="7B083D6C" w14:textId="77777777" w:rsidR="009069EF" w:rsidRPr="00791A3F" w:rsidRDefault="009069EF" w:rsidP="00791A3F">
      <w:pPr>
        <w:spacing w:line="360" w:lineRule="auto"/>
        <w:jc w:val="both"/>
        <w:rPr>
          <w:rFonts w:ascii="Arial" w:hAnsi="Arial" w:cs="Arial"/>
        </w:rPr>
      </w:pPr>
      <w:r w:rsidRPr="00791A3F">
        <w:rPr>
          <w:rFonts w:ascii="Arial" w:hAnsi="Arial" w:cs="Arial"/>
        </w:rPr>
        <w:t xml:space="preserve">Governance is linked with these challenges. Supply chains can be complex to account for, shareholders can have differing expectations and requirements to those needed for long-term sustainability and regulations may only be seeking minimum standards, rather than encouraging change (Stevenson &amp; Cole, 2021; Meehan &amp; </w:t>
      </w:r>
      <w:proofErr w:type="spellStart"/>
      <w:r w:rsidRPr="00791A3F">
        <w:rPr>
          <w:rFonts w:ascii="Arial" w:hAnsi="Arial" w:cs="Arial"/>
        </w:rPr>
        <w:t>Pinnington</w:t>
      </w:r>
      <w:proofErr w:type="spellEnd"/>
      <w:r w:rsidRPr="00791A3F">
        <w:rPr>
          <w:rFonts w:ascii="Arial" w:hAnsi="Arial" w:cs="Arial"/>
        </w:rPr>
        <w:t xml:space="preserve">, 2022; Christensen et al., 2021). COVID-19 underscored the importance of working with the supply chain and/or increasing the number of employees needed, and greater demands put on the </w:t>
      </w:r>
      <w:proofErr w:type="spellStart"/>
      <w:r w:rsidRPr="00791A3F">
        <w:rPr>
          <w:rFonts w:ascii="Arial" w:hAnsi="Arial" w:cs="Arial"/>
        </w:rPr>
        <w:t>CSR.This</w:t>
      </w:r>
      <w:proofErr w:type="spellEnd"/>
      <w:r w:rsidRPr="00791A3F">
        <w:rPr>
          <w:rFonts w:ascii="Arial" w:hAnsi="Arial" w:cs="Arial"/>
        </w:rPr>
        <w:t xml:space="preserve"> became even more a critical issue of the fragility of the supply chain and dependence of the employees when COVID-19 (Hobbs &amp; Rude, 2022) was exposed.</w:t>
      </w:r>
    </w:p>
    <w:p w14:paraId="06294E07" w14:textId="77777777" w:rsidR="00A3718E" w:rsidRPr="00791A3F" w:rsidRDefault="00A3718E" w:rsidP="00791A3F">
      <w:pPr>
        <w:pStyle w:val="Heading3"/>
        <w:spacing w:line="360" w:lineRule="auto"/>
        <w:rPr>
          <w:rFonts w:ascii="Arial" w:hAnsi="Arial" w:cs="Arial"/>
        </w:rPr>
      </w:pPr>
      <w:bookmarkStart w:id="32" w:name="_Toc237956890"/>
      <w:bookmarkStart w:id="33" w:name="_Toc238690170"/>
      <w:r w:rsidRPr="00791A3F">
        <w:rPr>
          <w:rFonts w:ascii="Arial" w:hAnsi="Arial" w:cs="Arial"/>
        </w:rPr>
        <w:t>2.3.5 CSR Disclosure, Reporting Quality, and Evaluation Methodologies</w:t>
      </w:r>
      <w:bookmarkEnd w:id="32"/>
      <w:bookmarkEnd w:id="33"/>
    </w:p>
    <w:p w14:paraId="79A30455" w14:textId="77777777" w:rsidR="00B57468" w:rsidRPr="00791A3F" w:rsidRDefault="00B57468" w:rsidP="00791A3F">
      <w:pPr>
        <w:spacing w:line="360" w:lineRule="auto"/>
        <w:jc w:val="both"/>
        <w:rPr>
          <w:rFonts w:ascii="Arial" w:hAnsi="Arial" w:cs="Arial"/>
        </w:rPr>
      </w:pPr>
      <w:r w:rsidRPr="00791A3F">
        <w:rPr>
          <w:rFonts w:ascii="Arial" w:hAnsi="Arial" w:cs="Arial"/>
        </w:rPr>
        <w:t xml:space="preserve">The number of CSR information given to stakeholders has been growing since GRI, TCFD and SASB (Hahn &amp; </w:t>
      </w:r>
      <w:proofErr w:type="spellStart"/>
      <w:r w:rsidRPr="00791A3F">
        <w:rPr>
          <w:rFonts w:ascii="Arial" w:hAnsi="Arial" w:cs="Arial"/>
        </w:rPr>
        <w:t>Kühnen</w:t>
      </w:r>
      <w:proofErr w:type="spellEnd"/>
      <w:r w:rsidRPr="00791A3F">
        <w:rPr>
          <w:rFonts w:ascii="Arial" w:hAnsi="Arial" w:cs="Arial"/>
        </w:rPr>
        <w:t>, 2013; Christensen et al., 2021; Michelon et al., 2015). But don't think that the disclosure is the same as performance. Detailed reports do not necessarily have to result in different outcome, leading to disclosure-performance gap (Michelon et al., 2015; Font et al., 2016).</w:t>
      </w:r>
    </w:p>
    <w:p w14:paraId="7DEA2E01" w14:textId="77777777" w:rsidR="00B57468" w:rsidRPr="00791A3F" w:rsidRDefault="00B57468" w:rsidP="00791A3F">
      <w:pPr>
        <w:spacing w:line="360" w:lineRule="auto"/>
        <w:jc w:val="both"/>
        <w:rPr>
          <w:rFonts w:ascii="Arial" w:hAnsi="Arial" w:cs="Arial"/>
        </w:rPr>
      </w:pPr>
      <w:r w:rsidRPr="00791A3F">
        <w:rPr>
          <w:rFonts w:ascii="Arial" w:hAnsi="Arial" w:cs="Arial"/>
        </w:rPr>
        <w:t>Mandatory reporting can also lead to a lack of transparency and comparability, and even if there is, the reporting may not be of good quality or effective in enhancing CSR performance (Christensen et al., 2021). There is room for strengthening the credibility via third party assurance, but the scope and methodology of the assurance is different, and even it can be done based on a process rather than an outcome (</w:t>
      </w:r>
      <w:proofErr w:type="spellStart"/>
      <w:r w:rsidRPr="00791A3F">
        <w:rPr>
          <w:rFonts w:ascii="Arial" w:hAnsi="Arial" w:cs="Arial"/>
        </w:rPr>
        <w:t>Boiral</w:t>
      </w:r>
      <w:proofErr w:type="spellEnd"/>
      <w:r w:rsidRPr="00791A3F">
        <w:rPr>
          <w:rFonts w:ascii="Arial" w:hAnsi="Arial" w:cs="Arial"/>
        </w:rPr>
        <w:t xml:space="preserve"> et al., 2019; </w:t>
      </w:r>
      <w:proofErr w:type="spellStart"/>
      <w:r w:rsidRPr="00791A3F">
        <w:rPr>
          <w:rFonts w:ascii="Arial" w:hAnsi="Arial" w:cs="Arial"/>
        </w:rPr>
        <w:t>Kusumawardani</w:t>
      </w:r>
      <w:proofErr w:type="spellEnd"/>
      <w:r w:rsidRPr="00791A3F">
        <w:rPr>
          <w:rFonts w:ascii="Arial" w:hAnsi="Arial" w:cs="Arial"/>
        </w:rPr>
        <w:t xml:space="preserve"> &amp; </w:t>
      </w:r>
      <w:proofErr w:type="spellStart"/>
      <w:r w:rsidRPr="00791A3F">
        <w:rPr>
          <w:rFonts w:ascii="Arial" w:hAnsi="Arial" w:cs="Arial"/>
        </w:rPr>
        <w:t>Dwiridotjahjono</w:t>
      </w:r>
      <w:proofErr w:type="spellEnd"/>
      <w:r w:rsidRPr="00791A3F">
        <w:rPr>
          <w:rFonts w:ascii="Arial" w:hAnsi="Arial" w:cs="Arial"/>
        </w:rPr>
        <w:t>, 2024). Therefore, it's important to see the use of assurance as being helpful but not sufficient.</w:t>
      </w:r>
    </w:p>
    <w:p w14:paraId="1BF3E9C1" w14:textId="77777777" w:rsidR="00B57468" w:rsidRPr="00791A3F" w:rsidRDefault="00B57468" w:rsidP="00791A3F">
      <w:pPr>
        <w:spacing w:line="360" w:lineRule="auto"/>
        <w:jc w:val="both"/>
        <w:rPr>
          <w:rFonts w:ascii="Arial" w:hAnsi="Arial" w:cs="Arial"/>
        </w:rPr>
      </w:pPr>
      <w:r w:rsidRPr="00791A3F">
        <w:rPr>
          <w:rFonts w:ascii="Arial" w:hAnsi="Arial" w:cs="Arial"/>
        </w:rPr>
        <w:t xml:space="preserve">It is not possible to give a complete list of the authenticity of CSR from a single source. The corporate reports indicate what they agree to, and how they are governed, but they can also be a reflection on their </w:t>
      </w:r>
      <w:proofErr w:type="spellStart"/>
      <w:r w:rsidRPr="00791A3F">
        <w:rPr>
          <w:rFonts w:ascii="Arial" w:hAnsi="Arial" w:cs="Arial"/>
        </w:rPr>
        <w:t>self presentation</w:t>
      </w:r>
      <w:proofErr w:type="spellEnd"/>
      <w:r w:rsidRPr="00791A3F">
        <w:rPr>
          <w:rFonts w:ascii="Arial" w:hAnsi="Arial" w:cs="Arial"/>
        </w:rPr>
        <w:t xml:space="preserve">. Ratings are external assessments </w:t>
      </w:r>
      <w:r w:rsidRPr="00791A3F">
        <w:rPr>
          <w:rFonts w:ascii="Arial" w:hAnsi="Arial" w:cs="Arial"/>
        </w:rPr>
        <w:lastRenderedPageBreak/>
        <w:t>which could be subject to a certain portion of corporate information. There might be failures which can be identified from investigative resources, but they might be selective on the negative cases identified. It's therefore still necessary to conduct triangulation. This study combines the evidence of both the company and the regulatory bodies, independent evidence and third parties using five criteria to determine whether CSR reporting is in line with the process of operational change.</w:t>
      </w:r>
    </w:p>
    <w:p w14:paraId="775B61A8" w14:textId="77777777" w:rsidR="00424A60" w:rsidRPr="00791A3F" w:rsidRDefault="00424A60" w:rsidP="00791A3F">
      <w:pPr>
        <w:pStyle w:val="Heading3"/>
        <w:spacing w:line="360" w:lineRule="auto"/>
        <w:rPr>
          <w:rFonts w:ascii="Arial" w:hAnsi="Arial" w:cs="Arial"/>
        </w:rPr>
      </w:pPr>
      <w:bookmarkStart w:id="34" w:name="_Toc237956891"/>
      <w:bookmarkStart w:id="35" w:name="_Toc238690171"/>
      <w:r w:rsidRPr="00791A3F">
        <w:rPr>
          <w:rFonts w:ascii="Arial" w:hAnsi="Arial" w:cs="Arial"/>
        </w:rPr>
        <w:t>2.3.6 Identified Research Gaps</w:t>
      </w:r>
      <w:bookmarkEnd w:id="34"/>
      <w:bookmarkEnd w:id="35"/>
    </w:p>
    <w:p w14:paraId="6FD15452" w14:textId="77777777" w:rsidR="000C365D" w:rsidRPr="00791A3F" w:rsidRDefault="000C365D" w:rsidP="00791A3F">
      <w:pPr>
        <w:spacing w:line="360" w:lineRule="auto"/>
        <w:jc w:val="both"/>
        <w:rPr>
          <w:rFonts w:ascii="Arial" w:hAnsi="Arial" w:cs="Arial"/>
        </w:rPr>
      </w:pPr>
      <w:r w:rsidRPr="00791A3F">
        <w:rPr>
          <w:rFonts w:ascii="Arial" w:hAnsi="Arial" w:cs="Arial"/>
        </w:rPr>
        <w:t>Secondly, there is a lack of testing of the influences of the business model. Food retail research may be considered as a single sector despite the fact that there are differences in structure among discount, mainstream and co-operative retailers. Very little comparative evidence exists on the issue of ownership, margins, visibility and governance (Zhao et al., 2025; Velte, 2025).</w:t>
      </w:r>
    </w:p>
    <w:p w14:paraId="30826029" w14:textId="35253790" w:rsidR="00424A60" w:rsidRPr="00791A3F" w:rsidRDefault="00424A60" w:rsidP="00791A3F">
      <w:pPr>
        <w:spacing w:line="360" w:lineRule="auto"/>
        <w:jc w:val="both"/>
        <w:rPr>
          <w:rFonts w:ascii="Arial" w:hAnsi="Arial" w:cs="Arial"/>
        </w:rPr>
      </w:pPr>
      <w:r w:rsidRPr="00791A3F">
        <w:rPr>
          <w:rFonts w:ascii="Arial" w:hAnsi="Arial" w:cs="Arial"/>
        </w:rPr>
        <w:t xml:space="preserve">Secondly, there is a lack of testing of business model influences. Although there are structural differences between discount, mainstream, and cooperative retailers, food retail is often treated as a single sector in </w:t>
      </w:r>
      <w:proofErr w:type="spellStart"/>
      <w:proofErr w:type="gramStart"/>
      <w:r w:rsidRPr="00791A3F">
        <w:rPr>
          <w:rFonts w:ascii="Arial" w:hAnsi="Arial" w:cs="Arial"/>
        </w:rPr>
        <w:t>research.While</w:t>
      </w:r>
      <w:proofErr w:type="spellEnd"/>
      <w:proofErr w:type="gramEnd"/>
      <w:r w:rsidRPr="00791A3F">
        <w:rPr>
          <w:rFonts w:ascii="Arial" w:hAnsi="Arial" w:cs="Arial"/>
        </w:rPr>
        <w:t xml:space="preserve"> there are some structural differences between discount, mainstream, and cooperative retailers, food retail is often considered as a single sector in research (Zhao et al., 2025; Velte, 2025). There is limited comparative evidence regarding ownership, margins, visibility and governance.</w:t>
      </w:r>
    </w:p>
    <w:p w14:paraId="14AFD8F8" w14:textId="77777777" w:rsidR="00424A60" w:rsidRPr="00791A3F" w:rsidRDefault="00424A60" w:rsidP="00791A3F">
      <w:pPr>
        <w:spacing w:line="360" w:lineRule="auto"/>
        <w:jc w:val="both"/>
        <w:rPr>
          <w:rFonts w:ascii="Arial" w:hAnsi="Arial" w:cs="Arial"/>
        </w:rPr>
      </w:pPr>
      <w:r w:rsidRPr="00791A3F">
        <w:rPr>
          <w:rFonts w:ascii="Arial" w:hAnsi="Arial" w:cs="Arial"/>
        </w:rPr>
        <w:t xml:space="preserve">Thirdly, substantive vs symbolic CSR is not consistently </w:t>
      </w:r>
      <w:proofErr w:type="spellStart"/>
      <w:r w:rsidRPr="00791A3F">
        <w:rPr>
          <w:rFonts w:ascii="Arial" w:hAnsi="Arial" w:cs="Arial"/>
        </w:rPr>
        <w:t>operationalised</w:t>
      </w:r>
      <w:proofErr w:type="spellEnd"/>
      <w:r w:rsidRPr="00791A3F">
        <w:rPr>
          <w:rFonts w:ascii="Arial" w:hAnsi="Arial" w:cs="Arial"/>
        </w:rPr>
        <w:t>. Research will typically involve disclosure volume, ESG scores or general ratings, which are not able to capture authenticity (Walker &amp; Wan, 2012; Torelli et al., 2020). This is overcome by using a framework of five criteria as outlined here.</w:t>
      </w:r>
    </w:p>
    <w:p w14:paraId="39234DED" w14:textId="77777777" w:rsidR="00424A60" w:rsidRPr="00791A3F" w:rsidRDefault="00424A60" w:rsidP="00791A3F">
      <w:pPr>
        <w:spacing w:line="360" w:lineRule="auto"/>
        <w:jc w:val="both"/>
        <w:rPr>
          <w:rFonts w:ascii="Arial" w:hAnsi="Arial" w:cs="Arial"/>
        </w:rPr>
      </w:pPr>
      <w:r w:rsidRPr="00791A3F">
        <w:rPr>
          <w:rFonts w:ascii="Arial" w:hAnsi="Arial" w:cs="Arial"/>
        </w:rPr>
        <w:t xml:space="preserve">Fourth, priorities that are new are not always included in the traditional CSR assessments. The materials of scope 3 emissions and circular economy, modern slavery effectiveness, public health, ultra-processed foods and pandemic resilience are growing (Balsam et al., 2025; Stevenson &amp; Cole, 2021; </w:t>
      </w:r>
      <w:proofErr w:type="spellStart"/>
      <w:r w:rsidRPr="00791A3F">
        <w:rPr>
          <w:rFonts w:ascii="Arial" w:hAnsi="Arial" w:cs="Arial"/>
        </w:rPr>
        <w:t>Scrinis</w:t>
      </w:r>
      <w:proofErr w:type="spellEnd"/>
      <w:r w:rsidRPr="00791A3F">
        <w:rPr>
          <w:rFonts w:ascii="Arial" w:hAnsi="Arial" w:cs="Arial"/>
        </w:rPr>
        <w:t xml:space="preserve"> &amp; Monteiro, 2025). They can be included to test how retailers have changed their operations or simply their CSR narrative.</w:t>
      </w:r>
    </w:p>
    <w:p w14:paraId="1A7160E8" w14:textId="77777777" w:rsidR="00424A60" w:rsidRPr="00791A3F" w:rsidRDefault="00424A60" w:rsidP="00791A3F">
      <w:pPr>
        <w:spacing w:line="360" w:lineRule="auto"/>
        <w:jc w:val="both"/>
        <w:rPr>
          <w:rFonts w:ascii="Arial" w:hAnsi="Arial" w:cs="Arial"/>
        </w:rPr>
      </w:pPr>
      <w:r w:rsidRPr="00791A3F">
        <w:rPr>
          <w:rFonts w:ascii="Arial" w:hAnsi="Arial" w:cs="Arial"/>
        </w:rPr>
        <w:t xml:space="preserve">Fifth, the studies in existence continue to be corporate disclosure driven. Such data will be useful but can result in the creation of self-serving stories (Hahn &amp; </w:t>
      </w:r>
      <w:proofErr w:type="spellStart"/>
      <w:r w:rsidRPr="00791A3F">
        <w:rPr>
          <w:rFonts w:ascii="Arial" w:hAnsi="Arial" w:cs="Arial"/>
        </w:rPr>
        <w:t>Kühnen</w:t>
      </w:r>
      <w:proofErr w:type="spellEnd"/>
      <w:r w:rsidRPr="00791A3F">
        <w:rPr>
          <w:rFonts w:ascii="Arial" w:hAnsi="Arial" w:cs="Arial"/>
        </w:rPr>
        <w:t xml:space="preserve">, 2013; </w:t>
      </w:r>
      <w:r w:rsidRPr="00791A3F">
        <w:rPr>
          <w:rFonts w:ascii="Arial" w:hAnsi="Arial" w:cs="Arial"/>
        </w:rPr>
        <w:lastRenderedPageBreak/>
        <w:t>Michelon et al., 2015). In this research, the answer is given in the form of triangulation with the support of independent assessments, the regulatory, evidence from civil society, and investigative reporting.</w:t>
      </w:r>
    </w:p>
    <w:p w14:paraId="0A9F55AA" w14:textId="77777777" w:rsidR="00424A60" w:rsidRPr="00791A3F" w:rsidRDefault="00424A60" w:rsidP="00791A3F">
      <w:pPr>
        <w:spacing w:line="360" w:lineRule="auto"/>
        <w:jc w:val="both"/>
        <w:rPr>
          <w:rFonts w:ascii="Arial" w:hAnsi="Arial" w:cs="Arial"/>
        </w:rPr>
      </w:pPr>
      <w:r w:rsidRPr="00791A3F">
        <w:rPr>
          <w:rFonts w:ascii="Arial" w:hAnsi="Arial" w:cs="Arial"/>
        </w:rPr>
        <w:t>When taken together, these gaps suggest a growing visibility, regulation and complexity of UK food retail CSR, which should not be taken as a proxy for authenticity. An unanswered question is if retailers have shifted to measurable, accountable, integrated and independently verifiable responsibility.</w:t>
      </w:r>
    </w:p>
    <w:p w14:paraId="1DA602C6" w14:textId="77777777" w:rsidR="00424A60" w:rsidRPr="00791A3F" w:rsidRDefault="00424A60" w:rsidP="00791A3F">
      <w:pPr>
        <w:pStyle w:val="Heading2"/>
        <w:spacing w:line="360" w:lineRule="auto"/>
        <w:rPr>
          <w:rFonts w:ascii="Arial" w:hAnsi="Arial" w:cs="Arial"/>
        </w:rPr>
      </w:pPr>
      <w:bookmarkStart w:id="36" w:name="_Toc237956892"/>
      <w:bookmarkStart w:id="37" w:name="_Toc238690172"/>
      <w:r w:rsidRPr="00791A3F">
        <w:rPr>
          <w:rFonts w:ascii="Arial" w:hAnsi="Arial" w:cs="Arial"/>
        </w:rPr>
        <w:t>2.4 Conceptual Framework</w:t>
      </w:r>
      <w:bookmarkEnd w:id="36"/>
      <w:bookmarkEnd w:id="37"/>
    </w:p>
    <w:p w14:paraId="04C51942" w14:textId="77777777" w:rsidR="00902E11" w:rsidRPr="00791A3F" w:rsidRDefault="00424A60" w:rsidP="00791A3F">
      <w:pPr>
        <w:spacing w:line="360" w:lineRule="auto"/>
        <w:jc w:val="both"/>
        <w:rPr>
          <w:rFonts w:ascii="Arial" w:hAnsi="Arial" w:cs="Arial"/>
        </w:rPr>
      </w:pPr>
      <w:r w:rsidRPr="00791A3F">
        <w:rPr>
          <w:rFonts w:ascii="Arial" w:hAnsi="Arial" w:cs="Arial"/>
        </w:rPr>
        <w:t>The conceptual framework of this study which is based on the theoretical foundations (stakeholder theory, institutional theory, shared value creation) and critical synthesis of empirical literature is presented in Figure 2.1, guiding the empirical investigation.</w:t>
      </w:r>
    </w:p>
    <w:p w14:paraId="1866BCB7" w14:textId="77777777" w:rsidR="00424A60" w:rsidRPr="00791A3F" w:rsidRDefault="00424A60" w:rsidP="00791A3F">
      <w:pPr>
        <w:spacing w:line="360" w:lineRule="auto"/>
        <w:jc w:val="both"/>
        <w:rPr>
          <w:rFonts w:ascii="Arial" w:hAnsi="Arial" w:cs="Arial"/>
        </w:rPr>
      </w:pPr>
      <w:r w:rsidRPr="00791A3F">
        <w:rPr>
          <w:rFonts w:ascii="Arial" w:hAnsi="Arial" w:cs="Arial"/>
          <w:noProof/>
        </w:rPr>
        <w:drawing>
          <wp:anchor distT="0" distB="0" distL="114300" distR="114300" simplePos="0" relativeHeight="251659264" behindDoc="1" locked="0" layoutInCell="1" allowOverlap="1" wp14:anchorId="0C8DDC0F" wp14:editId="0E894FA4">
            <wp:simplePos x="0" y="0"/>
            <wp:positionH relativeFrom="column">
              <wp:posOffset>361950</wp:posOffset>
            </wp:positionH>
            <wp:positionV relativeFrom="paragraph">
              <wp:posOffset>77470</wp:posOffset>
            </wp:positionV>
            <wp:extent cx="5549900" cy="4143925"/>
            <wp:effectExtent l="0" t="0" r="0" b="9525"/>
            <wp:wrapTight wrapText="bothSides">
              <wp:wrapPolygon edited="0">
                <wp:start x="0" y="0"/>
                <wp:lineTo x="0" y="21550"/>
                <wp:lineTo x="21501" y="21550"/>
                <wp:lineTo x="21501" y="0"/>
                <wp:lineTo x="0" y="0"/>
              </wp:wrapPolygon>
            </wp:wrapTight>
            <wp:docPr id="277428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428254" name="Picture 277428254"/>
                    <pic:cNvPicPr/>
                  </pic:nvPicPr>
                  <pic:blipFill>
                    <a:blip r:embed="rId57">
                      <a:extLst>
                        <a:ext uri="{28A0092B-C50C-407E-A947-70E740481C1C}">
                          <a14:useLocalDpi xmlns:a14="http://schemas.microsoft.com/office/drawing/2010/main" val="0"/>
                        </a:ext>
                      </a:extLst>
                    </a:blip>
                    <a:stretch>
                      <a:fillRect/>
                    </a:stretch>
                  </pic:blipFill>
                  <pic:spPr>
                    <a:xfrm>
                      <a:off x="0" y="0"/>
                      <a:ext cx="5549900" cy="4143925"/>
                    </a:xfrm>
                    <a:prstGeom prst="rect">
                      <a:avLst/>
                    </a:prstGeom>
                  </pic:spPr>
                </pic:pic>
              </a:graphicData>
            </a:graphic>
          </wp:anchor>
        </w:drawing>
      </w:r>
    </w:p>
    <w:p w14:paraId="386273C0" w14:textId="77777777" w:rsidR="00902E11" w:rsidRPr="00791A3F" w:rsidRDefault="00902E11" w:rsidP="00791A3F">
      <w:pPr>
        <w:spacing w:line="360" w:lineRule="auto"/>
        <w:ind w:left="3600" w:firstLine="720"/>
        <w:jc w:val="both"/>
        <w:rPr>
          <w:rFonts w:ascii="Arial" w:hAnsi="Arial" w:cs="Arial"/>
          <w:b/>
          <w:bCs/>
        </w:rPr>
      </w:pPr>
      <w:r w:rsidRPr="00791A3F">
        <w:rPr>
          <w:rFonts w:ascii="Arial" w:hAnsi="Arial" w:cs="Arial"/>
          <w:b/>
          <w:bCs/>
        </w:rPr>
        <w:t>Figure 2.1</w:t>
      </w:r>
    </w:p>
    <w:p w14:paraId="53FEB959" w14:textId="6E1965B1" w:rsidR="000C365D" w:rsidRPr="00791A3F" w:rsidRDefault="000C365D" w:rsidP="00791A3F">
      <w:pPr>
        <w:spacing w:line="360" w:lineRule="auto"/>
        <w:jc w:val="both"/>
        <w:rPr>
          <w:rFonts w:ascii="Arial" w:hAnsi="Arial" w:cs="Arial"/>
        </w:rPr>
      </w:pPr>
      <w:r w:rsidRPr="00791A3F">
        <w:rPr>
          <w:rFonts w:ascii="Arial" w:hAnsi="Arial" w:cs="Arial"/>
        </w:rPr>
        <w:lastRenderedPageBreak/>
        <w:t xml:space="preserve">The three theoretical perspectives that are the foundation of this study are brought together in Figure 2.1 and related to the empirical analysis of CSR. According to the Stakeholder approach, the power, legitimacy and urgency of stakeholders differ, and this impacts their ability to get the company to respond to their interests and expectations. Institutional theory is helpful in understanding why similar CSR policies, reporting and governance are likely to emerge in the presence of regulatory, normative, and competitive pressures, and can also provide some insight into why there might be symbolic compliance when there is less regulatory enforcement. The complementary perspective of shared value creation focuses on the potential for CSR to be embedded in business activities where there is the potential to create value both for the </w:t>
      </w:r>
      <w:proofErr w:type="spellStart"/>
      <w:r w:rsidRPr="00791A3F">
        <w:rPr>
          <w:rFonts w:ascii="Arial" w:hAnsi="Arial" w:cs="Arial"/>
        </w:rPr>
        <w:t>organisation</w:t>
      </w:r>
      <w:proofErr w:type="spellEnd"/>
      <w:r w:rsidRPr="00791A3F">
        <w:rPr>
          <w:rFonts w:ascii="Arial" w:hAnsi="Arial" w:cs="Arial"/>
        </w:rPr>
        <w:t xml:space="preserve"> and for society and/or the environment more broadly. The five dimensions of CSR, as defined by Jones et al. (2005): environmental management, ethical sourcing, employee welfare, community engagement and customer responsibility are used as the framework for the application of these theoretical perspectives. The framework then assesses the evidence on five criteria: verifiability, measurability, accountability, integration and comparability. The five principles of verifiability (independent evidence/assurance), measurability (quantification of targets and progress), accountability (governance and mechanisms for corrective action), integration (CSR integrated into operational decision and incentives) and comparability (consistent evidence across retailers and over time) are considered. These relationships constitute an analytical structure that allows for the distinction of substantive CSR integration from symbolic disclosure, and comparison of CSR development in various retail business models.</w:t>
      </w:r>
    </w:p>
    <w:p w14:paraId="2260547A" w14:textId="77777777" w:rsidR="004C58C6" w:rsidRPr="00791A3F" w:rsidRDefault="004C58C6" w:rsidP="00791A3F">
      <w:pPr>
        <w:pStyle w:val="Heading2"/>
        <w:spacing w:line="360" w:lineRule="auto"/>
        <w:rPr>
          <w:rFonts w:ascii="Arial" w:hAnsi="Arial" w:cs="Arial"/>
        </w:rPr>
      </w:pPr>
      <w:bookmarkStart w:id="38" w:name="_Toc237956893"/>
      <w:bookmarkStart w:id="39" w:name="_Toc238690173"/>
      <w:r w:rsidRPr="00791A3F">
        <w:rPr>
          <w:rFonts w:ascii="Arial" w:hAnsi="Arial" w:cs="Arial"/>
        </w:rPr>
        <w:t>2.5 Conclusion</w:t>
      </w:r>
      <w:bookmarkEnd w:id="38"/>
      <w:bookmarkEnd w:id="39"/>
    </w:p>
    <w:p w14:paraId="64958317" w14:textId="77777777" w:rsidR="004C58C6" w:rsidRPr="00791A3F" w:rsidRDefault="004C58C6" w:rsidP="00791A3F">
      <w:pPr>
        <w:spacing w:line="360" w:lineRule="auto"/>
        <w:jc w:val="both"/>
        <w:rPr>
          <w:rFonts w:ascii="Arial" w:hAnsi="Arial" w:cs="Arial"/>
        </w:rPr>
      </w:pPr>
      <w:r w:rsidRPr="00791A3F">
        <w:rPr>
          <w:rFonts w:ascii="Arial" w:hAnsi="Arial" w:cs="Arial"/>
        </w:rPr>
        <w:t xml:space="preserve">This literature review was designed to combine 50 academic papers which have explored the CSR development of UK food retail between 2005 and 2025. It brought together theories of stakeholder CSR, of institutions and of shared value to explain the adoption and implementation of CSR; examined substantive-symbolic CSR and greenwashing; explored influences of the business model; and assessed business model challenges of climate, modern slavery, circular economy and public health. Five research gaps were found, including a lack of longitudinal evidence, lack of business model comparison, weak </w:t>
      </w:r>
      <w:r w:rsidRPr="00791A3F">
        <w:rPr>
          <w:rFonts w:ascii="Arial" w:hAnsi="Arial" w:cs="Arial"/>
        </w:rPr>
        <w:lastRenderedPageBreak/>
        <w:t>operationalization of the authenticity of CSR, lack of inclusion of emerging priorities and over-reliance on corporate disclosures. The conceptual framework uses five criteria (verifiability, measurable, accountable, integrated, and comparable) and five dimensions of CSR that aids system empirical evaluation and evidence-based recommendations.</w:t>
      </w:r>
    </w:p>
    <w:p w14:paraId="56D30117" w14:textId="77777777" w:rsidR="004C58C6" w:rsidRPr="00791A3F" w:rsidRDefault="004C58C6" w:rsidP="00791A3F">
      <w:pPr>
        <w:spacing w:line="360" w:lineRule="auto"/>
        <w:jc w:val="both"/>
        <w:rPr>
          <w:rFonts w:ascii="Arial" w:hAnsi="Arial" w:cs="Arial"/>
          <w:b/>
          <w:bCs/>
        </w:rPr>
      </w:pPr>
      <w:r w:rsidRPr="00791A3F">
        <w:rPr>
          <w:rFonts w:ascii="Arial" w:hAnsi="Arial" w:cs="Arial"/>
          <w:b/>
          <w:bCs/>
        </w:rPr>
        <w:t> </w:t>
      </w:r>
    </w:p>
    <w:p w14:paraId="0F31E382" w14:textId="412C4B88" w:rsidR="003C2DA1" w:rsidRPr="00791A3F" w:rsidRDefault="003C2DA1" w:rsidP="00791A3F">
      <w:pPr>
        <w:pStyle w:val="Heading1"/>
        <w:spacing w:line="360" w:lineRule="auto"/>
        <w:rPr>
          <w:rFonts w:ascii="Arial" w:hAnsi="Arial" w:cs="Arial"/>
          <w:b/>
          <w:bCs/>
        </w:rPr>
      </w:pPr>
      <w:r w:rsidRPr="00791A3F">
        <w:rPr>
          <w:rFonts w:ascii="Arial" w:hAnsi="Arial" w:cs="Arial"/>
          <w:b/>
          <w:bCs/>
        </w:rPr>
        <w:br w:type="page"/>
      </w:r>
      <w:bookmarkStart w:id="40" w:name="_Toc237956894"/>
      <w:bookmarkStart w:id="41" w:name="_Toc238690174"/>
      <w:r w:rsidR="009F6D5A" w:rsidRPr="00791A3F">
        <w:rPr>
          <w:rFonts w:ascii="Arial" w:hAnsi="Arial" w:cs="Arial"/>
        </w:rPr>
        <w:lastRenderedPageBreak/>
        <w:t>Chapter 3: Research Methodology</w:t>
      </w:r>
      <w:bookmarkEnd w:id="40"/>
      <w:bookmarkEnd w:id="41"/>
    </w:p>
    <w:p w14:paraId="07F1BC7C" w14:textId="77777777" w:rsidR="004C58C6" w:rsidRPr="00791A3F" w:rsidRDefault="004C58C6" w:rsidP="00791A3F">
      <w:pPr>
        <w:pStyle w:val="Heading2"/>
        <w:spacing w:line="360" w:lineRule="auto"/>
        <w:rPr>
          <w:rFonts w:ascii="Arial" w:hAnsi="Arial" w:cs="Arial"/>
        </w:rPr>
      </w:pPr>
      <w:bookmarkStart w:id="42" w:name="_Toc237956895"/>
      <w:bookmarkStart w:id="43" w:name="_Toc238690175"/>
      <w:r w:rsidRPr="00791A3F">
        <w:rPr>
          <w:rFonts w:ascii="Arial" w:hAnsi="Arial" w:cs="Arial"/>
        </w:rPr>
        <w:t>3.1 Introduction</w:t>
      </w:r>
      <w:bookmarkEnd w:id="42"/>
      <w:bookmarkEnd w:id="43"/>
    </w:p>
    <w:p w14:paraId="5FD894BF" w14:textId="77777777" w:rsidR="004C58C6" w:rsidRPr="00791A3F" w:rsidRDefault="004C58C6" w:rsidP="00791A3F">
      <w:pPr>
        <w:spacing w:line="360" w:lineRule="auto"/>
        <w:jc w:val="both"/>
        <w:rPr>
          <w:rFonts w:ascii="Arial" w:hAnsi="Arial" w:cs="Arial"/>
        </w:rPr>
      </w:pPr>
      <w:r w:rsidRPr="00791A3F">
        <w:rPr>
          <w:rFonts w:ascii="Arial" w:hAnsi="Arial" w:cs="Arial"/>
        </w:rPr>
        <w:t>The chapter provides an explanation of the methodological approach adopted to examine how the Corporate Social Responsibility (CSR) develops within the UK food retail sector between 2005 and 2025 and justifies selection of the approach. The study aims to explore how the transition from symbolic to substantive CSR reporting involves substantive integration of CSR into the business activities, and to investigate how business models affect the depth and authenticity of CSR. It fills in the gap in the measurement of CSR from a long-term perspective, differentiation of business models, and the specification of substantive and symbolic CSR (Jones et al., 2005; Yang et al., 2025; Torelli et al., 2020).</w:t>
      </w:r>
    </w:p>
    <w:p w14:paraId="12CF49F7" w14:textId="77777777" w:rsidR="004C58C6" w:rsidRPr="00791A3F" w:rsidRDefault="004C58C6" w:rsidP="00791A3F">
      <w:pPr>
        <w:spacing w:line="360" w:lineRule="auto"/>
        <w:jc w:val="both"/>
        <w:rPr>
          <w:rFonts w:ascii="Arial" w:hAnsi="Arial" w:cs="Arial"/>
        </w:rPr>
      </w:pPr>
      <w:r w:rsidRPr="00791A3F">
        <w:rPr>
          <w:rFonts w:ascii="Arial" w:hAnsi="Arial" w:cs="Arial"/>
        </w:rPr>
        <w:t xml:space="preserve">The importance of </w:t>
      </w:r>
      <w:proofErr w:type="spellStart"/>
      <w:r w:rsidRPr="00791A3F">
        <w:rPr>
          <w:rFonts w:ascii="Arial" w:hAnsi="Arial" w:cs="Arial"/>
        </w:rPr>
        <w:t>rigour</w:t>
      </w:r>
      <w:proofErr w:type="spellEnd"/>
      <w:r w:rsidRPr="00791A3F">
        <w:rPr>
          <w:rFonts w:ascii="Arial" w:hAnsi="Arial" w:cs="Arial"/>
        </w:rPr>
        <w:t xml:space="preserve"> is that CSR is a social construct, it requires impression management, involves the interpretation of stakeholders and the gap between corporate discourse and operational reality (Saunders et al., 2019; Yin, 2018). The chapter covers the concepts of philosophy, design, data collection, analysis, trustworthiness, ethics and limitations.</w:t>
      </w:r>
    </w:p>
    <w:p w14:paraId="355555C2" w14:textId="77777777" w:rsidR="004C58C6" w:rsidRPr="00791A3F" w:rsidRDefault="004C58C6" w:rsidP="00791A3F">
      <w:pPr>
        <w:pStyle w:val="Heading2"/>
        <w:spacing w:line="360" w:lineRule="auto"/>
        <w:rPr>
          <w:rFonts w:ascii="Arial" w:hAnsi="Arial" w:cs="Arial"/>
        </w:rPr>
      </w:pPr>
      <w:bookmarkStart w:id="44" w:name="_Toc237956896"/>
      <w:bookmarkStart w:id="45" w:name="_Toc238690176"/>
      <w:r w:rsidRPr="00791A3F">
        <w:rPr>
          <w:rFonts w:ascii="Arial" w:hAnsi="Arial" w:cs="Arial"/>
        </w:rPr>
        <w:t>3.2 The present research adopts a qualitative research approach.</w:t>
      </w:r>
      <w:bookmarkEnd w:id="44"/>
      <w:bookmarkEnd w:id="45"/>
    </w:p>
    <w:p w14:paraId="25C7C2D4" w14:textId="77777777" w:rsidR="004C58C6" w:rsidRPr="00791A3F" w:rsidRDefault="004C58C6" w:rsidP="00791A3F">
      <w:pPr>
        <w:spacing w:line="360" w:lineRule="auto"/>
        <w:jc w:val="both"/>
        <w:rPr>
          <w:rFonts w:ascii="Arial" w:hAnsi="Arial" w:cs="Arial"/>
        </w:rPr>
      </w:pPr>
      <w:r w:rsidRPr="00791A3F">
        <w:rPr>
          <w:rFonts w:ascii="Arial" w:hAnsi="Arial" w:cs="Arial"/>
        </w:rPr>
        <w:t>Research philosophy includes epistemological, ontological and axiological beliefs about the development of knowledge (Saunders et al, 2019; Creswell &amp; Poth, 2018). The interpretivism approach is used in this study as CSR is a socially constructed phenomenon that is shaped by the expectations of its stakeholders, institutional pressures, organizational narratives and unclear conceptions of responsibility (Bansal &amp; Roth, 2000; Jamali &amp; Karam, 2018).</w:t>
      </w:r>
    </w:p>
    <w:p w14:paraId="7B8A0033" w14:textId="77777777" w:rsidR="004C58C6" w:rsidRPr="00791A3F" w:rsidRDefault="004C58C6" w:rsidP="00791A3F">
      <w:pPr>
        <w:pStyle w:val="Heading3"/>
        <w:spacing w:line="360" w:lineRule="auto"/>
        <w:rPr>
          <w:rFonts w:ascii="Arial" w:hAnsi="Arial" w:cs="Arial"/>
        </w:rPr>
      </w:pPr>
      <w:bookmarkStart w:id="46" w:name="_Toc237956897"/>
      <w:bookmarkStart w:id="47" w:name="_Toc238690177"/>
      <w:r w:rsidRPr="00791A3F">
        <w:rPr>
          <w:rFonts w:ascii="Arial" w:hAnsi="Arial" w:cs="Arial"/>
        </w:rPr>
        <w:t>3.2.1 Ontological Position</w:t>
      </w:r>
      <w:bookmarkEnd w:id="46"/>
      <w:bookmarkEnd w:id="47"/>
    </w:p>
    <w:p w14:paraId="7836A5C7" w14:textId="77777777" w:rsidR="004C58C6" w:rsidRPr="00791A3F" w:rsidRDefault="004C58C6" w:rsidP="00791A3F">
      <w:pPr>
        <w:spacing w:line="360" w:lineRule="auto"/>
        <w:jc w:val="both"/>
        <w:rPr>
          <w:rFonts w:ascii="Arial" w:hAnsi="Arial" w:cs="Arial"/>
        </w:rPr>
      </w:pPr>
      <w:r w:rsidRPr="00791A3F">
        <w:rPr>
          <w:rFonts w:ascii="Arial" w:hAnsi="Arial" w:cs="Arial"/>
        </w:rPr>
        <w:t xml:space="preserve">Ontology is related to ‘assumptions about reality’ (Saunders et al., 2019). The study's ontological approach is a relativist perspective where the meanings of CSR are derived from the interaction of the corporations, regulators, investors, civil society, consumers and employees (Gond et al., 2020; Berger &amp; </w:t>
      </w:r>
      <w:proofErr w:type="spellStart"/>
      <w:r w:rsidRPr="00791A3F">
        <w:rPr>
          <w:rFonts w:ascii="Arial" w:hAnsi="Arial" w:cs="Arial"/>
        </w:rPr>
        <w:t>Luckmann</w:t>
      </w:r>
      <w:proofErr w:type="spellEnd"/>
      <w:r w:rsidRPr="00791A3F">
        <w:rPr>
          <w:rFonts w:ascii="Arial" w:hAnsi="Arial" w:cs="Arial"/>
        </w:rPr>
        <w:t xml:space="preserve">, 1966). The concept of substantive </w:t>
      </w:r>
      <w:r w:rsidRPr="00791A3F">
        <w:rPr>
          <w:rFonts w:ascii="Arial" w:hAnsi="Arial" w:cs="Arial"/>
        </w:rPr>
        <w:lastRenderedPageBreak/>
        <w:t>versus symbolic CSR relies on what the stakeholders expect in the context, and institutional norms (Walker &amp; Wan, 2012; Yang et al., 2025).</w:t>
      </w:r>
    </w:p>
    <w:p w14:paraId="6382A9DE" w14:textId="77777777" w:rsidR="004C58C6" w:rsidRPr="00791A3F" w:rsidRDefault="004C58C6" w:rsidP="00791A3F">
      <w:pPr>
        <w:spacing w:line="360" w:lineRule="auto"/>
        <w:jc w:val="both"/>
        <w:rPr>
          <w:rFonts w:ascii="Arial" w:hAnsi="Arial" w:cs="Arial"/>
        </w:rPr>
      </w:pPr>
      <w:r w:rsidRPr="00791A3F">
        <w:rPr>
          <w:rFonts w:ascii="Arial" w:hAnsi="Arial" w:cs="Arial"/>
        </w:rPr>
        <w:t xml:space="preserve">For instance, a modern slavery statement could meet legal requirements but seem to be a purely symbolic gesture to </w:t>
      </w:r>
      <w:proofErr w:type="spellStart"/>
      <w:r w:rsidRPr="00791A3F">
        <w:rPr>
          <w:rFonts w:ascii="Arial" w:hAnsi="Arial" w:cs="Arial"/>
        </w:rPr>
        <w:t>labour</w:t>
      </w:r>
      <w:proofErr w:type="spellEnd"/>
      <w:r w:rsidRPr="00791A3F">
        <w:rPr>
          <w:rFonts w:ascii="Arial" w:hAnsi="Arial" w:cs="Arial"/>
        </w:rPr>
        <w:t xml:space="preserve"> rights groups if there is no remediation of workers (Stevenson &amp; Cole, 2021; LeBaron et al., 2021). Likewise, if Scope 3 targets are missing, TCFD reporting could still be considered greenwashing and receive criticism for this (Bingler et al., 2023). In this sense, relativism takes CSR authenticity as being contestable and </w:t>
      </w:r>
      <w:proofErr w:type="spellStart"/>
      <w:r w:rsidRPr="00791A3F">
        <w:rPr>
          <w:rFonts w:ascii="Arial" w:hAnsi="Arial" w:cs="Arial"/>
        </w:rPr>
        <w:t>not</w:t>
      </w:r>
      <w:proofErr w:type="spellEnd"/>
      <w:r w:rsidRPr="00791A3F">
        <w:rPr>
          <w:rFonts w:ascii="Arial" w:hAnsi="Arial" w:cs="Arial"/>
        </w:rPr>
        <w:t xml:space="preserve"> single or unique, as it is with Torelli et al. (2020) and Sharma et al. (2024).</w:t>
      </w:r>
    </w:p>
    <w:p w14:paraId="26BB9D1D" w14:textId="77777777" w:rsidR="004C58C6" w:rsidRPr="00791A3F" w:rsidRDefault="004C58C6" w:rsidP="00791A3F">
      <w:pPr>
        <w:spacing w:line="360" w:lineRule="auto"/>
        <w:jc w:val="both"/>
        <w:rPr>
          <w:rFonts w:ascii="Arial" w:hAnsi="Arial" w:cs="Arial"/>
        </w:rPr>
      </w:pPr>
      <w:r w:rsidRPr="00791A3F">
        <w:rPr>
          <w:rFonts w:ascii="Arial" w:hAnsi="Arial" w:cs="Arial"/>
        </w:rPr>
        <w:t>When one believes in relativism, this does not imply that anything is true. Specific criteria need to be used in the same manner. The evaluative basis is that of the five criteria of chapter 2.</w:t>
      </w:r>
    </w:p>
    <w:p w14:paraId="068737DB" w14:textId="77777777" w:rsidR="004C58C6" w:rsidRPr="00791A3F" w:rsidRDefault="004C58C6" w:rsidP="00791A3F">
      <w:pPr>
        <w:pStyle w:val="Heading3"/>
        <w:spacing w:line="360" w:lineRule="auto"/>
        <w:rPr>
          <w:rFonts w:ascii="Arial" w:hAnsi="Arial" w:cs="Arial"/>
        </w:rPr>
      </w:pPr>
      <w:bookmarkStart w:id="48" w:name="_Toc237956898"/>
      <w:bookmarkStart w:id="49" w:name="_Toc238690178"/>
      <w:r w:rsidRPr="00791A3F">
        <w:rPr>
          <w:rFonts w:ascii="Arial" w:hAnsi="Arial" w:cs="Arial"/>
        </w:rPr>
        <w:t>3.2.2 Epistemological Position</w:t>
      </w:r>
      <w:bookmarkEnd w:id="48"/>
      <w:bookmarkEnd w:id="49"/>
    </w:p>
    <w:p w14:paraId="0C7689A1" w14:textId="77777777" w:rsidR="004C58C6" w:rsidRPr="00791A3F" w:rsidRDefault="004C58C6" w:rsidP="00791A3F">
      <w:pPr>
        <w:spacing w:line="360" w:lineRule="auto"/>
        <w:jc w:val="both"/>
        <w:rPr>
          <w:rFonts w:ascii="Arial" w:hAnsi="Arial" w:cs="Arial"/>
        </w:rPr>
      </w:pPr>
      <w:r w:rsidRPr="00791A3F">
        <w:rPr>
          <w:rFonts w:ascii="Arial" w:hAnsi="Arial" w:cs="Arial"/>
        </w:rPr>
        <w:t xml:space="preserve">Epistemology is related to the process of generating and confirming knowledge (Saunders et al., 2019; Creswell &amp; Poth, 2018). The study is conducted using a subjectivist approach which is in line with interpretivism. It is important to interpret CSR evolution in the light of stakeholder judgements on CSR, institutional settings, and CSR in </w:t>
      </w:r>
      <w:proofErr w:type="spellStart"/>
      <w:r w:rsidRPr="00791A3F">
        <w:rPr>
          <w:rFonts w:ascii="Arial" w:hAnsi="Arial" w:cs="Arial"/>
        </w:rPr>
        <w:t>organisations</w:t>
      </w:r>
      <w:proofErr w:type="spellEnd"/>
      <w:r w:rsidRPr="00791A3F">
        <w:rPr>
          <w:rFonts w:ascii="Arial" w:hAnsi="Arial" w:cs="Arial"/>
        </w:rPr>
        <w:t>, as such, CSR is not entirely objective and measurable (Guba &amp; Lincoln, 1994). The researcher thus serves as an interpreter, developing knowledge as he or she systematically interacts with a variety of sources and theoretical criteria (Braun &amp; Clarke, 2006).</w:t>
      </w:r>
    </w:p>
    <w:p w14:paraId="3A8A9A63" w14:textId="77777777" w:rsidR="004C58C6" w:rsidRPr="00791A3F" w:rsidRDefault="004C58C6" w:rsidP="00791A3F">
      <w:pPr>
        <w:spacing w:line="360" w:lineRule="auto"/>
        <w:jc w:val="both"/>
        <w:rPr>
          <w:rFonts w:ascii="Arial" w:hAnsi="Arial" w:cs="Arial"/>
        </w:rPr>
      </w:pPr>
      <w:r w:rsidRPr="00791A3F">
        <w:rPr>
          <w:rFonts w:ascii="Arial" w:hAnsi="Arial" w:cs="Arial"/>
        </w:rPr>
        <w:t xml:space="preserve">This is unlike </w:t>
      </w:r>
      <w:proofErr w:type="gramStart"/>
      <w:r w:rsidRPr="00791A3F">
        <w:rPr>
          <w:rFonts w:ascii="Arial" w:hAnsi="Arial" w:cs="Arial"/>
        </w:rPr>
        <w:t>positivist based</w:t>
      </w:r>
      <w:proofErr w:type="gramEnd"/>
      <w:r w:rsidRPr="00791A3F">
        <w:rPr>
          <w:rFonts w:ascii="Arial" w:hAnsi="Arial" w:cs="Arial"/>
        </w:rPr>
        <w:t xml:space="preserve"> methodologies on ESG scores or disclosure indices. These are indicators but not substantive CSR as the depth of implementation or integration in the operations may not be reflected in numerical scores (Michelon et al., 2015; Font et al., 2016). </w:t>
      </w:r>
      <w:proofErr w:type="spellStart"/>
      <w:r w:rsidRPr="00791A3F">
        <w:rPr>
          <w:rFonts w:ascii="Arial" w:hAnsi="Arial" w:cs="Arial"/>
        </w:rPr>
        <w:t>Labour</w:t>
      </w:r>
      <w:proofErr w:type="spellEnd"/>
      <w:r w:rsidRPr="00791A3F">
        <w:rPr>
          <w:rFonts w:ascii="Arial" w:hAnsi="Arial" w:cs="Arial"/>
        </w:rPr>
        <w:t xml:space="preserve"> exploitation or greenwashing can be combined with a strong ESG rating (Christensen et al., 2021; </w:t>
      </w:r>
      <w:proofErr w:type="spellStart"/>
      <w:r w:rsidRPr="00791A3F">
        <w:rPr>
          <w:rFonts w:ascii="Arial" w:hAnsi="Arial" w:cs="Arial"/>
        </w:rPr>
        <w:t>Citterio</w:t>
      </w:r>
      <w:proofErr w:type="spellEnd"/>
      <w:r w:rsidRPr="00791A3F">
        <w:rPr>
          <w:rFonts w:ascii="Arial" w:hAnsi="Arial" w:cs="Arial"/>
        </w:rPr>
        <w:t xml:space="preserve"> &amp; King, 2024).</w:t>
      </w:r>
    </w:p>
    <w:p w14:paraId="7251AAF1" w14:textId="77777777" w:rsidR="004C58C6" w:rsidRPr="00791A3F" w:rsidRDefault="004C58C6" w:rsidP="00791A3F">
      <w:pPr>
        <w:spacing w:line="360" w:lineRule="auto"/>
        <w:jc w:val="both"/>
        <w:rPr>
          <w:rFonts w:ascii="Arial" w:hAnsi="Arial" w:cs="Arial"/>
        </w:rPr>
      </w:pPr>
      <w:r w:rsidRPr="00791A3F">
        <w:rPr>
          <w:rFonts w:ascii="Arial" w:hAnsi="Arial" w:cs="Arial"/>
        </w:rPr>
        <w:t>Interpretivism is thus an appropriate paradigm because it focuses on changes in the nature of CSR over time, and on how claims are interpreted by stakeholders and/or whether there is operational evidence for the corporation's claims (Yin, 2018; Stake, 1995).</w:t>
      </w:r>
    </w:p>
    <w:p w14:paraId="4217DDBB" w14:textId="77777777" w:rsidR="00E72FD7" w:rsidRPr="00791A3F" w:rsidRDefault="00E72FD7" w:rsidP="00791A3F">
      <w:pPr>
        <w:pStyle w:val="Heading3"/>
        <w:spacing w:line="360" w:lineRule="auto"/>
        <w:rPr>
          <w:rFonts w:ascii="Arial" w:hAnsi="Arial" w:cs="Arial"/>
        </w:rPr>
      </w:pPr>
      <w:bookmarkStart w:id="50" w:name="_Toc237956899"/>
      <w:bookmarkStart w:id="51" w:name="_Toc238690179"/>
      <w:r w:rsidRPr="00791A3F">
        <w:rPr>
          <w:rFonts w:ascii="Arial" w:hAnsi="Arial" w:cs="Arial"/>
        </w:rPr>
        <w:lastRenderedPageBreak/>
        <w:t>3.2.3 Axiological Position</w:t>
      </w:r>
      <w:bookmarkEnd w:id="50"/>
      <w:bookmarkEnd w:id="51"/>
    </w:p>
    <w:p w14:paraId="28A22447" w14:textId="77777777" w:rsidR="000A3C77" w:rsidRPr="00791A3F" w:rsidRDefault="000A3C77" w:rsidP="00791A3F">
      <w:pPr>
        <w:spacing w:line="360" w:lineRule="auto"/>
        <w:jc w:val="both"/>
        <w:rPr>
          <w:rFonts w:ascii="Arial" w:hAnsi="Arial" w:cs="Arial"/>
        </w:rPr>
      </w:pPr>
      <w:r w:rsidRPr="00791A3F">
        <w:rPr>
          <w:rFonts w:ascii="Arial" w:hAnsi="Arial" w:cs="Arial"/>
        </w:rPr>
        <w:t xml:space="preserve">Axiology is related to the values in research (Saunders et al., 2019). There are normative judgments on the part of the evaluator in the areas of responsibility, transparency and accountability when assessing CSR authenticity (Torelli et al., 2020; Yang et al., 2025). The study thus </w:t>
      </w:r>
      <w:proofErr w:type="spellStart"/>
      <w:r w:rsidRPr="00791A3F">
        <w:rPr>
          <w:rFonts w:ascii="Arial" w:hAnsi="Arial" w:cs="Arial"/>
        </w:rPr>
        <w:t>recognises</w:t>
      </w:r>
      <w:proofErr w:type="spellEnd"/>
      <w:r w:rsidRPr="00791A3F">
        <w:rPr>
          <w:rFonts w:ascii="Arial" w:hAnsi="Arial" w:cs="Arial"/>
        </w:rPr>
        <w:t xml:space="preserve"> a commitment to making a real difference in achieving sustainability transformation, rather than simply impression management, in line with the stakeholder perspective (Freeman et al. 2020; Sharma et al. 2024).</w:t>
      </w:r>
    </w:p>
    <w:p w14:paraId="6F568D5C" w14:textId="77777777" w:rsidR="000A3C77" w:rsidRPr="00791A3F" w:rsidRDefault="000A3C77" w:rsidP="00791A3F">
      <w:pPr>
        <w:spacing w:line="360" w:lineRule="auto"/>
        <w:jc w:val="both"/>
        <w:rPr>
          <w:rFonts w:ascii="Arial" w:hAnsi="Arial" w:cs="Arial"/>
        </w:rPr>
      </w:pPr>
      <w:proofErr w:type="spellStart"/>
      <w:r w:rsidRPr="00791A3F">
        <w:rPr>
          <w:rFonts w:ascii="Arial" w:hAnsi="Arial" w:cs="Arial"/>
        </w:rPr>
        <w:t>Rigour</w:t>
      </w:r>
      <w:proofErr w:type="spellEnd"/>
      <w:r w:rsidRPr="00791A3F">
        <w:rPr>
          <w:rFonts w:ascii="Arial" w:hAnsi="Arial" w:cs="Arial"/>
        </w:rPr>
        <w:t xml:space="preserve"> does not take the place of being aware of value. Criteria are clear, evidence is triangulated, decisions are recorded and interpretations are theoretically based (Lincoln &amp; Guba, 1985). Positionality of researchers is acknowledged through reflexivity (Braun &amp; Clarke, 2006).</w:t>
      </w:r>
    </w:p>
    <w:p w14:paraId="6679ECE5" w14:textId="77777777" w:rsidR="00E72FD7" w:rsidRPr="00791A3F" w:rsidRDefault="00E72FD7" w:rsidP="00791A3F">
      <w:pPr>
        <w:pStyle w:val="Heading3"/>
        <w:spacing w:line="360" w:lineRule="auto"/>
        <w:rPr>
          <w:rFonts w:ascii="Arial" w:hAnsi="Arial" w:cs="Arial"/>
        </w:rPr>
      </w:pPr>
      <w:bookmarkStart w:id="52" w:name="_Toc237956900"/>
      <w:bookmarkStart w:id="53" w:name="_Toc238690180"/>
      <w:r w:rsidRPr="00791A3F">
        <w:rPr>
          <w:rFonts w:ascii="Arial" w:hAnsi="Arial" w:cs="Arial"/>
        </w:rPr>
        <w:t>3.2.4 Justification of Interpretivism</w:t>
      </w:r>
      <w:bookmarkEnd w:id="52"/>
      <w:bookmarkEnd w:id="53"/>
    </w:p>
    <w:p w14:paraId="6E81EB60" w14:textId="77777777" w:rsidR="00F62881" w:rsidRPr="00791A3F" w:rsidRDefault="00F62881" w:rsidP="00791A3F">
      <w:pPr>
        <w:spacing w:line="360" w:lineRule="auto"/>
        <w:jc w:val="both"/>
        <w:rPr>
          <w:rFonts w:ascii="Arial" w:hAnsi="Arial" w:cs="Arial"/>
        </w:rPr>
      </w:pPr>
      <w:r w:rsidRPr="00791A3F">
        <w:rPr>
          <w:rFonts w:ascii="Arial" w:hAnsi="Arial" w:cs="Arial"/>
        </w:rPr>
        <w:t xml:space="preserve">There are three reasons justifying the use of interpretivism. The treatment of CSR is not only positivist as it is influenced by the culture, regulation, stakeholder expectations and competition, (Bansal &amp; Roth, 2000; Jamali &amp; Karam, 2018). Second, the study is concerned with the contextual nature of business models, institutional pressures and the temporal nature of change – not statistical breadth – for it is the authentic nature of CSR that is at stake (Yin, 2018; Stake, 1995). </w:t>
      </w:r>
      <w:r w:rsidR="00D60E1E" w:rsidRPr="00791A3F">
        <w:rPr>
          <w:rFonts w:ascii="Arial" w:hAnsi="Arial" w:cs="Arial"/>
        </w:rPr>
        <w:t>Third, substantive-symbolic differences are based on the qualitative evidence of governance, stakeholder engagement, verification and operational integration (Walker and Wan, 2012; Yang et al., 2025).</w:t>
      </w:r>
    </w:p>
    <w:p w14:paraId="092FA815" w14:textId="77777777" w:rsidR="00F62881" w:rsidRPr="00791A3F" w:rsidRDefault="00F62881" w:rsidP="00791A3F">
      <w:pPr>
        <w:spacing w:line="360" w:lineRule="auto"/>
        <w:jc w:val="both"/>
        <w:rPr>
          <w:rFonts w:ascii="Arial" w:hAnsi="Arial" w:cs="Arial"/>
        </w:rPr>
      </w:pPr>
      <w:r w:rsidRPr="00791A3F">
        <w:rPr>
          <w:rFonts w:ascii="Arial" w:hAnsi="Arial" w:cs="Arial"/>
        </w:rPr>
        <w:t xml:space="preserve">The solution was rejected – positivism – as a way to avoid this contextual interpretation, but to do so would limit the power of statistical </w:t>
      </w:r>
      <w:proofErr w:type="spellStart"/>
      <w:r w:rsidRPr="00791A3F">
        <w:rPr>
          <w:rFonts w:ascii="Arial" w:hAnsi="Arial" w:cs="Arial"/>
        </w:rPr>
        <w:t>generalisation</w:t>
      </w:r>
      <w:proofErr w:type="spellEnd"/>
      <w:r w:rsidRPr="00791A3F">
        <w:rPr>
          <w:rFonts w:ascii="Arial" w:hAnsi="Arial" w:cs="Arial"/>
        </w:rPr>
        <w:t xml:space="preserve">. More flexibility is offered by pragmatism, however this study's focus on stakeholders is not as explicit in its interpretation as would be found in critical realism, which highlights causal mechanisms to a greater extent than this stakeholder </w:t>
      </w:r>
      <w:proofErr w:type="spellStart"/>
      <w:r w:rsidRPr="00791A3F">
        <w:rPr>
          <w:rFonts w:ascii="Arial" w:hAnsi="Arial" w:cs="Arial"/>
        </w:rPr>
        <w:t>centred</w:t>
      </w:r>
      <w:proofErr w:type="spellEnd"/>
      <w:r w:rsidRPr="00791A3F">
        <w:rPr>
          <w:rFonts w:ascii="Arial" w:hAnsi="Arial" w:cs="Arial"/>
        </w:rPr>
        <w:t xml:space="preserve"> study (Creswell &amp; Poth, 2018; Saunders et al., 2019).</w:t>
      </w:r>
    </w:p>
    <w:p w14:paraId="044FD7D1" w14:textId="77777777" w:rsidR="00E72FD7" w:rsidRPr="00791A3F" w:rsidRDefault="00E72FD7" w:rsidP="00791A3F">
      <w:pPr>
        <w:pStyle w:val="Heading2"/>
        <w:spacing w:line="360" w:lineRule="auto"/>
        <w:rPr>
          <w:rFonts w:ascii="Arial" w:hAnsi="Arial" w:cs="Arial"/>
        </w:rPr>
      </w:pPr>
      <w:bookmarkStart w:id="54" w:name="_Toc237956901"/>
      <w:bookmarkStart w:id="55" w:name="_Toc238690181"/>
      <w:r w:rsidRPr="00791A3F">
        <w:rPr>
          <w:rFonts w:ascii="Arial" w:hAnsi="Arial" w:cs="Arial"/>
        </w:rPr>
        <w:lastRenderedPageBreak/>
        <w:t>3.3 Research Design</w:t>
      </w:r>
      <w:bookmarkEnd w:id="54"/>
      <w:bookmarkEnd w:id="55"/>
    </w:p>
    <w:p w14:paraId="06172A85" w14:textId="77777777" w:rsidR="00B772C6" w:rsidRPr="00791A3F" w:rsidRDefault="00B772C6" w:rsidP="00791A3F">
      <w:pPr>
        <w:spacing w:line="360" w:lineRule="auto"/>
        <w:jc w:val="both"/>
        <w:rPr>
          <w:rFonts w:ascii="Arial" w:hAnsi="Arial" w:cs="Arial"/>
        </w:rPr>
      </w:pPr>
      <w:r w:rsidRPr="00791A3F">
        <w:rPr>
          <w:rFonts w:ascii="Arial" w:hAnsi="Arial" w:cs="Arial"/>
        </w:rPr>
        <w:t>The design for the study is multiple case study using qualitative approach as proposed by Yin (2018) and Stake (1995). Case studies are appropriate for how-and-why questions in real world situations; they allow for the use of many evidence sources – Yin, 2018, Eisenhardt, 1989.</w:t>
      </w:r>
    </w:p>
    <w:p w14:paraId="41C6EFA2" w14:textId="77777777" w:rsidR="00E72FD7" w:rsidRPr="00791A3F" w:rsidRDefault="00E72FD7" w:rsidP="00791A3F">
      <w:pPr>
        <w:pStyle w:val="Heading3"/>
        <w:spacing w:line="360" w:lineRule="auto"/>
        <w:rPr>
          <w:rFonts w:ascii="Arial" w:hAnsi="Arial" w:cs="Arial"/>
        </w:rPr>
      </w:pPr>
      <w:bookmarkStart w:id="56" w:name="_Toc237956902"/>
      <w:bookmarkStart w:id="57" w:name="_Toc238690182"/>
      <w:r w:rsidRPr="00791A3F">
        <w:rPr>
          <w:rFonts w:ascii="Arial" w:hAnsi="Arial" w:cs="Arial"/>
        </w:rPr>
        <w:t>3.3.1 Justification of Case Study Design</w:t>
      </w:r>
      <w:bookmarkEnd w:id="56"/>
      <w:bookmarkEnd w:id="57"/>
    </w:p>
    <w:p w14:paraId="07E3DFFD" w14:textId="77777777" w:rsidR="00B772C6" w:rsidRPr="00791A3F" w:rsidRDefault="00B772C6" w:rsidP="00791A3F">
      <w:pPr>
        <w:spacing w:line="360" w:lineRule="auto"/>
        <w:jc w:val="both"/>
        <w:rPr>
          <w:rFonts w:ascii="Arial" w:hAnsi="Arial" w:cs="Arial"/>
        </w:rPr>
      </w:pPr>
      <w:r w:rsidRPr="00791A3F">
        <w:rPr>
          <w:rFonts w:ascii="Arial" w:hAnsi="Arial" w:cs="Arial"/>
        </w:rPr>
        <w:t xml:space="preserve">There are four requirements that are met by the design. First, it is important to have a longitudinal </w:t>
      </w:r>
      <w:proofErr w:type="spellStart"/>
      <w:r w:rsidRPr="00791A3F">
        <w:rPr>
          <w:rFonts w:ascii="Arial" w:hAnsi="Arial" w:cs="Arial"/>
        </w:rPr>
        <w:t>organisational</w:t>
      </w:r>
      <w:proofErr w:type="spellEnd"/>
      <w:r w:rsidRPr="00791A3F">
        <w:rPr>
          <w:rFonts w:ascii="Arial" w:hAnsi="Arial" w:cs="Arial"/>
        </w:rPr>
        <w:t xml:space="preserve"> analysis (Yin, 2018) to look into the evolution of CSR. Second, evidence for substantive and symbolic practices must be found in the areas of governance, reporting, engagement and implementation (Eisenhardt &amp; Graebner, 2007). Thirdly, business-model influence needs to be related to ownership and competitive types (Stake, 1995). Fourthly, CSR is integrated into the regulations, suppliers and stakeholder activism (Yin, 2018).</w:t>
      </w:r>
    </w:p>
    <w:p w14:paraId="4C14A0FC" w14:textId="77777777" w:rsidR="00B772C6" w:rsidRPr="00791A3F" w:rsidRDefault="00B772C6" w:rsidP="00791A3F">
      <w:pPr>
        <w:spacing w:line="360" w:lineRule="auto"/>
        <w:jc w:val="both"/>
        <w:rPr>
          <w:rFonts w:ascii="Arial" w:hAnsi="Arial" w:cs="Arial"/>
        </w:rPr>
      </w:pPr>
      <w:r w:rsidRPr="00791A3F">
        <w:rPr>
          <w:rFonts w:ascii="Arial" w:hAnsi="Arial" w:cs="Arial"/>
        </w:rPr>
        <w:t xml:space="preserve">Multiple cases can be used to </w:t>
      </w:r>
      <w:proofErr w:type="spellStart"/>
      <w:r w:rsidRPr="00791A3F">
        <w:rPr>
          <w:rFonts w:ascii="Arial" w:hAnsi="Arial" w:cs="Arial"/>
        </w:rPr>
        <w:t>generalise</w:t>
      </w:r>
      <w:proofErr w:type="spellEnd"/>
      <w:r w:rsidRPr="00791A3F">
        <w:rPr>
          <w:rFonts w:ascii="Arial" w:hAnsi="Arial" w:cs="Arial"/>
        </w:rPr>
        <w:t xml:space="preserve"> analytically via pattern matching and/or theoretical replication. The same results are likely to be found in other mainstream supermarkets, and variations could be found in the different discount and cooperative stores (Yin, 2018; Eisenhardt, 1989). The intent therefore is not to make a statistical </w:t>
      </w:r>
      <w:proofErr w:type="spellStart"/>
      <w:r w:rsidRPr="00791A3F">
        <w:rPr>
          <w:rFonts w:ascii="Arial" w:hAnsi="Arial" w:cs="Arial"/>
        </w:rPr>
        <w:t>generalisation</w:t>
      </w:r>
      <w:proofErr w:type="spellEnd"/>
      <w:r w:rsidRPr="00791A3F">
        <w:rPr>
          <w:rFonts w:ascii="Arial" w:hAnsi="Arial" w:cs="Arial"/>
        </w:rPr>
        <w:t xml:space="preserve"> (Eisenhardt &amp; Graebner, 2007), but to provide a theoretical explanation.</w:t>
      </w:r>
    </w:p>
    <w:p w14:paraId="3339C126" w14:textId="77777777" w:rsidR="000C365D" w:rsidRPr="00791A3F" w:rsidRDefault="000C365D" w:rsidP="00791A3F">
      <w:pPr>
        <w:spacing w:line="360" w:lineRule="auto"/>
        <w:jc w:val="both"/>
        <w:rPr>
          <w:rFonts w:ascii="Arial" w:hAnsi="Arial" w:cs="Arial"/>
        </w:rPr>
      </w:pPr>
      <w:bookmarkStart w:id="58" w:name="_Toc237956903"/>
      <w:bookmarkEnd w:id="58"/>
      <w:r w:rsidRPr="00791A3F">
        <w:rPr>
          <w:rFonts w:ascii="Arial" w:hAnsi="Arial" w:cs="Arial"/>
        </w:rPr>
        <w:t xml:space="preserve">Seven cases were purposely chosen and covered three business models for the UK food retailers in the study. In case research it is important to select information-rich </w:t>
      </w:r>
      <w:proofErr w:type="spellStart"/>
      <w:r w:rsidRPr="00791A3F">
        <w:rPr>
          <w:rFonts w:ascii="Arial" w:hAnsi="Arial" w:cs="Arial"/>
        </w:rPr>
        <w:t>organisations</w:t>
      </w:r>
      <w:proofErr w:type="spellEnd"/>
      <w:r w:rsidRPr="00791A3F">
        <w:rPr>
          <w:rFonts w:ascii="Arial" w:hAnsi="Arial" w:cs="Arial"/>
        </w:rPr>
        <w:t xml:space="preserve"> and not a sample of statistically representative random </w:t>
      </w:r>
      <w:proofErr w:type="spellStart"/>
      <w:r w:rsidRPr="00791A3F">
        <w:rPr>
          <w:rFonts w:ascii="Arial" w:hAnsi="Arial" w:cs="Arial"/>
        </w:rPr>
        <w:t>organisations</w:t>
      </w:r>
      <w:proofErr w:type="spellEnd"/>
      <w:r w:rsidRPr="00791A3F">
        <w:rPr>
          <w:rFonts w:ascii="Arial" w:hAnsi="Arial" w:cs="Arial"/>
        </w:rPr>
        <w:t xml:space="preserve"> (Patton, 2015; Yin, 2018), and this can be achieved by using purposive sampling.</w:t>
      </w:r>
    </w:p>
    <w:p w14:paraId="577FE0BA" w14:textId="4A658204" w:rsidR="00822698" w:rsidRPr="00791A3F" w:rsidRDefault="00822698" w:rsidP="00791A3F">
      <w:pPr>
        <w:spacing w:line="360" w:lineRule="auto"/>
        <w:jc w:val="both"/>
        <w:rPr>
          <w:rFonts w:ascii="Arial" w:hAnsi="Arial" w:cs="Arial"/>
        </w:rPr>
      </w:pPr>
      <w:r w:rsidRPr="00791A3F">
        <w:rPr>
          <w:rFonts w:ascii="Arial" w:hAnsi="Arial" w:cs="Arial"/>
        </w:rPr>
        <w:t xml:space="preserve">The UK food retailers selected for the study included six purposively selected, representing three business models. Purposive sampling is suitable for case research as it is important to select information-rich </w:t>
      </w:r>
      <w:proofErr w:type="spellStart"/>
      <w:r w:rsidRPr="00791A3F">
        <w:rPr>
          <w:rFonts w:ascii="Arial" w:hAnsi="Arial" w:cs="Arial"/>
        </w:rPr>
        <w:t>organisations</w:t>
      </w:r>
      <w:proofErr w:type="spellEnd"/>
      <w:r w:rsidRPr="00791A3F">
        <w:rPr>
          <w:rFonts w:ascii="Arial" w:hAnsi="Arial" w:cs="Arial"/>
        </w:rPr>
        <w:t xml:space="preserve"> that correspond to the research questions in contrast to a sample of statistically representative random </w:t>
      </w:r>
      <w:proofErr w:type="spellStart"/>
      <w:r w:rsidRPr="00791A3F">
        <w:rPr>
          <w:rFonts w:ascii="Arial" w:hAnsi="Arial" w:cs="Arial"/>
        </w:rPr>
        <w:t>organisations</w:t>
      </w:r>
      <w:proofErr w:type="spellEnd"/>
      <w:r w:rsidRPr="00791A3F">
        <w:rPr>
          <w:rFonts w:ascii="Arial" w:hAnsi="Arial" w:cs="Arial"/>
        </w:rPr>
        <w:t xml:space="preserve"> (Patton, 2015; Yin, 2018).</w:t>
      </w:r>
    </w:p>
    <w:p w14:paraId="5FDD3727" w14:textId="77777777" w:rsidR="00822698" w:rsidRPr="00791A3F" w:rsidRDefault="00822698" w:rsidP="00791A3F">
      <w:pPr>
        <w:spacing w:line="360" w:lineRule="auto"/>
        <w:jc w:val="both"/>
        <w:rPr>
          <w:rFonts w:ascii="Arial" w:hAnsi="Arial" w:cs="Arial"/>
        </w:rPr>
      </w:pPr>
      <w:r w:rsidRPr="00791A3F">
        <w:rPr>
          <w:rFonts w:ascii="Arial" w:hAnsi="Arial" w:cs="Arial"/>
        </w:rPr>
        <w:lastRenderedPageBreak/>
        <w:t>The big four retailers and supermarkets are the mainstream outlets - Tesco, Sainsbury's, Morrisons and Asda. They can also be evaluated for their level of sophistication in the reporting process and whether there is any substantive change and are easily counterbalanced with their scale, complex supply chains and shareholder governance (Nicholls &amp; Opal, 2014; Blythman, 2017).</w:t>
      </w:r>
    </w:p>
    <w:p w14:paraId="4499CF79" w14:textId="77777777" w:rsidR="00822698" w:rsidRPr="00791A3F" w:rsidRDefault="00822698" w:rsidP="00791A3F">
      <w:pPr>
        <w:spacing w:line="360" w:lineRule="auto"/>
        <w:jc w:val="both"/>
        <w:rPr>
          <w:rFonts w:ascii="Arial" w:hAnsi="Arial" w:cs="Arial"/>
        </w:rPr>
      </w:pPr>
      <w:r w:rsidRPr="00791A3F">
        <w:rPr>
          <w:rFonts w:ascii="Arial" w:hAnsi="Arial" w:cs="Arial"/>
        </w:rPr>
        <w:t>Aldi and Lidl are discount retail stores. This narrow scope, private labeling, low pricing, and efficiency producing models allow for testing for the operational simplicity that can aid environmental CSR and at the same time reduce transparency (Richards 2023; Zhao et al., 2025).</w:t>
      </w:r>
    </w:p>
    <w:p w14:paraId="5BB93BE8" w14:textId="77777777" w:rsidR="00822698" w:rsidRPr="00791A3F" w:rsidRDefault="00822698" w:rsidP="00791A3F">
      <w:pPr>
        <w:spacing w:line="360" w:lineRule="auto"/>
        <w:jc w:val="both"/>
        <w:rPr>
          <w:rFonts w:ascii="Arial" w:hAnsi="Arial" w:cs="Arial"/>
        </w:rPr>
      </w:pPr>
      <w:r w:rsidRPr="00791A3F">
        <w:rPr>
          <w:rFonts w:ascii="Arial" w:hAnsi="Arial" w:cs="Arial"/>
        </w:rPr>
        <w:t>Co-operative Food' is one of the 'Co-operative Retailing'. Contrast with shareholder led companies and justify the analysis of stakeholder-oriented accountability (Birchall, 2013; Hernández-</w:t>
      </w:r>
      <w:proofErr w:type="spellStart"/>
      <w:r w:rsidRPr="00791A3F">
        <w:rPr>
          <w:rFonts w:ascii="Arial" w:hAnsi="Arial" w:cs="Arial"/>
        </w:rPr>
        <w:t>Espallardo</w:t>
      </w:r>
      <w:proofErr w:type="spellEnd"/>
      <w:r w:rsidRPr="00791A3F">
        <w:rPr>
          <w:rFonts w:ascii="Arial" w:hAnsi="Arial" w:cs="Arial"/>
        </w:rPr>
        <w:t xml:space="preserve"> et al., 2021) in member-owned companies through their democratic management and ethical-trading traditions.</w:t>
      </w:r>
    </w:p>
    <w:p w14:paraId="6C3C2326" w14:textId="77777777" w:rsidR="00822698" w:rsidRPr="00791A3F" w:rsidRDefault="00822698" w:rsidP="00791A3F">
      <w:pPr>
        <w:spacing w:line="360" w:lineRule="auto"/>
        <w:jc w:val="both"/>
        <w:rPr>
          <w:rFonts w:ascii="Arial" w:hAnsi="Arial" w:cs="Arial"/>
        </w:rPr>
      </w:pPr>
      <w:r w:rsidRPr="00791A3F">
        <w:rPr>
          <w:rFonts w:ascii="Arial" w:hAnsi="Arial" w:cs="Arial"/>
        </w:rPr>
        <w:t>The share of the cases in the UK grocery market was about 60% of the total market share (Kantar, 2024). Retailers not having a physical store were not included.</w:t>
      </w:r>
    </w:p>
    <w:p w14:paraId="5A1D49E9" w14:textId="77777777" w:rsidR="00E72FD7" w:rsidRPr="00791A3F" w:rsidRDefault="00E72FD7" w:rsidP="00791A3F">
      <w:pPr>
        <w:pStyle w:val="Heading3"/>
        <w:spacing w:line="360" w:lineRule="auto"/>
        <w:rPr>
          <w:rFonts w:ascii="Arial" w:hAnsi="Arial" w:cs="Arial"/>
        </w:rPr>
      </w:pPr>
      <w:bookmarkStart w:id="59" w:name="_Toc237956904"/>
      <w:bookmarkStart w:id="60" w:name="_Toc238690183"/>
      <w:r w:rsidRPr="00791A3F">
        <w:rPr>
          <w:rFonts w:ascii="Arial" w:hAnsi="Arial" w:cs="Arial"/>
        </w:rPr>
        <w:t>3.3.3 Longitudinal Design and Temporal Comparison</w:t>
      </w:r>
      <w:bookmarkEnd w:id="59"/>
      <w:bookmarkEnd w:id="60"/>
    </w:p>
    <w:p w14:paraId="30A95912" w14:textId="77777777" w:rsidR="00A50B0B" w:rsidRPr="00791A3F" w:rsidRDefault="00A50B0B" w:rsidP="00791A3F">
      <w:pPr>
        <w:spacing w:line="360" w:lineRule="auto"/>
        <w:jc w:val="both"/>
        <w:rPr>
          <w:rFonts w:ascii="Arial" w:hAnsi="Arial" w:cs="Arial"/>
        </w:rPr>
      </w:pPr>
      <w:r w:rsidRPr="00791A3F">
        <w:rPr>
          <w:rFonts w:ascii="Arial" w:hAnsi="Arial" w:cs="Arial"/>
        </w:rPr>
        <w:t>The research is performed on two phases. A good source of the baseline information is Phase 1, 2003-2007, which includes the Jones et al. (2005) report, along with corporate, policy and regulatory information. The second phase (2020-2025) brings the modern CSR, which is reflected in the disclosure of the companies, evaluations by third parties, the documents of regulatory authorities and assessment by stakeholders.</w:t>
      </w:r>
    </w:p>
    <w:p w14:paraId="6BCAD0D1" w14:textId="77777777" w:rsidR="00A50B0B" w:rsidRPr="00791A3F" w:rsidRDefault="00A50B0B" w:rsidP="00791A3F">
      <w:pPr>
        <w:spacing w:line="360" w:lineRule="auto"/>
        <w:jc w:val="both"/>
        <w:rPr>
          <w:rFonts w:ascii="Arial" w:hAnsi="Arial" w:cs="Arial"/>
        </w:rPr>
      </w:pPr>
      <w:r w:rsidRPr="00791A3F">
        <w:rPr>
          <w:rFonts w:ascii="Arial" w:hAnsi="Arial" w:cs="Arial"/>
        </w:rPr>
        <w:t>This includes the Paris Agreement, the TCFD reporting, the Modern Slavery Act 2015, net zero targets, ESG investments, digital transparency and COVID-19 (Christensen et al., 2021; Stevenson &amp; Cole, 2021; Hobbs &amp; Rude, 2022). Substantive transformation or updating of the language with symbols, compliance or limited progress is evaluated by comparison.</w:t>
      </w:r>
    </w:p>
    <w:p w14:paraId="01720941" w14:textId="77777777" w:rsidR="000C365D" w:rsidRPr="00791A3F" w:rsidRDefault="000C365D" w:rsidP="00791A3F">
      <w:pPr>
        <w:spacing w:line="360" w:lineRule="auto"/>
        <w:jc w:val="both"/>
        <w:rPr>
          <w:rFonts w:ascii="Arial" w:hAnsi="Arial" w:cs="Arial"/>
        </w:rPr>
      </w:pPr>
      <w:bookmarkStart w:id="61" w:name="_Toc237956905"/>
      <w:bookmarkEnd w:id="61"/>
      <w:r w:rsidRPr="00791A3F">
        <w:rPr>
          <w:rFonts w:ascii="Arial" w:hAnsi="Arial" w:cs="Arial"/>
        </w:rPr>
        <w:t xml:space="preserve">The study was approached by abduction, as this will enable it to be theoretically informed, whilst still allowing for the emergence of the unexpected (Saunders et al., 2019; Braun &amp; </w:t>
      </w:r>
      <w:r w:rsidRPr="00791A3F">
        <w:rPr>
          <w:rFonts w:ascii="Arial" w:hAnsi="Arial" w:cs="Arial"/>
        </w:rPr>
        <w:lastRenderedPageBreak/>
        <w:t>Clarke, 2006). An inductive approach might be insufficient to properly compare the cases, while a deductive approach may not account for new developments in the area. The abductive method thus makes the theoretical structure and sensitivity to the empirical context go hand in hand.</w:t>
      </w:r>
    </w:p>
    <w:p w14:paraId="1A19B546" w14:textId="48B9229F" w:rsidR="00A50B0B" w:rsidRPr="00791A3F" w:rsidRDefault="00A50B0B" w:rsidP="00791A3F">
      <w:pPr>
        <w:spacing w:line="360" w:lineRule="auto"/>
        <w:jc w:val="both"/>
        <w:rPr>
          <w:rFonts w:ascii="Arial" w:hAnsi="Arial" w:cs="Arial"/>
        </w:rPr>
      </w:pPr>
      <w:r w:rsidRPr="00791A3F">
        <w:rPr>
          <w:rFonts w:ascii="Arial" w:hAnsi="Arial" w:cs="Arial"/>
        </w:rPr>
        <w:t>The study uses an abductive approach to the research process which is a combination of both deductive and inductive (Saunders et al., 2019). The deductive component is based on two existing analytical frameworks; the five CSR dimensions from Jones et al. (2005) and five substantive-symbolic criteria constructed in Chapter 2. These are frameworks which establish uniformity between cases and periods.</w:t>
      </w:r>
    </w:p>
    <w:p w14:paraId="674C0D8D" w14:textId="77777777" w:rsidR="00A50B0B" w:rsidRPr="00791A3F" w:rsidRDefault="00A50B0B" w:rsidP="00791A3F">
      <w:pPr>
        <w:spacing w:line="360" w:lineRule="auto"/>
        <w:jc w:val="both"/>
        <w:rPr>
          <w:rFonts w:ascii="Arial" w:hAnsi="Arial" w:cs="Arial"/>
        </w:rPr>
      </w:pPr>
      <w:r w:rsidRPr="00791A3F">
        <w:rPr>
          <w:rFonts w:ascii="Arial" w:hAnsi="Arial" w:cs="Arial"/>
        </w:rPr>
        <w:t>An inductive element has been identified to highlight current changes, such as the protection measures against COVID-19, scope 3 credibility, initiatives on the circular economy and public health commitments, which were not fully foreseen by earlier literature.</w:t>
      </w:r>
    </w:p>
    <w:p w14:paraId="6BB0D33B" w14:textId="77777777" w:rsidR="00A50B0B" w:rsidRPr="00791A3F" w:rsidRDefault="00A50B0B" w:rsidP="00791A3F">
      <w:pPr>
        <w:spacing w:line="360" w:lineRule="auto"/>
        <w:jc w:val="both"/>
        <w:rPr>
          <w:rFonts w:ascii="Arial" w:hAnsi="Arial" w:cs="Arial"/>
        </w:rPr>
      </w:pPr>
      <w:r w:rsidRPr="00791A3F">
        <w:rPr>
          <w:rFonts w:ascii="Arial" w:hAnsi="Arial" w:cs="Arial"/>
        </w:rPr>
        <w:t xml:space="preserve">Abduction is suitable because it does not rule out the discovery of unexpected </w:t>
      </w:r>
      <w:proofErr w:type="gramStart"/>
      <w:r w:rsidRPr="00791A3F">
        <w:rPr>
          <w:rFonts w:ascii="Arial" w:hAnsi="Arial" w:cs="Arial"/>
        </w:rPr>
        <w:t>results, yet</w:t>
      </w:r>
      <w:proofErr w:type="gramEnd"/>
      <w:r w:rsidRPr="00791A3F">
        <w:rPr>
          <w:rFonts w:ascii="Arial" w:hAnsi="Arial" w:cs="Arial"/>
        </w:rPr>
        <w:t xml:space="preserve"> is also based on a </w:t>
      </w:r>
      <w:proofErr w:type="spellStart"/>
      <w:proofErr w:type="gramStart"/>
      <w:r w:rsidRPr="00791A3F">
        <w:rPr>
          <w:rFonts w:ascii="Arial" w:hAnsi="Arial" w:cs="Arial"/>
        </w:rPr>
        <w:t>theory.Abduction</w:t>
      </w:r>
      <w:proofErr w:type="spellEnd"/>
      <w:proofErr w:type="gramEnd"/>
      <w:r w:rsidRPr="00791A3F">
        <w:rPr>
          <w:rFonts w:ascii="Arial" w:hAnsi="Arial" w:cs="Arial"/>
        </w:rPr>
        <w:t xml:space="preserve"> is a suitable approach due to its ability to adhere to a theory while still allowing for unexpected results (Saunders et al., 2019; Braun &amp; Clarke, 2006). Using a pure deductive method might miss new developments, and a pure inductive method would lose out on the comparison with a structure. The abductive approach is thus a combination of theory and context.</w:t>
      </w:r>
    </w:p>
    <w:p w14:paraId="79A465AE" w14:textId="77777777" w:rsidR="00E72FD7" w:rsidRPr="00791A3F" w:rsidRDefault="00E72FD7" w:rsidP="00791A3F">
      <w:pPr>
        <w:pStyle w:val="Heading2"/>
        <w:spacing w:line="360" w:lineRule="auto"/>
        <w:rPr>
          <w:rFonts w:ascii="Arial" w:hAnsi="Arial" w:cs="Arial"/>
        </w:rPr>
      </w:pPr>
      <w:bookmarkStart w:id="62" w:name="_Toc237956906"/>
      <w:bookmarkStart w:id="63" w:name="_Toc238690184"/>
      <w:r w:rsidRPr="00791A3F">
        <w:rPr>
          <w:rFonts w:ascii="Arial" w:hAnsi="Arial" w:cs="Arial"/>
        </w:rPr>
        <w:t>3.5 Data Collection Methods</w:t>
      </w:r>
      <w:bookmarkEnd w:id="62"/>
      <w:bookmarkEnd w:id="63"/>
    </w:p>
    <w:p w14:paraId="32DDD01A" w14:textId="77777777" w:rsidR="00D26F7D" w:rsidRPr="00791A3F" w:rsidRDefault="00D26F7D" w:rsidP="00791A3F">
      <w:pPr>
        <w:spacing w:line="360" w:lineRule="auto"/>
        <w:jc w:val="both"/>
        <w:rPr>
          <w:rFonts w:ascii="Arial" w:hAnsi="Arial" w:cs="Arial"/>
        </w:rPr>
      </w:pPr>
      <w:r w:rsidRPr="00791A3F">
        <w:rPr>
          <w:rFonts w:ascii="Arial" w:hAnsi="Arial" w:cs="Arial"/>
        </w:rPr>
        <w:t>Secondary data (qualitative) was used in this study. This method is appropriate for case studies as UK food retailers produce a lot of corporate, regulatory and third-party documents (Saunders et al., 2019; Yin, 2018), which allow for a longitudinal study over the period of the dissertation.</w:t>
      </w:r>
    </w:p>
    <w:p w14:paraId="02855415" w14:textId="77777777" w:rsidR="00E72FD7" w:rsidRPr="00791A3F" w:rsidRDefault="00E72FD7" w:rsidP="00791A3F">
      <w:pPr>
        <w:pStyle w:val="Heading3"/>
        <w:spacing w:line="360" w:lineRule="auto"/>
        <w:rPr>
          <w:rFonts w:ascii="Arial" w:hAnsi="Arial" w:cs="Arial"/>
        </w:rPr>
      </w:pPr>
      <w:bookmarkStart w:id="64" w:name="_Toc237956907"/>
      <w:bookmarkStart w:id="65" w:name="_Toc238690185"/>
      <w:r w:rsidRPr="00791A3F">
        <w:rPr>
          <w:rFonts w:ascii="Arial" w:hAnsi="Arial" w:cs="Arial"/>
        </w:rPr>
        <w:t>3.5.1 Data Sources</w:t>
      </w:r>
      <w:bookmarkEnd w:id="64"/>
      <w:bookmarkEnd w:id="65"/>
    </w:p>
    <w:p w14:paraId="4FF76CEA" w14:textId="77777777" w:rsidR="008B6FDE" w:rsidRPr="00791A3F" w:rsidRDefault="008B6FDE" w:rsidP="00791A3F">
      <w:pPr>
        <w:spacing w:line="360" w:lineRule="auto"/>
        <w:jc w:val="both"/>
        <w:rPr>
          <w:rFonts w:ascii="Arial" w:hAnsi="Arial" w:cs="Arial"/>
        </w:rPr>
      </w:pPr>
      <w:r w:rsidRPr="00791A3F">
        <w:rPr>
          <w:rFonts w:ascii="Arial" w:hAnsi="Arial" w:cs="Arial"/>
        </w:rPr>
        <w:t>There are six types of sources that can be used for triangulation.</w:t>
      </w:r>
    </w:p>
    <w:p w14:paraId="621A2B31" w14:textId="77777777" w:rsidR="008B6FDE" w:rsidRPr="00791A3F" w:rsidRDefault="008B6FDE" w:rsidP="00791A3F">
      <w:pPr>
        <w:spacing w:line="360" w:lineRule="auto"/>
        <w:jc w:val="both"/>
        <w:rPr>
          <w:rFonts w:ascii="Arial" w:hAnsi="Arial" w:cs="Arial"/>
        </w:rPr>
      </w:pPr>
      <w:r w:rsidRPr="00791A3F">
        <w:rPr>
          <w:rFonts w:ascii="Arial" w:hAnsi="Arial" w:cs="Arial"/>
        </w:rPr>
        <w:t xml:space="preserve">The Annual and sustainability reports from 2003-2007 and 2020-2025 serve as evidence in regard to governance, strategy, risks, environmental policies and CSR claims. They </w:t>
      </w:r>
      <w:r w:rsidRPr="00791A3F">
        <w:rPr>
          <w:rFonts w:ascii="Arial" w:hAnsi="Arial" w:cs="Arial"/>
        </w:rPr>
        <w:lastRenderedPageBreak/>
        <w:t xml:space="preserve">can be related to the GRI frameworks, TCFD or SASB frameworks (Hahn &amp; </w:t>
      </w:r>
      <w:proofErr w:type="spellStart"/>
      <w:r w:rsidRPr="00791A3F">
        <w:rPr>
          <w:rFonts w:ascii="Arial" w:hAnsi="Arial" w:cs="Arial"/>
        </w:rPr>
        <w:t>Kühnen</w:t>
      </w:r>
      <w:proofErr w:type="spellEnd"/>
      <w:r w:rsidRPr="00791A3F">
        <w:rPr>
          <w:rFonts w:ascii="Arial" w:hAnsi="Arial" w:cs="Arial"/>
        </w:rPr>
        <w:t>, 2013; Michelon et al., 2015).</w:t>
      </w:r>
    </w:p>
    <w:p w14:paraId="20F7F402" w14:textId="77777777" w:rsidR="008B6FDE" w:rsidRPr="00791A3F" w:rsidRDefault="008B6FDE" w:rsidP="00791A3F">
      <w:pPr>
        <w:spacing w:line="360" w:lineRule="auto"/>
        <w:jc w:val="both"/>
        <w:rPr>
          <w:rFonts w:ascii="Arial" w:hAnsi="Arial" w:cs="Arial"/>
        </w:rPr>
      </w:pPr>
      <w:r w:rsidRPr="00791A3F">
        <w:rPr>
          <w:rFonts w:ascii="Arial" w:hAnsi="Arial" w:cs="Arial"/>
        </w:rPr>
        <w:t xml:space="preserve">Modern Slavery Act statements: Statements made in 2016–2025 contain information about their supply-chain risk, due diligence, and remediation (Stevenson &amp; Cole, 2021; LeBaron et al., 2021; Meehan &amp; </w:t>
      </w:r>
      <w:proofErr w:type="spellStart"/>
      <w:r w:rsidRPr="00791A3F">
        <w:rPr>
          <w:rFonts w:ascii="Arial" w:hAnsi="Arial" w:cs="Arial"/>
        </w:rPr>
        <w:t>Pinnington</w:t>
      </w:r>
      <w:proofErr w:type="spellEnd"/>
      <w:r w:rsidRPr="00791A3F">
        <w:rPr>
          <w:rFonts w:ascii="Arial" w:hAnsi="Arial" w:cs="Arial"/>
        </w:rPr>
        <w:t>, 2022).</w:t>
      </w:r>
    </w:p>
    <w:p w14:paraId="6358B835" w14:textId="77777777" w:rsidR="008B6FDE" w:rsidRPr="00791A3F" w:rsidRDefault="008B6FDE" w:rsidP="00791A3F">
      <w:pPr>
        <w:spacing w:line="360" w:lineRule="auto"/>
        <w:jc w:val="both"/>
        <w:rPr>
          <w:rFonts w:ascii="Arial" w:hAnsi="Arial" w:cs="Arial"/>
        </w:rPr>
      </w:pPr>
      <w:r w:rsidRPr="00791A3F">
        <w:rPr>
          <w:rFonts w:ascii="Arial" w:hAnsi="Arial" w:cs="Arial"/>
        </w:rPr>
        <w:t>The reports of 2020-2025 on climate disclosures and CDP report on Scope 1, 2 and 3 emissions, governance information, targets and risk assessments (Bingler et al., 2023; CDP, 2023). These facilitate the assessment of climate accountability and credibility of climate targets (Balsam et al., 2025; Chen &amp; Ma, 2024).</w:t>
      </w:r>
    </w:p>
    <w:p w14:paraId="5D9FAE08" w14:textId="77777777" w:rsidR="008B6FDE" w:rsidRPr="00791A3F" w:rsidRDefault="008B6FDE" w:rsidP="00791A3F">
      <w:pPr>
        <w:spacing w:line="360" w:lineRule="auto"/>
        <w:jc w:val="both"/>
        <w:rPr>
          <w:rFonts w:ascii="Arial" w:hAnsi="Arial" w:cs="Arial"/>
        </w:rPr>
      </w:pPr>
      <w:r w:rsidRPr="00791A3F">
        <w:rPr>
          <w:rFonts w:ascii="Arial" w:hAnsi="Arial" w:cs="Arial"/>
        </w:rPr>
        <w:t xml:space="preserve">Third party assessments: These include external evaluations of aspects of the environment, </w:t>
      </w:r>
      <w:proofErr w:type="spellStart"/>
      <w:r w:rsidRPr="00791A3F">
        <w:rPr>
          <w:rFonts w:ascii="Arial" w:hAnsi="Arial" w:cs="Arial"/>
        </w:rPr>
        <w:t>labour</w:t>
      </w:r>
      <w:proofErr w:type="spellEnd"/>
      <w:r w:rsidRPr="00791A3F">
        <w:rPr>
          <w:rFonts w:ascii="Arial" w:hAnsi="Arial" w:cs="Arial"/>
        </w:rPr>
        <w:t xml:space="preserve">, supply-chain, health, and workforce, from FTSE4Good, Ethical Consumer, </w:t>
      </w:r>
      <w:proofErr w:type="spellStart"/>
      <w:r w:rsidRPr="00791A3F">
        <w:rPr>
          <w:rFonts w:ascii="Arial" w:hAnsi="Arial" w:cs="Arial"/>
        </w:rPr>
        <w:t>ShareAction</w:t>
      </w:r>
      <w:proofErr w:type="spellEnd"/>
      <w:r w:rsidRPr="00791A3F">
        <w:rPr>
          <w:rFonts w:ascii="Arial" w:hAnsi="Arial" w:cs="Arial"/>
        </w:rPr>
        <w:t xml:space="preserve"> and Oxfam (Oxfam, 2021; </w:t>
      </w:r>
      <w:proofErr w:type="spellStart"/>
      <w:r w:rsidRPr="00791A3F">
        <w:rPr>
          <w:rFonts w:ascii="Arial" w:hAnsi="Arial" w:cs="Arial"/>
        </w:rPr>
        <w:t>ShareAction</w:t>
      </w:r>
      <w:proofErr w:type="spellEnd"/>
      <w:r w:rsidRPr="00791A3F">
        <w:rPr>
          <w:rFonts w:ascii="Arial" w:hAnsi="Arial" w:cs="Arial"/>
        </w:rPr>
        <w:t>, 2023).</w:t>
      </w:r>
    </w:p>
    <w:p w14:paraId="51E44E82" w14:textId="77777777" w:rsidR="008B6FDE" w:rsidRPr="00791A3F" w:rsidRDefault="008B6FDE" w:rsidP="00791A3F">
      <w:pPr>
        <w:spacing w:line="360" w:lineRule="auto"/>
        <w:jc w:val="both"/>
        <w:rPr>
          <w:rFonts w:ascii="Arial" w:hAnsi="Arial" w:cs="Arial"/>
        </w:rPr>
      </w:pPr>
      <w:r w:rsidRPr="00791A3F">
        <w:rPr>
          <w:rFonts w:ascii="Arial" w:hAnsi="Arial" w:cs="Arial"/>
        </w:rPr>
        <w:t>Evidence from civil society and investigation: NGO reports and campaigns, worker evidence, and reporting by Greenpeace, Friends of the Earth, War on Want, The Guardian and the Financial Times can reveal discrepancies between the claims made by companies and the experiences of stakeholders (LeBaron &amp; Lister, 2022; Sarfaty &amp; Zhang, 2025; Font et al., 2016).</w:t>
      </w:r>
    </w:p>
    <w:p w14:paraId="3EA4B6C1" w14:textId="77777777" w:rsidR="008B6FDE" w:rsidRPr="00791A3F" w:rsidRDefault="008B6FDE" w:rsidP="00791A3F">
      <w:pPr>
        <w:spacing w:line="360" w:lineRule="auto"/>
        <w:jc w:val="both"/>
        <w:rPr>
          <w:rFonts w:ascii="Arial" w:hAnsi="Arial" w:cs="Arial"/>
        </w:rPr>
      </w:pPr>
      <w:r w:rsidRPr="00791A3F">
        <w:rPr>
          <w:rFonts w:ascii="Arial" w:hAnsi="Arial" w:cs="Arial"/>
        </w:rPr>
        <w:t>Regulatory and institutional context (UK Government, 2021): Regulatory and institutional context is provided through government publications, parliamentary inquiries, investigations by the Competition and Markets Authority (CMA) and Food Standards Agency (FSA) material.</w:t>
      </w:r>
    </w:p>
    <w:p w14:paraId="5003E8AC" w14:textId="77777777" w:rsidR="00E72FD7" w:rsidRPr="00791A3F" w:rsidRDefault="00E72FD7" w:rsidP="00791A3F">
      <w:pPr>
        <w:pStyle w:val="Heading3"/>
        <w:spacing w:line="360" w:lineRule="auto"/>
        <w:rPr>
          <w:rFonts w:ascii="Arial" w:hAnsi="Arial" w:cs="Arial"/>
        </w:rPr>
      </w:pPr>
      <w:bookmarkStart w:id="66" w:name="_Toc237956908"/>
      <w:bookmarkStart w:id="67" w:name="_Toc238690186"/>
      <w:r w:rsidRPr="00791A3F">
        <w:rPr>
          <w:rFonts w:ascii="Arial" w:hAnsi="Arial" w:cs="Arial"/>
        </w:rPr>
        <w:t>3.5.2 Data Collection Process and Documentation</w:t>
      </w:r>
      <w:bookmarkEnd w:id="66"/>
      <w:bookmarkEnd w:id="67"/>
    </w:p>
    <w:p w14:paraId="4101F12A" w14:textId="77777777" w:rsidR="00F800F5" w:rsidRPr="00791A3F" w:rsidRDefault="00F800F5" w:rsidP="00791A3F">
      <w:pPr>
        <w:spacing w:line="360" w:lineRule="auto"/>
        <w:jc w:val="both"/>
        <w:rPr>
          <w:rFonts w:ascii="Arial" w:hAnsi="Arial" w:cs="Arial"/>
        </w:rPr>
      </w:pPr>
      <w:r w:rsidRPr="00791A3F">
        <w:rPr>
          <w:rFonts w:ascii="Arial" w:hAnsi="Arial" w:cs="Arial"/>
        </w:rPr>
        <w:t xml:space="preserve">The data collection was done as per a </w:t>
      </w:r>
      <w:proofErr w:type="spellStart"/>
      <w:r w:rsidRPr="00791A3F">
        <w:rPr>
          <w:rFonts w:ascii="Arial" w:hAnsi="Arial" w:cs="Arial"/>
        </w:rPr>
        <w:t>standardised</w:t>
      </w:r>
      <w:proofErr w:type="spellEnd"/>
      <w:r w:rsidRPr="00791A3F">
        <w:rPr>
          <w:rFonts w:ascii="Arial" w:hAnsi="Arial" w:cs="Arial"/>
        </w:rPr>
        <w:t xml:space="preserve"> protocol (Yin, 2018). The documents were broken down into time periods, collected retailer by retailer, stored with the same names, and then added to a master spreadsheet listing the document title, author(s), date, URL, date retrieved, and type. The five CSR dimensions (environmental management, ethical sourcing, employee welfare, community engagement and customer responsibility) were used in the preliminary review to measure the relevance.</w:t>
      </w:r>
    </w:p>
    <w:p w14:paraId="028DBA91" w14:textId="77777777" w:rsidR="00E72FD7" w:rsidRPr="00791A3F" w:rsidRDefault="00E72FD7" w:rsidP="00791A3F">
      <w:pPr>
        <w:pStyle w:val="Heading3"/>
        <w:spacing w:line="360" w:lineRule="auto"/>
        <w:rPr>
          <w:rFonts w:ascii="Arial" w:hAnsi="Arial" w:cs="Arial"/>
        </w:rPr>
      </w:pPr>
      <w:bookmarkStart w:id="68" w:name="_Toc237956909"/>
      <w:bookmarkStart w:id="69" w:name="_Toc238690187"/>
      <w:r w:rsidRPr="00791A3F">
        <w:rPr>
          <w:rFonts w:ascii="Arial" w:hAnsi="Arial" w:cs="Arial"/>
        </w:rPr>
        <w:lastRenderedPageBreak/>
        <w:t>3.5.3 Justification and Limitations of Secondary Data</w:t>
      </w:r>
      <w:bookmarkEnd w:id="68"/>
      <w:bookmarkEnd w:id="69"/>
    </w:p>
    <w:p w14:paraId="123B0C25" w14:textId="77777777" w:rsidR="007828ED" w:rsidRPr="00791A3F" w:rsidRDefault="007828ED" w:rsidP="00791A3F">
      <w:pPr>
        <w:spacing w:line="360" w:lineRule="auto"/>
        <w:jc w:val="both"/>
        <w:rPr>
          <w:rFonts w:ascii="Arial" w:hAnsi="Arial" w:cs="Arial"/>
        </w:rPr>
      </w:pPr>
      <w:r w:rsidRPr="00791A3F">
        <w:rPr>
          <w:rFonts w:ascii="Arial" w:hAnsi="Arial" w:cs="Arial"/>
        </w:rPr>
        <w:t>Secondary data can be used to establish claims regarding strategic priorities, governance and accountability in a longitudinal manner (Saunders et al., 2019; Yin, 2018). Independent assessments have the capacity to pose a challenge to corporate accounts (Font et al., 2016; LeBaron et al., 2021).</w:t>
      </w:r>
    </w:p>
    <w:p w14:paraId="7E4D9526" w14:textId="77777777" w:rsidR="007828ED" w:rsidRPr="00791A3F" w:rsidRDefault="007828ED" w:rsidP="00791A3F">
      <w:pPr>
        <w:spacing w:line="360" w:lineRule="auto"/>
        <w:jc w:val="both"/>
        <w:rPr>
          <w:rFonts w:ascii="Arial" w:hAnsi="Arial" w:cs="Arial"/>
        </w:rPr>
      </w:pPr>
      <w:r w:rsidRPr="00791A3F">
        <w:rPr>
          <w:rFonts w:ascii="Arial" w:hAnsi="Arial" w:cs="Arial"/>
        </w:rPr>
        <w:t xml:space="preserve">Impression management can manifest itself in corporate documents (Michelon et al., 2015; Torelli et al., 2020). The corporate information within the third-party ratings can include different information and the methodology used can differ (Christensen et al., 2021). Previous revelations are </w:t>
      </w:r>
      <w:proofErr w:type="gramStart"/>
      <w:r w:rsidRPr="00791A3F">
        <w:rPr>
          <w:rFonts w:ascii="Arial" w:hAnsi="Arial" w:cs="Arial"/>
        </w:rPr>
        <w:t>more vague</w:t>
      </w:r>
      <w:proofErr w:type="gramEnd"/>
      <w:r w:rsidRPr="00791A3F">
        <w:rPr>
          <w:rFonts w:ascii="Arial" w:hAnsi="Arial" w:cs="Arial"/>
        </w:rPr>
        <w:t>, causing time-symmetry. These limitations are overcome in the case of triangulation (Bose et al., 2024; Yang et al., 2025).</w:t>
      </w:r>
    </w:p>
    <w:p w14:paraId="015FBC02" w14:textId="77777777" w:rsidR="00E72FD7" w:rsidRPr="00791A3F" w:rsidRDefault="00E72FD7" w:rsidP="00791A3F">
      <w:pPr>
        <w:pStyle w:val="Heading2"/>
        <w:spacing w:line="360" w:lineRule="auto"/>
        <w:rPr>
          <w:rFonts w:ascii="Arial" w:hAnsi="Arial" w:cs="Arial"/>
        </w:rPr>
      </w:pPr>
      <w:bookmarkStart w:id="70" w:name="_Toc237956910"/>
      <w:bookmarkStart w:id="71" w:name="_Toc238690188"/>
      <w:r w:rsidRPr="00791A3F">
        <w:rPr>
          <w:rFonts w:ascii="Arial" w:hAnsi="Arial" w:cs="Arial"/>
        </w:rPr>
        <w:t>3.6 Data Analysis Methods</w:t>
      </w:r>
      <w:bookmarkEnd w:id="70"/>
      <w:bookmarkEnd w:id="71"/>
    </w:p>
    <w:p w14:paraId="50BC4D1A" w14:textId="77777777" w:rsidR="007828ED" w:rsidRPr="00791A3F" w:rsidRDefault="007828ED" w:rsidP="00791A3F">
      <w:pPr>
        <w:spacing w:line="360" w:lineRule="auto"/>
        <w:jc w:val="both"/>
        <w:rPr>
          <w:rFonts w:ascii="Arial" w:hAnsi="Arial" w:cs="Arial"/>
        </w:rPr>
      </w:pPr>
      <w:r w:rsidRPr="00791A3F">
        <w:rPr>
          <w:rFonts w:ascii="Arial" w:hAnsi="Arial" w:cs="Arial"/>
        </w:rPr>
        <w:t>Thematic analysis is used in this study as a way to systematically identify the patterns in the qualitative case evidence, and therefore interpret the patterns within the evidence (Braun &amp; Clarke, 2006; Saldaña, 2015; Nowell et al., 2017).</w:t>
      </w:r>
    </w:p>
    <w:p w14:paraId="62E6B703" w14:textId="77777777" w:rsidR="00E72FD7" w:rsidRPr="00791A3F" w:rsidRDefault="00E72FD7" w:rsidP="00791A3F">
      <w:pPr>
        <w:pStyle w:val="Heading3"/>
        <w:spacing w:line="360" w:lineRule="auto"/>
        <w:rPr>
          <w:rFonts w:ascii="Arial" w:hAnsi="Arial" w:cs="Arial"/>
        </w:rPr>
      </w:pPr>
      <w:bookmarkStart w:id="72" w:name="_Toc237956911"/>
      <w:bookmarkStart w:id="73" w:name="_Toc238690189"/>
      <w:r w:rsidRPr="00791A3F">
        <w:rPr>
          <w:rFonts w:ascii="Arial" w:hAnsi="Arial" w:cs="Arial"/>
        </w:rPr>
        <w:t>3.6.1 Analytical Framework</w:t>
      </w:r>
      <w:bookmarkEnd w:id="72"/>
      <w:bookmarkEnd w:id="73"/>
    </w:p>
    <w:p w14:paraId="4807C7DB" w14:textId="77777777" w:rsidR="00921A07" w:rsidRPr="00791A3F" w:rsidRDefault="00921A07" w:rsidP="00791A3F">
      <w:pPr>
        <w:spacing w:line="360" w:lineRule="auto"/>
        <w:jc w:val="both"/>
        <w:rPr>
          <w:rFonts w:ascii="Arial" w:hAnsi="Arial" w:cs="Arial"/>
        </w:rPr>
      </w:pPr>
      <w:r w:rsidRPr="00791A3F">
        <w:rPr>
          <w:rFonts w:ascii="Arial" w:hAnsi="Arial" w:cs="Arial"/>
        </w:rPr>
        <w:t>There are two complementary structures to analysis. The five dimensions of CSR that have been selected in Framework 1 are based on the work of Jones et al. (2005), who identified these as the five dimensions of CSR. These are dimensions that are covered by contemporary priorities.</w:t>
      </w:r>
    </w:p>
    <w:p w14:paraId="6D8AE742" w14:textId="77777777" w:rsidR="00921A07" w:rsidRPr="00791A3F" w:rsidRDefault="00921A07" w:rsidP="00791A3F">
      <w:pPr>
        <w:spacing w:line="360" w:lineRule="auto"/>
        <w:jc w:val="both"/>
        <w:rPr>
          <w:rFonts w:ascii="Arial" w:hAnsi="Arial" w:cs="Arial"/>
        </w:rPr>
      </w:pPr>
      <w:r w:rsidRPr="00791A3F">
        <w:rPr>
          <w:rFonts w:ascii="Arial" w:hAnsi="Arial" w:cs="Arial"/>
        </w:rPr>
        <w:t>We look at substance versus symbolism of CSR with five criteria in Framework 2. The verifiability encompasses independent audit, certification, assurance and stakeholder verifiability. Measurability is discussed in relation to targets/baselines and KPIs and data on progress. Accountability takes into account the ownership, oversight, incentives, correction and recourse of stakeholders in governance. The focus of Integration is in strategy, procurement, operations and resource allocation. Consistency of measures, known standards and comparison to peers are all included in the concept of comparability.</w:t>
      </w:r>
    </w:p>
    <w:p w14:paraId="04D6D2DB" w14:textId="77777777" w:rsidR="00E72FD7" w:rsidRPr="00791A3F" w:rsidRDefault="00E72FD7" w:rsidP="00791A3F">
      <w:pPr>
        <w:pStyle w:val="Heading3"/>
        <w:spacing w:line="360" w:lineRule="auto"/>
        <w:rPr>
          <w:rFonts w:ascii="Arial" w:hAnsi="Arial" w:cs="Arial"/>
        </w:rPr>
      </w:pPr>
      <w:bookmarkStart w:id="74" w:name="_Toc237956912"/>
      <w:bookmarkStart w:id="75" w:name="_Toc238690190"/>
      <w:r w:rsidRPr="00791A3F">
        <w:rPr>
          <w:rFonts w:ascii="Arial" w:hAnsi="Arial" w:cs="Arial"/>
        </w:rPr>
        <w:lastRenderedPageBreak/>
        <w:t>3.6.2 Coding Process</w:t>
      </w:r>
      <w:bookmarkEnd w:id="74"/>
      <w:bookmarkEnd w:id="75"/>
    </w:p>
    <w:p w14:paraId="4063C30C" w14:textId="77777777" w:rsidR="00921A07" w:rsidRPr="00791A3F" w:rsidRDefault="00921A07" w:rsidP="00791A3F">
      <w:pPr>
        <w:spacing w:line="360" w:lineRule="auto"/>
        <w:jc w:val="both"/>
        <w:rPr>
          <w:rFonts w:ascii="Arial" w:hAnsi="Arial" w:cs="Arial"/>
        </w:rPr>
      </w:pPr>
      <w:r w:rsidRPr="00791A3F">
        <w:rPr>
          <w:rFonts w:ascii="Arial" w:hAnsi="Arial" w:cs="Arial"/>
        </w:rPr>
        <w:t xml:space="preserve">Thematic analysis, like most other analysis methods, is divided into six phases; </w:t>
      </w:r>
      <w:proofErr w:type="spellStart"/>
      <w:r w:rsidRPr="00791A3F">
        <w:rPr>
          <w:rFonts w:ascii="Arial" w:hAnsi="Arial" w:cs="Arial"/>
        </w:rPr>
        <w:t>familiarisation</w:t>
      </w:r>
      <w:proofErr w:type="spellEnd"/>
      <w:r w:rsidRPr="00791A3F">
        <w:rPr>
          <w:rFonts w:ascii="Arial" w:hAnsi="Arial" w:cs="Arial"/>
        </w:rPr>
        <w:t xml:space="preserve">, coding, theme development, review, definition and reporting (Braun and Clarke 2006). Codes created through evidence, deductively and inductively from a variety of evidence; such as Scope 3, Modern Slavery, Living wages, COVID-19, Circular economy, and </w:t>
      </w:r>
      <w:proofErr w:type="gramStart"/>
      <w:r w:rsidRPr="00791A3F">
        <w:rPr>
          <w:rFonts w:ascii="Arial" w:hAnsi="Arial" w:cs="Arial"/>
        </w:rPr>
        <w:t>Public</w:t>
      </w:r>
      <w:proofErr w:type="gramEnd"/>
      <w:r w:rsidRPr="00791A3F">
        <w:rPr>
          <w:rFonts w:ascii="Arial" w:hAnsi="Arial" w:cs="Arial"/>
        </w:rPr>
        <w:t xml:space="preserve"> health (Nowell et al., 2017).</w:t>
      </w:r>
    </w:p>
    <w:p w14:paraId="4E3E72A2" w14:textId="77777777" w:rsidR="00E72FD7" w:rsidRPr="00791A3F" w:rsidRDefault="00E72FD7" w:rsidP="00791A3F">
      <w:pPr>
        <w:pStyle w:val="Heading3"/>
        <w:spacing w:line="360" w:lineRule="auto"/>
        <w:rPr>
          <w:rFonts w:ascii="Arial" w:hAnsi="Arial" w:cs="Arial"/>
        </w:rPr>
      </w:pPr>
      <w:bookmarkStart w:id="76" w:name="_Toc237956913"/>
      <w:bookmarkStart w:id="77" w:name="_Toc238690191"/>
      <w:r w:rsidRPr="00791A3F">
        <w:rPr>
          <w:rFonts w:ascii="Arial" w:hAnsi="Arial" w:cs="Arial"/>
        </w:rPr>
        <w:t>3.6.3 Comparative Analysis</w:t>
      </w:r>
      <w:bookmarkEnd w:id="76"/>
      <w:bookmarkEnd w:id="77"/>
    </w:p>
    <w:p w14:paraId="4CC0916F" w14:textId="77777777" w:rsidR="00862EEE" w:rsidRPr="00791A3F" w:rsidRDefault="00862EEE" w:rsidP="00791A3F">
      <w:pPr>
        <w:spacing w:line="360" w:lineRule="auto"/>
        <w:jc w:val="both"/>
        <w:rPr>
          <w:rFonts w:ascii="Arial" w:hAnsi="Arial" w:cs="Arial"/>
        </w:rPr>
      </w:pPr>
      <w:r w:rsidRPr="00791A3F">
        <w:rPr>
          <w:rFonts w:ascii="Arial" w:hAnsi="Arial" w:cs="Arial"/>
        </w:rPr>
        <w:t>Within-case analysis considers each retailer in terms of five dimensions of CSR and the two phases to detect its strengths and weaknesses, its changes and substantive-symbolic patterns (Eisenhardt, 1989; Yin, 2018). In Cross-case analysis, the mainstream, discount and cooperative model models are compared, and the four key factors of ownership, governance, competition and operational design, and resource capacity are taken into account (Zhao et al., 2025; Velte, 2025). In temporal analysis, the evidence for Phase 1 and Phase 2 for each retailer and dimension is compared to determine if there is a correlation between disclosure expansion and increased performance, governance, integration and accountability (Jones et al., 2005; Nicholls &amp; Opal, 2014).</w:t>
      </w:r>
    </w:p>
    <w:p w14:paraId="12982E56" w14:textId="77777777" w:rsidR="00E72FD7" w:rsidRPr="00791A3F" w:rsidRDefault="00E72FD7" w:rsidP="00791A3F">
      <w:pPr>
        <w:pStyle w:val="Heading2"/>
        <w:spacing w:line="360" w:lineRule="auto"/>
        <w:rPr>
          <w:rFonts w:ascii="Arial" w:hAnsi="Arial" w:cs="Arial"/>
        </w:rPr>
      </w:pPr>
      <w:bookmarkStart w:id="78" w:name="_Toc237956914"/>
      <w:bookmarkStart w:id="79" w:name="_Toc238690192"/>
      <w:r w:rsidRPr="00791A3F">
        <w:rPr>
          <w:rFonts w:ascii="Arial" w:hAnsi="Arial" w:cs="Arial"/>
        </w:rPr>
        <w:t>3.7 Quality Criteria and Trustworthiness</w:t>
      </w:r>
      <w:bookmarkEnd w:id="78"/>
      <w:bookmarkEnd w:id="79"/>
    </w:p>
    <w:p w14:paraId="73365901" w14:textId="77777777" w:rsidR="00CD3CEA" w:rsidRPr="00791A3F" w:rsidRDefault="00CD3CEA" w:rsidP="00791A3F">
      <w:pPr>
        <w:spacing w:line="360" w:lineRule="auto"/>
        <w:jc w:val="both"/>
        <w:rPr>
          <w:rFonts w:ascii="Arial" w:hAnsi="Arial" w:cs="Arial"/>
        </w:rPr>
      </w:pPr>
      <w:r w:rsidRPr="00791A3F">
        <w:rPr>
          <w:rFonts w:ascii="Arial" w:hAnsi="Arial" w:cs="Arial"/>
        </w:rPr>
        <w:t>Conventional positivist measures (Lincoln &amp; Guba, 1985; Tracy, 2010) are not used for the assessment of qualitative quality, but rather credibility, transferability, dependability and confirmability.</w:t>
      </w:r>
    </w:p>
    <w:p w14:paraId="07016B4F" w14:textId="77777777" w:rsidR="00CD3CEA" w:rsidRPr="00791A3F" w:rsidRDefault="00CD3CEA" w:rsidP="00791A3F">
      <w:pPr>
        <w:spacing w:line="360" w:lineRule="auto"/>
        <w:jc w:val="both"/>
        <w:rPr>
          <w:rFonts w:ascii="Arial" w:hAnsi="Arial" w:cs="Arial"/>
        </w:rPr>
      </w:pPr>
      <w:r w:rsidRPr="00791A3F">
        <w:rPr>
          <w:rFonts w:ascii="Arial" w:hAnsi="Arial" w:cs="Arial"/>
        </w:rPr>
        <w:t>Triangulation is used to enhance the credibility of evidence in both ways: by using multiple sources of evidence (corporate, regulatory, third-party, NGO, investigative) for each claim and by using multiple criteria for each claim (Patton, 2015).</w:t>
      </w:r>
    </w:p>
    <w:p w14:paraId="5C7E778F" w14:textId="77777777" w:rsidR="00CD3CEA" w:rsidRPr="00791A3F" w:rsidRDefault="00CD3CEA" w:rsidP="00791A3F">
      <w:pPr>
        <w:spacing w:line="360" w:lineRule="auto"/>
        <w:jc w:val="both"/>
        <w:rPr>
          <w:rFonts w:ascii="Arial" w:hAnsi="Arial" w:cs="Arial"/>
        </w:rPr>
      </w:pPr>
      <w:r w:rsidRPr="00791A3F">
        <w:rPr>
          <w:rFonts w:ascii="Arial" w:hAnsi="Arial" w:cs="Arial"/>
        </w:rPr>
        <w:t xml:space="preserve">Transferability is established by the contextual description—for the reader to make his or her own judgments on transferability to other settings (Geertz, 1973). Findings are not statistically </w:t>
      </w:r>
      <w:proofErr w:type="spellStart"/>
      <w:r w:rsidRPr="00791A3F">
        <w:rPr>
          <w:rFonts w:ascii="Arial" w:hAnsi="Arial" w:cs="Arial"/>
        </w:rPr>
        <w:t>generalisable</w:t>
      </w:r>
      <w:proofErr w:type="spellEnd"/>
      <w:r w:rsidRPr="00791A3F">
        <w:rPr>
          <w:rFonts w:ascii="Arial" w:hAnsi="Arial" w:cs="Arial"/>
        </w:rPr>
        <w:t>, but are rather analytical (Yin, 2018).</w:t>
      </w:r>
    </w:p>
    <w:p w14:paraId="7ABD9C30" w14:textId="77777777" w:rsidR="00CD3CEA" w:rsidRPr="00791A3F" w:rsidRDefault="00CD3CEA" w:rsidP="00791A3F">
      <w:pPr>
        <w:spacing w:line="360" w:lineRule="auto"/>
        <w:jc w:val="both"/>
        <w:rPr>
          <w:rFonts w:ascii="Arial" w:hAnsi="Arial" w:cs="Arial"/>
        </w:rPr>
      </w:pPr>
      <w:r w:rsidRPr="00791A3F">
        <w:rPr>
          <w:rFonts w:ascii="Arial" w:hAnsi="Arial" w:cs="Arial"/>
        </w:rPr>
        <w:lastRenderedPageBreak/>
        <w:t>Documentation, procedures, coding decisions and analytical logs (Lincoln &amp; Guba, 1985) help to provide dependability. Reflexivity and explicit and consistent application of criteria (Nowell et al., 2017; Tracy, 2010) increase the confirmability of the results.</w:t>
      </w:r>
    </w:p>
    <w:p w14:paraId="571DC536" w14:textId="77777777" w:rsidR="00E72FD7" w:rsidRPr="00791A3F" w:rsidRDefault="00E72FD7" w:rsidP="00791A3F">
      <w:pPr>
        <w:pStyle w:val="Heading2"/>
        <w:spacing w:line="360" w:lineRule="auto"/>
        <w:rPr>
          <w:rFonts w:ascii="Arial" w:hAnsi="Arial" w:cs="Arial"/>
        </w:rPr>
      </w:pPr>
      <w:bookmarkStart w:id="80" w:name="_Toc237956915"/>
      <w:bookmarkStart w:id="81" w:name="_Toc238690193"/>
      <w:r w:rsidRPr="00791A3F">
        <w:rPr>
          <w:rFonts w:ascii="Arial" w:hAnsi="Arial" w:cs="Arial"/>
        </w:rPr>
        <w:t>3.8 Ethical Considerations</w:t>
      </w:r>
      <w:bookmarkEnd w:id="80"/>
      <w:bookmarkEnd w:id="81"/>
    </w:p>
    <w:p w14:paraId="2C23987D" w14:textId="77777777" w:rsidR="00240A06" w:rsidRPr="00791A3F" w:rsidRDefault="00240A06" w:rsidP="00791A3F">
      <w:pPr>
        <w:spacing w:line="360" w:lineRule="auto"/>
        <w:jc w:val="both"/>
        <w:rPr>
          <w:rFonts w:ascii="Arial" w:hAnsi="Arial" w:cs="Arial"/>
        </w:rPr>
      </w:pPr>
      <w:r w:rsidRPr="00791A3F">
        <w:rPr>
          <w:rFonts w:ascii="Arial" w:hAnsi="Arial" w:cs="Arial"/>
        </w:rPr>
        <w:t>The investigation solely focuses on secondary data which is publicly accessible, but issues of ethical responsibilities are still relevant: data integrity, data ownership, transparency and responsible criticism (Saunders et al., 2019).</w:t>
      </w:r>
    </w:p>
    <w:p w14:paraId="6C9DAE27" w14:textId="77777777" w:rsidR="00240A06" w:rsidRPr="00791A3F" w:rsidRDefault="00240A06" w:rsidP="00791A3F">
      <w:pPr>
        <w:spacing w:line="360" w:lineRule="auto"/>
        <w:jc w:val="both"/>
        <w:rPr>
          <w:rFonts w:ascii="Arial" w:hAnsi="Arial" w:cs="Arial"/>
        </w:rPr>
      </w:pPr>
      <w:r w:rsidRPr="00791A3F">
        <w:rPr>
          <w:rFonts w:ascii="Arial" w:hAnsi="Arial" w:cs="Arial"/>
        </w:rPr>
        <w:t>To guarantee data integrity, the information needs to be accurate, the statements made by the company needs to be distinguished from the independent information, and the information must not be presented in a misleading way (Yin, 2018). Appropriate credit is given to another person's work and the UK Copyright, Designs and Patents Act 1988 allows for fair dealing.</w:t>
      </w:r>
    </w:p>
    <w:p w14:paraId="782EF797" w14:textId="77777777" w:rsidR="00240A06" w:rsidRPr="00791A3F" w:rsidRDefault="00240A06" w:rsidP="00791A3F">
      <w:pPr>
        <w:spacing w:line="360" w:lineRule="auto"/>
        <w:jc w:val="both"/>
        <w:rPr>
          <w:rFonts w:ascii="Arial" w:hAnsi="Arial" w:cs="Arial"/>
        </w:rPr>
      </w:pPr>
      <w:r w:rsidRPr="00791A3F">
        <w:rPr>
          <w:rFonts w:ascii="Arial" w:hAnsi="Arial" w:cs="Arial"/>
        </w:rPr>
        <w:t>Documenting sources, frameworks and interpretative processes (Lincoln &amp; Guba, 1985) help to ensure transparency and reproducibility. Any statement of "greenwashing" or poor implementation is only attributed if there is evidence on which to base this claim and explicit criteria to justify this (Torelli et al., 2020).</w:t>
      </w:r>
    </w:p>
    <w:p w14:paraId="3CDD4B93" w14:textId="77777777" w:rsidR="00240A06" w:rsidRPr="00791A3F" w:rsidRDefault="00240A06" w:rsidP="00791A3F">
      <w:pPr>
        <w:spacing w:line="360" w:lineRule="auto"/>
        <w:jc w:val="both"/>
        <w:rPr>
          <w:rFonts w:ascii="Arial" w:hAnsi="Arial" w:cs="Arial"/>
        </w:rPr>
      </w:pPr>
      <w:r w:rsidRPr="00791A3F">
        <w:rPr>
          <w:rFonts w:ascii="Arial" w:hAnsi="Arial" w:cs="Arial"/>
        </w:rPr>
        <w:t>There is a need for scholarship in sustainability governance that is based on evidence and criticism (Freeman et al., 2020; Sharma et al., 2024), to which the study contributes. Ethical requirements of institutions are adhered to.</w:t>
      </w:r>
    </w:p>
    <w:p w14:paraId="10A919A7" w14:textId="77777777" w:rsidR="00E72FD7" w:rsidRPr="00791A3F" w:rsidRDefault="00E72FD7" w:rsidP="00791A3F">
      <w:pPr>
        <w:pStyle w:val="Heading2"/>
        <w:spacing w:line="360" w:lineRule="auto"/>
        <w:rPr>
          <w:rFonts w:ascii="Arial" w:hAnsi="Arial" w:cs="Arial"/>
        </w:rPr>
      </w:pPr>
      <w:bookmarkStart w:id="82" w:name="_Toc237956916"/>
      <w:bookmarkStart w:id="83" w:name="_Toc238690194"/>
      <w:r w:rsidRPr="00791A3F">
        <w:rPr>
          <w:rFonts w:ascii="Arial" w:hAnsi="Arial" w:cs="Arial"/>
        </w:rPr>
        <w:t>3.9 Research Limitations</w:t>
      </w:r>
      <w:bookmarkEnd w:id="82"/>
      <w:bookmarkEnd w:id="83"/>
    </w:p>
    <w:p w14:paraId="4249C793" w14:textId="77777777" w:rsidR="008C0C8F" w:rsidRPr="00791A3F" w:rsidRDefault="008C0C8F" w:rsidP="00791A3F">
      <w:pPr>
        <w:spacing w:line="360" w:lineRule="auto"/>
        <w:jc w:val="both"/>
        <w:rPr>
          <w:rFonts w:ascii="Arial" w:hAnsi="Arial" w:cs="Arial"/>
        </w:rPr>
      </w:pPr>
      <w:r w:rsidRPr="00791A3F">
        <w:rPr>
          <w:rFonts w:ascii="Arial" w:hAnsi="Arial" w:cs="Arial"/>
        </w:rPr>
        <w:t>There are a number of caveats to be noted. Firstly, secondary data limit access to managers, employees, suppliers and customers, which may have more insights into the implementation (Saunders et al., 2019). Partially, triangulation does not have this restriction.</w:t>
      </w:r>
    </w:p>
    <w:p w14:paraId="237A3D2D" w14:textId="77777777" w:rsidR="008C0C8F" w:rsidRPr="00791A3F" w:rsidRDefault="008C0C8F" w:rsidP="00791A3F">
      <w:pPr>
        <w:spacing w:line="360" w:lineRule="auto"/>
        <w:jc w:val="both"/>
        <w:rPr>
          <w:rFonts w:ascii="Arial" w:hAnsi="Arial" w:cs="Arial"/>
        </w:rPr>
      </w:pPr>
      <w:r w:rsidRPr="00791A3F">
        <w:rPr>
          <w:rFonts w:ascii="Arial" w:hAnsi="Arial" w:cs="Arial"/>
        </w:rPr>
        <w:t xml:space="preserve">Second, disclosures' content in recent times is broader than in 2005, which may result in an overstatement of progress due to reporting improvements rather than the actual performance (Christensen et al., 2021). </w:t>
      </w:r>
      <w:r w:rsidR="005B3246" w:rsidRPr="00791A3F">
        <w:rPr>
          <w:rFonts w:ascii="Arial" w:hAnsi="Arial" w:cs="Arial"/>
        </w:rPr>
        <w:t>The analysis thus differentiates between disclosure expansion and substantive change.</w:t>
      </w:r>
    </w:p>
    <w:p w14:paraId="2389BAF8" w14:textId="77777777" w:rsidR="008C0C8F" w:rsidRPr="00791A3F" w:rsidRDefault="008C0C8F" w:rsidP="00791A3F">
      <w:pPr>
        <w:spacing w:line="360" w:lineRule="auto"/>
        <w:jc w:val="both"/>
        <w:rPr>
          <w:rFonts w:ascii="Arial" w:hAnsi="Arial" w:cs="Arial"/>
        </w:rPr>
      </w:pPr>
      <w:r w:rsidRPr="00791A3F">
        <w:rPr>
          <w:rFonts w:ascii="Arial" w:hAnsi="Arial" w:cs="Arial"/>
        </w:rPr>
        <w:lastRenderedPageBreak/>
        <w:t>Thirdly, there is an imbalance between the representation of business models, with more mainstream business models than discount and cooperative business models. This does not make it easy to make numerical comparisons, but case studies emphasize theory, rather than numbers and balance (Yin, 2018).</w:t>
      </w:r>
    </w:p>
    <w:p w14:paraId="75D68AD7" w14:textId="77777777" w:rsidR="008C0C8F" w:rsidRPr="00791A3F" w:rsidRDefault="008C0C8F" w:rsidP="00791A3F">
      <w:pPr>
        <w:spacing w:line="360" w:lineRule="auto"/>
        <w:jc w:val="both"/>
        <w:rPr>
          <w:rFonts w:ascii="Arial" w:hAnsi="Arial" w:cs="Arial"/>
        </w:rPr>
      </w:pPr>
      <w:r w:rsidRPr="00791A3F">
        <w:rPr>
          <w:rFonts w:ascii="Arial" w:hAnsi="Arial" w:cs="Arial"/>
        </w:rPr>
        <w:t xml:space="preserve">Fourthly, interpretation is a form of researcher's judgment. Alternative themes would be identified by different researchers and the classification and </w:t>
      </w:r>
      <w:proofErr w:type="spellStart"/>
      <w:r w:rsidRPr="00791A3F">
        <w:rPr>
          <w:rFonts w:ascii="Arial" w:hAnsi="Arial" w:cs="Arial"/>
        </w:rPr>
        <w:t>categorisation</w:t>
      </w:r>
      <w:proofErr w:type="spellEnd"/>
      <w:r w:rsidRPr="00791A3F">
        <w:rPr>
          <w:rFonts w:ascii="Arial" w:hAnsi="Arial" w:cs="Arial"/>
        </w:rPr>
        <w:t xml:space="preserve"> of the borderline cases could vary (Braun &amp; Clarke, 2006; Lincoln &amp; Guba, 1985). Subjectivity can be minimized but not completely eliminated by using explicit criteria, triangulation and reflexivity.</w:t>
      </w:r>
    </w:p>
    <w:p w14:paraId="429956A3" w14:textId="77777777" w:rsidR="008C0C8F" w:rsidRPr="00791A3F" w:rsidRDefault="008C0C8F" w:rsidP="00791A3F">
      <w:pPr>
        <w:spacing w:line="360" w:lineRule="auto"/>
        <w:jc w:val="both"/>
        <w:rPr>
          <w:rFonts w:ascii="Arial" w:hAnsi="Arial" w:cs="Arial"/>
        </w:rPr>
      </w:pPr>
      <w:r w:rsidRPr="00791A3F">
        <w:rPr>
          <w:rFonts w:ascii="Arial" w:hAnsi="Arial" w:cs="Arial"/>
        </w:rPr>
        <w:t>The findings are not statistically generalizable, but are analytic. Conclusions are specific to food retail in the UK and might not be applicable to other sectors, countries or time periods (Yin, 2018). These constraints are dealt with in an explicit manner.</w:t>
      </w:r>
    </w:p>
    <w:p w14:paraId="0F9D80DC" w14:textId="77777777" w:rsidR="00E72FD7" w:rsidRPr="00791A3F" w:rsidRDefault="00E72FD7" w:rsidP="00791A3F">
      <w:pPr>
        <w:pStyle w:val="Heading2"/>
        <w:spacing w:line="360" w:lineRule="auto"/>
        <w:rPr>
          <w:rFonts w:ascii="Arial" w:hAnsi="Arial" w:cs="Arial"/>
        </w:rPr>
      </w:pPr>
      <w:bookmarkStart w:id="84" w:name="_Toc237956917"/>
      <w:bookmarkStart w:id="85" w:name="_Toc238690195"/>
      <w:r w:rsidRPr="00791A3F">
        <w:rPr>
          <w:rFonts w:ascii="Arial" w:hAnsi="Arial" w:cs="Arial"/>
        </w:rPr>
        <w:t>3.10 Conclusion</w:t>
      </w:r>
      <w:bookmarkEnd w:id="84"/>
      <w:bookmarkEnd w:id="85"/>
    </w:p>
    <w:p w14:paraId="28654300" w14:textId="77777777" w:rsidR="0088091B" w:rsidRPr="00791A3F" w:rsidRDefault="0088091B" w:rsidP="00791A3F">
      <w:pPr>
        <w:spacing w:line="360" w:lineRule="auto"/>
        <w:jc w:val="both"/>
        <w:rPr>
          <w:rFonts w:ascii="Arial" w:hAnsi="Arial" w:cs="Arial"/>
        </w:rPr>
      </w:pPr>
      <w:r w:rsidRPr="00791A3F">
        <w:rPr>
          <w:rFonts w:ascii="Arial" w:hAnsi="Arial" w:cs="Arial"/>
        </w:rPr>
        <w:t>This chapter has warranted the methodological approach that has been used to explore the evolution of CSR in food retail in the UK from 2005 to 2025. With respect to CSR, there are at least three different ontological and epistemological orientations: interpretivism, relativist ontology and subjectivist epistemology, and an abductive approach which is a combination of theory and sensitivity to new findings.</w:t>
      </w:r>
    </w:p>
    <w:p w14:paraId="4FC830FD" w14:textId="77777777" w:rsidR="0088091B" w:rsidRPr="00791A3F" w:rsidRDefault="0088091B" w:rsidP="00791A3F">
      <w:pPr>
        <w:spacing w:line="360" w:lineRule="auto"/>
        <w:jc w:val="both"/>
        <w:rPr>
          <w:rFonts w:ascii="Arial" w:hAnsi="Arial" w:cs="Arial"/>
        </w:rPr>
      </w:pPr>
      <w:r w:rsidRPr="00791A3F">
        <w:rPr>
          <w:rFonts w:ascii="Arial" w:hAnsi="Arial" w:cs="Arial"/>
        </w:rPr>
        <w:t>Capturing the evolving nature of these six retailers from mainstream, discount and cooperative retail stores successfully, a qualitative multiple case study design was employed. Secondary evidence includes corporate reports, statements on Modern Slavery Act, climate disclosure reports, third party assessments, civil society reports, and regulatory reports and statements that can be used to triangulate and to conduct longitudinal analysis.</w:t>
      </w:r>
    </w:p>
    <w:p w14:paraId="4E0C3985" w14:textId="77777777" w:rsidR="0088091B" w:rsidRPr="00791A3F" w:rsidRDefault="0088091B" w:rsidP="00791A3F">
      <w:pPr>
        <w:spacing w:line="360" w:lineRule="auto"/>
        <w:jc w:val="both"/>
        <w:rPr>
          <w:rFonts w:ascii="Arial" w:hAnsi="Arial" w:cs="Arial"/>
        </w:rPr>
      </w:pPr>
      <w:r w:rsidRPr="00791A3F">
        <w:rPr>
          <w:rFonts w:ascii="Arial" w:hAnsi="Arial" w:cs="Arial"/>
        </w:rPr>
        <w:t>Five dimensions of CSR and five substantive-symbolic criteria are used to structure the thematic analysis, and to systematically assess verifiability, measurability, accountability, integration and comparability. Using within-case, cross-case and temporal comparisons the differences in business-models and the evolution of CSR can be studied.</w:t>
      </w:r>
    </w:p>
    <w:p w14:paraId="46077477" w14:textId="77777777" w:rsidR="0088091B" w:rsidRPr="00791A3F" w:rsidRDefault="0088091B" w:rsidP="00791A3F">
      <w:pPr>
        <w:spacing w:line="360" w:lineRule="auto"/>
        <w:jc w:val="both"/>
        <w:rPr>
          <w:rFonts w:ascii="Arial" w:hAnsi="Arial" w:cs="Arial"/>
        </w:rPr>
      </w:pPr>
      <w:r w:rsidRPr="00791A3F">
        <w:rPr>
          <w:rFonts w:ascii="Arial" w:hAnsi="Arial" w:cs="Arial"/>
        </w:rPr>
        <w:lastRenderedPageBreak/>
        <w:t xml:space="preserve">Credibility, transferability, dependability, and confirmability </w:t>
      </w:r>
      <w:proofErr w:type="gramStart"/>
      <w:r w:rsidRPr="00791A3F">
        <w:rPr>
          <w:rFonts w:ascii="Arial" w:hAnsi="Arial" w:cs="Arial"/>
        </w:rPr>
        <w:t>enhances</w:t>
      </w:r>
      <w:proofErr w:type="gramEnd"/>
      <w:r w:rsidRPr="00791A3F">
        <w:rPr>
          <w:rFonts w:ascii="Arial" w:hAnsi="Arial" w:cs="Arial"/>
        </w:rPr>
        <w:t xml:space="preserve"> the trustworthiness of the search, while the ethical procedures help ensure the integrity of the data, the protection of intellectual property, transparency and responsible criticism. There are some limitations associated with secondary data, temporal asymmetry, case balance, interpretive subjectivity and </w:t>
      </w:r>
      <w:proofErr w:type="spellStart"/>
      <w:r w:rsidRPr="00791A3F">
        <w:rPr>
          <w:rFonts w:ascii="Arial" w:hAnsi="Arial" w:cs="Arial"/>
        </w:rPr>
        <w:t>generalisability</w:t>
      </w:r>
      <w:proofErr w:type="spellEnd"/>
      <w:r w:rsidRPr="00791A3F">
        <w:rPr>
          <w:rFonts w:ascii="Arial" w:hAnsi="Arial" w:cs="Arial"/>
        </w:rPr>
        <w:t>.</w:t>
      </w:r>
    </w:p>
    <w:p w14:paraId="270BC835" w14:textId="77777777" w:rsidR="0088091B" w:rsidRPr="00791A3F" w:rsidRDefault="0088091B" w:rsidP="00791A3F">
      <w:pPr>
        <w:spacing w:line="360" w:lineRule="auto"/>
        <w:jc w:val="both"/>
        <w:rPr>
          <w:rFonts w:ascii="Arial" w:hAnsi="Arial" w:cs="Arial"/>
        </w:rPr>
      </w:pPr>
      <w:r w:rsidRPr="00791A3F">
        <w:rPr>
          <w:rFonts w:ascii="Arial" w:hAnsi="Arial" w:cs="Arial"/>
        </w:rPr>
        <w:t>The methodology serves as a guideline as to whether CSR transformation is a real integration or symbolic reporting. The results of this framework are shown in the next chapter.</w:t>
      </w:r>
    </w:p>
    <w:p w14:paraId="0A0C5DF7" w14:textId="77777777" w:rsidR="009F6D5A" w:rsidRPr="00791A3F" w:rsidRDefault="009F6D5A" w:rsidP="00791A3F">
      <w:pPr>
        <w:spacing w:line="360" w:lineRule="auto"/>
        <w:rPr>
          <w:rFonts w:ascii="Arial" w:hAnsi="Arial" w:cs="Arial"/>
          <w:b/>
          <w:bCs/>
        </w:rPr>
      </w:pPr>
      <w:r w:rsidRPr="00791A3F">
        <w:rPr>
          <w:rFonts w:ascii="Arial" w:hAnsi="Arial" w:cs="Arial"/>
          <w:b/>
          <w:bCs/>
        </w:rPr>
        <w:br w:type="page"/>
      </w:r>
    </w:p>
    <w:p w14:paraId="177D95DD" w14:textId="77777777" w:rsidR="009F6D5A" w:rsidRPr="00791A3F" w:rsidRDefault="009F6D5A" w:rsidP="00791A3F">
      <w:pPr>
        <w:pStyle w:val="Heading1"/>
        <w:spacing w:line="360" w:lineRule="auto"/>
        <w:rPr>
          <w:rFonts w:ascii="Arial" w:hAnsi="Arial" w:cs="Arial"/>
        </w:rPr>
      </w:pPr>
      <w:bookmarkStart w:id="86" w:name="_Toc237956918"/>
      <w:bookmarkStart w:id="87" w:name="_Toc238690196"/>
      <w:r w:rsidRPr="00791A3F">
        <w:rPr>
          <w:rFonts w:ascii="Arial" w:hAnsi="Arial" w:cs="Arial"/>
        </w:rPr>
        <w:lastRenderedPageBreak/>
        <w:t>Chapter 4: Findings, Analysis and Discussion</w:t>
      </w:r>
      <w:bookmarkEnd w:id="86"/>
      <w:bookmarkEnd w:id="87"/>
    </w:p>
    <w:p w14:paraId="47EAFD8D" w14:textId="77777777" w:rsidR="003302A0" w:rsidRPr="00791A3F" w:rsidRDefault="003302A0" w:rsidP="00791A3F">
      <w:pPr>
        <w:pStyle w:val="Heading2"/>
        <w:spacing w:line="360" w:lineRule="auto"/>
        <w:rPr>
          <w:rFonts w:ascii="Arial" w:hAnsi="Arial" w:cs="Arial"/>
        </w:rPr>
      </w:pPr>
      <w:bookmarkStart w:id="88" w:name="_Toc237956919"/>
      <w:bookmarkStart w:id="89" w:name="_Toc238690197"/>
      <w:r w:rsidRPr="00791A3F">
        <w:rPr>
          <w:rFonts w:ascii="Arial" w:hAnsi="Arial" w:cs="Arial"/>
        </w:rPr>
        <w:t>4.1 Introduction</w:t>
      </w:r>
      <w:bookmarkEnd w:id="88"/>
      <w:bookmarkEnd w:id="89"/>
    </w:p>
    <w:p w14:paraId="1D0DE1E4" w14:textId="77777777" w:rsidR="00035DB5" w:rsidRPr="00791A3F" w:rsidRDefault="00035DB5" w:rsidP="00791A3F">
      <w:pPr>
        <w:spacing w:line="360" w:lineRule="auto"/>
        <w:jc w:val="both"/>
        <w:rPr>
          <w:rFonts w:ascii="Arial" w:hAnsi="Arial" w:cs="Arial"/>
        </w:rPr>
      </w:pPr>
      <w:r w:rsidRPr="00791A3F">
        <w:rPr>
          <w:rFonts w:ascii="Arial" w:hAnsi="Arial" w:cs="Arial"/>
        </w:rPr>
        <w:t>This chapter introduces, examines and discusses empirical findings of the systematic evolution of the SR strategies of six food retailers in the United Kingdom (UK) from 2005 to 2025. The analysis is done using the five-dimensional approach to CSR, which was developed in Chapters 2 and 3: environmental management, ethical sourcing, employee welfare, community engagement and customer responsibility. These dimensions are judged based on 5 evaluative criteria – verifiability, measurability, accountability, integration, and comparability. This can be useful in the research to differentiate the two categories of CSR practices: embedded and symbolic.</w:t>
      </w:r>
    </w:p>
    <w:p w14:paraId="389FAF3C" w14:textId="77777777" w:rsidR="00035DB5" w:rsidRPr="00791A3F" w:rsidRDefault="00035DB5" w:rsidP="00791A3F">
      <w:pPr>
        <w:spacing w:line="360" w:lineRule="auto"/>
        <w:jc w:val="both"/>
        <w:rPr>
          <w:rFonts w:ascii="Arial" w:hAnsi="Arial" w:cs="Arial"/>
        </w:rPr>
      </w:pPr>
      <w:r w:rsidRPr="00791A3F">
        <w:rPr>
          <w:rFonts w:ascii="Arial" w:hAnsi="Arial" w:cs="Arial"/>
        </w:rPr>
        <w:t>The longitudinal analysis shows significant increase in the amount of CSR disclosure, governance mechanisms and sustainability terminology for all retailers. That said, increased disclosure doesn't always go hand in hand with increased operations. The pressure of regulation, scrutiny by investors, expectations of stakeholders and technological advances have helped drive progress, not least in the reporting of climate impacts or in packaging. Voluntary initiatives like living wages, worker remediation, Scope 3 emissions reduction, community outcomes and public-health reform are less developed, however (Christensen et al., 2021; Torelli et al., 2020; Yang et al., 2025).</w:t>
      </w:r>
    </w:p>
    <w:p w14:paraId="61126E9B" w14:textId="77777777" w:rsidR="003302A0" w:rsidRPr="00791A3F" w:rsidRDefault="00035DB5" w:rsidP="00791A3F">
      <w:pPr>
        <w:spacing w:line="360" w:lineRule="auto"/>
        <w:jc w:val="both"/>
        <w:rPr>
          <w:rFonts w:ascii="Arial" w:hAnsi="Arial" w:cs="Arial"/>
        </w:rPr>
      </w:pPr>
      <w:r w:rsidRPr="00791A3F">
        <w:rPr>
          <w:rFonts w:ascii="Arial" w:hAnsi="Arial" w:cs="Arial"/>
        </w:rPr>
        <w:t xml:space="preserve">The chapter starts with a summary of the cross-retailer results, and then discusses the research questions. It then analyses the evidence in the light of the institutional theory, stakeholder theory and critical CSR approaches. To </w:t>
      </w:r>
      <w:proofErr w:type="spellStart"/>
      <w:r w:rsidRPr="00791A3F">
        <w:rPr>
          <w:rFonts w:ascii="Arial" w:hAnsi="Arial" w:cs="Arial"/>
        </w:rPr>
        <w:t>minimise</w:t>
      </w:r>
      <w:proofErr w:type="spellEnd"/>
      <w:r w:rsidRPr="00791A3F">
        <w:rPr>
          <w:rFonts w:ascii="Arial" w:hAnsi="Arial" w:cs="Arial"/>
        </w:rPr>
        <w:t xml:space="preserve"> corporate self-reporting, throughout the analysis corporate disclosures are compared to regulatory documents, third party assessments, NGO investigations and independent evidence (Michelon et al., 2015; Font et al., 2016).</w:t>
      </w:r>
    </w:p>
    <w:p w14:paraId="1B2A1A09" w14:textId="77777777" w:rsidR="003302A0" w:rsidRPr="00791A3F" w:rsidRDefault="003302A0" w:rsidP="00791A3F">
      <w:pPr>
        <w:pStyle w:val="Heading2"/>
        <w:spacing w:line="360" w:lineRule="auto"/>
        <w:rPr>
          <w:rFonts w:ascii="Arial" w:hAnsi="Arial" w:cs="Arial"/>
        </w:rPr>
      </w:pPr>
      <w:bookmarkStart w:id="90" w:name="_Toc237956920"/>
      <w:bookmarkStart w:id="91" w:name="_Toc238690198"/>
      <w:r w:rsidRPr="00791A3F">
        <w:rPr>
          <w:rFonts w:ascii="Arial" w:hAnsi="Arial" w:cs="Arial"/>
        </w:rPr>
        <w:lastRenderedPageBreak/>
        <w:t>4.2 Summary of Findings</w:t>
      </w:r>
      <w:bookmarkEnd w:id="90"/>
      <w:bookmarkEnd w:id="91"/>
    </w:p>
    <w:p w14:paraId="39358A0F" w14:textId="77777777" w:rsidR="003302A0" w:rsidRPr="00791A3F" w:rsidRDefault="003302A0" w:rsidP="00791A3F">
      <w:pPr>
        <w:pStyle w:val="Heading3"/>
        <w:spacing w:line="360" w:lineRule="auto"/>
        <w:rPr>
          <w:rFonts w:ascii="Arial" w:hAnsi="Arial" w:cs="Arial"/>
        </w:rPr>
      </w:pPr>
      <w:bookmarkStart w:id="92" w:name="_Toc237956921"/>
      <w:bookmarkStart w:id="93" w:name="_Toc238690199"/>
      <w:r w:rsidRPr="00791A3F">
        <w:rPr>
          <w:rFonts w:ascii="Arial" w:hAnsi="Arial" w:cs="Arial"/>
        </w:rPr>
        <w:t>4.2.1 CSR Evolution from 2005 to 2025</w:t>
      </w:r>
      <w:bookmarkEnd w:id="92"/>
      <w:bookmarkEnd w:id="93"/>
    </w:p>
    <w:p w14:paraId="55FE4388" w14:textId="77777777" w:rsidR="00221AF1" w:rsidRPr="00791A3F" w:rsidRDefault="00221AF1" w:rsidP="00791A3F">
      <w:pPr>
        <w:spacing w:line="360" w:lineRule="auto"/>
        <w:jc w:val="both"/>
        <w:rPr>
          <w:rFonts w:ascii="Arial" w:hAnsi="Arial" w:cs="Arial"/>
        </w:rPr>
      </w:pPr>
      <w:r w:rsidRPr="00791A3F">
        <w:rPr>
          <w:rFonts w:ascii="Arial" w:hAnsi="Arial" w:cs="Arial"/>
        </w:rPr>
        <w:t>There is strong evidence on the growth of CSR reporting over time, from the longitudinal evidence which shows that CSR reporting has grown much more extensive and sophisticated since the Jones et al. (2005) baseline. There has been a significant increase in documentation of sustainability by mainstream retailers, the development of Board-level governance for sustainability, embedding sustainability related executive bonuses and tying reporting with frameworks such as GRI and TCFD. Aldi and Lidl then followed suit with more structured reporting of sustainability, whilst the Co-operative Food continued to have relatively strong ethical disclosure, due to its cooperative history (Birchall, 2013).</w:t>
      </w:r>
    </w:p>
    <w:p w14:paraId="16718955" w14:textId="77777777" w:rsidR="00221AF1" w:rsidRPr="00791A3F" w:rsidRDefault="00221AF1" w:rsidP="00791A3F">
      <w:pPr>
        <w:spacing w:line="360" w:lineRule="auto"/>
        <w:jc w:val="both"/>
        <w:rPr>
          <w:rFonts w:ascii="Arial" w:hAnsi="Arial" w:cs="Arial"/>
        </w:rPr>
      </w:pPr>
      <w:r w:rsidRPr="00791A3F">
        <w:rPr>
          <w:rFonts w:ascii="Arial" w:hAnsi="Arial" w:cs="Arial"/>
        </w:rPr>
        <w:t xml:space="preserve">But disclosure increases is not a good measure of CSR performance. The progress of independent assurance is only partial — particularly for social metrics — and there is still a limited number of third-party certifications for ethical sourcing, employee outcomes, community impacts, and customer-health performance. The results of this study help to support the proposition that disclosure sophistication and operation accountability can be developed at different speeds (Michelon et al., 2015; </w:t>
      </w:r>
      <w:proofErr w:type="spellStart"/>
      <w:r w:rsidRPr="00791A3F">
        <w:rPr>
          <w:rFonts w:ascii="Arial" w:hAnsi="Arial" w:cs="Arial"/>
        </w:rPr>
        <w:t>Kusumawardani</w:t>
      </w:r>
      <w:proofErr w:type="spellEnd"/>
      <w:r w:rsidRPr="00791A3F">
        <w:rPr>
          <w:rFonts w:ascii="Arial" w:hAnsi="Arial" w:cs="Arial"/>
        </w:rPr>
        <w:t xml:space="preserve"> &amp; </w:t>
      </w:r>
      <w:proofErr w:type="spellStart"/>
      <w:r w:rsidRPr="00791A3F">
        <w:rPr>
          <w:rFonts w:ascii="Arial" w:hAnsi="Arial" w:cs="Arial"/>
        </w:rPr>
        <w:t>Dwiridotjahjono</w:t>
      </w:r>
      <w:proofErr w:type="spellEnd"/>
      <w:r w:rsidRPr="00791A3F">
        <w:rPr>
          <w:rFonts w:ascii="Arial" w:hAnsi="Arial" w:cs="Arial"/>
        </w:rPr>
        <w:t>, 2024).</w:t>
      </w:r>
    </w:p>
    <w:p w14:paraId="1CAE3BF3" w14:textId="77777777" w:rsidR="00221AF1" w:rsidRPr="00791A3F" w:rsidRDefault="00221AF1" w:rsidP="00791A3F">
      <w:pPr>
        <w:spacing w:line="360" w:lineRule="auto"/>
        <w:jc w:val="both"/>
        <w:rPr>
          <w:rFonts w:ascii="Arial" w:hAnsi="Arial" w:cs="Arial"/>
        </w:rPr>
      </w:pPr>
      <w:r w:rsidRPr="00791A3F">
        <w:rPr>
          <w:rFonts w:ascii="Arial" w:hAnsi="Arial" w:cs="Arial"/>
        </w:rPr>
        <w:t xml:space="preserve">The highest level of CSR is related to environmental management. 100% of the six retailers report Scope 1 and Scope 2 emissions and have set out targets for reductions. Energy efficiency, logistics </w:t>
      </w:r>
      <w:proofErr w:type="spellStart"/>
      <w:r w:rsidRPr="00791A3F">
        <w:rPr>
          <w:rFonts w:ascii="Arial" w:hAnsi="Arial" w:cs="Arial"/>
        </w:rPr>
        <w:t>optimisation</w:t>
      </w:r>
      <w:proofErr w:type="spellEnd"/>
      <w:r w:rsidRPr="00791A3F">
        <w:rPr>
          <w:rFonts w:ascii="Arial" w:hAnsi="Arial" w:cs="Arial"/>
        </w:rPr>
        <w:t xml:space="preserve"> and packaging reduction are examples of tangible operational change as the same are part of the renewable energy procurement, refrigeration upgrades. However, Scope 3 emissions are still quite weak regarding target adequacy, consistency with baseline, supplier transformation, and independent verification (CDP, 2023; Balsam et al., 2025).</w:t>
      </w:r>
    </w:p>
    <w:p w14:paraId="633EAA59" w14:textId="77777777" w:rsidR="00221AF1" w:rsidRPr="00791A3F" w:rsidRDefault="00221AF1" w:rsidP="00791A3F">
      <w:pPr>
        <w:spacing w:line="360" w:lineRule="auto"/>
        <w:jc w:val="both"/>
        <w:rPr>
          <w:rFonts w:ascii="Arial" w:hAnsi="Arial" w:cs="Arial"/>
        </w:rPr>
      </w:pPr>
      <w:r w:rsidRPr="00791A3F">
        <w:rPr>
          <w:rFonts w:ascii="Arial" w:hAnsi="Arial" w:cs="Arial"/>
        </w:rPr>
        <w:t xml:space="preserve">The Modern Slavery Act 2015 is a key driver of the growth in ethical sourcing. Retailers are now reporting supplier audits, providing descriptions of risk assessments, and providing annual statements. However, there is less remediation evidence among workers and considerable lack of visibility in the supply chain. This seems to be regulatory </w:t>
      </w:r>
      <w:r w:rsidRPr="00791A3F">
        <w:rPr>
          <w:rFonts w:ascii="Arial" w:hAnsi="Arial" w:cs="Arial"/>
        </w:rPr>
        <w:lastRenderedPageBreak/>
        <w:t>compliance without matched development of worker-</w:t>
      </w:r>
      <w:proofErr w:type="spellStart"/>
      <w:r w:rsidRPr="00791A3F">
        <w:rPr>
          <w:rFonts w:ascii="Arial" w:hAnsi="Arial" w:cs="Arial"/>
        </w:rPr>
        <w:t>centred</w:t>
      </w:r>
      <w:proofErr w:type="spellEnd"/>
      <w:r w:rsidRPr="00791A3F">
        <w:rPr>
          <w:rFonts w:ascii="Arial" w:hAnsi="Arial" w:cs="Arial"/>
        </w:rPr>
        <w:t>, or worker-focused, accountability (Stevenson &amp; Cole, 2021; LeBaron et al., 2021).</w:t>
      </w:r>
    </w:p>
    <w:p w14:paraId="761A06B3" w14:textId="77777777" w:rsidR="00221AF1" w:rsidRPr="00791A3F" w:rsidRDefault="00221AF1" w:rsidP="00791A3F">
      <w:pPr>
        <w:spacing w:line="360" w:lineRule="auto"/>
        <w:jc w:val="both"/>
        <w:rPr>
          <w:rFonts w:ascii="Arial" w:hAnsi="Arial" w:cs="Arial"/>
        </w:rPr>
      </w:pPr>
      <w:r w:rsidRPr="00791A3F">
        <w:rPr>
          <w:rFonts w:ascii="Arial" w:hAnsi="Arial" w:cs="Arial"/>
        </w:rPr>
        <w:t>Some improvement with employee welfare. COVID-19 had significant positive short-term effects, such as hazard pay, additional sick leave, PPE, mental-health protections, and more (Hobbs &amp; Rude, 2022; Sarkis et al., 2021). However, adoption of living wages, secure job opportunities, collective bargaining and worker voice are still relatively low. The Co-operative Food is unique in being Living Wage accredited, and in having improved stakeholder governance (Living Wage Foundation, 2024; Birchall, 2013).</w:t>
      </w:r>
    </w:p>
    <w:p w14:paraId="5F7FF038" w14:textId="77777777" w:rsidR="00221AF1" w:rsidRPr="00791A3F" w:rsidRDefault="00221AF1" w:rsidP="00791A3F">
      <w:pPr>
        <w:spacing w:line="360" w:lineRule="auto"/>
        <w:jc w:val="both"/>
        <w:rPr>
          <w:rFonts w:ascii="Arial" w:hAnsi="Arial" w:cs="Arial"/>
        </w:rPr>
      </w:pPr>
      <w:r w:rsidRPr="00791A3F">
        <w:rPr>
          <w:rFonts w:ascii="Arial" w:hAnsi="Arial" w:cs="Arial"/>
        </w:rPr>
        <w:t xml:space="preserve">The difference between symbolic </w:t>
      </w:r>
      <w:proofErr w:type="spellStart"/>
      <w:r w:rsidRPr="00791A3F">
        <w:rPr>
          <w:rFonts w:ascii="Arial" w:hAnsi="Arial" w:cs="Arial"/>
        </w:rPr>
        <w:t>substantivation</w:t>
      </w:r>
      <w:proofErr w:type="spellEnd"/>
      <w:r w:rsidRPr="00791A3F">
        <w:rPr>
          <w:rFonts w:ascii="Arial" w:hAnsi="Arial" w:cs="Arial"/>
        </w:rPr>
        <w:t xml:space="preserve"> is greatest in the community engagement sector. Reporting is done more for inputs than outcomes in terms of social outcomes, with reporting on donations, volunteering, food redistribution and local partnerships increasing. It is uncommon to share details of measures of community wellbeing, local economic development or measures of impact, which are often defined by the stakeholders; thus, the actual value creation remains difficult to assess (Clarke et al., 2012; Porter &amp; Kramer, 2011).</w:t>
      </w:r>
    </w:p>
    <w:p w14:paraId="4A2F8376" w14:textId="77777777" w:rsidR="00221AF1" w:rsidRPr="00791A3F" w:rsidRDefault="00221AF1" w:rsidP="00791A3F">
      <w:pPr>
        <w:spacing w:line="360" w:lineRule="auto"/>
        <w:jc w:val="both"/>
        <w:rPr>
          <w:rFonts w:ascii="Arial" w:hAnsi="Arial" w:cs="Arial"/>
        </w:rPr>
      </w:pPr>
      <w:r w:rsidRPr="00791A3F">
        <w:rPr>
          <w:rFonts w:ascii="Arial" w:hAnsi="Arial" w:cs="Arial"/>
        </w:rPr>
        <w:t xml:space="preserve">There is clear progress in labelling and food transparency around allergens, and selected reformulation </w:t>
      </w:r>
      <w:proofErr w:type="spellStart"/>
      <w:r w:rsidRPr="00791A3F">
        <w:rPr>
          <w:rFonts w:ascii="Arial" w:hAnsi="Arial" w:cs="Arial"/>
        </w:rPr>
        <w:t>programmes</w:t>
      </w:r>
      <w:proofErr w:type="spellEnd"/>
      <w:r w:rsidRPr="00791A3F">
        <w:rPr>
          <w:rFonts w:ascii="Arial" w:hAnsi="Arial" w:cs="Arial"/>
        </w:rPr>
        <w:t xml:space="preserve"> through customer responsibility. However, in general, retailers offer little detail with regards to exposure to ultra-processed food, promotion or whole-portfolio nutrition. This mismatch between the health associated messages and existing focus on processed products reinforces the fears around health washing (</w:t>
      </w:r>
      <w:proofErr w:type="spellStart"/>
      <w:r w:rsidRPr="00791A3F">
        <w:rPr>
          <w:rFonts w:ascii="Arial" w:hAnsi="Arial" w:cs="Arial"/>
        </w:rPr>
        <w:t>ShareAction</w:t>
      </w:r>
      <w:proofErr w:type="spellEnd"/>
      <w:r w:rsidRPr="00791A3F">
        <w:rPr>
          <w:rFonts w:ascii="Arial" w:hAnsi="Arial" w:cs="Arial"/>
        </w:rPr>
        <w:t xml:space="preserve">, 2023; </w:t>
      </w:r>
      <w:proofErr w:type="spellStart"/>
      <w:r w:rsidRPr="00791A3F">
        <w:rPr>
          <w:rFonts w:ascii="Arial" w:hAnsi="Arial" w:cs="Arial"/>
        </w:rPr>
        <w:t>Scrinis</w:t>
      </w:r>
      <w:proofErr w:type="spellEnd"/>
      <w:r w:rsidRPr="00791A3F">
        <w:rPr>
          <w:rFonts w:ascii="Arial" w:hAnsi="Arial" w:cs="Arial"/>
        </w:rPr>
        <w:t xml:space="preserve"> &amp; Monteiro, 2025).</w:t>
      </w:r>
    </w:p>
    <w:p w14:paraId="1BD32E05" w14:textId="77777777" w:rsidR="003302A0" w:rsidRPr="00791A3F" w:rsidRDefault="003302A0" w:rsidP="00791A3F">
      <w:pPr>
        <w:pStyle w:val="Heading3"/>
        <w:spacing w:line="360" w:lineRule="auto"/>
        <w:rPr>
          <w:rFonts w:ascii="Arial" w:hAnsi="Arial" w:cs="Arial"/>
        </w:rPr>
      </w:pPr>
      <w:bookmarkStart w:id="94" w:name="_Toc237956922"/>
      <w:bookmarkStart w:id="95" w:name="_Toc238690200"/>
      <w:r w:rsidRPr="00791A3F">
        <w:rPr>
          <w:rFonts w:ascii="Arial" w:hAnsi="Arial" w:cs="Arial"/>
        </w:rPr>
        <w:t>4.2.2 Business Model Differences</w:t>
      </w:r>
      <w:bookmarkEnd w:id="94"/>
      <w:bookmarkEnd w:id="95"/>
    </w:p>
    <w:p w14:paraId="0F993BBA" w14:textId="77777777" w:rsidR="00A41EB8" w:rsidRPr="00791A3F" w:rsidRDefault="00A41EB8" w:rsidP="00791A3F">
      <w:pPr>
        <w:spacing w:line="360" w:lineRule="auto"/>
        <w:jc w:val="both"/>
        <w:rPr>
          <w:rFonts w:ascii="Arial" w:hAnsi="Arial" w:cs="Arial"/>
        </w:rPr>
      </w:pPr>
      <w:r w:rsidRPr="00791A3F">
        <w:rPr>
          <w:rFonts w:ascii="Arial" w:hAnsi="Arial" w:cs="Arial"/>
        </w:rPr>
        <w:t xml:space="preserve">The results show that there are three general CSR profiles. Mainstream supermarkets (Tesco, Sainsbury's, Morrisons and Asda) are reported to have the best reporting processes, and are also the largest to have sustainability teams and assurance and governance capability. They also have the highest level symbolic-substantive gap. Though their disclosures are generous, there is limited implementation, such as in areas of scope 3 emissions, living wages, paying attention to supply-chain remediation, and </w:t>
      </w:r>
      <w:proofErr w:type="spellStart"/>
      <w:r w:rsidRPr="00791A3F">
        <w:rPr>
          <w:rFonts w:ascii="Arial" w:hAnsi="Arial" w:cs="Arial"/>
        </w:rPr>
        <w:t>healthy</w:t>
      </w:r>
      <w:proofErr w:type="spellEnd"/>
      <w:r w:rsidRPr="00791A3F">
        <w:rPr>
          <w:rFonts w:ascii="Arial" w:hAnsi="Arial" w:cs="Arial"/>
        </w:rPr>
        <w:t>-food transformation (Christensen et al., 2021; Zhao et al., 2025).</w:t>
      </w:r>
    </w:p>
    <w:p w14:paraId="0495141C" w14:textId="77777777" w:rsidR="00A41EB8" w:rsidRPr="00791A3F" w:rsidRDefault="00A41EB8" w:rsidP="00791A3F">
      <w:pPr>
        <w:spacing w:line="360" w:lineRule="auto"/>
        <w:jc w:val="both"/>
        <w:rPr>
          <w:rFonts w:ascii="Arial" w:hAnsi="Arial" w:cs="Arial"/>
        </w:rPr>
      </w:pPr>
      <w:r w:rsidRPr="00791A3F">
        <w:rPr>
          <w:rFonts w:ascii="Arial" w:hAnsi="Arial" w:cs="Arial"/>
        </w:rPr>
        <w:lastRenderedPageBreak/>
        <w:t>There's another pattern that is evident at discount retailers like Aldis and Lidl. Real environmental efficiencies can be achieved through operational efficiencies, simplifying the store format, offering a limited range and relatively light supply chains. Whereas sustainability reporting and external assurance is not as widespread and extensive as stakeholder engagement. Their business models thus exhibit an efficiency-focused business approach with a lack of transparency (Richards, 2023; Zhao et al., 2025).</w:t>
      </w:r>
    </w:p>
    <w:p w14:paraId="01237198" w14:textId="77777777" w:rsidR="000C365D" w:rsidRPr="00791A3F" w:rsidRDefault="000C365D" w:rsidP="00791A3F">
      <w:pPr>
        <w:spacing w:line="360" w:lineRule="auto"/>
        <w:rPr>
          <w:rFonts w:ascii="Arial" w:hAnsi="Arial" w:cs="Arial"/>
        </w:rPr>
      </w:pPr>
      <w:bookmarkStart w:id="96" w:name="_Toc237956923"/>
      <w:r w:rsidRPr="00791A3F">
        <w:rPr>
          <w:rFonts w:ascii="Arial" w:hAnsi="Arial" w:cs="Arial"/>
        </w:rPr>
        <w:t>The Co-operative Food has a strong structural orientation with regard to stakeholder principles. It is an accredited Living Wage, cooperative owned, has ethical trading traditions, led by Fairtrade, and delivered the community dividend to the community, in comparison to shareholder owned competitors. But because of the competition and insufficient funding, substantive performance (on all dimensions) is not possible (Birchall, 2013; Hernández-</w:t>
      </w:r>
      <w:proofErr w:type="spellStart"/>
      <w:r w:rsidRPr="00791A3F">
        <w:rPr>
          <w:rFonts w:ascii="Arial" w:hAnsi="Arial" w:cs="Arial"/>
        </w:rPr>
        <w:t>Espallardo</w:t>
      </w:r>
      <w:proofErr w:type="spellEnd"/>
      <w:r w:rsidRPr="00791A3F">
        <w:rPr>
          <w:rFonts w:ascii="Arial" w:hAnsi="Arial" w:cs="Arial"/>
        </w:rPr>
        <w:t xml:space="preserve"> et al., 2021).</w:t>
      </w:r>
    </w:p>
    <w:p w14:paraId="0493B3F3" w14:textId="02D6AFD0" w:rsidR="003302A0" w:rsidRPr="00791A3F" w:rsidRDefault="003302A0" w:rsidP="00791A3F">
      <w:pPr>
        <w:pStyle w:val="Heading2"/>
        <w:spacing w:line="360" w:lineRule="auto"/>
        <w:rPr>
          <w:rFonts w:ascii="Arial" w:hAnsi="Arial" w:cs="Arial"/>
        </w:rPr>
      </w:pPr>
      <w:bookmarkStart w:id="97" w:name="_Toc238690201"/>
      <w:r w:rsidRPr="00791A3F">
        <w:rPr>
          <w:rFonts w:ascii="Arial" w:hAnsi="Arial" w:cs="Arial"/>
        </w:rPr>
        <w:t>4.3 Analysis by Research Question</w:t>
      </w:r>
      <w:bookmarkEnd w:id="96"/>
      <w:bookmarkEnd w:id="97"/>
    </w:p>
    <w:p w14:paraId="316B26B4" w14:textId="77777777" w:rsidR="003302A0" w:rsidRPr="00791A3F" w:rsidRDefault="003302A0" w:rsidP="00791A3F">
      <w:pPr>
        <w:pStyle w:val="Heading3"/>
        <w:spacing w:line="360" w:lineRule="auto"/>
        <w:rPr>
          <w:rFonts w:ascii="Arial" w:hAnsi="Arial" w:cs="Arial"/>
        </w:rPr>
      </w:pPr>
      <w:bookmarkStart w:id="98" w:name="_Toc237956924"/>
      <w:bookmarkStart w:id="99" w:name="_Toc238690202"/>
      <w:r w:rsidRPr="00791A3F">
        <w:rPr>
          <w:rFonts w:ascii="Arial" w:hAnsi="Arial" w:cs="Arial"/>
        </w:rPr>
        <w:t>4.3.1 RQ1: How has CSR developed since Jones et al. (2005)?</w:t>
      </w:r>
      <w:bookmarkEnd w:id="98"/>
      <w:bookmarkEnd w:id="99"/>
    </w:p>
    <w:p w14:paraId="76B88E6B" w14:textId="77777777" w:rsidR="008C61DC" w:rsidRPr="00791A3F" w:rsidRDefault="008C61DC" w:rsidP="00791A3F">
      <w:pPr>
        <w:spacing w:line="360" w:lineRule="auto"/>
        <w:jc w:val="both"/>
        <w:rPr>
          <w:rFonts w:ascii="Arial" w:hAnsi="Arial" w:cs="Arial"/>
        </w:rPr>
      </w:pPr>
      <w:r w:rsidRPr="00791A3F">
        <w:rPr>
          <w:rFonts w:ascii="Arial" w:hAnsi="Arial" w:cs="Arial"/>
        </w:rPr>
        <w:t xml:space="preserve">The main result is the shift from a peripheral to an </w:t>
      </w:r>
      <w:proofErr w:type="spellStart"/>
      <w:r w:rsidRPr="00791A3F">
        <w:rPr>
          <w:rFonts w:ascii="Arial" w:hAnsi="Arial" w:cs="Arial"/>
        </w:rPr>
        <w:t>institutionalised</w:t>
      </w:r>
      <w:proofErr w:type="spellEnd"/>
      <w:r w:rsidRPr="00791A3F">
        <w:rPr>
          <w:rFonts w:ascii="Arial" w:hAnsi="Arial" w:cs="Arial"/>
        </w:rPr>
        <w:t xml:space="preserve"> business function of CSR and the lack of a uniform operational change brought about by </w:t>
      </w:r>
      <w:proofErr w:type="spellStart"/>
      <w:r w:rsidRPr="00791A3F">
        <w:rPr>
          <w:rFonts w:ascii="Arial" w:hAnsi="Arial" w:cs="Arial"/>
        </w:rPr>
        <w:t>institutionalisation</w:t>
      </w:r>
      <w:proofErr w:type="spellEnd"/>
      <w:r w:rsidRPr="00791A3F">
        <w:rPr>
          <w:rFonts w:ascii="Arial" w:hAnsi="Arial" w:cs="Arial"/>
        </w:rPr>
        <w:t xml:space="preserve">. Today, the existence of board committees, sustainability strategies, links to executive KPI, risk systems, supplier </w:t>
      </w:r>
      <w:proofErr w:type="spellStart"/>
      <w:r w:rsidRPr="00791A3F">
        <w:rPr>
          <w:rFonts w:ascii="Arial" w:hAnsi="Arial" w:cs="Arial"/>
        </w:rPr>
        <w:t>programmes</w:t>
      </w:r>
      <w:proofErr w:type="spellEnd"/>
      <w:r w:rsidRPr="00791A3F">
        <w:rPr>
          <w:rFonts w:ascii="Arial" w:hAnsi="Arial" w:cs="Arial"/>
        </w:rPr>
        <w:t xml:space="preserve"> and formal reporting are common practice amongst large retailers (Gond et al., 2020; Matten &amp; Moon, 2008). This is a definite improvement from the </w:t>
      </w:r>
      <w:proofErr w:type="spellStart"/>
      <w:r w:rsidRPr="00791A3F">
        <w:rPr>
          <w:rFonts w:ascii="Arial" w:hAnsi="Arial" w:cs="Arial"/>
        </w:rPr>
        <w:t>mid 2000s</w:t>
      </w:r>
      <w:proofErr w:type="spellEnd"/>
      <w:r w:rsidRPr="00791A3F">
        <w:rPr>
          <w:rFonts w:ascii="Arial" w:hAnsi="Arial" w:cs="Arial"/>
        </w:rPr>
        <w:t>.</w:t>
      </w:r>
    </w:p>
    <w:p w14:paraId="213CA692" w14:textId="77777777" w:rsidR="008C61DC" w:rsidRPr="00791A3F" w:rsidRDefault="008C61DC" w:rsidP="00791A3F">
      <w:pPr>
        <w:spacing w:line="360" w:lineRule="auto"/>
        <w:jc w:val="both"/>
        <w:rPr>
          <w:rFonts w:ascii="Arial" w:hAnsi="Arial" w:cs="Arial"/>
        </w:rPr>
      </w:pPr>
      <w:r w:rsidRPr="00791A3F">
        <w:rPr>
          <w:rFonts w:ascii="Arial" w:hAnsi="Arial" w:cs="Arial"/>
        </w:rPr>
        <w:t>There has been the greatest increase in verifiability in the environmental reporting area. There is increasing structured accounting and external assurance for Scope 1 and Scope 2 emissions, while Tesco and Sainsbury's have assurance for some climate metrics. In contrast, social indicators are to a large extent self-reported. In contrast, modern slavery outcomes, employee wellbeing, community impacts, and health outcomes are less frequently subject to independent verification, if any, and rarely is the same level of effort used to verify each of these outcomes. (</w:t>
      </w:r>
      <w:proofErr w:type="spellStart"/>
      <w:r w:rsidRPr="00791A3F">
        <w:rPr>
          <w:rFonts w:ascii="Arial" w:hAnsi="Arial" w:cs="Arial"/>
        </w:rPr>
        <w:t>Kusumawardani</w:t>
      </w:r>
      <w:proofErr w:type="spellEnd"/>
      <w:r w:rsidRPr="00791A3F">
        <w:rPr>
          <w:rFonts w:ascii="Arial" w:hAnsi="Arial" w:cs="Arial"/>
        </w:rPr>
        <w:t xml:space="preserve"> &amp; </w:t>
      </w:r>
      <w:proofErr w:type="spellStart"/>
      <w:r w:rsidRPr="00791A3F">
        <w:rPr>
          <w:rFonts w:ascii="Arial" w:hAnsi="Arial" w:cs="Arial"/>
        </w:rPr>
        <w:t>Dwiridotjahjono</w:t>
      </w:r>
      <w:proofErr w:type="spellEnd"/>
      <w:r w:rsidRPr="00791A3F">
        <w:rPr>
          <w:rFonts w:ascii="Arial" w:hAnsi="Arial" w:cs="Arial"/>
        </w:rPr>
        <w:t xml:space="preserve">, 2024; </w:t>
      </w:r>
      <w:proofErr w:type="spellStart"/>
      <w:r w:rsidRPr="00791A3F">
        <w:rPr>
          <w:rFonts w:ascii="Arial" w:hAnsi="Arial" w:cs="Arial"/>
        </w:rPr>
        <w:t>Boiral</w:t>
      </w:r>
      <w:proofErr w:type="spellEnd"/>
      <w:r w:rsidRPr="00791A3F">
        <w:rPr>
          <w:rFonts w:ascii="Arial" w:hAnsi="Arial" w:cs="Arial"/>
        </w:rPr>
        <w:t xml:space="preserve"> et al., 2019)</w:t>
      </w:r>
    </w:p>
    <w:p w14:paraId="2ECEE0B8" w14:textId="77777777" w:rsidR="008C61DC" w:rsidRPr="00791A3F" w:rsidRDefault="008C61DC" w:rsidP="00791A3F">
      <w:pPr>
        <w:spacing w:line="360" w:lineRule="auto"/>
        <w:jc w:val="both"/>
        <w:rPr>
          <w:rFonts w:ascii="Arial" w:hAnsi="Arial" w:cs="Arial"/>
        </w:rPr>
      </w:pPr>
      <w:r w:rsidRPr="00791A3F">
        <w:rPr>
          <w:rFonts w:ascii="Arial" w:hAnsi="Arial" w:cs="Arial"/>
        </w:rPr>
        <w:lastRenderedPageBreak/>
        <w:t xml:space="preserve">There has also been an improvement (albeit not uniform) in measurability. While climate commitments can be established with a baseline, percentage, a time frame and a measure of progress, social commitments can be formulated with very general </w:t>
      </w:r>
      <w:proofErr w:type="gramStart"/>
      <w:r w:rsidRPr="00791A3F">
        <w:rPr>
          <w:rFonts w:ascii="Arial" w:hAnsi="Arial" w:cs="Arial"/>
        </w:rPr>
        <w:t>future oriented</w:t>
      </w:r>
      <w:proofErr w:type="gramEnd"/>
      <w:r w:rsidRPr="00791A3F">
        <w:rPr>
          <w:rFonts w:ascii="Arial" w:hAnsi="Arial" w:cs="Arial"/>
        </w:rPr>
        <w:t xml:space="preserve"> statements, such as 'improving wellbeing' or 'supporting communities'. Linguistic vagueness may make it more difficult to hold someone accountable since there is no clear starting point or standard to measure against to determine achievement (Bose et al., 2024).</w:t>
      </w:r>
    </w:p>
    <w:p w14:paraId="518FB6BA" w14:textId="77777777" w:rsidR="008C61DC" w:rsidRPr="00791A3F" w:rsidRDefault="008C61DC" w:rsidP="00791A3F">
      <w:pPr>
        <w:spacing w:line="360" w:lineRule="auto"/>
        <w:jc w:val="both"/>
        <w:rPr>
          <w:rFonts w:ascii="Arial" w:hAnsi="Arial" w:cs="Arial"/>
        </w:rPr>
      </w:pPr>
      <w:r w:rsidRPr="00791A3F">
        <w:rPr>
          <w:rFonts w:ascii="Arial" w:hAnsi="Arial" w:cs="Arial"/>
        </w:rPr>
        <w:t>Board oversight and executive incentives for accountability have increased, but consequences for failure are not so clear. Poor performance does not always lead to notifications of corrective actions, and there are few formal processes in place for worker/community stakeholders to hold poor performance accountable (LeBaron et al., 2021; Stevenson &amp; Cole, 2021).</w:t>
      </w:r>
    </w:p>
    <w:p w14:paraId="1161ED24" w14:textId="77777777" w:rsidR="008C61DC" w:rsidRPr="00791A3F" w:rsidRDefault="008C61DC" w:rsidP="00791A3F">
      <w:pPr>
        <w:spacing w:line="360" w:lineRule="auto"/>
        <w:jc w:val="both"/>
        <w:rPr>
          <w:rFonts w:ascii="Arial" w:hAnsi="Arial" w:cs="Arial"/>
        </w:rPr>
      </w:pPr>
      <w:r w:rsidRPr="00791A3F">
        <w:rPr>
          <w:rFonts w:ascii="Arial" w:hAnsi="Arial" w:cs="Arial"/>
        </w:rPr>
        <w:t>The best integration is achieved when CSR is related to cost cutting or regulation. Reducing environmental impacts and operating costs can be achieved at the same time, for example through energy efficiency, refrigeration and through using renewable electricity and reducing packaging. Social initiatives which involve regular financial redistributions (e.g. living wages, supplier remediation) are more likely to meet with opposition. This means that economic compatibility of CSR integration with the current business model is a contributing factor to CSR integration.</w:t>
      </w:r>
    </w:p>
    <w:p w14:paraId="74D3434F" w14:textId="77777777" w:rsidR="008C61DC" w:rsidRPr="00791A3F" w:rsidRDefault="008C61DC" w:rsidP="00791A3F">
      <w:pPr>
        <w:spacing w:line="360" w:lineRule="auto"/>
        <w:jc w:val="both"/>
        <w:rPr>
          <w:rFonts w:ascii="Arial" w:hAnsi="Arial" w:cs="Arial"/>
        </w:rPr>
      </w:pPr>
      <w:r w:rsidRPr="00791A3F">
        <w:rPr>
          <w:rFonts w:ascii="Arial" w:hAnsi="Arial" w:cs="Arial"/>
        </w:rPr>
        <w:t>The frameworks such as TCFD, GRI and others have helped to increase comparability. Social reporting, however, is still disconnected across a variety of subjects, especially in the areas of modern slavery, worker voice, community outcomes and nutrition. This means that CSR will evolve over time and is measurable, but not all dimensions have evolved to the same extent.</w:t>
      </w:r>
    </w:p>
    <w:p w14:paraId="67CA279B" w14:textId="77777777" w:rsidR="003302A0" w:rsidRPr="00791A3F" w:rsidRDefault="003302A0" w:rsidP="00791A3F">
      <w:pPr>
        <w:pStyle w:val="Heading3"/>
        <w:spacing w:line="360" w:lineRule="auto"/>
        <w:rPr>
          <w:rFonts w:ascii="Arial" w:hAnsi="Arial" w:cs="Arial"/>
        </w:rPr>
      </w:pPr>
      <w:bookmarkStart w:id="100" w:name="_Toc237956925"/>
      <w:bookmarkStart w:id="101" w:name="_Toc238690203"/>
      <w:r w:rsidRPr="00791A3F">
        <w:rPr>
          <w:rFonts w:ascii="Arial" w:hAnsi="Arial" w:cs="Arial"/>
        </w:rPr>
        <w:t>4.3.2 Mandatory and Voluntary CSR</w:t>
      </w:r>
      <w:bookmarkEnd w:id="100"/>
      <w:bookmarkEnd w:id="101"/>
    </w:p>
    <w:p w14:paraId="515E5387" w14:textId="77777777" w:rsidR="00D062F4" w:rsidRPr="00791A3F" w:rsidRDefault="00D062F4" w:rsidP="00791A3F">
      <w:pPr>
        <w:spacing w:line="360" w:lineRule="auto"/>
        <w:jc w:val="both"/>
        <w:rPr>
          <w:rFonts w:ascii="Arial" w:hAnsi="Arial" w:cs="Arial"/>
        </w:rPr>
      </w:pPr>
      <w:r w:rsidRPr="00791A3F">
        <w:rPr>
          <w:rFonts w:ascii="Arial" w:hAnsi="Arial" w:cs="Arial"/>
        </w:rPr>
        <w:t xml:space="preserve">One of the most important results is that of the distinction between mandatory CSR areas and voluntary CSR areas. TCFD related climate reporting, Modern Slavery Act (MSA) statements, food-safety standards and packaging tax have been widely adopted. </w:t>
      </w:r>
      <w:r w:rsidRPr="00791A3F">
        <w:rPr>
          <w:rFonts w:ascii="Arial" w:hAnsi="Arial" w:cs="Arial"/>
        </w:rPr>
        <w:lastRenderedPageBreak/>
        <w:t>Retailers have put in place quantified systems and changes to their operations, where there is a clear minimum standard set by regulation.</w:t>
      </w:r>
    </w:p>
    <w:p w14:paraId="2AB7434D" w14:textId="77777777" w:rsidR="00D062F4" w:rsidRPr="00791A3F" w:rsidRDefault="00D062F4" w:rsidP="00791A3F">
      <w:pPr>
        <w:spacing w:line="360" w:lineRule="auto"/>
        <w:jc w:val="both"/>
        <w:rPr>
          <w:rFonts w:ascii="Arial" w:hAnsi="Arial" w:cs="Arial"/>
        </w:rPr>
      </w:pPr>
      <w:r w:rsidRPr="00791A3F">
        <w:rPr>
          <w:rFonts w:ascii="Arial" w:hAnsi="Arial" w:cs="Arial"/>
        </w:rPr>
        <w:t>Voluntary areas are still not as substantial. There are few living-wage pledges, many strategies are not ambitious enough, remediation of the workers is not documented, and there is no clear enforcement of healthy food targets. This conforms to the institutional theory, which suggests that pressures to conform and comply come from coercion (DiMaggio &amp; Powell, 1983; Bansal &amp; Roth, 2000), while pressures to conform and comply come from some norm, but without sanctions, it is possible to get symbolic responses.</w:t>
      </w:r>
    </w:p>
    <w:p w14:paraId="00E53C6C" w14:textId="77777777" w:rsidR="000C365D" w:rsidRPr="00791A3F" w:rsidRDefault="000C365D" w:rsidP="00791A3F">
      <w:pPr>
        <w:spacing w:line="360" w:lineRule="auto"/>
        <w:jc w:val="both"/>
        <w:rPr>
          <w:rFonts w:ascii="Arial" w:hAnsi="Arial" w:cs="Arial"/>
        </w:rPr>
      </w:pPr>
      <w:r w:rsidRPr="00791A3F">
        <w:rPr>
          <w:rFonts w:ascii="Arial" w:hAnsi="Arial" w:cs="Arial"/>
        </w:rPr>
        <w:t>Environmental progress is an example of what happens when there's no regulatory pressure, and when there is. Retailers have stepped up from relatively basic Scope 1 and 2 energy efficiency measures, to green electricity procurement and refrigeration upgrades, between 2005 and 2025. The regulatory developments also had an impact on packaging reduction. However, transformation is still more limited in terms of biodiversity and Scope 3 transformation which needs deeper change in the supplier relationships and agricultural production.</w:t>
      </w:r>
    </w:p>
    <w:p w14:paraId="63C15E7E" w14:textId="0E662D51" w:rsidR="00D062F4" w:rsidRPr="00791A3F" w:rsidRDefault="00D062F4" w:rsidP="00791A3F">
      <w:pPr>
        <w:spacing w:line="360" w:lineRule="auto"/>
        <w:jc w:val="both"/>
        <w:rPr>
          <w:rFonts w:ascii="Arial" w:hAnsi="Arial" w:cs="Arial"/>
        </w:rPr>
      </w:pPr>
      <w:r w:rsidRPr="00791A3F">
        <w:rPr>
          <w:rFonts w:ascii="Arial" w:hAnsi="Arial" w:cs="Arial"/>
        </w:rPr>
        <w:t xml:space="preserve">Ethical sourcing shows evidence of disclosure growth that does not have any outcome evidence. Although suppliers' codes, certifications, audits and human-rights committees increased, the identification of worker compensation and remediation was still challenging. The gap is that while retailers are establishing their due diligence processes, they don't necessarily have their processes in place to restore impacted workers (Meehan &amp; </w:t>
      </w:r>
      <w:proofErr w:type="spellStart"/>
      <w:r w:rsidRPr="00791A3F">
        <w:rPr>
          <w:rFonts w:ascii="Arial" w:hAnsi="Arial" w:cs="Arial"/>
        </w:rPr>
        <w:t>Pinnington</w:t>
      </w:r>
      <w:proofErr w:type="spellEnd"/>
      <w:r w:rsidRPr="00791A3F">
        <w:rPr>
          <w:rFonts w:ascii="Arial" w:hAnsi="Arial" w:cs="Arial"/>
        </w:rPr>
        <w:t>, 2022; Sarfaty &amp; Zhang, 2025).</w:t>
      </w:r>
    </w:p>
    <w:p w14:paraId="0C52FB17" w14:textId="77777777" w:rsidR="00D062F4" w:rsidRPr="00791A3F" w:rsidRDefault="00D062F4" w:rsidP="00791A3F">
      <w:pPr>
        <w:spacing w:line="360" w:lineRule="auto"/>
        <w:jc w:val="both"/>
        <w:rPr>
          <w:rFonts w:ascii="Arial" w:hAnsi="Arial" w:cs="Arial"/>
        </w:rPr>
      </w:pPr>
      <w:r w:rsidRPr="00791A3F">
        <w:rPr>
          <w:rFonts w:ascii="Arial" w:hAnsi="Arial" w:cs="Arial"/>
        </w:rPr>
        <w:t>The pattern of employee welfare is a more complicated one. COVID-19 offered immediate incentives to protect workers in all the areas of pay support, sick leave, health protection, and provision for mental health – resulting in real upgrades in the interim. During the crisis, a number of short-term measures were scrapped and long-term wage and job security mechanisms were relatively unaffected. This shows that the substantive action does not necessarily result from the crisis pressure, but it could. (Hobbs &amp; Rude, 2022)</w:t>
      </w:r>
    </w:p>
    <w:p w14:paraId="667769BC" w14:textId="77777777" w:rsidR="00D062F4" w:rsidRPr="00791A3F" w:rsidRDefault="00D062F4" w:rsidP="00791A3F">
      <w:pPr>
        <w:spacing w:line="360" w:lineRule="auto"/>
        <w:jc w:val="both"/>
        <w:rPr>
          <w:rFonts w:ascii="Arial" w:hAnsi="Arial" w:cs="Arial"/>
        </w:rPr>
      </w:pPr>
      <w:r w:rsidRPr="00791A3F">
        <w:rPr>
          <w:rFonts w:ascii="Arial" w:hAnsi="Arial" w:cs="Arial"/>
        </w:rPr>
        <w:t xml:space="preserve">Through the community engagement, the charitable funds were used, along with volunteering, re-distribution of food and partnerships. However, very few retailers record </w:t>
      </w:r>
      <w:r w:rsidRPr="00791A3F">
        <w:rPr>
          <w:rFonts w:ascii="Arial" w:hAnsi="Arial" w:cs="Arial"/>
        </w:rPr>
        <w:lastRenderedPageBreak/>
        <w:t xml:space="preserve">their activity not their outcomes. Giving to </w:t>
      </w:r>
      <w:proofErr w:type="spellStart"/>
      <w:r w:rsidRPr="00791A3F">
        <w:rPr>
          <w:rFonts w:ascii="Arial" w:hAnsi="Arial" w:cs="Arial"/>
        </w:rPr>
        <w:t>organisations</w:t>
      </w:r>
      <w:proofErr w:type="spellEnd"/>
      <w:r w:rsidRPr="00791A3F">
        <w:rPr>
          <w:rFonts w:ascii="Arial" w:hAnsi="Arial" w:cs="Arial"/>
        </w:rPr>
        <w:t xml:space="preserve"> or volunteering time shows the effort an </w:t>
      </w:r>
      <w:proofErr w:type="spellStart"/>
      <w:r w:rsidRPr="00791A3F">
        <w:rPr>
          <w:rFonts w:ascii="Arial" w:hAnsi="Arial" w:cs="Arial"/>
        </w:rPr>
        <w:t>organisation</w:t>
      </w:r>
      <w:proofErr w:type="spellEnd"/>
      <w:r w:rsidRPr="00791A3F">
        <w:rPr>
          <w:rFonts w:ascii="Arial" w:hAnsi="Arial" w:cs="Arial"/>
        </w:rPr>
        <w:t xml:space="preserve"> has put in but not necessarily a better wellbeing or a decrease in inequalities. This is an old output-outcome dichotomy of CSR evaluation that has been established by Clarke et al. (2012).</w:t>
      </w:r>
    </w:p>
    <w:p w14:paraId="0E203CF9" w14:textId="77777777" w:rsidR="00D062F4" w:rsidRPr="00791A3F" w:rsidRDefault="00D062F4" w:rsidP="00791A3F">
      <w:pPr>
        <w:spacing w:line="360" w:lineRule="auto"/>
        <w:jc w:val="both"/>
        <w:rPr>
          <w:rFonts w:ascii="Arial" w:hAnsi="Arial" w:cs="Arial"/>
        </w:rPr>
      </w:pPr>
      <w:r w:rsidRPr="00791A3F">
        <w:rPr>
          <w:rFonts w:ascii="Arial" w:hAnsi="Arial" w:cs="Arial"/>
        </w:rPr>
        <w:t>Some improvements have been made that have actually been the responsibility of the customer. A reinforced transparency of the consumer has been achieved thanks to the nutrition labelling and the information about allergens, and a reformulation of selected products. However, the lack of full disclosure of ultra-processed food sales, and the continuation of the promotion of processed categories of food, limits the ability to say that there is a comprehensive transformation of the food system for health (</w:t>
      </w:r>
      <w:proofErr w:type="spellStart"/>
      <w:r w:rsidRPr="00791A3F">
        <w:rPr>
          <w:rFonts w:ascii="Arial" w:hAnsi="Arial" w:cs="Arial"/>
        </w:rPr>
        <w:t>ShareAction</w:t>
      </w:r>
      <w:proofErr w:type="spellEnd"/>
      <w:r w:rsidRPr="00791A3F">
        <w:rPr>
          <w:rFonts w:ascii="Arial" w:hAnsi="Arial" w:cs="Arial"/>
        </w:rPr>
        <w:t xml:space="preserve">, 2023; </w:t>
      </w:r>
      <w:proofErr w:type="spellStart"/>
      <w:r w:rsidRPr="00791A3F">
        <w:rPr>
          <w:rFonts w:ascii="Arial" w:hAnsi="Arial" w:cs="Arial"/>
        </w:rPr>
        <w:t>Scrinis</w:t>
      </w:r>
      <w:proofErr w:type="spellEnd"/>
      <w:r w:rsidRPr="00791A3F">
        <w:rPr>
          <w:rFonts w:ascii="Arial" w:hAnsi="Arial" w:cs="Arial"/>
        </w:rPr>
        <w:t xml:space="preserve"> &amp; Monteiro, 2025).</w:t>
      </w:r>
    </w:p>
    <w:p w14:paraId="05CFD09C" w14:textId="77777777" w:rsidR="003302A0" w:rsidRPr="00791A3F" w:rsidRDefault="003302A0" w:rsidP="00791A3F">
      <w:pPr>
        <w:pStyle w:val="Heading3"/>
        <w:spacing w:line="360" w:lineRule="auto"/>
        <w:rPr>
          <w:rFonts w:ascii="Arial" w:hAnsi="Arial" w:cs="Arial"/>
        </w:rPr>
      </w:pPr>
      <w:bookmarkStart w:id="102" w:name="_Toc237956926"/>
      <w:bookmarkStart w:id="103" w:name="_Toc238690204"/>
      <w:r w:rsidRPr="00791A3F">
        <w:rPr>
          <w:rFonts w:ascii="Arial" w:hAnsi="Arial" w:cs="Arial"/>
        </w:rPr>
        <w:t>4.3.3 RQ2: What Evidence Exists of Substantive Rather Than Symbolic CSR?</w:t>
      </w:r>
      <w:bookmarkEnd w:id="102"/>
      <w:bookmarkEnd w:id="103"/>
    </w:p>
    <w:p w14:paraId="752B3D8F" w14:textId="77777777" w:rsidR="000C365D" w:rsidRPr="00791A3F" w:rsidRDefault="000C365D" w:rsidP="00791A3F">
      <w:pPr>
        <w:spacing w:line="360" w:lineRule="auto"/>
        <w:jc w:val="both"/>
        <w:rPr>
          <w:rFonts w:ascii="Arial" w:hAnsi="Arial" w:cs="Arial"/>
        </w:rPr>
      </w:pPr>
      <w:r w:rsidRPr="00791A3F">
        <w:rPr>
          <w:rFonts w:ascii="Arial" w:hAnsi="Arial" w:cs="Arial"/>
        </w:rPr>
        <w:t>There is good evidence of operational change provided by environmental management. Changes made by all retailers as a result of the electricity, refrigeration, packaging and logistics have been quantified and the links between the various changes and capital investments can be established. But scope 3 is the major challenge as it is dependent on suppliers and agricultural production.</w:t>
      </w:r>
    </w:p>
    <w:p w14:paraId="014CFB8C" w14:textId="7472DA3D" w:rsidR="00774993" w:rsidRPr="00791A3F" w:rsidRDefault="00774993" w:rsidP="00791A3F">
      <w:pPr>
        <w:spacing w:line="360" w:lineRule="auto"/>
        <w:jc w:val="both"/>
        <w:rPr>
          <w:rFonts w:ascii="Arial" w:hAnsi="Arial" w:cs="Arial"/>
        </w:rPr>
      </w:pPr>
      <w:r w:rsidRPr="00791A3F">
        <w:rPr>
          <w:rFonts w:ascii="Arial" w:hAnsi="Arial" w:cs="Arial"/>
        </w:rPr>
        <w:t xml:space="preserve">The scope 3 reporting can't therefore be mistaken with the scope 3 transformation. The targets could be small, baselines may be updated and supplier </w:t>
      </w:r>
      <w:proofErr w:type="spellStart"/>
      <w:r w:rsidRPr="00791A3F">
        <w:rPr>
          <w:rFonts w:ascii="Arial" w:hAnsi="Arial" w:cs="Arial"/>
        </w:rPr>
        <w:t>programmes</w:t>
      </w:r>
      <w:proofErr w:type="spellEnd"/>
      <w:r w:rsidRPr="00791A3F">
        <w:rPr>
          <w:rFonts w:ascii="Arial" w:hAnsi="Arial" w:cs="Arial"/>
        </w:rPr>
        <w:t xml:space="preserve"> could include only a small proportion of the farms. Evidence of absolute transformation in the supply chain is less strong for claims that rely heavily on accounting improvements or renewable-energy procurement or on small pilots (Bingler et al., 2023).</w:t>
      </w:r>
    </w:p>
    <w:p w14:paraId="015AD519" w14:textId="77777777" w:rsidR="00774993" w:rsidRPr="00791A3F" w:rsidRDefault="00774993" w:rsidP="00791A3F">
      <w:pPr>
        <w:spacing w:line="360" w:lineRule="auto"/>
        <w:jc w:val="both"/>
        <w:rPr>
          <w:rFonts w:ascii="Arial" w:hAnsi="Arial" w:cs="Arial"/>
        </w:rPr>
      </w:pPr>
      <w:r w:rsidRPr="00791A3F">
        <w:rPr>
          <w:rFonts w:ascii="Arial" w:hAnsi="Arial" w:cs="Arial"/>
        </w:rPr>
        <w:t xml:space="preserve">A similar issue occurs with biodiversity. The language and commitments from retailers are made towards nature through soy, palm oil, cocoa and beef are lacking in transparency of exclusion mechanisms and lack large-scale regenerative agriculture. Overall, innovation does not necessarily imply system-wide change, since a pilot </w:t>
      </w:r>
      <w:proofErr w:type="spellStart"/>
      <w:r w:rsidRPr="00791A3F">
        <w:rPr>
          <w:rFonts w:ascii="Arial" w:hAnsi="Arial" w:cs="Arial"/>
        </w:rPr>
        <w:t>programme</w:t>
      </w:r>
      <w:proofErr w:type="spellEnd"/>
      <w:r w:rsidRPr="00791A3F">
        <w:rPr>
          <w:rFonts w:ascii="Arial" w:hAnsi="Arial" w:cs="Arial"/>
        </w:rPr>
        <w:t xml:space="preserve"> can prove innovative, but not necessarily a sign of change on a broader scale (Greenpeace, 2023).</w:t>
      </w:r>
    </w:p>
    <w:p w14:paraId="14ADCC25" w14:textId="77777777" w:rsidR="00774993" w:rsidRPr="00791A3F" w:rsidRDefault="00774993" w:rsidP="00791A3F">
      <w:pPr>
        <w:spacing w:line="360" w:lineRule="auto"/>
        <w:jc w:val="both"/>
        <w:rPr>
          <w:rFonts w:ascii="Arial" w:hAnsi="Arial" w:cs="Arial"/>
        </w:rPr>
      </w:pPr>
      <w:r w:rsidRPr="00791A3F">
        <w:rPr>
          <w:rFonts w:ascii="Arial" w:hAnsi="Arial" w:cs="Arial"/>
        </w:rPr>
        <w:lastRenderedPageBreak/>
        <w:t>Ethical sourcing has been mainly symbolic in terms of the five criteria. While it is universal to have a modern slavery statement, there is not a universal set of outcome measures. Supplier audits aren't about the number of exploited workers that have been successfully compensated, reinstated or protected. There is also not a complete mapping of the deep tiers, meaning there is less transparency where risks can be focused (Stevenson &amp; Cole, 2021; LeBaron et al., 2021).</w:t>
      </w:r>
    </w:p>
    <w:p w14:paraId="6A7D5EEC" w14:textId="77777777" w:rsidR="00774993" w:rsidRPr="00791A3F" w:rsidRDefault="00774993" w:rsidP="00791A3F">
      <w:pPr>
        <w:spacing w:line="360" w:lineRule="auto"/>
        <w:jc w:val="both"/>
        <w:rPr>
          <w:rFonts w:ascii="Arial" w:hAnsi="Arial" w:cs="Arial"/>
        </w:rPr>
      </w:pPr>
      <w:r w:rsidRPr="00791A3F">
        <w:rPr>
          <w:rFonts w:ascii="Arial" w:hAnsi="Arial" w:cs="Arial"/>
        </w:rPr>
        <w:t xml:space="preserve">There's no doubt that employee welfare is taking on a lot more meaning during this pandemic of COVID-19. Employers put in place PPE, physical protection, sick leave benefits and additional pay premiums. They were actions taken to deal with short term, material threats and were consuming resources. However, long-term concerns, particularly living wages, secured hours and employee representation measures are more challenging as they have an impact on </w:t>
      </w:r>
      <w:proofErr w:type="spellStart"/>
      <w:r w:rsidRPr="00791A3F">
        <w:rPr>
          <w:rFonts w:ascii="Arial" w:hAnsi="Arial" w:cs="Arial"/>
        </w:rPr>
        <w:t>labour</w:t>
      </w:r>
      <w:proofErr w:type="spellEnd"/>
      <w:r w:rsidRPr="00791A3F">
        <w:rPr>
          <w:rFonts w:ascii="Arial" w:hAnsi="Arial" w:cs="Arial"/>
        </w:rPr>
        <w:t xml:space="preserve"> costs and managerial decisions (Oxfam, 2021; </w:t>
      </w:r>
      <w:proofErr w:type="spellStart"/>
      <w:r w:rsidRPr="00791A3F">
        <w:rPr>
          <w:rFonts w:ascii="Arial" w:hAnsi="Arial" w:cs="Arial"/>
        </w:rPr>
        <w:t>ShareAction</w:t>
      </w:r>
      <w:proofErr w:type="spellEnd"/>
      <w:r w:rsidRPr="00791A3F">
        <w:rPr>
          <w:rFonts w:ascii="Arial" w:hAnsi="Arial" w:cs="Arial"/>
        </w:rPr>
        <w:t>, 2023).</w:t>
      </w:r>
    </w:p>
    <w:p w14:paraId="66AF6D1E" w14:textId="77777777" w:rsidR="00774993" w:rsidRPr="00791A3F" w:rsidRDefault="00774993" w:rsidP="00791A3F">
      <w:pPr>
        <w:spacing w:line="360" w:lineRule="auto"/>
        <w:jc w:val="both"/>
        <w:rPr>
          <w:rFonts w:ascii="Arial" w:hAnsi="Arial" w:cs="Arial"/>
        </w:rPr>
      </w:pPr>
      <w:r w:rsidRPr="00791A3F">
        <w:rPr>
          <w:rFonts w:ascii="Arial" w:hAnsi="Arial" w:cs="Arial"/>
        </w:rPr>
        <w:t xml:space="preserve">Evaluating community initiatives raises a challenge as it is hard to categorize them as substantive as it is unlikely that retailers report outcomes. The Co-operative Food is relatively unique in terms of its community dividend as it allocates resources structurally to the localities. However, there is still very limited evidence of how affected communities exert their own decisions on the core commercial decisions in </w:t>
      </w:r>
      <w:proofErr w:type="spellStart"/>
      <w:r w:rsidRPr="00791A3F">
        <w:rPr>
          <w:rFonts w:ascii="Arial" w:hAnsi="Arial" w:cs="Arial"/>
        </w:rPr>
        <w:t>philanthropistic</w:t>
      </w:r>
      <w:proofErr w:type="spellEnd"/>
      <w:r w:rsidRPr="00791A3F">
        <w:rPr>
          <w:rFonts w:ascii="Arial" w:hAnsi="Arial" w:cs="Arial"/>
        </w:rPr>
        <w:t xml:space="preserve"> models (Birchall, 2013).</w:t>
      </w:r>
    </w:p>
    <w:p w14:paraId="72FA1746" w14:textId="77777777" w:rsidR="00774993" w:rsidRPr="00791A3F" w:rsidRDefault="00774993" w:rsidP="00791A3F">
      <w:pPr>
        <w:spacing w:line="360" w:lineRule="auto"/>
        <w:jc w:val="both"/>
        <w:rPr>
          <w:rFonts w:ascii="Arial" w:hAnsi="Arial" w:cs="Arial"/>
        </w:rPr>
      </w:pPr>
      <w:r w:rsidRPr="00791A3F">
        <w:rPr>
          <w:rFonts w:ascii="Arial" w:hAnsi="Arial" w:cs="Arial"/>
        </w:rPr>
        <w:t xml:space="preserve">Customer Responsibility: True transparency and Selective health communication. Whilst reformulation and labelling improvements can help to tackle own-brand products, they are not necessarily linked together and do not necessarily cover the food portfolio as a whole. There is currently no legislation for the public sale of UPFs, making it hard to make a comprehensive evaluation. Thus, the claims about health might be valid on a limited basis within specific </w:t>
      </w:r>
      <w:proofErr w:type="spellStart"/>
      <w:r w:rsidRPr="00791A3F">
        <w:rPr>
          <w:rFonts w:ascii="Arial" w:hAnsi="Arial" w:cs="Arial"/>
        </w:rPr>
        <w:t>programmes</w:t>
      </w:r>
      <w:proofErr w:type="spellEnd"/>
      <w:r w:rsidRPr="00791A3F">
        <w:rPr>
          <w:rFonts w:ascii="Arial" w:hAnsi="Arial" w:cs="Arial"/>
        </w:rPr>
        <w:t>, but won't be when they are read as a proof of transformation of the entire portfolio (</w:t>
      </w:r>
      <w:proofErr w:type="spellStart"/>
      <w:r w:rsidRPr="00791A3F">
        <w:rPr>
          <w:rFonts w:ascii="Arial" w:hAnsi="Arial" w:cs="Arial"/>
        </w:rPr>
        <w:t>ShareAction</w:t>
      </w:r>
      <w:proofErr w:type="spellEnd"/>
      <w:r w:rsidRPr="00791A3F">
        <w:rPr>
          <w:rFonts w:ascii="Arial" w:hAnsi="Arial" w:cs="Arial"/>
        </w:rPr>
        <w:t xml:space="preserve">, 2023; </w:t>
      </w:r>
      <w:proofErr w:type="spellStart"/>
      <w:r w:rsidRPr="00791A3F">
        <w:rPr>
          <w:rFonts w:ascii="Arial" w:hAnsi="Arial" w:cs="Arial"/>
        </w:rPr>
        <w:t>Scrinis</w:t>
      </w:r>
      <w:proofErr w:type="spellEnd"/>
      <w:r w:rsidRPr="00791A3F">
        <w:rPr>
          <w:rFonts w:ascii="Arial" w:hAnsi="Arial" w:cs="Arial"/>
        </w:rPr>
        <w:t xml:space="preserve"> &amp; Monteiro, 2025).</w:t>
      </w:r>
    </w:p>
    <w:p w14:paraId="7F5BD089" w14:textId="77777777" w:rsidR="003302A0" w:rsidRPr="00791A3F" w:rsidRDefault="003302A0" w:rsidP="00791A3F">
      <w:pPr>
        <w:pStyle w:val="Heading3"/>
        <w:spacing w:line="360" w:lineRule="auto"/>
        <w:rPr>
          <w:rFonts w:ascii="Arial" w:hAnsi="Arial" w:cs="Arial"/>
        </w:rPr>
      </w:pPr>
      <w:bookmarkStart w:id="104" w:name="_Toc237956927"/>
      <w:bookmarkStart w:id="105" w:name="_Toc238690205"/>
      <w:r w:rsidRPr="00791A3F">
        <w:rPr>
          <w:rFonts w:ascii="Arial" w:hAnsi="Arial" w:cs="Arial"/>
        </w:rPr>
        <w:t>4.3.4 RQ3: How Do Business Models Differ?</w:t>
      </w:r>
      <w:bookmarkEnd w:id="104"/>
      <w:bookmarkEnd w:id="105"/>
    </w:p>
    <w:p w14:paraId="005C1E92" w14:textId="77777777" w:rsidR="00CA2D93" w:rsidRPr="00791A3F" w:rsidRDefault="00CA2D93" w:rsidP="00791A3F">
      <w:pPr>
        <w:spacing w:line="360" w:lineRule="auto"/>
        <w:jc w:val="both"/>
        <w:rPr>
          <w:rFonts w:ascii="Arial" w:hAnsi="Arial" w:cs="Arial"/>
        </w:rPr>
      </w:pPr>
      <w:r w:rsidRPr="00791A3F">
        <w:rPr>
          <w:rFonts w:ascii="Arial" w:hAnsi="Arial" w:cs="Arial"/>
        </w:rPr>
        <w:t xml:space="preserve">Research indicates that mainstream retailers have good institutional capacity and also have good reputational management incentives. They are large and conspicuous enough </w:t>
      </w:r>
      <w:r w:rsidRPr="00791A3F">
        <w:rPr>
          <w:rFonts w:ascii="Arial" w:hAnsi="Arial" w:cs="Arial"/>
        </w:rPr>
        <w:lastRenderedPageBreak/>
        <w:t xml:space="preserve">to attract attention, and have long supply chains that allow for symbolic distinctions to be made between the actions of the company and its suppliers. CSR can therefore be </w:t>
      </w:r>
      <w:proofErr w:type="spellStart"/>
      <w:r w:rsidRPr="00791A3F">
        <w:rPr>
          <w:rFonts w:ascii="Arial" w:hAnsi="Arial" w:cs="Arial"/>
        </w:rPr>
        <w:t>professionalised</w:t>
      </w:r>
      <w:proofErr w:type="spellEnd"/>
      <w:r w:rsidRPr="00791A3F">
        <w:rPr>
          <w:rFonts w:ascii="Arial" w:hAnsi="Arial" w:cs="Arial"/>
        </w:rPr>
        <w:t xml:space="preserve"> to bring about real improvements, as well as impression management (Michelon et al., 2015; Zhao et al., 2025).</w:t>
      </w:r>
    </w:p>
    <w:p w14:paraId="690D71D2" w14:textId="77777777" w:rsidR="00CA2D93" w:rsidRPr="00791A3F" w:rsidRDefault="00CA2D93" w:rsidP="00791A3F">
      <w:pPr>
        <w:spacing w:line="360" w:lineRule="auto"/>
        <w:jc w:val="both"/>
        <w:rPr>
          <w:rFonts w:ascii="Arial" w:hAnsi="Arial" w:cs="Arial"/>
        </w:rPr>
      </w:pPr>
      <w:r w:rsidRPr="00791A3F">
        <w:rPr>
          <w:rFonts w:ascii="Arial" w:hAnsi="Arial" w:cs="Arial"/>
        </w:rPr>
        <w:t>This is reflected by Tesco. It has large climate governance, large operational environmental investment, sustainability reporting and accountability of the executive. But a more ambitious scope 3, remediation, adoption of living-wages, and nutrition transformation are less convincing. The case illustrates that in order to be held accountable in a substantive way, a CSR infrastructure needs to be both advanced and comprehensive.</w:t>
      </w:r>
    </w:p>
    <w:p w14:paraId="43D47AA1" w14:textId="77777777" w:rsidR="00CA2D93" w:rsidRPr="00791A3F" w:rsidRDefault="00CA2D93" w:rsidP="00791A3F">
      <w:pPr>
        <w:spacing w:line="360" w:lineRule="auto"/>
        <w:jc w:val="both"/>
        <w:rPr>
          <w:rFonts w:ascii="Arial" w:hAnsi="Arial" w:cs="Arial"/>
        </w:rPr>
      </w:pPr>
      <w:r w:rsidRPr="00791A3F">
        <w:rPr>
          <w:rFonts w:ascii="Arial" w:hAnsi="Arial" w:cs="Arial"/>
        </w:rPr>
        <w:t>Aldi and Lidl are an example of an alternative that is more efficient. Advantages for the environment can be achieved by smaller formats, limited ranges, package simplifications and optimized logistics without a lot of communication. However, there are not comprehensive sustainability disclosures and external assurance, which makes it challenging to verify the outcomes comprehensively. Their transparency shortfall is thus a different issue than their disclosure-substance shortfall (Richards, 2023) that the mainstream retailers have.</w:t>
      </w:r>
    </w:p>
    <w:p w14:paraId="49714595" w14:textId="77777777" w:rsidR="00CA2D93" w:rsidRPr="00791A3F" w:rsidRDefault="00CA2D93" w:rsidP="00791A3F">
      <w:pPr>
        <w:spacing w:line="360" w:lineRule="auto"/>
        <w:jc w:val="both"/>
        <w:rPr>
          <w:rFonts w:ascii="Arial" w:hAnsi="Arial" w:cs="Arial"/>
        </w:rPr>
      </w:pPr>
      <w:r w:rsidRPr="00791A3F">
        <w:rPr>
          <w:rFonts w:ascii="Arial" w:hAnsi="Arial" w:cs="Arial"/>
        </w:rPr>
        <w:t>The Co-operative Food illustrates how governance can help to deepen the integration of stakeholders. Structural foundations for CSR are improved by the Living Wage accreditation, Fairtrade leadership, community investment, and community participation. Social goals are included in the ownership model, which limits the short-term managerial discretion that makes these commitments less dependent on the decisions of managers (Hernández-</w:t>
      </w:r>
      <w:proofErr w:type="spellStart"/>
      <w:r w:rsidRPr="00791A3F">
        <w:rPr>
          <w:rFonts w:ascii="Arial" w:hAnsi="Arial" w:cs="Arial"/>
        </w:rPr>
        <w:t>Espallardo</w:t>
      </w:r>
      <w:proofErr w:type="spellEnd"/>
      <w:r w:rsidRPr="00791A3F">
        <w:rPr>
          <w:rFonts w:ascii="Arial" w:hAnsi="Arial" w:cs="Arial"/>
        </w:rPr>
        <w:t xml:space="preserve"> et al., 2021; Birchall, 2013). However, competing and financial problems can still not be avoided even in cooperative ownership.</w:t>
      </w:r>
    </w:p>
    <w:p w14:paraId="06EA6497" w14:textId="7E830686" w:rsidR="00225B11" w:rsidRPr="00791A3F" w:rsidRDefault="00225B11" w:rsidP="00791A3F">
      <w:pPr>
        <w:spacing w:line="360" w:lineRule="auto"/>
        <w:jc w:val="both"/>
        <w:rPr>
          <w:rFonts w:ascii="Arial" w:hAnsi="Arial" w:cs="Arial"/>
        </w:rPr>
      </w:pPr>
      <w:bookmarkStart w:id="106" w:name="_Toc237956928"/>
      <w:r w:rsidRPr="00791A3F">
        <w:rPr>
          <w:rFonts w:ascii="Arial" w:hAnsi="Arial" w:cs="Arial"/>
        </w:rPr>
        <w:t>But the differences in the business models should not be read on their own without considering the pressures on the business in the sector as a whole. As a market participant, the retailer should not only guarantee the quality of products and services but also ensure their competitiveness through maintaining their optimal price and satisfying the shareholders, while dealing with the fragmented regulations, affordability of consumers and complex supply chains (Zhao et al., 2025).</w:t>
      </w:r>
    </w:p>
    <w:p w14:paraId="770E44AA" w14:textId="6F756D2E" w:rsidR="003302A0" w:rsidRPr="00791A3F" w:rsidRDefault="003302A0" w:rsidP="00791A3F">
      <w:pPr>
        <w:pStyle w:val="Heading3"/>
        <w:spacing w:line="360" w:lineRule="auto"/>
        <w:rPr>
          <w:rFonts w:ascii="Arial" w:hAnsi="Arial" w:cs="Arial"/>
        </w:rPr>
      </w:pPr>
      <w:bookmarkStart w:id="107" w:name="_Toc238690206"/>
      <w:r w:rsidRPr="00791A3F">
        <w:rPr>
          <w:rFonts w:ascii="Arial" w:hAnsi="Arial" w:cs="Arial"/>
        </w:rPr>
        <w:lastRenderedPageBreak/>
        <w:t>4.3.5 RQ4: How Are Emerging Priorities Shaping CSR Agendas?</w:t>
      </w:r>
      <w:bookmarkEnd w:id="106"/>
      <w:bookmarkEnd w:id="107"/>
    </w:p>
    <w:p w14:paraId="796D26FD" w14:textId="77777777" w:rsidR="004D3070" w:rsidRPr="00791A3F" w:rsidRDefault="004D3070" w:rsidP="00791A3F">
      <w:pPr>
        <w:spacing w:line="360" w:lineRule="auto"/>
        <w:jc w:val="both"/>
        <w:rPr>
          <w:rFonts w:ascii="Arial" w:hAnsi="Arial" w:cs="Arial"/>
        </w:rPr>
      </w:pPr>
      <w:r w:rsidRPr="00791A3F">
        <w:rPr>
          <w:rFonts w:ascii="Arial" w:hAnsi="Arial" w:cs="Arial"/>
        </w:rPr>
        <w:t xml:space="preserve">Since 2020 Scope 3 emissions have been a major concern in climate change. Retailers are more often publicly reporting their upstream emissions, implementing </w:t>
      </w:r>
      <w:proofErr w:type="gramStart"/>
      <w:r w:rsidRPr="00791A3F">
        <w:rPr>
          <w:rFonts w:ascii="Arial" w:hAnsi="Arial" w:cs="Arial"/>
        </w:rPr>
        <w:t>science based</w:t>
      </w:r>
      <w:proofErr w:type="gramEnd"/>
      <w:r w:rsidRPr="00791A3F">
        <w:rPr>
          <w:rFonts w:ascii="Arial" w:hAnsi="Arial" w:cs="Arial"/>
        </w:rPr>
        <w:t xml:space="preserve"> targets and implementing supplier engagement </w:t>
      </w:r>
      <w:proofErr w:type="spellStart"/>
      <w:r w:rsidRPr="00791A3F">
        <w:rPr>
          <w:rFonts w:ascii="Arial" w:hAnsi="Arial" w:cs="Arial"/>
        </w:rPr>
        <w:t>programmes</w:t>
      </w:r>
      <w:proofErr w:type="spellEnd"/>
      <w:r w:rsidRPr="00791A3F">
        <w:rPr>
          <w:rFonts w:ascii="Arial" w:hAnsi="Arial" w:cs="Arial"/>
        </w:rPr>
        <w:t xml:space="preserve">. But the use of operating translation is still limited. Targets may not be on track to reach the rapid </w:t>
      </w:r>
      <w:proofErr w:type="spellStart"/>
      <w:r w:rsidRPr="00791A3F">
        <w:rPr>
          <w:rFonts w:ascii="Arial" w:hAnsi="Arial" w:cs="Arial"/>
        </w:rPr>
        <w:t>decarbonisation</w:t>
      </w:r>
      <w:proofErr w:type="spellEnd"/>
      <w:r w:rsidRPr="00791A3F">
        <w:rPr>
          <w:rFonts w:ascii="Arial" w:hAnsi="Arial" w:cs="Arial"/>
        </w:rPr>
        <w:t xml:space="preserve"> pathways, the farmer transition </w:t>
      </w:r>
      <w:proofErr w:type="spellStart"/>
      <w:r w:rsidRPr="00791A3F">
        <w:rPr>
          <w:rFonts w:ascii="Arial" w:hAnsi="Arial" w:cs="Arial"/>
        </w:rPr>
        <w:t>programmes</w:t>
      </w:r>
      <w:proofErr w:type="spellEnd"/>
      <w:r w:rsidRPr="00791A3F">
        <w:rPr>
          <w:rFonts w:ascii="Arial" w:hAnsi="Arial" w:cs="Arial"/>
        </w:rPr>
        <w:t xml:space="preserve"> may be smaller than overall supply bases, and the baselines can be modified (Balsam et al., 2025; Bingler et al., 2023).</w:t>
      </w:r>
    </w:p>
    <w:p w14:paraId="6B7DB437" w14:textId="77777777" w:rsidR="004D3070" w:rsidRPr="00791A3F" w:rsidRDefault="004D3070" w:rsidP="00791A3F">
      <w:pPr>
        <w:spacing w:line="360" w:lineRule="auto"/>
        <w:jc w:val="both"/>
        <w:rPr>
          <w:rFonts w:ascii="Arial" w:hAnsi="Arial" w:cs="Arial"/>
        </w:rPr>
      </w:pPr>
      <w:r w:rsidRPr="00791A3F">
        <w:rPr>
          <w:rFonts w:ascii="Arial" w:hAnsi="Arial" w:cs="Arial"/>
        </w:rPr>
        <w:t>Most of the commitments under the circular economy have increased, primarily in the area of packaging. The direct finance incentives are those provided by plastic taxes and extended producer responsibility. These are the actions for substantive change. However, reusing, refilling and circularity at the system level is still small in comparison, indicating that the retailers operate as a single use system (Ncube et al., 2020; Ribeiro et al., 2023).</w:t>
      </w:r>
    </w:p>
    <w:p w14:paraId="50778902" w14:textId="77777777" w:rsidR="004D3070" w:rsidRPr="00791A3F" w:rsidRDefault="004D3070" w:rsidP="00791A3F">
      <w:pPr>
        <w:spacing w:line="360" w:lineRule="auto"/>
        <w:jc w:val="both"/>
        <w:rPr>
          <w:rFonts w:ascii="Arial" w:hAnsi="Arial" w:cs="Arial"/>
        </w:rPr>
      </w:pPr>
      <w:r w:rsidRPr="00791A3F">
        <w:rPr>
          <w:rFonts w:ascii="Arial" w:hAnsi="Arial" w:cs="Arial"/>
        </w:rPr>
        <w:t>There has been a large amount of agenda integration, and little remediation, for modern slavery. Statements are longer, there is greater sophistication in governance systems, but more challenging to check if the worker-</w:t>
      </w:r>
      <w:proofErr w:type="spellStart"/>
      <w:r w:rsidRPr="00791A3F">
        <w:rPr>
          <w:rFonts w:ascii="Arial" w:hAnsi="Arial" w:cs="Arial"/>
        </w:rPr>
        <w:t>centred</w:t>
      </w:r>
      <w:proofErr w:type="spellEnd"/>
      <w:r w:rsidRPr="00791A3F">
        <w:rPr>
          <w:rFonts w:ascii="Arial" w:hAnsi="Arial" w:cs="Arial"/>
        </w:rPr>
        <w:t xml:space="preserve"> outcomes are achieved. The regulatory system thus seems to be more successful in fostering the creation of reporting than protection outcomes (Stevenson &amp; Cole, 2021).</w:t>
      </w:r>
    </w:p>
    <w:p w14:paraId="14CFE247" w14:textId="77777777" w:rsidR="004D3070" w:rsidRPr="00791A3F" w:rsidRDefault="004D3070" w:rsidP="00791A3F">
      <w:pPr>
        <w:spacing w:line="360" w:lineRule="auto"/>
        <w:jc w:val="both"/>
        <w:rPr>
          <w:rFonts w:ascii="Arial" w:hAnsi="Arial" w:cs="Arial"/>
        </w:rPr>
      </w:pPr>
      <w:r w:rsidRPr="00791A3F">
        <w:rPr>
          <w:rFonts w:ascii="Arial" w:hAnsi="Arial" w:cs="Arial"/>
        </w:rPr>
        <w:t>Public health has also grown in prominence with the reformulation of products, nutrition labelling and healthy ranges, as well as responsible-eating campaigns. The lack of transparency around UPFs in the public health message, the promotion of processed products, their affordability and poor implementation contribute to a disjunction between the public-health message and transformation at the portfolio level (</w:t>
      </w:r>
      <w:proofErr w:type="spellStart"/>
      <w:r w:rsidRPr="00791A3F">
        <w:rPr>
          <w:rFonts w:ascii="Arial" w:hAnsi="Arial" w:cs="Arial"/>
        </w:rPr>
        <w:t>ShareAction</w:t>
      </w:r>
      <w:proofErr w:type="spellEnd"/>
      <w:r w:rsidRPr="00791A3F">
        <w:rPr>
          <w:rFonts w:ascii="Arial" w:hAnsi="Arial" w:cs="Arial"/>
        </w:rPr>
        <w:t xml:space="preserve">, 2023; </w:t>
      </w:r>
      <w:proofErr w:type="spellStart"/>
      <w:r w:rsidRPr="00791A3F">
        <w:rPr>
          <w:rFonts w:ascii="Arial" w:hAnsi="Arial" w:cs="Arial"/>
        </w:rPr>
        <w:t>Mialon</w:t>
      </w:r>
      <w:proofErr w:type="spellEnd"/>
      <w:r w:rsidRPr="00791A3F">
        <w:rPr>
          <w:rFonts w:ascii="Arial" w:hAnsi="Arial" w:cs="Arial"/>
        </w:rPr>
        <w:t xml:space="preserve"> et al., 2026).</w:t>
      </w:r>
    </w:p>
    <w:p w14:paraId="06287B63" w14:textId="77777777" w:rsidR="00D864A6" w:rsidRPr="00791A3F" w:rsidRDefault="00D864A6" w:rsidP="00791A3F">
      <w:pPr>
        <w:pStyle w:val="Heading2"/>
        <w:spacing w:line="360" w:lineRule="auto"/>
        <w:rPr>
          <w:rFonts w:ascii="Arial" w:hAnsi="Arial" w:cs="Arial"/>
        </w:rPr>
      </w:pPr>
      <w:bookmarkStart w:id="108" w:name="_Toc237956929"/>
      <w:bookmarkStart w:id="109" w:name="_Toc238690207"/>
      <w:r w:rsidRPr="00791A3F">
        <w:rPr>
          <w:rFonts w:ascii="Arial" w:hAnsi="Arial" w:cs="Arial"/>
        </w:rPr>
        <w:t>4.4 Discussion of Results</w:t>
      </w:r>
      <w:bookmarkEnd w:id="108"/>
      <w:bookmarkEnd w:id="109"/>
    </w:p>
    <w:p w14:paraId="5A124447" w14:textId="77777777" w:rsidR="00D864A6" w:rsidRPr="00791A3F" w:rsidRDefault="00D864A6" w:rsidP="00791A3F">
      <w:pPr>
        <w:pStyle w:val="Heading3"/>
        <w:spacing w:line="360" w:lineRule="auto"/>
        <w:rPr>
          <w:rFonts w:ascii="Arial" w:hAnsi="Arial" w:cs="Arial"/>
        </w:rPr>
      </w:pPr>
      <w:bookmarkStart w:id="110" w:name="_Toc237956930"/>
      <w:bookmarkStart w:id="111" w:name="_Toc238690208"/>
      <w:r w:rsidRPr="00791A3F">
        <w:rPr>
          <w:rFonts w:ascii="Arial" w:hAnsi="Arial" w:cs="Arial"/>
        </w:rPr>
        <w:t>4.4.1 Institutional Pressures</w:t>
      </w:r>
      <w:bookmarkEnd w:id="110"/>
      <w:bookmarkEnd w:id="111"/>
    </w:p>
    <w:p w14:paraId="09D2444B" w14:textId="77777777" w:rsidR="00D864A6" w:rsidRPr="00791A3F" w:rsidRDefault="00D864A6" w:rsidP="00791A3F">
      <w:pPr>
        <w:spacing w:line="360" w:lineRule="auto"/>
        <w:jc w:val="both"/>
        <w:rPr>
          <w:rFonts w:ascii="Arial" w:hAnsi="Arial" w:cs="Arial"/>
        </w:rPr>
      </w:pPr>
      <w:r w:rsidRPr="00791A3F">
        <w:rPr>
          <w:rFonts w:ascii="Arial" w:hAnsi="Arial" w:cs="Arial"/>
        </w:rPr>
        <w:t xml:space="preserve">Results are very supportive of the institutional theory. Normative forces can induce reporting without deep change and coercive forces can induce responses that are more consistent across operations, but do not necessarily result in deep change (DiMaggio and </w:t>
      </w:r>
      <w:r w:rsidRPr="00791A3F">
        <w:rPr>
          <w:rFonts w:ascii="Arial" w:hAnsi="Arial" w:cs="Arial"/>
        </w:rPr>
        <w:lastRenderedPageBreak/>
        <w:t>Powell, 1983; Bansal and Roth, 2000). The mandatory climate and packaging requirements have had measurable impacts while the voluntary living wages, Scope 3 ambition and worker remediation and health transformation are weaker.</w:t>
      </w:r>
    </w:p>
    <w:p w14:paraId="6292A552" w14:textId="77777777" w:rsidR="00D864A6" w:rsidRPr="00791A3F" w:rsidRDefault="00D864A6" w:rsidP="00791A3F">
      <w:pPr>
        <w:spacing w:line="360" w:lineRule="auto"/>
        <w:jc w:val="both"/>
        <w:rPr>
          <w:rFonts w:ascii="Arial" w:hAnsi="Arial" w:cs="Arial"/>
        </w:rPr>
      </w:pPr>
      <w:r w:rsidRPr="00791A3F">
        <w:rPr>
          <w:rFonts w:ascii="Arial" w:hAnsi="Arial" w:cs="Arial"/>
        </w:rPr>
        <w:t xml:space="preserve">This discovery is an outlier to positive readings of the notion of shared value. When CSR requirements are in direct opposition to short-term profitability, less expensive responses like disclosure, pilot </w:t>
      </w:r>
      <w:proofErr w:type="spellStart"/>
      <w:r w:rsidRPr="00791A3F">
        <w:rPr>
          <w:rFonts w:ascii="Arial" w:hAnsi="Arial" w:cs="Arial"/>
        </w:rPr>
        <w:t>programmes</w:t>
      </w:r>
      <w:proofErr w:type="spellEnd"/>
      <w:r w:rsidRPr="00791A3F">
        <w:rPr>
          <w:rFonts w:ascii="Arial" w:hAnsi="Arial" w:cs="Arial"/>
        </w:rPr>
        <w:t xml:space="preserve"> and voluntary targets are </w:t>
      </w:r>
      <w:proofErr w:type="spellStart"/>
      <w:r w:rsidRPr="00791A3F">
        <w:rPr>
          <w:rFonts w:ascii="Arial" w:hAnsi="Arial" w:cs="Arial"/>
        </w:rPr>
        <w:t>favoured</w:t>
      </w:r>
      <w:proofErr w:type="spellEnd"/>
      <w:r w:rsidRPr="00791A3F">
        <w:rPr>
          <w:rFonts w:ascii="Arial" w:hAnsi="Arial" w:cs="Arial"/>
        </w:rPr>
        <w:t xml:space="preserve"> by retailers (Porter &amp; Kramer, 2011; Crane et al., 2014). Outcome-based regulation, independent assurance, and sanctions, therefore could be the need for effective policy, in addition to disclosure.</w:t>
      </w:r>
    </w:p>
    <w:p w14:paraId="2EDD1DD8" w14:textId="77777777" w:rsidR="00D864A6" w:rsidRPr="00791A3F" w:rsidRDefault="00D864A6" w:rsidP="00791A3F">
      <w:pPr>
        <w:pStyle w:val="Heading3"/>
        <w:spacing w:line="360" w:lineRule="auto"/>
        <w:rPr>
          <w:rFonts w:ascii="Arial" w:hAnsi="Arial" w:cs="Arial"/>
        </w:rPr>
      </w:pPr>
      <w:bookmarkStart w:id="112" w:name="_Toc237956931"/>
      <w:bookmarkStart w:id="113" w:name="_Toc238690209"/>
      <w:r w:rsidRPr="00791A3F">
        <w:rPr>
          <w:rFonts w:ascii="Arial" w:hAnsi="Arial" w:cs="Arial"/>
        </w:rPr>
        <w:t>4.4.2 Stakeholder Salience</w:t>
      </w:r>
      <w:bookmarkEnd w:id="112"/>
      <w:bookmarkEnd w:id="113"/>
    </w:p>
    <w:p w14:paraId="73CEC640" w14:textId="77777777" w:rsidR="00D864A6" w:rsidRPr="00791A3F" w:rsidRDefault="00D864A6" w:rsidP="00791A3F">
      <w:pPr>
        <w:spacing w:line="360" w:lineRule="auto"/>
        <w:jc w:val="both"/>
        <w:rPr>
          <w:rFonts w:ascii="Arial" w:hAnsi="Arial" w:cs="Arial"/>
        </w:rPr>
      </w:pPr>
      <w:r w:rsidRPr="00791A3F">
        <w:rPr>
          <w:rFonts w:ascii="Arial" w:hAnsi="Arial" w:cs="Arial"/>
        </w:rPr>
        <w:t xml:space="preserve">The theory of the stakeholders is also embraced. The power of investors and regulators are relatively high and thus CSR responsiveness is stronger. Workers in the supply chain, </w:t>
      </w:r>
      <w:proofErr w:type="gramStart"/>
      <w:r w:rsidRPr="00791A3F">
        <w:rPr>
          <w:rFonts w:ascii="Arial" w:hAnsi="Arial" w:cs="Arial"/>
        </w:rPr>
        <w:t>low wage</w:t>
      </w:r>
      <w:proofErr w:type="gramEnd"/>
      <w:r w:rsidRPr="00791A3F">
        <w:rPr>
          <w:rFonts w:ascii="Arial" w:hAnsi="Arial" w:cs="Arial"/>
        </w:rPr>
        <w:t xml:space="preserve"> earners, weak consumers and future generations have high levels of legitimacy and urgency but lower levels of direct power - which equates to weaker substantive outcomes (Mitchell et al., 1997).</w:t>
      </w:r>
    </w:p>
    <w:p w14:paraId="5E987CD6" w14:textId="77777777" w:rsidR="00D864A6" w:rsidRPr="00791A3F" w:rsidRDefault="00D864A6" w:rsidP="00791A3F">
      <w:pPr>
        <w:spacing w:line="360" w:lineRule="auto"/>
        <w:jc w:val="both"/>
        <w:rPr>
          <w:rFonts w:ascii="Arial" w:hAnsi="Arial" w:cs="Arial"/>
        </w:rPr>
      </w:pPr>
      <w:r w:rsidRPr="00791A3F">
        <w:rPr>
          <w:rFonts w:ascii="Arial" w:hAnsi="Arial" w:cs="Arial"/>
        </w:rPr>
        <w:t>The pattern implies there is some selective responsiveness by stakeholders. Communication can be enhanced through engagement without a redistribution of decision-making power, e.g. through panels or consultations. The Co-operative Food makes a partial exception because of the governance by its members that helps to increase the formal influence of its stakeholders (Birchall, 2013). However, even the cooperative governance is done in competitive markets.</w:t>
      </w:r>
    </w:p>
    <w:p w14:paraId="1AF9F3B0" w14:textId="77777777" w:rsidR="00D864A6" w:rsidRPr="00791A3F" w:rsidRDefault="00D864A6" w:rsidP="00791A3F">
      <w:pPr>
        <w:pStyle w:val="Heading3"/>
        <w:spacing w:line="360" w:lineRule="auto"/>
        <w:rPr>
          <w:rFonts w:ascii="Arial" w:hAnsi="Arial" w:cs="Arial"/>
        </w:rPr>
      </w:pPr>
      <w:bookmarkStart w:id="114" w:name="_Toc237956932"/>
      <w:bookmarkStart w:id="115" w:name="_Toc238690210"/>
      <w:r w:rsidRPr="00791A3F">
        <w:rPr>
          <w:rFonts w:ascii="Arial" w:hAnsi="Arial" w:cs="Arial"/>
        </w:rPr>
        <w:t>4.4.3 Greenwashing and Health-Washing</w:t>
      </w:r>
      <w:bookmarkEnd w:id="114"/>
      <w:bookmarkEnd w:id="115"/>
    </w:p>
    <w:p w14:paraId="02066788" w14:textId="77777777" w:rsidR="00D864A6" w:rsidRPr="00791A3F" w:rsidRDefault="00D864A6" w:rsidP="00791A3F">
      <w:pPr>
        <w:spacing w:line="360" w:lineRule="auto"/>
        <w:jc w:val="both"/>
        <w:rPr>
          <w:rFonts w:ascii="Arial" w:hAnsi="Arial" w:cs="Arial"/>
        </w:rPr>
      </w:pPr>
      <w:r w:rsidRPr="00791A3F">
        <w:rPr>
          <w:rFonts w:ascii="Arial" w:hAnsi="Arial" w:cs="Arial"/>
        </w:rPr>
        <w:t>The evidence confirms the literature that refers to greenwashing as a legitimacy management strategy (Delmas &amp; Burbano, 2011; Torelli et al., 2020). There are common trends, such as the inclusion of positive initiatives but the absence of negative trade-offs, the commitment to vague initiatives that do not have measurable outcomes, the promotion of small pilot projects as being strategic measures for transforming the situation, and the selective reporting which focuses on environmental and health improvements but does not reveal any contradictory practices.</w:t>
      </w:r>
    </w:p>
    <w:p w14:paraId="4ABE6F8C" w14:textId="77777777" w:rsidR="00D864A6" w:rsidRPr="00791A3F" w:rsidRDefault="00D864A6" w:rsidP="00791A3F">
      <w:pPr>
        <w:spacing w:line="360" w:lineRule="auto"/>
        <w:jc w:val="both"/>
        <w:rPr>
          <w:rFonts w:ascii="Arial" w:hAnsi="Arial" w:cs="Arial"/>
        </w:rPr>
      </w:pPr>
      <w:r w:rsidRPr="00791A3F">
        <w:rPr>
          <w:rFonts w:ascii="Arial" w:hAnsi="Arial" w:cs="Arial"/>
        </w:rPr>
        <w:lastRenderedPageBreak/>
        <w:t>The example of climate communication shows how the efforts in Scope 1 and 2 receive a lot of attention, and Scope 3 efforts less attention. Biodiversity commitments are also written in a very general way with no clear evidence to suggest it's excluding suppliers or making change system-wide. Community CSR also makes a point of giving and volunteering and offers sparse evidence of results.</w:t>
      </w:r>
    </w:p>
    <w:p w14:paraId="06CA2EF9" w14:textId="77777777" w:rsidR="00D864A6" w:rsidRPr="00791A3F" w:rsidRDefault="00D864A6" w:rsidP="00791A3F">
      <w:pPr>
        <w:spacing w:line="360" w:lineRule="auto"/>
        <w:jc w:val="both"/>
        <w:rPr>
          <w:rFonts w:ascii="Arial" w:hAnsi="Arial" w:cs="Arial"/>
        </w:rPr>
      </w:pPr>
      <w:r w:rsidRPr="00791A3F">
        <w:rPr>
          <w:rFonts w:ascii="Arial" w:hAnsi="Arial" w:cs="Arial"/>
        </w:rPr>
        <w:t>The health washing is particularly evident when nutrition labelling and some food changes occur alongside the persistence of promotion of processed foods. It is also possible that voluntary health commitments will put pressure on mandatory interventions, which will leave a regulatory-forestalled space (</w:t>
      </w:r>
      <w:proofErr w:type="spellStart"/>
      <w:r w:rsidRPr="00791A3F">
        <w:rPr>
          <w:rFonts w:ascii="Arial" w:hAnsi="Arial" w:cs="Arial"/>
        </w:rPr>
        <w:t>Mialon</w:t>
      </w:r>
      <w:proofErr w:type="spellEnd"/>
      <w:r w:rsidRPr="00791A3F">
        <w:rPr>
          <w:rFonts w:ascii="Arial" w:hAnsi="Arial" w:cs="Arial"/>
        </w:rPr>
        <w:t xml:space="preserve"> et al., 2026).</w:t>
      </w:r>
    </w:p>
    <w:p w14:paraId="1578BA29" w14:textId="77777777" w:rsidR="00D864A6" w:rsidRPr="00791A3F" w:rsidRDefault="00D864A6" w:rsidP="00791A3F">
      <w:pPr>
        <w:spacing w:line="360" w:lineRule="auto"/>
        <w:jc w:val="both"/>
        <w:rPr>
          <w:rFonts w:ascii="Arial" w:hAnsi="Arial" w:cs="Arial"/>
        </w:rPr>
      </w:pPr>
      <w:r w:rsidRPr="00791A3F">
        <w:rPr>
          <w:rFonts w:ascii="Arial" w:hAnsi="Arial" w:cs="Arial"/>
        </w:rPr>
        <w:t>The practices in this document do not indicate that all CSR claims are false. Instead, the results show that there is no conflict between selective disclosure and real improvements. This further highlights the importance of evaluating CSR using several different standards, rather than in terms of reporting volumes.</w:t>
      </w:r>
    </w:p>
    <w:p w14:paraId="538A771B" w14:textId="77777777" w:rsidR="003302A0" w:rsidRPr="00791A3F" w:rsidRDefault="003302A0" w:rsidP="00791A3F">
      <w:pPr>
        <w:pStyle w:val="Heading3"/>
        <w:spacing w:line="360" w:lineRule="auto"/>
        <w:rPr>
          <w:rFonts w:ascii="Arial" w:hAnsi="Arial" w:cs="Arial"/>
        </w:rPr>
      </w:pPr>
      <w:bookmarkStart w:id="116" w:name="_Toc237956933"/>
      <w:bookmarkStart w:id="117" w:name="_Toc238690211"/>
      <w:r w:rsidRPr="00791A3F">
        <w:rPr>
          <w:rFonts w:ascii="Arial" w:hAnsi="Arial" w:cs="Arial"/>
        </w:rPr>
        <w:t>4.4.4 Business Model as Constraint and Enabler</w:t>
      </w:r>
      <w:bookmarkEnd w:id="116"/>
      <w:bookmarkEnd w:id="117"/>
    </w:p>
    <w:p w14:paraId="02083A34" w14:textId="77777777" w:rsidR="001A2919" w:rsidRPr="00791A3F" w:rsidRDefault="001A2919" w:rsidP="00791A3F">
      <w:pPr>
        <w:spacing w:line="360" w:lineRule="auto"/>
        <w:jc w:val="both"/>
        <w:rPr>
          <w:rFonts w:ascii="Arial" w:hAnsi="Arial" w:cs="Arial"/>
        </w:rPr>
      </w:pPr>
      <w:r w:rsidRPr="00791A3F">
        <w:rPr>
          <w:rFonts w:ascii="Arial" w:hAnsi="Arial" w:cs="Arial"/>
        </w:rPr>
        <w:t>The main stream supermarkets have the means to invest a lot in their CSR, but also have the highest motivation to control the risk of their reputation. They can therefore support sophisticated communication via the symbolic systems and the support for substantive environmental investment. Discount retailers demonstrate that efficiency can lead to real environmental benefits without the need for a lot of reporting, which has led some to think that there is a direct link between reporting and performance.</w:t>
      </w:r>
    </w:p>
    <w:p w14:paraId="10AD85E1" w14:textId="77777777" w:rsidR="001A2919" w:rsidRPr="00791A3F" w:rsidRDefault="001A2919" w:rsidP="00791A3F">
      <w:pPr>
        <w:spacing w:line="360" w:lineRule="auto"/>
        <w:jc w:val="both"/>
        <w:rPr>
          <w:rFonts w:ascii="Arial" w:hAnsi="Arial" w:cs="Arial"/>
        </w:rPr>
      </w:pPr>
      <w:r w:rsidRPr="00791A3F">
        <w:rPr>
          <w:rFonts w:ascii="Arial" w:hAnsi="Arial" w:cs="Arial"/>
        </w:rPr>
        <w:t>Evidence of structural support of stakeholder objectives in the form of a cooperative model. But competition, startup funding and scale is still an issue in the depth of implementation. Therefore, business model has an impact on CSR, albeit with the limitation of the sectoral economic structures (Hernández-</w:t>
      </w:r>
      <w:proofErr w:type="spellStart"/>
      <w:r w:rsidRPr="00791A3F">
        <w:rPr>
          <w:rFonts w:ascii="Arial" w:hAnsi="Arial" w:cs="Arial"/>
        </w:rPr>
        <w:t>Espallardo</w:t>
      </w:r>
      <w:proofErr w:type="spellEnd"/>
      <w:r w:rsidRPr="00791A3F">
        <w:rPr>
          <w:rFonts w:ascii="Arial" w:hAnsi="Arial" w:cs="Arial"/>
        </w:rPr>
        <w:t xml:space="preserve"> et al., 2021).</w:t>
      </w:r>
    </w:p>
    <w:p w14:paraId="6BF5C9ED" w14:textId="77777777" w:rsidR="003302A0" w:rsidRPr="00791A3F" w:rsidRDefault="001A2919" w:rsidP="00791A3F">
      <w:pPr>
        <w:spacing w:line="360" w:lineRule="auto"/>
        <w:jc w:val="both"/>
        <w:rPr>
          <w:rFonts w:ascii="Arial" w:hAnsi="Arial" w:cs="Arial"/>
        </w:rPr>
      </w:pPr>
      <w:r w:rsidRPr="00791A3F">
        <w:rPr>
          <w:rFonts w:ascii="Arial" w:hAnsi="Arial" w:cs="Arial"/>
        </w:rPr>
        <w:t xml:space="preserve">There has also been some convergence in regulation, thereby minimizing some differences between models and increasing interdependence. Institutional rules and expectations have now been </w:t>
      </w:r>
      <w:proofErr w:type="spellStart"/>
      <w:r w:rsidRPr="00791A3F">
        <w:rPr>
          <w:rFonts w:ascii="Arial" w:hAnsi="Arial" w:cs="Arial"/>
        </w:rPr>
        <w:t>standardised</w:t>
      </w:r>
      <w:proofErr w:type="spellEnd"/>
      <w:r w:rsidRPr="00791A3F">
        <w:rPr>
          <w:rFonts w:ascii="Arial" w:hAnsi="Arial" w:cs="Arial"/>
        </w:rPr>
        <w:t xml:space="preserve"> and all retailers report on climate and modern slavery. But disclosure convergence does not lead to disclosure substance convergence, </w:t>
      </w:r>
      <w:r w:rsidRPr="00791A3F">
        <w:rPr>
          <w:rFonts w:ascii="Arial" w:hAnsi="Arial" w:cs="Arial"/>
        </w:rPr>
        <w:lastRenderedPageBreak/>
        <w:t>as evidenced by the different performances of the common ways of reporting (Christensen et al., 2021)</w:t>
      </w:r>
      <w:r w:rsidR="00BE6C25" w:rsidRPr="00791A3F">
        <w:rPr>
          <w:rFonts w:ascii="Arial" w:hAnsi="Arial" w:cs="Arial"/>
        </w:rPr>
        <w:t>.</w:t>
      </w:r>
    </w:p>
    <w:p w14:paraId="4F507AFD" w14:textId="77777777" w:rsidR="003302A0" w:rsidRPr="00791A3F" w:rsidRDefault="003302A0" w:rsidP="00791A3F">
      <w:pPr>
        <w:pStyle w:val="Heading3"/>
        <w:spacing w:line="360" w:lineRule="auto"/>
        <w:rPr>
          <w:rFonts w:ascii="Arial" w:hAnsi="Arial" w:cs="Arial"/>
        </w:rPr>
      </w:pPr>
      <w:bookmarkStart w:id="118" w:name="_Toc237956934"/>
      <w:bookmarkStart w:id="119" w:name="_Toc238690212"/>
      <w:r w:rsidRPr="00791A3F">
        <w:rPr>
          <w:rFonts w:ascii="Arial" w:hAnsi="Arial" w:cs="Arial"/>
        </w:rPr>
        <w:t>4.4.5 COVID-19 as a Critical Juncture</w:t>
      </w:r>
      <w:bookmarkEnd w:id="118"/>
      <w:bookmarkEnd w:id="119"/>
    </w:p>
    <w:p w14:paraId="5D8B1958" w14:textId="77777777" w:rsidR="00BE6C25" w:rsidRPr="00791A3F" w:rsidRDefault="00BE6C25" w:rsidP="00791A3F">
      <w:pPr>
        <w:spacing w:line="360" w:lineRule="auto"/>
        <w:jc w:val="both"/>
        <w:rPr>
          <w:rFonts w:ascii="Arial" w:hAnsi="Arial" w:cs="Arial"/>
        </w:rPr>
      </w:pPr>
      <w:r w:rsidRPr="00791A3F">
        <w:rPr>
          <w:rFonts w:ascii="Arial" w:hAnsi="Arial" w:cs="Arial"/>
        </w:rPr>
        <w:t>That substantive CSR can take place in the presence of a pandemic when the short term demands of stakeholders and regulators are matched by operational requirements is all evidence to all. Retailers' adaptive capacity (Hobbs &amp; Rude, 2022) was evident in their rapid response to protect workers and provide financial assistance.</w:t>
      </w:r>
    </w:p>
    <w:p w14:paraId="3C583237" w14:textId="77777777" w:rsidR="00BE6C25" w:rsidRPr="00791A3F" w:rsidRDefault="00BE6C25" w:rsidP="00791A3F">
      <w:pPr>
        <w:spacing w:line="360" w:lineRule="auto"/>
        <w:jc w:val="both"/>
        <w:rPr>
          <w:rFonts w:ascii="Arial" w:hAnsi="Arial" w:cs="Arial"/>
        </w:rPr>
      </w:pPr>
      <w:r w:rsidRPr="00791A3F">
        <w:rPr>
          <w:rFonts w:ascii="Arial" w:hAnsi="Arial" w:cs="Arial"/>
        </w:rPr>
        <w:t xml:space="preserve">But a number of actions were short term. As the immediate crisis receded, there was a drop in hazard pay and improvement of policies, but no changes in wage and security concerns in the long term. Crises, in the episode, thus showed that </w:t>
      </w:r>
      <w:proofErr w:type="spellStart"/>
      <w:r w:rsidRPr="00791A3F">
        <w:rPr>
          <w:rFonts w:ascii="Arial" w:hAnsi="Arial" w:cs="Arial"/>
        </w:rPr>
        <w:t>organisations</w:t>
      </w:r>
      <w:proofErr w:type="spellEnd"/>
      <w:r w:rsidRPr="00791A3F">
        <w:rPr>
          <w:rFonts w:ascii="Arial" w:hAnsi="Arial" w:cs="Arial"/>
        </w:rPr>
        <w:t xml:space="preserve"> could have the potential to move beyond rhetoric to do something substantive, even if it was not to alter underlying governance priorities (Fleming &amp; Jones, 2013).</w:t>
      </w:r>
    </w:p>
    <w:p w14:paraId="1E8B3B61" w14:textId="77777777" w:rsidR="003302A0" w:rsidRPr="00791A3F" w:rsidRDefault="003302A0" w:rsidP="00791A3F">
      <w:pPr>
        <w:pStyle w:val="Heading3"/>
        <w:spacing w:line="360" w:lineRule="auto"/>
        <w:rPr>
          <w:rFonts w:ascii="Arial" w:hAnsi="Arial" w:cs="Arial"/>
        </w:rPr>
      </w:pPr>
      <w:bookmarkStart w:id="120" w:name="_Toc237956935"/>
      <w:bookmarkStart w:id="121" w:name="_Toc238690213"/>
      <w:r w:rsidRPr="00791A3F">
        <w:rPr>
          <w:rFonts w:ascii="Arial" w:hAnsi="Arial" w:cs="Arial"/>
        </w:rPr>
        <w:t>4.4.6 Theoretical and Practical Implications</w:t>
      </w:r>
      <w:bookmarkEnd w:id="120"/>
      <w:bookmarkEnd w:id="121"/>
    </w:p>
    <w:p w14:paraId="5E71B215" w14:textId="77777777" w:rsidR="0017785F" w:rsidRPr="00791A3F" w:rsidRDefault="0017785F" w:rsidP="00791A3F">
      <w:pPr>
        <w:spacing w:line="360" w:lineRule="auto"/>
        <w:jc w:val="both"/>
        <w:rPr>
          <w:rFonts w:ascii="Arial" w:hAnsi="Arial" w:cs="Arial"/>
        </w:rPr>
      </w:pPr>
      <w:r w:rsidRPr="00791A3F">
        <w:rPr>
          <w:rFonts w:ascii="Arial" w:hAnsi="Arial" w:cs="Arial"/>
        </w:rPr>
        <w:t xml:space="preserve">The first theoretical development is methodological—the </w:t>
      </w:r>
      <w:proofErr w:type="gramStart"/>
      <w:r w:rsidRPr="00791A3F">
        <w:rPr>
          <w:rFonts w:ascii="Arial" w:hAnsi="Arial" w:cs="Arial"/>
        </w:rPr>
        <w:t>five criterion</w:t>
      </w:r>
      <w:proofErr w:type="gramEnd"/>
      <w:r w:rsidRPr="00791A3F">
        <w:rPr>
          <w:rFonts w:ascii="Arial" w:hAnsi="Arial" w:cs="Arial"/>
        </w:rPr>
        <w:t xml:space="preserve"> framework offers a practical way of articulating the substantive-symbolic distinction. CSR claims can be assessed in a systematic way, not impressionistic, by virtue of the principles of verifiability, measurability, accountability, integration and comparability (Walker &amp; Wan, 2012; Yang et al., 2025).</w:t>
      </w:r>
    </w:p>
    <w:p w14:paraId="4AC9B229" w14:textId="77777777" w:rsidR="0017785F" w:rsidRPr="00791A3F" w:rsidRDefault="0017785F" w:rsidP="00791A3F">
      <w:pPr>
        <w:spacing w:line="360" w:lineRule="auto"/>
        <w:jc w:val="both"/>
        <w:rPr>
          <w:rFonts w:ascii="Arial" w:hAnsi="Arial" w:cs="Arial"/>
        </w:rPr>
      </w:pPr>
      <w:r w:rsidRPr="00791A3F">
        <w:rPr>
          <w:rFonts w:ascii="Arial" w:hAnsi="Arial" w:cs="Arial"/>
        </w:rPr>
        <w:t>Second, the institutional theory and stakeholder theory can be integrated together for a better understanding of the results of CSR. Although it is not intended to provide a comprehensive explanation of the decisions made by organizations that lead to the same internal structures and roles for CSR, the institutional theory provides an explanation for this. While the stakeholder theory explains what role the stakeholders play in the substantive action of the organization, it cannot explain which stakeholder interests are being translated into substantive action (Jamali &amp; Karam, 2018).</w:t>
      </w:r>
    </w:p>
    <w:p w14:paraId="36C4A344" w14:textId="77777777" w:rsidR="0017785F" w:rsidRPr="00791A3F" w:rsidRDefault="0017785F" w:rsidP="00791A3F">
      <w:pPr>
        <w:spacing w:line="360" w:lineRule="auto"/>
        <w:jc w:val="both"/>
        <w:rPr>
          <w:rFonts w:ascii="Arial" w:hAnsi="Arial" w:cs="Arial"/>
        </w:rPr>
      </w:pPr>
      <w:r w:rsidRPr="00791A3F">
        <w:rPr>
          <w:rFonts w:ascii="Arial" w:hAnsi="Arial" w:cs="Arial"/>
        </w:rPr>
        <w:t>Thirdly, business model comparison shows that it is possible to see how ownership, resources capacity, visibility and business design influence the CSR strategies. However, if there are gaps in the universal level, it shows the significance of sector level constraints.</w:t>
      </w:r>
    </w:p>
    <w:p w14:paraId="30B82F69" w14:textId="77777777" w:rsidR="003302A0" w:rsidRPr="00791A3F" w:rsidRDefault="0017785F" w:rsidP="00791A3F">
      <w:pPr>
        <w:spacing w:line="360" w:lineRule="auto"/>
        <w:jc w:val="both"/>
        <w:rPr>
          <w:rFonts w:ascii="Arial" w:hAnsi="Arial" w:cs="Arial"/>
        </w:rPr>
      </w:pPr>
      <w:r w:rsidRPr="00791A3F">
        <w:rPr>
          <w:rFonts w:ascii="Arial" w:hAnsi="Arial" w:cs="Arial"/>
        </w:rPr>
        <w:lastRenderedPageBreak/>
        <w:t>The results reinforce the usefulness of outcome reporting, independent verification, worker-remediation regulations, and requirement of health and climate targets for regulators (Christensen et al., 2021; Stevenson &amp; Cole, 2021). The research also shows that, for investors and consumers, the sophistication of disclosure can be different from outcomes. The picture for NGOs highlights specific challenges in terms of accountability that need to be investigated. To managers, the credibility of CSR relies on how well it can be integrated into business operations, have clear metrics, independent assurance and have meaningful stakeholder engagement.</w:t>
      </w:r>
    </w:p>
    <w:p w14:paraId="24FFA277" w14:textId="77777777" w:rsidR="003302A0" w:rsidRPr="00791A3F" w:rsidRDefault="003302A0" w:rsidP="00791A3F">
      <w:pPr>
        <w:pStyle w:val="Heading3"/>
        <w:spacing w:line="360" w:lineRule="auto"/>
        <w:rPr>
          <w:rFonts w:ascii="Arial" w:hAnsi="Arial" w:cs="Arial"/>
        </w:rPr>
      </w:pPr>
      <w:bookmarkStart w:id="122" w:name="_Toc237956936"/>
      <w:bookmarkStart w:id="123" w:name="_Toc238690214"/>
      <w:r w:rsidRPr="00791A3F">
        <w:rPr>
          <w:rFonts w:ascii="Arial" w:hAnsi="Arial" w:cs="Arial"/>
        </w:rPr>
        <w:t>4.4.7 Overall Interpretation of the Evidence</w:t>
      </w:r>
      <w:bookmarkEnd w:id="122"/>
      <w:bookmarkEnd w:id="123"/>
    </w:p>
    <w:p w14:paraId="7E088877" w14:textId="77777777" w:rsidR="006D4399" w:rsidRPr="00791A3F" w:rsidRDefault="006D4399" w:rsidP="00791A3F">
      <w:pPr>
        <w:spacing w:line="360" w:lineRule="auto"/>
        <w:jc w:val="both"/>
        <w:rPr>
          <w:rFonts w:ascii="Arial" w:hAnsi="Arial" w:cs="Arial"/>
        </w:rPr>
      </w:pPr>
      <w:r w:rsidRPr="00791A3F">
        <w:rPr>
          <w:rFonts w:ascii="Arial" w:hAnsi="Arial" w:cs="Arial"/>
        </w:rPr>
        <w:t xml:space="preserve">The results suggest that CSR change in UK food retail can be seen as a process of </w:t>
      </w:r>
      <w:proofErr w:type="spellStart"/>
      <w:r w:rsidRPr="00791A3F">
        <w:rPr>
          <w:rFonts w:ascii="Arial" w:hAnsi="Arial" w:cs="Arial"/>
        </w:rPr>
        <w:t>institutionalisation</w:t>
      </w:r>
      <w:proofErr w:type="spellEnd"/>
      <w:r w:rsidRPr="00791A3F">
        <w:rPr>
          <w:rFonts w:ascii="Arial" w:hAnsi="Arial" w:cs="Arial"/>
        </w:rPr>
        <w:t xml:space="preserve"> and the results are not equal. It is clear that the retailers are taking their CSR beyond the relatively limited confines of philanthropy as they did in the past. The influence of sustainability extends to board governance, risk management, investment decision making, procurement, reporting, </w:t>
      </w:r>
      <w:proofErr w:type="spellStart"/>
      <w:r w:rsidRPr="00791A3F">
        <w:rPr>
          <w:rFonts w:ascii="Arial" w:hAnsi="Arial" w:cs="Arial"/>
        </w:rPr>
        <w:t>programmes</w:t>
      </w:r>
      <w:proofErr w:type="spellEnd"/>
      <w:r w:rsidRPr="00791A3F">
        <w:rPr>
          <w:rFonts w:ascii="Arial" w:hAnsi="Arial" w:cs="Arial"/>
        </w:rPr>
        <w:t xml:space="preserve"> for the workforce and customer communication. That's a huge </w:t>
      </w:r>
      <w:proofErr w:type="spellStart"/>
      <w:r w:rsidRPr="00791A3F">
        <w:rPr>
          <w:rFonts w:ascii="Arial" w:hAnsi="Arial" w:cs="Arial"/>
        </w:rPr>
        <w:t>organisational</w:t>
      </w:r>
      <w:proofErr w:type="spellEnd"/>
      <w:r w:rsidRPr="00791A3F">
        <w:rPr>
          <w:rFonts w:ascii="Arial" w:hAnsi="Arial" w:cs="Arial"/>
        </w:rPr>
        <w:t xml:space="preserve"> evolution and not something that can be relegated to the symbolic level (Gond et al., 2020; Matten &amp; Moon, 2008).</w:t>
      </w:r>
    </w:p>
    <w:p w14:paraId="28684A3F" w14:textId="77777777" w:rsidR="006D4399" w:rsidRPr="00791A3F" w:rsidRDefault="006D4399" w:rsidP="00791A3F">
      <w:pPr>
        <w:spacing w:line="360" w:lineRule="auto"/>
        <w:jc w:val="both"/>
        <w:rPr>
          <w:rFonts w:ascii="Arial" w:hAnsi="Arial" w:cs="Arial"/>
        </w:rPr>
      </w:pPr>
      <w:r w:rsidRPr="00791A3F">
        <w:rPr>
          <w:rFonts w:ascii="Arial" w:hAnsi="Arial" w:cs="Arial"/>
        </w:rPr>
        <w:t xml:space="preserve">However, there has been a faster </w:t>
      </w:r>
      <w:proofErr w:type="spellStart"/>
      <w:r w:rsidRPr="00791A3F">
        <w:rPr>
          <w:rFonts w:ascii="Arial" w:hAnsi="Arial" w:cs="Arial"/>
        </w:rPr>
        <w:t>institutionalisation</w:t>
      </w:r>
      <w:proofErr w:type="spellEnd"/>
      <w:r w:rsidRPr="00791A3F">
        <w:rPr>
          <w:rFonts w:ascii="Arial" w:hAnsi="Arial" w:cs="Arial"/>
        </w:rPr>
        <w:t xml:space="preserve"> in the </w:t>
      </w:r>
      <w:proofErr w:type="spellStart"/>
      <w:r w:rsidRPr="00791A3F">
        <w:rPr>
          <w:rFonts w:ascii="Arial" w:hAnsi="Arial" w:cs="Arial"/>
        </w:rPr>
        <w:t>organisational</w:t>
      </w:r>
      <w:proofErr w:type="spellEnd"/>
      <w:r w:rsidRPr="00791A3F">
        <w:rPr>
          <w:rFonts w:ascii="Arial" w:hAnsi="Arial" w:cs="Arial"/>
        </w:rPr>
        <w:t xml:space="preserve"> architecture, as opposed to the level of outcomes of stakeholders. Retailers are now adept at quantifying, reporting, branding and managing their CSR, yet such skills do not necessarily alter underpinning commercial agendas. In cases where environmental measures do lead to an operational efficiency or are in response to direct regulation, substantive implementation is stronger. In the case of redistribution of value or increased </w:t>
      </w:r>
      <w:proofErr w:type="spellStart"/>
      <w:r w:rsidRPr="00791A3F">
        <w:rPr>
          <w:rFonts w:ascii="Arial" w:hAnsi="Arial" w:cs="Arial"/>
        </w:rPr>
        <w:t>labour</w:t>
      </w:r>
      <w:proofErr w:type="spellEnd"/>
      <w:r w:rsidRPr="00791A3F">
        <w:rPr>
          <w:rFonts w:ascii="Arial" w:hAnsi="Arial" w:cs="Arial"/>
        </w:rPr>
        <w:t xml:space="preserve"> costs, for changing purchasing or for taking lower margins, symbolic responses are more likely to occur (Crane et al., 2014; Zhao et al., 2025).</w:t>
      </w:r>
    </w:p>
    <w:p w14:paraId="3B44D16E" w14:textId="77777777" w:rsidR="00225B11" w:rsidRPr="00791A3F" w:rsidRDefault="00225B11" w:rsidP="00791A3F">
      <w:pPr>
        <w:spacing w:line="360" w:lineRule="auto"/>
        <w:jc w:val="both"/>
        <w:rPr>
          <w:rFonts w:ascii="Arial" w:hAnsi="Arial" w:cs="Arial"/>
        </w:rPr>
      </w:pPr>
      <w:r w:rsidRPr="00791A3F">
        <w:rPr>
          <w:rFonts w:ascii="Arial" w:hAnsi="Arial" w:cs="Arial"/>
        </w:rPr>
        <w:t xml:space="preserve">The evidence also suggests that the CSR authenticity is multi-dimensional. A retailer can achieve high and low scores for working well for the environment, and high and low scores for working well for their workers, respectively. There can be considerable internal variation, so the overall CSR ratings are not necessarily representative. Walker and Wan (2012), and Yang et al. (2025) note that the five-criterion framework looks for these differences not only in their presence of commitment, but also that the commitment can </w:t>
      </w:r>
      <w:r w:rsidRPr="00791A3F">
        <w:rPr>
          <w:rFonts w:ascii="Arial" w:hAnsi="Arial" w:cs="Arial"/>
        </w:rPr>
        <w:lastRenderedPageBreak/>
        <w:t>be verified, measured, attributed to accountable actors and embedded in operations and compared across cases and time periods.</w:t>
      </w:r>
    </w:p>
    <w:p w14:paraId="2EE73713" w14:textId="54938AE8" w:rsidR="006D4399" w:rsidRPr="00791A3F" w:rsidRDefault="006D4399" w:rsidP="00791A3F">
      <w:pPr>
        <w:spacing w:line="360" w:lineRule="auto"/>
        <w:jc w:val="both"/>
        <w:rPr>
          <w:rFonts w:ascii="Arial" w:hAnsi="Arial" w:cs="Arial"/>
        </w:rPr>
      </w:pPr>
      <w:r w:rsidRPr="00791A3F">
        <w:rPr>
          <w:rFonts w:ascii="Arial" w:hAnsi="Arial" w:cs="Arial"/>
        </w:rPr>
        <w:t>This is also a multidimensional explanation as to why there are mixed rather than linear results from business-model comparison. While the mainstream retailers have more capacity and more reputational risk, the efficiency gains that the discounters are able to achieve comes at the cost of risk in disclosing less information, while the social priorities of the cooperatives are embedded structurally while being exposed to market competition. No model then, is a better CSR solution per se. Each model, however, is unique in that it represents a specific set of enablers and constraints that determine the types of substantive CSR models that are possible.</w:t>
      </w:r>
    </w:p>
    <w:p w14:paraId="77388D38" w14:textId="77777777" w:rsidR="006D4399" w:rsidRPr="00791A3F" w:rsidRDefault="006D4399" w:rsidP="00791A3F">
      <w:pPr>
        <w:spacing w:line="360" w:lineRule="auto"/>
        <w:jc w:val="both"/>
        <w:rPr>
          <w:rFonts w:ascii="Arial" w:hAnsi="Arial" w:cs="Arial"/>
        </w:rPr>
      </w:pPr>
      <w:r w:rsidRPr="00791A3F">
        <w:rPr>
          <w:rFonts w:ascii="Arial" w:hAnsi="Arial" w:cs="Arial"/>
        </w:rPr>
        <w:t>Last, the findings indicate that the central issue of the next wave of CSR is not that of scaling up the amount of reporting, but improving outcome accountability. Stable baselines, similar indicators, independent verification, credible remediation, meaningful worker and community participation in projects, and connections between corporate claims and measurable social and environmental benefits are important factors that will shape the future of the initiative. If these do not happen then CSR could develop more complex without being proportionately more transformative.</w:t>
      </w:r>
    </w:p>
    <w:p w14:paraId="4F8E9BD2" w14:textId="77777777" w:rsidR="006D4399" w:rsidRPr="00791A3F" w:rsidRDefault="006D4399" w:rsidP="00791A3F">
      <w:pPr>
        <w:spacing w:line="360" w:lineRule="auto"/>
        <w:jc w:val="both"/>
        <w:rPr>
          <w:rFonts w:ascii="Arial" w:hAnsi="Arial" w:cs="Arial"/>
        </w:rPr>
      </w:pPr>
      <w:r w:rsidRPr="00791A3F">
        <w:rPr>
          <w:rFonts w:ascii="Arial" w:hAnsi="Arial" w:cs="Arial"/>
        </w:rPr>
        <w:t>Increasingly, with the rising complexity of regulations and the growing demand from stakeholders for accountability, future credibility will rely on actual results that become more obvious in the public eye than ever before, rather than on increasingly complex stories that are told in the public forum.</w:t>
      </w:r>
    </w:p>
    <w:p w14:paraId="2CFCB882" w14:textId="77777777" w:rsidR="003302A0" w:rsidRPr="00791A3F" w:rsidRDefault="003302A0" w:rsidP="00791A3F">
      <w:pPr>
        <w:pStyle w:val="Heading2"/>
        <w:spacing w:line="360" w:lineRule="auto"/>
        <w:rPr>
          <w:rFonts w:ascii="Arial" w:hAnsi="Arial" w:cs="Arial"/>
        </w:rPr>
      </w:pPr>
      <w:bookmarkStart w:id="124" w:name="_Toc237956937"/>
      <w:bookmarkStart w:id="125" w:name="_Toc238690215"/>
      <w:r w:rsidRPr="00791A3F">
        <w:rPr>
          <w:rFonts w:ascii="Arial" w:hAnsi="Arial" w:cs="Arial"/>
        </w:rPr>
        <w:t>4.5 Chapter Summary</w:t>
      </w:r>
      <w:bookmarkEnd w:id="124"/>
      <w:bookmarkEnd w:id="125"/>
    </w:p>
    <w:p w14:paraId="51AE483F" w14:textId="77777777" w:rsidR="00225B11" w:rsidRPr="00791A3F" w:rsidRDefault="00225B11" w:rsidP="00791A3F">
      <w:pPr>
        <w:spacing w:line="360" w:lineRule="auto"/>
        <w:jc w:val="both"/>
        <w:rPr>
          <w:rFonts w:ascii="Arial" w:hAnsi="Arial" w:cs="Arial"/>
        </w:rPr>
      </w:pPr>
      <w:r w:rsidRPr="00791A3F">
        <w:rPr>
          <w:rFonts w:ascii="Arial" w:hAnsi="Arial" w:cs="Arial"/>
        </w:rPr>
        <w:t>The chapter explained the analysis of how CSR has developed over 20 years (2005-2025) in seven food retailers in the UK. The findings make it clear that there is a considerable amount of disclosure and governance of CSR and CSR/sustainability related language.</w:t>
      </w:r>
    </w:p>
    <w:p w14:paraId="6D947AAB" w14:textId="416B6FD6" w:rsidR="00BF238B" w:rsidRPr="00791A3F" w:rsidRDefault="00BF238B" w:rsidP="00791A3F">
      <w:pPr>
        <w:spacing w:line="360" w:lineRule="auto"/>
        <w:jc w:val="both"/>
        <w:rPr>
          <w:rFonts w:ascii="Arial" w:hAnsi="Arial" w:cs="Arial"/>
        </w:rPr>
      </w:pPr>
      <w:r w:rsidRPr="00791A3F">
        <w:rPr>
          <w:rFonts w:ascii="Arial" w:hAnsi="Arial" w:cs="Arial"/>
        </w:rPr>
        <w:t xml:space="preserve">The most advanced dimension is on environmental management especially in the areas of Scope 1 and 2 emissions, energy efficiency, refrigeration and packaging. There is less substance in scope 3 emissions and biodiversity as it will be more difficult to transform </w:t>
      </w:r>
      <w:r w:rsidRPr="00791A3F">
        <w:rPr>
          <w:rFonts w:ascii="Arial" w:hAnsi="Arial" w:cs="Arial"/>
        </w:rPr>
        <w:lastRenderedPageBreak/>
        <w:t xml:space="preserve">and verify their supply chains. Modern slavery statements and supplier audits have been a great way to </w:t>
      </w:r>
      <w:proofErr w:type="spellStart"/>
      <w:r w:rsidRPr="00791A3F">
        <w:rPr>
          <w:rFonts w:ascii="Arial" w:hAnsi="Arial" w:cs="Arial"/>
        </w:rPr>
        <w:t>institutionalise</w:t>
      </w:r>
      <w:proofErr w:type="spellEnd"/>
      <w:r w:rsidRPr="00791A3F">
        <w:rPr>
          <w:rFonts w:ascii="Arial" w:hAnsi="Arial" w:cs="Arial"/>
        </w:rPr>
        <w:t xml:space="preserve"> ethical sourcing, but remediation for workers and accountability at deep level of the chain of command are not sufficient.</w:t>
      </w:r>
    </w:p>
    <w:p w14:paraId="7432E894" w14:textId="77777777" w:rsidR="00BF238B" w:rsidRPr="00791A3F" w:rsidRDefault="00BF238B" w:rsidP="00791A3F">
      <w:pPr>
        <w:spacing w:line="360" w:lineRule="auto"/>
        <w:jc w:val="both"/>
        <w:rPr>
          <w:rFonts w:ascii="Arial" w:hAnsi="Arial" w:cs="Arial"/>
        </w:rPr>
      </w:pPr>
      <w:r w:rsidRPr="00791A3F">
        <w:rPr>
          <w:rFonts w:ascii="Arial" w:hAnsi="Arial" w:cs="Arial"/>
        </w:rPr>
        <w:t xml:space="preserve">The picture with respect to employee welfare is not bright. COVID-19 has created real improvements in the operational aspects of the workplace, but worker voice, job security and living wages are comparatively low. Community involvement has increased primarily through philanthropy and volunteerism with no corresponding measurement of the outcomes. There are improvements in customer responsibility through labelling and some reformulation </w:t>
      </w:r>
      <w:proofErr w:type="spellStart"/>
      <w:r w:rsidRPr="00791A3F">
        <w:rPr>
          <w:rFonts w:ascii="Arial" w:hAnsi="Arial" w:cs="Arial"/>
        </w:rPr>
        <w:t>programmes</w:t>
      </w:r>
      <w:proofErr w:type="spellEnd"/>
      <w:r w:rsidRPr="00791A3F">
        <w:rPr>
          <w:rFonts w:ascii="Arial" w:hAnsi="Arial" w:cs="Arial"/>
        </w:rPr>
        <w:t>, but there is still concern about the prevalence of UPF, promoting them, their affordability and health-washing.</w:t>
      </w:r>
    </w:p>
    <w:p w14:paraId="60117CB6" w14:textId="77777777" w:rsidR="00BF238B" w:rsidRPr="00791A3F" w:rsidRDefault="00BF238B" w:rsidP="00791A3F">
      <w:pPr>
        <w:spacing w:line="360" w:lineRule="auto"/>
        <w:jc w:val="both"/>
        <w:rPr>
          <w:rFonts w:ascii="Arial" w:hAnsi="Arial" w:cs="Arial"/>
        </w:rPr>
      </w:pPr>
      <w:r w:rsidRPr="00791A3F">
        <w:rPr>
          <w:rFonts w:ascii="Arial" w:hAnsi="Arial" w:cs="Arial"/>
        </w:rPr>
        <w:t>There are differences in business model. The supermarkets in the middle price range are characterized by both high CSR capacity and sophisticated symbolic communication, while discount supermarkets are characterized by their efficiency of operation and less transparency, and the cooperative model is characterized by good integration of the stakeholders, particularly in the field of wages and community investment. However, there is no model that is able to provide full substantive CSR, which means that the state of the institutions and the economy in each sector are still relevant.</w:t>
      </w:r>
    </w:p>
    <w:p w14:paraId="19EA3134" w14:textId="77777777" w:rsidR="00BF238B" w:rsidRPr="00791A3F" w:rsidRDefault="00BF238B" w:rsidP="00791A3F">
      <w:pPr>
        <w:spacing w:line="360" w:lineRule="auto"/>
        <w:jc w:val="both"/>
        <w:rPr>
          <w:rFonts w:ascii="Arial" w:hAnsi="Arial" w:cs="Arial"/>
        </w:rPr>
      </w:pPr>
      <w:r w:rsidRPr="00791A3F">
        <w:rPr>
          <w:rFonts w:ascii="Arial" w:hAnsi="Arial" w:cs="Arial"/>
        </w:rPr>
        <w:t>The results confirm the findings from institutional theory as shown by the high level of substantive responses in the presence of coercive regulation and low levels of response when CSR is still voluntary. Stakeholder theory is also strengthened as powerful stakeholders are more likely to be given responses than those that are less powerful and have less capacity to impose sanctions. The study also shows that greenwashing and health-washing can co-exist alongside any true improvements and independent verification and outcome-based evaluation are necessary.</w:t>
      </w:r>
    </w:p>
    <w:p w14:paraId="486E5E9F" w14:textId="77777777" w:rsidR="003302A0" w:rsidRPr="00791A3F" w:rsidRDefault="00BF238B" w:rsidP="00791A3F">
      <w:pPr>
        <w:spacing w:line="360" w:lineRule="auto"/>
        <w:jc w:val="both"/>
        <w:rPr>
          <w:rFonts w:ascii="Arial" w:hAnsi="Arial" w:cs="Arial"/>
        </w:rPr>
      </w:pPr>
      <w:r w:rsidRPr="00791A3F">
        <w:rPr>
          <w:rFonts w:ascii="Arial" w:hAnsi="Arial" w:cs="Arial"/>
        </w:rPr>
        <w:t xml:space="preserve">Overall, evidence indicates that UK food retailing is not just stuck with the narrow forms of CSR found around the 2005 baseline, but that it is on course for a shift towards a more integrated stakeholder-focused CSR. While CSR is now </w:t>
      </w:r>
      <w:proofErr w:type="spellStart"/>
      <w:r w:rsidRPr="00791A3F">
        <w:rPr>
          <w:rFonts w:ascii="Arial" w:hAnsi="Arial" w:cs="Arial"/>
        </w:rPr>
        <w:t>institutionalised</w:t>
      </w:r>
      <w:proofErr w:type="spellEnd"/>
      <w:r w:rsidRPr="00791A3F">
        <w:rPr>
          <w:rFonts w:ascii="Arial" w:hAnsi="Arial" w:cs="Arial"/>
        </w:rPr>
        <w:t xml:space="preserve"> and </w:t>
      </w:r>
      <w:proofErr w:type="spellStart"/>
      <w:r w:rsidRPr="00791A3F">
        <w:rPr>
          <w:rFonts w:ascii="Arial" w:hAnsi="Arial" w:cs="Arial"/>
        </w:rPr>
        <w:t>professionalised</w:t>
      </w:r>
      <w:proofErr w:type="spellEnd"/>
      <w:r w:rsidRPr="00791A3F">
        <w:rPr>
          <w:rFonts w:ascii="Arial" w:hAnsi="Arial" w:cs="Arial"/>
        </w:rPr>
        <w:t xml:space="preserve">, and seen as important, transformation in operations is selective. The symbolic and substantive CSR issue is thus key to gauging progress. The results of these </w:t>
      </w:r>
      <w:r w:rsidRPr="00791A3F">
        <w:rPr>
          <w:rFonts w:ascii="Arial" w:hAnsi="Arial" w:cs="Arial"/>
        </w:rPr>
        <w:lastRenderedPageBreak/>
        <w:t>are summarized in the conclusions, recommendations, limitations and future research in the following chapter.</w:t>
      </w:r>
      <w:r w:rsidR="003302A0" w:rsidRPr="00791A3F">
        <w:rPr>
          <w:rFonts w:ascii="Arial" w:hAnsi="Arial" w:cs="Arial"/>
        </w:rPr>
        <w:br w:type="page"/>
      </w:r>
    </w:p>
    <w:p w14:paraId="4D30E595" w14:textId="77777777" w:rsidR="00897863" w:rsidRPr="00791A3F" w:rsidRDefault="00897863" w:rsidP="00791A3F">
      <w:pPr>
        <w:pStyle w:val="Heading1"/>
        <w:spacing w:line="360" w:lineRule="auto"/>
        <w:rPr>
          <w:rFonts w:ascii="Arial" w:hAnsi="Arial" w:cs="Arial"/>
        </w:rPr>
      </w:pPr>
      <w:bookmarkStart w:id="126" w:name="_Toc237956938"/>
      <w:bookmarkStart w:id="127" w:name="_Toc238690216"/>
      <w:r w:rsidRPr="00791A3F">
        <w:rPr>
          <w:rFonts w:ascii="Arial" w:hAnsi="Arial" w:cs="Arial"/>
        </w:rPr>
        <w:lastRenderedPageBreak/>
        <w:t>Chapter 5: Conclusions and Recommendations</w:t>
      </w:r>
      <w:bookmarkEnd w:id="126"/>
      <w:bookmarkEnd w:id="127"/>
    </w:p>
    <w:p w14:paraId="67E46D94" w14:textId="77777777" w:rsidR="008D435C" w:rsidRPr="00791A3F" w:rsidRDefault="008D435C" w:rsidP="00791A3F">
      <w:pPr>
        <w:pStyle w:val="Heading2"/>
        <w:spacing w:line="360" w:lineRule="auto"/>
        <w:rPr>
          <w:rFonts w:ascii="Arial" w:hAnsi="Arial" w:cs="Arial"/>
        </w:rPr>
      </w:pPr>
      <w:bookmarkStart w:id="128" w:name="_Toc237956939"/>
      <w:bookmarkStart w:id="129" w:name="_Toc238690217"/>
      <w:r w:rsidRPr="00791A3F">
        <w:rPr>
          <w:rFonts w:ascii="Arial" w:hAnsi="Arial" w:cs="Arial"/>
        </w:rPr>
        <w:t>5.1 Introduction</w:t>
      </w:r>
      <w:bookmarkEnd w:id="128"/>
      <w:bookmarkEnd w:id="129"/>
    </w:p>
    <w:p w14:paraId="77B7CBE3" w14:textId="77777777" w:rsidR="00225B11" w:rsidRPr="00791A3F" w:rsidRDefault="00225B11" w:rsidP="00791A3F">
      <w:pPr>
        <w:spacing w:line="360" w:lineRule="auto"/>
        <w:jc w:val="both"/>
        <w:rPr>
          <w:rFonts w:ascii="Arial" w:hAnsi="Arial" w:cs="Arial"/>
        </w:rPr>
      </w:pPr>
      <w:r w:rsidRPr="00791A3F">
        <w:rPr>
          <w:rFonts w:ascii="Arial" w:hAnsi="Arial" w:cs="Arial"/>
        </w:rPr>
        <w:t>This dissertation has explored the development of CSR in the UK food retail industry from 2005 to 2025 and whether there were any shifts in terms of the nature of food retailers' CSR contribution from symbolic to substantive. It examined 5 domains of CSR (Jones et al., 2005) which are being practiced in retail outlets such as Tesco, Sainsbury's, Morrisons, Asda, Aldi, Lidl and The Co-operative Food. The five criteria which distinguished substantive practices from symbolic compliance were: verifiability, measurability, accountability, integration and comparability. This chapter is a summary of the findings, answers the research questions, provides recommendations, identifies limitations and specifies future research.</w:t>
      </w:r>
    </w:p>
    <w:p w14:paraId="34EADE46" w14:textId="655B3973" w:rsidR="00F70C3F" w:rsidRPr="00791A3F" w:rsidRDefault="00F70C3F" w:rsidP="00791A3F">
      <w:pPr>
        <w:spacing w:line="360" w:lineRule="auto"/>
        <w:jc w:val="both"/>
        <w:rPr>
          <w:rFonts w:ascii="Arial" w:hAnsi="Arial" w:cs="Arial"/>
        </w:rPr>
      </w:pPr>
      <w:r w:rsidRPr="00791A3F">
        <w:rPr>
          <w:rFonts w:ascii="Arial" w:hAnsi="Arial" w:cs="Arial"/>
        </w:rPr>
        <w:t>There were five criteria that distinguished substantive practices from symbolic compliance: verifiability, measurability, accountability, integration and comparability. This chapter is a summary of the findings, answers the research questions, provides recommendations, identifies limitations and specifies future research.</w:t>
      </w:r>
    </w:p>
    <w:p w14:paraId="315DEDFC" w14:textId="77777777" w:rsidR="008D435C" w:rsidRPr="00791A3F" w:rsidRDefault="008D435C" w:rsidP="00791A3F">
      <w:pPr>
        <w:pStyle w:val="Heading2"/>
        <w:spacing w:line="360" w:lineRule="auto"/>
        <w:rPr>
          <w:rFonts w:ascii="Arial" w:hAnsi="Arial" w:cs="Arial"/>
        </w:rPr>
      </w:pPr>
      <w:bookmarkStart w:id="130" w:name="_Toc237956940"/>
      <w:bookmarkStart w:id="131" w:name="_Toc238690218"/>
      <w:r w:rsidRPr="00791A3F">
        <w:rPr>
          <w:rFonts w:ascii="Arial" w:hAnsi="Arial" w:cs="Arial"/>
        </w:rPr>
        <w:t>5.2 Summary of Main Findings</w:t>
      </w:r>
      <w:bookmarkEnd w:id="130"/>
      <w:bookmarkEnd w:id="131"/>
    </w:p>
    <w:p w14:paraId="7B7FAC1E" w14:textId="77777777" w:rsidR="00322C8C" w:rsidRPr="00791A3F" w:rsidRDefault="00000000" w:rsidP="00791A3F">
      <w:pPr>
        <w:spacing w:line="360" w:lineRule="auto"/>
        <w:rPr>
          <w:rFonts w:ascii="Arial" w:hAnsi="Arial" w:cs="Arial"/>
        </w:rPr>
      </w:pPr>
      <w:r w:rsidRPr="00791A3F">
        <w:rPr>
          <w:rFonts w:ascii="Arial" w:hAnsi="Arial" w:cs="Arial"/>
          <w:b/>
        </w:rPr>
        <w:t>Finding 1: CSR Institutionalisation Without Consistent Substantiation</w:t>
      </w:r>
    </w:p>
    <w:p w14:paraId="72EAB43B" w14:textId="77777777" w:rsidR="00166E4C" w:rsidRPr="00791A3F" w:rsidRDefault="00166E4C" w:rsidP="00791A3F">
      <w:pPr>
        <w:spacing w:line="360" w:lineRule="auto"/>
        <w:rPr>
          <w:rFonts w:ascii="Arial" w:hAnsi="Arial" w:cs="Arial"/>
        </w:rPr>
      </w:pPr>
      <w:r w:rsidRPr="00791A3F">
        <w:rPr>
          <w:rFonts w:ascii="Arial" w:hAnsi="Arial" w:cs="Arial"/>
        </w:rPr>
        <w:t xml:space="preserve">Since the baseline of Jones et al. (2005) food retailing in the UK has become </w:t>
      </w:r>
      <w:proofErr w:type="spellStart"/>
      <w:r w:rsidRPr="00791A3F">
        <w:rPr>
          <w:rFonts w:ascii="Arial" w:hAnsi="Arial" w:cs="Arial"/>
        </w:rPr>
        <w:t>institutionalised</w:t>
      </w:r>
      <w:proofErr w:type="spellEnd"/>
      <w:r w:rsidRPr="00791A3F">
        <w:rPr>
          <w:rFonts w:ascii="Arial" w:hAnsi="Arial" w:cs="Arial"/>
        </w:rPr>
        <w:t xml:space="preserve"> with CSR. Board-level governance, environmental policies and sustainability strategies, and executive compensation with sustainability are standard industry practice. But there is not necessarily an equal degree of operational change with the increasing formalization of the organizations on all CSR dimensions. Measurable and verifiable environmental performance tends to be more </w:t>
      </w:r>
      <w:proofErr w:type="spellStart"/>
      <w:r w:rsidRPr="00791A3F">
        <w:rPr>
          <w:rFonts w:ascii="Arial" w:hAnsi="Arial" w:cs="Arial"/>
        </w:rPr>
        <w:t>standardised</w:t>
      </w:r>
      <w:proofErr w:type="spellEnd"/>
      <w:r w:rsidRPr="00791A3F">
        <w:rPr>
          <w:rFonts w:ascii="Arial" w:hAnsi="Arial" w:cs="Arial"/>
        </w:rPr>
        <w:t xml:space="preserve"> and measurable and less so in the social arena.</w:t>
      </w:r>
    </w:p>
    <w:p w14:paraId="15F02CA9" w14:textId="081D9BB2" w:rsidR="00322C8C" w:rsidRPr="00791A3F" w:rsidRDefault="00000000" w:rsidP="00791A3F">
      <w:pPr>
        <w:spacing w:line="360" w:lineRule="auto"/>
        <w:rPr>
          <w:rFonts w:ascii="Arial" w:hAnsi="Arial" w:cs="Arial"/>
        </w:rPr>
      </w:pPr>
      <w:r w:rsidRPr="00791A3F">
        <w:rPr>
          <w:rFonts w:ascii="Arial" w:hAnsi="Arial" w:cs="Arial"/>
          <w:b/>
        </w:rPr>
        <w:t>Finding 2: Uneven CSR Development Across Dimensions</w:t>
      </w:r>
    </w:p>
    <w:p w14:paraId="12D6014A" w14:textId="77777777" w:rsidR="00166E4C" w:rsidRPr="00791A3F" w:rsidRDefault="00166E4C" w:rsidP="00791A3F">
      <w:pPr>
        <w:spacing w:line="360" w:lineRule="auto"/>
        <w:rPr>
          <w:rFonts w:ascii="Arial" w:hAnsi="Arial" w:cs="Arial"/>
        </w:rPr>
      </w:pPr>
      <w:r w:rsidRPr="00791A3F">
        <w:rPr>
          <w:rFonts w:ascii="Arial" w:hAnsi="Arial" w:cs="Arial"/>
        </w:rPr>
        <w:t xml:space="preserve">The sector with the most relevant results of substantive progress is environmental management, among others, in the areas of Scope 1 and 2 emissions, energy </w:t>
      </w:r>
      <w:r w:rsidRPr="00791A3F">
        <w:rPr>
          <w:rFonts w:ascii="Arial" w:hAnsi="Arial" w:cs="Arial"/>
        </w:rPr>
        <w:lastRenderedPageBreak/>
        <w:t xml:space="preserve">efficiency, refrigeration and packaging. Ethical sourcing is becoming more codified and </w:t>
      </w:r>
      <w:proofErr w:type="spellStart"/>
      <w:r w:rsidRPr="00791A3F">
        <w:rPr>
          <w:rFonts w:ascii="Arial" w:hAnsi="Arial" w:cs="Arial"/>
        </w:rPr>
        <w:t>systematised</w:t>
      </w:r>
      <w:proofErr w:type="spellEnd"/>
      <w:r w:rsidRPr="00791A3F">
        <w:rPr>
          <w:rFonts w:ascii="Arial" w:hAnsi="Arial" w:cs="Arial"/>
        </w:rPr>
        <w:t xml:space="preserve"> with modern slavery reporting and supplier due diligence, however remediation of workers and visibility at deep tiers is weaker. So, while living wages and job security and worker voice are less well-developed, employee welfare has improved during COVID-19. There has been more involvement with the community, but less reporting is focused on outcomes as opposed to activities. Labelling and targeted reformulation efforts have led to a reduction in customer responsibility and there are ongoing concerns about general nutrition and exposure to ultra-processed foods.</w:t>
      </w:r>
    </w:p>
    <w:p w14:paraId="7E1012BA" w14:textId="2F3156A7" w:rsidR="00322C8C" w:rsidRPr="00791A3F" w:rsidRDefault="00000000" w:rsidP="00791A3F">
      <w:pPr>
        <w:spacing w:line="360" w:lineRule="auto"/>
        <w:rPr>
          <w:rFonts w:ascii="Arial" w:hAnsi="Arial" w:cs="Arial"/>
        </w:rPr>
      </w:pPr>
      <w:r w:rsidRPr="00791A3F">
        <w:rPr>
          <w:rFonts w:ascii="Arial" w:hAnsi="Arial" w:cs="Arial"/>
          <w:b/>
        </w:rPr>
        <w:t>Finding 3: Regulatory Mandates Drive Substantiation</w:t>
      </w:r>
    </w:p>
    <w:p w14:paraId="34D1915A" w14:textId="77777777" w:rsidR="00166E4C" w:rsidRPr="00791A3F" w:rsidRDefault="00166E4C" w:rsidP="00791A3F">
      <w:pPr>
        <w:spacing w:line="360" w:lineRule="auto"/>
        <w:rPr>
          <w:rFonts w:ascii="Arial" w:hAnsi="Arial" w:cs="Arial"/>
        </w:rPr>
      </w:pPr>
      <w:r w:rsidRPr="00791A3F">
        <w:rPr>
          <w:rFonts w:ascii="Arial" w:hAnsi="Arial" w:cs="Arial"/>
        </w:rPr>
        <w:t>Where there is stronger regulation in the CSR area there is increased measurability and accountability compared to CSR areas with weaker regulation. In contrast to these voluntary commitments, those linked to living wages, remediation for workers, and public-health transformation are still less structured, even as climate disclosure and packaging demands and standards have driven greater structuring of response.</w:t>
      </w:r>
    </w:p>
    <w:p w14:paraId="50BD9A66" w14:textId="0B075EEE" w:rsidR="00322C8C" w:rsidRPr="00791A3F" w:rsidRDefault="00000000" w:rsidP="00791A3F">
      <w:pPr>
        <w:spacing w:line="360" w:lineRule="auto"/>
        <w:rPr>
          <w:rFonts w:ascii="Arial" w:hAnsi="Arial" w:cs="Arial"/>
        </w:rPr>
      </w:pPr>
      <w:r w:rsidRPr="00791A3F">
        <w:rPr>
          <w:rFonts w:ascii="Arial" w:hAnsi="Arial" w:cs="Arial"/>
          <w:b/>
        </w:rPr>
        <w:t>Finding 4: Business Model Differentiation Shapes CSR Strategies</w:t>
      </w:r>
    </w:p>
    <w:p w14:paraId="1FCED2A1" w14:textId="77777777" w:rsidR="00166E4C" w:rsidRPr="00791A3F" w:rsidRDefault="00166E4C" w:rsidP="00791A3F">
      <w:pPr>
        <w:spacing w:line="360" w:lineRule="auto"/>
        <w:rPr>
          <w:rFonts w:ascii="Arial" w:hAnsi="Arial" w:cs="Arial"/>
        </w:rPr>
      </w:pPr>
      <w:r w:rsidRPr="00791A3F">
        <w:rPr>
          <w:rFonts w:ascii="Arial" w:hAnsi="Arial" w:cs="Arial"/>
        </w:rPr>
        <w:t>There is a relationship between business models and the resources, incentives and governance that become available for CSR. Mainstream retailers typically are more likely to be able to report and have sustainability capacity, while cooperative ownership can offer more robust governance structures for integrating stakeholders and operational simplicity can create environmental efficiencies at discount retailers. Despite this, there is no such thing as a "typical" model of substantive CSR as all retailers have commercial and institutional constraints in the industry as a whole.</w:t>
      </w:r>
    </w:p>
    <w:p w14:paraId="68B57355" w14:textId="0896E4A9" w:rsidR="00322C8C" w:rsidRPr="00791A3F" w:rsidRDefault="00000000" w:rsidP="00791A3F">
      <w:pPr>
        <w:spacing w:line="360" w:lineRule="auto"/>
        <w:rPr>
          <w:rFonts w:ascii="Arial" w:hAnsi="Arial" w:cs="Arial"/>
        </w:rPr>
      </w:pPr>
      <w:r w:rsidRPr="00791A3F">
        <w:rPr>
          <w:rFonts w:ascii="Arial" w:hAnsi="Arial" w:cs="Arial"/>
          <w:b/>
        </w:rPr>
        <w:t>Finding 5: Emerging Priorities Entered the Agenda Faster Than Operations Changed</w:t>
      </w:r>
    </w:p>
    <w:p w14:paraId="14167B2B" w14:textId="5C2FC818" w:rsidR="00322C8C" w:rsidRPr="00791A3F" w:rsidRDefault="00166E4C" w:rsidP="00791A3F">
      <w:pPr>
        <w:spacing w:line="360" w:lineRule="auto"/>
        <w:rPr>
          <w:rFonts w:ascii="Arial" w:hAnsi="Arial" w:cs="Arial"/>
        </w:rPr>
      </w:pPr>
      <w:r w:rsidRPr="00791A3F">
        <w:rPr>
          <w:rFonts w:ascii="Arial" w:hAnsi="Arial" w:cs="Arial"/>
        </w:rPr>
        <w:t xml:space="preserve">Today, Scope 3 emissions, circular economy and modern slavery and public health have emerged as major topics of the CSR strategies and governance. However, this is not uniformly being put into practice in terms of operations. Packaging remains a key driver of circular economy activity while processes are more often discussed in the </w:t>
      </w:r>
      <w:r w:rsidRPr="00791A3F">
        <w:rPr>
          <w:rFonts w:ascii="Arial" w:hAnsi="Arial" w:cs="Arial"/>
        </w:rPr>
        <w:lastRenderedPageBreak/>
        <w:t>context of modern slavery reporting, and health strategies are typically around the issues of labelling and reformulation instead of transformation of the whole portfolio.</w:t>
      </w:r>
    </w:p>
    <w:p w14:paraId="3D7FDAB1" w14:textId="77777777" w:rsidR="00322C8C" w:rsidRPr="00791A3F" w:rsidRDefault="00000000" w:rsidP="00791A3F">
      <w:pPr>
        <w:spacing w:line="360" w:lineRule="auto"/>
        <w:rPr>
          <w:rFonts w:ascii="Arial" w:hAnsi="Arial" w:cs="Arial"/>
        </w:rPr>
      </w:pPr>
      <w:r w:rsidRPr="00791A3F">
        <w:rPr>
          <w:rFonts w:ascii="Arial" w:hAnsi="Arial" w:cs="Arial"/>
          <w:b/>
        </w:rPr>
        <w:t>Finding 6: Stakeholder Salience Determines Responsiveness</w:t>
      </w:r>
    </w:p>
    <w:p w14:paraId="60527612" w14:textId="77777777" w:rsidR="00166E4C" w:rsidRPr="00791A3F" w:rsidRDefault="00166E4C" w:rsidP="00791A3F">
      <w:pPr>
        <w:spacing w:line="360" w:lineRule="auto"/>
        <w:rPr>
          <w:rFonts w:ascii="Arial" w:hAnsi="Arial" w:cs="Arial"/>
        </w:rPr>
      </w:pPr>
      <w:r w:rsidRPr="00791A3F">
        <w:rPr>
          <w:rFonts w:ascii="Arial" w:hAnsi="Arial" w:cs="Arial"/>
        </w:rPr>
        <w:t xml:space="preserve">The results suggest that the more institutional and/or reputational power a stakeholder has the higher the response of the retailer, especially investors, regulators and consumers. There may be individuals and groups of people who are legitimate, who feel that they have a high level of urgency, but who have fewer ways of imposing </w:t>
      </w:r>
      <w:proofErr w:type="spellStart"/>
      <w:proofErr w:type="gramStart"/>
      <w:r w:rsidRPr="00791A3F">
        <w:rPr>
          <w:rFonts w:ascii="Arial" w:hAnsi="Arial" w:cs="Arial"/>
        </w:rPr>
        <w:t>sanctions.There</w:t>
      </w:r>
      <w:proofErr w:type="spellEnd"/>
      <w:proofErr w:type="gramEnd"/>
      <w:r w:rsidRPr="00791A3F">
        <w:rPr>
          <w:rFonts w:ascii="Arial" w:hAnsi="Arial" w:cs="Arial"/>
        </w:rPr>
        <w:t xml:space="preserve"> may be individuals and groups of people who have high legitimacy, high urgency, but low means for imposing sanctions. This helps to shed light on the salience of each of the stakeholders and the reasons for the mixed results of CSR.</w:t>
      </w:r>
    </w:p>
    <w:p w14:paraId="22A3EFE2" w14:textId="59DBCCF3" w:rsidR="00322C8C" w:rsidRPr="00791A3F" w:rsidRDefault="00000000" w:rsidP="00791A3F">
      <w:pPr>
        <w:spacing w:line="360" w:lineRule="auto"/>
        <w:rPr>
          <w:rFonts w:ascii="Arial" w:hAnsi="Arial" w:cs="Arial"/>
        </w:rPr>
      </w:pPr>
      <w:r w:rsidRPr="00791A3F">
        <w:rPr>
          <w:rFonts w:ascii="Arial" w:hAnsi="Arial" w:cs="Arial"/>
          <w:b/>
        </w:rPr>
        <w:t>Finding 7: Greenwashing and Health-Washing Can Coexist with Genuine Progress</w:t>
      </w:r>
    </w:p>
    <w:p w14:paraId="7A2A77F7" w14:textId="77777777" w:rsidR="00166E4C" w:rsidRPr="00791A3F" w:rsidRDefault="00166E4C" w:rsidP="00791A3F">
      <w:pPr>
        <w:spacing w:line="360" w:lineRule="auto"/>
        <w:rPr>
          <w:rFonts w:ascii="Arial" w:hAnsi="Arial" w:cs="Arial"/>
        </w:rPr>
      </w:pPr>
      <w:bookmarkStart w:id="132" w:name="_Toc237956941"/>
      <w:r w:rsidRPr="00791A3F">
        <w:rPr>
          <w:rFonts w:ascii="Arial" w:hAnsi="Arial" w:cs="Arial"/>
        </w:rPr>
        <w:t>The evidence is not an indication that it is always false to claim to be a CSR. Instead, the operational improvement can be achieved, and selective and/or murky disclosure of negative trade-offs can be made. This highlights the need to measure the impact of CSR by results, verification and accountability measures as well as volume of disclosure.</w:t>
      </w:r>
    </w:p>
    <w:p w14:paraId="72F36E73" w14:textId="38C1B430" w:rsidR="008D435C" w:rsidRPr="00791A3F" w:rsidRDefault="008D435C" w:rsidP="00791A3F">
      <w:pPr>
        <w:pStyle w:val="Heading2"/>
        <w:spacing w:line="360" w:lineRule="auto"/>
        <w:rPr>
          <w:rFonts w:ascii="Arial" w:hAnsi="Arial" w:cs="Arial"/>
        </w:rPr>
      </w:pPr>
      <w:bookmarkStart w:id="133" w:name="_Toc238690219"/>
      <w:r w:rsidRPr="00791A3F">
        <w:rPr>
          <w:rFonts w:ascii="Arial" w:hAnsi="Arial" w:cs="Arial"/>
        </w:rPr>
        <w:t>5.3 Conclusions Based on Research Questions</w:t>
      </w:r>
      <w:bookmarkEnd w:id="132"/>
      <w:bookmarkEnd w:id="133"/>
    </w:p>
    <w:p w14:paraId="7FE115CE" w14:textId="77777777" w:rsidR="008D435C" w:rsidRPr="00791A3F" w:rsidRDefault="008D435C" w:rsidP="00791A3F">
      <w:pPr>
        <w:pStyle w:val="Heading3"/>
      </w:pPr>
      <w:bookmarkStart w:id="134" w:name="_Toc237956942"/>
      <w:bookmarkStart w:id="135" w:name="_Toc238690220"/>
      <w:r w:rsidRPr="00791A3F">
        <w:t>5.3.1 RQ1: How Has CSR Developed Since Jones et al. (2005)?</w:t>
      </w:r>
      <w:bookmarkEnd w:id="134"/>
      <w:bookmarkEnd w:id="135"/>
    </w:p>
    <w:p w14:paraId="790E6C8E" w14:textId="77777777" w:rsidR="00212D06" w:rsidRPr="00791A3F" w:rsidRDefault="00212D06" w:rsidP="00791A3F">
      <w:pPr>
        <w:spacing w:line="360" w:lineRule="auto"/>
        <w:rPr>
          <w:rFonts w:ascii="Arial" w:hAnsi="Arial" w:cs="Arial"/>
        </w:rPr>
      </w:pPr>
      <w:r w:rsidRPr="00791A3F">
        <w:rPr>
          <w:rFonts w:ascii="Arial" w:hAnsi="Arial" w:cs="Arial"/>
        </w:rPr>
        <w:t xml:space="preserve">CSR has moved beyond ‘business philanthropy' to become a formalized part of the business. </w:t>
      </w:r>
      <w:proofErr w:type="spellStart"/>
      <w:r w:rsidRPr="00791A3F">
        <w:rPr>
          <w:rFonts w:ascii="Arial" w:hAnsi="Arial" w:cs="Arial"/>
        </w:rPr>
        <w:t>Organisational</w:t>
      </w:r>
      <w:proofErr w:type="spellEnd"/>
      <w:r w:rsidRPr="00791A3F">
        <w:rPr>
          <w:rFonts w:ascii="Arial" w:hAnsi="Arial" w:cs="Arial"/>
        </w:rPr>
        <w:t xml:space="preserve"> development is represented in the board's governance, the sustainability team, executive incentives, strategic plans and reporting frameworks. However, </w:t>
      </w:r>
      <w:proofErr w:type="spellStart"/>
      <w:r w:rsidRPr="00791A3F">
        <w:rPr>
          <w:rFonts w:ascii="Arial" w:hAnsi="Arial" w:cs="Arial"/>
        </w:rPr>
        <w:t>institutionalisation</w:t>
      </w:r>
      <w:proofErr w:type="spellEnd"/>
      <w:r w:rsidRPr="00791A3F">
        <w:rPr>
          <w:rFonts w:ascii="Arial" w:hAnsi="Arial" w:cs="Arial"/>
        </w:rPr>
        <w:t xml:space="preserve"> is not synonymous with complete transformation of the institution based on stakeholders.</w:t>
      </w:r>
    </w:p>
    <w:p w14:paraId="39677301" w14:textId="77777777" w:rsidR="00212D06" w:rsidRPr="00791A3F" w:rsidRDefault="00212D06" w:rsidP="00791A3F">
      <w:pPr>
        <w:spacing w:line="360" w:lineRule="auto"/>
        <w:jc w:val="both"/>
        <w:rPr>
          <w:rFonts w:ascii="Arial" w:hAnsi="Arial" w:cs="Arial"/>
        </w:rPr>
      </w:pPr>
      <w:r w:rsidRPr="00791A3F">
        <w:rPr>
          <w:rFonts w:ascii="Arial" w:hAnsi="Arial" w:cs="Arial"/>
        </w:rPr>
        <w:t xml:space="preserve">The five criteria form a useful way of measuring. The 'measurability' is strongest for climate indicators, the 'verifiability' is strongest for selected environmental indicators, the 'accountability' is weak when the target is not met and the 'integration' is strongest where the sustainability proves to overlap with operating efficiency, while the ‘comparability' is </w:t>
      </w:r>
      <w:r w:rsidRPr="00791A3F">
        <w:rPr>
          <w:rFonts w:ascii="Arial" w:hAnsi="Arial" w:cs="Arial"/>
        </w:rPr>
        <w:lastRenderedPageBreak/>
        <w:t xml:space="preserve">getting enhanced by the introduction of </w:t>
      </w:r>
      <w:proofErr w:type="spellStart"/>
      <w:r w:rsidRPr="00791A3F">
        <w:rPr>
          <w:rFonts w:ascii="Arial" w:hAnsi="Arial" w:cs="Arial"/>
        </w:rPr>
        <w:t>standardised</w:t>
      </w:r>
      <w:proofErr w:type="spellEnd"/>
      <w:r w:rsidRPr="00791A3F">
        <w:rPr>
          <w:rFonts w:ascii="Arial" w:hAnsi="Arial" w:cs="Arial"/>
        </w:rPr>
        <w:t xml:space="preserve"> reporting, though it is weaker for social outcomes (Walker &amp; Wan, 2012; Yang et al., 2025).</w:t>
      </w:r>
    </w:p>
    <w:p w14:paraId="50B3CB19" w14:textId="77777777" w:rsidR="00212D06" w:rsidRPr="00791A3F" w:rsidRDefault="00212D06" w:rsidP="00791A3F">
      <w:pPr>
        <w:spacing w:line="360" w:lineRule="auto"/>
        <w:jc w:val="both"/>
        <w:rPr>
          <w:rFonts w:ascii="Arial" w:hAnsi="Arial" w:cs="Arial"/>
        </w:rPr>
      </w:pPr>
      <w:r w:rsidRPr="00791A3F">
        <w:rPr>
          <w:rFonts w:ascii="Arial" w:hAnsi="Arial" w:cs="Arial"/>
        </w:rPr>
        <w:t>The development of CSR is not linear, but rather has gaps. There has been some progress in environmental efficiency but scope 3 is less convincing. Ethical sourcing is more on the surface without being as worker-</w:t>
      </w:r>
      <w:proofErr w:type="spellStart"/>
      <w:r w:rsidRPr="00791A3F">
        <w:rPr>
          <w:rFonts w:ascii="Arial" w:hAnsi="Arial" w:cs="Arial"/>
        </w:rPr>
        <w:t>centred</w:t>
      </w:r>
      <w:proofErr w:type="spellEnd"/>
      <w:r w:rsidRPr="00791A3F">
        <w:rPr>
          <w:rFonts w:ascii="Arial" w:hAnsi="Arial" w:cs="Arial"/>
        </w:rPr>
        <w:t xml:space="preserve"> as it could be, worker protection has been enhanced during the pandemic, but precarity is still there, and community and health initiatives still have big gaps. Thus, the institutional pressure seems to be a stronger factor than corporate ethics, in absence of which (Bansal &amp; Roth, 2000).</w:t>
      </w:r>
    </w:p>
    <w:p w14:paraId="1C8360D7" w14:textId="77777777" w:rsidR="008D435C" w:rsidRPr="00791A3F" w:rsidRDefault="008D435C" w:rsidP="00791A3F">
      <w:pPr>
        <w:pStyle w:val="Heading3"/>
        <w:spacing w:line="360" w:lineRule="auto"/>
        <w:rPr>
          <w:rFonts w:ascii="Arial" w:hAnsi="Arial" w:cs="Arial"/>
        </w:rPr>
      </w:pPr>
      <w:bookmarkStart w:id="136" w:name="_Toc237956943"/>
      <w:bookmarkStart w:id="137" w:name="_Toc238690221"/>
      <w:r w:rsidRPr="00791A3F">
        <w:rPr>
          <w:rFonts w:ascii="Arial" w:hAnsi="Arial" w:cs="Arial"/>
        </w:rPr>
        <w:t>5.3.2 RQ2: What Evidence Exists of Substantive CSR Integration?</w:t>
      </w:r>
      <w:bookmarkEnd w:id="136"/>
      <w:bookmarkEnd w:id="137"/>
    </w:p>
    <w:p w14:paraId="7726DB03" w14:textId="77777777" w:rsidR="00663A93" w:rsidRPr="00791A3F" w:rsidRDefault="00663A93" w:rsidP="00791A3F">
      <w:pPr>
        <w:spacing w:line="360" w:lineRule="auto"/>
        <w:jc w:val="both"/>
        <w:rPr>
          <w:rFonts w:ascii="Arial" w:hAnsi="Arial" w:cs="Arial"/>
        </w:rPr>
      </w:pPr>
      <w:r w:rsidRPr="00791A3F">
        <w:rPr>
          <w:rFonts w:ascii="Arial" w:hAnsi="Arial" w:cs="Arial"/>
        </w:rPr>
        <w:t>Structural governance, financial alignment, and enforcement are all areas of focus for substantive CSR. This can be things like Scope 1 reductions, Scope 2 reductions, energy efficiency, packaging reduction, COVID-19 protections, Co-op Living Wage accreditation, and nutrition-labelling improvements.</w:t>
      </w:r>
    </w:p>
    <w:p w14:paraId="28AD0A29" w14:textId="77777777" w:rsidR="00663A93" w:rsidRPr="00791A3F" w:rsidRDefault="00663A93" w:rsidP="00791A3F">
      <w:pPr>
        <w:spacing w:line="360" w:lineRule="auto"/>
        <w:jc w:val="both"/>
        <w:rPr>
          <w:rFonts w:ascii="Arial" w:hAnsi="Arial" w:cs="Arial"/>
        </w:rPr>
      </w:pPr>
      <w:r w:rsidRPr="00791A3F">
        <w:rPr>
          <w:rFonts w:ascii="Arial" w:hAnsi="Arial" w:cs="Arial"/>
        </w:rPr>
        <w:t xml:space="preserve">Practices that are symbolic or weakly substantiated occur more frequently in Scope 3 </w:t>
      </w:r>
      <w:proofErr w:type="spellStart"/>
      <w:r w:rsidRPr="00791A3F">
        <w:rPr>
          <w:rFonts w:ascii="Arial" w:hAnsi="Arial" w:cs="Arial"/>
        </w:rPr>
        <w:t>decarbonisation</w:t>
      </w:r>
      <w:proofErr w:type="spellEnd"/>
      <w:r w:rsidRPr="00791A3F">
        <w:rPr>
          <w:rFonts w:ascii="Arial" w:hAnsi="Arial" w:cs="Arial"/>
        </w:rPr>
        <w:t>, worker remediation, living wages (apart from the cooperative model), community outcomes and health transformation of the portfolio. Hence, substantive integration requires enforcement, financial incentives and/or governance structures safeguarding stakeholder interests. If it is not the case, disclosure can meet the legitimacy criteria, without significantly altering the practice (Lyon &amp; Maxwell, 2011; Delmas &amp; Burbano, 2011).</w:t>
      </w:r>
    </w:p>
    <w:p w14:paraId="116B9B58" w14:textId="77777777" w:rsidR="008D435C" w:rsidRPr="00791A3F" w:rsidRDefault="008D435C" w:rsidP="00791A3F">
      <w:pPr>
        <w:pStyle w:val="Heading3"/>
        <w:spacing w:line="360" w:lineRule="auto"/>
        <w:rPr>
          <w:rFonts w:ascii="Arial" w:hAnsi="Arial" w:cs="Arial"/>
        </w:rPr>
      </w:pPr>
      <w:bookmarkStart w:id="138" w:name="_Toc237956944"/>
      <w:bookmarkStart w:id="139" w:name="_Toc238690222"/>
      <w:r w:rsidRPr="00791A3F">
        <w:rPr>
          <w:rFonts w:ascii="Arial" w:hAnsi="Arial" w:cs="Arial"/>
        </w:rPr>
        <w:t>5.3.3 RQ3: How Do Business Models Differ?</w:t>
      </w:r>
      <w:bookmarkEnd w:id="138"/>
      <w:bookmarkEnd w:id="139"/>
    </w:p>
    <w:p w14:paraId="68332747" w14:textId="77777777" w:rsidR="00DA354A" w:rsidRPr="00791A3F" w:rsidRDefault="00DA354A" w:rsidP="00791A3F">
      <w:pPr>
        <w:spacing w:line="360" w:lineRule="auto"/>
        <w:jc w:val="both"/>
        <w:rPr>
          <w:rFonts w:ascii="Arial" w:hAnsi="Arial" w:cs="Arial"/>
        </w:rPr>
      </w:pPr>
      <w:r w:rsidRPr="00791A3F">
        <w:rPr>
          <w:rFonts w:ascii="Arial" w:hAnsi="Arial" w:cs="Arial"/>
        </w:rPr>
        <w:t>CSR strategies have an impact on business models. Mainstream supermarkets have the largest resources and reporting sophistication, and have good incentives for reputational management and shareholder performance. Discount retailers can gain environmental efficiencies by streamlining their structures and revealing less. In cooperative governance, there is a greater level of embeddedness of stakeholder consideration, either as a result of member ownership or ethical commitments.</w:t>
      </w:r>
    </w:p>
    <w:p w14:paraId="0D76C45C" w14:textId="77777777" w:rsidR="00DA354A" w:rsidRPr="00791A3F" w:rsidRDefault="00DA354A" w:rsidP="00791A3F">
      <w:pPr>
        <w:spacing w:line="360" w:lineRule="auto"/>
        <w:jc w:val="both"/>
        <w:rPr>
          <w:rFonts w:ascii="Arial" w:hAnsi="Arial" w:cs="Arial"/>
        </w:rPr>
      </w:pPr>
      <w:r w:rsidRPr="00791A3F">
        <w:rPr>
          <w:rFonts w:ascii="Arial" w:hAnsi="Arial" w:cs="Arial"/>
        </w:rPr>
        <w:lastRenderedPageBreak/>
        <w:t>There is no model that has a full range of substantive CSR. Ownership and operating models are important but are limited in their implementation by competition, costs, regulation and the market structure of the players. While business model innovation alone cannot achieve systemic change (Hernandez-</w:t>
      </w:r>
      <w:proofErr w:type="spellStart"/>
      <w:r w:rsidRPr="00791A3F">
        <w:rPr>
          <w:rFonts w:ascii="Arial" w:hAnsi="Arial" w:cs="Arial"/>
        </w:rPr>
        <w:t>Espallardo</w:t>
      </w:r>
      <w:proofErr w:type="spellEnd"/>
      <w:r w:rsidRPr="00791A3F">
        <w:rPr>
          <w:rFonts w:ascii="Arial" w:hAnsi="Arial" w:cs="Arial"/>
        </w:rPr>
        <w:t xml:space="preserve"> et al., 2021; Crane et al., 2014), it may participate in the </w:t>
      </w:r>
      <w:proofErr w:type="spellStart"/>
      <w:proofErr w:type="gramStart"/>
      <w:r w:rsidRPr="00791A3F">
        <w:rPr>
          <w:rFonts w:ascii="Arial" w:hAnsi="Arial" w:cs="Arial"/>
        </w:rPr>
        <w:t>transition.Business</w:t>
      </w:r>
      <w:proofErr w:type="spellEnd"/>
      <w:proofErr w:type="gramEnd"/>
      <w:r w:rsidRPr="00791A3F">
        <w:rPr>
          <w:rFonts w:ascii="Arial" w:hAnsi="Arial" w:cs="Arial"/>
        </w:rPr>
        <w:t>-model innovation can contribute to the transition, but it cannot be the solution for achieving systemic change (Hernandez-</w:t>
      </w:r>
      <w:proofErr w:type="spellStart"/>
      <w:r w:rsidRPr="00791A3F">
        <w:rPr>
          <w:rFonts w:ascii="Arial" w:hAnsi="Arial" w:cs="Arial"/>
        </w:rPr>
        <w:t>Espallardo</w:t>
      </w:r>
      <w:proofErr w:type="spellEnd"/>
      <w:r w:rsidRPr="00791A3F">
        <w:rPr>
          <w:rFonts w:ascii="Arial" w:hAnsi="Arial" w:cs="Arial"/>
        </w:rPr>
        <w:t xml:space="preserve"> et al., 2021; Crane et al., 2014).</w:t>
      </w:r>
    </w:p>
    <w:p w14:paraId="2057B0AD" w14:textId="77777777" w:rsidR="008D435C" w:rsidRPr="00791A3F" w:rsidRDefault="008D435C" w:rsidP="00791A3F">
      <w:pPr>
        <w:pStyle w:val="Heading3"/>
        <w:spacing w:line="360" w:lineRule="auto"/>
        <w:rPr>
          <w:rFonts w:ascii="Arial" w:hAnsi="Arial" w:cs="Arial"/>
        </w:rPr>
      </w:pPr>
      <w:bookmarkStart w:id="140" w:name="_Toc237956945"/>
      <w:bookmarkStart w:id="141" w:name="_Toc238690223"/>
      <w:r w:rsidRPr="00791A3F">
        <w:rPr>
          <w:rFonts w:ascii="Arial" w:hAnsi="Arial" w:cs="Arial"/>
        </w:rPr>
        <w:t>5.3.4 RQ4: How Are Emerging Priorities Shaping Agendas?</w:t>
      </w:r>
      <w:bookmarkEnd w:id="140"/>
      <w:bookmarkEnd w:id="141"/>
    </w:p>
    <w:p w14:paraId="5F21999D" w14:textId="77777777" w:rsidR="00797C3D" w:rsidRPr="00791A3F" w:rsidRDefault="00797C3D" w:rsidP="00791A3F">
      <w:pPr>
        <w:spacing w:line="360" w:lineRule="auto"/>
        <w:jc w:val="both"/>
        <w:rPr>
          <w:rFonts w:ascii="Arial" w:hAnsi="Arial" w:cs="Arial"/>
        </w:rPr>
      </w:pPr>
      <w:r w:rsidRPr="00791A3F">
        <w:rPr>
          <w:rFonts w:ascii="Arial" w:hAnsi="Arial" w:cs="Arial"/>
        </w:rPr>
        <w:t>Institutionalization of emerging priorities in the discourses and governance of CSR. The concepts of scope 3 (circular economy), modern slavery and public health are frequently seen in the current strategies, but there are fewer instances where they are translated into practice. Circular economy projects may not be ambitious enough, packaging may be the only focus of the circular economy, modern slavery may be more of a process than remediation and health projects may be more about labelling and limited reformulation than about a whole portfolio transformation. In order to be able to realize substantive translation, it is necessary to have outcome reporting, independent assurance, the enforcement of stakeholders, and financial incentives for structural change (Christensen et al., 2021).</w:t>
      </w:r>
    </w:p>
    <w:p w14:paraId="270F01CA" w14:textId="77777777" w:rsidR="008D435C" w:rsidRPr="00791A3F" w:rsidRDefault="008D435C" w:rsidP="00791A3F">
      <w:pPr>
        <w:pStyle w:val="Heading2"/>
        <w:spacing w:line="360" w:lineRule="auto"/>
        <w:rPr>
          <w:rFonts w:ascii="Arial" w:hAnsi="Arial" w:cs="Arial"/>
        </w:rPr>
      </w:pPr>
      <w:bookmarkStart w:id="142" w:name="_Toc237956946"/>
      <w:bookmarkStart w:id="143" w:name="_Toc238690224"/>
      <w:r w:rsidRPr="00791A3F">
        <w:rPr>
          <w:rFonts w:ascii="Arial" w:hAnsi="Arial" w:cs="Arial"/>
        </w:rPr>
        <w:t>5.4 Recommendations</w:t>
      </w:r>
      <w:bookmarkEnd w:id="142"/>
      <w:bookmarkEnd w:id="143"/>
    </w:p>
    <w:p w14:paraId="05C46F7D" w14:textId="77777777" w:rsidR="00D9611C" w:rsidRPr="00791A3F" w:rsidRDefault="00D9611C" w:rsidP="00791A3F">
      <w:pPr>
        <w:spacing w:line="360" w:lineRule="auto"/>
        <w:jc w:val="both"/>
        <w:rPr>
          <w:rFonts w:ascii="Arial" w:hAnsi="Arial" w:cs="Arial"/>
        </w:rPr>
      </w:pPr>
      <w:r w:rsidRPr="00791A3F">
        <w:rPr>
          <w:rFonts w:ascii="Arial" w:hAnsi="Arial" w:cs="Arial"/>
          <w:b/>
          <w:bCs/>
        </w:rPr>
        <w:t xml:space="preserve">Recommendation 1: </w:t>
      </w:r>
      <w:r w:rsidRPr="00791A3F">
        <w:rPr>
          <w:rFonts w:ascii="Arial" w:hAnsi="Arial" w:cs="Arial"/>
        </w:rPr>
        <w:t xml:space="preserve">Disclosure is being replaced by actual measurable results of retailers' emissions, remediation, wages, community health and wellbeing, and health, with independent verification </w:t>
      </w:r>
      <w:proofErr w:type="gramStart"/>
      <w:r w:rsidRPr="00791A3F">
        <w:rPr>
          <w:rFonts w:ascii="Arial" w:hAnsi="Arial" w:cs="Arial"/>
        </w:rPr>
        <w:t>( Yang</w:t>
      </w:r>
      <w:proofErr w:type="gramEnd"/>
      <w:r w:rsidRPr="00791A3F">
        <w:rPr>
          <w:rFonts w:ascii="Arial" w:hAnsi="Arial" w:cs="Arial"/>
        </w:rPr>
        <w:t xml:space="preserve"> et al., 2025; </w:t>
      </w:r>
      <w:proofErr w:type="spellStart"/>
      <w:r w:rsidRPr="00791A3F">
        <w:rPr>
          <w:rFonts w:ascii="Arial" w:hAnsi="Arial" w:cs="Arial"/>
        </w:rPr>
        <w:t>Kusumawardani</w:t>
      </w:r>
      <w:proofErr w:type="spellEnd"/>
      <w:r w:rsidRPr="00791A3F">
        <w:rPr>
          <w:rFonts w:ascii="Arial" w:hAnsi="Arial" w:cs="Arial"/>
        </w:rPr>
        <w:t xml:space="preserve"> &amp; </w:t>
      </w:r>
      <w:proofErr w:type="spellStart"/>
      <w:r w:rsidRPr="00791A3F">
        <w:rPr>
          <w:rFonts w:ascii="Arial" w:hAnsi="Arial" w:cs="Arial"/>
        </w:rPr>
        <w:t>Dwiridotjahjono</w:t>
      </w:r>
      <w:proofErr w:type="spellEnd"/>
      <w:r w:rsidRPr="00791A3F">
        <w:rPr>
          <w:rFonts w:ascii="Arial" w:hAnsi="Arial" w:cs="Arial"/>
        </w:rPr>
        <w:t>, 2024).</w:t>
      </w:r>
    </w:p>
    <w:p w14:paraId="5BF5BE5D" w14:textId="77777777" w:rsidR="00D9611C" w:rsidRPr="00791A3F" w:rsidRDefault="00D9611C" w:rsidP="00791A3F">
      <w:pPr>
        <w:spacing w:line="360" w:lineRule="auto"/>
        <w:jc w:val="both"/>
        <w:rPr>
          <w:rFonts w:ascii="Arial" w:hAnsi="Arial" w:cs="Arial"/>
          <w:b/>
          <w:bCs/>
        </w:rPr>
      </w:pPr>
      <w:r w:rsidRPr="00791A3F">
        <w:rPr>
          <w:rFonts w:ascii="Arial" w:hAnsi="Arial" w:cs="Arial"/>
          <w:b/>
          <w:bCs/>
        </w:rPr>
        <w:t xml:space="preserve">Recommendation 2: </w:t>
      </w:r>
      <w:r w:rsidRPr="00791A3F">
        <w:rPr>
          <w:rFonts w:ascii="Arial" w:hAnsi="Arial" w:cs="Arial"/>
        </w:rPr>
        <w:t>Participating in CSR governance in meaningful ways requires stakeholder voice to be strengthened by engaging with and involving a diversity of workers, communities and supply chains (Freeman et al., 2020).</w:t>
      </w:r>
    </w:p>
    <w:p w14:paraId="7D94D936" w14:textId="77777777" w:rsidR="00D9611C" w:rsidRPr="00791A3F" w:rsidRDefault="00D9611C" w:rsidP="00791A3F">
      <w:pPr>
        <w:spacing w:line="360" w:lineRule="auto"/>
        <w:jc w:val="both"/>
        <w:rPr>
          <w:rFonts w:ascii="Arial" w:hAnsi="Arial" w:cs="Arial"/>
        </w:rPr>
      </w:pPr>
      <w:r w:rsidRPr="00791A3F">
        <w:rPr>
          <w:rFonts w:ascii="Arial" w:hAnsi="Arial" w:cs="Arial"/>
          <w:b/>
          <w:bCs/>
        </w:rPr>
        <w:t xml:space="preserve">Recommendation 3: </w:t>
      </w:r>
      <w:r w:rsidRPr="00791A3F">
        <w:rPr>
          <w:rFonts w:ascii="Arial" w:hAnsi="Arial" w:cs="Arial"/>
        </w:rPr>
        <w:t>There should be incentives for the Executive to reduce Scope 3 emissions, remediation, Living Wage implementation and health performance and penalties for the Executive if they fail to do so (Zhao et al., 2025).</w:t>
      </w:r>
    </w:p>
    <w:p w14:paraId="525DEE3E" w14:textId="77777777" w:rsidR="00D9611C" w:rsidRPr="00791A3F" w:rsidRDefault="00D9611C" w:rsidP="00791A3F">
      <w:pPr>
        <w:spacing w:line="360" w:lineRule="auto"/>
        <w:jc w:val="both"/>
        <w:rPr>
          <w:rFonts w:ascii="Arial" w:hAnsi="Arial" w:cs="Arial"/>
        </w:rPr>
      </w:pPr>
      <w:r w:rsidRPr="00791A3F">
        <w:rPr>
          <w:rFonts w:ascii="Arial" w:hAnsi="Arial" w:cs="Arial"/>
          <w:b/>
          <w:bCs/>
        </w:rPr>
        <w:lastRenderedPageBreak/>
        <w:t xml:space="preserve">Recommendation 4: </w:t>
      </w:r>
      <w:r w:rsidRPr="00791A3F">
        <w:rPr>
          <w:rFonts w:ascii="Arial" w:hAnsi="Arial" w:cs="Arial"/>
        </w:rPr>
        <w:t xml:space="preserve">Policymakers should introduce outcome-based reporting, enhance the Modern Slavery Act, ensure that there are more robust public health measures and incorporate Scope 3 accountability (Christensen et al, 2021; Stevenson &amp; Cole, 2021; </w:t>
      </w:r>
      <w:proofErr w:type="spellStart"/>
      <w:r w:rsidRPr="00791A3F">
        <w:rPr>
          <w:rFonts w:ascii="Arial" w:hAnsi="Arial" w:cs="Arial"/>
        </w:rPr>
        <w:t>Mialon</w:t>
      </w:r>
      <w:proofErr w:type="spellEnd"/>
      <w:r w:rsidRPr="00791A3F">
        <w:rPr>
          <w:rFonts w:ascii="Arial" w:hAnsi="Arial" w:cs="Arial"/>
        </w:rPr>
        <w:t xml:space="preserve"> et al, 2026; Balsam et al, 2025).</w:t>
      </w:r>
    </w:p>
    <w:p w14:paraId="7889A3A7" w14:textId="77777777" w:rsidR="00D9611C" w:rsidRPr="00791A3F" w:rsidRDefault="00D9611C" w:rsidP="00791A3F">
      <w:pPr>
        <w:spacing w:line="360" w:lineRule="auto"/>
        <w:jc w:val="both"/>
        <w:rPr>
          <w:rFonts w:ascii="Arial" w:hAnsi="Arial" w:cs="Arial"/>
        </w:rPr>
      </w:pPr>
      <w:r w:rsidRPr="00791A3F">
        <w:rPr>
          <w:rFonts w:ascii="Arial" w:hAnsi="Arial" w:cs="Arial"/>
          <w:b/>
          <w:bCs/>
        </w:rPr>
        <w:t xml:space="preserve">Recommendation 5: </w:t>
      </w:r>
      <w:r w:rsidRPr="00791A3F">
        <w:rPr>
          <w:rFonts w:ascii="Arial" w:hAnsi="Arial" w:cs="Arial"/>
        </w:rPr>
        <w:t>Investors should put greater emphasis on deliverables, and enhance their engagement on wages, Scope 3, remediation and health (</w:t>
      </w:r>
      <w:proofErr w:type="spellStart"/>
      <w:r w:rsidRPr="00791A3F">
        <w:rPr>
          <w:rFonts w:ascii="Arial" w:hAnsi="Arial" w:cs="Arial"/>
        </w:rPr>
        <w:t>Citterio</w:t>
      </w:r>
      <w:proofErr w:type="spellEnd"/>
      <w:r w:rsidRPr="00791A3F">
        <w:rPr>
          <w:rFonts w:ascii="Arial" w:hAnsi="Arial" w:cs="Arial"/>
        </w:rPr>
        <w:t xml:space="preserve"> &amp; King, 2024; Velte, 2025).</w:t>
      </w:r>
    </w:p>
    <w:p w14:paraId="5358236B" w14:textId="77777777" w:rsidR="00D9611C" w:rsidRPr="00791A3F" w:rsidRDefault="00D9611C" w:rsidP="00791A3F">
      <w:pPr>
        <w:spacing w:line="360" w:lineRule="auto"/>
        <w:jc w:val="both"/>
        <w:rPr>
          <w:rFonts w:ascii="Arial" w:hAnsi="Arial" w:cs="Arial"/>
          <w:b/>
          <w:bCs/>
        </w:rPr>
      </w:pPr>
      <w:r w:rsidRPr="00791A3F">
        <w:rPr>
          <w:rFonts w:ascii="Arial" w:hAnsi="Arial" w:cs="Arial"/>
          <w:b/>
          <w:bCs/>
        </w:rPr>
        <w:t xml:space="preserve">Recommendation 6: </w:t>
      </w:r>
      <w:r w:rsidRPr="00791A3F">
        <w:rPr>
          <w:rFonts w:ascii="Arial" w:hAnsi="Arial" w:cs="Arial"/>
        </w:rPr>
        <w:t>The substantive-symbolic measurement needs to be developed further, and used in conjunction with theory, as well as in comparative studies (Walker &amp; Wan, 2012; Yang et al., 2025; Jamali &amp; Karam, 2018).</w:t>
      </w:r>
    </w:p>
    <w:p w14:paraId="7753B37B" w14:textId="77777777" w:rsidR="008D435C" w:rsidRPr="00791A3F" w:rsidRDefault="008D435C" w:rsidP="00791A3F">
      <w:pPr>
        <w:spacing w:line="360" w:lineRule="auto"/>
        <w:jc w:val="both"/>
        <w:rPr>
          <w:rFonts w:ascii="Arial" w:hAnsi="Arial" w:cs="Arial"/>
          <w:b/>
          <w:bCs/>
        </w:rPr>
      </w:pPr>
      <w:r w:rsidRPr="00791A3F">
        <w:rPr>
          <w:rFonts w:ascii="Arial" w:hAnsi="Arial" w:cs="Arial"/>
          <w:b/>
          <w:bCs/>
        </w:rPr>
        <w:t>5.5 Limitations of Research</w:t>
      </w:r>
    </w:p>
    <w:p w14:paraId="6119804D" w14:textId="77777777" w:rsidR="00277AA7" w:rsidRPr="00791A3F" w:rsidRDefault="00277AA7" w:rsidP="00791A3F">
      <w:pPr>
        <w:spacing w:line="360" w:lineRule="auto"/>
        <w:jc w:val="both"/>
        <w:rPr>
          <w:rFonts w:ascii="Arial" w:hAnsi="Arial" w:cs="Arial"/>
        </w:rPr>
      </w:pPr>
      <w:r w:rsidRPr="00791A3F">
        <w:rPr>
          <w:rFonts w:ascii="Arial" w:hAnsi="Arial" w:cs="Arial"/>
        </w:rPr>
        <w:t>There are a number of limitations to the research. Direct access to managers, workers, suppliers, communities and customers was limited by first, secondary data-dependence. Triangulation enhanced the level of credibility, but interviews and participatory research might enable the experiences to be uncovered which could not be seen in corporate reporting (Saunders et al., 2019).</w:t>
      </w:r>
    </w:p>
    <w:p w14:paraId="2A5BE550" w14:textId="77777777" w:rsidR="00277AA7" w:rsidRPr="00791A3F" w:rsidRDefault="00277AA7" w:rsidP="00791A3F">
      <w:pPr>
        <w:spacing w:line="360" w:lineRule="auto"/>
        <w:jc w:val="both"/>
        <w:rPr>
          <w:rFonts w:ascii="Arial" w:hAnsi="Arial" w:cs="Arial"/>
        </w:rPr>
      </w:pPr>
      <w:r w:rsidRPr="00791A3F">
        <w:rPr>
          <w:rFonts w:ascii="Arial" w:hAnsi="Arial" w:cs="Arial"/>
        </w:rPr>
        <w:t xml:space="preserve">Secondly, the case representation is not even – there are more mainstream cases than cooperative or discount cases. The goal is analytical, not statistical </w:t>
      </w:r>
      <w:proofErr w:type="spellStart"/>
      <w:r w:rsidRPr="00791A3F">
        <w:rPr>
          <w:rFonts w:ascii="Arial" w:hAnsi="Arial" w:cs="Arial"/>
        </w:rPr>
        <w:t>generalisation</w:t>
      </w:r>
      <w:proofErr w:type="spellEnd"/>
      <w:r w:rsidRPr="00791A3F">
        <w:rPr>
          <w:rFonts w:ascii="Arial" w:hAnsi="Arial" w:cs="Arial"/>
        </w:rPr>
        <w:t>; but more breadth (larger samples) could be achieved.</w:t>
      </w:r>
    </w:p>
    <w:p w14:paraId="2278F1A6" w14:textId="77777777" w:rsidR="00277AA7" w:rsidRPr="00791A3F" w:rsidRDefault="00277AA7" w:rsidP="00791A3F">
      <w:pPr>
        <w:spacing w:line="360" w:lineRule="auto"/>
        <w:jc w:val="both"/>
        <w:rPr>
          <w:rFonts w:ascii="Arial" w:hAnsi="Arial" w:cs="Arial"/>
        </w:rPr>
      </w:pPr>
      <w:r w:rsidRPr="00791A3F">
        <w:rPr>
          <w:rFonts w:ascii="Arial" w:hAnsi="Arial" w:cs="Arial"/>
        </w:rPr>
        <w:t>Third, interpretation is a judgement on the part of the researcher. This risk is diminished by transparent criteria, systematic coding and reflexivity but cannot be eliminated as there can be alternative interpretations (Braun &amp; Clarke, 2006).</w:t>
      </w:r>
    </w:p>
    <w:p w14:paraId="14DB4101" w14:textId="77777777" w:rsidR="00277AA7" w:rsidRPr="00791A3F" w:rsidRDefault="00277AA7" w:rsidP="00791A3F">
      <w:pPr>
        <w:spacing w:line="360" w:lineRule="auto"/>
        <w:jc w:val="both"/>
        <w:rPr>
          <w:rFonts w:ascii="Arial" w:hAnsi="Arial" w:cs="Arial"/>
        </w:rPr>
      </w:pPr>
      <w:r w:rsidRPr="00791A3F">
        <w:rPr>
          <w:rFonts w:ascii="Arial" w:hAnsi="Arial" w:cs="Arial"/>
        </w:rPr>
        <w:t xml:space="preserve">Fourth, the </w:t>
      </w:r>
      <w:proofErr w:type="gramStart"/>
      <w:r w:rsidRPr="00791A3F">
        <w:rPr>
          <w:rFonts w:ascii="Arial" w:hAnsi="Arial" w:cs="Arial"/>
        </w:rPr>
        <w:t>five criterion</w:t>
      </w:r>
      <w:proofErr w:type="gramEnd"/>
      <w:r w:rsidRPr="00791A3F">
        <w:rPr>
          <w:rFonts w:ascii="Arial" w:hAnsi="Arial" w:cs="Arial"/>
        </w:rPr>
        <w:t xml:space="preserve"> framework is normative which means that different thresholds may give different classifications. Fifth, case analysis only can detect patterns and not cause. These restrictions help to map out the field of interpretation.</w:t>
      </w:r>
    </w:p>
    <w:p w14:paraId="3A5972B8" w14:textId="77777777" w:rsidR="008D435C" w:rsidRPr="00791A3F" w:rsidRDefault="008D435C" w:rsidP="00791A3F">
      <w:pPr>
        <w:pStyle w:val="Heading2"/>
        <w:spacing w:line="360" w:lineRule="auto"/>
        <w:rPr>
          <w:rFonts w:ascii="Arial" w:hAnsi="Arial" w:cs="Arial"/>
        </w:rPr>
      </w:pPr>
      <w:bookmarkStart w:id="144" w:name="_Toc237956947"/>
      <w:bookmarkStart w:id="145" w:name="_Toc238690225"/>
      <w:r w:rsidRPr="00791A3F">
        <w:rPr>
          <w:rFonts w:ascii="Arial" w:hAnsi="Arial" w:cs="Arial"/>
        </w:rPr>
        <w:t>5.6 Priorities for Future Research</w:t>
      </w:r>
      <w:bookmarkEnd w:id="144"/>
      <w:bookmarkEnd w:id="145"/>
    </w:p>
    <w:p w14:paraId="1492CEE5" w14:textId="77777777" w:rsidR="00F56141" w:rsidRPr="00791A3F" w:rsidRDefault="00F56141" w:rsidP="00791A3F">
      <w:pPr>
        <w:spacing w:line="360" w:lineRule="auto"/>
        <w:jc w:val="both"/>
        <w:rPr>
          <w:rFonts w:ascii="Arial" w:hAnsi="Arial" w:cs="Arial"/>
        </w:rPr>
      </w:pPr>
      <w:r w:rsidRPr="00791A3F">
        <w:rPr>
          <w:rFonts w:ascii="Arial" w:hAnsi="Arial" w:cs="Arial"/>
        </w:rPr>
        <w:t xml:space="preserve">Studies that focus on workers need to be prioritized, causal analysis of CSR regulation studies, comparative ownership studies, and computational methods to detect </w:t>
      </w:r>
      <w:r w:rsidRPr="00791A3F">
        <w:rPr>
          <w:rFonts w:ascii="Arial" w:hAnsi="Arial" w:cs="Arial"/>
        </w:rPr>
        <w:lastRenderedPageBreak/>
        <w:t>greenwashing should be focused on in future research (LeBaron et al., 2021; Christensen et al., 2021; Hernández-</w:t>
      </w:r>
      <w:proofErr w:type="spellStart"/>
      <w:r w:rsidRPr="00791A3F">
        <w:rPr>
          <w:rFonts w:ascii="Arial" w:hAnsi="Arial" w:cs="Arial"/>
        </w:rPr>
        <w:t>Espallardo</w:t>
      </w:r>
      <w:proofErr w:type="spellEnd"/>
      <w:r w:rsidRPr="00791A3F">
        <w:rPr>
          <w:rFonts w:ascii="Arial" w:hAnsi="Arial" w:cs="Arial"/>
        </w:rPr>
        <w:t xml:space="preserve"> et al., 2021; Bose et al., 2024). Further research is needed on Scope 3 supplier transition and commercially viable solutions that allow for the reduction of UPF dependence whilst ensuring affordability (Balsam et al., 2025; </w:t>
      </w:r>
      <w:proofErr w:type="spellStart"/>
      <w:r w:rsidRPr="00791A3F">
        <w:rPr>
          <w:rFonts w:ascii="Arial" w:hAnsi="Arial" w:cs="Arial"/>
        </w:rPr>
        <w:t>Scrinis</w:t>
      </w:r>
      <w:proofErr w:type="spellEnd"/>
      <w:r w:rsidRPr="00791A3F">
        <w:rPr>
          <w:rFonts w:ascii="Arial" w:hAnsi="Arial" w:cs="Arial"/>
        </w:rPr>
        <w:t xml:space="preserve"> &amp; Monteiro, 2025).</w:t>
      </w:r>
    </w:p>
    <w:p w14:paraId="5F17D6B2" w14:textId="77777777" w:rsidR="008D435C" w:rsidRPr="00791A3F" w:rsidRDefault="008D435C" w:rsidP="00791A3F">
      <w:pPr>
        <w:pStyle w:val="Heading2"/>
        <w:spacing w:line="360" w:lineRule="auto"/>
        <w:rPr>
          <w:rFonts w:ascii="Arial" w:hAnsi="Arial" w:cs="Arial"/>
        </w:rPr>
      </w:pPr>
      <w:bookmarkStart w:id="146" w:name="_Toc237956948"/>
      <w:bookmarkStart w:id="147" w:name="_Toc238690226"/>
      <w:r w:rsidRPr="00791A3F">
        <w:rPr>
          <w:rFonts w:ascii="Arial" w:hAnsi="Arial" w:cs="Arial"/>
        </w:rPr>
        <w:t>5.7 Final Reflections and Conclusion</w:t>
      </w:r>
      <w:bookmarkEnd w:id="146"/>
      <w:bookmarkEnd w:id="147"/>
    </w:p>
    <w:p w14:paraId="30944AA6" w14:textId="77777777" w:rsidR="00E76C70" w:rsidRPr="00791A3F" w:rsidRDefault="00E76C70" w:rsidP="00791A3F">
      <w:pPr>
        <w:spacing w:line="360" w:lineRule="auto"/>
        <w:jc w:val="both"/>
        <w:rPr>
          <w:rFonts w:ascii="Arial" w:hAnsi="Arial" w:cs="Arial"/>
        </w:rPr>
      </w:pPr>
      <w:r w:rsidRPr="00791A3F">
        <w:rPr>
          <w:rFonts w:ascii="Arial" w:hAnsi="Arial" w:cs="Arial"/>
        </w:rPr>
        <w:t xml:space="preserve">The question that this dissertation poses </w:t>
      </w:r>
      <w:proofErr w:type="gramStart"/>
      <w:r w:rsidRPr="00791A3F">
        <w:rPr>
          <w:rFonts w:ascii="Arial" w:hAnsi="Arial" w:cs="Arial"/>
        </w:rPr>
        <w:t>is</w:t>
      </w:r>
      <w:proofErr w:type="gramEnd"/>
      <w:r w:rsidRPr="00791A3F">
        <w:rPr>
          <w:rFonts w:ascii="Arial" w:hAnsi="Arial" w:cs="Arial"/>
        </w:rPr>
        <w:t xml:space="preserve"> whether there is any true CSR transformation or advancing and complex symbolic CSR compliance in the UK food retail sector. Both of these processes appear to co-exist, based on the evidence. Efforts have been made by retailers to improve their emissions efficiency, packaging, food safety, transparency and worker protection in crises, especially when supported by regulation or financial incentives and/or synergies in operations.</w:t>
      </w:r>
    </w:p>
    <w:p w14:paraId="44008FEE" w14:textId="77777777" w:rsidR="00E76C70" w:rsidRPr="00791A3F" w:rsidRDefault="00E76C70" w:rsidP="00791A3F">
      <w:pPr>
        <w:spacing w:line="360" w:lineRule="auto"/>
        <w:jc w:val="both"/>
        <w:rPr>
          <w:rFonts w:ascii="Arial" w:hAnsi="Arial" w:cs="Arial"/>
        </w:rPr>
      </w:pPr>
      <w:proofErr w:type="gramStart"/>
      <w:r w:rsidRPr="00791A3F">
        <w:rPr>
          <w:rFonts w:ascii="Arial" w:hAnsi="Arial" w:cs="Arial"/>
        </w:rPr>
        <w:t>But,</w:t>
      </w:r>
      <w:proofErr w:type="gramEnd"/>
      <w:r w:rsidRPr="00791A3F">
        <w:rPr>
          <w:rFonts w:ascii="Arial" w:hAnsi="Arial" w:cs="Arial"/>
        </w:rPr>
        <w:t xml:space="preserve"> gaps still emerge between corporate stories and reality on </w:t>
      </w:r>
      <w:proofErr w:type="spellStart"/>
      <w:r w:rsidRPr="00791A3F">
        <w:rPr>
          <w:rFonts w:ascii="Arial" w:hAnsi="Arial" w:cs="Arial"/>
        </w:rPr>
        <w:t>decarbonisation</w:t>
      </w:r>
      <w:proofErr w:type="spellEnd"/>
      <w:r w:rsidRPr="00791A3F">
        <w:rPr>
          <w:rFonts w:ascii="Arial" w:hAnsi="Arial" w:cs="Arial"/>
        </w:rPr>
        <w:t>, remediation of the workforce, living wage, circular re-use and whole portfolio health – Scope 3. Such shortcomings are most significant in situations where it's difficult, expensive, or inconsistent with existing incentives to do something.</w:t>
      </w:r>
    </w:p>
    <w:p w14:paraId="649E7E31" w14:textId="77777777" w:rsidR="00E76C70" w:rsidRPr="00791A3F" w:rsidRDefault="00E76C70" w:rsidP="00791A3F">
      <w:pPr>
        <w:spacing w:line="360" w:lineRule="auto"/>
        <w:jc w:val="both"/>
        <w:rPr>
          <w:rFonts w:ascii="Arial" w:hAnsi="Arial" w:cs="Arial"/>
        </w:rPr>
      </w:pPr>
      <w:r w:rsidRPr="00791A3F">
        <w:rPr>
          <w:rFonts w:ascii="Arial" w:hAnsi="Arial" w:cs="Arial"/>
        </w:rPr>
        <w:t>The main finding is that CSR is "</w:t>
      </w:r>
      <w:proofErr w:type="spellStart"/>
      <w:r w:rsidRPr="00791A3F">
        <w:rPr>
          <w:rFonts w:ascii="Arial" w:hAnsi="Arial" w:cs="Arial"/>
        </w:rPr>
        <w:t>institutionalised</w:t>
      </w:r>
      <w:proofErr w:type="spellEnd"/>
      <w:r w:rsidRPr="00791A3F">
        <w:rPr>
          <w:rFonts w:ascii="Arial" w:hAnsi="Arial" w:cs="Arial"/>
        </w:rPr>
        <w:t>" rather than systematically "transformed. Reporting is more professional but not all operational integration is done (Walker &amp; Wan, 2012; Yang et al., 2025).</w:t>
      </w:r>
    </w:p>
    <w:p w14:paraId="2F5C0ABF" w14:textId="77777777" w:rsidR="00E76C70" w:rsidRPr="00791A3F" w:rsidRDefault="00E76C70" w:rsidP="00791A3F">
      <w:pPr>
        <w:spacing w:line="360" w:lineRule="auto"/>
        <w:jc w:val="both"/>
        <w:rPr>
          <w:rFonts w:ascii="Arial" w:hAnsi="Arial" w:cs="Arial"/>
        </w:rPr>
      </w:pPr>
      <w:r w:rsidRPr="00791A3F">
        <w:rPr>
          <w:rFonts w:ascii="Arial" w:hAnsi="Arial" w:cs="Arial"/>
        </w:rPr>
        <w:t>The business model affects this process but none can circumvent the sets of constraints at sector level. Support for stakeholders' outcomes, environmental benefits from discount efficiency and sustainability infrastructure from mainstream resources are all possible through the use of cooperative governance. Competition, cost pressures and regulation are all a threat to all.</w:t>
      </w:r>
    </w:p>
    <w:p w14:paraId="79151F45" w14:textId="77777777" w:rsidR="00E76C70" w:rsidRPr="00791A3F" w:rsidRDefault="00E76C70" w:rsidP="00791A3F">
      <w:pPr>
        <w:spacing w:line="360" w:lineRule="auto"/>
        <w:jc w:val="both"/>
        <w:rPr>
          <w:rFonts w:ascii="Arial" w:hAnsi="Arial" w:cs="Arial"/>
        </w:rPr>
      </w:pPr>
      <w:r w:rsidRPr="00791A3F">
        <w:rPr>
          <w:rFonts w:ascii="Arial" w:hAnsi="Arial" w:cs="Arial"/>
        </w:rPr>
        <w:t xml:space="preserve">Power of the stakeholders is also significant. There is good response from investors and regulators, who have some institutional power, because they can have consequences for these people; future generations, vulnerable consumers, communities and workers may have less power. However, CSR can create inequalities if the stakeholders who are </w:t>
      </w:r>
      <w:r w:rsidRPr="00791A3F">
        <w:rPr>
          <w:rFonts w:ascii="Arial" w:hAnsi="Arial" w:cs="Arial"/>
        </w:rPr>
        <w:lastRenderedPageBreak/>
        <w:t>impacted by the CSR do not have more robust decision-making processes (Mitchell et al., 1997; Freeman et al., 2020).</w:t>
      </w:r>
    </w:p>
    <w:p w14:paraId="3A5D8AC2" w14:textId="77777777" w:rsidR="00E76C70" w:rsidRPr="00791A3F" w:rsidRDefault="00E76C70" w:rsidP="00791A3F">
      <w:pPr>
        <w:spacing w:line="360" w:lineRule="auto"/>
        <w:jc w:val="both"/>
        <w:rPr>
          <w:rFonts w:ascii="Arial" w:hAnsi="Arial" w:cs="Arial"/>
        </w:rPr>
      </w:pPr>
      <w:r w:rsidRPr="00791A3F">
        <w:rPr>
          <w:rFonts w:ascii="Arial" w:hAnsi="Arial" w:cs="Arial"/>
        </w:rPr>
        <w:t>Just the disclosure isn't enough. To take the next step from legitimacy management to accountability, mandatory outcome reporting, independent verification, worker-remediation requirements, credible climate targets, and increased public-health regulation and enforcement by stakeholders are required (Christensen et al., 2021; Stevenson &amp; Cole, 2021).</w:t>
      </w:r>
    </w:p>
    <w:p w14:paraId="31A11583" w14:textId="77777777" w:rsidR="00E76C70" w:rsidRPr="00791A3F" w:rsidRDefault="00E76C70" w:rsidP="00791A3F">
      <w:pPr>
        <w:spacing w:line="360" w:lineRule="auto"/>
        <w:jc w:val="both"/>
        <w:rPr>
          <w:rFonts w:ascii="Arial" w:hAnsi="Arial" w:cs="Arial"/>
        </w:rPr>
      </w:pPr>
      <w:r w:rsidRPr="00791A3F">
        <w:rPr>
          <w:rFonts w:ascii="Arial" w:hAnsi="Arial" w:cs="Arial"/>
        </w:rPr>
        <w:t>In the end, the substantive-symbolic gap is determined by governance and regulation, by the influence of stakeholders and by incentives and expectations of institutions. When there is alignment with the conditions, there is potential for true transformation in UK food retail. Future steps will require less language about sustainability and more circumstances under which measurable, independently verified, stakeholder-relevant outcomes are inevitable, so as to gain stakeholder accountability and trust. The idea of sustainability needs to be truly an integral part of the value creation process of stakeholders and society.</w:t>
      </w:r>
    </w:p>
    <w:p w14:paraId="0BC2FEB0" w14:textId="77777777" w:rsidR="008E62CB" w:rsidRPr="00791A3F" w:rsidRDefault="008E62CB" w:rsidP="00791A3F">
      <w:pPr>
        <w:spacing w:line="360" w:lineRule="auto"/>
        <w:rPr>
          <w:rFonts w:ascii="Arial" w:hAnsi="Arial" w:cs="Arial"/>
          <w:b/>
          <w:bCs/>
        </w:rPr>
      </w:pPr>
      <w:r w:rsidRPr="00791A3F">
        <w:rPr>
          <w:rFonts w:ascii="Arial" w:hAnsi="Arial" w:cs="Arial"/>
          <w:b/>
          <w:bCs/>
        </w:rPr>
        <w:br w:type="page"/>
      </w:r>
    </w:p>
    <w:p w14:paraId="52B14CF9" w14:textId="77777777" w:rsidR="00EC58AB" w:rsidRPr="00791A3F" w:rsidRDefault="00EC58AB" w:rsidP="00791A3F">
      <w:pPr>
        <w:pStyle w:val="Heading1"/>
        <w:spacing w:line="360" w:lineRule="auto"/>
        <w:rPr>
          <w:rFonts w:ascii="Arial" w:hAnsi="Arial" w:cs="Arial"/>
        </w:rPr>
      </w:pPr>
      <w:bookmarkStart w:id="148" w:name="_Toc237956949"/>
      <w:bookmarkStart w:id="149" w:name="_Toc238690227"/>
      <w:r w:rsidRPr="00791A3F">
        <w:rPr>
          <w:rFonts w:ascii="Arial" w:hAnsi="Arial" w:cs="Arial"/>
        </w:rPr>
        <w:lastRenderedPageBreak/>
        <w:t>Reference List</w:t>
      </w:r>
      <w:bookmarkEnd w:id="148"/>
      <w:bookmarkEnd w:id="149"/>
    </w:p>
    <w:p w14:paraId="76E2DEA5"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Baker, P. et al. (2026) ‘Ultra-processed foods and public health: advancing evidence, policy, and interdisciplinary dialogue’, </w:t>
      </w:r>
      <w:r w:rsidRPr="00791A3F">
        <w:rPr>
          <w:rFonts w:ascii="Arial" w:hAnsi="Arial" w:cs="Arial"/>
          <w:i/>
          <w:iCs/>
        </w:rPr>
        <w:t>Frontiers in Public Health</w:t>
      </w:r>
      <w:r w:rsidRPr="00791A3F">
        <w:rPr>
          <w:rFonts w:ascii="Arial" w:hAnsi="Arial" w:cs="Arial"/>
        </w:rPr>
        <w:t>.</w:t>
      </w:r>
    </w:p>
    <w:p w14:paraId="7884593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Balsam, S. et al. (2025) ‘Does accounting Scope 3 emissions improve sustainable business outcomes? Evidence from S&amp;P 500 technology companies’, </w:t>
      </w:r>
      <w:r w:rsidRPr="00791A3F">
        <w:rPr>
          <w:rFonts w:ascii="Arial" w:hAnsi="Arial" w:cs="Arial"/>
          <w:i/>
          <w:iCs/>
        </w:rPr>
        <w:t>Business Strategy and the Environment</w:t>
      </w:r>
      <w:r w:rsidRPr="00791A3F">
        <w:rPr>
          <w:rFonts w:ascii="Arial" w:hAnsi="Arial" w:cs="Arial"/>
        </w:rPr>
        <w:t>.</w:t>
      </w:r>
    </w:p>
    <w:p w14:paraId="0860C91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Bansal, P. and Roth, K. (2000) ‘Why companies go green: A model of ecological responsiveness’, </w:t>
      </w:r>
      <w:r w:rsidRPr="00791A3F">
        <w:rPr>
          <w:rFonts w:ascii="Arial" w:hAnsi="Arial" w:cs="Arial"/>
          <w:i/>
          <w:iCs/>
        </w:rPr>
        <w:t>Academy of Management Journal</w:t>
      </w:r>
      <w:r w:rsidRPr="00791A3F">
        <w:rPr>
          <w:rFonts w:ascii="Arial" w:hAnsi="Arial" w:cs="Arial"/>
        </w:rPr>
        <w:t>, 43(4), pp. 717–736.</w:t>
      </w:r>
    </w:p>
    <w:p w14:paraId="040F2CE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Berger, P.L. and Luckmann, T. (1966) </w:t>
      </w:r>
      <w:r w:rsidRPr="00791A3F">
        <w:rPr>
          <w:rFonts w:ascii="Arial" w:hAnsi="Arial" w:cs="Arial"/>
          <w:i/>
          <w:iCs/>
        </w:rPr>
        <w:t>The Social Construction of Reality: A Treatise in the Sociology of Knowledge</w:t>
      </w:r>
      <w:r w:rsidRPr="00791A3F">
        <w:rPr>
          <w:rFonts w:ascii="Arial" w:hAnsi="Arial" w:cs="Arial"/>
        </w:rPr>
        <w:t>. New York: Anchor Books.</w:t>
      </w:r>
    </w:p>
    <w:p w14:paraId="553B7B6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Bingler, J.A. et al. (2023) ‘Evaluating TCFD reporting: A new application of zero-shot analysis to climate-related financial disclosures’, </w:t>
      </w:r>
      <w:r w:rsidRPr="00791A3F">
        <w:rPr>
          <w:rFonts w:ascii="Arial" w:hAnsi="Arial" w:cs="Arial"/>
          <w:i/>
          <w:iCs/>
        </w:rPr>
        <w:t>PLOS ONE</w:t>
      </w:r>
      <w:r w:rsidRPr="00791A3F">
        <w:rPr>
          <w:rFonts w:ascii="Arial" w:hAnsi="Arial" w:cs="Arial"/>
        </w:rPr>
        <w:t>.</w:t>
      </w:r>
    </w:p>
    <w:p w14:paraId="65FB040C"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Birchall, J. (2013) </w:t>
      </w:r>
      <w:r w:rsidRPr="00791A3F">
        <w:rPr>
          <w:rFonts w:ascii="Arial" w:hAnsi="Arial" w:cs="Arial"/>
          <w:i/>
          <w:iCs/>
        </w:rPr>
        <w:t>Resilience in a Downturn: The Power of Financial Cooperatives</w:t>
      </w:r>
      <w:r w:rsidRPr="00791A3F">
        <w:rPr>
          <w:rFonts w:ascii="Arial" w:hAnsi="Arial" w:cs="Arial"/>
        </w:rPr>
        <w:t xml:space="preserve">. Geneva: International </w:t>
      </w:r>
      <w:proofErr w:type="spellStart"/>
      <w:r w:rsidRPr="00791A3F">
        <w:rPr>
          <w:rFonts w:ascii="Arial" w:hAnsi="Arial" w:cs="Arial"/>
        </w:rPr>
        <w:t>Labour</w:t>
      </w:r>
      <w:proofErr w:type="spellEnd"/>
      <w:r w:rsidRPr="00791A3F">
        <w:rPr>
          <w:rFonts w:ascii="Arial" w:hAnsi="Arial" w:cs="Arial"/>
        </w:rPr>
        <w:t xml:space="preserve"> Organization.</w:t>
      </w:r>
    </w:p>
    <w:p w14:paraId="69D73F6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Blythman, J. (</w:t>
      </w:r>
      <w:proofErr w:type="gramStart"/>
      <w:r w:rsidRPr="00791A3F">
        <w:rPr>
          <w:rFonts w:ascii="Arial" w:hAnsi="Arial" w:cs="Arial"/>
        </w:rPr>
        <w:t>2017) ‘</w:t>
      </w:r>
      <w:proofErr w:type="gramEnd"/>
      <w:r w:rsidRPr="00791A3F">
        <w:rPr>
          <w:rFonts w:ascii="Arial" w:hAnsi="Arial" w:cs="Arial"/>
        </w:rPr>
        <w:t xml:space="preserve">Comparing UK food retailers’ corporate social responsibility </w:t>
      </w:r>
      <w:proofErr w:type="gramStart"/>
      <w:r w:rsidRPr="00791A3F">
        <w:rPr>
          <w:rFonts w:ascii="Arial" w:hAnsi="Arial" w:cs="Arial"/>
        </w:rPr>
        <w:t>strategies’</w:t>
      </w:r>
      <w:proofErr w:type="gramEnd"/>
      <w:r w:rsidRPr="00791A3F">
        <w:rPr>
          <w:rFonts w:ascii="Arial" w:hAnsi="Arial" w:cs="Arial"/>
        </w:rPr>
        <w:t>. Available at: ResearchGate.</w:t>
      </w:r>
    </w:p>
    <w:p w14:paraId="01A987EE" w14:textId="77777777" w:rsidR="00490FC0" w:rsidRPr="00791A3F" w:rsidRDefault="00490FC0" w:rsidP="00791A3F">
      <w:pPr>
        <w:spacing w:line="360" w:lineRule="auto"/>
        <w:ind w:left="360"/>
        <w:jc w:val="both"/>
        <w:rPr>
          <w:rFonts w:ascii="Arial" w:hAnsi="Arial" w:cs="Arial"/>
        </w:rPr>
      </w:pPr>
      <w:proofErr w:type="spellStart"/>
      <w:r w:rsidRPr="00791A3F">
        <w:rPr>
          <w:rFonts w:ascii="Arial" w:hAnsi="Arial" w:cs="Arial"/>
        </w:rPr>
        <w:t>Boiral</w:t>
      </w:r>
      <w:proofErr w:type="spellEnd"/>
      <w:r w:rsidRPr="00791A3F">
        <w:rPr>
          <w:rFonts w:ascii="Arial" w:hAnsi="Arial" w:cs="Arial"/>
        </w:rPr>
        <w:t xml:space="preserve">, O. et al. (2019) ‘Standards and sustainability reporting: The role of assurance’, </w:t>
      </w:r>
      <w:r w:rsidRPr="00791A3F">
        <w:rPr>
          <w:rFonts w:ascii="Arial" w:hAnsi="Arial" w:cs="Arial"/>
          <w:i/>
          <w:iCs/>
        </w:rPr>
        <w:t>Journal of Business Ethics</w:t>
      </w:r>
      <w:r w:rsidRPr="00791A3F">
        <w:rPr>
          <w:rFonts w:ascii="Arial" w:hAnsi="Arial" w:cs="Arial"/>
        </w:rPr>
        <w:t>.</w:t>
      </w:r>
    </w:p>
    <w:p w14:paraId="5FD05993"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Bose, I. et al. (2024) ‘Identifying greenwashing in corporate social responsibility reports using natural-language processing’. Available at: Wiley.</w:t>
      </w:r>
    </w:p>
    <w:p w14:paraId="57094B5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Braun, V. and Clarke, V. (2006) ‘Using thematic analysis in psychology’, </w:t>
      </w:r>
      <w:r w:rsidRPr="00791A3F">
        <w:rPr>
          <w:rFonts w:ascii="Arial" w:hAnsi="Arial" w:cs="Arial"/>
          <w:i/>
          <w:iCs/>
        </w:rPr>
        <w:t>Qualitative Research in Psychology</w:t>
      </w:r>
      <w:r w:rsidRPr="00791A3F">
        <w:rPr>
          <w:rFonts w:ascii="Arial" w:hAnsi="Arial" w:cs="Arial"/>
        </w:rPr>
        <w:t>, 3(2), pp. 77–101.</w:t>
      </w:r>
    </w:p>
    <w:p w14:paraId="1A9D6131"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Carroll, A.B. and Shabana, K.M. (2010) ‘The business case for corporate social responsibility: A review of concepts, research and practice’, </w:t>
      </w:r>
      <w:r w:rsidRPr="00791A3F">
        <w:rPr>
          <w:rFonts w:ascii="Arial" w:hAnsi="Arial" w:cs="Arial"/>
          <w:i/>
          <w:iCs/>
        </w:rPr>
        <w:t>International Journal of Management Reviews</w:t>
      </w:r>
      <w:r w:rsidRPr="00791A3F">
        <w:rPr>
          <w:rFonts w:ascii="Arial" w:hAnsi="Arial" w:cs="Arial"/>
        </w:rPr>
        <w:t>, 12(1), pp. 85–105.</w:t>
      </w:r>
    </w:p>
    <w:p w14:paraId="22A65AF0"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 xml:space="preserve">Chen, Y. and Ma, Y. (2024) ‘Climate-related disclosures under the TCFD framework and business green innovation: Evidence from China A-share </w:t>
      </w:r>
      <w:proofErr w:type="gramStart"/>
      <w:r w:rsidRPr="00791A3F">
        <w:rPr>
          <w:rFonts w:ascii="Arial" w:hAnsi="Arial" w:cs="Arial"/>
        </w:rPr>
        <w:t>companies’</w:t>
      </w:r>
      <w:proofErr w:type="gramEnd"/>
      <w:r w:rsidRPr="00791A3F">
        <w:rPr>
          <w:rFonts w:ascii="Arial" w:hAnsi="Arial" w:cs="Arial"/>
        </w:rPr>
        <w:t>. Available at: ScienceDirect.</w:t>
      </w:r>
    </w:p>
    <w:p w14:paraId="62FB5D43"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Chowdhury, P. et al. (2020) ‘Impact of COVID-19 on the food supply chain’, </w:t>
      </w:r>
      <w:r w:rsidRPr="00791A3F">
        <w:rPr>
          <w:rFonts w:ascii="Arial" w:hAnsi="Arial" w:cs="Arial"/>
          <w:i/>
          <w:iCs/>
        </w:rPr>
        <w:t>Food Quality and Safety</w:t>
      </w:r>
      <w:r w:rsidRPr="00791A3F">
        <w:rPr>
          <w:rFonts w:ascii="Arial" w:hAnsi="Arial" w:cs="Arial"/>
        </w:rPr>
        <w:t>, 4(4), pp. 167–180.</w:t>
      </w:r>
    </w:p>
    <w:p w14:paraId="6035B665" w14:textId="77777777" w:rsidR="00490FC0" w:rsidRPr="00791A3F" w:rsidRDefault="00490FC0" w:rsidP="00791A3F">
      <w:pPr>
        <w:spacing w:line="360" w:lineRule="auto"/>
        <w:ind w:left="360"/>
        <w:jc w:val="both"/>
        <w:rPr>
          <w:rFonts w:ascii="Arial" w:hAnsi="Arial" w:cs="Arial"/>
        </w:rPr>
      </w:pPr>
      <w:proofErr w:type="spellStart"/>
      <w:r w:rsidRPr="00791A3F">
        <w:rPr>
          <w:rFonts w:ascii="Arial" w:hAnsi="Arial" w:cs="Arial"/>
        </w:rPr>
        <w:t>Chouaibi</w:t>
      </w:r>
      <w:proofErr w:type="spellEnd"/>
      <w:r w:rsidRPr="00791A3F">
        <w:rPr>
          <w:rFonts w:ascii="Arial" w:hAnsi="Arial" w:cs="Arial"/>
        </w:rPr>
        <w:t xml:space="preserve">, S. and Zouari, G. (2025) ‘Unveiling the connection between ESG performance and corporate competitiveness: Evidence from industrial firms in Europe and the UK’, </w:t>
      </w:r>
      <w:r w:rsidRPr="00791A3F">
        <w:rPr>
          <w:rFonts w:ascii="Arial" w:hAnsi="Arial" w:cs="Arial"/>
          <w:i/>
          <w:iCs/>
        </w:rPr>
        <w:t>Corporate Social Responsibility and Environmental Management</w:t>
      </w:r>
      <w:r w:rsidRPr="00791A3F">
        <w:rPr>
          <w:rFonts w:ascii="Arial" w:hAnsi="Arial" w:cs="Arial"/>
        </w:rPr>
        <w:t>.</w:t>
      </w:r>
    </w:p>
    <w:p w14:paraId="07A31F7B"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Christensen, H.B. et al. (2021) ‘Mandatory CSR and sustainability reporting: Evidence on disclosure and performance’.</w:t>
      </w:r>
    </w:p>
    <w:p w14:paraId="17FB5C8C" w14:textId="77777777" w:rsidR="00490FC0" w:rsidRPr="00791A3F" w:rsidRDefault="00490FC0" w:rsidP="00791A3F">
      <w:pPr>
        <w:spacing w:line="360" w:lineRule="auto"/>
        <w:ind w:left="360"/>
        <w:jc w:val="both"/>
        <w:rPr>
          <w:rFonts w:ascii="Arial" w:hAnsi="Arial" w:cs="Arial"/>
        </w:rPr>
      </w:pPr>
      <w:proofErr w:type="spellStart"/>
      <w:r w:rsidRPr="00791A3F">
        <w:rPr>
          <w:rFonts w:ascii="Arial" w:hAnsi="Arial" w:cs="Arial"/>
        </w:rPr>
        <w:t>Citterio</w:t>
      </w:r>
      <w:proofErr w:type="spellEnd"/>
      <w:r w:rsidRPr="00791A3F">
        <w:rPr>
          <w:rFonts w:ascii="Arial" w:hAnsi="Arial" w:cs="Arial"/>
        </w:rPr>
        <w:t>, C. and King, A. (2024) ‘Not all that glitters is green: Empirical evidence from the Eurostoxx600 on greenwashing perception’.</w:t>
      </w:r>
    </w:p>
    <w:p w14:paraId="211A1671"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Clarke, N. et al. (2012) ‘Moving towards sustainable food retailing?’</w:t>
      </w:r>
    </w:p>
    <w:p w14:paraId="00DBADA5"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Crane, A. et al. (2014) ‘Contemporary corporate social responsibility: The role of business in society’, </w:t>
      </w:r>
      <w:r w:rsidRPr="00791A3F">
        <w:rPr>
          <w:rFonts w:ascii="Arial" w:hAnsi="Arial" w:cs="Arial"/>
          <w:i/>
          <w:iCs/>
        </w:rPr>
        <w:t>Academy of Management Review</w:t>
      </w:r>
      <w:r w:rsidRPr="00791A3F">
        <w:rPr>
          <w:rFonts w:ascii="Arial" w:hAnsi="Arial" w:cs="Arial"/>
        </w:rPr>
        <w:t>, 39(1), pp. 1–27.</w:t>
      </w:r>
    </w:p>
    <w:p w14:paraId="06A1361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Creswell, J.W. and Poth, C.N. (2018) </w:t>
      </w:r>
      <w:r w:rsidRPr="00791A3F">
        <w:rPr>
          <w:rFonts w:ascii="Arial" w:hAnsi="Arial" w:cs="Arial"/>
          <w:i/>
          <w:iCs/>
        </w:rPr>
        <w:t>Qualitative Inquiry and Research Design: Choosing Among Five Approaches</w:t>
      </w:r>
      <w:r w:rsidRPr="00791A3F">
        <w:rPr>
          <w:rFonts w:ascii="Arial" w:hAnsi="Arial" w:cs="Arial"/>
        </w:rPr>
        <w:t xml:space="preserve">. 4th </w:t>
      </w:r>
      <w:proofErr w:type="spellStart"/>
      <w:r w:rsidRPr="00791A3F">
        <w:rPr>
          <w:rFonts w:ascii="Arial" w:hAnsi="Arial" w:cs="Arial"/>
        </w:rPr>
        <w:t>edn</w:t>
      </w:r>
      <w:proofErr w:type="spellEnd"/>
      <w:r w:rsidRPr="00791A3F">
        <w:rPr>
          <w:rFonts w:ascii="Arial" w:hAnsi="Arial" w:cs="Arial"/>
        </w:rPr>
        <w:t>. Thousand Oaks, CA: SAGE.</w:t>
      </w:r>
    </w:p>
    <w:p w14:paraId="71A4A4BC" w14:textId="77777777" w:rsidR="00490FC0" w:rsidRPr="00791A3F" w:rsidRDefault="00490FC0" w:rsidP="00791A3F">
      <w:pPr>
        <w:spacing w:line="360" w:lineRule="auto"/>
        <w:ind w:left="360"/>
        <w:jc w:val="both"/>
        <w:rPr>
          <w:rFonts w:ascii="Arial" w:hAnsi="Arial" w:cs="Arial"/>
        </w:rPr>
      </w:pPr>
      <w:proofErr w:type="spellStart"/>
      <w:r w:rsidRPr="00791A3F">
        <w:rPr>
          <w:rFonts w:ascii="Arial" w:hAnsi="Arial" w:cs="Arial"/>
        </w:rPr>
        <w:t>Dauvergne</w:t>
      </w:r>
      <w:proofErr w:type="spellEnd"/>
      <w:r w:rsidRPr="00791A3F">
        <w:rPr>
          <w:rFonts w:ascii="Arial" w:hAnsi="Arial" w:cs="Arial"/>
        </w:rPr>
        <w:t xml:space="preserve">, P. and Lister, J. (2013) </w:t>
      </w:r>
      <w:r w:rsidRPr="00791A3F">
        <w:rPr>
          <w:rFonts w:ascii="Arial" w:hAnsi="Arial" w:cs="Arial"/>
          <w:i/>
          <w:iCs/>
        </w:rPr>
        <w:t>Eco-Business: A Big-Brand Takeover of Sustainability</w:t>
      </w:r>
      <w:r w:rsidRPr="00791A3F">
        <w:rPr>
          <w:rFonts w:ascii="Arial" w:hAnsi="Arial" w:cs="Arial"/>
        </w:rPr>
        <w:t>. Cambridge, MA: MIT Press.</w:t>
      </w:r>
    </w:p>
    <w:p w14:paraId="5450B538"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de Freitas Netto, S.V. et al. (2020) ‘Concepts and forms of greenwashing: A systematic review’, </w:t>
      </w:r>
      <w:r w:rsidRPr="00791A3F">
        <w:rPr>
          <w:rFonts w:ascii="Arial" w:hAnsi="Arial" w:cs="Arial"/>
          <w:i/>
          <w:iCs/>
        </w:rPr>
        <w:t>Environmental Sciences Europe</w:t>
      </w:r>
      <w:r w:rsidRPr="00791A3F">
        <w:rPr>
          <w:rFonts w:ascii="Arial" w:hAnsi="Arial" w:cs="Arial"/>
        </w:rPr>
        <w:t>, 32.</w:t>
      </w:r>
    </w:p>
    <w:p w14:paraId="3744F5B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Delmas, M.A. and Burbano, V.C. (2011) ‘The drivers of greenwashing’, </w:t>
      </w:r>
      <w:r w:rsidRPr="00791A3F">
        <w:rPr>
          <w:rFonts w:ascii="Arial" w:hAnsi="Arial" w:cs="Arial"/>
          <w:i/>
          <w:iCs/>
        </w:rPr>
        <w:t>California Management Review</w:t>
      </w:r>
      <w:r w:rsidRPr="00791A3F">
        <w:rPr>
          <w:rFonts w:ascii="Arial" w:hAnsi="Arial" w:cs="Arial"/>
        </w:rPr>
        <w:t>, 54(1), pp. 64–87.</w:t>
      </w:r>
    </w:p>
    <w:p w14:paraId="6B94500A"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Deephouse, D.L. (1996) ‘Does isomorphism legitimate?’, </w:t>
      </w:r>
      <w:r w:rsidRPr="00791A3F">
        <w:rPr>
          <w:rFonts w:ascii="Arial" w:hAnsi="Arial" w:cs="Arial"/>
          <w:i/>
          <w:iCs/>
        </w:rPr>
        <w:t>Academy of Management Journal</w:t>
      </w:r>
      <w:r w:rsidRPr="00791A3F">
        <w:rPr>
          <w:rFonts w:ascii="Arial" w:hAnsi="Arial" w:cs="Arial"/>
        </w:rPr>
        <w:t>, 39(4), pp. 1024–1039.</w:t>
      </w:r>
    </w:p>
    <w:p w14:paraId="33CF7D8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 xml:space="preserve">DiMaggio, P.J. and Powell, W.W. (1983) ‘The iron cage revisited: Institutional isomorphism and collective rationality in organizational fields’, </w:t>
      </w:r>
      <w:r w:rsidRPr="00791A3F">
        <w:rPr>
          <w:rFonts w:ascii="Arial" w:hAnsi="Arial" w:cs="Arial"/>
          <w:i/>
          <w:iCs/>
        </w:rPr>
        <w:t>American Sociological Review</w:t>
      </w:r>
      <w:r w:rsidRPr="00791A3F">
        <w:rPr>
          <w:rFonts w:ascii="Arial" w:hAnsi="Arial" w:cs="Arial"/>
        </w:rPr>
        <w:t>, 48(2), pp. 147–160.</w:t>
      </w:r>
    </w:p>
    <w:p w14:paraId="3A10760C"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Donaldson, T. and Preston, L.E. (1995) ‘The stakeholder theory of the corporation: Concepts, evidence, and implications’, </w:t>
      </w:r>
      <w:r w:rsidRPr="00791A3F">
        <w:rPr>
          <w:rFonts w:ascii="Arial" w:hAnsi="Arial" w:cs="Arial"/>
          <w:i/>
          <w:iCs/>
        </w:rPr>
        <w:t>Academy of Management Review</w:t>
      </w:r>
      <w:r w:rsidRPr="00791A3F">
        <w:rPr>
          <w:rFonts w:ascii="Arial" w:hAnsi="Arial" w:cs="Arial"/>
        </w:rPr>
        <w:t>, 20(1), pp. 65–91.</w:t>
      </w:r>
    </w:p>
    <w:p w14:paraId="248D6C73"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Eisenhardt, K.M. (1989) ‘Building theories from case study research’, </w:t>
      </w:r>
      <w:r w:rsidRPr="00791A3F">
        <w:rPr>
          <w:rFonts w:ascii="Arial" w:hAnsi="Arial" w:cs="Arial"/>
          <w:i/>
          <w:iCs/>
        </w:rPr>
        <w:t>Academy of Management Review</w:t>
      </w:r>
      <w:r w:rsidRPr="00791A3F">
        <w:rPr>
          <w:rFonts w:ascii="Arial" w:hAnsi="Arial" w:cs="Arial"/>
        </w:rPr>
        <w:t>, 14(4), pp. 532–550.</w:t>
      </w:r>
    </w:p>
    <w:p w14:paraId="60863332"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Eisenhardt, K.M. and Graebner, M.E. (2007) ‘Theory building from cases: Opportunities and challenges’, </w:t>
      </w:r>
      <w:r w:rsidRPr="00791A3F">
        <w:rPr>
          <w:rFonts w:ascii="Arial" w:hAnsi="Arial" w:cs="Arial"/>
          <w:i/>
          <w:iCs/>
        </w:rPr>
        <w:t>Academy of Management Journal</w:t>
      </w:r>
      <w:r w:rsidRPr="00791A3F">
        <w:rPr>
          <w:rFonts w:ascii="Arial" w:hAnsi="Arial" w:cs="Arial"/>
        </w:rPr>
        <w:t>, 50(1), pp. 25–32.</w:t>
      </w:r>
    </w:p>
    <w:p w14:paraId="1766E09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Fleming, P. and Jones, M.T. (2013) </w:t>
      </w:r>
      <w:r w:rsidRPr="00791A3F">
        <w:rPr>
          <w:rFonts w:ascii="Arial" w:hAnsi="Arial" w:cs="Arial"/>
          <w:i/>
          <w:iCs/>
        </w:rPr>
        <w:t>The End of Corporate Social Responsibility: Crisis and Critique</w:t>
      </w:r>
      <w:r w:rsidRPr="00791A3F">
        <w:rPr>
          <w:rFonts w:ascii="Arial" w:hAnsi="Arial" w:cs="Arial"/>
        </w:rPr>
        <w:t>. London: SAGE.</w:t>
      </w:r>
    </w:p>
    <w:p w14:paraId="60C25851"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Font, X. et al. (2016) ‘Corporate social responsibility and sustainability in tourism and hospitality: A review and research agenda’.</w:t>
      </w:r>
    </w:p>
    <w:p w14:paraId="1AC3115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Freeman, R.E. (1984) </w:t>
      </w:r>
      <w:r w:rsidRPr="00791A3F">
        <w:rPr>
          <w:rFonts w:ascii="Arial" w:hAnsi="Arial" w:cs="Arial"/>
          <w:i/>
          <w:iCs/>
        </w:rPr>
        <w:t>Strategic Management: A Stakeholder Approach</w:t>
      </w:r>
      <w:r w:rsidRPr="00791A3F">
        <w:rPr>
          <w:rFonts w:ascii="Arial" w:hAnsi="Arial" w:cs="Arial"/>
        </w:rPr>
        <w:t>. Boston, MA: Pitman.</w:t>
      </w:r>
    </w:p>
    <w:p w14:paraId="487DF2E1"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Freeman, R.E. et al. (2020) </w:t>
      </w:r>
      <w:r w:rsidRPr="00791A3F">
        <w:rPr>
          <w:rFonts w:ascii="Arial" w:hAnsi="Arial" w:cs="Arial"/>
          <w:i/>
          <w:iCs/>
        </w:rPr>
        <w:t>Stakeholder Theory: The State of the Art</w:t>
      </w:r>
      <w:r w:rsidRPr="00791A3F">
        <w:rPr>
          <w:rFonts w:ascii="Arial" w:hAnsi="Arial" w:cs="Arial"/>
        </w:rPr>
        <w:t>. Cambridge: Cambridge University Press.</w:t>
      </w:r>
    </w:p>
    <w:p w14:paraId="22DB704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Geertz, C. (1973) </w:t>
      </w:r>
      <w:r w:rsidRPr="00791A3F">
        <w:rPr>
          <w:rFonts w:ascii="Arial" w:hAnsi="Arial" w:cs="Arial"/>
          <w:i/>
          <w:iCs/>
        </w:rPr>
        <w:t>The Interpretation of Cultures</w:t>
      </w:r>
      <w:r w:rsidRPr="00791A3F">
        <w:rPr>
          <w:rFonts w:ascii="Arial" w:hAnsi="Arial" w:cs="Arial"/>
        </w:rPr>
        <w:t>. New York: Basic Books.</w:t>
      </w:r>
    </w:p>
    <w:p w14:paraId="576EA1F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Goelzer, P. and Wilkinson, A. (2024) ‘Greenwashing or striving to persist: An alternative explanation of a loose coupling’, </w:t>
      </w:r>
      <w:r w:rsidRPr="00791A3F">
        <w:rPr>
          <w:rFonts w:ascii="Arial" w:hAnsi="Arial" w:cs="Arial"/>
          <w:i/>
          <w:iCs/>
        </w:rPr>
        <w:t>Journal of Business Ethics</w:t>
      </w:r>
      <w:r w:rsidRPr="00791A3F">
        <w:rPr>
          <w:rFonts w:ascii="Arial" w:hAnsi="Arial" w:cs="Arial"/>
        </w:rPr>
        <w:t>.</w:t>
      </w:r>
    </w:p>
    <w:p w14:paraId="4A48629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Gond, J.-P. et al. (2020) ‘Corporate social responsibility and institutional theory’.</w:t>
      </w:r>
    </w:p>
    <w:p w14:paraId="55FAF6D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Guba, E.G. and Lincoln, Y.S. (1994) ‘Competing paradigms in qualitative research’, in Denzin, N.K. and Lincoln, Y.S. (eds.) </w:t>
      </w:r>
      <w:r w:rsidRPr="00791A3F">
        <w:rPr>
          <w:rFonts w:ascii="Arial" w:hAnsi="Arial" w:cs="Arial"/>
          <w:i/>
          <w:iCs/>
        </w:rPr>
        <w:t>Handbook of Qualitative Research</w:t>
      </w:r>
      <w:r w:rsidRPr="00791A3F">
        <w:rPr>
          <w:rFonts w:ascii="Arial" w:hAnsi="Arial" w:cs="Arial"/>
        </w:rPr>
        <w:t>. Thousand Oaks, CA: SAGE, pp. 105–117.</w:t>
      </w:r>
    </w:p>
    <w:p w14:paraId="17DDB5C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 xml:space="preserve">Hahn, R. and </w:t>
      </w:r>
      <w:proofErr w:type="spellStart"/>
      <w:r w:rsidRPr="00791A3F">
        <w:rPr>
          <w:rFonts w:ascii="Arial" w:hAnsi="Arial" w:cs="Arial"/>
        </w:rPr>
        <w:t>Kühnen</w:t>
      </w:r>
      <w:proofErr w:type="spellEnd"/>
      <w:r w:rsidRPr="00791A3F">
        <w:rPr>
          <w:rFonts w:ascii="Arial" w:hAnsi="Arial" w:cs="Arial"/>
        </w:rPr>
        <w:t xml:space="preserve">, M. (2013) ‘Determinants of sustainability reporting: A review of results, trends, theory, and opportunities in an expanding field of research’, </w:t>
      </w:r>
      <w:r w:rsidRPr="00791A3F">
        <w:rPr>
          <w:rFonts w:ascii="Arial" w:hAnsi="Arial" w:cs="Arial"/>
          <w:i/>
          <w:iCs/>
        </w:rPr>
        <w:t>Journal of Cleaner Production</w:t>
      </w:r>
      <w:r w:rsidRPr="00791A3F">
        <w:rPr>
          <w:rFonts w:ascii="Arial" w:hAnsi="Arial" w:cs="Arial"/>
        </w:rPr>
        <w:t>, 59, pp. 5–21.</w:t>
      </w:r>
    </w:p>
    <w:p w14:paraId="2F94962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Herbes, C. et al. (2023) ‘Consumer behavior as a challenge and opportunity for circular food packaging’.</w:t>
      </w:r>
    </w:p>
    <w:p w14:paraId="7251025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Hernández-</w:t>
      </w:r>
      <w:proofErr w:type="spellStart"/>
      <w:r w:rsidRPr="00791A3F">
        <w:rPr>
          <w:rFonts w:ascii="Arial" w:hAnsi="Arial" w:cs="Arial"/>
        </w:rPr>
        <w:t>Espallardo</w:t>
      </w:r>
      <w:proofErr w:type="spellEnd"/>
      <w:r w:rsidRPr="00791A3F">
        <w:rPr>
          <w:rFonts w:ascii="Arial" w:hAnsi="Arial" w:cs="Arial"/>
        </w:rPr>
        <w:t>, M. et al. (2021) ‘Cooperative governance under increasing member diversity: Towards a new theoretical framework’.</w:t>
      </w:r>
    </w:p>
    <w:p w14:paraId="28D4FD29"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Hobbs, J.E. (2021) ‘Food supply chain resilience and the COVID-19 pandemic: What have we learned?’, </w:t>
      </w:r>
      <w:r w:rsidRPr="00791A3F">
        <w:rPr>
          <w:rFonts w:ascii="Arial" w:hAnsi="Arial" w:cs="Arial"/>
          <w:i/>
          <w:iCs/>
        </w:rPr>
        <w:t>Canadian Journal of Agricultural Economics</w:t>
      </w:r>
      <w:r w:rsidRPr="00791A3F">
        <w:rPr>
          <w:rFonts w:ascii="Arial" w:hAnsi="Arial" w:cs="Arial"/>
        </w:rPr>
        <w:t xml:space="preserve">, 69, pp. 189–196. </w:t>
      </w:r>
    </w:p>
    <w:p w14:paraId="0E00D11C"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Hobbs, J.E. and Rude, J. (2022) ‘Agri-food supply chain resilience strategies for preparing, responding, recovering, and adapting: A cross-country comparative analysis from the COVID-19 pandemic’, </w:t>
      </w:r>
      <w:r w:rsidRPr="00791A3F">
        <w:rPr>
          <w:rFonts w:ascii="Arial" w:hAnsi="Arial" w:cs="Arial"/>
          <w:i/>
          <w:iCs/>
        </w:rPr>
        <w:t>Journal of Business Logistics</w:t>
      </w:r>
      <w:r w:rsidRPr="00791A3F">
        <w:rPr>
          <w:rFonts w:ascii="Arial" w:hAnsi="Arial" w:cs="Arial"/>
        </w:rPr>
        <w:t>.</w:t>
      </w:r>
    </w:p>
    <w:p w14:paraId="5062D00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Hossain, M. et al. (2025) ‘Does ESG performance affect corporate commitment, competitiveness, and profitability? Evidence from a developing country’.</w:t>
      </w:r>
    </w:p>
    <w:p w14:paraId="79D36080"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Jamali, D. and Karam, C. (2018) ‘Corporate social responsibility in developing countries as an emerging field of study’, </w:t>
      </w:r>
      <w:r w:rsidRPr="00791A3F">
        <w:rPr>
          <w:rFonts w:ascii="Arial" w:hAnsi="Arial" w:cs="Arial"/>
          <w:i/>
          <w:iCs/>
        </w:rPr>
        <w:t>International Journal of Management Reviews</w:t>
      </w:r>
      <w:r w:rsidRPr="00791A3F">
        <w:rPr>
          <w:rFonts w:ascii="Arial" w:hAnsi="Arial" w:cs="Arial"/>
        </w:rPr>
        <w:t>, 20(1), pp. 32–61.</w:t>
      </w:r>
    </w:p>
    <w:p w14:paraId="3D2A0509"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Jones, P., Comfort, D., Hillier, D. and Eastwood, I. (2005) ‘Corporate social responsibility: A case study of the UK’s leading food retailers’, British Food Journal, 107(6), pp. 423–435. doi: 10.1108/00070700510602192.</w:t>
      </w:r>
    </w:p>
    <w:p w14:paraId="101011E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Khan, M. et al. (2025) ‘ESG performance and financial stability: A bibliometric and meta-analysis’, </w:t>
      </w:r>
      <w:r w:rsidRPr="00791A3F">
        <w:rPr>
          <w:rFonts w:ascii="Arial" w:hAnsi="Arial" w:cs="Arial"/>
          <w:i/>
          <w:iCs/>
        </w:rPr>
        <w:t>SAGE Open</w:t>
      </w:r>
      <w:r w:rsidRPr="00791A3F">
        <w:rPr>
          <w:rFonts w:ascii="Arial" w:hAnsi="Arial" w:cs="Arial"/>
        </w:rPr>
        <w:t>.</w:t>
      </w:r>
    </w:p>
    <w:p w14:paraId="538B600C"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Kumar, V. et al. (2024) ‘Circular economy and sustainable practices in the food industry: A comprehensive bibliometric analysis’.</w:t>
      </w:r>
    </w:p>
    <w:p w14:paraId="24F08EBE" w14:textId="77777777" w:rsidR="00490FC0" w:rsidRPr="00791A3F" w:rsidRDefault="00490FC0" w:rsidP="00791A3F">
      <w:pPr>
        <w:spacing w:line="360" w:lineRule="auto"/>
        <w:ind w:left="360"/>
        <w:jc w:val="both"/>
        <w:rPr>
          <w:rFonts w:ascii="Arial" w:hAnsi="Arial" w:cs="Arial"/>
        </w:rPr>
      </w:pPr>
      <w:proofErr w:type="spellStart"/>
      <w:r w:rsidRPr="00791A3F">
        <w:rPr>
          <w:rFonts w:ascii="Arial" w:hAnsi="Arial" w:cs="Arial"/>
        </w:rPr>
        <w:t>Kusumawardani</w:t>
      </w:r>
      <w:proofErr w:type="spellEnd"/>
      <w:r w:rsidRPr="00791A3F">
        <w:rPr>
          <w:rFonts w:ascii="Arial" w:hAnsi="Arial" w:cs="Arial"/>
        </w:rPr>
        <w:t xml:space="preserve">, A. and </w:t>
      </w:r>
      <w:proofErr w:type="spellStart"/>
      <w:r w:rsidRPr="00791A3F">
        <w:rPr>
          <w:rFonts w:ascii="Arial" w:hAnsi="Arial" w:cs="Arial"/>
        </w:rPr>
        <w:t>Dwiridotjahjono</w:t>
      </w:r>
      <w:proofErr w:type="spellEnd"/>
      <w:r w:rsidRPr="00791A3F">
        <w:rPr>
          <w:rFonts w:ascii="Arial" w:hAnsi="Arial" w:cs="Arial"/>
        </w:rPr>
        <w:t xml:space="preserve">, J. (2024) ‘Does sustainability report assurance matter? Symbolic versus substantive ESG greenwashing’, </w:t>
      </w:r>
      <w:proofErr w:type="spellStart"/>
      <w:r w:rsidRPr="00791A3F">
        <w:rPr>
          <w:rFonts w:ascii="Arial" w:hAnsi="Arial" w:cs="Arial"/>
          <w:i/>
          <w:iCs/>
        </w:rPr>
        <w:t>Jurnal</w:t>
      </w:r>
      <w:proofErr w:type="spellEnd"/>
      <w:r w:rsidRPr="00791A3F">
        <w:rPr>
          <w:rFonts w:ascii="Arial" w:hAnsi="Arial" w:cs="Arial"/>
          <w:i/>
          <w:iCs/>
        </w:rPr>
        <w:t xml:space="preserve"> </w:t>
      </w:r>
      <w:proofErr w:type="spellStart"/>
      <w:r w:rsidRPr="00791A3F">
        <w:rPr>
          <w:rFonts w:ascii="Arial" w:hAnsi="Arial" w:cs="Arial"/>
          <w:i/>
          <w:iCs/>
        </w:rPr>
        <w:t>Akuntansi</w:t>
      </w:r>
      <w:proofErr w:type="spellEnd"/>
      <w:r w:rsidRPr="00791A3F">
        <w:rPr>
          <w:rFonts w:ascii="Arial" w:hAnsi="Arial" w:cs="Arial"/>
          <w:i/>
          <w:iCs/>
        </w:rPr>
        <w:t xml:space="preserve"> dan </w:t>
      </w:r>
      <w:proofErr w:type="spellStart"/>
      <w:r w:rsidRPr="00791A3F">
        <w:rPr>
          <w:rFonts w:ascii="Arial" w:hAnsi="Arial" w:cs="Arial"/>
          <w:i/>
          <w:iCs/>
        </w:rPr>
        <w:t>Keuangan</w:t>
      </w:r>
      <w:proofErr w:type="spellEnd"/>
      <w:r w:rsidRPr="00791A3F">
        <w:rPr>
          <w:rFonts w:ascii="Arial" w:hAnsi="Arial" w:cs="Arial"/>
          <w:i/>
          <w:iCs/>
        </w:rPr>
        <w:t xml:space="preserve"> Indonesia</w:t>
      </w:r>
      <w:r w:rsidRPr="00791A3F">
        <w:rPr>
          <w:rFonts w:ascii="Arial" w:hAnsi="Arial" w:cs="Arial"/>
        </w:rPr>
        <w:t>, 23(1).</w:t>
      </w:r>
    </w:p>
    <w:p w14:paraId="3BA0D575"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 xml:space="preserve">Laplume, A.O. et al. (2008) ‘Corporate social responsibility and stakeholder theory: Learning from each other’, </w:t>
      </w:r>
      <w:r w:rsidRPr="00791A3F">
        <w:rPr>
          <w:rFonts w:ascii="Arial" w:hAnsi="Arial" w:cs="Arial"/>
          <w:i/>
          <w:iCs/>
        </w:rPr>
        <w:t>Journal of Business Ethics</w:t>
      </w:r>
      <w:r w:rsidRPr="00791A3F">
        <w:rPr>
          <w:rFonts w:ascii="Arial" w:hAnsi="Arial" w:cs="Arial"/>
        </w:rPr>
        <w:t>, 81, pp. 115–127.</w:t>
      </w:r>
    </w:p>
    <w:p w14:paraId="2429B97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LeBaron, G. et al. (2021) ‘Modern slavery disclosure regulation and global supply chains: Insights from stakeholder narratives on the UK Modern Slavery Act’, </w:t>
      </w:r>
      <w:r w:rsidRPr="00791A3F">
        <w:rPr>
          <w:rFonts w:ascii="Arial" w:hAnsi="Arial" w:cs="Arial"/>
          <w:i/>
          <w:iCs/>
        </w:rPr>
        <w:t>Journal of Business Ethics</w:t>
      </w:r>
      <w:r w:rsidRPr="00791A3F">
        <w:rPr>
          <w:rFonts w:ascii="Arial" w:hAnsi="Arial" w:cs="Arial"/>
        </w:rPr>
        <w:t>.</w:t>
      </w:r>
    </w:p>
    <w:p w14:paraId="6FBC69B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LeBaron, G. and Lister, J. (2022) ‘Modern slavery in supply chains: The limits of disclosure and corporate accountability’.</w:t>
      </w:r>
    </w:p>
    <w:p w14:paraId="2A304B6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Lincoln, Y.S. and Guba, E.G. (1985) </w:t>
      </w:r>
      <w:r w:rsidRPr="00791A3F">
        <w:rPr>
          <w:rFonts w:ascii="Arial" w:hAnsi="Arial" w:cs="Arial"/>
          <w:i/>
          <w:iCs/>
        </w:rPr>
        <w:t>Naturalistic Inquiry</w:t>
      </w:r>
      <w:r w:rsidRPr="00791A3F">
        <w:rPr>
          <w:rFonts w:ascii="Arial" w:hAnsi="Arial" w:cs="Arial"/>
        </w:rPr>
        <w:t>. Beverly Hills, CA: SAGE.</w:t>
      </w:r>
    </w:p>
    <w:p w14:paraId="19C971A2"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Liu, et al. (</w:t>
      </w:r>
      <w:proofErr w:type="gramStart"/>
      <w:r w:rsidRPr="00791A3F">
        <w:rPr>
          <w:rFonts w:ascii="Arial" w:hAnsi="Arial" w:cs="Arial"/>
        </w:rPr>
        <w:t>2024) ‘</w:t>
      </w:r>
      <w:proofErr w:type="gramEnd"/>
      <w:r w:rsidRPr="00791A3F">
        <w:rPr>
          <w:rFonts w:ascii="Arial" w:hAnsi="Arial" w:cs="Arial"/>
        </w:rPr>
        <w:t xml:space="preserve">ESG performance and corporate carbon emission intensity: Panel data analysis of A-share listed </w:t>
      </w:r>
      <w:proofErr w:type="gramStart"/>
      <w:r w:rsidRPr="00791A3F">
        <w:rPr>
          <w:rFonts w:ascii="Arial" w:hAnsi="Arial" w:cs="Arial"/>
        </w:rPr>
        <w:t>companies’</w:t>
      </w:r>
      <w:proofErr w:type="gramEnd"/>
      <w:r w:rsidRPr="00791A3F">
        <w:rPr>
          <w:rFonts w:ascii="Arial" w:hAnsi="Arial" w:cs="Arial"/>
        </w:rPr>
        <w:t>.</w:t>
      </w:r>
    </w:p>
    <w:p w14:paraId="601904B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Lyon, T.P. and Maxwell, J.W. (2011) ‘Greenwash: Corporate environmental disclosure under threat of audit’, </w:t>
      </w:r>
      <w:r w:rsidRPr="00791A3F">
        <w:rPr>
          <w:rFonts w:ascii="Arial" w:hAnsi="Arial" w:cs="Arial"/>
          <w:i/>
          <w:iCs/>
        </w:rPr>
        <w:t>Journal of Economics &amp; Management Strategy</w:t>
      </w:r>
      <w:r w:rsidRPr="00791A3F">
        <w:rPr>
          <w:rFonts w:ascii="Arial" w:hAnsi="Arial" w:cs="Arial"/>
        </w:rPr>
        <w:t xml:space="preserve">, 20(1), pp. 3–41. </w:t>
      </w:r>
      <w:hyperlink r:id="rId58" w:tgtFrame="_new" w:history="1">
        <w:r w:rsidRPr="00791A3F">
          <w:rPr>
            <w:rStyle w:val="Hyperlink"/>
            <w:rFonts w:ascii="Arial" w:hAnsi="Arial" w:cs="Arial"/>
          </w:rPr>
          <w:t>https://doi.org/10.1111/j.1530-9134.2010.00282.x</w:t>
        </w:r>
      </w:hyperlink>
      <w:r w:rsidRPr="00791A3F">
        <w:rPr>
          <w:rFonts w:ascii="Arial" w:hAnsi="Arial" w:cs="Arial"/>
        </w:rPr>
        <w:t xml:space="preserve"> </w:t>
      </w:r>
    </w:p>
    <w:p w14:paraId="3AD657B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Marquis, C., Toffel, M.W. and Zhou, Y. (2016) ‘Scrutiny, norms, and selective disclosure: A global study of greenwashing’, </w:t>
      </w:r>
      <w:r w:rsidRPr="00791A3F">
        <w:rPr>
          <w:rFonts w:ascii="Arial" w:hAnsi="Arial" w:cs="Arial"/>
          <w:i/>
          <w:iCs/>
        </w:rPr>
        <w:t>Organization Science</w:t>
      </w:r>
      <w:r w:rsidRPr="00791A3F">
        <w:rPr>
          <w:rFonts w:ascii="Arial" w:hAnsi="Arial" w:cs="Arial"/>
        </w:rPr>
        <w:t xml:space="preserve">, 27(2), pp. 483–504. </w:t>
      </w:r>
      <w:hyperlink r:id="rId59" w:tgtFrame="_new" w:history="1">
        <w:r w:rsidRPr="00791A3F">
          <w:rPr>
            <w:rStyle w:val="Hyperlink"/>
            <w:rFonts w:ascii="Arial" w:hAnsi="Arial" w:cs="Arial"/>
          </w:rPr>
          <w:t>https://doi.org/10.1287/orsc.2015.1039</w:t>
        </w:r>
      </w:hyperlink>
      <w:r w:rsidRPr="00791A3F">
        <w:rPr>
          <w:rFonts w:ascii="Arial" w:hAnsi="Arial" w:cs="Arial"/>
        </w:rPr>
        <w:t xml:space="preserve"> </w:t>
      </w:r>
    </w:p>
    <w:p w14:paraId="4BEFD7A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Matten, D. and Moon, J. (2008) ‘“Implicit” and “explicit” CSR: A conceptual framework for a comparative understanding of corporate social responsibility’, </w:t>
      </w:r>
      <w:r w:rsidRPr="00791A3F">
        <w:rPr>
          <w:rFonts w:ascii="Arial" w:hAnsi="Arial" w:cs="Arial"/>
          <w:i/>
          <w:iCs/>
        </w:rPr>
        <w:t>Academy of Management Review</w:t>
      </w:r>
      <w:r w:rsidRPr="00791A3F">
        <w:rPr>
          <w:rFonts w:ascii="Arial" w:hAnsi="Arial" w:cs="Arial"/>
        </w:rPr>
        <w:t>, 33(2), pp. 404–424.</w:t>
      </w:r>
    </w:p>
    <w:p w14:paraId="4B310925"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Meehan, J. and </w:t>
      </w:r>
      <w:proofErr w:type="spellStart"/>
      <w:r w:rsidRPr="00791A3F">
        <w:rPr>
          <w:rFonts w:ascii="Arial" w:hAnsi="Arial" w:cs="Arial"/>
        </w:rPr>
        <w:t>Pinnington</w:t>
      </w:r>
      <w:proofErr w:type="spellEnd"/>
      <w:r w:rsidRPr="00791A3F">
        <w:rPr>
          <w:rFonts w:ascii="Arial" w:hAnsi="Arial" w:cs="Arial"/>
        </w:rPr>
        <w:t>, B.D. (2022) ‘Modern slavery in supply chains: A systematic literature review’.</w:t>
      </w:r>
    </w:p>
    <w:p w14:paraId="3338A45D"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Mehmood, A. et al. (2025) ‘Mapping the greenwashing research landscape: A theoretical and field analysis’.</w:t>
      </w:r>
    </w:p>
    <w:p w14:paraId="1F06480C"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Michelon, G. et al. (2015) ‘CSR reporting practices and the quality of disclosure’.</w:t>
      </w:r>
    </w:p>
    <w:p w14:paraId="4F06BA0B"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Miles, S. (2017) ‘The relationship between stakeholder theory and corporate social responsibility’, </w:t>
      </w:r>
      <w:r w:rsidRPr="00791A3F">
        <w:rPr>
          <w:rFonts w:ascii="Arial" w:hAnsi="Arial" w:cs="Arial"/>
          <w:i/>
          <w:iCs/>
        </w:rPr>
        <w:t>Journal of Management Studies</w:t>
      </w:r>
      <w:r w:rsidRPr="00791A3F">
        <w:rPr>
          <w:rFonts w:ascii="Arial" w:hAnsi="Arial" w:cs="Arial"/>
        </w:rPr>
        <w:t>.</w:t>
      </w:r>
    </w:p>
    <w:p w14:paraId="501C0EFD" w14:textId="77777777" w:rsidR="00490FC0" w:rsidRPr="00791A3F" w:rsidRDefault="00490FC0" w:rsidP="00791A3F">
      <w:pPr>
        <w:spacing w:line="360" w:lineRule="auto"/>
        <w:ind w:left="360"/>
        <w:jc w:val="both"/>
        <w:rPr>
          <w:rFonts w:ascii="Arial" w:hAnsi="Arial" w:cs="Arial"/>
        </w:rPr>
      </w:pPr>
      <w:proofErr w:type="spellStart"/>
      <w:r w:rsidRPr="00791A3F">
        <w:rPr>
          <w:rFonts w:ascii="Arial" w:hAnsi="Arial" w:cs="Arial"/>
        </w:rPr>
        <w:lastRenderedPageBreak/>
        <w:t>Mialon</w:t>
      </w:r>
      <w:proofErr w:type="spellEnd"/>
      <w:r w:rsidRPr="00791A3F">
        <w:rPr>
          <w:rFonts w:ascii="Arial" w:hAnsi="Arial" w:cs="Arial"/>
        </w:rPr>
        <w:t xml:space="preserve">, M. et al. (2026) ‘Ultra-processed foods in the global food system: The role of US tobacco companies’, </w:t>
      </w:r>
      <w:r w:rsidRPr="00791A3F">
        <w:rPr>
          <w:rFonts w:ascii="Arial" w:hAnsi="Arial" w:cs="Arial"/>
          <w:i/>
          <w:iCs/>
        </w:rPr>
        <w:t>American Journal of Public Health</w:t>
      </w:r>
      <w:r w:rsidRPr="00791A3F">
        <w:rPr>
          <w:rFonts w:ascii="Arial" w:hAnsi="Arial" w:cs="Arial"/>
        </w:rPr>
        <w:t>.</w:t>
      </w:r>
    </w:p>
    <w:p w14:paraId="5F77D55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Mitchell, R.K., Agle, B.R. and Wood, D.J. (1997) ‘Toward a theory of stakeholder identification and salience: Defining the principle of who and what really counts’, </w:t>
      </w:r>
      <w:r w:rsidRPr="00791A3F">
        <w:rPr>
          <w:rFonts w:ascii="Arial" w:hAnsi="Arial" w:cs="Arial"/>
          <w:i/>
          <w:iCs/>
        </w:rPr>
        <w:t>Academy of Management Review</w:t>
      </w:r>
      <w:r w:rsidRPr="00791A3F">
        <w:rPr>
          <w:rFonts w:ascii="Arial" w:hAnsi="Arial" w:cs="Arial"/>
        </w:rPr>
        <w:t>, 22(4), pp. 853–886.</w:t>
      </w:r>
    </w:p>
    <w:p w14:paraId="133FD40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Ncube, L.K. et al. (2020) ‘The next generation of sustainable food packaging to preserve our environment in a circular economy context’.</w:t>
      </w:r>
    </w:p>
    <w:p w14:paraId="12B6DD1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Nicholls, A. and Opal, C. (2014) ‘CSR: The co-evolution of grocery multiples in the UK (2005–2010)’.</w:t>
      </w:r>
    </w:p>
    <w:p w14:paraId="0C4C006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Nowell, L.S. et al. (2017) ‘Thematic analysis: Striving to meet the trustworthiness criteria’, </w:t>
      </w:r>
      <w:r w:rsidRPr="00791A3F">
        <w:rPr>
          <w:rFonts w:ascii="Arial" w:hAnsi="Arial" w:cs="Arial"/>
          <w:i/>
          <w:iCs/>
        </w:rPr>
        <w:t>International Journal of Qualitative Methods</w:t>
      </w:r>
      <w:r w:rsidRPr="00791A3F">
        <w:rPr>
          <w:rFonts w:ascii="Arial" w:hAnsi="Arial" w:cs="Arial"/>
        </w:rPr>
        <w:t>, 16, pp. 1–13.</w:t>
      </w:r>
    </w:p>
    <w:p w14:paraId="5AB7B1AD"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Oxfam (2021) </w:t>
      </w:r>
      <w:r w:rsidRPr="00791A3F">
        <w:rPr>
          <w:rFonts w:ascii="Arial" w:hAnsi="Arial" w:cs="Arial"/>
          <w:i/>
          <w:iCs/>
        </w:rPr>
        <w:t>Behind the Barcodes: Food Retailers and Human Rights in Global Supply Chains</w:t>
      </w:r>
      <w:r w:rsidRPr="00791A3F">
        <w:rPr>
          <w:rFonts w:ascii="Arial" w:hAnsi="Arial" w:cs="Arial"/>
        </w:rPr>
        <w:t>. Oxford: Oxfam.</w:t>
      </w:r>
    </w:p>
    <w:p w14:paraId="5428204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Pantano, E. et al. (2020) ‘Competing during a pandemic? Retailers’ ups and downs during the COVID-19 outbreak’, </w:t>
      </w:r>
      <w:r w:rsidRPr="00791A3F">
        <w:rPr>
          <w:rFonts w:ascii="Arial" w:hAnsi="Arial" w:cs="Arial"/>
          <w:i/>
          <w:iCs/>
        </w:rPr>
        <w:t>Journal of Business Research</w:t>
      </w:r>
      <w:r w:rsidRPr="00791A3F">
        <w:rPr>
          <w:rFonts w:ascii="Arial" w:hAnsi="Arial" w:cs="Arial"/>
        </w:rPr>
        <w:t>, 116, pp. 209–213.</w:t>
      </w:r>
    </w:p>
    <w:p w14:paraId="226B02E2"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Patton, M.Q. (2015) </w:t>
      </w:r>
      <w:r w:rsidRPr="00791A3F">
        <w:rPr>
          <w:rFonts w:ascii="Arial" w:hAnsi="Arial" w:cs="Arial"/>
          <w:i/>
          <w:iCs/>
        </w:rPr>
        <w:t>Qualitative Research &amp; Evaluation Methods</w:t>
      </w:r>
      <w:r w:rsidRPr="00791A3F">
        <w:rPr>
          <w:rFonts w:ascii="Arial" w:hAnsi="Arial" w:cs="Arial"/>
        </w:rPr>
        <w:t xml:space="preserve">. 4th </w:t>
      </w:r>
      <w:proofErr w:type="spellStart"/>
      <w:r w:rsidRPr="00791A3F">
        <w:rPr>
          <w:rFonts w:ascii="Arial" w:hAnsi="Arial" w:cs="Arial"/>
        </w:rPr>
        <w:t>edn</w:t>
      </w:r>
      <w:proofErr w:type="spellEnd"/>
      <w:r w:rsidRPr="00791A3F">
        <w:rPr>
          <w:rFonts w:ascii="Arial" w:hAnsi="Arial" w:cs="Arial"/>
        </w:rPr>
        <w:t>. Thousand Oaks, CA: SAGE.</w:t>
      </w:r>
    </w:p>
    <w:p w14:paraId="7E5A6FB0"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Porter, M.E. and Kramer, M.R. (2011) ‘Creating shared value’, </w:t>
      </w:r>
      <w:r w:rsidRPr="00791A3F">
        <w:rPr>
          <w:rFonts w:ascii="Arial" w:hAnsi="Arial" w:cs="Arial"/>
          <w:i/>
          <w:iCs/>
        </w:rPr>
        <w:t>Harvard Business Review</w:t>
      </w:r>
      <w:r w:rsidRPr="00791A3F">
        <w:rPr>
          <w:rFonts w:ascii="Arial" w:hAnsi="Arial" w:cs="Arial"/>
        </w:rPr>
        <w:t>, 89(1–2), pp. 62–77.</w:t>
      </w:r>
    </w:p>
    <w:p w14:paraId="6E7BC01A"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Quazi, A.M. and O’Brien, D. (2000) ‘An empirical test of a cross-national model of corporate social responsibility’, </w:t>
      </w:r>
      <w:r w:rsidRPr="00791A3F">
        <w:rPr>
          <w:rFonts w:ascii="Arial" w:hAnsi="Arial" w:cs="Arial"/>
          <w:i/>
          <w:iCs/>
        </w:rPr>
        <w:t>Journal of Business Ethics</w:t>
      </w:r>
      <w:r w:rsidRPr="00791A3F">
        <w:rPr>
          <w:rFonts w:ascii="Arial" w:hAnsi="Arial" w:cs="Arial"/>
        </w:rPr>
        <w:t>, 25, pp. 33–51.</w:t>
      </w:r>
    </w:p>
    <w:p w14:paraId="1C858761"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Ribeiro, M. et al. (2023) ‘Identifying the drivers of circular food packaging: A comprehensive review for the current state of the food supply chain’, </w:t>
      </w:r>
      <w:r w:rsidRPr="00791A3F">
        <w:rPr>
          <w:rFonts w:ascii="Arial" w:hAnsi="Arial" w:cs="Arial"/>
          <w:i/>
          <w:iCs/>
        </w:rPr>
        <w:t>Sustainability</w:t>
      </w:r>
      <w:r w:rsidRPr="00791A3F">
        <w:rPr>
          <w:rFonts w:ascii="Arial" w:hAnsi="Arial" w:cs="Arial"/>
        </w:rPr>
        <w:t>, 15(15), 11703.</w:t>
      </w:r>
    </w:p>
    <w:p w14:paraId="49A7574D"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Richards, M. (2023) [Source on discount-retail business models and CSR].</w:t>
      </w:r>
    </w:p>
    <w:p w14:paraId="33CCEE41"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Robinson, E. et al. (2025) ‘Supermarket nutritionists’ perspectives on affordability interventions for healthier, sustainable food purchasing in UK retail’.</w:t>
      </w:r>
    </w:p>
    <w:p w14:paraId="57DCFFD0"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Sacks, G. et al. (2020) [Source on food retail, food environments and public health].</w:t>
      </w:r>
    </w:p>
    <w:p w14:paraId="544EC459"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Saldaña, J. (2015) </w:t>
      </w:r>
      <w:r w:rsidRPr="00791A3F">
        <w:rPr>
          <w:rFonts w:ascii="Arial" w:hAnsi="Arial" w:cs="Arial"/>
          <w:i/>
          <w:iCs/>
        </w:rPr>
        <w:t>The Coding Manual for Qualitative Researchers</w:t>
      </w:r>
      <w:r w:rsidRPr="00791A3F">
        <w:rPr>
          <w:rFonts w:ascii="Arial" w:hAnsi="Arial" w:cs="Arial"/>
        </w:rPr>
        <w:t xml:space="preserve">. 3rd </w:t>
      </w:r>
      <w:proofErr w:type="spellStart"/>
      <w:r w:rsidRPr="00791A3F">
        <w:rPr>
          <w:rFonts w:ascii="Arial" w:hAnsi="Arial" w:cs="Arial"/>
        </w:rPr>
        <w:t>edn</w:t>
      </w:r>
      <w:proofErr w:type="spellEnd"/>
      <w:r w:rsidRPr="00791A3F">
        <w:rPr>
          <w:rFonts w:ascii="Arial" w:hAnsi="Arial" w:cs="Arial"/>
        </w:rPr>
        <w:t>. London: SAGE.</w:t>
      </w:r>
    </w:p>
    <w:p w14:paraId="6CCF78D9"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Sardana, D. et al. (2024) ‘Corporate social responsibility and stakeholder theory: An integrated review’.</w:t>
      </w:r>
    </w:p>
    <w:p w14:paraId="6E5C19F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Sarfaty, G.A. and Zhang, Y. (2025) ‘</w:t>
      </w:r>
      <w:proofErr w:type="spellStart"/>
      <w:r w:rsidRPr="00791A3F">
        <w:rPr>
          <w:rFonts w:ascii="Arial" w:hAnsi="Arial" w:cs="Arial"/>
        </w:rPr>
        <w:t>Labour</w:t>
      </w:r>
      <w:proofErr w:type="spellEnd"/>
      <w:r w:rsidRPr="00791A3F">
        <w:rPr>
          <w:rFonts w:ascii="Arial" w:hAnsi="Arial" w:cs="Arial"/>
        </w:rPr>
        <w:t xml:space="preserve"> rights movements and modern slavery audit disclosures within global supply chains: A political mediation perspective’.</w:t>
      </w:r>
    </w:p>
    <w:p w14:paraId="5E5CD96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Sarkis, J. et al. (2021) ‘Supply chain resilience during the COVID-19 pandemic’.</w:t>
      </w:r>
    </w:p>
    <w:p w14:paraId="2B0CC83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Saunders, M., Lewis, P. and Thornhill, A. (2019) </w:t>
      </w:r>
      <w:r w:rsidRPr="00791A3F">
        <w:rPr>
          <w:rFonts w:ascii="Arial" w:hAnsi="Arial" w:cs="Arial"/>
          <w:i/>
          <w:iCs/>
        </w:rPr>
        <w:t>Research Methods for Business Students</w:t>
      </w:r>
      <w:r w:rsidRPr="00791A3F">
        <w:rPr>
          <w:rFonts w:ascii="Arial" w:hAnsi="Arial" w:cs="Arial"/>
        </w:rPr>
        <w:t xml:space="preserve">. 8th </w:t>
      </w:r>
      <w:proofErr w:type="spellStart"/>
      <w:r w:rsidRPr="00791A3F">
        <w:rPr>
          <w:rFonts w:ascii="Arial" w:hAnsi="Arial" w:cs="Arial"/>
        </w:rPr>
        <w:t>edn</w:t>
      </w:r>
      <w:proofErr w:type="spellEnd"/>
      <w:r w:rsidRPr="00791A3F">
        <w:rPr>
          <w:rFonts w:ascii="Arial" w:hAnsi="Arial" w:cs="Arial"/>
        </w:rPr>
        <w:t>. Harlow: Pearson.</w:t>
      </w:r>
    </w:p>
    <w:p w14:paraId="246AB01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Schons, L. and Steinmeier, M. (2016) [Source on stakeholder salience/CSR].</w:t>
      </w:r>
    </w:p>
    <w:p w14:paraId="2BF32E37" w14:textId="77777777" w:rsidR="00490FC0" w:rsidRPr="00791A3F" w:rsidRDefault="00490FC0" w:rsidP="00791A3F">
      <w:pPr>
        <w:spacing w:line="360" w:lineRule="auto"/>
        <w:ind w:left="360"/>
        <w:jc w:val="both"/>
        <w:rPr>
          <w:rFonts w:ascii="Arial" w:hAnsi="Arial" w:cs="Arial"/>
        </w:rPr>
      </w:pPr>
      <w:proofErr w:type="spellStart"/>
      <w:r w:rsidRPr="00791A3F">
        <w:rPr>
          <w:rFonts w:ascii="Arial" w:hAnsi="Arial" w:cs="Arial"/>
        </w:rPr>
        <w:t>Scrinis</w:t>
      </w:r>
      <w:proofErr w:type="spellEnd"/>
      <w:r w:rsidRPr="00791A3F">
        <w:rPr>
          <w:rFonts w:ascii="Arial" w:hAnsi="Arial" w:cs="Arial"/>
        </w:rPr>
        <w:t>, G. and Monteiro, C.A. (2025) ‘Ultra-processed foods and public health: Evidence of harm and of conflicts of interest in the food industry to evade regulation’.</w:t>
      </w:r>
    </w:p>
    <w:p w14:paraId="2B40BA1D" w14:textId="77777777" w:rsidR="00490FC0" w:rsidRPr="00791A3F" w:rsidRDefault="00490FC0" w:rsidP="00791A3F">
      <w:pPr>
        <w:spacing w:line="360" w:lineRule="auto"/>
        <w:ind w:left="360"/>
        <w:jc w:val="both"/>
        <w:rPr>
          <w:rFonts w:ascii="Arial" w:hAnsi="Arial" w:cs="Arial"/>
        </w:rPr>
      </w:pPr>
      <w:proofErr w:type="spellStart"/>
      <w:r w:rsidRPr="00791A3F">
        <w:rPr>
          <w:rFonts w:ascii="Arial" w:hAnsi="Arial" w:cs="Arial"/>
        </w:rPr>
        <w:t>ShareAction</w:t>
      </w:r>
      <w:proofErr w:type="spellEnd"/>
      <w:r w:rsidRPr="00791A3F">
        <w:rPr>
          <w:rFonts w:ascii="Arial" w:hAnsi="Arial" w:cs="Arial"/>
        </w:rPr>
        <w:t xml:space="preserve"> (2023) </w:t>
      </w:r>
      <w:r w:rsidRPr="00791A3F">
        <w:rPr>
          <w:rFonts w:ascii="Arial" w:hAnsi="Arial" w:cs="Arial"/>
          <w:i/>
          <w:iCs/>
        </w:rPr>
        <w:t>[Retail/food-sector ESG and health assessment report cited in the dissertation]</w:t>
      </w:r>
      <w:r w:rsidRPr="00791A3F">
        <w:rPr>
          <w:rFonts w:ascii="Arial" w:hAnsi="Arial" w:cs="Arial"/>
        </w:rPr>
        <w:t xml:space="preserve">. London: </w:t>
      </w:r>
      <w:proofErr w:type="spellStart"/>
      <w:r w:rsidRPr="00791A3F">
        <w:rPr>
          <w:rFonts w:ascii="Arial" w:hAnsi="Arial" w:cs="Arial"/>
        </w:rPr>
        <w:t>ShareAction</w:t>
      </w:r>
      <w:proofErr w:type="spellEnd"/>
      <w:r w:rsidRPr="00791A3F">
        <w:rPr>
          <w:rFonts w:ascii="Arial" w:hAnsi="Arial" w:cs="Arial"/>
        </w:rPr>
        <w:t>.</w:t>
      </w:r>
    </w:p>
    <w:p w14:paraId="6D30C4F9"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Siano, A. et al. (2017) [Source on symbolic and substantive CSR communication].</w:t>
      </w:r>
    </w:p>
    <w:p w14:paraId="0301678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Stake, R.E. (1995) </w:t>
      </w:r>
      <w:r w:rsidRPr="00791A3F">
        <w:rPr>
          <w:rFonts w:ascii="Arial" w:hAnsi="Arial" w:cs="Arial"/>
          <w:i/>
          <w:iCs/>
        </w:rPr>
        <w:t>The Art of Case Study Research</w:t>
      </w:r>
      <w:r w:rsidRPr="00791A3F">
        <w:rPr>
          <w:rFonts w:ascii="Arial" w:hAnsi="Arial" w:cs="Arial"/>
        </w:rPr>
        <w:t>. Thousand Oaks, CA: SAGE.</w:t>
      </w:r>
    </w:p>
    <w:p w14:paraId="67ECEB8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Stanny, E. and Ely, K. (2024) ‘Quantifying firm-level greenwashing: A systematic literature review’.</w:t>
      </w:r>
    </w:p>
    <w:p w14:paraId="071452D8"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Stevenson, M. and Cole, R. (2021) ‘Modern slavery statements: From regulation to substantive supply chain reporting’.</w:t>
      </w:r>
    </w:p>
    <w:p w14:paraId="31BAE6CF" w14:textId="77777777" w:rsidR="00490FC0" w:rsidRPr="00791A3F" w:rsidRDefault="00490FC0" w:rsidP="00791A3F">
      <w:pPr>
        <w:spacing w:line="360" w:lineRule="auto"/>
        <w:ind w:left="360"/>
        <w:jc w:val="both"/>
        <w:rPr>
          <w:rFonts w:ascii="Arial" w:hAnsi="Arial" w:cs="Arial"/>
        </w:rPr>
      </w:pPr>
      <w:proofErr w:type="spellStart"/>
      <w:r w:rsidRPr="00791A3F">
        <w:rPr>
          <w:rFonts w:ascii="Arial" w:hAnsi="Arial" w:cs="Arial"/>
        </w:rPr>
        <w:t>Suardi</w:t>
      </w:r>
      <w:proofErr w:type="spellEnd"/>
      <w:r w:rsidRPr="00791A3F">
        <w:rPr>
          <w:rFonts w:ascii="Arial" w:hAnsi="Arial" w:cs="Arial"/>
        </w:rPr>
        <w:t xml:space="preserve">, S. and </w:t>
      </w:r>
      <w:proofErr w:type="spellStart"/>
      <w:r w:rsidRPr="00791A3F">
        <w:rPr>
          <w:rFonts w:ascii="Arial" w:hAnsi="Arial" w:cs="Arial"/>
        </w:rPr>
        <w:t>Fiandrino</w:t>
      </w:r>
      <w:proofErr w:type="spellEnd"/>
      <w:r w:rsidRPr="00791A3F">
        <w:rPr>
          <w:rFonts w:ascii="Arial" w:hAnsi="Arial" w:cs="Arial"/>
        </w:rPr>
        <w:t>, S. (2025) ‘Quality, determinants and financial consequences of climate change disclosures: A structured review’.</w:t>
      </w:r>
    </w:p>
    <w:p w14:paraId="6A3571D5" w14:textId="77777777" w:rsidR="00490FC0" w:rsidRPr="00791A3F" w:rsidRDefault="00490FC0" w:rsidP="00791A3F">
      <w:pPr>
        <w:spacing w:line="360" w:lineRule="auto"/>
        <w:ind w:left="360"/>
        <w:jc w:val="both"/>
        <w:rPr>
          <w:rFonts w:ascii="Arial" w:hAnsi="Arial" w:cs="Arial"/>
        </w:rPr>
      </w:pPr>
      <w:proofErr w:type="spellStart"/>
      <w:r w:rsidRPr="00791A3F">
        <w:rPr>
          <w:rFonts w:ascii="Arial" w:hAnsi="Arial" w:cs="Arial"/>
        </w:rPr>
        <w:t>Taillie</w:t>
      </w:r>
      <w:proofErr w:type="spellEnd"/>
      <w:r w:rsidRPr="00791A3F">
        <w:rPr>
          <w:rFonts w:ascii="Arial" w:hAnsi="Arial" w:cs="Arial"/>
        </w:rPr>
        <w:t>, L.S. et al. (2020) [Source on food environments, ultra-processed foods and public health].</w:t>
      </w:r>
    </w:p>
    <w:p w14:paraId="1F5CE208"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Torelli, R. et al. (2019) ‘Grey zone in – greenwash out. A review of greenwashing research’.</w:t>
      </w:r>
    </w:p>
    <w:p w14:paraId="495804BA"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Torelli, R. et al. (2020) [Source on substantive and symbolic CSR/greenwashing].</w:t>
      </w:r>
    </w:p>
    <w:p w14:paraId="50BA39C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Tracy, S.J. (2010) ‘Qualitative quality: Eight “big-tent” criteria for excellent qualitative research’, </w:t>
      </w:r>
      <w:r w:rsidRPr="00791A3F">
        <w:rPr>
          <w:rFonts w:ascii="Arial" w:hAnsi="Arial" w:cs="Arial"/>
          <w:i/>
          <w:iCs/>
        </w:rPr>
        <w:t>Qualitative Inquiry</w:t>
      </w:r>
      <w:r w:rsidRPr="00791A3F">
        <w:rPr>
          <w:rFonts w:ascii="Arial" w:hAnsi="Arial" w:cs="Arial"/>
        </w:rPr>
        <w:t>, 16(10), pp. 837–851.</w:t>
      </w:r>
    </w:p>
    <w:p w14:paraId="1347317B"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UK Government (2021) </w:t>
      </w:r>
      <w:r w:rsidRPr="00791A3F">
        <w:rPr>
          <w:rFonts w:ascii="Arial" w:hAnsi="Arial" w:cs="Arial"/>
          <w:i/>
          <w:iCs/>
        </w:rPr>
        <w:t>[Net-zero/climate disclosure and supply-chain due-diligence policy document cited in the dissertation]</w:t>
      </w:r>
      <w:r w:rsidRPr="00791A3F">
        <w:rPr>
          <w:rFonts w:ascii="Arial" w:hAnsi="Arial" w:cs="Arial"/>
        </w:rPr>
        <w:t>. London: UK Government.</w:t>
      </w:r>
    </w:p>
    <w:p w14:paraId="2D41F94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Velte, P. (2025) ‘The impact of institutional ownership structure on corporate ESG performance: Empirical evidence for the European capital market’.</w:t>
      </w:r>
    </w:p>
    <w:p w14:paraId="5704D81B"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Viere, T. et al. (2025) ‘Food packaging business models as drivers for sustainability in the food packaging industry’, </w:t>
      </w:r>
      <w:r w:rsidRPr="00791A3F">
        <w:rPr>
          <w:rFonts w:ascii="Arial" w:hAnsi="Arial" w:cs="Arial"/>
          <w:i/>
          <w:iCs/>
        </w:rPr>
        <w:t>Frontiers in Sustainable Food Systems</w:t>
      </w:r>
      <w:r w:rsidRPr="00791A3F">
        <w:rPr>
          <w:rFonts w:ascii="Arial" w:hAnsi="Arial" w:cs="Arial"/>
        </w:rPr>
        <w:t>.</w:t>
      </w:r>
    </w:p>
    <w:p w14:paraId="6FE3704D"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Walker, K. and Wan, F. (2012) ‘The harm of symbolic actions and green-washing: Corporate actions and communications on environmental performance and their financial implications’, </w:t>
      </w:r>
      <w:r w:rsidRPr="00791A3F">
        <w:rPr>
          <w:rFonts w:ascii="Arial" w:hAnsi="Arial" w:cs="Arial"/>
          <w:i/>
          <w:iCs/>
        </w:rPr>
        <w:t>Journal of Business Ethics</w:t>
      </w:r>
      <w:r w:rsidRPr="00791A3F">
        <w:rPr>
          <w:rFonts w:ascii="Arial" w:hAnsi="Arial" w:cs="Arial"/>
        </w:rPr>
        <w:t>, 109, pp. 227–242.</w:t>
      </w:r>
    </w:p>
    <w:p w14:paraId="03583AC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White, K. et al. (2020) [Source on consumer sustainability expectations and </w:t>
      </w:r>
      <w:proofErr w:type="spellStart"/>
      <w:r w:rsidRPr="00791A3F">
        <w:rPr>
          <w:rFonts w:ascii="Arial" w:hAnsi="Arial" w:cs="Arial"/>
        </w:rPr>
        <w:t>behaviour</w:t>
      </w:r>
      <w:proofErr w:type="spellEnd"/>
      <w:r w:rsidRPr="00791A3F">
        <w:rPr>
          <w:rFonts w:ascii="Arial" w:hAnsi="Arial" w:cs="Arial"/>
        </w:rPr>
        <w:t>].</w:t>
      </w:r>
    </w:p>
    <w:p w14:paraId="6AD3A10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Yang, Y. et al. (2025) ‘Symbolic versus substantive ESG practices: A systematic review and integrative framework’, </w:t>
      </w:r>
      <w:r w:rsidRPr="00791A3F">
        <w:rPr>
          <w:rFonts w:ascii="Arial" w:hAnsi="Arial" w:cs="Arial"/>
          <w:i/>
          <w:iCs/>
        </w:rPr>
        <w:t>Corporate Social Responsibility and Environmental Management</w:t>
      </w:r>
      <w:r w:rsidRPr="00791A3F">
        <w:rPr>
          <w:rFonts w:ascii="Arial" w:hAnsi="Arial" w:cs="Arial"/>
        </w:rPr>
        <w:t>.</w:t>
      </w:r>
    </w:p>
    <w:p w14:paraId="53D6A233"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Yin, R.K. (2018) </w:t>
      </w:r>
      <w:r w:rsidRPr="00791A3F">
        <w:rPr>
          <w:rFonts w:ascii="Arial" w:hAnsi="Arial" w:cs="Arial"/>
          <w:i/>
          <w:iCs/>
        </w:rPr>
        <w:t>Case Study Research and Applications: Design and Methods</w:t>
      </w:r>
      <w:r w:rsidRPr="00791A3F">
        <w:rPr>
          <w:rFonts w:ascii="Arial" w:hAnsi="Arial" w:cs="Arial"/>
        </w:rPr>
        <w:t xml:space="preserve">. 6th </w:t>
      </w:r>
      <w:proofErr w:type="spellStart"/>
      <w:r w:rsidRPr="00791A3F">
        <w:rPr>
          <w:rFonts w:ascii="Arial" w:hAnsi="Arial" w:cs="Arial"/>
        </w:rPr>
        <w:t>edn</w:t>
      </w:r>
      <w:proofErr w:type="spellEnd"/>
      <w:r w:rsidRPr="00791A3F">
        <w:rPr>
          <w:rFonts w:ascii="Arial" w:hAnsi="Arial" w:cs="Arial"/>
        </w:rPr>
        <w:t>. Thousand Oaks, CA: SAGE.</w:t>
      </w:r>
    </w:p>
    <w:p w14:paraId="6C197224" w14:textId="77777777" w:rsidR="00AD53BD" w:rsidRPr="00791A3F" w:rsidRDefault="00490FC0" w:rsidP="00791A3F">
      <w:pPr>
        <w:spacing w:line="360" w:lineRule="auto"/>
        <w:ind w:left="360"/>
        <w:jc w:val="both"/>
        <w:rPr>
          <w:rFonts w:ascii="Arial" w:hAnsi="Arial" w:cs="Arial"/>
        </w:rPr>
      </w:pPr>
      <w:r w:rsidRPr="00791A3F">
        <w:rPr>
          <w:rFonts w:ascii="Arial" w:hAnsi="Arial" w:cs="Arial"/>
        </w:rPr>
        <w:t>Zhao, X. et al. (2025) ‘Market competitiveness and corporate ESG performance’.</w:t>
      </w:r>
    </w:p>
    <w:sectPr w:rsidR="00AD53BD" w:rsidRPr="00791A3F" w:rsidSect="00A16FCC">
      <w:footerReference w:type="default" r:id="rId6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C160D" w14:textId="77777777" w:rsidR="003B073D" w:rsidRDefault="003B073D" w:rsidP="00A16FCC">
      <w:pPr>
        <w:spacing w:after="0" w:line="240" w:lineRule="auto"/>
      </w:pPr>
      <w:r>
        <w:separator/>
      </w:r>
    </w:p>
  </w:endnote>
  <w:endnote w:type="continuationSeparator" w:id="0">
    <w:p w14:paraId="60025F6E" w14:textId="77777777" w:rsidR="003B073D" w:rsidRDefault="003B073D" w:rsidP="00A1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0875498"/>
      <w:docPartObj>
        <w:docPartGallery w:val="Page Numbers (Bottom of Page)"/>
        <w:docPartUnique/>
      </w:docPartObj>
    </w:sdtPr>
    <w:sdtEndPr>
      <w:rPr>
        <w:color w:val="7F7F7F" w:themeColor="background1" w:themeShade="7F"/>
        <w:spacing w:val="60"/>
      </w:rPr>
    </w:sdtEndPr>
    <w:sdtContent>
      <w:p w14:paraId="11D96C02" w14:textId="77777777" w:rsidR="00A16FCC" w:rsidRDefault="00A16FC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11512E" w14:textId="77777777" w:rsidR="00A16FCC" w:rsidRDefault="00A16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495A8" w14:textId="77777777" w:rsidR="003B073D" w:rsidRDefault="003B073D" w:rsidP="00A16FCC">
      <w:pPr>
        <w:spacing w:after="0" w:line="240" w:lineRule="auto"/>
      </w:pPr>
      <w:r>
        <w:separator/>
      </w:r>
    </w:p>
  </w:footnote>
  <w:footnote w:type="continuationSeparator" w:id="0">
    <w:p w14:paraId="57E6F8F6" w14:textId="77777777" w:rsidR="003B073D" w:rsidRDefault="003B073D" w:rsidP="00A1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B5CF2"/>
    <w:multiLevelType w:val="multilevel"/>
    <w:tmpl w:val="19BA6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2359C8"/>
    <w:multiLevelType w:val="hybridMultilevel"/>
    <w:tmpl w:val="0FF6B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931A53"/>
    <w:multiLevelType w:val="multilevel"/>
    <w:tmpl w:val="514E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DA956F7"/>
    <w:multiLevelType w:val="hybridMultilevel"/>
    <w:tmpl w:val="F91E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830C65"/>
    <w:multiLevelType w:val="multilevel"/>
    <w:tmpl w:val="6CB85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C1380B"/>
    <w:multiLevelType w:val="multilevel"/>
    <w:tmpl w:val="82706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2929667">
    <w:abstractNumId w:val="0"/>
  </w:num>
  <w:num w:numId="2" w16cid:durableId="1063915345">
    <w:abstractNumId w:val="2"/>
  </w:num>
  <w:num w:numId="3" w16cid:durableId="1689675809">
    <w:abstractNumId w:val="5"/>
  </w:num>
  <w:num w:numId="4" w16cid:durableId="507866733">
    <w:abstractNumId w:val="4"/>
  </w:num>
  <w:num w:numId="5" w16cid:durableId="2028092700">
    <w:abstractNumId w:val="1"/>
  </w:num>
  <w:num w:numId="6" w16cid:durableId="18064663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3BD"/>
    <w:rsid w:val="00031EC3"/>
    <w:rsid w:val="00035DB5"/>
    <w:rsid w:val="000A3C77"/>
    <w:rsid w:val="000C365D"/>
    <w:rsid w:val="000D56B3"/>
    <w:rsid w:val="00104298"/>
    <w:rsid w:val="0010623B"/>
    <w:rsid w:val="00120618"/>
    <w:rsid w:val="0012783A"/>
    <w:rsid w:val="001650E4"/>
    <w:rsid w:val="00166E4C"/>
    <w:rsid w:val="0017785F"/>
    <w:rsid w:val="001A2919"/>
    <w:rsid w:val="001C09F3"/>
    <w:rsid w:val="001D0206"/>
    <w:rsid w:val="001E1DAA"/>
    <w:rsid w:val="00203435"/>
    <w:rsid w:val="00212D06"/>
    <w:rsid w:val="00221AF1"/>
    <w:rsid w:val="00225B11"/>
    <w:rsid w:val="00240A06"/>
    <w:rsid w:val="00272B92"/>
    <w:rsid w:val="00277AA7"/>
    <w:rsid w:val="002B0261"/>
    <w:rsid w:val="00322C8C"/>
    <w:rsid w:val="003302A0"/>
    <w:rsid w:val="00355947"/>
    <w:rsid w:val="003961F5"/>
    <w:rsid w:val="003B073D"/>
    <w:rsid w:val="003C2DA1"/>
    <w:rsid w:val="003C73D6"/>
    <w:rsid w:val="003F0721"/>
    <w:rsid w:val="00424A60"/>
    <w:rsid w:val="0043549C"/>
    <w:rsid w:val="0045047A"/>
    <w:rsid w:val="0045281C"/>
    <w:rsid w:val="00456EC6"/>
    <w:rsid w:val="00490FC0"/>
    <w:rsid w:val="00494FD0"/>
    <w:rsid w:val="004C311C"/>
    <w:rsid w:val="004C58C6"/>
    <w:rsid w:val="004D3070"/>
    <w:rsid w:val="004E19DE"/>
    <w:rsid w:val="00507FF4"/>
    <w:rsid w:val="005146C2"/>
    <w:rsid w:val="00514BF5"/>
    <w:rsid w:val="005903F1"/>
    <w:rsid w:val="005B08F1"/>
    <w:rsid w:val="005B3246"/>
    <w:rsid w:val="00661AEA"/>
    <w:rsid w:val="00662FB5"/>
    <w:rsid w:val="00663A93"/>
    <w:rsid w:val="00687B77"/>
    <w:rsid w:val="006A528C"/>
    <w:rsid w:val="006C05B1"/>
    <w:rsid w:val="006D0B87"/>
    <w:rsid w:val="006D0EF4"/>
    <w:rsid w:val="006D4399"/>
    <w:rsid w:val="006D56EB"/>
    <w:rsid w:val="007468AA"/>
    <w:rsid w:val="00774749"/>
    <w:rsid w:val="00774993"/>
    <w:rsid w:val="00780BFA"/>
    <w:rsid w:val="007828ED"/>
    <w:rsid w:val="00791A3F"/>
    <w:rsid w:val="00797C3D"/>
    <w:rsid w:val="007D45BD"/>
    <w:rsid w:val="007E1833"/>
    <w:rsid w:val="00822698"/>
    <w:rsid w:val="008369A9"/>
    <w:rsid w:val="00862EEE"/>
    <w:rsid w:val="0088091B"/>
    <w:rsid w:val="0088695C"/>
    <w:rsid w:val="00887BA8"/>
    <w:rsid w:val="00892BD6"/>
    <w:rsid w:val="00894728"/>
    <w:rsid w:val="00897863"/>
    <w:rsid w:val="008B5FCA"/>
    <w:rsid w:val="008B6FDE"/>
    <w:rsid w:val="008C0C8F"/>
    <w:rsid w:val="008C61DC"/>
    <w:rsid w:val="008D435C"/>
    <w:rsid w:val="008E0A93"/>
    <w:rsid w:val="008E62CB"/>
    <w:rsid w:val="008F1DBA"/>
    <w:rsid w:val="00902E11"/>
    <w:rsid w:val="009069EF"/>
    <w:rsid w:val="00912855"/>
    <w:rsid w:val="00921A07"/>
    <w:rsid w:val="00991BF8"/>
    <w:rsid w:val="009936D4"/>
    <w:rsid w:val="009F6D5A"/>
    <w:rsid w:val="00A02F10"/>
    <w:rsid w:val="00A10F42"/>
    <w:rsid w:val="00A16FCC"/>
    <w:rsid w:val="00A3718E"/>
    <w:rsid w:val="00A41EB8"/>
    <w:rsid w:val="00A50B0B"/>
    <w:rsid w:val="00A52928"/>
    <w:rsid w:val="00A72DED"/>
    <w:rsid w:val="00A8335B"/>
    <w:rsid w:val="00AA0155"/>
    <w:rsid w:val="00AA24A9"/>
    <w:rsid w:val="00AC3E96"/>
    <w:rsid w:val="00AD3756"/>
    <w:rsid w:val="00AD53BD"/>
    <w:rsid w:val="00AE3401"/>
    <w:rsid w:val="00B45A14"/>
    <w:rsid w:val="00B57468"/>
    <w:rsid w:val="00B65F8B"/>
    <w:rsid w:val="00B772C6"/>
    <w:rsid w:val="00BE6C25"/>
    <w:rsid w:val="00BF238B"/>
    <w:rsid w:val="00C35FC7"/>
    <w:rsid w:val="00C52BBC"/>
    <w:rsid w:val="00C745A7"/>
    <w:rsid w:val="00C81F38"/>
    <w:rsid w:val="00CA2D93"/>
    <w:rsid w:val="00CA5D2E"/>
    <w:rsid w:val="00CC2C34"/>
    <w:rsid w:val="00CD1D85"/>
    <w:rsid w:val="00CD3CEA"/>
    <w:rsid w:val="00CF07AB"/>
    <w:rsid w:val="00D05FD1"/>
    <w:rsid w:val="00D062F4"/>
    <w:rsid w:val="00D2275A"/>
    <w:rsid w:val="00D23EAE"/>
    <w:rsid w:val="00D26F7D"/>
    <w:rsid w:val="00D37005"/>
    <w:rsid w:val="00D46615"/>
    <w:rsid w:val="00D60E1E"/>
    <w:rsid w:val="00D864A6"/>
    <w:rsid w:val="00D9611C"/>
    <w:rsid w:val="00DA3036"/>
    <w:rsid w:val="00DA354A"/>
    <w:rsid w:val="00DD2533"/>
    <w:rsid w:val="00DE708F"/>
    <w:rsid w:val="00E043BF"/>
    <w:rsid w:val="00E72FD7"/>
    <w:rsid w:val="00E76C70"/>
    <w:rsid w:val="00EC31A5"/>
    <w:rsid w:val="00EC58AB"/>
    <w:rsid w:val="00F13FE9"/>
    <w:rsid w:val="00F32759"/>
    <w:rsid w:val="00F56141"/>
    <w:rsid w:val="00F62881"/>
    <w:rsid w:val="00F64EB6"/>
    <w:rsid w:val="00F70C3F"/>
    <w:rsid w:val="00F800F5"/>
    <w:rsid w:val="00FE663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EA4C7"/>
  <w15:chartTrackingRefBased/>
  <w15:docId w15:val="{4032AAAF-6911-403F-ABE0-A9F5579BC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FE9"/>
  </w:style>
  <w:style w:type="paragraph" w:styleId="Heading1">
    <w:name w:val="heading 1"/>
    <w:basedOn w:val="Normal"/>
    <w:next w:val="Normal"/>
    <w:link w:val="Heading1Char"/>
    <w:uiPriority w:val="9"/>
    <w:qFormat/>
    <w:rsid w:val="00AD53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53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53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53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53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53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3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3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3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3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53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53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53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53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53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3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3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3BD"/>
    <w:rPr>
      <w:rFonts w:eastAsiaTheme="majorEastAsia" w:cstheme="majorBidi"/>
      <w:color w:val="272727" w:themeColor="text1" w:themeTint="D8"/>
    </w:rPr>
  </w:style>
  <w:style w:type="paragraph" w:styleId="Title">
    <w:name w:val="Title"/>
    <w:basedOn w:val="Normal"/>
    <w:next w:val="Normal"/>
    <w:link w:val="TitleChar"/>
    <w:uiPriority w:val="10"/>
    <w:qFormat/>
    <w:rsid w:val="00AD53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3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3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3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3BD"/>
    <w:pPr>
      <w:spacing w:before="160"/>
      <w:jc w:val="center"/>
    </w:pPr>
    <w:rPr>
      <w:i/>
      <w:iCs/>
      <w:color w:val="404040" w:themeColor="text1" w:themeTint="BF"/>
    </w:rPr>
  </w:style>
  <w:style w:type="character" w:customStyle="1" w:styleId="QuoteChar">
    <w:name w:val="Quote Char"/>
    <w:basedOn w:val="DefaultParagraphFont"/>
    <w:link w:val="Quote"/>
    <w:uiPriority w:val="29"/>
    <w:rsid w:val="00AD53BD"/>
    <w:rPr>
      <w:i/>
      <w:iCs/>
      <w:color w:val="404040" w:themeColor="text1" w:themeTint="BF"/>
    </w:rPr>
  </w:style>
  <w:style w:type="paragraph" w:styleId="ListParagraph">
    <w:name w:val="List Paragraph"/>
    <w:basedOn w:val="Normal"/>
    <w:uiPriority w:val="34"/>
    <w:qFormat/>
    <w:rsid w:val="00AD53BD"/>
    <w:pPr>
      <w:ind w:left="720"/>
      <w:contextualSpacing/>
    </w:pPr>
  </w:style>
  <w:style w:type="character" w:styleId="IntenseEmphasis">
    <w:name w:val="Intense Emphasis"/>
    <w:basedOn w:val="DefaultParagraphFont"/>
    <w:uiPriority w:val="21"/>
    <w:qFormat/>
    <w:rsid w:val="00AD53BD"/>
    <w:rPr>
      <w:i/>
      <w:iCs/>
      <w:color w:val="0F4761" w:themeColor="accent1" w:themeShade="BF"/>
    </w:rPr>
  </w:style>
  <w:style w:type="paragraph" w:styleId="IntenseQuote">
    <w:name w:val="Intense Quote"/>
    <w:basedOn w:val="Normal"/>
    <w:next w:val="Normal"/>
    <w:link w:val="IntenseQuoteChar"/>
    <w:uiPriority w:val="30"/>
    <w:qFormat/>
    <w:rsid w:val="00AD53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3BD"/>
    <w:rPr>
      <w:i/>
      <w:iCs/>
      <w:color w:val="0F4761" w:themeColor="accent1" w:themeShade="BF"/>
    </w:rPr>
  </w:style>
  <w:style w:type="character" w:styleId="IntenseReference">
    <w:name w:val="Intense Reference"/>
    <w:basedOn w:val="DefaultParagraphFont"/>
    <w:uiPriority w:val="32"/>
    <w:qFormat/>
    <w:rsid w:val="00AD53BD"/>
    <w:rPr>
      <w:b/>
      <w:bCs/>
      <w:smallCaps/>
      <w:color w:val="0F4761" w:themeColor="accent1" w:themeShade="BF"/>
      <w:spacing w:val="5"/>
    </w:rPr>
  </w:style>
  <w:style w:type="table" w:styleId="TableGrid">
    <w:name w:val="Table Grid"/>
    <w:basedOn w:val="TableNormal"/>
    <w:uiPriority w:val="39"/>
    <w:rsid w:val="0090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2E11"/>
    <w:rPr>
      <w:color w:val="467886" w:themeColor="hyperlink"/>
      <w:u w:val="single"/>
    </w:rPr>
  </w:style>
  <w:style w:type="character" w:styleId="UnresolvedMention">
    <w:name w:val="Unresolved Mention"/>
    <w:basedOn w:val="DefaultParagraphFont"/>
    <w:uiPriority w:val="99"/>
    <w:semiHidden/>
    <w:unhideWhenUsed/>
    <w:rsid w:val="00EC58AB"/>
    <w:rPr>
      <w:color w:val="605E5C"/>
      <w:shd w:val="clear" w:color="auto" w:fill="E1DFDD"/>
    </w:rPr>
  </w:style>
  <w:style w:type="paragraph" w:styleId="Header">
    <w:name w:val="header"/>
    <w:basedOn w:val="Normal"/>
    <w:link w:val="HeaderChar"/>
    <w:uiPriority w:val="99"/>
    <w:unhideWhenUsed/>
    <w:rsid w:val="00A16F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6FCC"/>
  </w:style>
  <w:style w:type="paragraph" w:styleId="Footer">
    <w:name w:val="footer"/>
    <w:basedOn w:val="Normal"/>
    <w:link w:val="FooterChar"/>
    <w:uiPriority w:val="99"/>
    <w:unhideWhenUsed/>
    <w:rsid w:val="00A16F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6FCC"/>
  </w:style>
  <w:style w:type="paragraph" w:styleId="TOCHeading">
    <w:name w:val="TOC Heading"/>
    <w:basedOn w:val="Heading1"/>
    <w:next w:val="Normal"/>
    <w:uiPriority w:val="39"/>
    <w:unhideWhenUsed/>
    <w:qFormat/>
    <w:rsid w:val="00AA24A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A24A9"/>
    <w:pPr>
      <w:spacing w:after="100"/>
    </w:pPr>
  </w:style>
  <w:style w:type="paragraph" w:styleId="TOC2">
    <w:name w:val="toc 2"/>
    <w:basedOn w:val="Normal"/>
    <w:next w:val="Normal"/>
    <w:autoRedefine/>
    <w:uiPriority w:val="39"/>
    <w:unhideWhenUsed/>
    <w:rsid w:val="00AA24A9"/>
    <w:pPr>
      <w:spacing w:after="100"/>
      <w:ind w:left="240"/>
    </w:pPr>
  </w:style>
  <w:style w:type="paragraph" w:styleId="TOC3">
    <w:name w:val="toc 3"/>
    <w:basedOn w:val="Normal"/>
    <w:next w:val="Normal"/>
    <w:autoRedefine/>
    <w:uiPriority w:val="39"/>
    <w:unhideWhenUsed/>
    <w:rsid w:val="00AA24A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abs/10.1111/joms.12684" TargetMode="External"/><Relationship Id="rId18" Type="http://schemas.openxmlformats.org/officeDocument/2006/relationships/hyperlink" Target="https://onlinelibrary.wiley.com/doi/10.1002/csr.70722" TargetMode="External"/><Relationship Id="rId26" Type="http://schemas.openxmlformats.org/officeDocument/2006/relationships/hyperlink" Target="https://www.researchgate.net/publication/316542747_Comparing_UK_food_retailers_corporate_social_responsibility_strategies" TargetMode="External"/><Relationship Id="rId39" Type="http://schemas.openxmlformats.org/officeDocument/2006/relationships/hyperlink" Target="https://onlinelibrary.wiley.com/doi/full/10.1002/bse.70370" TargetMode="External"/><Relationship Id="rId21" Type="http://schemas.openxmlformats.org/officeDocument/2006/relationships/hyperlink" Target="https://link.springer.com/article/10.1007/s10551-024-05778-w" TargetMode="External"/><Relationship Id="rId34" Type="http://schemas.openxmlformats.org/officeDocument/2006/relationships/hyperlink" Target="https://link.springer.com/article/10.1007/s10551-021-04878-1" TargetMode="External"/><Relationship Id="rId42" Type="http://schemas.openxmlformats.org/officeDocument/2006/relationships/hyperlink" Target="https://journals.sagepub.com/doi/10.1177/21582440251381772" TargetMode="External"/><Relationship Id="rId47" Type="http://schemas.openxmlformats.org/officeDocument/2006/relationships/hyperlink" Target="https://link.springer.com/article/10.1007/s43615-023-00290-1" TargetMode="External"/><Relationship Id="rId50" Type="http://schemas.openxmlformats.org/officeDocument/2006/relationships/hyperlink" Target="https://www.sciencedirect.com/science/article/pii/S2666784324000391" TargetMode="External"/><Relationship Id="rId55" Type="http://schemas.openxmlformats.org/officeDocument/2006/relationships/hyperlink" Target="https://academic.oup.com/fqs/article/4/4/167/589649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veurope.springeropen.com/articles/10.1186/s12302-020-0300-3" TargetMode="External"/><Relationship Id="rId29" Type="http://schemas.openxmlformats.org/officeDocument/2006/relationships/hyperlink" Target="https://www.ncbi.nlm.nih.gov/pmc/articles/PMC12750461/" TargetMode="External"/><Relationship Id="rId11" Type="http://schemas.openxmlformats.org/officeDocument/2006/relationships/hyperlink" Target="https://www.academia.edu/116768735/CORPORATE_SOCIAL_RESPONSIBILITY_AND_STAKEHOLDER_THEORY_AN_INTEGRATED_REVIEW" TargetMode="External"/><Relationship Id="rId24" Type="http://schemas.openxmlformats.org/officeDocument/2006/relationships/hyperlink" Target="https://www.emerald.com/insight/content/doi/10.1108/00070700510602192/full/html" TargetMode="External"/><Relationship Id="rId32" Type="http://schemas.openxmlformats.org/officeDocument/2006/relationships/hyperlink" Target="https://www.tandfonline.com/doi/full/10.1080/09638180.2025.2485478?af=R" TargetMode="External"/><Relationship Id="rId37" Type="http://schemas.openxmlformats.org/officeDocument/2006/relationships/hyperlink" Target="https://www.sciencedirect.com/science/article/abs/pii/S1544612324003404" TargetMode="External"/><Relationship Id="rId40" Type="http://schemas.openxmlformats.org/officeDocument/2006/relationships/hyperlink" Target="https://www.frontiersin.org/journals/environmental-science/articles/10.3389/fenvs.2024.1483237/full" TargetMode="External"/><Relationship Id="rId45" Type="http://schemas.openxmlformats.org/officeDocument/2006/relationships/hyperlink" Target="https://onlinelibrary.wiley.com/doi/10.1002/csr.70279" TargetMode="External"/><Relationship Id="rId53" Type="http://schemas.openxmlformats.org/officeDocument/2006/relationships/hyperlink" Target="https://www.frontiersin.org/journals/public-health/articles/10.3389/fpubh.2026.1837261/abstract" TargetMode="External"/><Relationship Id="rId58" Type="http://schemas.openxmlformats.org/officeDocument/2006/relationships/hyperlink" Target="https://doi.org/10.1111/j.1530-9134.2010.00282.x?utm_source=chatgpt.co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link.springer.com/article/10.1007/s11846-025-00856-3" TargetMode="External"/><Relationship Id="rId14" Type="http://schemas.openxmlformats.org/officeDocument/2006/relationships/hyperlink" Target="https://www.researchgate.net/publication/345050809_Corporate_Social_Responsibility_and_Stakeholder_Theory_Learning_From_Each_Other" TargetMode="External"/><Relationship Id="rId22" Type="http://schemas.openxmlformats.org/officeDocument/2006/relationships/hyperlink" Target="https://jcsr.springeropen.com/articles/10.1186/s40991-019-0044-9" TargetMode="External"/><Relationship Id="rId27" Type="http://schemas.openxmlformats.org/officeDocument/2006/relationships/hyperlink" Target="https://www.researchgate.net/publication/240260680_Moving_towards_sustainable_food_retailing" TargetMode="External"/><Relationship Id="rId30" Type="http://schemas.openxmlformats.org/officeDocument/2006/relationships/hyperlink" Target="https://www.researchgate.net/publication/236110469_Corporate_Social_Responsibility_A_Case_Study_of_the_UK's_Leading_Food_Retailers" TargetMode="External"/><Relationship Id="rId35" Type="http://schemas.openxmlformats.org/officeDocument/2006/relationships/hyperlink" Target="https://www.emerald.com/jaoc/article/21/7/1/1267361/Climate-change-and-Task-Force-on-Climate-related" TargetMode="External"/><Relationship Id="rId43" Type="http://schemas.openxmlformats.org/officeDocument/2006/relationships/hyperlink" Target="https://link.springer.com/article/10.1007/s43621-025-01353-z" TargetMode="External"/><Relationship Id="rId48" Type="http://schemas.openxmlformats.org/officeDocument/2006/relationships/hyperlink" Target="https://www.frontiersin.org/journals/sustainable-food-systems/articles/10.3389/fsufs.2025.1563904/full" TargetMode="External"/><Relationship Id="rId56" Type="http://schemas.openxmlformats.org/officeDocument/2006/relationships/hyperlink" Target="https://pmc.ncbi.nlm.nih.gov/articles/PMC8771080/" TargetMode="External"/><Relationship Id="rId8" Type="http://schemas.openxmlformats.org/officeDocument/2006/relationships/image" Target="media/image1.jpeg"/><Relationship Id="rId51" Type="http://schemas.openxmlformats.org/officeDocument/2006/relationships/hyperlink" Target="https://www.sciencedirect.com/science/article/pii/S2514664525000426" TargetMode="External"/><Relationship Id="rId3" Type="http://schemas.openxmlformats.org/officeDocument/2006/relationships/styles" Target="styles.xml"/><Relationship Id="rId12" Type="http://schemas.openxmlformats.org/officeDocument/2006/relationships/hyperlink" Target="https://jcsr.springeropen.com/articles/10.1186/s40991-024-00094-y" TargetMode="External"/><Relationship Id="rId17" Type="http://schemas.openxmlformats.org/officeDocument/2006/relationships/hyperlink" Target="https://onlinelibrary.wiley.com/doi/full/10.1111/eufm.12509" TargetMode="External"/><Relationship Id="rId25" Type="http://schemas.openxmlformats.org/officeDocument/2006/relationships/hyperlink" Target="https://centaur.reading.ac.uk/36981/1/NMK-NK%20-%20CSR%20paper%20SRJ%202014%200069.pdf" TargetMode="External"/><Relationship Id="rId33" Type="http://schemas.openxmlformats.org/officeDocument/2006/relationships/hyperlink" Target="https://www.sciencedirect.com/science/article/pii/S0959652621020904" TargetMode="External"/><Relationship Id="rId38" Type="http://schemas.openxmlformats.org/officeDocument/2006/relationships/hyperlink" Target="https://journals.plos.org/plosone/article?id=10.1371%2Fjournal.pone.0288052" TargetMode="External"/><Relationship Id="rId46" Type="http://schemas.openxmlformats.org/officeDocument/2006/relationships/hyperlink" Target="https://pmc.ncbi.nlm.nih.gov/articles/PMC6288173/" TargetMode="External"/><Relationship Id="rId59" Type="http://schemas.openxmlformats.org/officeDocument/2006/relationships/hyperlink" Target="https://doi.org/10.1287/orsc.2015.1039" TargetMode="External"/><Relationship Id="rId20" Type="http://schemas.openxmlformats.org/officeDocument/2006/relationships/hyperlink" Target="https://www.sciencedirect.com/science/article/pii/S0301479724033851" TargetMode="External"/><Relationship Id="rId41" Type="http://schemas.openxmlformats.org/officeDocument/2006/relationships/hyperlink" Target="https://www.sciencedirect.com/science/article/pii/S1059056025003648" TargetMode="External"/><Relationship Id="rId54" Type="http://schemas.openxmlformats.org/officeDocument/2006/relationships/hyperlink" Target="https://onlinelibrary.wiley.com/doi/10.1111/jbl.12361"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ciencedirect.com/science/article/abs/pii/S0956522121000543" TargetMode="External"/><Relationship Id="rId23" Type="http://schemas.openxmlformats.org/officeDocument/2006/relationships/hyperlink" Target="https://link.springer.com/article/10.1007/s41060-024-00641-7" TargetMode="External"/><Relationship Id="rId28" Type="http://schemas.openxmlformats.org/officeDocument/2006/relationships/hyperlink" Target="https://www.researchgate.net/publication/236152089_Corporate_Social_Responsibility_and_UK_Retailers" TargetMode="External"/><Relationship Id="rId36" Type="http://schemas.openxmlformats.org/officeDocument/2006/relationships/hyperlink" Target="https://www.tandfonline.com/doi/full/10.1080/23311975.2025.2579663" TargetMode="External"/><Relationship Id="rId49" Type="http://schemas.openxmlformats.org/officeDocument/2006/relationships/hyperlink" Target="https://www.mdpi.com/2071-1050/15/15/11703" TargetMode="External"/><Relationship Id="rId57" Type="http://schemas.openxmlformats.org/officeDocument/2006/relationships/image" Target="media/image2.jpg"/><Relationship Id="rId10" Type="http://schemas.openxmlformats.org/officeDocument/2006/relationships/hyperlink" Target="https://www.sciencedirect.com/science/article/pii/S1019683815000591" TargetMode="External"/><Relationship Id="rId31" Type="http://schemas.openxmlformats.org/officeDocument/2006/relationships/hyperlink" Target="https://www.tandfonline.com/doi/full/10.1080/13675567.2022.2118696" TargetMode="External"/><Relationship Id="rId44" Type="http://schemas.openxmlformats.org/officeDocument/2006/relationships/hyperlink" Target="https://link.springer.com/article/10.1007/s11846-025-00879-w" TargetMode="External"/><Relationship Id="rId52" Type="http://schemas.openxmlformats.org/officeDocument/2006/relationships/hyperlink" Target="https://ajph.aphapublications.org/doi/10.2105/AJPH.2026.308501"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nk.springer.com/article/10.1007/s10551-011-081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9E8A9-9BE3-489A-AABE-6E614669B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1803</TotalTime>
  <Pages>90</Pages>
  <Words>24208</Words>
  <Characters>137987</Characters>
  <Application>Microsoft Office Word</Application>
  <DocSecurity>0</DocSecurity>
  <Lines>1149</Lines>
  <Paragraphs>323</Paragraphs>
  <ScaleCrop>false</ScaleCrop>
  <Company/>
  <LinksUpToDate>false</LinksUpToDate>
  <CharactersWithSpaces>161872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Tarikul Islam Tarek (2435183)</cp:lastModifiedBy>
  <cp:revision>139</cp:revision>
  <dcterms:created xsi:type="dcterms:W3CDTF">2026-08-14T20:02:00Z</dcterms:created>
  <dcterms:modified xsi:type="dcterms:W3CDTF">2026-08-27T09:58:00Z</dcterms:modified>
</cp:coreProperties>
</file>