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COMMUNITY ENGAGEMENT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LCBB4002</w:t>
      </w: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b/>
          <w:i/>
          <w:color w:val="auto"/>
          <w:spacing w:val="0"/>
          <w:position w:val="0"/>
          <w:sz w:val="24"/>
          <w:u w:val="single"/>
          <w:shd w:fill="auto" w:val="clear"/>
        </w:rPr>
        <w:t xml:space="preserve">Student Name:Hristo Tsvetanov Hristozov  </w:t>
      </w: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Student ID:2030334 </w:t>
      </w:r>
    </w:p>
    <w:p>
      <w:pPr>
        <w:spacing w:before="0" w:after="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i/>
          <w:color w:val="auto"/>
          <w:spacing w:val="0"/>
          <w:position w:val="0"/>
          <w:sz w:val="24"/>
          <w:u w:val="single"/>
          <w:shd w:fill="auto" w:val="clear"/>
        </w:rPr>
        <w:t xml:space="preserve">Assessment 1</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Light" w:hAnsi="Calibri Light" w:cs="Calibri Light" w:eastAsia="Calibri Light"/>
          <w:color w:val="2F5496"/>
          <w:spacing w:val="0"/>
          <w:position w:val="0"/>
          <w:sz w:val="3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INTRODUCTION</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history that professionals are the only concerned people who acted to promote health in the targeted population of the locality. It has been only few years, that community engagement has become central to the strategic implementation of public health. Community engagement broadly includes involving the specific community in the decision-making process is also the planning and delivery of the services. In this report, we are going to discuss community engagement in healthcare in the UK and the necessary initiative and steps that shall be taken to implement the same. Community engagement also involves the evaluation of services (</w:t>
      </w:r>
      <w:r>
        <w:rPr>
          <w:rFonts w:ascii="Times New Roman" w:hAnsi="Times New Roman" w:cs="Times New Roman" w:eastAsia="Times New Roman"/>
          <w:color w:val="222222"/>
          <w:spacing w:val="0"/>
          <w:position w:val="0"/>
          <w:sz w:val="24"/>
          <w:shd w:fill="FFFFFF" w:val="clear"/>
        </w:rPr>
        <w:t xml:space="preserve">Brunton et al.,2015)</w:t>
      </w:r>
      <w:r>
        <w:rPr>
          <w:rFonts w:ascii="Times New Roman" w:hAnsi="Times New Roman" w:cs="Times New Roman" w:eastAsia="Times New Roman"/>
          <w:color w:val="auto"/>
          <w:spacing w:val="0"/>
          <w:position w:val="0"/>
          <w:sz w:val="24"/>
          <w:shd w:fill="auto" w:val="clear"/>
        </w:rPr>
        <w:t xml:space="preserve">. Community engagement can be done alone or combined with other services and initiatives. However, it is worthy of mention here that when we engaged in community engagement with the sole purpose of intervention then the effectiveness of the same in the outcomes is direct and comprehensible. On the other hand, when the nature of the community engagement becomes multifaceted then there is no direct link between the population outcome and the intervention method. We shall describe the project we are planning to undertake in this report and discuss in length the community engagement principles and standards. Since it's a community engagement report we will improvise on the importance of stakeholder participation and how an effective strategy can be implemented that will involve the broadcast on social media platforms to facilitate the community participation.</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LEVELS OF COMMUNITY ENGAGEMENT</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operates on various levels and the efficacy depends on the degree of the engagement of the community. Wilcox has defined five levels of community engagement which are as follows:</w:t>
      </w:r>
    </w:p>
    <w:p>
      <w:pPr>
        <w:numPr>
          <w:ilvl w:val="0"/>
          <w:numId w:val="8"/>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Information giving is the level where people are informed about what is the plan</w:t>
      </w:r>
    </w:p>
    <w:p>
      <w:pPr>
        <w:numPr>
          <w:ilvl w:val="0"/>
          <w:numId w:val="8"/>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Consultation is the next level where the people are offered the options and various ideas relating to the community engagement and the planets organize a feedback session as well. However, at this level, new recommendations are not accepted(</w:t>
      </w:r>
      <w:r>
        <w:rPr>
          <w:rFonts w:ascii="Times New Roman" w:hAnsi="Times New Roman" w:cs="Times New Roman" w:eastAsia="Times New Roman"/>
          <w:color w:val="222222"/>
          <w:spacing w:val="0"/>
          <w:position w:val="0"/>
          <w:sz w:val="24"/>
          <w:shd w:fill="FFFFFF" w:val="clear"/>
        </w:rPr>
        <w:t xml:space="preserve">Brunton et al.,2015)</w:t>
      </w:r>
      <w:r>
        <w:rPr>
          <w:rFonts w:ascii="Times New Roman" w:hAnsi="Times New Roman" w:cs="Times New Roman" w:eastAsia="Times New Roman"/>
          <w:color w:val="auto"/>
          <w:spacing w:val="0"/>
          <w:position w:val="0"/>
          <w:sz w:val="24"/>
          <w:shd w:fill="auto" w:val="clear"/>
        </w:rPr>
        <w:t xml:space="preserve">.</w:t>
      </w:r>
    </w:p>
    <w:p>
      <w:pPr>
        <w:numPr>
          <w:ilvl w:val="0"/>
          <w:numId w:val="8"/>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third level is where joint decision-making is encouraged and organizers encourage recommendations and additional ideas (</w:t>
      </w:r>
      <w:r>
        <w:rPr>
          <w:rFonts w:ascii="Times New Roman" w:hAnsi="Times New Roman" w:cs="Times New Roman" w:eastAsia="Times New Roman"/>
          <w:color w:val="222222"/>
          <w:spacing w:val="0"/>
          <w:position w:val="0"/>
          <w:sz w:val="24"/>
          <w:shd w:fill="FFFFFF" w:val="clear"/>
        </w:rPr>
        <w:t xml:space="preserve">Aslin &amp; Brown,2004)</w:t>
      </w:r>
      <w:r>
        <w:rPr>
          <w:rFonts w:ascii="Times New Roman" w:hAnsi="Times New Roman" w:cs="Times New Roman" w:eastAsia="Times New Roman"/>
          <w:color w:val="auto"/>
          <w:spacing w:val="0"/>
          <w:position w:val="0"/>
          <w:sz w:val="24"/>
          <w:shd w:fill="auto" w:val="clear"/>
        </w:rPr>
        <w:t xml:space="preserve">.</w:t>
      </w:r>
    </w:p>
    <w:p>
      <w:pPr>
        <w:numPr>
          <w:ilvl w:val="0"/>
          <w:numId w:val="8"/>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fourth level is acting together where the organizers and public not only decide what is in the best interest but also forms an apartment ship to implement the same</w:t>
      </w:r>
    </w:p>
    <w:p>
      <w:pPr>
        <w:numPr>
          <w:ilvl w:val="0"/>
          <w:numId w:val="8"/>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final level is supporting the community interests independently in which the local authorities are offered monetary help, suggestions, and any other form of support to develop a specific agenda and guidelines.</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THEORETICAL MODELS</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shall discuss the models of engagement that combines the aspect of the purpose of community engagement the theory and the method by which the interventions occur in practice:</w:t>
      </w:r>
    </w:p>
    <w:p>
      <w:pPr>
        <w:numPr>
          <w:ilvl w:val="0"/>
          <w:numId w:val="12"/>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Involvement of patient in the development: This model involves active engagement with the community and the members of the communities and device strategies for the development of services which includes consultation with the community members or collaboration with them about the design of the intervention. Such models work with the underlying assumption that the intervention will be more effective if we involve and incorporate the stakeholder’s views.</w:t>
      </w:r>
    </w:p>
    <w:p>
      <w:pPr>
        <w:spacing w:before="0" w:after="160" w:line="259"/>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14"/>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Interventions delivered by peers: This model involves communities that are engaged in services also the individuals within the community to deliver the interventions. This model works by relying on the credibility and expertise of the community member who is estimated to bring a great change to the intervention delivery process.</w:t>
      </w:r>
    </w:p>
    <w:p>
      <w:pPr>
        <w:spacing w:before="0" w:after="160" w:line="259"/>
        <w:ind w:right="0" w:left="72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16"/>
        </w:numPr>
        <w:spacing w:before="0" w:after="160" w:line="259"/>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empowerment: This model requires that the community identify is the health needs and take some action. The underlying belief in this model is that when people are actively involved in a community development program then it ensures empowerment which helps to enhance the mutual support and the collective action taken by the individuals to mobilize the resources helps to make a change within the community.</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CONCEPTUAL FRAMEWORK</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will develop a conceptual framework for the public health interventions required in the community engagement to address the inequalities in health which can be based on the integration of the conclusions and findings reached from the previous outcome evaluations and literature. It is mostly seen that community engagement and the health interventions often overlap each other practically because several aspects of community engagement are also used in the health intervention process (</w:t>
      </w:r>
      <w:r>
        <w:rPr>
          <w:rFonts w:ascii="Times New Roman" w:hAnsi="Times New Roman" w:cs="Times New Roman" w:eastAsia="Times New Roman"/>
          <w:color w:val="222222"/>
          <w:spacing w:val="0"/>
          <w:position w:val="0"/>
          <w:sz w:val="24"/>
          <w:shd w:fill="FFFFFF" w:val="clear"/>
        </w:rPr>
        <w:t xml:space="preserve">Brunton et al.,2021)</w:t>
      </w:r>
      <w:r>
        <w:rPr>
          <w:rFonts w:ascii="Times New Roman" w:hAnsi="Times New Roman" w:cs="Times New Roman" w:eastAsia="Times New Roman"/>
          <w:color w:val="auto"/>
          <w:spacing w:val="0"/>
          <w:position w:val="0"/>
          <w:sz w:val="24"/>
          <w:shd w:fill="auto" w:val="clear"/>
        </w:rPr>
        <w:t xml:space="preserve">. These frameworks would include the motivation of stakeholders, the activity of community engagement, the conditions and impact of the interventions. The new conceptual framework would identify a wide range of engagement interventions that may differ from each other and will provide us with a framework that will be easy for us to understand how different community engagement interventions may function.</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CHALLENGES OF HEALTH INEQUITY IN THE UK</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health quality differs from person to person which is a result of biological, environmental, and economical factors. The factors which are related to the economic and social circumstances of an individual are called the social determinants of health. The social determinants are dependent on factors like acids education employment security housing and family pressure. These disadvantages affect the health of the individual. The longer an individual lives under stressful financial and social pressure the greater the chance of physiological exhaustion and they are less likely to enjoy a long and healthy life (</w:t>
      </w:r>
      <w:r>
        <w:rPr>
          <w:rFonts w:ascii="Times New Roman" w:hAnsi="Times New Roman" w:cs="Times New Roman" w:eastAsia="Times New Roman"/>
          <w:color w:val="222222"/>
          <w:spacing w:val="0"/>
          <w:position w:val="0"/>
          <w:sz w:val="24"/>
          <w:shd w:fill="FFFFFF" w:val="clear"/>
        </w:rPr>
        <w:t xml:space="preserve">Tembo et al.,2021)</w:t>
      </w:r>
      <w:r>
        <w:rPr>
          <w:rFonts w:ascii="Times New Roman" w:hAnsi="Times New Roman" w:cs="Times New Roman" w:eastAsia="Times New Roman"/>
          <w:color w:val="auto"/>
          <w:spacing w:val="0"/>
          <w:position w:val="0"/>
          <w:sz w:val="24"/>
          <w:shd w:fill="auto" w:val="clear"/>
        </w:rPr>
        <w:t xml:space="preserve">. Health inequalities refer to the gaps which are present in the health quality of different sects of people. These inequalities are mostly evident where we see a specific group of people having polar health than the richer members of society. It is important to mention that health inequality is not identified by health determinants but rather by determinants that are indirectly related to health such as personal behavior employment education income. Most of the determinants are modifiable and if their modifiable then something can be done to improve them. When we examine health inequality, we consider health outcomes like life expectancy mortality rates. In the UK as per the statistics between the local authorities, it has been found that the life expectancy of a male who belongs to a lower stratum is 6.8 years shorter than that of a male who belongs to higher strata of the economy (</w:t>
      </w:r>
      <w:r>
        <w:rPr>
          <w:rFonts w:ascii="Times New Roman" w:hAnsi="Times New Roman" w:cs="Times New Roman" w:eastAsia="Times New Roman"/>
          <w:color w:val="222222"/>
          <w:spacing w:val="0"/>
          <w:position w:val="0"/>
          <w:sz w:val="24"/>
          <w:shd w:fill="FFFFFF" w:val="clear"/>
        </w:rPr>
        <w:t xml:space="preserve">Brunton et al.,2021)</w:t>
      </w:r>
      <w:r>
        <w:rPr>
          <w:rFonts w:ascii="Times New Roman" w:hAnsi="Times New Roman" w:cs="Times New Roman" w:eastAsia="Times New Roman"/>
          <w:color w:val="auto"/>
          <w:spacing w:val="0"/>
          <w:position w:val="0"/>
          <w:sz w:val="24"/>
          <w:shd w:fill="auto" w:val="clear"/>
        </w:rPr>
        <w:t xml:space="preserve">. It is an undisputed fact that health inequalities exist in the UK and as a result, it has been a topic of discussion and increased focus can be seen on policies interest. In 2004 while framing the National Service Framework, health inequality was one of the aims (</w:t>
      </w:r>
      <w:r>
        <w:rPr>
          <w:rFonts w:ascii="Times New Roman" w:hAnsi="Times New Roman" w:cs="Times New Roman" w:eastAsia="Times New Roman"/>
          <w:color w:val="222222"/>
          <w:spacing w:val="0"/>
          <w:position w:val="0"/>
          <w:sz w:val="24"/>
          <w:shd w:fill="FFFFFF" w:val="clear"/>
        </w:rPr>
        <w:t xml:space="preserve">Ramachandra &amp; Mansor,2014)</w:t>
      </w:r>
      <w:r>
        <w:rPr>
          <w:rFonts w:ascii="Times New Roman" w:hAnsi="Times New Roman" w:cs="Times New Roman" w:eastAsia="Times New Roman"/>
          <w:color w:val="auto"/>
          <w:spacing w:val="0"/>
          <w:position w:val="0"/>
          <w:sz w:val="24"/>
          <w:shd w:fill="auto" w:val="clear"/>
        </w:rPr>
        <w:t xml:space="preserve">. 'Narrowing the gap' is the term which is often used for reducing health inequality. The gap signifies that tha person’s health would be worse if his social position is not good. It talks about the social gradient of a person and it also involves examining the social gradient of a person over time. This leads us to the fact that to reduce the gap we need to improve the condition of the disadvantaged section and also focus on improving the overall health of the population.</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STAKEHOLDER PARTICIPATION</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research priority is the objective of reducing social isolation and improving community engagement. By engaging the community in the initiative, we will reduce the social inequalities which would affect health outcomes (</w:t>
      </w:r>
      <w:r>
        <w:rPr>
          <w:rFonts w:ascii="Times New Roman" w:hAnsi="Times New Roman" w:cs="Times New Roman" w:eastAsia="Times New Roman"/>
          <w:color w:val="222222"/>
          <w:spacing w:val="0"/>
          <w:position w:val="0"/>
          <w:sz w:val="24"/>
          <w:shd w:fill="FFFFFF" w:val="clear"/>
        </w:rPr>
        <w:t xml:space="preserve">Joosten et al.,2015)</w:t>
      </w:r>
      <w:r>
        <w:rPr>
          <w:rFonts w:ascii="Times New Roman" w:hAnsi="Times New Roman" w:cs="Times New Roman" w:eastAsia="Times New Roman"/>
          <w:color w:val="auto"/>
          <w:spacing w:val="0"/>
          <w:position w:val="0"/>
          <w:sz w:val="24"/>
          <w:shd w:fill="auto" w:val="clear"/>
        </w:rPr>
        <w:t xml:space="preserve">. Community engagement and participation in the same is an important strategy to reduce the inequality in health and yet it is not easy to find evidence to support this theory. However, the literature review of the WHO suggests that participation has been directly linked to positive outcomes in other facets of the social issues (</w:t>
      </w:r>
      <w:r>
        <w:rPr>
          <w:rFonts w:ascii="Times New Roman" w:hAnsi="Times New Roman" w:cs="Times New Roman" w:eastAsia="Times New Roman"/>
          <w:color w:val="222222"/>
          <w:spacing w:val="0"/>
          <w:position w:val="0"/>
          <w:sz w:val="24"/>
          <w:shd w:fill="FFFFFF" w:val="clear"/>
        </w:rPr>
        <w:t xml:space="preserve">Ramachandra &amp; Mansor,2014)</w:t>
      </w:r>
      <w:r>
        <w:rPr>
          <w:rFonts w:ascii="Times New Roman" w:hAnsi="Times New Roman" w:cs="Times New Roman" w:eastAsia="Times New Roman"/>
          <w:color w:val="auto"/>
          <w:spacing w:val="0"/>
          <w:position w:val="0"/>
          <w:sz w:val="24"/>
          <w:shd w:fill="auto" w:val="clear"/>
        </w:rPr>
        <w:t xml:space="preserve">. No evidence has been found for the effect of community engagement on health outcomes but it is suggested to try this method out to figure it out. Every successful intervention process to improve public health involves a systematic and intensive approach to deliver effective healthcare practices. With the engagement of the community, we can witness an improvement in the access and it can prompt everyone to encourage the use of services. The community engagement with all these stakeholders ensures that the interventions are addressing the particular needs of the targeted population and there is no better judge than the targeted population themselves. It seems that the practice of community engagement along with stakeholder involvement is more likely to have a positive effect on the social inequality which in turn can have an effect on the public health and reduce the health inequalities.</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IMPORTANCE OF SOCIAL MEDIA</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media is one of the most underrated channels of communication when it comes to community engagement. We have already established the fact that the involvement of stakeholders is important if we want to ensure an effective community engagement in reducing health inequalities and improving public health. However, as per research most of the stakeholder participation has been done through the traditional method by the local authorities which involve the distribution of pamphlets, TV ads, and announcements on the radio stations (</w:t>
      </w:r>
      <w:r>
        <w:rPr>
          <w:rFonts w:ascii="Times New Roman" w:hAnsi="Times New Roman" w:cs="Times New Roman" w:eastAsia="Times New Roman"/>
          <w:color w:val="222222"/>
          <w:spacing w:val="0"/>
          <w:position w:val="0"/>
          <w:sz w:val="24"/>
          <w:shd w:fill="FFFFFF" w:val="clear"/>
        </w:rPr>
        <w:t xml:space="preserve">Steinmetz et al.,2021)</w:t>
      </w:r>
      <w:r>
        <w:rPr>
          <w:rFonts w:ascii="Times New Roman" w:hAnsi="Times New Roman" w:cs="Times New Roman" w:eastAsia="Times New Roman"/>
          <w:color w:val="auto"/>
          <w:spacing w:val="0"/>
          <w:position w:val="0"/>
          <w:sz w:val="24"/>
          <w:shd w:fill="auto" w:val="clear"/>
        </w:rPr>
        <w:t xml:space="preserve">. However, this new generation is more acceptive of social media, and hence to witness a major change in the public health outcomes we need to take the help of social media and incorporate are interventions in such a way that public engagement increases even more (</w:t>
      </w:r>
      <w:r>
        <w:rPr>
          <w:rFonts w:ascii="Times New Roman" w:hAnsi="Times New Roman" w:cs="Times New Roman" w:eastAsia="Times New Roman"/>
          <w:color w:val="222222"/>
          <w:spacing w:val="0"/>
          <w:position w:val="0"/>
          <w:sz w:val="24"/>
          <w:shd w:fill="FFFFFF" w:val="clear"/>
        </w:rPr>
        <w:t xml:space="preserve">Wukich,2021)</w:t>
      </w:r>
      <w:r>
        <w:rPr>
          <w:rFonts w:ascii="Times New Roman" w:hAnsi="Times New Roman" w:cs="Times New Roman" w:eastAsia="Times New Roman"/>
          <w:color w:val="auto"/>
          <w:spacing w:val="0"/>
          <w:position w:val="0"/>
          <w:sz w:val="24"/>
          <w:shd w:fill="auto" w:val="clear"/>
        </w:rPr>
        <w:t xml:space="preserve">. The perfect strategy for this social media engagement would be to create a Facebook page in the name of the local authority that is conducting the community engagement program and be consistent with the approaches in interventions they are adopting. Examples of successful outcomes should be posted regularly which will foster self-confidence among the public and would also be approved of the success achieved. A similar dress can also be done in other social media platforms like YouTube, Twitter, and Instagram(</w:t>
      </w:r>
      <w:r>
        <w:rPr>
          <w:rFonts w:ascii="Times New Roman" w:hAnsi="Times New Roman" w:cs="Times New Roman" w:eastAsia="Times New Roman"/>
          <w:color w:val="222222"/>
          <w:spacing w:val="0"/>
          <w:position w:val="0"/>
          <w:sz w:val="24"/>
          <w:shd w:fill="FFFFFF" w:val="clear"/>
        </w:rPr>
        <w:t xml:space="preserve">Loosen</w:t>
      </w:r>
      <w:r>
        <w:rPr>
          <w:rFonts w:ascii="Times New Roman" w:hAnsi="Times New Roman" w:cs="Times New Roman" w:eastAsia="Times New Roman"/>
          <w:color w:val="auto"/>
          <w:spacing w:val="0"/>
          <w:position w:val="0"/>
          <w:sz w:val="24"/>
          <w:shd w:fill="auto" w:val="clear"/>
        </w:rPr>
        <w:t xml:space="preserve">,2019). Elaborate videos on the public health interventions and documentaries can be posted on YouTube which has a wider reach to people all around the world.</w:t>
      </w: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CONCLUSION AND RECOMMENDATIONS</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findings derived in this report have found that the interventions and public health practices have affected the entire community and their engagement approaches. The evidence from all the community engagement interventions has suggested that there is to be a positive impact on the health and social outcomes. With the ongoing social media usage, we also get an overall idea that these interventions also have the potential to be cost-effective if we evaluate the efficiency of the costs of the full range of outcomes over some time. When it comes to understand the process through which the community engagement approach can reduce the health inequalities or improve the condition of the group who are at a disadvantageous position, it appears that there is no particular approach that works best across all kinds of situations and contexts and populations. The literature review of previous research conducted reflex that the pear delivered approach has had an effect on the positive outcome however it did not consider the fact whether those outcomes were consistent or whether the outcomes had a potential benefit on the indirect beneficiaries. We can easily conclude that community engagement in public health is more likely to require an approach that fits for purpose rather than a universal approach (</w:t>
      </w:r>
      <w:r>
        <w:rPr>
          <w:rFonts w:ascii="Times New Roman" w:hAnsi="Times New Roman" w:cs="Times New Roman" w:eastAsia="Times New Roman"/>
          <w:color w:val="222222"/>
          <w:spacing w:val="0"/>
          <w:position w:val="0"/>
          <w:sz w:val="24"/>
          <w:shd w:fill="FFFFFF" w:val="clear"/>
        </w:rPr>
        <w:t xml:space="preserve">Spencer et al.,2021)</w:t>
      </w:r>
      <w:r>
        <w:rPr>
          <w:rFonts w:ascii="Times New Roman" w:hAnsi="Times New Roman" w:cs="Times New Roman" w:eastAsia="Times New Roman"/>
          <w:color w:val="auto"/>
          <w:spacing w:val="0"/>
          <w:position w:val="0"/>
          <w:sz w:val="24"/>
          <w:shd w:fill="auto" w:val="clear"/>
        </w:rPr>
        <w:t xml:space="preserve">. In summary, it can be said that public health interventions abuse to be effective with involvement from the stakeholders with collective approaches and social media engagement. Unfortunately, there is less evidence as to how the intervention should be implemented to maximize the positive outcome for the targeted population.</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recommend that the resources which are to be invested in the evaluation of the intervention should utilize the empowerment model as discussed in our theoretical models. There seems to be a significant gap in the theoretical clams and proper evaluation is required from the researchers to identify the timeline which may be required for outcomes to become apparent. Long-time evaluations and following-ups are essential (</w:t>
      </w:r>
      <w:r>
        <w:rPr>
          <w:rFonts w:ascii="Times New Roman" w:hAnsi="Times New Roman" w:cs="Times New Roman" w:eastAsia="Times New Roman"/>
          <w:color w:val="222222"/>
          <w:spacing w:val="0"/>
          <w:position w:val="0"/>
          <w:sz w:val="24"/>
          <w:shd w:fill="FFFFFF" w:val="clear"/>
        </w:rPr>
        <w:t xml:space="preserve">Spencer et al.,2021)</w:t>
      </w:r>
      <w:r>
        <w:rPr>
          <w:rFonts w:ascii="Times New Roman" w:hAnsi="Times New Roman" w:cs="Times New Roman" w:eastAsia="Times New Roman"/>
          <w:color w:val="auto"/>
          <w:spacing w:val="0"/>
          <w:position w:val="0"/>
          <w:sz w:val="24"/>
          <w:shd w:fill="auto" w:val="clear"/>
        </w:rPr>
        <w:t xml:space="preserve">. There is also very less evidence as to how much the community engagement interventions are sustainable because of fewer economic evaluations and the research must be planned for the same. The funding agencies need to prioritize the funding of the incorporation process and the evaluation of the cost. Instead of following a specific method in the research, A mixed-method research should be followed that would establish the engagement of the participants and would also establish the effectiveness of the intervention methods.</w:t>
      </w: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center"/>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w:t>
      </w:r>
    </w:p>
    <w:p>
      <w:pPr>
        <w:spacing w:before="0" w:after="160" w:line="259"/>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Wilcox D. Community participation and empowerment: putting theory into practice. RRA Notes 1994;21:78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82</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Ramachandra, A., &amp; Mansor, N. N. A. (2014). Sustainability of community engagement</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in the hands of stakeholders?. </w:t>
      </w:r>
      <w:r>
        <w:rPr>
          <w:rFonts w:ascii="Times New Roman" w:hAnsi="Times New Roman" w:cs="Times New Roman" w:eastAsia="Times New Roman"/>
          <w:i/>
          <w:color w:val="222222"/>
          <w:spacing w:val="0"/>
          <w:position w:val="0"/>
          <w:sz w:val="24"/>
          <w:shd w:fill="FFFFFF" w:val="clear"/>
        </w:rPr>
        <w:t xml:space="preserve">Education+ Training</w:t>
      </w:r>
      <w:r>
        <w:rPr>
          <w:rFonts w:ascii="Times New Roman" w:hAnsi="Times New Roman" w:cs="Times New Roman" w:eastAsia="Times New Roman"/>
          <w:color w:val="222222"/>
          <w:spacing w:val="0"/>
          <w:position w:val="0"/>
          <w:sz w:val="24"/>
          <w:shd w:fill="FFFFFF" w:val="clear"/>
        </w:rPr>
        <w:t xml:space="preserve">.</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Joosten, Y. A., Israel, T. L., Williams, N. A., Boone, L. R., Schlundt, D. G., Mouton, C. P., ... &amp; Wilkins, C. H. (2015). Community engagement studios: a structured approach to obtaining meaningful input from stakeholders to inform research. </w:t>
      </w:r>
      <w:r>
        <w:rPr>
          <w:rFonts w:ascii="Times New Roman" w:hAnsi="Times New Roman" w:cs="Times New Roman" w:eastAsia="Times New Roman"/>
          <w:i/>
          <w:color w:val="222222"/>
          <w:spacing w:val="0"/>
          <w:position w:val="0"/>
          <w:sz w:val="24"/>
          <w:shd w:fill="FFFFFF" w:val="clear"/>
        </w:rPr>
        <w:t xml:space="preserve">Academic Medicine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90</w:t>
      </w:r>
      <w:r>
        <w:rPr>
          <w:rFonts w:ascii="Times New Roman" w:hAnsi="Times New Roman" w:cs="Times New Roman" w:eastAsia="Times New Roman"/>
          <w:color w:val="222222"/>
          <w:spacing w:val="0"/>
          <w:position w:val="0"/>
          <w:sz w:val="24"/>
          <w:shd w:fill="FFFFFF" w:val="clear"/>
        </w:rPr>
        <w:t xml:space="preserve">(12), 1646.</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Aslin, H., &amp; Brown, V. (2004). </w:t>
      </w:r>
      <w:r>
        <w:rPr>
          <w:rFonts w:ascii="Times New Roman" w:hAnsi="Times New Roman" w:cs="Times New Roman" w:eastAsia="Times New Roman"/>
          <w:i/>
          <w:color w:val="222222"/>
          <w:spacing w:val="0"/>
          <w:position w:val="0"/>
          <w:sz w:val="24"/>
          <w:shd w:fill="FFFFFF" w:val="clear"/>
        </w:rPr>
        <w:t xml:space="preserve">Towards whole of community engagement: A practical toolkit</w:t>
      </w:r>
      <w:r>
        <w:rPr>
          <w:rFonts w:ascii="Times New Roman" w:hAnsi="Times New Roman" w:cs="Times New Roman" w:eastAsia="Times New Roman"/>
          <w:color w:val="222222"/>
          <w:spacing w:val="0"/>
          <w:position w:val="0"/>
          <w:sz w:val="24"/>
          <w:shd w:fill="FFFFFF" w:val="clear"/>
        </w:rPr>
        <w:t xml:space="preserve">. Murray-Darling Basin Commission.</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Tembo, D., Hickey, G., Montenegro, C., Chandler, D., Nelson, E., Porter, K., ... &amp; Rennard, U. (2021). Effective engagement and involvement with community stakeholders in the co-production of global health research. </w:t>
      </w:r>
      <w:r>
        <w:rPr>
          <w:rFonts w:ascii="Times New Roman" w:hAnsi="Times New Roman" w:cs="Times New Roman" w:eastAsia="Times New Roman"/>
          <w:i/>
          <w:color w:val="222222"/>
          <w:spacing w:val="0"/>
          <w:position w:val="0"/>
          <w:sz w:val="24"/>
          <w:shd w:fill="FFFFFF" w:val="clear"/>
        </w:rPr>
        <w:t xml:space="preserve">BMJ</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372</w:t>
      </w:r>
      <w:r>
        <w:rPr>
          <w:rFonts w:ascii="Times New Roman" w:hAnsi="Times New Roman" w:cs="Times New Roman" w:eastAsia="Times New Roman"/>
          <w:color w:val="222222"/>
          <w:spacing w:val="0"/>
          <w:position w:val="0"/>
          <w:sz w:val="24"/>
          <w:shd w:fill="FFFFFF" w:val="clear"/>
        </w:rPr>
        <w:t xml:space="preserve">.</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Spencer, J., Gilmore, B., Lodenstein, E., &amp; Portela, A. (2021). A mapping and synthesis of tools for stakeholder and community engagement in quality improvement initiatives for reproductive, maternal, newborn, child, and adolescent health. </w:t>
      </w:r>
      <w:r>
        <w:rPr>
          <w:rFonts w:ascii="Times New Roman" w:hAnsi="Times New Roman" w:cs="Times New Roman" w:eastAsia="Times New Roman"/>
          <w:i/>
          <w:color w:val="222222"/>
          <w:spacing w:val="0"/>
          <w:position w:val="0"/>
          <w:sz w:val="24"/>
          <w:shd w:fill="FFFFFF" w:val="clear"/>
        </w:rPr>
        <w:t xml:space="preserve">Health Expectations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(3), 744-756.</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Loosen, W. (2019). Community engagement and social media editors. </w:t>
      </w:r>
      <w:r>
        <w:rPr>
          <w:rFonts w:ascii="Times New Roman" w:hAnsi="Times New Roman" w:cs="Times New Roman" w:eastAsia="Times New Roman"/>
          <w:i/>
          <w:color w:val="222222"/>
          <w:spacing w:val="0"/>
          <w:position w:val="0"/>
          <w:sz w:val="24"/>
          <w:shd w:fill="FFFFFF" w:val="clear"/>
        </w:rPr>
        <w:t xml:space="preserve">The International Encyclopedia of Journalism Studies</w:t>
      </w:r>
      <w:r>
        <w:rPr>
          <w:rFonts w:ascii="Times New Roman" w:hAnsi="Times New Roman" w:cs="Times New Roman" w:eastAsia="Times New Roman"/>
          <w:color w:val="222222"/>
          <w:spacing w:val="0"/>
          <w:position w:val="0"/>
          <w:sz w:val="24"/>
          <w:shd w:fill="FFFFFF" w:val="clear"/>
        </w:rPr>
        <w:t xml:space="preserve">, 1-6.</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Steinmetz, C., Rahmat, H., Marshall, N., Bishop, K., Thompson, S., Park, M., ... &amp; Tietz, C. (2021). Liking, Tweeting, and Posting: An Analysis of Community Engagement through Social Media Platforms. </w:t>
      </w:r>
      <w:r>
        <w:rPr>
          <w:rFonts w:ascii="Times New Roman" w:hAnsi="Times New Roman" w:cs="Times New Roman" w:eastAsia="Times New Roman"/>
          <w:i/>
          <w:color w:val="222222"/>
          <w:spacing w:val="0"/>
          <w:position w:val="0"/>
          <w:sz w:val="24"/>
          <w:shd w:fill="FFFFFF" w:val="clear"/>
        </w:rPr>
        <w:t xml:space="preserve">Urban Policy and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39</w:t>
      </w:r>
      <w:r>
        <w:rPr>
          <w:rFonts w:ascii="Times New Roman" w:hAnsi="Times New Roman" w:cs="Times New Roman" w:eastAsia="Times New Roman"/>
          <w:color w:val="222222"/>
          <w:spacing w:val="0"/>
          <w:position w:val="0"/>
          <w:sz w:val="24"/>
          <w:shd w:fill="FFFFFF" w:val="clear"/>
        </w:rPr>
        <w:t xml:space="preserve">(1), 85-105.</w:t>
      </w:r>
    </w:p>
    <w:p>
      <w:pPr>
        <w:spacing w:before="0" w:after="160" w:line="259"/>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Wukich, C. (2021). Government social media engagement strategies and public roles. </w:t>
      </w:r>
      <w:r>
        <w:rPr>
          <w:rFonts w:ascii="Times New Roman" w:hAnsi="Times New Roman" w:cs="Times New Roman" w:eastAsia="Times New Roman"/>
          <w:i/>
          <w:color w:val="222222"/>
          <w:spacing w:val="0"/>
          <w:position w:val="0"/>
          <w:sz w:val="24"/>
          <w:shd w:fill="FFFFFF" w:val="clear"/>
        </w:rPr>
        <w:t xml:space="preserve">Public Performance &amp;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44</w:t>
      </w:r>
      <w:r>
        <w:rPr>
          <w:rFonts w:ascii="Times New Roman" w:hAnsi="Times New Roman" w:cs="Times New Roman" w:eastAsia="Times New Roman"/>
          <w:color w:val="222222"/>
          <w:spacing w:val="0"/>
          <w:position w:val="0"/>
          <w:sz w:val="24"/>
          <w:shd w:fill="FFFFFF" w:val="clear"/>
        </w:rPr>
        <w:t xml:space="preserve">(1), 187-215.</w:t>
      </w:r>
    </w:p>
    <w:p>
      <w:pPr>
        <w:spacing w:before="0" w:after="160" w:line="259"/>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Brunton, V. J., O'Mara-Eves, A., &amp; Thomas, J. (2015, April). Community engagement to reduce health inequalities in expectant and new mothers and their children: understanding ‘what works. Optimizing Childbirth Across Europe: A Multidisciplinary Maternity Care Conference.</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8">
    <w:abstractNumId w:val="18"/>
  </w:num>
  <w:num w:numId="12">
    <w:abstractNumId w:val="12"/>
  </w:num>
  <w:num w:numId="14">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