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6A0F9" w14:textId="77777777" w:rsidR="00FA6008" w:rsidRDefault="00FA6008" w:rsidP="00FA6008"/>
    <w:p w14:paraId="5A0A6412" w14:textId="77777777" w:rsidR="00FA6008" w:rsidRDefault="00FA6008" w:rsidP="00FA6008">
      <w:pPr>
        <w:spacing w:before="120" w:after="120"/>
        <w:jc w:val="center"/>
        <w:rPr>
          <w:rFonts w:ascii="Arial" w:eastAsia="Arial" w:hAnsi="Arial" w:cs="Arial"/>
        </w:rPr>
      </w:pPr>
      <w:r w:rsidRPr="00122B9C">
        <w:rPr>
          <w:rFonts w:ascii="Arial" w:eastAsia="Arial" w:hAnsi="Arial" w:cs="Arial"/>
        </w:rPr>
        <w:t>Component 1- Module</w:t>
      </w:r>
    </w:p>
    <w:p w14:paraId="5BADEACB" w14:textId="77777777" w:rsidR="00FA6008" w:rsidRDefault="00FA6008" w:rsidP="00FA6008">
      <w:pPr>
        <w:spacing w:before="120" w:after="120"/>
        <w:jc w:val="center"/>
        <w:rPr>
          <w:rFonts w:ascii="Arial" w:eastAsia="Arial" w:hAnsi="Arial" w:cs="Arial"/>
        </w:rPr>
      </w:pPr>
      <w:r w:rsidRPr="00122B9C">
        <w:rPr>
          <w:rFonts w:ascii="Arial" w:eastAsia="Arial" w:hAnsi="Arial" w:cs="Arial"/>
        </w:rPr>
        <w:t xml:space="preserve"> BA (Hons)Business Management</w:t>
      </w:r>
    </w:p>
    <w:p w14:paraId="18C61731" w14:textId="38C28315" w:rsidR="00FA6008" w:rsidRPr="00122B9C" w:rsidRDefault="00FA6008" w:rsidP="00FA6008">
      <w:pPr>
        <w:spacing w:before="120" w:after="120"/>
        <w:rPr>
          <w:rFonts w:ascii="Arial" w:eastAsia="Arial" w:hAnsi="Arial" w:cs="Arial"/>
        </w:rPr>
      </w:pPr>
      <w:r>
        <w:rPr>
          <w:rFonts w:ascii="Arial" w:eastAsia="Arial" w:hAnsi="Arial" w:cs="Arial"/>
        </w:rPr>
        <w:t xml:space="preserve">                                                      Management Economics</w:t>
      </w:r>
    </w:p>
    <w:p w14:paraId="3A1548EF" w14:textId="251ACCDC" w:rsidR="00FA6008" w:rsidRPr="007F36CB" w:rsidRDefault="00FA6008" w:rsidP="00FA6008">
      <w:pPr>
        <w:spacing w:before="120" w:after="120"/>
        <w:jc w:val="center"/>
        <w:rPr>
          <w:rFonts w:ascii="Arial" w:hAnsi="Arial" w:cs="Arial"/>
          <w:color w:val="000000" w:themeColor="text1"/>
        </w:rPr>
      </w:pPr>
      <w:r w:rsidRPr="007F36CB">
        <w:rPr>
          <w:rFonts w:ascii="Arial" w:hAnsi="Arial" w:cs="Arial"/>
          <w:color w:val="000000" w:themeColor="text1"/>
        </w:rPr>
        <w:t xml:space="preserve">Coursework: Essay </w:t>
      </w:r>
    </w:p>
    <w:p w14:paraId="5D9BD4D6" w14:textId="77777777" w:rsidR="00FA6008" w:rsidRPr="00122B9C" w:rsidRDefault="00FA6008" w:rsidP="00FA6008">
      <w:pPr>
        <w:spacing w:line="257" w:lineRule="auto"/>
        <w:jc w:val="center"/>
        <w:rPr>
          <w:rFonts w:ascii="Arial" w:eastAsia="Arial" w:hAnsi="Arial" w:cs="Arial"/>
        </w:rPr>
      </w:pPr>
      <w:r w:rsidRPr="00122B9C">
        <w:rPr>
          <w:rFonts w:ascii="Arial" w:eastAsia="Arial" w:hAnsi="Arial" w:cs="Arial"/>
        </w:rPr>
        <w:t>Student Name: Tanya Georgieva</w:t>
      </w:r>
    </w:p>
    <w:p w14:paraId="3E40F1AE" w14:textId="77777777" w:rsidR="00FA6008" w:rsidRDefault="00FA6008" w:rsidP="00FA6008">
      <w:pPr>
        <w:spacing w:line="257" w:lineRule="auto"/>
        <w:jc w:val="center"/>
        <w:rPr>
          <w:rFonts w:ascii="Arial" w:eastAsia="Arial" w:hAnsi="Arial" w:cs="Arial"/>
        </w:rPr>
      </w:pPr>
      <w:r w:rsidRPr="00122B9C">
        <w:rPr>
          <w:rFonts w:ascii="Arial" w:eastAsia="Arial" w:hAnsi="Arial" w:cs="Arial"/>
        </w:rPr>
        <w:t>Student Number:2028228</w:t>
      </w:r>
    </w:p>
    <w:p w14:paraId="5C84752E" w14:textId="420032E4" w:rsidR="00FA6008" w:rsidRDefault="00FA6008" w:rsidP="00FA6008">
      <w:r>
        <w:rPr>
          <w:rFonts w:ascii="Arial" w:eastAsia="Arial" w:hAnsi="Arial" w:cs="Arial"/>
        </w:rPr>
        <w:t xml:space="preserve">                                                 </w:t>
      </w:r>
      <w:r w:rsidRPr="00122B9C">
        <w:rPr>
          <w:rFonts w:ascii="Arial" w:eastAsia="Arial" w:hAnsi="Arial" w:cs="Arial"/>
        </w:rPr>
        <w:t>Lecturer Name:</w:t>
      </w:r>
      <w:r w:rsidRPr="007F36CB">
        <w:rPr>
          <w:rFonts w:ascii="Arial" w:hAnsi="Arial" w:cs="Arial"/>
          <w:b/>
          <w:bCs/>
        </w:rPr>
        <w:t xml:space="preserve"> </w:t>
      </w:r>
      <w:r>
        <w:rPr>
          <w:rFonts w:ascii="Arial" w:hAnsi="Arial" w:cs="Arial"/>
        </w:rPr>
        <w:t>Patric Yeboah</w:t>
      </w:r>
    </w:p>
    <w:p w14:paraId="5F4AAA6F" w14:textId="77777777" w:rsidR="009D1955" w:rsidRPr="00163D43" w:rsidRDefault="009D1955" w:rsidP="005539EA">
      <w:pPr>
        <w:spacing w:after="240" w:line="240" w:lineRule="auto"/>
        <w:rPr>
          <w:rFonts w:ascii="Arial" w:eastAsia="Times New Roman" w:hAnsi="Arial" w:cs="Arial"/>
          <w:lang w:eastAsia="en-GB"/>
        </w:rPr>
      </w:pPr>
    </w:p>
    <w:p w14:paraId="1FA85C86" w14:textId="77777777" w:rsidR="009D1955" w:rsidRPr="00163D43" w:rsidRDefault="009D1955" w:rsidP="005539EA">
      <w:pPr>
        <w:spacing w:after="240" w:line="240" w:lineRule="auto"/>
        <w:rPr>
          <w:rFonts w:ascii="Arial" w:eastAsia="Times New Roman" w:hAnsi="Arial" w:cs="Arial"/>
          <w:lang w:eastAsia="en-GB"/>
        </w:rPr>
      </w:pPr>
    </w:p>
    <w:p w14:paraId="0C29AEAB" w14:textId="77777777" w:rsidR="00163D43" w:rsidRDefault="00163D43" w:rsidP="005539EA">
      <w:pPr>
        <w:spacing w:after="240" w:line="240" w:lineRule="auto"/>
        <w:rPr>
          <w:rFonts w:ascii="Arial" w:eastAsia="Times New Roman" w:hAnsi="Arial" w:cs="Arial"/>
          <w:lang w:eastAsia="en-GB"/>
        </w:rPr>
      </w:pPr>
    </w:p>
    <w:p w14:paraId="4ED62A21" w14:textId="77777777" w:rsidR="00163D43" w:rsidRDefault="00163D43" w:rsidP="005539EA">
      <w:pPr>
        <w:spacing w:after="240" w:line="240" w:lineRule="auto"/>
        <w:rPr>
          <w:rFonts w:ascii="Arial" w:eastAsia="Times New Roman" w:hAnsi="Arial" w:cs="Arial"/>
          <w:lang w:eastAsia="en-GB"/>
        </w:rPr>
      </w:pPr>
    </w:p>
    <w:p w14:paraId="6F97BC8B" w14:textId="77777777" w:rsidR="00163D43" w:rsidRDefault="00163D43" w:rsidP="005539EA">
      <w:pPr>
        <w:spacing w:after="240" w:line="240" w:lineRule="auto"/>
        <w:rPr>
          <w:rFonts w:ascii="Arial" w:eastAsia="Times New Roman" w:hAnsi="Arial" w:cs="Arial"/>
          <w:lang w:eastAsia="en-GB"/>
        </w:rPr>
      </w:pPr>
    </w:p>
    <w:p w14:paraId="645C7ED3" w14:textId="77777777" w:rsidR="00163D43" w:rsidRDefault="00163D43" w:rsidP="005539EA">
      <w:pPr>
        <w:spacing w:after="240" w:line="240" w:lineRule="auto"/>
        <w:rPr>
          <w:rFonts w:ascii="Arial" w:eastAsia="Times New Roman" w:hAnsi="Arial" w:cs="Arial"/>
          <w:lang w:eastAsia="en-GB"/>
        </w:rPr>
      </w:pPr>
    </w:p>
    <w:p w14:paraId="2D0C8A51" w14:textId="77777777" w:rsidR="00163D43" w:rsidRDefault="00163D43" w:rsidP="005539EA">
      <w:pPr>
        <w:spacing w:after="240" w:line="240" w:lineRule="auto"/>
        <w:rPr>
          <w:rFonts w:ascii="Arial" w:eastAsia="Times New Roman" w:hAnsi="Arial" w:cs="Arial"/>
          <w:lang w:eastAsia="en-GB"/>
        </w:rPr>
      </w:pPr>
    </w:p>
    <w:p w14:paraId="3C1D8BC9" w14:textId="77777777" w:rsidR="00163D43" w:rsidRDefault="00163D43" w:rsidP="005539EA">
      <w:pPr>
        <w:spacing w:after="240" w:line="240" w:lineRule="auto"/>
        <w:rPr>
          <w:rFonts w:ascii="Arial" w:eastAsia="Times New Roman" w:hAnsi="Arial" w:cs="Arial"/>
          <w:lang w:eastAsia="en-GB"/>
        </w:rPr>
      </w:pPr>
    </w:p>
    <w:p w14:paraId="11CCEBB6" w14:textId="77777777" w:rsidR="00163D43" w:rsidRDefault="00163D43" w:rsidP="005539EA">
      <w:pPr>
        <w:spacing w:after="240" w:line="240" w:lineRule="auto"/>
        <w:rPr>
          <w:rFonts w:ascii="Arial" w:eastAsia="Times New Roman" w:hAnsi="Arial" w:cs="Arial"/>
          <w:lang w:eastAsia="en-GB"/>
        </w:rPr>
      </w:pPr>
    </w:p>
    <w:p w14:paraId="7F6A37BE" w14:textId="77777777" w:rsidR="00163D43" w:rsidRDefault="00163D43" w:rsidP="005539EA">
      <w:pPr>
        <w:spacing w:after="240" w:line="240" w:lineRule="auto"/>
        <w:rPr>
          <w:rFonts w:ascii="Arial" w:eastAsia="Times New Roman" w:hAnsi="Arial" w:cs="Arial"/>
          <w:lang w:eastAsia="en-GB"/>
        </w:rPr>
      </w:pPr>
    </w:p>
    <w:p w14:paraId="1D4AFBC5" w14:textId="77777777" w:rsidR="00163D43" w:rsidRDefault="00163D43" w:rsidP="005539EA">
      <w:pPr>
        <w:spacing w:after="240" w:line="240" w:lineRule="auto"/>
        <w:rPr>
          <w:rFonts w:ascii="Arial" w:eastAsia="Times New Roman" w:hAnsi="Arial" w:cs="Arial"/>
          <w:lang w:eastAsia="en-GB"/>
        </w:rPr>
      </w:pPr>
    </w:p>
    <w:p w14:paraId="615379C6" w14:textId="77777777" w:rsidR="00163D43" w:rsidRDefault="00163D43" w:rsidP="005539EA">
      <w:pPr>
        <w:spacing w:after="240" w:line="240" w:lineRule="auto"/>
        <w:rPr>
          <w:rFonts w:ascii="Arial" w:eastAsia="Times New Roman" w:hAnsi="Arial" w:cs="Arial"/>
          <w:lang w:eastAsia="en-GB"/>
        </w:rPr>
      </w:pPr>
    </w:p>
    <w:p w14:paraId="1E2DA73A" w14:textId="77777777" w:rsidR="00163D43" w:rsidRDefault="00163D43" w:rsidP="005539EA">
      <w:pPr>
        <w:spacing w:after="240" w:line="240" w:lineRule="auto"/>
        <w:rPr>
          <w:rFonts w:ascii="Arial" w:eastAsia="Times New Roman" w:hAnsi="Arial" w:cs="Arial"/>
          <w:lang w:eastAsia="en-GB"/>
        </w:rPr>
      </w:pPr>
    </w:p>
    <w:p w14:paraId="221DEEC7" w14:textId="77777777" w:rsidR="00163D43" w:rsidRDefault="00163D43" w:rsidP="005539EA">
      <w:pPr>
        <w:spacing w:after="240" w:line="240" w:lineRule="auto"/>
        <w:rPr>
          <w:rFonts w:ascii="Arial" w:eastAsia="Times New Roman" w:hAnsi="Arial" w:cs="Arial"/>
          <w:lang w:eastAsia="en-GB"/>
        </w:rPr>
      </w:pPr>
    </w:p>
    <w:p w14:paraId="406205C7" w14:textId="77777777" w:rsidR="00163D43" w:rsidRDefault="00163D43" w:rsidP="005539EA">
      <w:pPr>
        <w:spacing w:after="240" w:line="240" w:lineRule="auto"/>
        <w:rPr>
          <w:rFonts w:ascii="Arial" w:eastAsia="Times New Roman" w:hAnsi="Arial" w:cs="Arial"/>
          <w:lang w:eastAsia="en-GB"/>
        </w:rPr>
      </w:pPr>
    </w:p>
    <w:p w14:paraId="74E99136" w14:textId="77777777" w:rsidR="00163D43" w:rsidRDefault="00163D43" w:rsidP="005539EA">
      <w:pPr>
        <w:spacing w:after="240" w:line="240" w:lineRule="auto"/>
        <w:rPr>
          <w:rFonts w:ascii="Arial" w:eastAsia="Times New Roman" w:hAnsi="Arial" w:cs="Arial"/>
          <w:lang w:eastAsia="en-GB"/>
        </w:rPr>
      </w:pPr>
    </w:p>
    <w:p w14:paraId="7AB8A02D" w14:textId="77777777" w:rsidR="00163D43" w:rsidRDefault="00163D43" w:rsidP="005539EA">
      <w:pPr>
        <w:spacing w:after="240" w:line="240" w:lineRule="auto"/>
        <w:rPr>
          <w:rFonts w:ascii="Arial" w:eastAsia="Times New Roman" w:hAnsi="Arial" w:cs="Arial"/>
          <w:lang w:eastAsia="en-GB"/>
        </w:rPr>
      </w:pPr>
    </w:p>
    <w:p w14:paraId="65E2D836" w14:textId="77777777" w:rsidR="00163D43" w:rsidRDefault="00163D43" w:rsidP="005539EA">
      <w:pPr>
        <w:spacing w:after="240" w:line="240" w:lineRule="auto"/>
        <w:rPr>
          <w:rFonts w:ascii="Arial" w:eastAsia="Times New Roman" w:hAnsi="Arial" w:cs="Arial"/>
          <w:lang w:eastAsia="en-GB"/>
        </w:rPr>
      </w:pPr>
    </w:p>
    <w:p w14:paraId="2F750F45" w14:textId="77777777" w:rsidR="00163D43" w:rsidRDefault="00163D43" w:rsidP="005539EA">
      <w:pPr>
        <w:spacing w:after="240" w:line="240" w:lineRule="auto"/>
        <w:rPr>
          <w:rFonts w:ascii="Arial" w:eastAsia="Times New Roman" w:hAnsi="Arial" w:cs="Arial"/>
          <w:lang w:eastAsia="en-GB"/>
        </w:rPr>
      </w:pPr>
    </w:p>
    <w:p w14:paraId="426D3BD3" w14:textId="77777777" w:rsidR="00163D43" w:rsidRDefault="00163D43" w:rsidP="005539EA">
      <w:pPr>
        <w:spacing w:after="240" w:line="240" w:lineRule="auto"/>
        <w:rPr>
          <w:rFonts w:ascii="Arial" w:eastAsia="Times New Roman" w:hAnsi="Arial" w:cs="Arial"/>
          <w:lang w:eastAsia="en-GB"/>
        </w:rPr>
      </w:pPr>
    </w:p>
    <w:p w14:paraId="6760A7D0" w14:textId="77777777" w:rsidR="00163D43" w:rsidRDefault="00163D43" w:rsidP="005539EA">
      <w:pPr>
        <w:spacing w:after="240" w:line="240" w:lineRule="auto"/>
        <w:rPr>
          <w:rFonts w:ascii="Arial" w:eastAsia="Times New Roman" w:hAnsi="Arial" w:cs="Arial"/>
          <w:lang w:eastAsia="en-GB"/>
        </w:rPr>
      </w:pPr>
    </w:p>
    <w:p w14:paraId="231FE46B" w14:textId="77777777" w:rsidR="00163D43" w:rsidRDefault="00163D43" w:rsidP="005539EA">
      <w:pPr>
        <w:spacing w:after="240" w:line="240" w:lineRule="auto"/>
        <w:rPr>
          <w:rFonts w:ascii="Arial" w:eastAsia="Times New Roman" w:hAnsi="Arial" w:cs="Arial"/>
          <w:lang w:eastAsia="en-GB"/>
        </w:rPr>
      </w:pPr>
    </w:p>
    <w:p w14:paraId="7676F07C" w14:textId="77777777" w:rsidR="00163D43" w:rsidRDefault="00163D43" w:rsidP="005539EA">
      <w:pPr>
        <w:spacing w:after="240" w:line="240" w:lineRule="auto"/>
        <w:rPr>
          <w:rFonts w:ascii="Arial" w:eastAsia="Times New Roman" w:hAnsi="Arial" w:cs="Arial"/>
          <w:lang w:eastAsia="en-GB"/>
        </w:rPr>
      </w:pPr>
    </w:p>
    <w:p w14:paraId="04CD81A1" w14:textId="77777777" w:rsidR="00163D43" w:rsidRDefault="00163D43" w:rsidP="005539EA">
      <w:pPr>
        <w:spacing w:after="240" w:line="240" w:lineRule="auto"/>
        <w:rPr>
          <w:rFonts w:ascii="Arial" w:eastAsia="Times New Roman" w:hAnsi="Arial" w:cs="Arial"/>
          <w:lang w:eastAsia="en-GB"/>
        </w:rPr>
      </w:pPr>
    </w:p>
    <w:p w14:paraId="2B4AE79A" w14:textId="77777777" w:rsidR="00163D43" w:rsidRDefault="00163D43" w:rsidP="005539EA">
      <w:pPr>
        <w:spacing w:after="240" w:line="240" w:lineRule="auto"/>
        <w:rPr>
          <w:rFonts w:ascii="Arial" w:eastAsia="Times New Roman" w:hAnsi="Arial" w:cs="Arial"/>
          <w:lang w:eastAsia="en-GB"/>
        </w:rPr>
      </w:pPr>
    </w:p>
    <w:p w14:paraId="6EAF54FA" w14:textId="77777777" w:rsidR="00163D43" w:rsidRDefault="00163D43" w:rsidP="005539EA">
      <w:pPr>
        <w:spacing w:after="240" w:line="240" w:lineRule="auto"/>
        <w:rPr>
          <w:rFonts w:ascii="Arial" w:eastAsia="Times New Roman" w:hAnsi="Arial" w:cs="Arial"/>
          <w:lang w:eastAsia="en-GB"/>
        </w:rPr>
      </w:pPr>
    </w:p>
    <w:p w14:paraId="7A199C35" w14:textId="77777777" w:rsidR="00163D43" w:rsidRDefault="00163D43" w:rsidP="005539EA">
      <w:pPr>
        <w:spacing w:after="240" w:line="240" w:lineRule="auto"/>
        <w:rPr>
          <w:rFonts w:ascii="Arial" w:eastAsia="Times New Roman" w:hAnsi="Arial" w:cs="Arial"/>
          <w:lang w:eastAsia="en-GB"/>
        </w:rPr>
      </w:pPr>
    </w:p>
    <w:p w14:paraId="1F434EA5" w14:textId="438A8781" w:rsidR="009D1955" w:rsidRPr="00163D43" w:rsidRDefault="002C3DDB"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Table of content.</w:t>
      </w:r>
    </w:p>
    <w:p w14:paraId="50D9CA83" w14:textId="196B8B37" w:rsidR="00E20F7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1.Introduction</w:t>
      </w:r>
    </w:p>
    <w:p w14:paraId="2021113B" w14:textId="211EF38C" w:rsid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2</w:t>
      </w:r>
      <w:r w:rsidR="002C3DDB" w:rsidRPr="00163D43">
        <w:rPr>
          <w:rFonts w:ascii="Arial" w:eastAsia="Times New Roman" w:hAnsi="Arial" w:cs="Arial"/>
          <w:lang w:eastAsia="en-GB"/>
        </w:rPr>
        <w:t>.</w:t>
      </w:r>
      <w:r w:rsidR="002C3DDB" w:rsidRPr="005539EA">
        <w:rPr>
          <w:rFonts w:ascii="Arial" w:eastAsia="Times New Roman" w:hAnsi="Arial" w:cs="Arial"/>
          <w:lang w:eastAsia="en-GB"/>
        </w:rPr>
        <w:t xml:space="preserve">The framework, rivalry, and outlook of the UK food retail sector </w:t>
      </w:r>
      <w:r w:rsidR="002C3DDB" w:rsidRPr="005539EA">
        <w:rPr>
          <w:rFonts w:ascii="Arial" w:eastAsia="Times New Roman" w:hAnsi="Arial" w:cs="Arial"/>
          <w:lang w:eastAsia="en-GB"/>
        </w:rPr>
        <w:br/>
      </w:r>
      <w:r w:rsidRPr="00163D43">
        <w:rPr>
          <w:rFonts w:ascii="Arial" w:eastAsia="Times New Roman" w:hAnsi="Arial" w:cs="Arial"/>
          <w:lang w:eastAsia="en-GB"/>
        </w:rPr>
        <w:t>3</w:t>
      </w:r>
      <w:r w:rsidR="002C3DDB" w:rsidRPr="00163D43">
        <w:rPr>
          <w:rFonts w:ascii="Arial" w:eastAsia="Times New Roman" w:hAnsi="Arial" w:cs="Arial"/>
          <w:lang w:eastAsia="en-GB"/>
        </w:rPr>
        <w:t>. Market</w:t>
      </w:r>
      <w:r w:rsidR="002C3DDB" w:rsidRPr="005539EA">
        <w:rPr>
          <w:rFonts w:ascii="Arial" w:eastAsia="Times New Roman" w:hAnsi="Arial" w:cs="Arial"/>
          <w:lang w:eastAsia="en-GB"/>
        </w:rPr>
        <w:t xml:space="preserve"> structure and industry framework</w:t>
      </w:r>
      <w:r w:rsidR="00B537B6" w:rsidRPr="00163D43">
        <w:rPr>
          <w:rFonts w:ascii="Arial" w:eastAsia="Times New Roman" w:hAnsi="Arial" w:cs="Arial"/>
          <w:lang w:eastAsia="en-GB"/>
        </w:rPr>
        <w:t xml:space="preserve">- </w:t>
      </w:r>
      <w:r w:rsidR="00B537B6" w:rsidRPr="00163D43">
        <w:rPr>
          <w:rFonts w:ascii="Arial" w:eastAsia="Times New Roman" w:hAnsi="Arial" w:cs="Arial"/>
          <w:lang w:eastAsia="en-GB"/>
        </w:rPr>
        <w:t>Competitive Landscape and Market Shares.</w:t>
      </w:r>
    </w:p>
    <w:p w14:paraId="7670F919" w14:textId="1B0EC179" w:rsidR="009D195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4</w:t>
      </w:r>
      <w:r w:rsidR="002C3DDB" w:rsidRPr="00163D43">
        <w:rPr>
          <w:rFonts w:ascii="Arial" w:eastAsia="Times New Roman" w:hAnsi="Arial" w:cs="Arial"/>
          <w:lang w:eastAsia="en-GB"/>
        </w:rPr>
        <w:t>.</w:t>
      </w:r>
      <w:r w:rsidR="002C3DDB" w:rsidRPr="005539EA">
        <w:rPr>
          <w:rFonts w:ascii="Arial" w:eastAsia="Times New Roman" w:hAnsi="Arial" w:cs="Arial"/>
          <w:lang w:eastAsia="en-GB"/>
        </w:rPr>
        <w:t>Theory of the Firm</w:t>
      </w:r>
    </w:p>
    <w:p w14:paraId="1843BAF6" w14:textId="62CF6964" w:rsidR="009D195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5</w:t>
      </w:r>
      <w:r w:rsidR="002C3DDB" w:rsidRPr="00163D43">
        <w:rPr>
          <w:rFonts w:ascii="Arial" w:eastAsia="Times New Roman" w:hAnsi="Arial" w:cs="Arial"/>
          <w:lang w:eastAsia="en-GB"/>
        </w:rPr>
        <w:t>.</w:t>
      </w:r>
      <w:r w:rsidR="002C3DDB" w:rsidRPr="005539EA">
        <w:rPr>
          <w:rFonts w:ascii="Arial" w:eastAsia="Times New Roman" w:hAnsi="Arial" w:cs="Arial"/>
          <w:lang w:eastAsia="en-GB"/>
        </w:rPr>
        <w:t>Examination of Demand and Supplies</w:t>
      </w:r>
    </w:p>
    <w:p w14:paraId="2D1B927A" w14:textId="26FE3C7F" w:rsidR="009D195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6</w:t>
      </w:r>
      <w:r w:rsidR="002C3DDB" w:rsidRPr="00163D43">
        <w:rPr>
          <w:rFonts w:ascii="Arial" w:eastAsia="Times New Roman" w:hAnsi="Arial" w:cs="Arial"/>
          <w:lang w:eastAsia="en-GB"/>
        </w:rPr>
        <w:t>.</w:t>
      </w:r>
      <w:r w:rsidR="002C3DDB" w:rsidRPr="005539EA">
        <w:rPr>
          <w:rFonts w:ascii="Arial" w:eastAsia="Times New Roman" w:hAnsi="Arial" w:cs="Arial"/>
          <w:lang w:eastAsia="en-GB"/>
        </w:rPr>
        <w:t>Current Status of Industry Participants</w:t>
      </w:r>
    </w:p>
    <w:p w14:paraId="4406DECC" w14:textId="41110FCB" w:rsidR="009D195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7</w:t>
      </w:r>
      <w:r w:rsidR="002C3DDB" w:rsidRPr="00163D43">
        <w:rPr>
          <w:rFonts w:ascii="Arial" w:eastAsia="Times New Roman" w:hAnsi="Arial" w:cs="Arial"/>
          <w:lang w:eastAsia="en-GB"/>
        </w:rPr>
        <w:t>.</w:t>
      </w:r>
      <w:r w:rsidR="002C3DDB" w:rsidRPr="005539EA">
        <w:rPr>
          <w:rFonts w:ascii="Arial" w:eastAsia="Times New Roman" w:hAnsi="Arial" w:cs="Arial"/>
          <w:lang w:eastAsia="en-GB"/>
        </w:rPr>
        <w:t>Common Responses to Challenges</w:t>
      </w:r>
    </w:p>
    <w:p w14:paraId="0790FB0F" w14:textId="4260DFE5" w:rsidR="009D195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8</w:t>
      </w:r>
      <w:r w:rsidR="002C3DDB" w:rsidRPr="00163D43">
        <w:rPr>
          <w:rFonts w:ascii="Arial" w:eastAsia="Times New Roman" w:hAnsi="Arial" w:cs="Arial"/>
          <w:lang w:eastAsia="en-GB"/>
        </w:rPr>
        <w:t>.</w:t>
      </w:r>
      <w:r w:rsidR="002C3DDB" w:rsidRPr="005539EA">
        <w:rPr>
          <w:rFonts w:ascii="Arial" w:eastAsia="Times New Roman" w:hAnsi="Arial" w:cs="Arial"/>
          <w:lang w:eastAsia="en-GB"/>
        </w:rPr>
        <w:t>Recommendations for Sustainable Development</w:t>
      </w:r>
    </w:p>
    <w:p w14:paraId="66D690F5" w14:textId="00C30962" w:rsidR="009D195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9</w:t>
      </w:r>
      <w:r w:rsidR="002C3DDB" w:rsidRPr="00163D43">
        <w:rPr>
          <w:rFonts w:ascii="Arial" w:eastAsia="Times New Roman" w:hAnsi="Arial" w:cs="Arial"/>
          <w:lang w:eastAsia="en-GB"/>
        </w:rPr>
        <w:t>.Conclusion.</w:t>
      </w:r>
    </w:p>
    <w:p w14:paraId="74815BE7" w14:textId="0C290AC6" w:rsidR="002C3DDB" w:rsidRPr="005539EA" w:rsidRDefault="00E20F75" w:rsidP="002C3DDB">
      <w:pPr>
        <w:spacing w:after="240" w:line="240" w:lineRule="auto"/>
        <w:rPr>
          <w:rFonts w:ascii="Arial" w:eastAsia="Times New Roman" w:hAnsi="Arial" w:cs="Arial"/>
          <w:lang w:eastAsia="en-GB"/>
        </w:rPr>
      </w:pPr>
      <w:r w:rsidRPr="00163D43">
        <w:rPr>
          <w:rFonts w:ascii="Arial" w:eastAsia="Times New Roman" w:hAnsi="Arial" w:cs="Arial"/>
          <w:lang w:eastAsia="en-GB"/>
        </w:rPr>
        <w:t>10</w:t>
      </w:r>
      <w:r w:rsidR="002C3DDB" w:rsidRPr="00163D43">
        <w:rPr>
          <w:rFonts w:ascii="Arial" w:eastAsia="Times New Roman" w:hAnsi="Arial" w:cs="Arial"/>
          <w:lang w:eastAsia="en-GB"/>
        </w:rPr>
        <w:t>.Reference.</w:t>
      </w:r>
    </w:p>
    <w:p w14:paraId="711E7011" w14:textId="77777777" w:rsidR="009D1955" w:rsidRPr="00163D43" w:rsidRDefault="009D1955" w:rsidP="005539EA">
      <w:pPr>
        <w:spacing w:after="240" w:line="240" w:lineRule="auto"/>
        <w:rPr>
          <w:rFonts w:ascii="Arial" w:eastAsia="Times New Roman" w:hAnsi="Arial" w:cs="Arial"/>
          <w:lang w:eastAsia="en-GB"/>
        </w:rPr>
      </w:pPr>
    </w:p>
    <w:p w14:paraId="145F122F" w14:textId="77777777" w:rsidR="009D1955" w:rsidRPr="00163D43" w:rsidRDefault="009D1955" w:rsidP="005539EA">
      <w:pPr>
        <w:spacing w:after="240" w:line="240" w:lineRule="auto"/>
        <w:rPr>
          <w:rFonts w:ascii="Arial" w:eastAsia="Times New Roman" w:hAnsi="Arial" w:cs="Arial"/>
          <w:lang w:eastAsia="en-GB"/>
        </w:rPr>
      </w:pPr>
    </w:p>
    <w:p w14:paraId="7CB8F7A8" w14:textId="77777777" w:rsidR="009D1955" w:rsidRPr="00163D43" w:rsidRDefault="009D1955" w:rsidP="005539EA">
      <w:pPr>
        <w:spacing w:after="240" w:line="240" w:lineRule="auto"/>
        <w:rPr>
          <w:rFonts w:ascii="Arial" w:eastAsia="Times New Roman" w:hAnsi="Arial" w:cs="Arial"/>
          <w:lang w:eastAsia="en-GB"/>
        </w:rPr>
      </w:pPr>
    </w:p>
    <w:p w14:paraId="68F4A392" w14:textId="77777777" w:rsidR="009D1955" w:rsidRPr="00163D43" w:rsidRDefault="009D1955" w:rsidP="005539EA">
      <w:pPr>
        <w:spacing w:after="240" w:line="240" w:lineRule="auto"/>
        <w:rPr>
          <w:rFonts w:ascii="Arial" w:eastAsia="Times New Roman" w:hAnsi="Arial" w:cs="Arial"/>
          <w:lang w:eastAsia="en-GB"/>
        </w:rPr>
      </w:pPr>
    </w:p>
    <w:p w14:paraId="43DB07FB" w14:textId="77777777" w:rsidR="009D1955" w:rsidRPr="00163D43" w:rsidRDefault="009D1955" w:rsidP="005539EA">
      <w:pPr>
        <w:spacing w:after="240" w:line="240" w:lineRule="auto"/>
        <w:rPr>
          <w:rFonts w:ascii="Arial" w:eastAsia="Times New Roman" w:hAnsi="Arial" w:cs="Arial"/>
          <w:lang w:eastAsia="en-GB"/>
        </w:rPr>
      </w:pPr>
    </w:p>
    <w:p w14:paraId="30A035CA" w14:textId="77777777" w:rsidR="009D1955" w:rsidRPr="00163D43" w:rsidRDefault="009D1955" w:rsidP="005539EA">
      <w:pPr>
        <w:spacing w:after="240" w:line="240" w:lineRule="auto"/>
        <w:rPr>
          <w:rFonts w:ascii="Arial" w:eastAsia="Times New Roman" w:hAnsi="Arial" w:cs="Arial"/>
          <w:lang w:eastAsia="en-GB"/>
        </w:rPr>
      </w:pPr>
    </w:p>
    <w:p w14:paraId="5E69F1B7" w14:textId="77777777" w:rsidR="009D1955" w:rsidRPr="00163D43" w:rsidRDefault="009D1955" w:rsidP="005539EA">
      <w:pPr>
        <w:spacing w:after="240" w:line="240" w:lineRule="auto"/>
        <w:rPr>
          <w:rFonts w:ascii="Arial" w:eastAsia="Times New Roman" w:hAnsi="Arial" w:cs="Arial"/>
          <w:lang w:eastAsia="en-GB"/>
        </w:rPr>
      </w:pPr>
    </w:p>
    <w:p w14:paraId="1E52F342" w14:textId="77777777" w:rsidR="009D1955" w:rsidRPr="00163D43" w:rsidRDefault="009D1955" w:rsidP="005539EA">
      <w:pPr>
        <w:spacing w:after="240" w:line="240" w:lineRule="auto"/>
        <w:rPr>
          <w:rFonts w:ascii="Arial" w:eastAsia="Times New Roman" w:hAnsi="Arial" w:cs="Arial"/>
          <w:lang w:eastAsia="en-GB"/>
        </w:rPr>
      </w:pPr>
    </w:p>
    <w:p w14:paraId="2ABFC637" w14:textId="77777777" w:rsidR="009D1955" w:rsidRPr="00163D43" w:rsidRDefault="009D1955" w:rsidP="005539EA">
      <w:pPr>
        <w:spacing w:after="240" w:line="240" w:lineRule="auto"/>
        <w:rPr>
          <w:rFonts w:ascii="Arial" w:eastAsia="Times New Roman" w:hAnsi="Arial" w:cs="Arial"/>
          <w:lang w:eastAsia="en-GB"/>
        </w:rPr>
      </w:pPr>
    </w:p>
    <w:p w14:paraId="6DFE14A3" w14:textId="77777777" w:rsidR="009D1955" w:rsidRPr="00163D43" w:rsidRDefault="009D1955" w:rsidP="005539EA">
      <w:pPr>
        <w:spacing w:after="240" w:line="240" w:lineRule="auto"/>
        <w:rPr>
          <w:rFonts w:ascii="Arial" w:eastAsia="Times New Roman" w:hAnsi="Arial" w:cs="Arial"/>
          <w:lang w:eastAsia="en-GB"/>
        </w:rPr>
      </w:pPr>
    </w:p>
    <w:p w14:paraId="628FAE57" w14:textId="77777777" w:rsidR="009D1955" w:rsidRPr="00163D43" w:rsidRDefault="009D1955" w:rsidP="005539EA">
      <w:pPr>
        <w:spacing w:after="240" w:line="240" w:lineRule="auto"/>
        <w:rPr>
          <w:rFonts w:ascii="Arial" w:eastAsia="Times New Roman" w:hAnsi="Arial" w:cs="Arial"/>
          <w:lang w:eastAsia="en-GB"/>
        </w:rPr>
      </w:pPr>
    </w:p>
    <w:p w14:paraId="17D56A0A" w14:textId="77777777" w:rsidR="009D1955" w:rsidRPr="00163D43" w:rsidRDefault="009D1955" w:rsidP="005539EA">
      <w:pPr>
        <w:spacing w:after="240" w:line="240" w:lineRule="auto"/>
        <w:rPr>
          <w:rFonts w:ascii="Arial" w:eastAsia="Times New Roman" w:hAnsi="Arial" w:cs="Arial"/>
          <w:lang w:eastAsia="en-GB"/>
        </w:rPr>
      </w:pPr>
    </w:p>
    <w:p w14:paraId="6902094C" w14:textId="77777777" w:rsidR="009D1955" w:rsidRPr="00163D43" w:rsidRDefault="009D1955" w:rsidP="005539EA">
      <w:pPr>
        <w:spacing w:after="240" w:line="240" w:lineRule="auto"/>
        <w:rPr>
          <w:rFonts w:ascii="Arial" w:eastAsia="Times New Roman" w:hAnsi="Arial" w:cs="Arial"/>
          <w:lang w:eastAsia="en-GB"/>
        </w:rPr>
      </w:pPr>
    </w:p>
    <w:p w14:paraId="36D94035" w14:textId="77777777" w:rsidR="009D1955" w:rsidRPr="00163D43" w:rsidRDefault="009D1955" w:rsidP="005539EA">
      <w:pPr>
        <w:spacing w:after="240" w:line="240" w:lineRule="auto"/>
        <w:rPr>
          <w:rFonts w:ascii="Arial" w:eastAsia="Times New Roman" w:hAnsi="Arial" w:cs="Arial"/>
          <w:lang w:eastAsia="en-GB"/>
        </w:rPr>
      </w:pPr>
    </w:p>
    <w:p w14:paraId="3C6B2B34" w14:textId="77777777" w:rsidR="009D1955" w:rsidRPr="00163D43" w:rsidRDefault="009D1955" w:rsidP="005539EA">
      <w:pPr>
        <w:spacing w:after="240" w:line="240" w:lineRule="auto"/>
        <w:rPr>
          <w:rFonts w:ascii="Arial" w:eastAsia="Times New Roman" w:hAnsi="Arial" w:cs="Arial"/>
          <w:lang w:eastAsia="en-GB"/>
        </w:rPr>
      </w:pPr>
    </w:p>
    <w:p w14:paraId="798BDA16" w14:textId="77777777" w:rsid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                                                </w:t>
      </w:r>
    </w:p>
    <w:p w14:paraId="2E5EA90D" w14:textId="77777777" w:rsidR="00163D43" w:rsidRDefault="00163D43" w:rsidP="005539EA">
      <w:pPr>
        <w:spacing w:after="240" w:line="240" w:lineRule="auto"/>
        <w:rPr>
          <w:rFonts w:ascii="Arial" w:eastAsia="Times New Roman" w:hAnsi="Arial" w:cs="Arial"/>
          <w:lang w:eastAsia="en-GB"/>
        </w:rPr>
      </w:pPr>
    </w:p>
    <w:p w14:paraId="0446CE76" w14:textId="77777777" w:rsidR="00163D43" w:rsidRDefault="00163D43" w:rsidP="005539EA">
      <w:pPr>
        <w:spacing w:after="240" w:line="240" w:lineRule="auto"/>
        <w:rPr>
          <w:rFonts w:ascii="Arial" w:eastAsia="Times New Roman" w:hAnsi="Arial" w:cs="Arial"/>
          <w:lang w:eastAsia="en-GB"/>
        </w:rPr>
      </w:pPr>
    </w:p>
    <w:p w14:paraId="07BA3DCB" w14:textId="00F75A0D" w:rsidR="00E20F75" w:rsidRPr="00163D43" w:rsidRDefault="00163D43" w:rsidP="005539EA">
      <w:pPr>
        <w:spacing w:after="240" w:line="240" w:lineRule="auto"/>
        <w:rPr>
          <w:rFonts w:ascii="Arial" w:eastAsia="Times New Roman" w:hAnsi="Arial" w:cs="Arial"/>
          <w:lang w:eastAsia="en-GB"/>
        </w:rPr>
      </w:pPr>
      <w:r>
        <w:rPr>
          <w:rFonts w:ascii="Arial" w:eastAsia="Times New Roman" w:hAnsi="Arial" w:cs="Arial"/>
          <w:lang w:eastAsia="en-GB"/>
        </w:rPr>
        <w:t xml:space="preserve">                                           1.</w:t>
      </w:r>
      <w:r w:rsidR="00E20F75" w:rsidRPr="00163D43">
        <w:rPr>
          <w:rFonts w:ascii="Arial" w:eastAsia="Times New Roman" w:hAnsi="Arial" w:cs="Arial"/>
          <w:lang w:eastAsia="en-GB"/>
        </w:rPr>
        <w:t xml:space="preserve">  Introduction</w:t>
      </w:r>
    </w:p>
    <w:p w14:paraId="0D587DA0" w14:textId="358BDC6B" w:rsidR="00E20F7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The UK grocery retail market is facing significant challenges in 2025, particularly for the Big Four supermarkets-Tesco, Sainsburys, Asda and Morrisons. These established players are grappling with a rapidly evolving competitive landscape and changing consumer behaviours. Challenges they face are: Increased competition from discounters: Aldi and Lidl continue to gain market share by offering quality products at lower prices, putting pressure on the Big Four to maintain their customer’s base. Rising operational costs, new regulation and changes to working practices, such as increased Notional Insurance contributions and high minimum wage requirements, are adding significant costs to supermarket operations. Cost-of-living crisis, consumers are increasingly price-sensitive due to economic pressures, leading them to shop around more and gravitate towards lower-priced options. Online shopping is forcing traditional supermarkets to invest heavily in their e-commerce capabilities to complete with-pure-play online grocers like Ocado. Sustainability pressures which supermarkets are struggling to meet critical environmental targets those related to deforestation, climate change and food waste. New regulations, such as restrictions on high fat salt and sugar products and the extended producer responsibility (EPR) </w:t>
      </w:r>
      <w:r w:rsidR="00F1212F" w:rsidRPr="00163D43">
        <w:rPr>
          <w:rFonts w:ascii="Arial" w:eastAsia="Times New Roman" w:hAnsi="Arial" w:cs="Arial"/>
          <w:lang w:eastAsia="en-GB"/>
        </w:rPr>
        <w:t>scheme, are</w:t>
      </w:r>
      <w:r w:rsidRPr="00163D43">
        <w:rPr>
          <w:rFonts w:ascii="Arial" w:eastAsia="Times New Roman" w:hAnsi="Arial" w:cs="Arial"/>
          <w:lang w:eastAsia="en-GB"/>
        </w:rPr>
        <w:t xml:space="preserve"> impacting growth potential and adding compliance cost. The Big Four are finding it increasingly challenging to differentiate themselves from each other, leading to more price-based competition. Changing consumer preferences, growth health consciousness among consumers is presenting both risk and opportunities for supermarkets.</w:t>
      </w:r>
    </w:p>
    <w:p w14:paraId="585B9299" w14:textId="0F2907C7" w:rsidR="00E20F75"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These challenges are reshaping the UK grocery retail landscape. Forcing the Big Four to adapt their strategies to maintain market share and profitability in an increasingly competitive enviroment.</w:t>
      </w:r>
    </w:p>
    <w:p w14:paraId="6FDE6790" w14:textId="77777777" w:rsidR="00E20F75" w:rsidRPr="00163D43" w:rsidRDefault="00E20F75" w:rsidP="005539EA">
      <w:pPr>
        <w:spacing w:after="240" w:line="240" w:lineRule="auto"/>
        <w:rPr>
          <w:rFonts w:ascii="Arial" w:eastAsia="Times New Roman" w:hAnsi="Arial" w:cs="Arial"/>
          <w:lang w:eastAsia="en-GB"/>
        </w:rPr>
      </w:pPr>
    </w:p>
    <w:p w14:paraId="00B6F147" w14:textId="77777777" w:rsidR="009D1955" w:rsidRPr="00163D43" w:rsidRDefault="009D1955" w:rsidP="005539EA">
      <w:pPr>
        <w:spacing w:after="240" w:line="240" w:lineRule="auto"/>
        <w:rPr>
          <w:rFonts w:ascii="Arial" w:eastAsia="Times New Roman" w:hAnsi="Arial" w:cs="Arial"/>
          <w:lang w:eastAsia="en-GB"/>
        </w:rPr>
      </w:pPr>
    </w:p>
    <w:p w14:paraId="2671F611" w14:textId="77777777" w:rsidR="00E20F75" w:rsidRPr="00163D43" w:rsidRDefault="00E20F75" w:rsidP="005539EA">
      <w:pPr>
        <w:spacing w:after="240" w:line="240" w:lineRule="auto"/>
        <w:rPr>
          <w:rFonts w:ascii="Arial" w:eastAsia="Times New Roman" w:hAnsi="Arial" w:cs="Arial"/>
          <w:lang w:eastAsia="en-GB"/>
        </w:rPr>
      </w:pPr>
      <w:bookmarkStart w:id="0" w:name="_Hlk191140032"/>
    </w:p>
    <w:p w14:paraId="1086514E" w14:textId="77777777" w:rsidR="00E20F75" w:rsidRPr="00163D43" w:rsidRDefault="00E20F75" w:rsidP="005539EA">
      <w:pPr>
        <w:spacing w:after="240" w:line="240" w:lineRule="auto"/>
        <w:rPr>
          <w:rFonts w:ascii="Arial" w:eastAsia="Times New Roman" w:hAnsi="Arial" w:cs="Arial"/>
          <w:lang w:eastAsia="en-GB"/>
        </w:rPr>
      </w:pPr>
    </w:p>
    <w:p w14:paraId="27D960BF" w14:textId="77777777" w:rsidR="00E20F75" w:rsidRPr="00163D43" w:rsidRDefault="00E20F75" w:rsidP="005539EA">
      <w:pPr>
        <w:spacing w:after="240" w:line="240" w:lineRule="auto"/>
        <w:rPr>
          <w:rFonts w:ascii="Arial" w:eastAsia="Times New Roman" w:hAnsi="Arial" w:cs="Arial"/>
          <w:lang w:eastAsia="en-GB"/>
        </w:rPr>
      </w:pPr>
    </w:p>
    <w:p w14:paraId="06DC956B" w14:textId="77777777" w:rsidR="00E20F75" w:rsidRPr="00163D43" w:rsidRDefault="00E20F75" w:rsidP="005539EA">
      <w:pPr>
        <w:spacing w:after="240" w:line="240" w:lineRule="auto"/>
        <w:rPr>
          <w:rFonts w:ascii="Arial" w:eastAsia="Times New Roman" w:hAnsi="Arial" w:cs="Arial"/>
          <w:lang w:eastAsia="en-GB"/>
        </w:rPr>
      </w:pPr>
    </w:p>
    <w:p w14:paraId="20F4ED63" w14:textId="77777777" w:rsidR="00E20F75" w:rsidRPr="00163D43" w:rsidRDefault="00E20F75" w:rsidP="005539EA">
      <w:pPr>
        <w:spacing w:after="240" w:line="240" w:lineRule="auto"/>
        <w:rPr>
          <w:rFonts w:ascii="Arial" w:eastAsia="Times New Roman" w:hAnsi="Arial" w:cs="Arial"/>
          <w:lang w:eastAsia="en-GB"/>
        </w:rPr>
      </w:pPr>
    </w:p>
    <w:p w14:paraId="109EDC05" w14:textId="77777777" w:rsidR="00E20F75" w:rsidRPr="00163D43" w:rsidRDefault="00E20F75" w:rsidP="005539EA">
      <w:pPr>
        <w:spacing w:after="240" w:line="240" w:lineRule="auto"/>
        <w:rPr>
          <w:rFonts w:ascii="Arial" w:eastAsia="Times New Roman" w:hAnsi="Arial" w:cs="Arial"/>
          <w:lang w:eastAsia="en-GB"/>
        </w:rPr>
      </w:pPr>
    </w:p>
    <w:p w14:paraId="678F8DC7" w14:textId="77777777" w:rsidR="00E20F75" w:rsidRPr="00163D43" w:rsidRDefault="00E20F75" w:rsidP="005539EA">
      <w:pPr>
        <w:spacing w:after="240" w:line="240" w:lineRule="auto"/>
        <w:rPr>
          <w:rFonts w:ascii="Arial" w:eastAsia="Times New Roman" w:hAnsi="Arial" w:cs="Arial"/>
          <w:lang w:eastAsia="en-GB"/>
        </w:rPr>
      </w:pPr>
    </w:p>
    <w:p w14:paraId="72A45322" w14:textId="77777777" w:rsidR="00065003" w:rsidRDefault="00065003" w:rsidP="005539EA">
      <w:pPr>
        <w:spacing w:after="240" w:line="240" w:lineRule="auto"/>
        <w:rPr>
          <w:rFonts w:ascii="Arial" w:eastAsia="Times New Roman" w:hAnsi="Arial" w:cs="Arial"/>
          <w:lang w:eastAsia="en-GB"/>
        </w:rPr>
      </w:pPr>
    </w:p>
    <w:p w14:paraId="29043EBB" w14:textId="24C347C0" w:rsidR="005451CD"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lastRenderedPageBreak/>
        <w:t>2</w:t>
      </w:r>
      <w:r w:rsidR="002C3DDB" w:rsidRPr="00163D43">
        <w:rPr>
          <w:rFonts w:ascii="Arial" w:eastAsia="Times New Roman" w:hAnsi="Arial" w:cs="Arial"/>
          <w:lang w:eastAsia="en-GB"/>
        </w:rPr>
        <w:t>.</w:t>
      </w:r>
      <w:r w:rsidR="005539EA" w:rsidRPr="005539EA">
        <w:rPr>
          <w:rFonts w:ascii="Arial" w:eastAsia="Times New Roman" w:hAnsi="Arial" w:cs="Arial"/>
          <w:lang w:eastAsia="en-GB"/>
        </w:rPr>
        <w:t xml:space="preserve">The framework, rivalry, and outlook of the UK food retail sector </w:t>
      </w:r>
      <w:r w:rsidR="005539EA" w:rsidRPr="005539EA">
        <w:rPr>
          <w:rFonts w:ascii="Arial" w:eastAsia="Times New Roman" w:hAnsi="Arial" w:cs="Arial"/>
          <w:lang w:eastAsia="en-GB"/>
        </w:rPr>
        <w:br/>
      </w:r>
      <w:bookmarkEnd w:id="0"/>
      <w:r w:rsidR="005539EA" w:rsidRPr="005539EA">
        <w:rPr>
          <w:rFonts w:ascii="Arial" w:eastAsia="Times New Roman" w:hAnsi="Arial" w:cs="Arial"/>
          <w:lang w:eastAsia="en-GB"/>
        </w:rPr>
        <w:br/>
        <w:t xml:space="preserve">The retail grocery sector in the UK is a dynamic and highly competitive industry that has seen significant development in recent years. This article </w:t>
      </w:r>
      <w:r w:rsidR="009D1955" w:rsidRPr="00163D43">
        <w:rPr>
          <w:rFonts w:ascii="Arial" w:eastAsia="Times New Roman" w:hAnsi="Arial" w:cs="Arial"/>
          <w:lang w:eastAsia="en-GB"/>
        </w:rPr>
        <w:t>uses</w:t>
      </w:r>
      <w:r w:rsidR="005539EA" w:rsidRPr="005539EA">
        <w:rPr>
          <w:rFonts w:ascii="Arial" w:eastAsia="Times New Roman" w:hAnsi="Arial" w:cs="Arial"/>
          <w:lang w:eastAsia="en-GB"/>
        </w:rPr>
        <w:t xml:space="preserve"> economic theories to analyse the current state of industry participants and evaluate their likely responses to forthcoming challenges in the UK supermarket sector. Strategies to feed environmentally friendly development will be presented at the conclusion of the research, including both short-term and long-term impacts.</w:t>
      </w:r>
      <w:r w:rsidRPr="00163D43">
        <w:rPr>
          <w:rFonts w:ascii="Arial" w:eastAsia="Times New Roman" w:hAnsi="Arial" w:cs="Arial"/>
          <w:lang w:eastAsia="en-GB"/>
        </w:rPr>
        <w:t xml:space="preserve">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bookmarkStart w:id="1" w:name="_Hlk191140049"/>
      <w:r w:rsidRPr="00163D43">
        <w:rPr>
          <w:rFonts w:ascii="Arial" w:eastAsia="Times New Roman" w:hAnsi="Arial" w:cs="Arial"/>
          <w:lang w:eastAsia="en-GB"/>
        </w:rPr>
        <w:t>3</w:t>
      </w:r>
      <w:r w:rsidR="002C3DDB" w:rsidRPr="00163D43">
        <w:rPr>
          <w:rFonts w:ascii="Arial" w:eastAsia="Times New Roman" w:hAnsi="Arial" w:cs="Arial"/>
          <w:lang w:eastAsia="en-GB"/>
        </w:rPr>
        <w:t>.</w:t>
      </w:r>
      <w:r w:rsidR="005539EA" w:rsidRPr="005539EA">
        <w:rPr>
          <w:rFonts w:ascii="Arial" w:eastAsia="Times New Roman" w:hAnsi="Arial" w:cs="Arial"/>
          <w:lang w:eastAsia="en-GB"/>
        </w:rPr>
        <w:t xml:space="preserve">Market structure and industry framework </w:t>
      </w:r>
      <w:bookmarkEnd w:id="1"/>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The "Big Four" companies—Tesco, Sainsbury's, Asda, and Morrisons—predominate the oligopolistic food retail market in the United Kingdom. Nevertheless, budget retailers such as Lidl and Aldi have intensified their competitiveness in the marketplace, while purchasing groceries online has surged in popularity. The industry's total market value was estimated at £294 </w:t>
      </w:r>
      <w:r w:rsidR="009D1955" w:rsidRPr="00163D43">
        <w:rPr>
          <w:rFonts w:ascii="Arial" w:eastAsia="Times New Roman" w:hAnsi="Arial" w:cs="Arial"/>
          <w:lang w:eastAsia="en-GB"/>
        </w:rPr>
        <w:t>billion</w:t>
      </w:r>
      <w:r w:rsidR="005539EA" w:rsidRPr="005539EA">
        <w:rPr>
          <w:rFonts w:ascii="Arial" w:eastAsia="Times New Roman" w:hAnsi="Arial" w:cs="Arial"/>
          <w:lang w:eastAsia="en-GB"/>
        </w:rPr>
        <w:t xml:space="preserve"> in 2024, with an anticipated annual growth rate, or CAGR, of 2.10%, reaching £354 </w:t>
      </w:r>
      <w:r w:rsidR="009D1955" w:rsidRPr="00163D43">
        <w:rPr>
          <w:rFonts w:ascii="Arial" w:eastAsia="Times New Roman" w:hAnsi="Arial" w:cs="Arial"/>
          <w:lang w:eastAsia="en-GB"/>
        </w:rPr>
        <w:t>billion</w:t>
      </w:r>
      <w:r w:rsidR="005539EA" w:rsidRPr="005539EA">
        <w:rPr>
          <w:rFonts w:ascii="Arial" w:eastAsia="Times New Roman" w:hAnsi="Arial" w:cs="Arial"/>
          <w:lang w:eastAsia="en-GB"/>
        </w:rPr>
        <w:t xml:space="preserve"> in 2033 (IMARC Group ,2024). </w:t>
      </w:r>
    </w:p>
    <w:p w14:paraId="6D825EC7" w14:textId="653FA8C1"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The market structure has evolved significantly over the past few </w:t>
      </w:r>
      <w:r w:rsidR="00F1212F" w:rsidRPr="00163D43">
        <w:rPr>
          <w:rFonts w:ascii="Arial" w:eastAsia="Times New Roman" w:hAnsi="Arial" w:cs="Arial"/>
          <w:lang w:eastAsia="en-GB"/>
        </w:rPr>
        <w:t>decades</w:t>
      </w:r>
      <w:r w:rsidRPr="00163D43">
        <w:rPr>
          <w:rFonts w:ascii="Arial" w:eastAsia="Times New Roman" w:hAnsi="Arial" w:cs="Arial"/>
          <w:lang w:eastAsia="en-GB"/>
        </w:rPr>
        <w:t xml:space="preserve"> Stirling </w:t>
      </w:r>
      <w:r w:rsidR="00E20F75" w:rsidRPr="00163D43">
        <w:rPr>
          <w:rFonts w:ascii="Arial" w:eastAsia="Times New Roman" w:hAnsi="Arial" w:cs="Arial"/>
          <w:lang w:eastAsia="en-GB"/>
        </w:rPr>
        <w:t>Retail (</w:t>
      </w:r>
      <w:r w:rsidR="00F1212F" w:rsidRPr="00163D43">
        <w:rPr>
          <w:rFonts w:ascii="Arial" w:eastAsia="Times New Roman" w:hAnsi="Arial" w:cs="Arial"/>
          <w:lang w:eastAsia="en-GB"/>
        </w:rPr>
        <w:t>2024) notes</w:t>
      </w:r>
      <w:r w:rsidRPr="00163D43">
        <w:rPr>
          <w:rFonts w:ascii="Arial" w:eastAsia="Times New Roman" w:hAnsi="Arial" w:cs="Arial"/>
          <w:lang w:eastAsia="en-GB"/>
        </w:rPr>
        <w:t xml:space="preserve"> that the main trends over the last 28 years have included:</w:t>
      </w:r>
    </w:p>
    <w:p w14:paraId="3DDFA94D" w14:textId="77777777"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1.The developing and continued market dominance of Tesco.</w:t>
      </w:r>
    </w:p>
    <w:p w14:paraId="4047A8B6" w14:textId="5228B5A7"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2.The inability of Asda to gain market share sustainably.</w:t>
      </w:r>
    </w:p>
    <w:p w14:paraId="30949717" w14:textId="5C1CFE75"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3.The rise of discounters Aldi and Lidl.</w:t>
      </w:r>
    </w:p>
    <w:p w14:paraId="33F349E6" w14:textId="25022AC5"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4.The replacement of Morrisons as the fourth largest 3 market share (CR</w:t>
      </w:r>
      <w:r w:rsidR="00F1212F" w:rsidRPr="00163D43">
        <w:rPr>
          <w:rFonts w:ascii="Arial" w:eastAsia="Times New Roman" w:hAnsi="Arial" w:cs="Arial"/>
          <w:lang w:eastAsia="en-GB"/>
        </w:rPr>
        <w:t>3) from</w:t>
      </w:r>
      <w:r w:rsidRPr="00163D43">
        <w:rPr>
          <w:rFonts w:ascii="Arial" w:eastAsia="Times New Roman" w:hAnsi="Arial" w:cs="Arial"/>
          <w:lang w:eastAsia="en-GB"/>
        </w:rPr>
        <w:t xml:space="preserve"> its 2007 high.</w:t>
      </w:r>
    </w:p>
    <w:p w14:paraId="28322D8C" w14:textId="6A1C76B7"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This evolution </w:t>
      </w:r>
      <w:r w:rsidR="00E20F75" w:rsidRPr="00163D43">
        <w:rPr>
          <w:rFonts w:ascii="Arial" w:eastAsia="Times New Roman" w:hAnsi="Arial" w:cs="Arial"/>
          <w:lang w:eastAsia="en-GB"/>
        </w:rPr>
        <w:t>demonstrates</w:t>
      </w:r>
      <w:r w:rsidRPr="00163D43">
        <w:rPr>
          <w:rFonts w:ascii="Arial" w:eastAsia="Times New Roman" w:hAnsi="Arial" w:cs="Arial"/>
          <w:lang w:eastAsia="en-GB"/>
        </w:rPr>
        <w:t xml:space="preserve"> the dynamic nature of the market and the increasing competitiveness within the industry.</w:t>
      </w:r>
    </w:p>
    <w:p w14:paraId="1EE69878" w14:textId="77777777" w:rsidR="00B537B6" w:rsidRPr="00163D43" w:rsidRDefault="005539EA" w:rsidP="005539EA">
      <w:pPr>
        <w:spacing w:after="240" w:line="240" w:lineRule="auto"/>
        <w:rPr>
          <w:rFonts w:ascii="Arial" w:eastAsia="Times New Roman" w:hAnsi="Arial" w:cs="Arial"/>
          <w:lang w:eastAsia="en-GB"/>
        </w:rPr>
      </w:pPr>
      <w:r w:rsidRPr="005539EA">
        <w:rPr>
          <w:rFonts w:ascii="Arial" w:eastAsia="Times New Roman" w:hAnsi="Arial" w:cs="Arial"/>
          <w:lang w:eastAsia="en-GB"/>
        </w:rPr>
        <w:t xml:space="preserve">The supermarket channel, valued at £91 billion in 2021 and projected to reach £96.8 billion by 2027, continues to dominate the industry (Statista, 2024). The consumer market structure is evolving, as online food purchasing rose via 5.4% in 2018 over 9% in August 2024, while discount retailers are gaining share of the market (Statista, 2024). </w:t>
      </w:r>
      <w:r w:rsidRPr="005539EA">
        <w:rPr>
          <w:rFonts w:ascii="Arial" w:eastAsia="Times New Roman" w:hAnsi="Arial" w:cs="Arial"/>
          <w:lang w:eastAsia="en-GB"/>
        </w:rPr>
        <w:br/>
      </w:r>
      <w:r w:rsidRPr="005539EA">
        <w:rPr>
          <w:rFonts w:ascii="Arial" w:eastAsia="Times New Roman" w:hAnsi="Arial" w:cs="Arial"/>
          <w:lang w:eastAsia="en-GB"/>
        </w:rPr>
        <w:br/>
        <w:t xml:space="preserve">The Economic Theory of a Firm &amp; Demand and Supply Analyses are two methodologies employed to analyse the market's structure with economic theory. </w:t>
      </w:r>
    </w:p>
    <w:p w14:paraId="612F40BA" w14:textId="77777777" w:rsidR="00065003" w:rsidRDefault="00065003" w:rsidP="005539EA">
      <w:pPr>
        <w:spacing w:after="240" w:line="240" w:lineRule="auto"/>
        <w:rPr>
          <w:rFonts w:ascii="Arial" w:eastAsia="Times New Roman" w:hAnsi="Arial" w:cs="Arial"/>
          <w:lang w:eastAsia="en-GB"/>
        </w:rPr>
      </w:pPr>
      <w:bookmarkStart w:id="2" w:name="_Hlk191146516"/>
    </w:p>
    <w:p w14:paraId="79712C5E" w14:textId="77777777" w:rsidR="00065003" w:rsidRDefault="00065003" w:rsidP="005539EA">
      <w:pPr>
        <w:spacing w:after="240" w:line="240" w:lineRule="auto"/>
        <w:rPr>
          <w:rFonts w:ascii="Arial" w:eastAsia="Times New Roman" w:hAnsi="Arial" w:cs="Arial"/>
          <w:lang w:eastAsia="en-GB"/>
        </w:rPr>
      </w:pPr>
    </w:p>
    <w:p w14:paraId="3333E7F6" w14:textId="77777777" w:rsidR="00065003" w:rsidRDefault="00065003" w:rsidP="005539EA">
      <w:pPr>
        <w:spacing w:after="240" w:line="240" w:lineRule="auto"/>
        <w:rPr>
          <w:rFonts w:ascii="Arial" w:eastAsia="Times New Roman" w:hAnsi="Arial" w:cs="Arial"/>
          <w:lang w:eastAsia="en-GB"/>
        </w:rPr>
      </w:pPr>
    </w:p>
    <w:p w14:paraId="3BF2B8EB" w14:textId="77777777" w:rsidR="00065003" w:rsidRDefault="00065003" w:rsidP="005539EA">
      <w:pPr>
        <w:spacing w:after="240" w:line="240" w:lineRule="auto"/>
        <w:rPr>
          <w:rFonts w:ascii="Arial" w:eastAsia="Times New Roman" w:hAnsi="Arial" w:cs="Arial"/>
          <w:lang w:eastAsia="en-GB"/>
        </w:rPr>
      </w:pPr>
    </w:p>
    <w:p w14:paraId="278484EC" w14:textId="77777777" w:rsidR="00065003" w:rsidRDefault="00065003" w:rsidP="005539EA">
      <w:pPr>
        <w:spacing w:after="240" w:line="240" w:lineRule="auto"/>
        <w:rPr>
          <w:rFonts w:ascii="Arial" w:eastAsia="Times New Roman" w:hAnsi="Arial" w:cs="Arial"/>
          <w:lang w:eastAsia="en-GB"/>
        </w:rPr>
      </w:pPr>
    </w:p>
    <w:p w14:paraId="7B17262B" w14:textId="77777777" w:rsidR="00065003" w:rsidRDefault="00065003" w:rsidP="005539EA">
      <w:pPr>
        <w:spacing w:after="240" w:line="240" w:lineRule="auto"/>
        <w:rPr>
          <w:rFonts w:ascii="Arial" w:eastAsia="Times New Roman" w:hAnsi="Arial" w:cs="Arial"/>
          <w:lang w:eastAsia="en-GB"/>
        </w:rPr>
      </w:pPr>
    </w:p>
    <w:p w14:paraId="687FC75E" w14:textId="77777777" w:rsidR="00065003" w:rsidRDefault="00065003" w:rsidP="005539EA">
      <w:pPr>
        <w:spacing w:after="240" w:line="240" w:lineRule="auto"/>
        <w:rPr>
          <w:rFonts w:ascii="Arial" w:eastAsia="Times New Roman" w:hAnsi="Arial" w:cs="Arial"/>
          <w:lang w:eastAsia="en-GB"/>
        </w:rPr>
      </w:pPr>
    </w:p>
    <w:p w14:paraId="3ED3E8C4" w14:textId="77777777" w:rsidR="0006500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lastRenderedPageBreak/>
        <w:t>Competitive Landscape and Market Shares.</w:t>
      </w:r>
      <w:bookmarkEnd w:id="2"/>
      <w:r w:rsidR="005539EA" w:rsidRPr="005539EA">
        <w:rPr>
          <w:rFonts w:ascii="Arial" w:eastAsia="Times New Roman" w:hAnsi="Arial" w:cs="Arial"/>
          <w:lang w:eastAsia="en-GB"/>
        </w:rPr>
        <w:br/>
      </w:r>
    </w:p>
    <w:p w14:paraId="7F85CA34" w14:textId="525FC34B"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The competitive landscape of the UK grocery retail market has undergone significant changes in recent years. While the Big Four supermarkets still command a substantial market share, discount retailers Aldi and Lidl have made considerable inroads, particularly in the aftermath of the Covid-19 pandemic and during the cost-of-living crisis.</w:t>
      </w:r>
    </w:p>
    <w:p w14:paraId="27644865" w14:textId="2C465A99"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The market share distribution as of 2024 reflects this dynamic:</w:t>
      </w:r>
    </w:p>
    <w:p w14:paraId="7EF96F68" w14:textId="0CB6D85C"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1.Tesco: Approximately 27%</w:t>
      </w:r>
    </w:p>
    <w:p w14:paraId="2795D562" w14:textId="50EECB4C"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2.</w:t>
      </w:r>
      <w:r w:rsidR="00F1212F" w:rsidRPr="00163D43">
        <w:rPr>
          <w:rFonts w:ascii="Arial" w:eastAsia="Times New Roman" w:hAnsi="Arial" w:cs="Arial"/>
          <w:lang w:eastAsia="en-GB"/>
        </w:rPr>
        <w:t>Sainsbury’s: Around</w:t>
      </w:r>
      <w:r w:rsidRPr="00163D43">
        <w:rPr>
          <w:rFonts w:ascii="Arial" w:eastAsia="Times New Roman" w:hAnsi="Arial" w:cs="Arial"/>
          <w:lang w:eastAsia="en-GB"/>
        </w:rPr>
        <w:t xml:space="preserve"> 15%</w:t>
      </w:r>
    </w:p>
    <w:p w14:paraId="09433685" w14:textId="0182FA8B"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3.</w:t>
      </w:r>
      <w:r w:rsidR="00F1212F" w:rsidRPr="00163D43">
        <w:rPr>
          <w:rFonts w:ascii="Arial" w:eastAsia="Times New Roman" w:hAnsi="Arial" w:cs="Arial"/>
          <w:lang w:eastAsia="en-GB"/>
        </w:rPr>
        <w:t>Asda: Roughly</w:t>
      </w:r>
      <w:r w:rsidRPr="00163D43">
        <w:rPr>
          <w:rFonts w:ascii="Arial" w:eastAsia="Times New Roman" w:hAnsi="Arial" w:cs="Arial"/>
          <w:lang w:eastAsia="en-GB"/>
        </w:rPr>
        <w:t xml:space="preserve"> 14%</w:t>
      </w:r>
    </w:p>
    <w:p w14:paraId="5857C683" w14:textId="57BF6FB6"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4.</w:t>
      </w:r>
      <w:r w:rsidR="00F1212F" w:rsidRPr="00163D43">
        <w:rPr>
          <w:rFonts w:ascii="Arial" w:eastAsia="Times New Roman" w:hAnsi="Arial" w:cs="Arial"/>
          <w:lang w:eastAsia="en-GB"/>
        </w:rPr>
        <w:t>Morrisons: About</w:t>
      </w:r>
      <w:r w:rsidRPr="00163D43">
        <w:rPr>
          <w:rFonts w:ascii="Arial" w:eastAsia="Times New Roman" w:hAnsi="Arial" w:cs="Arial"/>
          <w:lang w:eastAsia="en-GB"/>
        </w:rPr>
        <w:t xml:space="preserve"> 10%</w:t>
      </w:r>
    </w:p>
    <w:p w14:paraId="1F8117E5" w14:textId="784572CC"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5.</w:t>
      </w:r>
      <w:r w:rsidR="00F1212F" w:rsidRPr="00163D43">
        <w:rPr>
          <w:rFonts w:ascii="Arial" w:eastAsia="Times New Roman" w:hAnsi="Arial" w:cs="Arial"/>
          <w:lang w:eastAsia="en-GB"/>
        </w:rPr>
        <w:t>Aldi: Approximately</w:t>
      </w:r>
      <w:r w:rsidRPr="00163D43">
        <w:rPr>
          <w:rFonts w:ascii="Arial" w:eastAsia="Times New Roman" w:hAnsi="Arial" w:cs="Arial"/>
          <w:lang w:eastAsia="en-GB"/>
        </w:rPr>
        <w:t xml:space="preserve"> 8%</w:t>
      </w:r>
    </w:p>
    <w:p w14:paraId="1E42F395" w14:textId="09F2F161"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6.</w:t>
      </w:r>
      <w:r w:rsidR="00F1212F" w:rsidRPr="00163D43">
        <w:rPr>
          <w:rFonts w:ascii="Arial" w:eastAsia="Times New Roman" w:hAnsi="Arial" w:cs="Arial"/>
          <w:lang w:eastAsia="en-GB"/>
        </w:rPr>
        <w:t>Lidl: Around</w:t>
      </w:r>
      <w:r w:rsidRPr="00163D43">
        <w:rPr>
          <w:rFonts w:ascii="Arial" w:eastAsia="Times New Roman" w:hAnsi="Arial" w:cs="Arial"/>
          <w:lang w:eastAsia="en-GB"/>
        </w:rPr>
        <w:t xml:space="preserve"> 6%</w:t>
      </w:r>
    </w:p>
    <w:p w14:paraId="436D2BB1" w14:textId="1C3DD274"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7.</w:t>
      </w:r>
      <w:r w:rsidR="00F1212F" w:rsidRPr="00163D43">
        <w:rPr>
          <w:rFonts w:ascii="Arial" w:eastAsia="Times New Roman" w:hAnsi="Arial" w:cs="Arial"/>
          <w:lang w:eastAsia="en-GB"/>
        </w:rPr>
        <w:t>Lidl: Around</w:t>
      </w:r>
      <w:r w:rsidRPr="00163D43">
        <w:rPr>
          <w:rFonts w:ascii="Arial" w:eastAsia="Times New Roman" w:hAnsi="Arial" w:cs="Arial"/>
          <w:lang w:eastAsia="en-GB"/>
        </w:rPr>
        <w:t xml:space="preserve"> 6%</w:t>
      </w:r>
    </w:p>
    <w:p w14:paraId="6A518DB0" w14:textId="312176B9"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This distribution </w:t>
      </w:r>
      <w:r w:rsidR="00F1212F" w:rsidRPr="00163D43">
        <w:rPr>
          <w:rFonts w:ascii="Arial" w:eastAsia="Times New Roman" w:hAnsi="Arial" w:cs="Arial"/>
          <w:lang w:eastAsia="en-GB"/>
        </w:rPr>
        <w:t>demonstrates</w:t>
      </w:r>
      <w:r w:rsidRPr="00163D43">
        <w:rPr>
          <w:rFonts w:ascii="Arial" w:eastAsia="Times New Roman" w:hAnsi="Arial" w:cs="Arial"/>
          <w:lang w:eastAsia="en-GB"/>
        </w:rPr>
        <w:t xml:space="preserve"> the growth influence of discount retailers with Aldi and Lidl collectively capturing about 14% of the market, a significant increase from their position a decade ago.</w:t>
      </w:r>
      <w:r w:rsidR="005539EA" w:rsidRPr="005539EA">
        <w:rPr>
          <w:rFonts w:ascii="Arial" w:eastAsia="Times New Roman" w:hAnsi="Arial" w:cs="Arial"/>
          <w:lang w:eastAsia="en-GB"/>
        </w:rPr>
        <w:br/>
      </w:r>
      <w:bookmarkStart w:id="3" w:name="_Hlk191140065"/>
    </w:p>
    <w:p w14:paraId="2F9BEFF6" w14:textId="77777777" w:rsidR="00B537B6" w:rsidRPr="00163D43" w:rsidRDefault="00B537B6" w:rsidP="005539EA">
      <w:pPr>
        <w:spacing w:after="240" w:line="240" w:lineRule="auto"/>
        <w:rPr>
          <w:rFonts w:ascii="Arial" w:eastAsia="Times New Roman" w:hAnsi="Arial" w:cs="Arial"/>
          <w:lang w:eastAsia="en-GB"/>
        </w:rPr>
      </w:pPr>
    </w:p>
    <w:p w14:paraId="2F91A088" w14:textId="77777777" w:rsidR="00B537B6" w:rsidRPr="00163D43" w:rsidRDefault="00B537B6" w:rsidP="005539EA">
      <w:pPr>
        <w:spacing w:after="240" w:line="240" w:lineRule="auto"/>
        <w:rPr>
          <w:rFonts w:ascii="Arial" w:eastAsia="Times New Roman" w:hAnsi="Arial" w:cs="Arial"/>
          <w:lang w:eastAsia="en-GB"/>
        </w:rPr>
      </w:pPr>
    </w:p>
    <w:p w14:paraId="1D8FFD88" w14:textId="77777777" w:rsidR="00B537B6" w:rsidRPr="00163D43" w:rsidRDefault="00B537B6" w:rsidP="005539EA">
      <w:pPr>
        <w:spacing w:after="240" w:line="240" w:lineRule="auto"/>
        <w:rPr>
          <w:rFonts w:ascii="Arial" w:eastAsia="Times New Roman" w:hAnsi="Arial" w:cs="Arial"/>
          <w:lang w:eastAsia="en-GB"/>
        </w:rPr>
      </w:pPr>
    </w:p>
    <w:p w14:paraId="28F2C265" w14:textId="77777777" w:rsidR="00B537B6" w:rsidRPr="00163D43" w:rsidRDefault="00B537B6" w:rsidP="005539EA">
      <w:pPr>
        <w:spacing w:after="240" w:line="240" w:lineRule="auto"/>
        <w:rPr>
          <w:rFonts w:ascii="Arial" w:eastAsia="Times New Roman" w:hAnsi="Arial" w:cs="Arial"/>
          <w:lang w:eastAsia="en-GB"/>
        </w:rPr>
      </w:pPr>
    </w:p>
    <w:p w14:paraId="0ADC92AB" w14:textId="77777777" w:rsidR="00612D6A" w:rsidRDefault="00612D6A" w:rsidP="005539EA">
      <w:pPr>
        <w:spacing w:after="240" w:line="240" w:lineRule="auto"/>
        <w:rPr>
          <w:rFonts w:ascii="Arial" w:eastAsia="Times New Roman" w:hAnsi="Arial" w:cs="Arial"/>
          <w:lang w:eastAsia="en-GB"/>
        </w:rPr>
      </w:pPr>
    </w:p>
    <w:p w14:paraId="7388DD34" w14:textId="77777777" w:rsidR="00612D6A" w:rsidRDefault="00612D6A" w:rsidP="005539EA">
      <w:pPr>
        <w:spacing w:after="240" w:line="240" w:lineRule="auto"/>
        <w:rPr>
          <w:rFonts w:ascii="Arial" w:eastAsia="Times New Roman" w:hAnsi="Arial" w:cs="Arial"/>
          <w:lang w:eastAsia="en-GB"/>
        </w:rPr>
      </w:pPr>
    </w:p>
    <w:p w14:paraId="28DDD6D1" w14:textId="77777777" w:rsidR="00612D6A" w:rsidRDefault="00612D6A" w:rsidP="005539EA">
      <w:pPr>
        <w:spacing w:after="240" w:line="240" w:lineRule="auto"/>
        <w:rPr>
          <w:rFonts w:ascii="Arial" w:eastAsia="Times New Roman" w:hAnsi="Arial" w:cs="Arial"/>
          <w:lang w:eastAsia="en-GB"/>
        </w:rPr>
      </w:pPr>
    </w:p>
    <w:p w14:paraId="0DF40AB3" w14:textId="77777777" w:rsidR="00612D6A" w:rsidRDefault="00612D6A" w:rsidP="005539EA">
      <w:pPr>
        <w:spacing w:after="240" w:line="240" w:lineRule="auto"/>
        <w:rPr>
          <w:rFonts w:ascii="Arial" w:eastAsia="Times New Roman" w:hAnsi="Arial" w:cs="Arial"/>
          <w:lang w:eastAsia="en-GB"/>
        </w:rPr>
      </w:pPr>
    </w:p>
    <w:p w14:paraId="6DFE7BC8" w14:textId="77777777" w:rsidR="00612D6A" w:rsidRDefault="00612D6A" w:rsidP="005539EA">
      <w:pPr>
        <w:spacing w:after="240" w:line="240" w:lineRule="auto"/>
        <w:rPr>
          <w:rFonts w:ascii="Arial" w:eastAsia="Times New Roman" w:hAnsi="Arial" w:cs="Arial"/>
          <w:lang w:eastAsia="en-GB"/>
        </w:rPr>
      </w:pPr>
    </w:p>
    <w:p w14:paraId="59D63BAB" w14:textId="77777777" w:rsidR="00612D6A" w:rsidRDefault="00612D6A" w:rsidP="005539EA">
      <w:pPr>
        <w:spacing w:after="240" w:line="240" w:lineRule="auto"/>
        <w:rPr>
          <w:rFonts w:ascii="Arial" w:eastAsia="Times New Roman" w:hAnsi="Arial" w:cs="Arial"/>
          <w:lang w:eastAsia="en-GB"/>
        </w:rPr>
      </w:pPr>
    </w:p>
    <w:p w14:paraId="69D5E9A5" w14:textId="77777777" w:rsidR="00612D6A" w:rsidRDefault="00612D6A" w:rsidP="005539EA">
      <w:pPr>
        <w:spacing w:after="240" w:line="240" w:lineRule="auto"/>
        <w:rPr>
          <w:rFonts w:ascii="Arial" w:eastAsia="Times New Roman" w:hAnsi="Arial" w:cs="Arial"/>
          <w:lang w:eastAsia="en-GB"/>
        </w:rPr>
      </w:pPr>
    </w:p>
    <w:p w14:paraId="6A3CEF93" w14:textId="77777777" w:rsidR="00612D6A" w:rsidRDefault="00612D6A" w:rsidP="005539EA">
      <w:pPr>
        <w:spacing w:after="240" w:line="240" w:lineRule="auto"/>
        <w:rPr>
          <w:rFonts w:ascii="Arial" w:eastAsia="Times New Roman" w:hAnsi="Arial" w:cs="Arial"/>
          <w:lang w:eastAsia="en-GB"/>
        </w:rPr>
      </w:pPr>
    </w:p>
    <w:p w14:paraId="5DD104E8" w14:textId="77777777" w:rsidR="00612D6A" w:rsidRDefault="00612D6A" w:rsidP="005539EA">
      <w:pPr>
        <w:spacing w:after="240" w:line="240" w:lineRule="auto"/>
        <w:rPr>
          <w:rFonts w:ascii="Arial" w:eastAsia="Times New Roman" w:hAnsi="Arial" w:cs="Arial"/>
          <w:lang w:eastAsia="en-GB"/>
        </w:rPr>
      </w:pPr>
    </w:p>
    <w:p w14:paraId="1BE35BEA" w14:textId="77777777" w:rsidR="00065003" w:rsidRDefault="00065003" w:rsidP="005539EA">
      <w:pPr>
        <w:spacing w:after="240" w:line="240" w:lineRule="auto"/>
        <w:rPr>
          <w:rFonts w:ascii="Arial" w:eastAsia="Times New Roman" w:hAnsi="Arial" w:cs="Arial"/>
          <w:lang w:eastAsia="en-GB"/>
        </w:rPr>
      </w:pPr>
    </w:p>
    <w:p w14:paraId="02BF2EE0" w14:textId="62957CD8" w:rsidR="005451CD"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lastRenderedPageBreak/>
        <w:t>4</w:t>
      </w:r>
      <w:r w:rsidR="002C3DDB" w:rsidRPr="00163D43">
        <w:rPr>
          <w:rFonts w:ascii="Arial" w:eastAsia="Times New Roman" w:hAnsi="Arial" w:cs="Arial"/>
          <w:lang w:eastAsia="en-GB"/>
        </w:rPr>
        <w:t>.</w:t>
      </w:r>
      <w:r w:rsidR="005539EA" w:rsidRPr="005539EA">
        <w:rPr>
          <w:rFonts w:ascii="Arial" w:eastAsia="Times New Roman" w:hAnsi="Arial" w:cs="Arial"/>
          <w:lang w:eastAsia="en-GB"/>
        </w:rPr>
        <w:t>Theory of the Firm</w:t>
      </w:r>
      <w:bookmarkEnd w:id="3"/>
      <w:r w:rsidR="00B537B6" w:rsidRPr="00163D43">
        <w:rPr>
          <w:rFonts w:ascii="Arial" w:eastAsia="Times New Roman" w:hAnsi="Arial" w:cs="Arial"/>
          <w:lang w:eastAsia="en-GB"/>
        </w:rPr>
        <w:t>.</w:t>
      </w:r>
    </w:p>
    <w:p w14:paraId="0C1377C7" w14:textId="02F052B9"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The theory of the firm can be applied to understand the behaviour and strategies of grocery retailers in UK market, </w:t>
      </w:r>
      <w:r w:rsidR="00F1212F" w:rsidRPr="00163D43">
        <w:rPr>
          <w:rFonts w:ascii="Arial" w:eastAsia="Times New Roman" w:hAnsi="Arial" w:cs="Arial"/>
          <w:lang w:eastAsia="en-GB"/>
        </w:rPr>
        <w:t>in</w:t>
      </w:r>
      <w:r w:rsidRPr="00163D43">
        <w:rPr>
          <w:rFonts w:ascii="Arial" w:eastAsia="Times New Roman" w:hAnsi="Arial" w:cs="Arial"/>
          <w:lang w:eastAsia="en-GB"/>
        </w:rPr>
        <w:t xml:space="preserve"> this oligopolistic structure firms make decisions based on their </w:t>
      </w:r>
      <w:r w:rsidR="00F1212F" w:rsidRPr="00163D43">
        <w:rPr>
          <w:rFonts w:ascii="Arial" w:eastAsia="Times New Roman" w:hAnsi="Arial" w:cs="Arial"/>
          <w:lang w:eastAsia="en-GB"/>
        </w:rPr>
        <w:t>competitors’</w:t>
      </w:r>
      <w:r w:rsidRPr="00163D43">
        <w:rPr>
          <w:rFonts w:ascii="Arial" w:eastAsia="Times New Roman" w:hAnsi="Arial" w:cs="Arial"/>
          <w:lang w:eastAsia="en-GB"/>
        </w:rPr>
        <w:t xml:space="preserve"> actions, leading to interdependent behaviour. For instance, when Aldi and Lidl entered the market with their low-cost, no-frills approach, it forced the Big Four to reassess their strategies. This resulted in the development of their own budget ranges and a greater focus on price competitiveness. This interdependence is a </w:t>
      </w:r>
      <w:r w:rsidR="00F1212F" w:rsidRPr="00163D43">
        <w:rPr>
          <w:rFonts w:ascii="Arial" w:eastAsia="Times New Roman" w:hAnsi="Arial" w:cs="Arial"/>
          <w:lang w:eastAsia="en-GB"/>
        </w:rPr>
        <w:t>key characteristic of oligopolistic markets</w:t>
      </w:r>
      <w:r w:rsidRPr="00163D43">
        <w:rPr>
          <w:rFonts w:ascii="Arial" w:eastAsia="Times New Roman" w:hAnsi="Arial" w:cs="Arial"/>
          <w:lang w:eastAsia="en-GB"/>
        </w:rPr>
        <w:t>, where firms must constantly adapt to maintain their market position.</w:t>
      </w:r>
    </w:p>
    <w:p w14:paraId="28FF0B0E" w14:textId="77777777" w:rsidR="00F1212F" w:rsidRDefault="005539EA" w:rsidP="005539EA">
      <w:pPr>
        <w:spacing w:after="240" w:line="240" w:lineRule="auto"/>
        <w:rPr>
          <w:rFonts w:ascii="Arial" w:eastAsia="Times New Roman" w:hAnsi="Arial" w:cs="Arial"/>
          <w:lang w:eastAsia="en-GB"/>
        </w:rPr>
      </w:pPr>
      <w:r w:rsidRPr="005539EA">
        <w:rPr>
          <w:rFonts w:ascii="Arial" w:eastAsia="Times New Roman" w:hAnsi="Arial" w:cs="Arial"/>
          <w:lang w:eastAsia="en-GB"/>
        </w:rPr>
        <w:t xml:space="preserve">The operations of enterprises within the United Kingdom food retail sector are elucidated with the concept of the Firm. Firms in a market that is oligopolistic are interdependent, and their decisions are influenced by the actions of their competitors. This is evident in the British grocery market, where other than price rivalry and pricing strategies are significant elements. </w:t>
      </w:r>
      <w:r w:rsidRPr="005539EA">
        <w:rPr>
          <w:rFonts w:ascii="Arial" w:eastAsia="Times New Roman" w:hAnsi="Arial" w:cs="Arial"/>
          <w:lang w:eastAsia="en-GB"/>
        </w:rPr>
        <w:br/>
      </w:r>
      <w:r w:rsidRPr="005539EA">
        <w:rPr>
          <w:rFonts w:ascii="Arial" w:eastAsia="Times New Roman" w:hAnsi="Arial" w:cs="Arial"/>
          <w:lang w:eastAsia="en-GB"/>
        </w:rPr>
        <w:br/>
      </w:r>
    </w:p>
    <w:p w14:paraId="6BB73340" w14:textId="259A3C10" w:rsidR="00B537B6" w:rsidRPr="00163D43" w:rsidRDefault="005539EA" w:rsidP="005539EA">
      <w:pPr>
        <w:spacing w:after="240" w:line="240" w:lineRule="auto"/>
        <w:rPr>
          <w:rFonts w:ascii="Arial" w:eastAsia="Times New Roman" w:hAnsi="Arial" w:cs="Arial"/>
          <w:lang w:eastAsia="en-GB"/>
        </w:rPr>
      </w:pPr>
      <w:r w:rsidRPr="005539EA">
        <w:rPr>
          <w:rFonts w:ascii="Arial" w:eastAsia="Times New Roman" w:hAnsi="Arial" w:cs="Arial"/>
          <w:lang w:eastAsia="en-GB"/>
        </w:rPr>
        <w:t xml:space="preserve">Economy of Scale: As production increases, the four largest supermarkets may reduce average costs by exploiting economies of scale. Consequently, they can make investments in technology and infrastructure while offering reasonable prices. Nonetheless, via their international operations, discount retailers like as Aldi and Lidl have achieved economies of scale, enabling them to effectively compete on price. </w:t>
      </w:r>
      <w:r w:rsidRPr="005539EA">
        <w:rPr>
          <w:rFonts w:ascii="Arial" w:eastAsia="Times New Roman" w:hAnsi="Arial" w:cs="Arial"/>
          <w:lang w:eastAsia="en-GB"/>
        </w:rPr>
        <w:br/>
      </w:r>
      <w:r w:rsidRPr="005539EA">
        <w:rPr>
          <w:rFonts w:ascii="Arial" w:eastAsia="Times New Roman" w:hAnsi="Arial" w:cs="Arial"/>
          <w:lang w:eastAsia="en-GB"/>
        </w:rPr>
        <w:br/>
        <w:t xml:space="preserve">Product Difference: The Four Major Retailers have concentrated in differentiated products in their non-price competition to offset the threat presented by bargain retailers. This involves expanding their assortment of premium and exclusive products, enhancing store layouts, and improving customer service. Tesco has invested in its "Finest" range to appeal to quality-conscious customers (Retail Economics, 2024). </w:t>
      </w:r>
      <w:r w:rsidRPr="005539EA">
        <w:rPr>
          <w:rFonts w:ascii="Arial" w:eastAsia="Times New Roman" w:hAnsi="Arial" w:cs="Arial"/>
          <w:lang w:eastAsia="en-GB"/>
        </w:rPr>
        <w:br/>
      </w:r>
      <w:r w:rsidRPr="005539EA">
        <w:rPr>
          <w:rFonts w:ascii="Arial" w:eastAsia="Times New Roman" w:hAnsi="Arial" w:cs="Arial"/>
          <w:lang w:eastAsia="en-GB"/>
        </w:rPr>
        <w:br/>
        <w:t xml:space="preserve">Entry barriers: Despite the significant entry barriers in the UK grocery sector, arising from the requirement for considerable capital investment and established supply chains, discount retailers have successfully increased their market share. This suggests that innovative company tactics might transcend these challenges and challenge the traditional oligopolistic framework. </w:t>
      </w:r>
      <w:r w:rsidRPr="005539EA">
        <w:rPr>
          <w:rFonts w:ascii="Arial" w:eastAsia="Times New Roman" w:hAnsi="Arial" w:cs="Arial"/>
          <w:lang w:eastAsia="en-GB"/>
        </w:rPr>
        <w:br/>
      </w:r>
      <w:r w:rsidRPr="005539EA">
        <w:rPr>
          <w:rFonts w:ascii="Arial" w:eastAsia="Times New Roman" w:hAnsi="Arial" w:cs="Arial"/>
          <w:lang w:eastAsia="en-GB"/>
        </w:rPr>
        <w:br/>
      </w:r>
      <w:bookmarkStart w:id="4" w:name="_Hlk191140079"/>
      <w:r w:rsidR="00E20F75" w:rsidRPr="00163D43">
        <w:rPr>
          <w:rFonts w:ascii="Arial" w:eastAsia="Times New Roman" w:hAnsi="Arial" w:cs="Arial"/>
          <w:lang w:eastAsia="en-GB"/>
        </w:rPr>
        <w:t>5</w:t>
      </w:r>
      <w:r w:rsidR="002C3DDB" w:rsidRPr="00163D43">
        <w:rPr>
          <w:rFonts w:ascii="Arial" w:eastAsia="Times New Roman" w:hAnsi="Arial" w:cs="Arial"/>
          <w:lang w:eastAsia="en-GB"/>
        </w:rPr>
        <w:t>.</w:t>
      </w:r>
      <w:r w:rsidRPr="005539EA">
        <w:rPr>
          <w:rFonts w:ascii="Arial" w:eastAsia="Times New Roman" w:hAnsi="Arial" w:cs="Arial"/>
          <w:lang w:eastAsia="en-GB"/>
        </w:rPr>
        <w:t xml:space="preserve">Examination of Demand and Supplies </w:t>
      </w:r>
      <w:bookmarkEnd w:id="4"/>
      <w:r w:rsidRPr="005539EA">
        <w:rPr>
          <w:rFonts w:ascii="Arial" w:eastAsia="Times New Roman" w:hAnsi="Arial" w:cs="Arial"/>
          <w:lang w:eastAsia="en-GB"/>
        </w:rPr>
        <w:br/>
      </w:r>
      <w:r w:rsidRPr="005539EA">
        <w:rPr>
          <w:rFonts w:ascii="Arial" w:eastAsia="Times New Roman" w:hAnsi="Arial" w:cs="Arial"/>
          <w:lang w:eastAsia="en-GB"/>
        </w:rPr>
        <w:br/>
        <w:t xml:space="preserve">The supply and demand dynamic in the United Kingdom grocery sector have undergone substantial alterations, particularly in response to evolving consumer preferences and economic constraints. </w:t>
      </w:r>
      <w:r w:rsidR="00B537B6" w:rsidRPr="00163D43">
        <w:rPr>
          <w:rFonts w:ascii="Arial" w:eastAsia="Times New Roman" w:hAnsi="Arial" w:cs="Arial"/>
          <w:lang w:eastAsia="en-GB"/>
        </w:rPr>
        <w:t xml:space="preserve">On the supply side, retailers have had to contend with rising cost, including increased energy prices, supply chain disruptions and labour shortages. These factors have put pressure on margins and influenced pricing strategies across the industry. </w:t>
      </w:r>
    </w:p>
    <w:p w14:paraId="3748CD76" w14:textId="77777777" w:rsidR="0006500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The interaction of these demand and supply factors has led to a market equilibrium that favours retailers able to offer competitive prices while maintaining quality. This has contributed to the success of discount retailer and has forced traditional supermarkets to innovate and adapt their business models.</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The rising elasticity of prices for buyers of groceries is attributable to significant inflation in food prices and the cost-of-living crisis. Customers transitioned to discount retailers due to heightened price sensitivity following a 45-year peak in food prices in 2023 (ONS, cited in BBC, 2024). This elucidates the reason that Lidl and Aldi are increasing their market share as consumers opt for pricier items over cheaper alternatives.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p>
    <w:p w14:paraId="0F02171A" w14:textId="7C49D3A1" w:rsidR="00B537B6" w:rsidRPr="00163D43" w:rsidRDefault="005539EA" w:rsidP="005539EA">
      <w:pPr>
        <w:spacing w:after="240" w:line="240" w:lineRule="auto"/>
        <w:rPr>
          <w:rFonts w:ascii="Arial" w:eastAsia="Times New Roman" w:hAnsi="Arial" w:cs="Arial"/>
          <w:lang w:eastAsia="en-GB"/>
        </w:rPr>
      </w:pPr>
      <w:r w:rsidRPr="005539EA">
        <w:rPr>
          <w:rFonts w:ascii="Arial" w:eastAsia="Times New Roman" w:hAnsi="Arial" w:cs="Arial"/>
          <w:lang w:eastAsia="en-GB"/>
        </w:rPr>
        <w:lastRenderedPageBreak/>
        <w:t xml:space="preserve">The food sector has characteristics of both luxury and need in terms of income elasticity of demand. Basic food goods had an uncertain elasticity of demand due to their status as essentials. The Big Four have invested into premium ranges to attract those with higher incomes who are less affected by economic challenges, since costly &amp; organic products have more income elasticity. </w:t>
      </w:r>
      <w:r w:rsidRPr="005539EA">
        <w:rPr>
          <w:rFonts w:ascii="Arial" w:eastAsia="Times New Roman" w:hAnsi="Arial" w:cs="Arial"/>
          <w:lang w:eastAsia="en-GB"/>
        </w:rPr>
        <w:br/>
      </w:r>
      <w:r w:rsidRPr="005539EA">
        <w:rPr>
          <w:rFonts w:ascii="Arial" w:eastAsia="Times New Roman" w:hAnsi="Arial" w:cs="Arial"/>
          <w:lang w:eastAsia="en-GB"/>
        </w:rPr>
        <w:br/>
        <w:t xml:space="preserve">Supplier Factors such as Global disruptions to supply chains and Brexit have affected the supply side of the UK grocery business. Retailers currently encounter increased costs due to these challenges, potentially diminishing their profit margins. Consequently, grocers have had to uphold price competitiveness while collaborating with suppliers and optimising their supply chains. </w:t>
      </w:r>
      <w:r w:rsidRPr="005539EA">
        <w:rPr>
          <w:rFonts w:ascii="Arial" w:eastAsia="Times New Roman" w:hAnsi="Arial" w:cs="Arial"/>
          <w:lang w:eastAsia="en-GB"/>
        </w:rPr>
        <w:br/>
      </w:r>
      <w:r w:rsidRPr="005539EA">
        <w:rPr>
          <w:rFonts w:ascii="Arial" w:eastAsia="Times New Roman" w:hAnsi="Arial" w:cs="Arial"/>
          <w:lang w:eastAsia="en-GB"/>
        </w:rPr>
        <w:br/>
      </w:r>
      <w:bookmarkStart w:id="5" w:name="_Hlk191140097"/>
      <w:r w:rsidR="00E20F75" w:rsidRPr="00163D43">
        <w:rPr>
          <w:rFonts w:ascii="Arial" w:eastAsia="Times New Roman" w:hAnsi="Arial" w:cs="Arial"/>
          <w:lang w:eastAsia="en-GB"/>
        </w:rPr>
        <w:t>6</w:t>
      </w:r>
      <w:r w:rsidR="002C3DDB" w:rsidRPr="00163D43">
        <w:rPr>
          <w:rFonts w:ascii="Arial" w:eastAsia="Times New Roman" w:hAnsi="Arial" w:cs="Arial"/>
          <w:lang w:eastAsia="en-GB"/>
        </w:rPr>
        <w:t>.</w:t>
      </w:r>
      <w:r w:rsidRPr="005539EA">
        <w:rPr>
          <w:rFonts w:ascii="Arial" w:eastAsia="Times New Roman" w:hAnsi="Arial" w:cs="Arial"/>
          <w:lang w:eastAsia="en-GB"/>
        </w:rPr>
        <w:t xml:space="preserve">Current Status of Industry </w:t>
      </w:r>
      <w:bookmarkEnd w:id="5"/>
      <w:r w:rsidR="00B537B6" w:rsidRPr="00163D43">
        <w:rPr>
          <w:rFonts w:ascii="Arial" w:eastAsia="Times New Roman" w:hAnsi="Arial" w:cs="Arial"/>
          <w:lang w:eastAsia="en-GB"/>
        </w:rPr>
        <w:t xml:space="preserve">Participants. The cost -of-living crisis has been a significant challenge for the UK grocery retail market, Whit food prices reaching record highs, consumers have become increasingly price-sensitive. In response retailers have adopted various strategies like: </w:t>
      </w:r>
    </w:p>
    <w:p w14:paraId="632F0596" w14:textId="17667123"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Price Matching: Many supermarkets have introduced price-matching schemes to compete with discounters. For example, Tesco-Aldi Price Match initiative aims to match hundreds of everyday items to Aldi prices.</w:t>
      </w:r>
    </w:p>
    <w:p w14:paraId="6E042292" w14:textId="7D10F859"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Loyalty Programs: The Big Four have enhanced their loyalty card schemes to drive value for consumers. Sainsbury’s for instance has increased the value of Nectar points when spent on groceries.</w:t>
      </w:r>
    </w:p>
    <w:p w14:paraId="1F907C1F" w14:textId="13349F45" w:rsidR="00B537B6" w:rsidRPr="00163D43" w:rsidRDefault="00B537B6"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Own-Brand </w:t>
      </w:r>
      <w:r w:rsidR="00612D6A" w:rsidRPr="00163D43">
        <w:rPr>
          <w:rFonts w:ascii="Arial" w:eastAsia="Times New Roman" w:hAnsi="Arial" w:cs="Arial"/>
          <w:lang w:eastAsia="en-GB"/>
        </w:rPr>
        <w:t>Expansion: Supermarkets</w:t>
      </w:r>
      <w:r w:rsidRPr="00163D43">
        <w:rPr>
          <w:rFonts w:ascii="Arial" w:eastAsia="Times New Roman" w:hAnsi="Arial" w:cs="Arial"/>
          <w:lang w:eastAsia="en-GB"/>
        </w:rPr>
        <w:t xml:space="preserve"> have expanded their range of own-brand products, offering cheaper alternatives to branded goods without compromising on quality.</w:t>
      </w:r>
    </w:p>
    <w:p w14:paraId="335ABDC3" w14:textId="77777777" w:rsidR="00B537B6" w:rsidRPr="00163D43" w:rsidRDefault="00B537B6" w:rsidP="005539EA">
      <w:pPr>
        <w:spacing w:after="240" w:line="240" w:lineRule="auto"/>
        <w:rPr>
          <w:rFonts w:ascii="Arial" w:eastAsia="Times New Roman" w:hAnsi="Arial" w:cs="Arial"/>
          <w:lang w:eastAsia="en-GB"/>
        </w:rPr>
      </w:pPr>
    </w:p>
    <w:p w14:paraId="24D9DE67" w14:textId="1E07BBEC"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The latest market share data from Kantar(2024)provides insights into the current position of industry participants:</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Despite Sainsbury's, Tesco, Asda, and Morrisons maintaining their status as market leaders, budget retailers and evolving consumer behaviours are challenging their supremacy.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r w:rsidRPr="00163D43">
        <w:rPr>
          <w:rFonts w:ascii="Arial" w:eastAsia="Times New Roman" w:hAnsi="Arial" w:cs="Arial"/>
          <w:lang w:eastAsia="en-GB"/>
        </w:rPr>
        <w:t>1.</w:t>
      </w:r>
      <w:r w:rsidR="005539EA" w:rsidRPr="005539EA">
        <w:rPr>
          <w:rFonts w:ascii="Arial" w:eastAsia="Times New Roman" w:hAnsi="Arial" w:cs="Arial"/>
          <w:lang w:eastAsia="en-GB"/>
        </w:rPr>
        <w:t xml:space="preserve">Tesco has focused on leveraging its scale and expanding its product range as the market leader. </w:t>
      </w:r>
      <w:r w:rsidRPr="00163D43">
        <w:rPr>
          <w:rFonts w:ascii="Arial" w:eastAsia="Times New Roman" w:hAnsi="Arial" w:cs="Arial"/>
          <w:lang w:eastAsia="en-GB"/>
        </w:rPr>
        <w:t>Tesco has maintained its dominant position with market share of 27.9% as of November 2024.The company has focused on leveraging its scale and diversifying its offering, investing heavily in its online capabilities and loyalty program, Clubcard, to retain customers and drive value.</w:t>
      </w:r>
    </w:p>
    <w:p w14:paraId="320B553B" w14:textId="6DEAA623"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 xml:space="preserve">2.Sainsbury’s: With a market share of 15.5%, Sainsbury has emphasized quality and convenience, </w:t>
      </w:r>
      <w:r w:rsidR="00E20F75" w:rsidRPr="00163D43">
        <w:rPr>
          <w:rFonts w:ascii="Arial" w:eastAsia="Times New Roman" w:hAnsi="Arial" w:cs="Arial"/>
          <w:lang w:eastAsia="en-GB"/>
        </w:rPr>
        <w:t>expanded</w:t>
      </w:r>
      <w:r w:rsidRPr="00163D43">
        <w:rPr>
          <w:rFonts w:ascii="Arial" w:eastAsia="Times New Roman" w:hAnsi="Arial" w:cs="Arial"/>
          <w:lang w:eastAsia="en-GB"/>
        </w:rPr>
        <w:t xml:space="preserve"> its premium ranges and investing in its online presence. The company saw a rise in both shopper numbers and trips in the latest period. Sainsbury’s</w:t>
      </w:r>
      <w:r w:rsidR="005539EA" w:rsidRPr="005539EA">
        <w:rPr>
          <w:rFonts w:ascii="Arial" w:eastAsia="Times New Roman" w:hAnsi="Arial" w:cs="Arial"/>
          <w:lang w:eastAsia="en-GB"/>
        </w:rPr>
        <w:t xml:space="preserve"> has emphasised both quality and accessibility by expanding its premium product lines and enhancing its Argos integration to provide a broader range of items (Retail Economics, 2024).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r w:rsidRPr="00163D43">
        <w:rPr>
          <w:rFonts w:ascii="Arial" w:eastAsia="Times New Roman" w:hAnsi="Arial" w:cs="Arial"/>
          <w:lang w:eastAsia="en-GB"/>
        </w:rPr>
        <w:t>3.</w:t>
      </w:r>
      <w:r w:rsidR="005539EA" w:rsidRPr="005539EA">
        <w:rPr>
          <w:rFonts w:ascii="Arial" w:eastAsia="Times New Roman" w:hAnsi="Arial" w:cs="Arial"/>
          <w:lang w:eastAsia="en-GB"/>
        </w:rPr>
        <w:t>Morrisons &amp; Asda</w:t>
      </w:r>
      <w:r w:rsidRPr="00163D43">
        <w:rPr>
          <w:rFonts w:ascii="Arial" w:eastAsia="Times New Roman" w:hAnsi="Arial" w:cs="Arial"/>
          <w:lang w:eastAsia="en-GB"/>
        </w:rPr>
        <w:t xml:space="preserve">: Both companies have faced challenges, with Asda experiencing a significant decline in market share. Their focus has been on operational efficiency and potential store network optimization, </w:t>
      </w:r>
      <w:r w:rsidR="005539EA" w:rsidRPr="005539EA">
        <w:rPr>
          <w:rFonts w:ascii="Arial" w:eastAsia="Times New Roman" w:hAnsi="Arial" w:cs="Arial"/>
          <w:lang w:eastAsia="en-GB"/>
        </w:rPr>
        <w:t xml:space="preserve">have undergone ownership transformations due to purchases by private equity firms. Consequently, operational efficiency and potential network of stores optimisation have garnered interest (Retail Economics, 2024).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r w:rsidRPr="00163D43">
        <w:rPr>
          <w:rFonts w:ascii="Arial" w:eastAsia="Times New Roman" w:hAnsi="Arial" w:cs="Arial"/>
          <w:lang w:eastAsia="en-GB"/>
        </w:rPr>
        <w:lastRenderedPageBreak/>
        <w:t>4.</w:t>
      </w:r>
      <w:r w:rsidR="005539EA" w:rsidRPr="005539EA">
        <w:rPr>
          <w:rFonts w:ascii="Arial" w:eastAsia="Times New Roman" w:hAnsi="Arial" w:cs="Arial"/>
          <w:lang w:eastAsia="en-GB"/>
        </w:rPr>
        <w:t>Aldi and Lidl:</w:t>
      </w:r>
      <w:r w:rsidRPr="00163D43">
        <w:rPr>
          <w:rFonts w:ascii="Arial" w:eastAsia="Times New Roman" w:hAnsi="Arial" w:cs="Arial"/>
          <w:lang w:eastAsia="en-GB"/>
        </w:rPr>
        <w:t xml:space="preserve"> These discount retailers have significantly increased their market share, capitalizing on their low-price positioning and improved product quality. Lidl has shown strong growth, securing 326.000 additional shoppers in the lates period and seeing particularly strong fresh produce sale growth at 22%.</w:t>
      </w:r>
      <w:r w:rsidR="005539EA" w:rsidRPr="005539EA">
        <w:rPr>
          <w:rFonts w:ascii="Arial" w:eastAsia="Times New Roman" w:hAnsi="Arial" w:cs="Arial"/>
          <w:lang w:eastAsia="en-GB"/>
        </w:rPr>
        <w:t xml:space="preserve">By capitalising on their low pricing and superior-quality items, these discount retailers have significantly increased their market share. In periods of economic uncertainty, their growth has been particularly vigorous (IMARC Group, 2024). </w:t>
      </w:r>
    </w:p>
    <w:p w14:paraId="0D02D05C" w14:textId="08CC30C3"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Online Players: Pure-play online grocers like Ocado have seen substantial growth, benefiting from the shift towards online shopping. Ocado topped the growth table, boosting its sales by 9.5% over the 12 weeks to 3 November 2024.</w:t>
      </w:r>
      <w:r w:rsidR="005539EA" w:rsidRPr="005539EA">
        <w:rPr>
          <w:rFonts w:ascii="Arial" w:eastAsia="Times New Roman" w:hAnsi="Arial" w:cs="Arial"/>
          <w:lang w:eastAsia="en-GB"/>
        </w:rPr>
        <w:br/>
        <w:t xml:space="preserve">To remain competitive in this burgeoning business, conventional supermarkets have made substantial expenditures in their digital presence (Technavio, 2025).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bookmarkStart w:id="6" w:name="_Hlk191140112"/>
      <w:r w:rsidR="00E20F75" w:rsidRPr="00163D43">
        <w:rPr>
          <w:rFonts w:ascii="Arial" w:eastAsia="Times New Roman" w:hAnsi="Arial" w:cs="Arial"/>
          <w:lang w:eastAsia="en-GB"/>
        </w:rPr>
        <w:t>7</w:t>
      </w:r>
      <w:r w:rsidR="002C3DDB" w:rsidRPr="00163D43">
        <w:rPr>
          <w:rFonts w:ascii="Arial" w:eastAsia="Times New Roman" w:hAnsi="Arial" w:cs="Arial"/>
          <w:lang w:eastAsia="en-GB"/>
        </w:rPr>
        <w:t>.</w:t>
      </w:r>
      <w:r w:rsidR="005539EA" w:rsidRPr="005539EA">
        <w:rPr>
          <w:rFonts w:ascii="Arial" w:eastAsia="Times New Roman" w:hAnsi="Arial" w:cs="Arial"/>
          <w:lang w:eastAsia="en-GB"/>
        </w:rPr>
        <w:t xml:space="preserve">Common Responses to Challenges </w:t>
      </w:r>
      <w:bookmarkEnd w:id="6"/>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Price Competition: Due to substantial food inflation along with the </w:t>
      </w:r>
      <w:r w:rsidRPr="00163D43">
        <w:rPr>
          <w:rFonts w:ascii="Arial" w:eastAsia="Times New Roman" w:hAnsi="Arial" w:cs="Arial"/>
          <w:lang w:eastAsia="en-GB"/>
        </w:rPr>
        <w:t>cost-of-living</w:t>
      </w:r>
      <w:r w:rsidR="005539EA" w:rsidRPr="005539EA">
        <w:rPr>
          <w:rFonts w:ascii="Arial" w:eastAsia="Times New Roman" w:hAnsi="Arial" w:cs="Arial"/>
          <w:lang w:eastAsia="en-GB"/>
        </w:rPr>
        <w:t xml:space="preserve"> crisis, price competition is likely to intensify. To remain competitive with a </w:t>
      </w:r>
      <w:r w:rsidRPr="00163D43">
        <w:rPr>
          <w:rFonts w:ascii="Arial" w:eastAsia="Times New Roman" w:hAnsi="Arial" w:cs="Arial"/>
          <w:lang w:eastAsia="en-GB"/>
        </w:rPr>
        <w:t>discount retailer</w:t>
      </w:r>
      <w:r w:rsidR="005539EA" w:rsidRPr="005539EA">
        <w:rPr>
          <w:rFonts w:ascii="Arial" w:eastAsia="Times New Roman" w:hAnsi="Arial" w:cs="Arial"/>
          <w:lang w:eastAsia="en-GB"/>
        </w:rPr>
        <w:t>, the Big Four may need to reassess their pricing strategies, including the introduction of loyalty schemes and targeted discounts.</w:t>
      </w:r>
    </w:p>
    <w:p w14:paraId="783210CD" w14:textId="40000C4C" w:rsidR="005451CD" w:rsidRPr="00163D4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Investment in Technology: Supermarkets are expected to increase investment in technology to improve efficiency and enhance the customer experience. This includes the use of AI for personalized marketing and inventory management, as well as the development of frictionless checkout system.</w:t>
      </w:r>
    </w:p>
    <w:p w14:paraId="0FD4C3E3" w14:textId="77777777" w:rsidR="00065003" w:rsidRDefault="005451CD"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Expansion of Online Capabilities: Given the growth in online grocery shopping, all major players are likely to continue investing in their e-commerce platforms and delivery infrastructure. This may include partnerships with last-mile delivery services or the development of micro-fulfilment centres.</w:t>
      </w:r>
      <w:r w:rsidR="005539EA" w:rsidRPr="005539EA">
        <w:rPr>
          <w:rFonts w:ascii="Arial" w:eastAsia="Times New Roman" w:hAnsi="Arial" w:cs="Arial"/>
          <w:lang w:eastAsia="en-GB"/>
        </w:rPr>
        <w:br/>
        <w:t xml:space="preserve">Supermarkets are expected to increase their expenditures in technology to enhance efficiency and enhance the consumer experience. This entails the development of seamless checkout systems and the application of AI in inventory management and tailored marketing (Technavio, 2025).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Enhancement of Online Capabilities: Major corporations are likely to continue investing in their web-based purchasing and delivery infrastructure, particularly due to the increase in online grocery shopping. This may entail establishing micro-</w:t>
      </w:r>
      <w:r w:rsidR="009D1955" w:rsidRPr="00163D43">
        <w:rPr>
          <w:rFonts w:ascii="Arial" w:eastAsia="Times New Roman" w:hAnsi="Arial" w:cs="Arial"/>
          <w:lang w:eastAsia="en-GB"/>
        </w:rPr>
        <w:t>fulfilment</w:t>
      </w:r>
      <w:r w:rsidR="005539EA" w:rsidRPr="005539EA">
        <w:rPr>
          <w:rFonts w:ascii="Arial" w:eastAsia="Times New Roman" w:hAnsi="Arial" w:cs="Arial"/>
          <w:lang w:eastAsia="en-GB"/>
        </w:rPr>
        <w:t xml:space="preserve"> centres or partnering with last-mile delivery companies (IGD, 2022).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Increased Focus on Sustainability: Shopping centres are anticipated to prioritise sustainable practices, including reducing packaging waste, purchasing locally, and improving supply chain sustainability, in response to rising consumer awareness of environmental issues (Retail Economics, 2024).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Diversification of Retail Formats: Supermarkets may alter their shop layouts to align with evolving consumer preferences. For instance, they may establish larger out-of-town superstores offering an extensive range of products and services, alongside smaller convenience stores in urban areas (Savills, 2022).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bookmarkStart w:id="7" w:name="_Hlk191140127"/>
    </w:p>
    <w:p w14:paraId="67D6568D" w14:textId="77777777" w:rsidR="00065003" w:rsidRDefault="00065003" w:rsidP="005539EA">
      <w:pPr>
        <w:spacing w:after="240" w:line="240" w:lineRule="auto"/>
        <w:rPr>
          <w:rFonts w:ascii="Arial" w:eastAsia="Times New Roman" w:hAnsi="Arial" w:cs="Arial"/>
          <w:lang w:eastAsia="en-GB"/>
        </w:rPr>
      </w:pPr>
    </w:p>
    <w:p w14:paraId="5414AEDE" w14:textId="706B84E6" w:rsidR="00F1212F"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lastRenderedPageBreak/>
        <w:t>8</w:t>
      </w:r>
      <w:r w:rsidR="002C3DDB" w:rsidRPr="00163D43">
        <w:rPr>
          <w:rFonts w:ascii="Arial" w:eastAsia="Times New Roman" w:hAnsi="Arial" w:cs="Arial"/>
          <w:lang w:eastAsia="en-GB"/>
        </w:rPr>
        <w:t>.</w:t>
      </w:r>
      <w:r w:rsidR="005539EA" w:rsidRPr="005539EA">
        <w:rPr>
          <w:rFonts w:ascii="Arial" w:eastAsia="Times New Roman" w:hAnsi="Arial" w:cs="Arial"/>
          <w:lang w:eastAsia="en-GB"/>
        </w:rPr>
        <w:t xml:space="preserve">Recommendations for Sustainable Development </w:t>
      </w:r>
      <w:bookmarkEnd w:id="7"/>
      <w:r w:rsidR="005539EA" w:rsidRPr="005539EA">
        <w:rPr>
          <w:rFonts w:ascii="Arial" w:eastAsia="Times New Roman" w:hAnsi="Arial" w:cs="Arial"/>
          <w:lang w:eastAsia="en-GB"/>
        </w:rPr>
        <w:br/>
      </w:r>
      <w:r w:rsidR="005539EA" w:rsidRPr="005539EA">
        <w:rPr>
          <w:rFonts w:ascii="Arial" w:eastAsia="Times New Roman" w:hAnsi="Arial" w:cs="Arial"/>
          <w:lang w:eastAsia="en-GB"/>
        </w:rPr>
        <w:br/>
      </w:r>
      <w:r w:rsidR="002C3DDB" w:rsidRPr="00163D43">
        <w:rPr>
          <w:rFonts w:ascii="Arial" w:eastAsia="Times New Roman" w:hAnsi="Arial" w:cs="Arial"/>
          <w:lang w:eastAsia="en-GB"/>
        </w:rPr>
        <w:t xml:space="preserve">Short term </w:t>
      </w:r>
      <w:r w:rsidR="005539EA" w:rsidRPr="005539EA">
        <w:rPr>
          <w:rFonts w:ascii="Arial" w:eastAsia="Times New Roman" w:hAnsi="Arial" w:cs="Arial"/>
          <w:lang w:eastAsia="en-GB"/>
        </w:rPr>
        <w:t xml:space="preserve"> Recommendations: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Enhance Pricing Strategies: Employ data analytics to identify price-sensitive products and customer segments, </w:t>
      </w:r>
      <w:r w:rsidR="009D1955" w:rsidRPr="00163D43">
        <w:rPr>
          <w:rFonts w:ascii="Arial" w:eastAsia="Times New Roman" w:hAnsi="Arial" w:cs="Arial"/>
          <w:lang w:eastAsia="en-GB"/>
        </w:rPr>
        <w:t>thereafter,</w:t>
      </w:r>
      <w:r w:rsidR="005539EA" w:rsidRPr="005539EA">
        <w:rPr>
          <w:rFonts w:ascii="Arial" w:eastAsia="Times New Roman" w:hAnsi="Arial" w:cs="Arial"/>
          <w:lang w:eastAsia="en-GB"/>
        </w:rPr>
        <w:t xml:space="preserve"> using dynamic pricing models that achieve equilibrium between profitability and competitiveness.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Enhance Loyalty Programs: Offer customised incentives that promote repeat patronage and increase transaction value by utilising consumer data to develop individualised offers and rewards that reinforce client loyalty.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Enhance Operational Efficiency: To reduce costs and augment revenues, invest in equipment that optimises operations, like AI-driven forecasting of demand &amp; automatic inventory management systems.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Enhance Online Capabilities: To capitalise on the growing e-commerce market share, expedite the creation of online grocery platforms, focussing on delivery options, customer service, and click-and-collect services.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p>
    <w:p w14:paraId="368E4DD6" w14:textId="5B57D860" w:rsidR="00E20F75" w:rsidRPr="00163D43" w:rsidRDefault="002C3DDB"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Long term</w:t>
      </w:r>
      <w:r w:rsidR="005539EA" w:rsidRPr="005539EA">
        <w:rPr>
          <w:rFonts w:ascii="Arial" w:eastAsia="Times New Roman" w:hAnsi="Arial" w:cs="Arial"/>
          <w:lang w:eastAsia="en-GB"/>
        </w:rPr>
        <w:t xml:space="preserve"> Recommendations: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Invest in Sustainable Practices: Develop comprehensive sustainability strategies that address environmental challenges, including reducing carbon emissions, eliminating food waste, and promoting eco-friendly packaging. This may save long-term costs and attract environmentally conscious individuals.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Broaden Product Assortment: To accommodate evolving consumer preferences and enhance margins of profit, private label lines should be augmented with more premium and health-oriented options.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Implement Omnichannel Retailing: Facilitate a seamless integration among online and offline platforms, enabling customers to engage in purchases across several touchpoints and enhancing their entire experience.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Investment to AI plus Data Analytics: Utilise AI and advanced data analytics to enhance comprehension of customer behaviour, optimise supply chains, and refine advertising targeting.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Evaluate Strategic Alliances: To enhance capabilities and access new client demographics, consider collaborating with local producers, technology firms, or other organisations.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Develop versatile shop forms that can adjust to the needs of changing customers. For instance, one may establish expansive retail locations incorporating experiential elements such as in-store dining or cooking classes, or alternatively, develop compact urban outlets that emphasise convenience.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r>
      <w:bookmarkStart w:id="8" w:name="_Hlk191140145"/>
    </w:p>
    <w:p w14:paraId="7D5A14C1" w14:textId="77777777" w:rsidR="00E20F75" w:rsidRPr="00163D43" w:rsidRDefault="00E20F75" w:rsidP="005539EA">
      <w:pPr>
        <w:spacing w:after="240" w:line="240" w:lineRule="auto"/>
        <w:rPr>
          <w:rFonts w:ascii="Arial" w:eastAsia="Times New Roman" w:hAnsi="Arial" w:cs="Arial"/>
          <w:lang w:eastAsia="en-GB"/>
        </w:rPr>
      </w:pPr>
    </w:p>
    <w:p w14:paraId="16A3DD6E" w14:textId="77777777" w:rsidR="00065003" w:rsidRDefault="00065003" w:rsidP="005539EA">
      <w:pPr>
        <w:spacing w:after="240" w:line="240" w:lineRule="auto"/>
        <w:rPr>
          <w:rFonts w:ascii="Arial" w:eastAsia="Times New Roman" w:hAnsi="Arial" w:cs="Arial"/>
          <w:lang w:eastAsia="en-GB"/>
        </w:rPr>
      </w:pPr>
    </w:p>
    <w:p w14:paraId="0513F6DF" w14:textId="7EFEF903" w:rsidR="005539EA" w:rsidRPr="00163D43"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lastRenderedPageBreak/>
        <w:t>9</w:t>
      </w:r>
      <w:r w:rsidR="002C3DDB" w:rsidRPr="00163D43">
        <w:rPr>
          <w:rFonts w:ascii="Arial" w:eastAsia="Times New Roman" w:hAnsi="Arial" w:cs="Arial"/>
          <w:lang w:eastAsia="en-GB"/>
        </w:rPr>
        <w:t>.Conclusion.</w:t>
      </w:r>
      <w:r w:rsidR="005539EA" w:rsidRPr="005539EA">
        <w:rPr>
          <w:rFonts w:ascii="Arial" w:eastAsia="Times New Roman" w:hAnsi="Arial" w:cs="Arial"/>
          <w:lang w:eastAsia="en-GB"/>
        </w:rPr>
        <w:t xml:space="preserve"> </w:t>
      </w:r>
      <w:bookmarkEnd w:id="8"/>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The UK food retail sector has significant opportunities and challenges amid evolving consumer tastes, economic pressures, and technological advancements. The emergence of online shopping and discount retailers is disrupting the traditional oligopolistic framework and compelling established companies to alter their strategies.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By employing economic theories such as Supply and Demand Analysis as the Concept of the Firm, we may predict trends in the future and get a comprehensive grasp of market dynamics. The ability in those in the industry to make investments in advances in technology along with sustainability, reconcile price rivalry with product distinctiveness, and adapt to evolving customer demands will dictate their success level.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The recommendations provided provide a framework for long-term strategic objectives and urgent challenges to attain sustainable growth. Retailers of groceries in the UK may enhance their prospects in an increasingly competitive and dynamic industry by using these concepts. </w:t>
      </w:r>
      <w:r w:rsidR="005539EA" w:rsidRPr="005539EA">
        <w:rPr>
          <w:rFonts w:ascii="Arial" w:eastAsia="Times New Roman" w:hAnsi="Arial" w:cs="Arial"/>
          <w:lang w:eastAsia="en-GB"/>
        </w:rPr>
        <w:br/>
      </w:r>
      <w:r w:rsidR="005539EA" w:rsidRPr="005539EA">
        <w:rPr>
          <w:rFonts w:ascii="Arial" w:eastAsia="Times New Roman" w:hAnsi="Arial" w:cs="Arial"/>
          <w:lang w:eastAsia="en-GB"/>
        </w:rPr>
        <w:br/>
        <w:t xml:space="preserve">Retailers must prioritise customer-centric initiatives, maintain flexibility, and continuously innovate as the sector evolves. Success in the future in the United Kingdom grocery retail sector is likely to those who can adeptly manage these elements while maintaining operational efficiency. </w:t>
      </w:r>
    </w:p>
    <w:p w14:paraId="5A4CEFBD" w14:textId="307B4ED5" w:rsidR="002C3DDB" w:rsidRPr="00163D43" w:rsidRDefault="002C3DDB"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t>As the industry continues to evolve, it will be crucial for retailers to remain agile, continuously innovate and prioritize customer-centric approaches. Those who can effectively balance these factors while maintaining operational efficiency are likely to thrive in the UK grocery retail market the future.</w:t>
      </w:r>
    </w:p>
    <w:p w14:paraId="7394B414" w14:textId="77777777" w:rsidR="002C3DDB" w:rsidRPr="00163D43" w:rsidRDefault="002C3DDB" w:rsidP="005539EA">
      <w:pPr>
        <w:spacing w:after="240" w:line="240" w:lineRule="auto"/>
        <w:rPr>
          <w:rFonts w:ascii="Arial" w:eastAsia="Times New Roman" w:hAnsi="Arial" w:cs="Arial"/>
          <w:lang w:eastAsia="en-GB"/>
        </w:rPr>
      </w:pPr>
    </w:p>
    <w:p w14:paraId="251A3C95" w14:textId="77777777" w:rsidR="002C3DDB" w:rsidRPr="00163D43" w:rsidRDefault="002C3DDB" w:rsidP="005539EA">
      <w:pPr>
        <w:spacing w:after="240" w:line="240" w:lineRule="auto"/>
        <w:rPr>
          <w:rFonts w:ascii="Arial" w:eastAsia="Times New Roman" w:hAnsi="Arial" w:cs="Arial"/>
          <w:lang w:eastAsia="en-GB"/>
        </w:rPr>
      </w:pPr>
    </w:p>
    <w:p w14:paraId="71F722FF" w14:textId="77777777" w:rsidR="002C3DDB" w:rsidRPr="00163D43" w:rsidRDefault="002C3DDB" w:rsidP="005539EA">
      <w:pPr>
        <w:spacing w:after="240" w:line="240" w:lineRule="auto"/>
        <w:rPr>
          <w:rFonts w:ascii="Arial" w:eastAsia="Times New Roman" w:hAnsi="Arial" w:cs="Arial"/>
          <w:lang w:eastAsia="en-GB"/>
        </w:rPr>
      </w:pPr>
    </w:p>
    <w:p w14:paraId="64B890CC" w14:textId="77777777" w:rsidR="002C3DDB" w:rsidRPr="00163D43" w:rsidRDefault="002C3DDB" w:rsidP="005539EA">
      <w:pPr>
        <w:spacing w:after="240" w:line="240" w:lineRule="auto"/>
        <w:rPr>
          <w:rFonts w:ascii="Arial" w:eastAsia="Times New Roman" w:hAnsi="Arial" w:cs="Arial"/>
          <w:lang w:eastAsia="en-GB"/>
        </w:rPr>
      </w:pPr>
    </w:p>
    <w:p w14:paraId="36CF5FE2" w14:textId="77777777" w:rsidR="002C3DDB" w:rsidRPr="00163D43" w:rsidRDefault="002C3DDB" w:rsidP="005539EA">
      <w:pPr>
        <w:spacing w:after="240" w:line="240" w:lineRule="auto"/>
        <w:rPr>
          <w:rFonts w:ascii="Arial" w:eastAsia="Times New Roman" w:hAnsi="Arial" w:cs="Arial"/>
          <w:lang w:eastAsia="en-GB"/>
        </w:rPr>
      </w:pPr>
    </w:p>
    <w:p w14:paraId="6E8712DD" w14:textId="77777777" w:rsidR="002C3DDB" w:rsidRPr="00163D43" w:rsidRDefault="002C3DDB" w:rsidP="005539EA">
      <w:pPr>
        <w:spacing w:after="240" w:line="240" w:lineRule="auto"/>
        <w:rPr>
          <w:rFonts w:ascii="Arial" w:eastAsia="Times New Roman" w:hAnsi="Arial" w:cs="Arial"/>
          <w:lang w:eastAsia="en-GB"/>
        </w:rPr>
      </w:pPr>
    </w:p>
    <w:p w14:paraId="420A70D0" w14:textId="77777777" w:rsidR="002C3DDB" w:rsidRPr="00163D43" w:rsidRDefault="002C3DDB" w:rsidP="005539EA">
      <w:pPr>
        <w:spacing w:after="240" w:line="240" w:lineRule="auto"/>
        <w:rPr>
          <w:rFonts w:ascii="Arial" w:eastAsia="Times New Roman" w:hAnsi="Arial" w:cs="Arial"/>
          <w:lang w:eastAsia="en-GB"/>
        </w:rPr>
      </w:pPr>
    </w:p>
    <w:p w14:paraId="244684BC" w14:textId="77777777" w:rsidR="002C3DDB" w:rsidRPr="00163D43" w:rsidRDefault="002C3DDB" w:rsidP="005539EA">
      <w:pPr>
        <w:spacing w:after="240" w:line="240" w:lineRule="auto"/>
        <w:rPr>
          <w:rFonts w:ascii="Arial" w:eastAsia="Times New Roman" w:hAnsi="Arial" w:cs="Arial"/>
          <w:lang w:eastAsia="en-GB"/>
        </w:rPr>
      </w:pPr>
    </w:p>
    <w:p w14:paraId="14675CA5" w14:textId="77777777" w:rsidR="002C3DDB" w:rsidRPr="00163D43" w:rsidRDefault="002C3DDB" w:rsidP="005539EA">
      <w:pPr>
        <w:spacing w:after="240" w:line="240" w:lineRule="auto"/>
        <w:rPr>
          <w:rFonts w:ascii="Arial" w:eastAsia="Times New Roman" w:hAnsi="Arial" w:cs="Arial"/>
          <w:lang w:eastAsia="en-GB"/>
        </w:rPr>
      </w:pPr>
    </w:p>
    <w:p w14:paraId="7CC8DD1E" w14:textId="77777777" w:rsidR="002C3DDB" w:rsidRPr="00163D43" w:rsidRDefault="002C3DDB" w:rsidP="005539EA">
      <w:pPr>
        <w:spacing w:after="240" w:line="240" w:lineRule="auto"/>
        <w:rPr>
          <w:rFonts w:ascii="Arial" w:eastAsia="Times New Roman" w:hAnsi="Arial" w:cs="Arial"/>
          <w:lang w:eastAsia="en-GB"/>
        </w:rPr>
      </w:pPr>
    </w:p>
    <w:p w14:paraId="32AE2D67" w14:textId="77777777" w:rsidR="002C3DDB" w:rsidRPr="00163D43" w:rsidRDefault="002C3DDB" w:rsidP="005539EA">
      <w:pPr>
        <w:spacing w:after="240" w:line="240" w:lineRule="auto"/>
        <w:rPr>
          <w:rFonts w:ascii="Arial" w:eastAsia="Times New Roman" w:hAnsi="Arial" w:cs="Arial"/>
          <w:lang w:eastAsia="en-GB"/>
        </w:rPr>
      </w:pPr>
    </w:p>
    <w:p w14:paraId="17FD5FE4" w14:textId="77777777" w:rsidR="002C3DDB" w:rsidRPr="00163D43" w:rsidRDefault="002C3DDB" w:rsidP="005539EA">
      <w:pPr>
        <w:spacing w:after="240" w:line="240" w:lineRule="auto"/>
        <w:rPr>
          <w:rFonts w:ascii="Arial" w:eastAsia="Times New Roman" w:hAnsi="Arial" w:cs="Arial"/>
          <w:lang w:eastAsia="en-GB"/>
        </w:rPr>
      </w:pPr>
    </w:p>
    <w:p w14:paraId="24B09093" w14:textId="77777777" w:rsidR="00E20F75" w:rsidRPr="00163D43" w:rsidRDefault="00E20F75" w:rsidP="005539EA">
      <w:pPr>
        <w:spacing w:after="240" w:line="240" w:lineRule="auto"/>
        <w:rPr>
          <w:rFonts w:ascii="Arial" w:eastAsia="Times New Roman" w:hAnsi="Arial" w:cs="Arial"/>
          <w:lang w:eastAsia="en-GB"/>
        </w:rPr>
      </w:pPr>
    </w:p>
    <w:p w14:paraId="001D37AF" w14:textId="77777777" w:rsidR="00163D43" w:rsidRDefault="00163D43" w:rsidP="005539EA">
      <w:pPr>
        <w:spacing w:after="240" w:line="240" w:lineRule="auto"/>
        <w:rPr>
          <w:rFonts w:ascii="Arial" w:eastAsia="Times New Roman" w:hAnsi="Arial" w:cs="Arial"/>
          <w:lang w:eastAsia="en-GB"/>
        </w:rPr>
      </w:pPr>
    </w:p>
    <w:p w14:paraId="68D2497A" w14:textId="0CCBC3A5" w:rsidR="002C3DDB" w:rsidRDefault="00E20F75" w:rsidP="005539EA">
      <w:pPr>
        <w:spacing w:after="240" w:line="240" w:lineRule="auto"/>
        <w:rPr>
          <w:rFonts w:ascii="Arial" w:eastAsia="Times New Roman" w:hAnsi="Arial" w:cs="Arial"/>
          <w:lang w:eastAsia="en-GB"/>
        </w:rPr>
      </w:pPr>
      <w:r w:rsidRPr="00163D43">
        <w:rPr>
          <w:rFonts w:ascii="Arial" w:eastAsia="Times New Roman" w:hAnsi="Arial" w:cs="Arial"/>
          <w:lang w:eastAsia="en-GB"/>
        </w:rPr>
        <w:lastRenderedPageBreak/>
        <w:t>10</w:t>
      </w:r>
      <w:r w:rsidR="002C3DDB" w:rsidRPr="00163D43">
        <w:rPr>
          <w:rFonts w:ascii="Arial" w:eastAsia="Times New Roman" w:hAnsi="Arial" w:cs="Arial"/>
          <w:lang w:eastAsia="en-GB"/>
        </w:rPr>
        <w:t>.Reference.</w:t>
      </w:r>
    </w:p>
    <w:p w14:paraId="39885771" w14:textId="462D5C25"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BBC.co.uk (2024).</w:t>
      </w:r>
    </w:p>
    <w:p w14:paraId="362DD246" w14:textId="134B5B1A"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IGD (2022). Growth forecast across all retail channels.</w:t>
      </w:r>
    </w:p>
    <w:p w14:paraId="13B3969C" w14:textId="3C414B17"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IMARC Group (2024).UK Grocery Retail, Market Size, Share Analysis report,2033.</w:t>
      </w:r>
    </w:p>
    <w:p w14:paraId="1409DB72" w14:textId="7BB2414F"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Office for National Statistics (ONS) (2025). Retail sales, Great Britain: January 2025</w:t>
      </w:r>
    </w:p>
    <w:p w14:paraId="4970559B" w14:textId="0324A015"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Statista (2024). United Kingdom: grocery retail market value 2020-2027, by channel.</w:t>
      </w:r>
    </w:p>
    <w:p w14:paraId="29E1432C" w14:textId="79409D97"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Statista (2024). Proportion of food retail sales made online in Great Britan 2018-2024.</w:t>
      </w:r>
    </w:p>
    <w:p w14:paraId="21B4B57C" w14:textId="060B2775" w:rsidR="00FA6008" w:rsidRDefault="00FA6008" w:rsidP="005539EA">
      <w:pPr>
        <w:spacing w:after="240" w:line="240" w:lineRule="auto"/>
        <w:rPr>
          <w:rFonts w:ascii="Arial" w:eastAsia="Times New Roman" w:hAnsi="Arial" w:cs="Arial"/>
          <w:lang w:eastAsia="en-GB"/>
        </w:rPr>
      </w:pPr>
      <w:r>
        <w:rPr>
          <w:rFonts w:ascii="Arial" w:eastAsia="Times New Roman" w:hAnsi="Arial" w:cs="Arial"/>
          <w:lang w:eastAsia="en-GB"/>
        </w:rPr>
        <w:t>Technavio. (2020</w:t>
      </w:r>
      <w:r w:rsidR="00F1212F">
        <w:rPr>
          <w:rFonts w:ascii="Arial" w:eastAsia="Times New Roman" w:hAnsi="Arial" w:cs="Arial"/>
          <w:lang w:eastAsia="en-GB"/>
        </w:rPr>
        <w:t>). Grocery</w:t>
      </w:r>
      <w:r>
        <w:rPr>
          <w:rFonts w:ascii="Arial" w:eastAsia="Times New Roman" w:hAnsi="Arial" w:cs="Arial"/>
          <w:lang w:eastAsia="en-GB"/>
        </w:rPr>
        <w:t xml:space="preserve"> Retail market in UK size to grow by USD 56.2 billion.</w:t>
      </w:r>
    </w:p>
    <w:p w14:paraId="556E4DD8" w14:textId="63DB176A" w:rsidR="00FA6008" w:rsidRDefault="00F1212F" w:rsidP="005539EA">
      <w:pPr>
        <w:spacing w:after="240" w:line="240" w:lineRule="auto"/>
        <w:rPr>
          <w:rFonts w:ascii="Arial" w:eastAsia="Times New Roman" w:hAnsi="Arial" w:cs="Arial"/>
          <w:lang w:eastAsia="en-GB"/>
        </w:rPr>
      </w:pPr>
      <w:r>
        <w:rPr>
          <w:rFonts w:ascii="Arial" w:eastAsia="Times New Roman" w:hAnsi="Arial" w:cs="Arial"/>
          <w:lang w:eastAsia="en-GB"/>
        </w:rPr>
        <w:t>Savills plc (2023</w:t>
      </w:r>
      <w:r w:rsidR="00612D6A">
        <w:rPr>
          <w:rFonts w:ascii="Arial" w:eastAsia="Times New Roman" w:hAnsi="Arial" w:cs="Arial"/>
          <w:lang w:eastAsia="en-GB"/>
        </w:rPr>
        <w:t>). Annual</w:t>
      </w:r>
      <w:r>
        <w:rPr>
          <w:rFonts w:ascii="Arial" w:eastAsia="Times New Roman" w:hAnsi="Arial" w:cs="Arial"/>
          <w:lang w:eastAsia="en-GB"/>
        </w:rPr>
        <w:t xml:space="preserve"> report and accounts 2022.</w:t>
      </w:r>
    </w:p>
    <w:p w14:paraId="3B355DD2" w14:textId="412E72A5" w:rsidR="00065003" w:rsidRPr="005539EA" w:rsidRDefault="00065003" w:rsidP="005539EA">
      <w:pPr>
        <w:spacing w:after="240" w:line="240" w:lineRule="auto"/>
        <w:rPr>
          <w:rFonts w:ascii="Arial" w:eastAsia="Times New Roman" w:hAnsi="Arial" w:cs="Arial"/>
          <w:lang w:eastAsia="en-GB"/>
        </w:rPr>
      </w:pPr>
      <w:r>
        <w:rPr>
          <w:rFonts w:ascii="Arial" w:eastAsia="Times New Roman" w:hAnsi="Arial" w:cs="Arial"/>
          <w:lang w:eastAsia="en-GB"/>
        </w:rPr>
        <w:t>Kantar Global Holdings S.a.r.l. (2023) Annual report and accounts 2022.</w:t>
      </w:r>
    </w:p>
    <w:p w14:paraId="2E62215F" w14:textId="77777777" w:rsidR="00CE11C5" w:rsidRPr="00163D43" w:rsidRDefault="00CE11C5">
      <w:pPr>
        <w:rPr>
          <w:rFonts w:ascii="Arial" w:hAnsi="Arial" w:cs="Arial"/>
        </w:rPr>
      </w:pPr>
    </w:p>
    <w:sectPr w:rsidR="00CE11C5" w:rsidRPr="00163D43" w:rsidSect="00AE3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A37"/>
    <w:rsid w:val="00065003"/>
    <w:rsid w:val="000755DE"/>
    <w:rsid w:val="00163D43"/>
    <w:rsid w:val="002C3DDB"/>
    <w:rsid w:val="005451CD"/>
    <w:rsid w:val="005539EA"/>
    <w:rsid w:val="00612D6A"/>
    <w:rsid w:val="009D1955"/>
    <w:rsid w:val="00AE3DCC"/>
    <w:rsid w:val="00B537B6"/>
    <w:rsid w:val="00B73A37"/>
    <w:rsid w:val="00C54DD3"/>
    <w:rsid w:val="00CE11C5"/>
    <w:rsid w:val="00D14CB0"/>
    <w:rsid w:val="00DF3721"/>
    <w:rsid w:val="00E20F75"/>
    <w:rsid w:val="00F1212F"/>
    <w:rsid w:val="00FA6008"/>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31CCC"/>
  <w15:chartTrackingRefBased/>
  <w15:docId w15:val="{B581914C-32B3-4578-8A2D-2AA326274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DDB"/>
  </w:style>
  <w:style w:type="paragraph" w:styleId="Heading1">
    <w:name w:val="heading 1"/>
    <w:basedOn w:val="Normal"/>
    <w:next w:val="Normal"/>
    <w:link w:val="Heading1Char"/>
    <w:uiPriority w:val="9"/>
    <w:qFormat/>
    <w:rsid w:val="00B73A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A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A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A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A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A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A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A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A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A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A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A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A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A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A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A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A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A37"/>
    <w:rPr>
      <w:rFonts w:eastAsiaTheme="majorEastAsia" w:cstheme="majorBidi"/>
      <w:color w:val="272727" w:themeColor="text1" w:themeTint="D8"/>
    </w:rPr>
  </w:style>
  <w:style w:type="paragraph" w:styleId="Title">
    <w:name w:val="Title"/>
    <w:basedOn w:val="Normal"/>
    <w:next w:val="Normal"/>
    <w:link w:val="TitleChar"/>
    <w:uiPriority w:val="10"/>
    <w:qFormat/>
    <w:rsid w:val="00B73A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A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A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A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A37"/>
    <w:pPr>
      <w:spacing w:before="160"/>
      <w:jc w:val="center"/>
    </w:pPr>
    <w:rPr>
      <w:i/>
      <w:iCs/>
      <w:color w:val="404040" w:themeColor="text1" w:themeTint="BF"/>
    </w:rPr>
  </w:style>
  <w:style w:type="character" w:customStyle="1" w:styleId="QuoteChar">
    <w:name w:val="Quote Char"/>
    <w:basedOn w:val="DefaultParagraphFont"/>
    <w:link w:val="Quote"/>
    <w:uiPriority w:val="29"/>
    <w:rsid w:val="00B73A37"/>
    <w:rPr>
      <w:i/>
      <w:iCs/>
      <w:color w:val="404040" w:themeColor="text1" w:themeTint="BF"/>
    </w:rPr>
  </w:style>
  <w:style w:type="paragraph" w:styleId="ListParagraph">
    <w:name w:val="List Paragraph"/>
    <w:basedOn w:val="Normal"/>
    <w:uiPriority w:val="34"/>
    <w:qFormat/>
    <w:rsid w:val="00B73A37"/>
    <w:pPr>
      <w:ind w:left="720"/>
      <w:contextualSpacing/>
    </w:pPr>
  </w:style>
  <w:style w:type="character" w:styleId="IntenseEmphasis">
    <w:name w:val="Intense Emphasis"/>
    <w:basedOn w:val="DefaultParagraphFont"/>
    <w:uiPriority w:val="21"/>
    <w:qFormat/>
    <w:rsid w:val="00B73A37"/>
    <w:rPr>
      <w:i/>
      <w:iCs/>
      <w:color w:val="0F4761" w:themeColor="accent1" w:themeShade="BF"/>
    </w:rPr>
  </w:style>
  <w:style w:type="paragraph" w:styleId="IntenseQuote">
    <w:name w:val="Intense Quote"/>
    <w:basedOn w:val="Normal"/>
    <w:next w:val="Normal"/>
    <w:link w:val="IntenseQuoteChar"/>
    <w:uiPriority w:val="30"/>
    <w:qFormat/>
    <w:rsid w:val="00B73A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A37"/>
    <w:rPr>
      <w:i/>
      <w:iCs/>
      <w:color w:val="0F4761" w:themeColor="accent1" w:themeShade="BF"/>
    </w:rPr>
  </w:style>
  <w:style w:type="character" w:styleId="IntenseReference">
    <w:name w:val="Intense Reference"/>
    <w:basedOn w:val="DefaultParagraphFont"/>
    <w:uiPriority w:val="32"/>
    <w:qFormat/>
    <w:rsid w:val="00B73A37"/>
    <w:rPr>
      <w:b/>
      <w:bCs/>
      <w:smallCaps/>
      <w:color w:val="0F4761" w:themeColor="accent1" w:themeShade="BF"/>
      <w:spacing w:val="5"/>
    </w:rPr>
  </w:style>
  <w:style w:type="table" w:customStyle="1" w:styleId="TableGrid">
    <w:name w:val="TableGrid"/>
    <w:rsid w:val="00FA6008"/>
    <w:pPr>
      <w:spacing w:after="0" w:line="240" w:lineRule="auto"/>
    </w:pPr>
    <w:rPr>
      <w:rFonts w:eastAsiaTheme="minorEastAsia"/>
      <w:kern w:val="2"/>
      <w:sz w:val="24"/>
      <w:szCs w:val="24"/>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35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2763</Words>
  <Characters>17220</Characters>
  <Application>Microsoft Office Word</Application>
  <DocSecurity>0</DocSecurity>
  <Lines>441</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Georgieva (2028228)</dc:creator>
  <cp:keywords/>
  <dc:description/>
  <cp:lastModifiedBy>Tanya Georgieva Georgieva (2028228)</cp:lastModifiedBy>
  <cp:revision>3</cp:revision>
  <dcterms:created xsi:type="dcterms:W3CDTF">2025-02-22T20:40:00Z</dcterms:created>
  <dcterms:modified xsi:type="dcterms:W3CDTF">2025-02-22T20:45:00Z</dcterms:modified>
</cp:coreProperties>
</file>