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FB5DC" w14:textId="533E03E2" w:rsidR="00C5726B" w:rsidRDefault="000A58EB" w:rsidP="00C5726B">
      <w:pPr>
        <w:rPr>
          <w:rFonts w:ascii="Arial" w:hAnsi="Arial" w:cs="Arial"/>
        </w:rPr>
      </w:pPr>
      <w:r>
        <w:rPr>
          <w:rFonts w:ascii="Arial" w:hAnsi="Arial" w:cs="Arial"/>
        </w:rPr>
        <w:t xml:space="preserve">Sidra begum </w:t>
      </w:r>
    </w:p>
    <w:p w14:paraId="4BE45D98" w14:textId="22073BAC" w:rsidR="000A58EB" w:rsidRDefault="00EA2088" w:rsidP="00C5726B">
      <w:pPr>
        <w:rPr>
          <w:rFonts w:ascii="Arial" w:hAnsi="Arial" w:cs="Arial"/>
        </w:rPr>
      </w:pPr>
      <w:r>
        <w:rPr>
          <w:rFonts w:ascii="Arial" w:hAnsi="Arial" w:cs="Arial"/>
        </w:rPr>
        <w:t xml:space="preserve"> Introduction to </w:t>
      </w:r>
      <w:r w:rsidR="000A58EB">
        <w:rPr>
          <w:rFonts w:ascii="Arial" w:hAnsi="Arial" w:cs="Arial"/>
        </w:rPr>
        <w:t xml:space="preserve">Health and social care </w:t>
      </w:r>
    </w:p>
    <w:p w14:paraId="63BFE5C1" w14:textId="6AA47F8D" w:rsidR="000A58EB" w:rsidRDefault="000A58EB" w:rsidP="00C5726B">
      <w:pPr>
        <w:rPr>
          <w:rFonts w:ascii="Arial" w:hAnsi="Arial" w:cs="Arial"/>
        </w:rPr>
      </w:pPr>
      <w:r>
        <w:rPr>
          <w:rFonts w:ascii="Arial" w:hAnsi="Arial" w:cs="Arial"/>
        </w:rPr>
        <w:t>LSCH4003</w:t>
      </w:r>
    </w:p>
    <w:p w14:paraId="701297CB" w14:textId="73057ACF" w:rsidR="000A58EB" w:rsidRPr="00C5726B" w:rsidRDefault="000A58EB" w:rsidP="00C5726B">
      <w:pPr>
        <w:rPr>
          <w:rFonts w:ascii="Arial" w:hAnsi="Arial" w:cs="Arial"/>
        </w:rPr>
      </w:pPr>
      <w:r>
        <w:rPr>
          <w:rFonts w:ascii="Arial" w:hAnsi="Arial" w:cs="Arial"/>
        </w:rPr>
        <w:t>Student number: 2508172</w:t>
      </w:r>
    </w:p>
    <w:p w14:paraId="2F308C18" w14:textId="77777777" w:rsidR="00C5726B" w:rsidRPr="00C5726B" w:rsidRDefault="00C5726B" w:rsidP="00C5726B">
      <w:pPr>
        <w:rPr>
          <w:rStyle w:val="Hyperlink"/>
          <w:rFonts w:ascii="Arial" w:hAnsi="Arial" w:cs="Arial"/>
        </w:rPr>
      </w:pPr>
      <w:r w:rsidRPr="00C5726B">
        <w:rPr>
          <w:rFonts w:ascii="Arial" w:hAnsi="Arial" w:cs="Arial"/>
        </w:rPr>
        <w:fldChar w:fldCharType="begin"/>
      </w:r>
      <w:r w:rsidRPr="00C5726B">
        <w:rPr>
          <w:rFonts w:ascii="Arial" w:hAnsi="Arial" w:cs="Arial"/>
        </w:rPr>
        <w:instrText>HYPERLINK "https://www.bing.com/ck/a?!&amp;&amp;p=fb8cdb3b6a4047cd63cb9b7f5c550e34219c11f7cb6b1cce34c8d94a355a08dcJmltdHM9MTc3NDEzNzYwMA&amp;ptn=3&amp;ver=2&amp;hsh=4&amp;fclid=3bb84ab6-2991-6fd8-3183-5c3528716e6c&amp;u=a1aHR0cHM6Ly93d3cubmhzLnVrL2NvbmRpdGlvbnMvc3Ryb2tlL3RyZWF0bWVudC8&amp;ntb=1" \t "_blank"</w:instrText>
      </w:r>
      <w:r w:rsidRPr="00C5726B">
        <w:rPr>
          <w:rFonts w:ascii="Arial" w:hAnsi="Arial" w:cs="Arial"/>
        </w:rPr>
      </w:r>
      <w:r w:rsidRPr="00C5726B">
        <w:rPr>
          <w:rFonts w:ascii="Arial" w:hAnsi="Arial" w:cs="Arial"/>
        </w:rPr>
        <w:fldChar w:fldCharType="separate"/>
      </w:r>
    </w:p>
    <w:p w14:paraId="0C522D9C" w14:textId="2BA07133" w:rsidR="00C5726B" w:rsidRPr="000A58EB" w:rsidRDefault="00C5726B" w:rsidP="00C5726B">
      <w:pPr>
        <w:rPr>
          <w:rFonts w:ascii="Arial" w:hAnsi="Arial" w:cs="Arial"/>
        </w:rPr>
      </w:pPr>
      <w:r w:rsidRPr="00C5726B">
        <w:rPr>
          <w:rFonts w:ascii="Arial" w:hAnsi="Arial" w:cs="Arial"/>
        </w:rPr>
        <w:fldChar w:fldCharType="end"/>
      </w:r>
      <w:r w:rsidRPr="000A58EB">
        <w:rPr>
          <w:rFonts w:ascii="Arial" w:hAnsi="Arial" w:cs="Arial"/>
        </w:rPr>
        <w:t>Case Study Report: Mr Ahme</w:t>
      </w:r>
      <w:r w:rsidR="00EA2088">
        <w:rPr>
          <w:rFonts w:ascii="Arial" w:hAnsi="Arial" w:cs="Arial"/>
        </w:rPr>
        <w:t>d</w:t>
      </w:r>
      <w:r w:rsidRPr="000A58EB">
        <w:rPr>
          <w:rFonts w:ascii="Arial" w:hAnsi="Arial" w:cs="Arial"/>
        </w:rPr>
        <w:br/>
      </w:r>
      <w:r w:rsidRPr="000A58EB">
        <w:rPr>
          <w:rFonts w:ascii="Arial" w:hAnsi="Arial" w:cs="Arial"/>
        </w:rPr>
        <w:br/>
        <w:t>Introduction (150 words)</w:t>
      </w:r>
      <w:r w:rsidRPr="000A58EB">
        <w:rPr>
          <w:rFonts w:ascii="Arial" w:hAnsi="Arial" w:cs="Arial"/>
        </w:rPr>
        <w:br/>
      </w:r>
      <w:r w:rsidRPr="000A58EB">
        <w:rPr>
          <w:rFonts w:ascii="Arial" w:hAnsi="Arial" w:cs="Arial"/>
        </w:rPr>
        <w:br/>
        <w:t xml:space="preserve">Effective communication, accurate administration, and collaborative teamwork are essential components of high-quality care within health and social care settings. This report examines these elements using the case study of Mr Ahmed, a 68-year-old man recovering from a stroke who requires support from multiple healthcare professionals. Mr Ahmed faces communication challenges because Bengali is his first language and he struggles with complex English conversations. His care involves several professionals including a GP, district nurse, domiciliary care workers and a speech and language therapist. Recently, a missed home visit resulted in him not receiving his medication on time, highlighting the importance of effective communication, proper administration and coordinated teamwork in care delivery. This report will first discuss the </w:t>
      </w:r>
      <w:r w:rsidRPr="000A58EB">
        <w:rPr>
          <w:rFonts w:ascii="Arial" w:hAnsi="Arial" w:cs="Arial"/>
        </w:rPr>
        <w:t>importance of</w:t>
      </w:r>
      <w:r w:rsidRPr="000A58EB">
        <w:rPr>
          <w:rFonts w:ascii="Arial" w:hAnsi="Arial" w:cs="Arial"/>
        </w:rPr>
        <w:t xml:space="preserve"> effective communication in Mr Ahmed’s care, including the relevance of the Equality Act 2010 and the use of a communication model. It will then examine administrative responsibilities such as record keeping under the Data Protection Act </w:t>
      </w:r>
      <w:r w:rsidRPr="000A58EB">
        <w:rPr>
          <w:rFonts w:ascii="Arial" w:hAnsi="Arial" w:cs="Arial"/>
        </w:rPr>
        <w:t>2018 and</w:t>
      </w:r>
      <w:r w:rsidRPr="000A58EB">
        <w:rPr>
          <w:rFonts w:ascii="Arial" w:hAnsi="Arial" w:cs="Arial"/>
        </w:rPr>
        <w:t xml:space="preserve"> finally analyse the importance of collaborative working among healthcare professionals.</w:t>
      </w:r>
      <w:r w:rsidRPr="000A58EB">
        <w:rPr>
          <w:rFonts w:ascii="Arial" w:hAnsi="Arial" w:cs="Arial"/>
        </w:rPr>
        <w:br/>
      </w:r>
      <w:r w:rsidRPr="000A58EB">
        <w:rPr>
          <w:rFonts w:ascii="Arial" w:hAnsi="Arial" w:cs="Arial"/>
        </w:rPr>
        <w:br/>
      </w:r>
      <w:r w:rsidRPr="000A58EB">
        <w:rPr>
          <w:rFonts w:ascii="Arial" w:hAnsi="Arial" w:cs="Arial"/>
        </w:rPr>
        <w:br/>
      </w:r>
      <w:r w:rsidRPr="000A58EB">
        <w:rPr>
          <w:rFonts w:ascii="Arial" w:hAnsi="Arial" w:cs="Arial"/>
        </w:rPr>
        <w:br/>
        <w:t>1. Importance of Effective Communication (450 words)</w:t>
      </w:r>
      <w:r w:rsidRPr="000A58EB">
        <w:rPr>
          <w:rFonts w:ascii="Arial" w:hAnsi="Arial" w:cs="Arial"/>
        </w:rPr>
        <w:br/>
      </w:r>
      <w:r w:rsidRPr="000A58EB">
        <w:rPr>
          <w:rFonts w:ascii="Arial" w:hAnsi="Arial" w:cs="Arial"/>
        </w:rPr>
        <w:br/>
        <w:t>Effective communication is fundamental in health and social care because it ensures that service users understand their care, receive appropriate treatment and feel respected and supported. In the case of Mr Ahmed, communication is particularly important because he speaks Bengali as his first language and struggles with complex English. Without clear communication, there is a risk of misunderstanding medical instructions, medication errors and reduced quality of care.</w:t>
      </w:r>
      <w:r w:rsidRPr="000A58EB">
        <w:rPr>
          <w:rFonts w:ascii="Arial" w:hAnsi="Arial" w:cs="Arial"/>
        </w:rPr>
        <w:br/>
      </w:r>
      <w:r w:rsidRPr="000A58EB">
        <w:rPr>
          <w:rFonts w:ascii="Arial" w:hAnsi="Arial" w:cs="Arial"/>
        </w:rPr>
        <w:br/>
        <w:t>Healthcare professionals must adapt their communication methods to meet Mr Ahmed’s needs. This may involve using simple language, speaking slowly, using visual aids or arranging professional interpreters if necessary. His wife currently assists with communication; however, relying solely on family members may sometimes lead to misunderstandings or confidentiality concerns. Therefore, professional interpreters or bilingual staff may be more appropriate when discussing medical information.</w:t>
      </w:r>
      <w:r w:rsidRPr="000A58EB">
        <w:rPr>
          <w:rFonts w:ascii="Arial" w:hAnsi="Arial" w:cs="Arial"/>
        </w:rPr>
        <w:br/>
      </w:r>
      <w:r w:rsidRPr="000A58EB">
        <w:rPr>
          <w:rFonts w:ascii="Arial" w:hAnsi="Arial" w:cs="Arial"/>
        </w:rPr>
        <w:br/>
        <w:t>The Equality Act 2010 requires health and social care providers in the UK to ensure that individuals are not discriminated against due to characteristics such as age, disability, or race. In Mr Ahmed’s situation, his language barrier could place him at a disadvantage when accessing healthcare services. Care providers must therefore make reasonable adjustments to ensure he can understand information and participate in decisions about his care. This might include providing translated materials or using interpretation services.</w:t>
      </w:r>
      <w:r w:rsidRPr="000A58EB">
        <w:rPr>
          <w:rFonts w:ascii="Arial" w:hAnsi="Arial" w:cs="Arial"/>
        </w:rPr>
        <w:br/>
      </w:r>
      <w:r w:rsidRPr="000A58EB">
        <w:rPr>
          <w:rFonts w:ascii="Arial" w:hAnsi="Arial" w:cs="Arial"/>
        </w:rPr>
        <w:br/>
        <w:t>One useful communication model that can support Mr Ahmed’s care is the Shannon and Weaver Communication Model. This model explains communication as a process that involves a sender, a message, a channel and a receiver. It also highlights the presence of “noise”, which refers to barriers that interfere with understanding. In Mr Ahmed’s case, language differences and medical terminology could act as communication “noise”. Healthcare professionals must therefore ensure that messages are delivered clearly and that Mr Ahmed has understood the information provided. Feedback from the patient is important in confirming understanding.</w:t>
      </w:r>
      <w:r w:rsidRPr="000A58EB">
        <w:rPr>
          <w:rFonts w:ascii="Arial" w:hAnsi="Arial" w:cs="Arial"/>
        </w:rPr>
        <w:br/>
      </w:r>
      <w:r w:rsidRPr="000A58EB">
        <w:rPr>
          <w:rFonts w:ascii="Arial" w:hAnsi="Arial" w:cs="Arial"/>
        </w:rPr>
        <w:br/>
        <w:t>Additionally, effective communication helps build trust between healthcare professionals and patients. When patients feel listened to and respected, they are more likely to engage with treatment plans and follow medical advice. In Mr Ahmed’s case, clear communication could help prevent situations such as missed medication, which may occur when information is not shared properly between care providers.</w:t>
      </w:r>
      <w:r w:rsidRPr="000A58EB">
        <w:rPr>
          <w:rFonts w:ascii="Arial" w:hAnsi="Arial" w:cs="Arial"/>
        </w:rPr>
        <w:br/>
      </w:r>
      <w:r w:rsidRPr="000A58EB">
        <w:rPr>
          <w:rFonts w:ascii="Arial" w:hAnsi="Arial" w:cs="Arial"/>
        </w:rPr>
        <w:br/>
        <w:t>Overall, effective communication is essential in ensuring that Mr Ahmed receives safe, person-centred care. By following legal frameworks such as the Equality Act 2010 and applying communication models, healthcare professionals can improve understanding, reduce errors and promote better health outcomes.</w:t>
      </w:r>
      <w:r w:rsidRPr="000A58EB">
        <w:rPr>
          <w:rFonts w:ascii="Arial" w:hAnsi="Arial" w:cs="Arial"/>
        </w:rPr>
        <w:br/>
      </w:r>
      <w:r w:rsidRPr="000A58EB">
        <w:rPr>
          <w:rFonts w:ascii="Arial" w:hAnsi="Arial" w:cs="Arial"/>
        </w:rPr>
        <w:br/>
      </w:r>
      <w:r w:rsidRPr="000A58EB">
        <w:rPr>
          <w:rFonts w:ascii="Arial" w:hAnsi="Arial" w:cs="Arial"/>
        </w:rPr>
        <w:br/>
      </w:r>
      <w:r w:rsidRPr="000A58EB">
        <w:rPr>
          <w:rFonts w:ascii="Arial" w:hAnsi="Arial" w:cs="Arial"/>
        </w:rPr>
        <w:br/>
        <w:t>2. Importance of Administrative Skills and Record Keeping (450 words)</w:t>
      </w:r>
      <w:r w:rsidRPr="000A58EB">
        <w:rPr>
          <w:rFonts w:ascii="Arial" w:hAnsi="Arial" w:cs="Arial"/>
        </w:rPr>
        <w:br/>
      </w:r>
      <w:r w:rsidRPr="000A58EB">
        <w:rPr>
          <w:rFonts w:ascii="Arial" w:hAnsi="Arial" w:cs="Arial"/>
        </w:rPr>
        <w:br/>
        <w:t>Administrative skills play a crucial role in maintaining safe and effective healthcare services. In Mr Ahmed’s case, a missed home visit resulted in him not receiving his medication on time. This situation demonstrates the importance of accurate record keeping, scheduling and communication between care providers.</w:t>
      </w:r>
      <w:r w:rsidRPr="000A58EB">
        <w:rPr>
          <w:rFonts w:ascii="Arial" w:hAnsi="Arial" w:cs="Arial"/>
        </w:rPr>
        <w:br/>
      </w:r>
      <w:r w:rsidRPr="000A58EB">
        <w:rPr>
          <w:rFonts w:ascii="Arial" w:hAnsi="Arial" w:cs="Arial"/>
        </w:rPr>
        <w:br/>
        <w:t>One key aspect of administrative practice in healthcare is maintaining clear and accurate records. Health records contain important information about a patient’s medical history, treatment plans, medication and care needs. Proper documentation ensures continuity of care, particularly when multiple professionals are involved. For Mr Ahmed, records must clearly state his medication schedule, communication needs and the professionals responsible for different aspects of his care.</w:t>
      </w:r>
      <w:r w:rsidRPr="000A58EB">
        <w:rPr>
          <w:rFonts w:ascii="Arial" w:hAnsi="Arial" w:cs="Arial"/>
        </w:rPr>
        <w:br/>
      </w:r>
      <w:r w:rsidRPr="000A58EB">
        <w:rPr>
          <w:rFonts w:ascii="Arial" w:hAnsi="Arial" w:cs="Arial"/>
        </w:rPr>
        <w:br/>
        <w:t>Healthcare organisations must follow legal frameworks when handling personal data. The Data Protection Act 2018 regulates how personal information is collected, stored and shared in the UK. Healthcare providers must ensure that patient data is kept secure, confidential and only accessed by authorised professionals. This is particularly important when different agencies are involved in Mr Ahmed’s care.</w:t>
      </w:r>
      <w:r w:rsidRPr="000A58EB">
        <w:rPr>
          <w:rFonts w:ascii="Arial" w:hAnsi="Arial" w:cs="Arial"/>
        </w:rPr>
        <w:br/>
      </w:r>
      <w:r w:rsidRPr="000A58EB">
        <w:rPr>
          <w:rFonts w:ascii="Arial" w:hAnsi="Arial" w:cs="Arial"/>
        </w:rPr>
        <w:br/>
        <w:t>Record keeping also supports accountability and transparency. If an issue arises, such as the missed home visit in Mr Ahmed’s case, records can help identify what happened and prevent similar incidents in the future. Accurate documentation helps healthcare providers review procedures and improve the quality of care.</w:t>
      </w:r>
      <w:r w:rsidRPr="000A58EB">
        <w:rPr>
          <w:rFonts w:ascii="Arial" w:hAnsi="Arial" w:cs="Arial"/>
        </w:rPr>
        <w:br/>
      </w:r>
      <w:r w:rsidRPr="000A58EB">
        <w:rPr>
          <w:rFonts w:ascii="Arial" w:hAnsi="Arial" w:cs="Arial"/>
        </w:rPr>
        <w:br/>
        <w:t>In addition to legal responsibilities, healthcare professionals must follow professional standards set by organisations such as the Nursing and Midwifery Council (NMC). These standards emphasise the importance of maintaining clear, accurate and timely records. Failure to document care properly can compromise patient safety and lead to professional consequences.</w:t>
      </w:r>
      <w:r w:rsidRPr="000A58EB">
        <w:rPr>
          <w:rFonts w:ascii="Arial" w:hAnsi="Arial" w:cs="Arial"/>
        </w:rPr>
        <w:br/>
      </w:r>
      <w:r w:rsidRPr="000A58EB">
        <w:rPr>
          <w:rFonts w:ascii="Arial" w:hAnsi="Arial" w:cs="Arial"/>
        </w:rPr>
        <w:br/>
        <w:t>Administrative tasks also include scheduling visits, coordinating care plans and ensuring medication is delivered correctly. For Mr Ahmed, effective administration would ensure that care workers attend visits as scheduled and that any changes to his condition are communicated to the appropriate professionals.</w:t>
      </w:r>
      <w:r w:rsidRPr="000A58EB">
        <w:rPr>
          <w:rFonts w:ascii="Arial" w:hAnsi="Arial" w:cs="Arial"/>
        </w:rPr>
        <w:br/>
      </w:r>
      <w:r w:rsidRPr="000A58EB">
        <w:rPr>
          <w:rFonts w:ascii="Arial" w:hAnsi="Arial" w:cs="Arial"/>
        </w:rPr>
        <w:br/>
        <w:t>Furthermore, effective administration supports communication within multidisciplinary teams. Accurate records allow different professionals to access relevant information and make informed decisions about the patient’s care. In Mr Ahmed’s case, the GP, district nurse, speech and language therapist and care workers must all be able to access consistent information to provide coordinated support.</w:t>
      </w:r>
      <w:r w:rsidRPr="000A58EB">
        <w:rPr>
          <w:rFonts w:ascii="Arial" w:hAnsi="Arial" w:cs="Arial"/>
        </w:rPr>
        <w:br/>
      </w:r>
      <w:r w:rsidRPr="000A58EB">
        <w:rPr>
          <w:rFonts w:ascii="Arial" w:hAnsi="Arial" w:cs="Arial"/>
        </w:rPr>
        <w:br/>
        <w:t>In conclusion, strong administrative practices are essential for maintaining safe healthcare services. Accurate record keeping, adherence to data protection laws and effective organisation help prevent errors and ensure that patients like Mr Ahmed receive consistent and reliable care.</w:t>
      </w:r>
      <w:r w:rsidRPr="00C5726B">
        <w:br/>
      </w:r>
      <w:r w:rsidRPr="00C5726B">
        <w:br/>
      </w:r>
      <w:r w:rsidRPr="00C5726B">
        <w:br/>
      </w:r>
      <w:r w:rsidRPr="00C5726B">
        <w:br/>
        <w:t xml:space="preserve">3. </w:t>
      </w:r>
      <w:r w:rsidRPr="000A58EB">
        <w:rPr>
          <w:rFonts w:ascii="Arial" w:hAnsi="Arial" w:cs="Arial"/>
        </w:rPr>
        <w:t>Importance of Collaborative Working (300 words)</w:t>
      </w:r>
      <w:r w:rsidRPr="000A58EB">
        <w:rPr>
          <w:rFonts w:ascii="Arial" w:hAnsi="Arial" w:cs="Arial"/>
        </w:rPr>
        <w:br/>
      </w:r>
      <w:r w:rsidRPr="000A58EB">
        <w:rPr>
          <w:rFonts w:ascii="Arial" w:hAnsi="Arial" w:cs="Arial"/>
        </w:rPr>
        <w:br/>
        <w:t>Collaborative working is essential in health and social care because many patients require support from multiple professionals with different expertise. Mr Ahmed’s care involves a multidisciplinary team including his GP, district nurse, domiciliary care workers and a speech and language therapist. Each professional plays a unique role in supporting his recovery after a stroke.</w:t>
      </w:r>
      <w:r w:rsidRPr="000A58EB">
        <w:rPr>
          <w:rFonts w:ascii="Arial" w:hAnsi="Arial" w:cs="Arial"/>
        </w:rPr>
        <w:br/>
      </w:r>
      <w:r w:rsidRPr="000A58EB">
        <w:rPr>
          <w:rFonts w:ascii="Arial" w:hAnsi="Arial" w:cs="Arial"/>
        </w:rPr>
        <w:br/>
        <w:t>The GP is responsible for overseeing Mr Ahmed’s overall health and managing his medication. The district nurse monitors his blood pressure and wound care, ensuring that his physical condition is stable. Domiciliary care workers assist with daily activities such as personal care, medication administration and meal preparation. Meanwhile, the speech and language therapist helps Mr Ahmed improve his communication and swallowing abilities following his stroke.</w:t>
      </w:r>
      <w:r w:rsidRPr="000A58EB">
        <w:rPr>
          <w:rFonts w:ascii="Arial" w:hAnsi="Arial" w:cs="Arial"/>
        </w:rPr>
        <w:br/>
      </w:r>
      <w:r w:rsidRPr="000A58EB">
        <w:rPr>
          <w:rFonts w:ascii="Arial" w:hAnsi="Arial" w:cs="Arial"/>
        </w:rPr>
        <w:br/>
        <w:t>Effective collaboration ensures that these professionals share information and work towards common care goals. One approach that supports collaboration is the use of regular multidisciplinary meetings, where professionals discuss patient progress and update care plans. Shared digital records can also help ensure that all team members have access to the same information.</w:t>
      </w:r>
      <w:r w:rsidRPr="000A58EB">
        <w:rPr>
          <w:rFonts w:ascii="Arial" w:hAnsi="Arial" w:cs="Arial"/>
        </w:rPr>
        <w:br/>
      </w:r>
      <w:r w:rsidRPr="000A58EB">
        <w:rPr>
          <w:rFonts w:ascii="Arial" w:hAnsi="Arial" w:cs="Arial"/>
        </w:rPr>
        <w:br/>
        <w:t>However, multi-agency working can sometimes face challenges. These may include poor communication between services, differences in professional priorities or unclear responsibilities. In Mr Ahmed’s case, the missed home visit highlights how coordination failures can negatively affect patient care.</w:t>
      </w:r>
      <w:r w:rsidRPr="000A58EB">
        <w:rPr>
          <w:rFonts w:ascii="Arial" w:hAnsi="Arial" w:cs="Arial"/>
        </w:rPr>
        <w:br/>
      </w:r>
      <w:r w:rsidRPr="000A58EB">
        <w:rPr>
          <w:rFonts w:ascii="Arial" w:hAnsi="Arial" w:cs="Arial"/>
        </w:rPr>
        <w:br/>
        <w:t>Strategies to improve collaboration include clear communication channels, defined roles and responsibilities, and the use of integrated care plans. Encouraging respect and understanding between professionals from different disciplines also strengthens teamwork.</w:t>
      </w:r>
      <w:r w:rsidRPr="000A58EB">
        <w:rPr>
          <w:rFonts w:ascii="Arial" w:hAnsi="Arial" w:cs="Arial"/>
        </w:rPr>
        <w:br/>
      </w:r>
      <w:r w:rsidRPr="000A58EB">
        <w:rPr>
          <w:rFonts w:ascii="Arial" w:hAnsi="Arial" w:cs="Arial"/>
        </w:rPr>
        <w:br/>
        <w:t>Overall, collaborative working improves the quality and safety of care by combining the knowledge and skills of multiple professionals. For Mr Ahmed, effective teamwork is essential to support his recovery, maintain his independence and ensure that his medical and social needs are fully addressed.</w:t>
      </w:r>
      <w:r w:rsidRPr="00C5726B">
        <w:br/>
      </w:r>
      <w:r w:rsidRPr="00C5726B">
        <w:br/>
      </w:r>
      <w:r w:rsidRPr="00C5726B">
        <w:br/>
      </w:r>
      <w:r w:rsidRPr="00C5726B">
        <w:br/>
      </w:r>
      <w:r w:rsidRPr="000A58EB">
        <w:rPr>
          <w:rFonts w:ascii="Arial" w:hAnsi="Arial" w:cs="Arial"/>
        </w:rPr>
        <w:t>Conclusion (150 words)</w:t>
      </w:r>
      <w:r w:rsidRPr="000A58EB">
        <w:rPr>
          <w:rFonts w:ascii="Arial" w:hAnsi="Arial" w:cs="Arial"/>
        </w:rPr>
        <w:br/>
      </w:r>
      <w:r w:rsidRPr="000A58EB">
        <w:rPr>
          <w:rFonts w:cs="Arial"/>
        </w:rPr>
        <w:br/>
        <w:t xml:space="preserve">In conclusion, </w:t>
      </w:r>
      <w:r w:rsidRPr="000A58EB">
        <w:rPr>
          <w:rFonts w:ascii="Arial" w:hAnsi="Arial" w:cs="Arial"/>
        </w:rPr>
        <w:t>effective communication, strong administrative practices and collaborative teamwork are essential components of quality health and social care. In the case of Mr Ahmed, communication is particularly important due to language barriers and the need to ensure he fully understands his treatment and care plan. Applying legislation such as the Equality Act 2010 and using communication models can help professionals adapt their communication methods to meet his needs. Administrative responsibilities, including accurate record keeping and compliance with the Data Protection Act 2018, ensure that information is securely managed and that care is delivered safely. Finally, collaborative working among healthcare professionals allows different specialists to contribute their expertise and provide coordinated support. By improving communication, administration and teamwork, healthcare providers can ensure that patients like Mr Ahmed receive safe, effective and person-centred care.</w:t>
      </w:r>
      <w:r w:rsidRPr="000A58EB">
        <w:rPr>
          <w:rFonts w:ascii="Arial" w:hAnsi="Arial" w:cs="Arial"/>
        </w:rPr>
        <w:br/>
      </w:r>
      <w:r w:rsidRPr="000A58EB">
        <w:rPr>
          <w:rFonts w:ascii="Arial" w:hAnsi="Arial" w:cs="Arial"/>
        </w:rPr>
        <w:t xml:space="preserve">   </w:t>
      </w:r>
    </w:p>
    <w:p w14:paraId="6470DCE6" w14:textId="442C7895" w:rsidR="0052031E" w:rsidRPr="000A58EB" w:rsidRDefault="0052031E" w:rsidP="00C5726B">
      <w:pPr>
        <w:rPr>
          <w:rFonts w:ascii="Arial" w:hAnsi="Arial" w:cs="Arial"/>
        </w:rPr>
      </w:pPr>
    </w:p>
    <w:p w14:paraId="144BDFB5" w14:textId="3D9C6B6E" w:rsidR="0052031E" w:rsidRPr="000A58EB" w:rsidRDefault="0052031E" w:rsidP="00C5726B">
      <w:pPr>
        <w:rPr>
          <w:rFonts w:ascii="Arial" w:hAnsi="Arial" w:cs="Arial"/>
        </w:rPr>
      </w:pPr>
    </w:p>
    <w:p w14:paraId="72AA2729" w14:textId="77777777" w:rsidR="000A58EB" w:rsidRPr="000A58EB" w:rsidRDefault="0052031E" w:rsidP="00C5726B">
      <w:pPr>
        <w:rPr>
          <w:rFonts w:ascii="Arial" w:hAnsi="Arial" w:cs="Arial"/>
        </w:rPr>
      </w:pPr>
      <w:r w:rsidRPr="000A58EB">
        <w:rPr>
          <w:rFonts w:ascii="Arial" w:hAnsi="Arial" w:cs="Arial"/>
        </w:rPr>
        <w:t>Equality Act 2010 (2010) Equality Act 2010. London: The Stationery Office.</w:t>
      </w:r>
      <w:r w:rsidRPr="000A58EB">
        <w:rPr>
          <w:rFonts w:ascii="Arial" w:hAnsi="Arial" w:cs="Arial"/>
        </w:rPr>
        <w:t xml:space="preserve">  </w:t>
      </w:r>
      <w:r w:rsidRPr="000A58EB">
        <w:rPr>
          <w:rFonts w:ascii="Arial" w:hAnsi="Arial" w:cs="Arial"/>
        </w:rPr>
        <w:t>Data Protection Act 2018 (2018) Data Protection Act 2018. London: The Stationery Office.</w:t>
      </w:r>
      <w:r w:rsidRPr="000A58EB">
        <w:rPr>
          <w:rFonts w:ascii="Arial" w:hAnsi="Arial" w:cs="Arial"/>
        </w:rPr>
        <w:t xml:space="preserve"> </w:t>
      </w:r>
      <w:r w:rsidRPr="000A58EB">
        <w:rPr>
          <w:rFonts w:ascii="Arial" w:hAnsi="Arial" w:cs="Arial"/>
        </w:rPr>
        <w:t>Nursing and Midwifery Council (2018) The Code: Professional standards of practice and behaviour for nurses, midwives and nursing associates. London: NMC.</w:t>
      </w:r>
      <w:r w:rsidR="000A58EB" w:rsidRPr="000A58EB">
        <w:rPr>
          <w:rFonts w:ascii="Arial" w:hAnsi="Arial" w:cs="Arial"/>
        </w:rPr>
        <w:t xml:space="preserve">  </w:t>
      </w:r>
      <w:r w:rsidR="000A58EB" w:rsidRPr="000A58EB">
        <w:rPr>
          <w:rFonts w:ascii="Arial" w:hAnsi="Arial" w:cs="Arial"/>
        </w:rPr>
        <w:t>World Health Organization (2023) Stroke: Key facts. Available at: https://gbr01.safelinks.protection.outlook.com/?url=https%3A%2F%2Fwww.who.int%2Fnews-room%2Ffact-sheets%2Fdetail%2Fstroke&amp;data=05%7C02%7C%7C27e19a1502c64bf3e3c708de8842c583%7C84df9e7fe9f640afb435aaaaaaaaaaaa%7C1%7C0%7C639098017510603228%7CUnknown%7CTWFpbGZsb3d8eyJFbXB0eU1hcGkiOnRydWUsIlYiOiIwLjAuMDAwMCIsIlAiOiJXaW4zMiIsIkFOIjoiTWFpbCIsIldUIjoyfQ%3D%3D%7C0%7C%7C%7C&amp;sdata=mhOypoQcL1LQTBA7FBr8Tc2U%2B6WkDVHPWzkaTebJckQ%3D&amp;reserved=0 (Accessed: 22 March 2026)</w:t>
      </w:r>
      <w:r w:rsidR="000A58EB" w:rsidRPr="000A58EB">
        <w:rPr>
          <w:rFonts w:ascii="Arial" w:hAnsi="Arial" w:cs="Arial"/>
        </w:rPr>
        <w:t xml:space="preserve">.   </w:t>
      </w:r>
    </w:p>
    <w:p w14:paraId="08D25818" w14:textId="77777777" w:rsidR="000A58EB" w:rsidRPr="000A58EB" w:rsidRDefault="000A58EB" w:rsidP="000A58EB">
      <w:pPr>
        <w:rPr>
          <w:rFonts w:ascii="Arial" w:hAnsi="Arial" w:cs="Arial"/>
        </w:rPr>
      </w:pPr>
      <w:r w:rsidRPr="000A58EB">
        <w:rPr>
          <w:rFonts w:ascii="Arial" w:hAnsi="Arial" w:cs="Arial"/>
        </w:rPr>
        <w:t>Claude Shannon and Warren Weaver (1949) The Mathematical Theory of Communication. Urbana: University of Illinois Press.</w:t>
      </w:r>
      <w:r w:rsidRPr="000A58EB">
        <w:rPr>
          <w:rFonts w:ascii="Arial" w:hAnsi="Arial" w:cs="Arial"/>
        </w:rPr>
        <w:t xml:space="preserve"> </w:t>
      </w:r>
      <w:r w:rsidRPr="000A58EB">
        <w:rPr>
          <w:rFonts w:ascii="Arial" w:hAnsi="Arial" w:cs="Arial"/>
        </w:rPr>
        <w:t>Bruce W. Tuckman (1965) ‘Developmental sequence in small groups’, Psychological Bulletin, 63(6), pp. 384–39</w:t>
      </w:r>
    </w:p>
    <w:p w14:paraId="21335B2D" w14:textId="4F492F6D" w:rsidR="000A58EB" w:rsidRPr="000A58EB" w:rsidRDefault="000A58EB" w:rsidP="000A58EB">
      <w:pPr>
        <w:rPr>
          <w:rFonts w:ascii="Arial" w:hAnsi="Arial" w:cs="Arial"/>
        </w:rPr>
      </w:pPr>
      <w:r w:rsidRPr="000A58EB">
        <w:rPr>
          <w:rFonts w:ascii="Arial" w:hAnsi="Arial" w:cs="Arial"/>
        </w:rPr>
        <w:t>National Health Service (2023) Stroke overview. Available at: https://gbr01.safelinks.protection.outlook.com/?url=https%3A%2F%2Fwww.nhs.uk%2Fconditions%2Fstroke%2F&amp;data=05%7C02%7C%7C27e19a1502c64bf3e3c708de8842c583%7C84df9e7fe9f640afb435aaaaaaaaaaaa%7C1%7C0%7C639098017510629408%7CUnknown%7CTWFpbGZsb3d8eyJFbXB0eU1hcGkiOnRydWUsIlYiOiIwLjAuMDAwMCIsIlAiOiJXaW4zMiIsIkFOIjoiTWFpbCIsIldUIjoyfQ%3D%3D%7C0%7C%7C%7C&amp;sdata=3%2BRyOInGBFruAqh0v3dg5Z7cJAHAP%2FNgdyPZTLsA8hs%3D&amp;reserved=0 (Accessed: 22 March 2026)</w:t>
      </w:r>
      <w:r w:rsidRPr="000A58EB">
        <w:rPr>
          <w:rFonts w:ascii="Arial" w:hAnsi="Arial" w:cs="Arial"/>
        </w:rPr>
        <w:t xml:space="preserve">. </w:t>
      </w:r>
    </w:p>
    <w:p w14:paraId="595B400A" w14:textId="088A47CB" w:rsidR="00C5726B" w:rsidRPr="00C5726B" w:rsidRDefault="00C5726B" w:rsidP="00C5726B">
      <w:r w:rsidRPr="00C5726B">
        <w:rPr>
          <w:rFonts w:ascii="Arial" w:hAnsi="Arial" w:cs="Arial"/>
        </w:rPr>
        <w:br/>
      </w:r>
    </w:p>
    <w:p w14:paraId="278D4B01" w14:textId="77777777" w:rsidR="00C5726B" w:rsidRDefault="00C5726B" w:rsidP="00C5726B"/>
    <w:p w14:paraId="2D733E37" w14:textId="77777777" w:rsidR="00C5726B" w:rsidRPr="00C5726B" w:rsidRDefault="00C5726B" w:rsidP="00C5726B"/>
    <w:p w14:paraId="47AC6368" w14:textId="71A3C0C3" w:rsidR="00C5726B" w:rsidRPr="00C5726B" w:rsidRDefault="00C5726B" w:rsidP="00C5726B"/>
    <w:p w14:paraId="747B4005" w14:textId="3B6E6D4A" w:rsidR="00C5726B" w:rsidRPr="00C5726B" w:rsidRDefault="00C5726B" w:rsidP="00C5726B"/>
    <w:p w14:paraId="69909C69" w14:textId="77777777" w:rsidR="00CC289A" w:rsidRPr="00C5726B" w:rsidRDefault="00CC289A">
      <w:pPr>
        <w:rPr>
          <w:rFonts w:ascii="Arial" w:hAnsi="Arial" w:cs="Arial"/>
        </w:rPr>
      </w:pPr>
    </w:p>
    <w:sectPr w:rsidR="00CC289A" w:rsidRPr="00C57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90581"/>
    <w:multiLevelType w:val="multilevel"/>
    <w:tmpl w:val="9A6C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2648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26B"/>
    <w:rsid w:val="000A58EB"/>
    <w:rsid w:val="001B5E7C"/>
    <w:rsid w:val="0052031E"/>
    <w:rsid w:val="00C5726B"/>
    <w:rsid w:val="00CC289A"/>
    <w:rsid w:val="00EA2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E0E21"/>
  <w15:chartTrackingRefBased/>
  <w15:docId w15:val="{27B1A318-F462-408F-93F8-6EB7EFA4B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2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2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2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2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2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2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2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2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2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2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2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2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2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2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26B"/>
    <w:rPr>
      <w:rFonts w:eastAsiaTheme="majorEastAsia" w:cstheme="majorBidi"/>
      <w:color w:val="272727" w:themeColor="text1" w:themeTint="D8"/>
    </w:rPr>
  </w:style>
  <w:style w:type="paragraph" w:styleId="Title">
    <w:name w:val="Title"/>
    <w:basedOn w:val="Normal"/>
    <w:next w:val="Normal"/>
    <w:link w:val="TitleChar"/>
    <w:uiPriority w:val="10"/>
    <w:qFormat/>
    <w:rsid w:val="00C572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2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26B"/>
    <w:pPr>
      <w:spacing w:before="160"/>
      <w:jc w:val="center"/>
    </w:pPr>
    <w:rPr>
      <w:i/>
      <w:iCs/>
      <w:color w:val="404040" w:themeColor="text1" w:themeTint="BF"/>
    </w:rPr>
  </w:style>
  <w:style w:type="character" w:customStyle="1" w:styleId="QuoteChar">
    <w:name w:val="Quote Char"/>
    <w:basedOn w:val="DefaultParagraphFont"/>
    <w:link w:val="Quote"/>
    <w:uiPriority w:val="29"/>
    <w:rsid w:val="00C5726B"/>
    <w:rPr>
      <w:i/>
      <w:iCs/>
      <w:color w:val="404040" w:themeColor="text1" w:themeTint="BF"/>
    </w:rPr>
  </w:style>
  <w:style w:type="paragraph" w:styleId="ListParagraph">
    <w:name w:val="List Paragraph"/>
    <w:basedOn w:val="Normal"/>
    <w:uiPriority w:val="34"/>
    <w:qFormat/>
    <w:rsid w:val="00C5726B"/>
    <w:pPr>
      <w:ind w:left="720"/>
      <w:contextualSpacing/>
    </w:pPr>
  </w:style>
  <w:style w:type="character" w:styleId="IntenseEmphasis">
    <w:name w:val="Intense Emphasis"/>
    <w:basedOn w:val="DefaultParagraphFont"/>
    <w:uiPriority w:val="21"/>
    <w:qFormat/>
    <w:rsid w:val="00C5726B"/>
    <w:rPr>
      <w:i/>
      <w:iCs/>
      <w:color w:val="0F4761" w:themeColor="accent1" w:themeShade="BF"/>
    </w:rPr>
  </w:style>
  <w:style w:type="paragraph" w:styleId="IntenseQuote">
    <w:name w:val="Intense Quote"/>
    <w:basedOn w:val="Normal"/>
    <w:next w:val="Normal"/>
    <w:link w:val="IntenseQuoteChar"/>
    <w:uiPriority w:val="30"/>
    <w:qFormat/>
    <w:rsid w:val="00C572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26B"/>
    <w:rPr>
      <w:i/>
      <w:iCs/>
      <w:color w:val="0F4761" w:themeColor="accent1" w:themeShade="BF"/>
    </w:rPr>
  </w:style>
  <w:style w:type="character" w:styleId="IntenseReference">
    <w:name w:val="Intense Reference"/>
    <w:basedOn w:val="DefaultParagraphFont"/>
    <w:uiPriority w:val="32"/>
    <w:qFormat/>
    <w:rsid w:val="00C5726B"/>
    <w:rPr>
      <w:b/>
      <w:bCs/>
      <w:smallCaps/>
      <w:color w:val="0F4761" w:themeColor="accent1" w:themeShade="BF"/>
      <w:spacing w:val="5"/>
    </w:rPr>
  </w:style>
  <w:style w:type="character" w:styleId="Hyperlink">
    <w:name w:val="Hyperlink"/>
    <w:basedOn w:val="DefaultParagraphFont"/>
    <w:uiPriority w:val="99"/>
    <w:unhideWhenUsed/>
    <w:rsid w:val="00C5726B"/>
    <w:rPr>
      <w:color w:val="467886" w:themeColor="hyperlink"/>
      <w:u w:val="single"/>
    </w:rPr>
  </w:style>
  <w:style w:type="character" w:styleId="UnresolvedMention">
    <w:name w:val="Unresolved Mention"/>
    <w:basedOn w:val="DefaultParagraphFont"/>
    <w:uiPriority w:val="99"/>
    <w:semiHidden/>
    <w:unhideWhenUsed/>
    <w:rsid w:val="00C572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sidra1479@hotmail.com</dc:creator>
  <cp:keywords/>
  <dc:description/>
  <cp:lastModifiedBy>sidra1479@hotmail.com</cp:lastModifiedBy>
  <cp:revision>1</cp:revision>
  <dcterms:created xsi:type="dcterms:W3CDTF">2026-03-23T16:36:00Z</dcterms:created>
  <dcterms:modified xsi:type="dcterms:W3CDTF">2026-03-23T17:25:00Z</dcterms:modified>
</cp:coreProperties>
</file>