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1CA34D" w14:textId="17D03F02" w:rsidR="00F30EC0" w:rsidRPr="00C349C8" w:rsidRDefault="00C349C8">
      <w:pPr>
        <w:spacing w:before="120" w:after="120" w:line="336" w:lineRule="auto"/>
        <w:rPr>
          <w:b/>
          <w:bCs/>
        </w:rPr>
      </w:pPr>
      <w:r w:rsidRPr="00C349C8">
        <w:rPr>
          <w:rFonts w:ascii="Canva Sans" w:eastAsia="Canva Sans" w:hAnsi="Canva Sans" w:cs="Canva Sans"/>
          <w:b/>
          <w:bCs/>
          <w:color w:val="000000"/>
        </w:rPr>
        <w:t>TASK - 1</w:t>
      </w:r>
      <w:r w:rsidR="00000000" w:rsidRPr="00C349C8">
        <w:rPr>
          <w:rFonts w:ascii="Canva Sans" w:eastAsia="Canva Sans" w:hAnsi="Canva Sans" w:cs="Canva Sans"/>
          <w:b/>
          <w:bCs/>
          <w:color w:val="000000"/>
        </w:rPr>
        <w:t xml:space="preserve"> </w:t>
      </w:r>
    </w:p>
    <w:p w14:paraId="6BB19258" w14:textId="77777777" w:rsidR="00F30EC0" w:rsidRDefault="00000000">
      <w:pPr>
        <w:spacing w:before="120" w:after="120"/>
        <w:jc w:val="center"/>
      </w:pPr>
      <w:r>
        <w:rPr>
          <w:noProof/>
        </w:rPr>
        <w:drawing>
          <wp:inline distT="0" distB="0" distL="0" distR="0" wp14:anchorId="5DE6EF9C" wp14:editId="7F83160D">
            <wp:extent cx="5734050" cy="888778"/>
            <wp:effectExtent l="0" t="0" r="0" b="0"/>
            <wp:docPr id="848766443" name="Drawing 0" descr="1588da5c8-47b1-4ffe-9ed5-fc9e95a0b0c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0" descr="1588da5c8-47b1-4ffe-9ed5-fc9e95a0b0c5.png"/>
                    <pic:cNvPicPr>
                      <a:picLocks noChangeAspect="1"/>
                    </pic:cNvPicPr>
                  </pic:nvPicPr>
                  <pic:blipFill>
                    <a:blip r:embed="rId5"/>
                    <a:stretch>
                      <a:fillRect/>
                    </a:stretch>
                  </pic:blipFill>
                  <pic:spPr>
                    <a:xfrm>
                      <a:off x="0" y="0"/>
                      <a:ext cx="5734050" cy="888778"/>
                    </a:xfrm>
                    <a:prstGeom prst="rect">
                      <a:avLst/>
                    </a:prstGeom>
                  </pic:spPr>
                </pic:pic>
              </a:graphicData>
            </a:graphic>
          </wp:inline>
        </w:drawing>
      </w:r>
    </w:p>
    <w:p w14:paraId="16481DDA" w14:textId="77777777" w:rsidR="00F30EC0" w:rsidRDefault="00000000">
      <w:pPr>
        <w:spacing w:before="120" w:after="120" w:line="336" w:lineRule="auto"/>
      </w:pPr>
      <w:r>
        <w:rPr>
          <w:rFonts w:ascii="Inter" w:eastAsia="Inter" w:hAnsi="Inter" w:cs="Inter"/>
          <w:color w:val="000000"/>
        </w:rPr>
        <w:t xml:space="preserve"> </w:t>
      </w:r>
    </w:p>
    <w:tbl>
      <w:tblPr>
        <w:tblW w:w="9030" w:type="dxa"/>
        <w:tblInd w:w="120" w:type="dxa"/>
        <w:tblBorders>
          <w:top w:val="single" w:sz="6" w:space="0" w:color="D9D9D9"/>
          <w:left w:val="single" w:sz="6" w:space="0" w:color="D9D9D9"/>
          <w:bottom w:val="single" w:sz="6" w:space="0" w:color="D9D9D9"/>
          <w:right w:val="single" w:sz="6" w:space="0" w:color="D9D9D9"/>
          <w:insideH w:val="single" w:sz="6" w:space="0" w:color="D9D9D9"/>
          <w:insideV w:val="single" w:sz="6" w:space="0" w:color="D9D9D9"/>
        </w:tblBorders>
        <w:tblCellMar>
          <w:left w:w="10" w:type="dxa"/>
          <w:right w:w="10" w:type="dxa"/>
        </w:tblCellMar>
        <w:tblLook w:val="04A0" w:firstRow="1" w:lastRow="0" w:firstColumn="1" w:lastColumn="0" w:noHBand="0" w:noVBand="1"/>
      </w:tblPr>
      <w:tblGrid>
        <w:gridCol w:w="702"/>
        <w:gridCol w:w="3926"/>
        <w:gridCol w:w="3700"/>
        <w:gridCol w:w="702"/>
      </w:tblGrid>
      <w:tr w:rsidR="00F30EC0" w14:paraId="41BCD771" w14:textId="77777777">
        <w:tblPrEx>
          <w:tblCellMar>
            <w:top w:w="0" w:type="dxa"/>
            <w:bottom w:w="0" w:type="dxa"/>
          </w:tblCellMar>
        </w:tblPrEx>
        <w:tc>
          <w:tcPr>
            <w:tcW w:w="4627" w:type="dxa"/>
            <w:gridSpan w:val="2"/>
            <w:tcBorders>
              <w:top w:val="single" w:sz="6" w:space="0" w:color="5645F4"/>
              <w:left w:val="single" w:sz="6" w:space="0" w:color="5645F4"/>
              <w:bottom w:val="single" w:sz="6" w:space="0" w:color="5645F4"/>
            </w:tcBorders>
            <w:tcMar>
              <w:top w:w="120" w:type="dxa"/>
              <w:left w:w="120" w:type="dxa"/>
              <w:bottom w:w="120" w:type="dxa"/>
              <w:right w:w="120" w:type="dxa"/>
            </w:tcMar>
          </w:tcPr>
          <w:p w14:paraId="67ADEC9D" w14:textId="77777777" w:rsidR="00F30EC0" w:rsidRDefault="00000000">
            <w:pPr>
              <w:spacing w:before="120" w:after="120" w:line="264" w:lineRule="auto"/>
            </w:pPr>
            <w:r>
              <w:rPr>
                <w:rFonts w:ascii="Inter" w:eastAsia="Inter" w:hAnsi="Inter" w:cs="Inter"/>
                <w:color w:val="000000"/>
                <w:sz w:val="28"/>
                <w:szCs w:val="28"/>
              </w:rPr>
              <w:t xml:space="preserve"> </w:t>
            </w:r>
            <w:r>
              <w:rPr>
                <w:rFonts w:ascii="Inter Bold" w:eastAsia="Inter Bold" w:hAnsi="Inter Bold" w:cs="Inter Bold"/>
                <w:b/>
                <w:bCs/>
                <w:color w:val="000000"/>
                <w:sz w:val="28"/>
                <w:szCs w:val="28"/>
              </w:rPr>
              <w:t xml:space="preserve">Explanation of the Chosen Healthcare Service </w:t>
            </w:r>
          </w:p>
          <w:p w14:paraId="165B3AA0" w14:textId="77777777" w:rsidR="00F30EC0" w:rsidRDefault="00000000">
            <w:pPr>
              <w:spacing w:before="120" w:after="120" w:line="264" w:lineRule="auto"/>
            </w:pPr>
            <w:r>
              <w:rPr>
                <w:rFonts w:ascii="Inter Italics" w:eastAsia="Inter Italics" w:hAnsi="Inter Italics" w:cs="Inter Italics"/>
                <w:i/>
                <w:iCs/>
                <w:color w:val="000000"/>
                <w:sz w:val="16"/>
                <w:szCs w:val="16"/>
              </w:rPr>
              <w:t>(What this section means: It describes what the service is, its main purpose, and who provides and uses it.)</w:t>
            </w:r>
            <w:r>
              <w:rPr>
                <w:rFonts w:ascii="Inter" w:eastAsia="Inter" w:hAnsi="Inter" w:cs="Inter"/>
                <w:color w:val="000000"/>
                <w:sz w:val="16"/>
                <w:szCs w:val="16"/>
              </w:rPr>
              <w:t xml:space="preserve"> </w:t>
            </w:r>
          </w:p>
          <w:p w14:paraId="44E4BBB4" w14:textId="77777777" w:rsidR="00F30EC0" w:rsidRDefault="00000000">
            <w:pPr>
              <w:spacing w:before="120" w:after="120" w:line="264" w:lineRule="auto"/>
            </w:pPr>
            <w:r>
              <w:rPr>
                <w:rFonts w:ascii="Inter" w:eastAsia="Inter" w:hAnsi="Inter" w:cs="Inter"/>
                <w:color w:val="000000"/>
                <w:sz w:val="16"/>
                <w:szCs w:val="16"/>
              </w:rPr>
              <w:t>Explanation: </w:t>
            </w:r>
            <w:r>
              <w:rPr>
                <w:rFonts w:ascii="Inter" w:eastAsia="Inter" w:hAnsi="Inter" w:cs="Inter"/>
                <w:color w:val="000000"/>
                <w:sz w:val="16"/>
                <w:szCs w:val="16"/>
              </w:rPr>
              <w:br/>
              <w:t>Pharmacy services are a vital component of the UK's health and social care system. They concentrate on the secure and efficacious application of pharmaceuticals to treat, prevent, and manage diseases. Pharmacists are extensively educated healthcare practitioners who dispense medications recommended by physicians and counsel patients on their safe usage. </w:t>
            </w:r>
            <w:r>
              <w:rPr>
                <w:rFonts w:ascii="Inter" w:eastAsia="Inter" w:hAnsi="Inter" w:cs="Inter"/>
                <w:color w:val="000000"/>
                <w:sz w:val="16"/>
                <w:szCs w:val="16"/>
              </w:rPr>
              <w:br/>
              <w:t>Pharmacy services enhance public health by offering immunisations, lifestyle guidance, and health tests (NHS England, 2024). They significantly alleviate the burden on general practitioners (GPs) and hospitals by assisting individuals in managing minor ailments and chronic disorders such as diabetes, asthma, and hypertension. </w:t>
            </w:r>
            <w:r>
              <w:rPr>
                <w:rFonts w:ascii="Inter" w:eastAsia="Inter" w:hAnsi="Inter" w:cs="Inter"/>
                <w:color w:val="000000"/>
                <w:sz w:val="16"/>
                <w:szCs w:val="16"/>
              </w:rPr>
              <w:br/>
              <w:t xml:space="preserve">In essence, pharmacy services guarantee that patients obtain the appropriate medication, in the correct dosage, at the designated time, thereby contributing to the overarching NHS objective of providing safe and effective healthcare for all. </w:t>
            </w:r>
          </w:p>
          <w:p w14:paraId="1601CF58" w14:textId="77777777" w:rsidR="00F30EC0" w:rsidRDefault="00000000">
            <w:pPr>
              <w:spacing w:before="120" w:after="120" w:line="264" w:lineRule="auto"/>
            </w:pPr>
            <w:r>
              <w:rPr>
                <w:rFonts w:ascii="Inter Bold" w:eastAsia="Inter Bold" w:hAnsi="Inter Bold" w:cs="Inter Bold"/>
                <w:b/>
                <w:bCs/>
                <w:color w:val="000000"/>
              </w:rPr>
              <w:t xml:space="preserve"> </w:t>
            </w:r>
          </w:p>
        </w:tc>
        <w:tc>
          <w:tcPr>
            <w:tcW w:w="4402" w:type="dxa"/>
            <w:gridSpan w:val="2"/>
            <w:tcBorders>
              <w:top w:val="single" w:sz="6" w:space="0" w:color="5645F4"/>
              <w:left w:val="single" w:sz="6" w:space="0" w:color="5645F4"/>
              <w:bottom w:val="single" w:sz="6" w:space="0" w:color="5645F4"/>
            </w:tcBorders>
            <w:tcMar>
              <w:top w:w="120" w:type="dxa"/>
              <w:left w:w="120" w:type="dxa"/>
              <w:bottom w:w="120" w:type="dxa"/>
              <w:right w:w="120" w:type="dxa"/>
            </w:tcMar>
          </w:tcPr>
          <w:p w14:paraId="5E7C2C79" w14:textId="77777777" w:rsidR="00F30EC0" w:rsidRDefault="00000000">
            <w:pPr>
              <w:spacing w:before="120" w:after="120" w:line="336" w:lineRule="auto"/>
            </w:pPr>
            <w:r>
              <w:rPr>
                <w:rFonts w:ascii="Canva Sans Bold" w:eastAsia="Canva Sans Bold" w:hAnsi="Canva Sans Bold" w:cs="Canva Sans Bold"/>
                <w:b/>
                <w:bCs/>
                <w:color w:val="000000"/>
                <w:sz w:val="28"/>
                <w:szCs w:val="28"/>
              </w:rPr>
              <w:t xml:space="preserve"> A Brief History of Pharmacy Services</w:t>
            </w:r>
            <w:r>
              <w:rPr>
                <w:rFonts w:ascii="Canva Sans" w:eastAsia="Canva Sans" w:hAnsi="Canva Sans" w:cs="Canva Sans"/>
                <w:color w:val="000000"/>
                <w:sz w:val="28"/>
                <w:szCs w:val="28"/>
              </w:rPr>
              <w:t xml:space="preserve"> </w:t>
            </w:r>
          </w:p>
          <w:p w14:paraId="5CC2FF10" w14:textId="77777777" w:rsidR="00F30EC0" w:rsidRDefault="00000000">
            <w:pPr>
              <w:spacing w:before="120" w:after="120" w:line="336" w:lineRule="auto"/>
            </w:pPr>
            <w:r>
              <w:rPr>
                <w:rFonts w:ascii="Canva Sans Italics" w:eastAsia="Canva Sans Italics" w:hAnsi="Canva Sans Italics" w:cs="Canva Sans Italics"/>
                <w:i/>
                <w:iCs/>
                <w:color w:val="000000"/>
                <w:sz w:val="16"/>
                <w:szCs w:val="16"/>
              </w:rPr>
              <w:t xml:space="preserve">(What this section means: Its summarise how the service started, how it has changed over time, and why it’s important historically.) </w:t>
            </w:r>
          </w:p>
          <w:p w14:paraId="3FBFF23D" w14:textId="77777777" w:rsidR="00F30EC0" w:rsidRDefault="00000000">
            <w:pPr>
              <w:spacing w:before="120" w:after="120" w:line="336" w:lineRule="auto"/>
            </w:pPr>
            <w:r>
              <w:rPr>
                <w:rFonts w:ascii="Canva Sans Bold" w:eastAsia="Canva Sans Bold" w:hAnsi="Canva Sans Bold" w:cs="Canva Sans Bold"/>
                <w:b/>
                <w:bCs/>
                <w:color w:val="000000"/>
                <w:sz w:val="16"/>
                <w:szCs w:val="16"/>
              </w:rPr>
              <w:t>Explanation:</w:t>
            </w:r>
            <w:r>
              <w:rPr>
                <w:rFonts w:ascii="Canva Sans" w:eastAsia="Canva Sans" w:hAnsi="Canva Sans" w:cs="Canva Sans"/>
                <w:color w:val="000000"/>
                <w:sz w:val="16"/>
                <w:szCs w:val="16"/>
              </w:rPr>
              <w:t> </w:t>
            </w:r>
            <w:r>
              <w:rPr>
                <w:rFonts w:ascii="Canva Sans" w:eastAsia="Canva Sans" w:hAnsi="Canva Sans" w:cs="Canva Sans"/>
                <w:color w:val="000000"/>
                <w:sz w:val="16"/>
                <w:szCs w:val="16"/>
              </w:rPr>
              <w:br/>
            </w:r>
            <w:r>
              <w:rPr>
                <w:rFonts w:ascii="Inter" w:eastAsia="Inter" w:hAnsi="Inter" w:cs="Inter"/>
                <w:color w:val="000000"/>
                <w:sz w:val="16"/>
                <w:szCs w:val="16"/>
              </w:rPr>
              <w:t>The roots of pharmacy practice in the UK trace back to the 12th century, when apothecaries compounded and dispensed medications. The profession received legal acknowledgement in 1617 with the establishment of the Worshipful Society of Apothecaries, granting chemists the authority to prepare and dispense remedies (Royal Pharmaceutical Society [RPS], 2023). </w:t>
            </w:r>
            <w:r>
              <w:rPr>
                <w:rFonts w:ascii="Inter" w:eastAsia="Inter" w:hAnsi="Inter" w:cs="Inter"/>
                <w:color w:val="000000"/>
                <w:sz w:val="16"/>
                <w:szCs w:val="16"/>
              </w:rPr>
              <w:br/>
              <w:t>In 1868, the Pharmacy Act was enacted, mandating registration for everyone involved in the sale or preparation of medications, thereby enhancing patient safety. The most significant turning point occurred in 1948, when the establishment of the National Health Service (NHS) rendered access to medications free for all individuals. </w:t>
            </w:r>
            <w:r>
              <w:rPr>
                <w:rFonts w:ascii="Inter" w:eastAsia="Inter" w:hAnsi="Inter" w:cs="Inter"/>
                <w:color w:val="000000"/>
                <w:sz w:val="16"/>
                <w:szCs w:val="16"/>
              </w:rPr>
              <w:br/>
              <w:t>Throughout the 20th and 21st centuries, pharmacy practice transitioned from basic drug dispensing to a patient-centred therapeutic service. Pharmacists now offer enhanced services such as immunisations, medication assessments, and chronic disease management.</w:t>
            </w:r>
            <w:r>
              <w:rPr>
                <w:rFonts w:ascii="Canva Sans Italics" w:eastAsia="Canva Sans Italics" w:hAnsi="Canva Sans Italics" w:cs="Canva Sans Italics"/>
                <w:i/>
                <w:iCs/>
                <w:color w:val="000000"/>
                <w:sz w:val="16"/>
                <w:szCs w:val="16"/>
              </w:rPr>
              <w:t xml:space="preserve"> </w:t>
            </w:r>
          </w:p>
        </w:tc>
      </w:tr>
      <w:tr w:rsidR="00F30EC0" w14:paraId="2356FAAF" w14:textId="77777777">
        <w:tblPrEx>
          <w:tblCellMar>
            <w:top w:w="0" w:type="dxa"/>
            <w:bottom w:w="0" w:type="dxa"/>
          </w:tblCellMar>
        </w:tblPrEx>
        <w:tc>
          <w:tcPr>
            <w:tcW w:w="701" w:type="dxa"/>
            <w:tcBorders>
              <w:top w:val="single" w:sz="6" w:space="0" w:color="5645F4"/>
              <w:left w:val="single" w:sz="6" w:space="0" w:color="5645F4"/>
              <w:bottom w:val="single" w:sz="6" w:space="0" w:color="5645F4"/>
              <w:right w:val="single" w:sz="6" w:space="0" w:color="5645F4"/>
            </w:tcBorders>
            <w:shd w:val="clear" w:color="auto" w:fill="5645F4"/>
            <w:tcMar>
              <w:top w:w="120" w:type="dxa"/>
              <w:left w:w="120" w:type="dxa"/>
              <w:bottom w:w="120" w:type="dxa"/>
              <w:right w:w="120" w:type="dxa"/>
            </w:tcMar>
          </w:tcPr>
          <w:p w14:paraId="04A1D642" w14:textId="77777777" w:rsidR="00F30EC0" w:rsidRDefault="00000000">
            <w:pPr>
              <w:spacing w:before="120" w:after="120" w:line="336" w:lineRule="auto"/>
            </w:pPr>
            <w:r>
              <w:rPr>
                <w:rFonts w:ascii="Arimo" w:eastAsia="Arimo" w:hAnsi="Arimo" w:cs="Arimo"/>
                <w:color w:val="000000"/>
              </w:rPr>
              <w:t xml:space="preserve"> </w:t>
            </w:r>
          </w:p>
        </w:tc>
        <w:tc>
          <w:tcPr>
            <w:tcW w:w="3926" w:type="dxa"/>
            <w:tcBorders>
              <w:top w:val="single" w:sz="6" w:space="0" w:color="5645F4"/>
              <w:left w:val="single" w:sz="6" w:space="0" w:color="5645F4"/>
              <w:bottom w:val="single" w:sz="6" w:space="0" w:color="5645F4"/>
              <w:right w:val="single" w:sz="6" w:space="0" w:color="FFFFFF"/>
            </w:tcBorders>
            <w:shd w:val="clear" w:color="auto" w:fill="5645F4"/>
            <w:tcMar>
              <w:top w:w="120" w:type="dxa"/>
              <w:left w:w="120" w:type="dxa"/>
              <w:bottom w:w="120" w:type="dxa"/>
              <w:right w:w="120" w:type="dxa"/>
            </w:tcMar>
          </w:tcPr>
          <w:p w14:paraId="4FA54B09" w14:textId="77777777" w:rsidR="00F30EC0" w:rsidRDefault="00000000">
            <w:pPr>
              <w:spacing w:before="120" w:after="120" w:line="336" w:lineRule="auto"/>
            </w:pPr>
            <w:r>
              <w:rPr>
                <w:rFonts w:ascii="Inter Bold" w:eastAsia="Inter Bold" w:hAnsi="Inter Bold" w:cs="Inter Bold"/>
                <w:b/>
                <w:bCs/>
                <w:color w:val="FFFFFF"/>
                <w:sz w:val="32"/>
                <w:szCs w:val="32"/>
              </w:rPr>
              <w:t xml:space="preserve"> </w:t>
            </w:r>
          </w:p>
        </w:tc>
        <w:tc>
          <w:tcPr>
            <w:tcW w:w="3700" w:type="dxa"/>
            <w:tcBorders>
              <w:top w:val="single" w:sz="6" w:space="0" w:color="5645F4"/>
              <w:left w:val="single" w:sz="6" w:space="0" w:color="FFFFFF"/>
              <w:bottom w:val="single" w:sz="6" w:space="0" w:color="5645F4"/>
              <w:right w:val="single" w:sz="6" w:space="0" w:color="5645F4"/>
            </w:tcBorders>
            <w:shd w:val="clear" w:color="auto" w:fill="5645F4"/>
            <w:tcMar>
              <w:top w:w="120" w:type="dxa"/>
              <w:left w:w="120" w:type="dxa"/>
              <w:bottom w:w="120" w:type="dxa"/>
              <w:right w:w="120" w:type="dxa"/>
            </w:tcMar>
          </w:tcPr>
          <w:p w14:paraId="133C86CB" w14:textId="77777777" w:rsidR="00F30EC0" w:rsidRDefault="00000000">
            <w:pPr>
              <w:spacing w:before="120" w:after="120" w:line="336" w:lineRule="auto"/>
            </w:pPr>
            <w:r>
              <w:rPr>
                <w:rFonts w:ascii="Inter Bold" w:eastAsia="Inter Bold" w:hAnsi="Inter Bold" w:cs="Inter Bold"/>
                <w:b/>
                <w:bCs/>
                <w:color w:val="FFFFFF"/>
                <w:sz w:val="32"/>
                <w:szCs w:val="32"/>
              </w:rPr>
              <w:t xml:space="preserve"> </w:t>
            </w:r>
          </w:p>
        </w:tc>
        <w:tc>
          <w:tcPr>
            <w:tcW w:w="701" w:type="dxa"/>
            <w:tcBorders>
              <w:top w:val="single" w:sz="6" w:space="0" w:color="5645F4"/>
              <w:left w:val="single" w:sz="6" w:space="0" w:color="5645F4"/>
              <w:bottom w:val="single" w:sz="6" w:space="0" w:color="5645F4"/>
              <w:right w:val="single" w:sz="6" w:space="0" w:color="5645F4"/>
            </w:tcBorders>
            <w:shd w:val="clear" w:color="auto" w:fill="5645F4"/>
            <w:tcMar>
              <w:top w:w="120" w:type="dxa"/>
              <w:left w:w="120" w:type="dxa"/>
              <w:bottom w:w="120" w:type="dxa"/>
              <w:right w:w="120" w:type="dxa"/>
            </w:tcMar>
          </w:tcPr>
          <w:p w14:paraId="140BCA27" w14:textId="77777777" w:rsidR="00F30EC0" w:rsidRDefault="00000000">
            <w:pPr>
              <w:spacing w:before="120" w:after="120" w:line="336" w:lineRule="auto"/>
            </w:pPr>
            <w:r>
              <w:rPr>
                <w:rFonts w:ascii="Arimo" w:eastAsia="Arimo" w:hAnsi="Arimo" w:cs="Arimo"/>
                <w:color w:val="000000"/>
              </w:rPr>
              <w:t xml:space="preserve"> </w:t>
            </w:r>
          </w:p>
        </w:tc>
      </w:tr>
      <w:tr w:rsidR="00F30EC0" w14:paraId="237BB001" w14:textId="77777777">
        <w:tblPrEx>
          <w:tblCellMar>
            <w:top w:w="0" w:type="dxa"/>
            <w:bottom w:w="0" w:type="dxa"/>
          </w:tblCellMar>
        </w:tblPrEx>
        <w:tc>
          <w:tcPr>
            <w:tcW w:w="4627" w:type="dxa"/>
            <w:gridSpan w:val="2"/>
            <w:tcBorders>
              <w:top w:val="single" w:sz="6" w:space="0" w:color="5645F4"/>
              <w:left w:val="single" w:sz="6" w:space="0" w:color="5645F4"/>
              <w:bottom w:val="single" w:sz="6" w:space="0" w:color="5645F4"/>
            </w:tcBorders>
            <w:tcMar>
              <w:top w:w="120" w:type="dxa"/>
              <w:left w:w="120" w:type="dxa"/>
              <w:bottom w:w="120" w:type="dxa"/>
              <w:right w:w="120" w:type="dxa"/>
            </w:tcMar>
          </w:tcPr>
          <w:p w14:paraId="5ADBCE1C" w14:textId="77777777" w:rsidR="00F30EC0" w:rsidRDefault="00000000">
            <w:pPr>
              <w:spacing w:before="120" w:after="120" w:line="264" w:lineRule="auto"/>
            </w:pPr>
            <w:r>
              <w:rPr>
                <w:rFonts w:ascii="Inter Bold" w:eastAsia="Inter Bold" w:hAnsi="Inter Bold" w:cs="Inter Bold"/>
                <w:b/>
                <w:bCs/>
                <w:color w:val="000000"/>
                <w:sz w:val="36"/>
                <w:szCs w:val="36"/>
              </w:rPr>
              <w:t xml:space="preserve"> </w:t>
            </w:r>
            <w:r>
              <w:rPr>
                <w:rFonts w:ascii="Inter Bold" w:eastAsia="Inter Bold" w:hAnsi="Inter Bold" w:cs="Inter Bold"/>
                <w:b/>
                <w:bCs/>
                <w:color w:val="000000"/>
                <w:sz w:val="28"/>
                <w:szCs w:val="28"/>
              </w:rPr>
              <w:t>Current Functioning of the Service</w:t>
            </w:r>
            <w:r>
              <w:rPr>
                <w:rFonts w:ascii="Inter" w:eastAsia="Inter" w:hAnsi="Inter" w:cs="Inter"/>
                <w:color w:val="000000"/>
                <w:sz w:val="28"/>
                <w:szCs w:val="28"/>
              </w:rPr>
              <w:t xml:space="preserve"> </w:t>
            </w:r>
          </w:p>
          <w:p w14:paraId="3D7EED67" w14:textId="77777777" w:rsidR="00F30EC0" w:rsidRDefault="00000000">
            <w:pPr>
              <w:spacing w:before="120" w:after="120" w:line="264" w:lineRule="auto"/>
            </w:pPr>
            <w:r>
              <w:rPr>
                <w:rFonts w:ascii="Inter Italics" w:eastAsia="Inter Italics" w:hAnsi="Inter Italics" w:cs="Inter Italics"/>
                <w:i/>
                <w:iCs/>
                <w:color w:val="000000"/>
                <w:sz w:val="14"/>
                <w:szCs w:val="14"/>
              </w:rPr>
              <w:t>(What this section means: Its explain how the service operates today — who runs it, how people access it, and what services are offered.)</w:t>
            </w:r>
            <w:r>
              <w:rPr>
                <w:rFonts w:ascii="Inter" w:eastAsia="Inter" w:hAnsi="Inter" w:cs="Inter"/>
                <w:color w:val="000000"/>
                <w:sz w:val="14"/>
                <w:szCs w:val="14"/>
              </w:rPr>
              <w:t xml:space="preserve"> </w:t>
            </w:r>
          </w:p>
          <w:p w14:paraId="49664B1B" w14:textId="77777777" w:rsidR="00F30EC0" w:rsidRDefault="00000000">
            <w:pPr>
              <w:spacing w:before="120" w:after="120" w:line="264" w:lineRule="auto"/>
            </w:pPr>
            <w:r>
              <w:rPr>
                <w:rFonts w:ascii="Inter Bold" w:eastAsia="Inter Bold" w:hAnsi="Inter Bold" w:cs="Inter Bold"/>
                <w:b/>
                <w:bCs/>
                <w:color w:val="000000"/>
                <w:sz w:val="14"/>
                <w:szCs w:val="14"/>
              </w:rPr>
              <w:t>Explanation:</w:t>
            </w:r>
            <w:r>
              <w:rPr>
                <w:rFonts w:ascii="Inter" w:eastAsia="Inter" w:hAnsi="Inter" w:cs="Inter"/>
                <w:color w:val="000000"/>
                <w:sz w:val="14"/>
                <w:szCs w:val="14"/>
              </w:rPr>
              <w:t> </w:t>
            </w:r>
            <w:r>
              <w:rPr>
                <w:rFonts w:ascii="Inter" w:eastAsia="Inter" w:hAnsi="Inter" w:cs="Inter"/>
                <w:color w:val="000000"/>
                <w:sz w:val="14"/>
                <w:szCs w:val="14"/>
              </w:rPr>
              <w:br/>
              <w:t>Pharmacy services currently function in several environments throughout the UK: </w:t>
            </w:r>
            <w:r>
              <w:rPr>
                <w:rFonts w:ascii="Inter" w:eastAsia="Inter" w:hAnsi="Inter" w:cs="Inter"/>
                <w:color w:val="000000"/>
                <w:sz w:val="14"/>
                <w:szCs w:val="14"/>
              </w:rPr>
              <w:br/>
              <w:t>a. Community Pharmacies </w:t>
            </w:r>
            <w:r>
              <w:rPr>
                <w:rFonts w:ascii="Inter" w:eastAsia="Inter" w:hAnsi="Inter" w:cs="Inter"/>
                <w:color w:val="000000"/>
                <w:sz w:val="14"/>
                <w:szCs w:val="14"/>
              </w:rPr>
              <w:br/>
              <w:t xml:space="preserve">These pharmacies are the most prominent, situated in supermarkets, shopping centres, and in proximity to general practitioner offices. </w:t>
            </w:r>
            <w:r>
              <w:rPr>
                <w:rFonts w:ascii="Inter" w:eastAsia="Inter" w:hAnsi="Inter" w:cs="Inter"/>
                <w:color w:val="000000"/>
                <w:sz w:val="14"/>
                <w:szCs w:val="14"/>
              </w:rPr>
              <w:lastRenderedPageBreak/>
              <w:t>Community chemists distribute prescriptions, offer health guidance and provide NHS-funded services including: </w:t>
            </w:r>
            <w:r>
              <w:rPr>
                <w:rFonts w:ascii="Inter" w:eastAsia="Inter" w:hAnsi="Inter" w:cs="Inter"/>
                <w:color w:val="000000"/>
                <w:sz w:val="14"/>
                <w:szCs w:val="14"/>
              </w:rPr>
              <w:br/>
              <w:t>Influenza and COVID-19 immunisations </w:t>
            </w:r>
            <w:r>
              <w:rPr>
                <w:rFonts w:ascii="Inter" w:eastAsia="Inter" w:hAnsi="Inter" w:cs="Inter"/>
                <w:color w:val="000000"/>
                <w:sz w:val="14"/>
                <w:szCs w:val="14"/>
              </w:rPr>
              <w:br/>
              <w:t>Monitoring of blood pressure </w:t>
            </w:r>
            <w:r>
              <w:rPr>
                <w:rFonts w:ascii="Inter" w:eastAsia="Inter" w:hAnsi="Inter" w:cs="Inter"/>
                <w:color w:val="000000"/>
                <w:sz w:val="14"/>
                <w:szCs w:val="14"/>
              </w:rPr>
              <w:br/>
              <w:t>Guidance on smoking cessation and contraceptive methods </w:t>
            </w:r>
            <w:r>
              <w:rPr>
                <w:rFonts w:ascii="Inter" w:eastAsia="Inter" w:hAnsi="Inter" w:cs="Inter"/>
                <w:color w:val="000000"/>
                <w:sz w:val="14"/>
                <w:szCs w:val="14"/>
              </w:rPr>
              <w:br/>
              <w:t>The newly implemented Pharmacy First Service enables chemists to address prevalent ailments, like ear infections and sore throats, without necessitating a consultation with a general practitioner (NHS England, 2024). </w:t>
            </w:r>
            <w:r>
              <w:rPr>
                <w:rFonts w:ascii="Inter" w:eastAsia="Inter" w:hAnsi="Inter" w:cs="Inter"/>
                <w:color w:val="000000"/>
                <w:sz w:val="14"/>
                <w:szCs w:val="14"/>
              </w:rPr>
              <w:br/>
              <w:t>b. Hospital Pharmacies </w:t>
            </w:r>
            <w:r>
              <w:rPr>
                <w:rFonts w:ascii="Inter" w:eastAsia="Inter" w:hAnsi="Inter" w:cs="Inter"/>
                <w:color w:val="000000"/>
                <w:sz w:val="14"/>
                <w:szCs w:val="14"/>
              </w:rPr>
              <w:br/>
              <w:t>Hospital chemists collaborate with clinical teams to guarantee the safe administration of medications for inpatients. They formulate speciality pharmaceuticals, including chemotherapy and intravenous feeding, and oversee medication interactions. </w:t>
            </w:r>
            <w:r>
              <w:rPr>
                <w:rFonts w:ascii="Inter" w:eastAsia="Inter" w:hAnsi="Inter" w:cs="Inter"/>
                <w:color w:val="000000"/>
                <w:sz w:val="14"/>
                <w:szCs w:val="14"/>
              </w:rPr>
              <w:br/>
              <w:t>c. Clinical and Primary Care Pharmacy </w:t>
            </w:r>
            <w:r>
              <w:rPr>
                <w:rFonts w:ascii="Inter" w:eastAsia="Inter" w:hAnsi="Inter" w:cs="Inter"/>
                <w:color w:val="000000"/>
                <w:sz w:val="14"/>
                <w:szCs w:val="14"/>
              </w:rPr>
              <w:br/>
              <w:t>Numerous general practitioner practices now employ clinical chemists who oversee repeat prescriptions and assist patients with chronic diseases. They assist in averting drug errors and diminishing hospital readmissions. </w:t>
            </w:r>
            <w:r>
              <w:rPr>
                <w:rFonts w:ascii="Inter" w:eastAsia="Inter" w:hAnsi="Inter" w:cs="Inter"/>
                <w:color w:val="000000"/>
                <w:sz w:val="14"/>
                <w:szCs w:val="14"/>
              </w:rPr>
              <w:br/>
              <w:t>d. Virtual and Digital Pharmacies </w:t>
            </w:r>
            <w:r>
              <w:rPr>
                <w:rFonts w:ascii="Inter" w:eastAsia="Inter" w:hAnsi="Inter" w:cs="Inter"/>
                <w:color w:val="000000"/>
                <w:sz w:val="14"/>
                <w:szCs w:val="14"/>
              </w:rPr>
              <w:br/>
              <w:t>Electronic Prescription Services (EPS) enable individuals to request and obtain medications via the internet. This method enhances convenience, particularly for patients with mobility impairments, although it also prompts concerns over safety and data protection (General Pharmaceutical Council [GPhC], 202</w:t>
            </w:r>
            <w:r>
              <w:rPr>
                <w:rFonts w:ascii="Inter" w:eastAsia="Inter" w:hAnsi="Inter" w:cs="Inter"/>
                <w:color w:val="000000"/>
                <w:sz w:val="22"/>
                <w:szCs w:val="22"/>
              </w:rPr>
              <w:t xml:space="preserve">3). </w:t>
            </w:r>
          </w:p>
          <w:p w14:paraId="745C179B" w14:textId="77777777" w:rsidR="00F30EC0" w:rsidRDefault="00000000">
            <w:pPr>
              <w:spacing w:before="120" w:after="120" w:line="264" w:lineRule="auto"/>
            </w:pPr>
            <w:r>
              <w:rPr>
                <w:rFonts w:ascii="Inter Bold" w:eastAsia="Inter Bold" w:hAnsi="Inter Bold" w:cs="Inter Bold"/>
                <w:b/>
                <w:bCs/>
                <w:color w:val="000000"/>
              </w:rPr>
              <w:t xml:space="preserve"> </w:t>
            </w:r>
          </w:p>
        </w:tc>
        <w:tc>
          <w:tcPr>
            <w:tcW w:w="4402" w:type="dxa"/>
            <w:gridSpan w:val="2"/>
            <w:tcBorders>
              <w:top w:val="single" w:sz="6" w:space="0" w:color="5645F4"/>
              <w:left w:val="single" w:sz="6" w:space="0" w:color="5645F4"/>
              <w:bottom w:val="single" w:sz="6" w:space="0" w:color="5645F4"/>
            </w:tcBorders>
            <w:tcMar>
              <w:top w:w="120" w:type="dxa"/>
              <w:left w:w="120" w:type="dxa"/>
              <w:bottom w:w="120" w:type="dxa"/>
              <w:right w:w="120" w:type="dxa"/>
            </w:tcMar>
          </w:tcPr>
          <w:p w14:paraId="0C029C7C" w14:textId="77777777" w:rsidR="00F30EC0" w:rsidRDefault="00000000">
            <w:pPr>
              <w:spacing w:before="120" w:after="120" w:line="336" w:lineRule="auto"/>
            </w:pPr>
            <w:r>
              <w:rPr>
                <w:rFonts w:ascii="Canva Sans Bold" w:eastAsia="Canva Sans Bold" w:hAnsi="Canva Sans Bold" w:cs="Canva Sans Bold"/>
                <w:b/>
                <w:bCs/>
                <w:color w:val="000000"/>
                <w:sz w:val="38"/>
                <w:szCs w:val="38"/>
              </w:rPr>
              <w:lastRenderedPageBreak/>
              <w:t xml:space="preserve"> </w:t>
            </w:r>
            <w:r>
              <w:rPr>
                <w:rFonts w:ascii="Canva Sans Bold" w:eastAsia="Canva Sans Bold" w:hAnsi="Canva Sans Bold" w:cs="Canva Sans Bold"/>
                <w:b/>
                <w:bCs/>
                <w:color w:val="000000"/>
                <w:sz w:val="26"/>
                <w:szCs w:val="26"/>
              </w:rPr>
              <w:t>Two Challenges Faced by the Service</w:t>
            </w:r>
            <w:r>
              <w:rPr>
                <w:rFonts w:ascii="Canva Sans" w:eastAsia="Canva Sans" w:hAnsi="Canva Sans" w:cs="Canva Sans"/>
                <w:color w:val="000000"/>
                <w:sz w:val="26"/>
                <w:szCs w:val="26"/>
              </w:rPr>
              <w:t xml:space="preserve"> </w:t>
            </w:r>
          </w:p>
          <w:p w14:paraId="5B39E83C" w14:textId="77777777" w:rsidR="00F30EC0" w:rsidRDefault="00000000">
            <w:pPr>
              <w:spacing w:before="120" w:after="120" w:line="336" w:lineRule="auto"/>
            </w:pPr>
            <w:r>
              <w:rPr>
                <w:rFonts w:ascii="Canva Sans Italics" w:eastAsia="Canva Sans Italics" w:hAnsi="Canva Sans Italics" w:cs="Canva Sans Italics"/>
                <w:i/>
                <w:iCs/>
                <w:color w:val="000000"/>
                <w:sz w:val="14"/>
                <w:szCs w:val="14"/>
              </w:rPr>
              <w:t>(What this section means: It identifies two major problems or difficulties the service currently faces and explains why they matter.)</w:t>
            </w:r>
            <w:r>
              <w:rPr>
                <w:rFonts w:ascii="Canva Sans" w:eastAsia="Canva Sans" w:hAnsi="Canva Sans" w:cs="Canva Sans"/>
                <w:color w:val="000000"/>
                <w:sz w:val="14"/>
                <w:szCs w:val="14"/>
              </w:rPr>
              <w:t xml:space="preserve"> </w:t>
            </w:r>
          </w:p>
          <w:p w14:paraId="578F1F8F" w14:textId="77777777" w:rsidR="00F30EC0" w:rsidRDefault="00000000">
            <w:pPr>
              <w:spacing w:before="120" w:after="120" w:line="336" w:lineRule="auto"/>
            </w:pPr>
            <w:r>
              <w:rPr>
                <w:rFonts w:ascii="Canva Sans Bold" w:eastAsia="Canva Sans Bold" w:hAnsi="Canva Sans Bold" w:cs="Canva Sans Bold"/>
                <w:b/>
                <w:bCs/>
                <w:color w:val="000000"/>
                <w:sz w:val="18"/>
                <w:szCs w:val="18"/>
              </w:rPr>
              <w:lastRenderedPageBreak/>
              <w:t>Challenge 1: Funding and Workforce Pressure</w:t>
            </w:r>
            <w:r>
              <w:rPr>
                <w:rFonts w:ascii="Canva Sans" w:eastAsia="Canva Sans" w:hAnsi="Canva Sans" w:cs="Canva Sans"/>
                <w:color w:val="000000"/>
                <w:sz w:val="18"/>
                <w:szCs w:val="18"/>
              </w:rPr>
              <w:t xml:space="preserve"> </w:t>
            </w:r>
          </w:p>
          <w:p w14:paraId="28BAA205" w14:textId="77777777" w:rsidR="00F30EC0" w:rsidRDefault="00000000">
            <w:pPr>
              <w:spacing w:before="120" w:after="120" w:line="336" w:lineRule="auto"/>
            </w:pPr>
            <w:r>
              <w:rPr>
                <w:rFonts w:ascii="Canva Sans" w:eastAsia="Canva Sans" w:hAnsi="Canva Sans" w:cs="Canva Sans"/>
                <w:color w:val="000000"/>
                <w:sz w:val="14"/>
                <w:szCs w:val="14"/>
              </w:rPr>
              <w:t xml:space="preserve">Community pharmacies have faced ongoing financial challenges due to reduced NHS funding. Between 2015 and 2023, more than </w:t>
            </w:r>
            <w:r>
              <w:rPr>
                <w:rFonts w:ascii="Canva Sans Bold" w:eastAsia="Canva Sans Bold" w:hAnsi="Canva Sans Bold" w:cs="Canva Sans Bold"/>
                <w:b/>
                <w:bCs/>
                <w:color w:val="000000"/>
                <w:sz w:val="14"/>
                <w:szCs w:val="14"/>
              </w:rPr>
              <w:t>1,000 pharmacies closed</w:t>
            </w:r>
            <w:r>
              <w:rPr>
                <w:rFonts w:ascii="Canva Sans" w:eastAsia="Canva Sans" w:hAnsi="Canva Sans" w:cs="Canva Sans"/>
                <w:color w:val="000000"/>
                <w:sz w:val="14"/>
                <w:szCs w:val="14"/>
              </w:rPr>
              <w:t xml:space="preserve"> across England, mostly smaller independent ones (Pharmaceutical Services Negotiating Committee [PSNC], 2024). </w:t>
            </w:r>
            <w:r>
              <w:rPr>
                <w:rFonts w:ascii="Canva Sans" w:eastAsia="Canva Sans" w:hAnsi="Canva Sans" w:cs="Canva Sans"/>
                <w:color w:val="000000"/>
                <w:sz w:val="14"/>
                <w:szCs w:val="14"/>
              </w:rPr>
              <w:br/>
              <w:t xml:space="preserve"> These financial cuts limit the ability of pharmacies to deliver new services and may reduce access in rural or deprived areas. At the same time, the sector is facing staff shortages, with pharmacists reporting high workloads and burnout. This challenge threatens the sustainability of local pharmacy provision. </w:t>
            </w:r>
          </w:p>
          <w:p w14:paraId="1AE650F7" w14:textId="77777777" w:rsidR="00F30EC0" w:rsidRDefault="00000000">
            <w:pPr>
              <w:spacing w:before="120" w:after="120" w:line="336" w:lineRule="auto"/>
            </w:pPr>
            <w:r>
              <w:rPr>
                <w:rFonts w:ascii="Canva Sans Bold" w:eastAsia="Canva Sans Bold" w:hAnsi="Canva Sans Bold" w:cs="Canva Sans Bold"/>
                <w:b/>
                <w:bCs/>
                <w:color w:val="000000"/>
                <w:sz w:val="18"/>
                <w:szCs w:val="18"/>
              </w:rPr>
              <w:t xml:space="preserve">Challenge 2: Medicine Shortages and Supply Chain Issues </w:t>
            </w:r>
          </w:p>
          <w:p w14:paraId="10BCE196" w14:textId="77777777" w:rsidR="00F30EC0" w:rsidRDefault="00000000">
            <w:pPr>
              <w:spacing w:before="120" w:after="120" w:line="336" w:lineRule="auto"/>
            </w:pPr>
            <w:r>
              <w:rPr>
                <w:rFonts w:ascii="Canva Sans" w:eastAsia="Canva Sans" w:hAnsi="Canva Sans" w:cs="Canva Sans"/>
                <w:color w:val="000000"/>
                <w:sz w:val="14"/>
                <w:szCs w:val="14"/>
              </w:rPr>
              <w:t>Medicine shortages have become a growing concern across the UK, caused by Brexit-related trade issues, global supply disruptions, and increased demand (The Pharmaceutical Journal, 2023). </w:t>
            </w:r>
            <w:r>
              <w:rPr>
                <w:rFonts w:ascii="Canva Sans" w:eastAsia="Canva Sans" w:hAnsi="Canva Sans" w:cs="Canva Sans"/>
                <w:color w:val="000000"/>
                <w:sz w:val="14"/>
                <w:szCs w:val="14"/>
              </w:rPr>
              <w:br/>
              <w:t xml:space="preserve"> Pharmacists spend significant time finding suitable alternatives and advising patients. Shortages can delay treatment, increase patient anxiety, and place additional pressure on healthcare providers.</w:t>
            </w:r>
            <w:r>
              <w:rPr>
                <w:rFonts w:ascii="Canva Sans Bold" w:eastAsia="Canva Sans Bold" w:hAnsi="Canva Sans Bold" w:cs="Canva Sans Bold"/>
                <w:b/>
                <w:bCs/>
                <w:color w:val="000000"/>
                <w:sz w:val="18"/>
                <w:szCs w:val="18"/>
              </w:rPr>
              <w:t xml:space="preserve"> </w:t>
            </w:r>
          </w:p>
          <w:p w14:paraId="3926E067" w14:textId="77777777" w:rsidR="00F30EC0" w:rsidRDefault="00000000">
            <w:pPr>
              <w:spacing w:before="120" w:after="120" w:line="264" w:lineRule="auto"/>
            </w:pPr>
            <w:r>
              <w:rPr>
                <w:rFonts w:ascii="Inter Bold" w:eastAsia="Inter Bold" w:hAnsi="Inter Bold" w:cs="Inter Bold"/>
                <w:b/>
                <w:bCs/>
                <w:color w:val="000000"/>
              </w:rPr>
              <w:t xml:space="preserve"> </w:t>
            </w:r>
          </w:p>
        </w:tc>
      </w:tr>
      <w:tr w:rsidR="00F30EC0" w14:paraId="58F378AE" w14:textId="77777777">
        <w:tblPrEx>
          <w:tblCellMar>
            <w:top w:w="0" w:type="dxa"/>
            <w:bottom w:w="0" w:type="dxa"/>
          </w:tblCellMar>
        </w:tblPrEx>
        <w:tc>
          <w:tcPr>
            <w:tcW w:w="4627" w:type="dxa"/>
            <w:gridSpan w:val="2"/>
            <w:tcBorders>
              <w:top w:val="single" w:sz="6" w:space="0" w:color="5645F4"/>
              <w:left w:val="single" w:sz="6" w:space="0" w:color="5645F4"/>
            </w:tcBorders>
            <w:tcMar>
              <w:top w:w="120" w:type="dxa"/>
              <w:left w:w="120" w:type="dxa"/>
              <w:bottom w:w="120" w:type="dxa"/>
              <w:right w:w="120" w:type="dxa"/>
            </w:tcMar>
          </w:tcPr>
          <w:p w14:paraId="5B1BCF02" w14:textId="77777777" w:rsidR="00F30EC0" w:rsidRDefault="00000000">
            <w:pPr>
              <w:spacing w:before="120" w:after="120" w:line="336" w:lineRule="auto"/>
            </w:pPr>
            <w:r>
              <w:rPr>
                <w:rFonts w:ascii="Canva Sans Bold" w:eastAsia="Canva Sans Bold" w:hAnsi="Canva Sans Bold" w:cs="Canva Sans Bold"/>
                <w:b/>
                <w:bCs/>
                <w:color w:val="000000"/>
              </w:rPr>
              <w:lastRenderedPageBreak/>
              <w:t>Importance and Impact of Pharmacy Services</w:t>
            </w:r>
            <w:r>
              <w:rPr>
                <w:rFonts w:ascii="Canva Sans" w:eastAsia="Canva Sans" w:hAnsi="Canva Sans" w:cs="Canva Sans"/>
                <w:color w:val="000000"/>
              </w:rPr>
              <w:t xml:space="preserve"> </w:t>
            </w:r>
          </w:p>
          <w:p w14:paraId="54E165DA" w14:textId="77777777" w:rsidR="00F30EC0" w:rsidRDefault="00000000">
            <w:pPr>
              <w:spacing w:before="120" w:after="120" w:line="336" w:lineRule="auto"/>
            </w:pPr>
            <w:r>
              <w:rPr>
                <w:rFonts w:ascii="Canva Sans Italics" w:eastAsia="Canva Sans Italics" w:hAnsi="Canva Sans Italics" w:cs="Canva Sans Italics"/>
                <w:i/>
                <w:iCs/>
                <w:color w:val="000000"/>
                <w:sz w:val="16"/>
                <w:szCs w:val="16"/>
              </w:rPr>
              <w:t>(What this section means: It discusses why the service is important and how it contributes to the overall health system.)</w:t>
            </w:r>
            <w:r>
              <w:rPr>
                <w:rFonts w:ascii="Canva Sans" w:eastAsia="Canva Sans" w:hAnsi="Canva Sans" w:cs="Canva Sans"/>
                <w:color w:val="000000"/>
                <w:sz w:val="16"/>
                <w:szCs w:val="16"/>
              </w:rPr>
              <w:t xml:space="preserve"> </w:t>
            </w:r>
          </w:p>
          <w:p w14:paraId="660D4C23" w14:textId="77777777" w:rsidR="00F30EC0" w:rsidRDefault="00000000">
            <w:pPr>
              <w:spacing w:before="120" w:after="120" w:line="336" w:lineRule="auto"/>
            </w:pPr>
            <w:r>
              <w:rPr>
                <w:rFonts w:ascii="Canva Sans Bold" w:eastAsia="Canva Sans Bold" w:hAnsi="Canva Sans Bold" w:cs="Canva Sans Bold"/>
                <w:b/>
                <w:bCs/>
                <w:color w:val="000000"/>
                <w:sz w:val="16"/>
                <w:szCs w:val="16"/>
              </w:rPr>
              <w:t>Explanation:</w:t>
            </w:r>
            <w:r>
              <w:rPr>
                <w:rFonts w:ascii="Canva Sans" w:eastAsia="Canva Sans" w:hAnsi="Canva Sans" w:cs="Canva Sans"/>
                <w:color w:val="000000"/>
                <w:sz w:val="16"/>
                <w:szCs w:val="16"/>
              </w:rPr>
              <w:t> </w:t>
            </w:r>
            <w:r>
              <w:rPr>
                <w:rFonts w:ascii="Canva Sans" w:eastAsia="Canva Sans" w:hAnsi="Canva Sans" w:cs="Canva Sans"/>
                <w:color w:val="000000"/>
                <w:sz w:val="16"/>
                <w:szCs w:val="16"/>
              </w:rPr>
              <w:br/>
              <w:t xml:space="preserve"> Pharmacy services are central to improving public health and ensuring efficient use of NHS resources. They help: </w:t>
            </w:r>
          </w:p>
          <w:p w14:paraId="272EC2CB" w14:textId="77777777" w:rsidR="00F30EC0" w:rsidRDefault="00000000">
            <w:pPr>
              <w:numPr>
                <w:ilvl w:val="0"/>
                <w:numId w:val="1"/>
              </w:numPr>
              <w:spacing w:after="0" w:line="336" w:lineRule="auto"/>
            </w:pPr>
            <w:r>
              <w:rPr>
                <w:rFonts w:ascii="Canva Sans" w:eastAsia="Canva Sans" w:hAnsi="Canva Sans" w:cs="Canva Sans"/>
                <w:color w:val="000000"/>
                <w:sz w:val="16"/>
                <w:szCs w:val="16"/>
              </w:rPr>
              <w:t xml:space="preserve">Prevent hospital admissions by supporting medication adherence. </w:t>
            </w:r>
          </w:p>
          <w:p w14:paraId="47F3A4B0" w14:textId="77777777" w:rsidR="00F30EC0" w:rsidRDefault="00000000">
            <w:pPr>
              <w:numPr>
                <w:ilvl w:val="0"/>
                <w:numId w:val="1"/>
              </w:numPr>
              <w:spacing w:after="0" w:line="336" w:lineRule="auto"/>
            </w:pPr>
            <w:r>
              <w:rPr>
                <w:rFonts w:ascii="Canva Sans" w:eastAsia="Canva Sans" w:hAnsi="Canva Sans" w:cs="Canva Sans"/>
                <w:color w:val="000000"/>
                <w:sz w:val="16"/>
                <w:szCs w:val="16"/>
              </w:rPr>
              <w:t xml:space="preserve">Reduce GP workload by managing minor illnesses. </w:t>
            </w:r>
          </w:p>
          <w:p w14:paraId="6901BD97" w14:textId="77777777" w:rsidR="00F30EC0" w:rsidRDefault="00000000">
            <w:pPr>
              <w:numPr>
                <w:ilvl w:val="0"/>
                <w:numId w:val="1"/>
              </w:numPr>
              <w:spacing w:after="0" w:line="336" w:lineRule="auto"/>
            </w:pPr>
            <w:r>
              <w:rPr>
                <w:rFonts w:ascii="Canva Sans" w:eastAsia="Canva Sans" w:hAnsi="Canva Sans" w:cs="Canva Sans"/>
                <w:color w:val="000000"/>
                <w:sz w:val="16"/>
                <w:szCs w:val="16"/>
              </w:rPr>
              <w:t xml:space="preserve">Support patients with chronic conditions like diabetes and asthma. </w:t>
            </w:r>
          </w:p>
          <w:p w14:paraId="02D338E7" w14:textId="77777777" w:rsidR="00F30EC0" w:rsidRDefault="00000000">
            <w:pPr>
              <w:numPr>
                <w:ilvl w:val="0"/>
                <w:numId w:val="1"/>
              </w:numPr>
              <w:spacing w:after="0" w:line="336" w:lineRule="auto"/>
            </w:pPr>
            <w:r>
              <w:rPr>
                <w:rFonts w:ascii="Canva Sans" w:eastAsia="Canva Sans" w:hAnsi="Canva Sans" w:cs="Canva Sans"/>
                <w:color w:val="000000"/>
                <w:sz w:val="16"/>
                <w:szCs w:val="16"/>
              </w:rPr>
              <w:t xml:space="preserve">Deliver public health initiatives, such as vaccination and screening campaigns. </w:t>
            </w:r>
          </w:p>
          <w:p w14:paraId="7C3AB0BC" w14:textId="77777777" w:rsidR="00F30EC0" w:rsidRDefault="00000000">
            <w:pPr>
              <w:spacing w:before="120" w:after="120" w:line="336" w:lineRule="auto"/>
            </w:pPr>
            <w:r>
              <w:rPr>
                <w:rFonts w:ascii="Canva Sans" w:eastAsia="Canva Sans" w:hAnsi="Canva Sans" w:cs="Canva Sans"/>
                <w:color w:val="000000"/>
                <w:sz w:val="16"/>
                <w:szCs w:val="16"/>
              </w:rPr>
              <w:t xml:space="preserve">Pharmacists also work collaboratively with other </w:t>
            </w:r>
            <w:r>
              <w:rPr>
                <w:rFonts w:ascii="Canva Sans" w:eastAsia="Canva Sans" w:hAnsi="Canva Sans" w:cs="Canva Sans"/>
                <w:color w:val="000000"/>
                <w:sz w:val="16"/>
                <w:szCs w:val="16"/>
              </w:rPr>
              <w:lastRenderedPageBreak/>
              <w:t xml:space="preserve">professionals, enhancing communication and teamwork across the health and social care system (RPS, 2023). Their contribution ensures that patients receive high-quality, safe, and cost-effective care. </w:t>
            </w:r>
          </w:p>
          <w:p w14:paraId="729B0CB0" w14:textId="77777777" w:rsidR="00F30EC0" w:rsidRDefault="00000000">
            <w:pPr>
              <w:spacing w:before="120" w:after="120" w:line="264" w:lineRule="auto"/>
            </w:pPr>
            <w:r>
              <w:rPr>
                <w:rFonts w:ascii="Inter Bold" w:eastAsia="Inter Bold" w:hAnsi="Inter Bold" w:cs="Inter Bold"/>
                <w:b/>
                <w:bCs/>
                <w:color w:val="000000"/>
              </w:rPr>
              <w:t xml:space="preserve"> </w:t>
            </w:r>
          </w:p>
        </w:tc>
        <w:tc>
          <w:tcPr>
            <w:tcW w:w="4402" w:type="dxa"/>
            <w:gridSpan w:val="2"/>
            <w:tcBorders>
              <w:top w:val="single" w:sz="6" w:space="0" w:color="5645F4"/>
              <w:left w:val="single" w:sz="6" w:space="0" w:color="5645F4"/>
              <w:bottom w:val="single" w:sz="6" w:space="0" w:color="5645F4"/>
            </w:tcBorders>
            <w:tcMar>
              <w:top w:w="120" w:type="dxa"/>
              <w:left w:w="120" w:type="dxa"/>
              <w:bottom w:w="120" w:type="dxa"/>
              <w:right w:w="120" w:type="dxa"/>
            </w:tcMar>
          </w:tcPr>
          <w:p w14:paraId="4142BE8A" w14:textId="77777777" w:rsidR="00F30EC0" w:rsidRDefault="00000000">
            <w:pPr>
              <w:spacing w:before="120" w:after="120" w:line="336" w:lineRule="auto"/>
            </w:pPr>
            <w:r>
              <w:rPr>
                <w:rFonts w:ascii="Canva Sans Italics" w:eastAsia="Canva Sans Italics" w:hAnsi="Canva Sans Italics" w:cs="Canva Sans Italics"/>
                <w:i/>
                <w:iCs/>
                <w:color w:val="000000"/>
                <w:sz w:val="18"/>
                <w:szCs w:val="18"/>
              </w:rPr>
              <w:lastRenderedPageBreak/>
              <w:t xml:space="preserve">CONCLUSION: </w:t>
            </w:r>
          </w:p>
          <w:p w14:paraId="38947EB0" w14:textId="77777777" w:rsidR="00F30EC0" w:rsidRDefault="00000000">
            <w:pPr>
              <w:spacing w:before="120" w:after="120" w:line="336" w:lineRule="auto"/>
            </w:pPr>
            <w:r>
              <w:rPr>
                <w:rFonts w:ascii="Canva Sans Italics" w:eastAsia="Canva Sans Italics" w:hAnsi="Canva Sans Italics" w:cs="Canva Sans Italics"/>
                <w:i/>
                <w:iCs/>
                <w:color w:val="000000"/>
                <w:sz w:val="18"/>
                <w:szCs w:val="18"/>
              </w:rPr>
              <w:t xml:space="preserve">This section concluded by summarising what has been learned or shown about the service. </w:t>
            </w:r>
          </w:p>
          <w:p w14:paraId="33CCF583" w14:textId="77777777" w:rsidR="00F30EC0" w:rsidRDefault="00000000">
            <w:pPr>
              <w:spacing w:before="120" w:after="120" w:line="336" w:lineRule="auto"/>
            </w:pPr>
            <w:r>
              <w:rPr>
                <w:rFonts w:ascii="Canva Sans Bold" w:eastAsia="Canva Sans Bold" w:hAnsi="Canva Sans Bold" w:cs="Canva Sans Bold"/>
                <w:b/>
                <w:bCs/>
                <w:color w:val="000000"/>
                <w:sz w:val="18"/>
                <w:szCs w:val="18"/>
              </w:rPr>
              <w:t>Explanation:</w:t>
            </w:r>
            <w:r>
              <w:rPr>
                <w:rFonts w:ascii="Canva Sans" w:eastAsia="Canva Sans" w:hAnsi="Canva Sans" w:cs="Canva Sans"/>
                <w:color w:val="000000"/>
                <w:sz w:val="18"/>
                <w:szCs w:val="18"/>
              </w:rPr>
              <w:t> </w:t>
            </w:r>
            <w:r>
              <w:rPr>
                <w:rFonts w:ascii="Canva Sans" w:eastAsia="Canva Sans" w:hAnsi="Canva Sans" w:cs="Canva Sans"/>
                <w:color w:val="000000"/>
                <w:sz w:val="18"/>
                <w:szCs w:val="18"/>
              </w:rPr>
              <w:br/>
              <w:t xml:space="preserve"> Pharmacy services in the UK have developed from traditional medicine preparation into modern, patient-focused clinical care. They are an essential part of the NHS, providing accessible health advice, managing medicines, and promoting well-being. However, the sector faces significant challenges — especially in funding, workforce retention, and medicine supply. Addressing these issues will ensure that pharmacy services remain a reliable and effective pillar of the UK’s healthcare system.</w:t>
            </w:r>
            <w:r>
              <w:rPr>
                <w:rFonts w:ascii="Canva Sans Italics" w:eastAsia="Canva Sans Italics" w:hAnsi="Canva Sans Italics" w:cs="Canva Sans Italics"/>
                <w:i/>
                <w:iCs/>
                <w:color w:val="000000"/>
                <w:sz w:val="18"/>
                <w:szCs w:val="18"/>
              </w:rPr>
              <w:t xml:space="preserve"> </w:t>
            </w:r>
          </w:p>
        </w:tc>
      </w:tr>
    </w:tbl>
    <w:p w14:paraId="0F69A01A" w14:textId="77777777" w:rsidR="00F30EC0" w:rsidRDefault="00000000">
      <w:pPr>
        <w:spacing w:before="120" w:after="120" w:line="336" w:lineRule="auto"/>
      </w:pPr>
      <w:r>
        <w:rPr>
          <w:rFonts w:ascii="Inter" w:eastAsia="Inter" w:hAnsi="Inter" w:cs="Inter"/>
          <w:color w:val="000000"/>
        </w:rPr>
        <w:t xml:space="preserve"> </w:t>
      </w:r>
    </w:p>
    <w:p w14:paraId="53E0968A" w14:textId="73CE02E6" w:rsidR="00C349C8" w:rsidRPr="00C349C8" w:rsidRDefault="00C349C8" w:rsidP="00C349C8">
      <w:pPr>
        <w:spacing w:before="120" w:after="120" w:line="336" w:lineRule="auto"/>
        <w:rPr>
          <w:rFonts w:ascii="Arial" w:eastAsia="Inter" w:hAnsi="Arial" w:cs="Arial"/>
          <w:b/>
          <w:bCs/>
          <w:color w:val="000000"/>
        </w:rPr>
      </w:pPr>
      <w:r>
        <w:rPr>
          <w:rFonts w:ascii="Arial" w:eastAsia="Inter" w:hAnsi="Arial" w:cs="Arial"/>
          <w:b/>
          <w:bCs/>
          <w:color w:val="000000"/>
        </w:rPr>
        <w:t>TASK 2</w:t>
      </w:r>
    </w:p>
    <w:p w14:paraId="36A9BF3A"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Assignment Title: Introduction to Health and Social Care</w:t>
      </w:r>
    </w:p>
    <w:p w14:paraId="2919ED50"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Module    code           LCHS4003</w:t>
      </w:r>
    </w:p>
    <w:p w14:paraId="62B1D659"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 xml:space="preserve">Student number      2435110   </w:t>
      </w:r>
    </w:p>
    <w:p w14:paraId="5B790EB0"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 xml:space="preserve"> Student name          Sunny   </w:t>
      </w:r>
      <w:proofErr w:type="spellStart"/>
      <w:r w:rsidRPr="00C349C8">
        <w:rPr>
          <w:rFonts w:ascii="Arial" w:eastAsia="Inter" w:hAnsi="Arial" w:cs="Arial"/>
          <w:color w:val="000000"/>
        </w:rPr>
        <w:t>Umweni</w:t>
      </w:r>
      <w:proofErr w:type="spellEnd"/>
    </w:p>
    <w:p w14:paraId="4E356787"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Lecturer   name      Debra Odeh</w:t>
      </w:r>
    </w:p>
    <w:p w14:paraId="71D18DF7"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Submission date   20/10/2025</w:t>
      </w:r>
    </w:p>
    <w:p w14:paraId="0F403A77"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The origin of the National Health Service (NHS) United Kingdom.</w:t>
      </w:r>
    </w:p>
    <w:p w14:paraId="2E0F92EA"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The National Health Service (NHS) represents a significant social achievement in the United Kingdom. Established in 1948, it ensured universal access to healthcare, independent of income. The founding principles stipulated that services must address the needs of all, be free at the point of delivery, and be determined by clinical need rather than financial capacity (NHS England, 2019). This essay analyses the origins, guiding principles, organisational structure, and contemporary challenges of the NHS, demonstrating its ongoing impact on health and social care in the United Kingdom.</w:t>
      </w:r>
    </w:p>
    <w:p w14:paraId="2683F0E1" w14:textId="77777777" w:rsidR="00C349C8" w:rsidRPr="00C349C8" w:rsidRDefault="00C349C8" w:rsidP="00C349C8">
      <w:pPr>
        <w:spacing w:before="120" w:after="120" w:line="336" w:lineRule="auto"/>
        <w:rPr>
          <w:rFonts w:ascii="Arial" w:eastAsia="Inter" w:hAnsi="Arial" w:cs="Arial"/>
          <w:color w:val="000000"/>
        </w:rPr>
      </w:pPr>
    </w:p>
    <w:p w14:paraId="2EBCA15C"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 xml:space="preserve">However, Health Minister Aneurin Bevan oversaw the development of the </w:t>
      </w:r>
      <w:r w:rsidRPr="00C349C8">
        <w:rPr>
          <w:rFonts w:ascii="Arial" w:eastAsia="Inter" w:hAnsi="Arial" w:cs="Arial"/>
          <w:i/>
          <w:iCs/>
          <w:color w:val="000000"/>
        </w:rPr>
        <w:t>National Health Service Act 1946</w:t>
      </w:r>
      <w:r w:rsidRPr="00C349C8">
        <w:rPr>
          <w:rFonts w:ascii="Arial" w:eastAsia="Inter" w:hAnsi="Arial" w:cs="Arial"/>
          <w:color w:val="000000"/>
        </w:rPr>
        <w:t>, which was implemented on 5 July 1948. Bevan aimed to guarantee that individuals would not incur costs for medical advice during illness (Bevan, 1952). The NHS was founded on three core principles: universality, free access, and public funding through taxation (NHS England, 2019). These principles embodied the post-war consensus that healthcare constituted a social right rather than a privilege.</w:t>
      </w:r>
    </w:p>
    <w:p w14:paraId="1587140D" w14:textId="77777777" w:rsidR="00C349C8" w:rsidRPr="00C349C8" w:rsidRDefault="00C349C8" w:rsidP="00C349C8">
      <w:pPr>
        <w:spacing w:before="120" w:after="120" w:line="336" w:lineRule="auto"/>
        <w:rPr>
          <w:rFonts w:ascii="Arial" w:eastAsia="Inter" w:hAnsi="Arial" w:cs="Arial"/>
          <w:color w:val="000000"/>
        </w:rPr>
      </w:pPr>
    </w:p>
    <w:p w14:paraId="7A18F117"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lastRenderedPageBreak/>
        <w:t>Since its establishment in 1948, the National Health Service (NHS) has responded to evolving social and technological contexts. During the 1970s, regional health authorities were established to enhance coordination. The NHS and Community Care Act 1990 introduced internal markets and NHS Trusts to increase service efficiency (The King’s Fund, 2023).</w:t>
      </w:r>
    </w:p>
    <w:p w14:paraId="29E5EC4E"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In the 2000s, Foundation Trusts were granted greater autonomy, and the National Institute for Health and Care Excellence (NICE) was established to promote evidence-based treatment. More recently, the NHS Long Term Plan (2019) and the Health and Care Act (2022) introduced Integrated Care Systems (ICSs) to facilitate collaboration among hospitals, general practitioners, and social care services (DHSC, 2024). These reforms emphasise prevention and integrated care for patients.</w:t>
      </w:r>
    </w:p>
    <w:p w14:paraId="74A72401" w14:textId="77777777" w:rsidR="00C349C8" w:rsidRPr="00C349C8" w:rsidRDefault="00C349C8" w:rsidP="00C349C8">
      <w:pPr>
        <w:spacing w:before="120" w:after="120" w:line="336" w:lineRule="auto"/>
        <w:rPr>
          <w:rFonts w:ascii="Arial" w:eastAsia="Inter" w:hAnsi="Arial" w:cs="Arial"/>
          <w:color w:val="000000"/>
        </w:rPr>
      </w:pPr>
    </w:p>
    <w:p w14:paraId="4B1D38FE"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Despite having similar guiding principles, the NHS functions differently across England, Scotland, Wales, and Northern Ireland (NHS Confederation, 2024). In England, NHS England is in charge of day-to-day operations, while the Department of Health and Social Care (DHSC) determines policy. Integrated Care Boards (ICBs) currently oversee local planning and financing (DHSC, 2024).</w:t>
      </w:r>
      <w:r w:rsidRPr="00C349C8">
        <w:rPr>
          <w:rFonts w:ascii="Arial" w:eastAsia="Inter" w:hAnsi="Arial" w:cs="Arial"/>
          <w:color w:val="000000"/>
        </w:rPr>
        <w:br/>
      </w:r>
      <w:r w:rsidRPr="00C349C8">
        <w:rPr>
          <w:rFonts w:ascii="Arial" w:eastAsia="Inter" w:hAnsi="Arial" w:cs="Arial"/>
          <w:color w:val="000000"/>
        </w:rPr>
        <w:br/>
        <w:t>The system comprises three primary levels:</w:t>
      </w:r>
      <w:r w:rsidRPr="00C349C8">
        <w:rPr>
          <w:rFonts w:ascii="Arial" w:eastAsia="Inter" w:hAnsi="Arial" w:cs="Arial"/>
          <w:color w:val="000000"/>
        </w:rPr>
        <w:br/>
      </w:r>
      <w:r w:rsidRPr="00C349C8">
        <w:rPr>
          <w:rFonts w:ascii="Arial" w:eastAsia="Inter" w:hAnsi="Arial" w:cs="Arial"/>
          <w:color w:val="000000"/>
        </w:rPr>
        <w:br/>
        <w:t>Primary care: General practitioners, chemists, optometrists, and dentists are the initial point of contact.</w:t>
      </w:r>
      <w:r w:rsidRPr="00C349C8">
        <w:rPr>
          <w:rFonts w:ascii="Arial" w:eastAsia="Inter" w:hAnsi="Arial" w:cs="Arial"/>
          <w:color w:val="000000"/>
        </w:rPr>
        <w:br/>
        <w:t>* Secondary care: Hospitals and specialised clinics.</w:t>
      </w:r>
      <w:r w:rsidRPr="00C349C8">
        <w:rPr>
          <w:rFonts w:ascii="Arial" w:eastAsia="Inter" w:hAnsi="Arial" w:cs="Arial"/>
          <w:color w:val="000000"/>
        </w:rPr>
        <w:br/>
        <w:t>* Tertiary care: Highly specialised medical interventions, including oncology and neurosurgery.</w:t>
      </w:r>
      <w:r w:rsidRPr="00C349C8">
        <w:rPr>
          <w:rFonts w:ascii="Arial" w:eastAsia="Inter" w:hAnsi="Arial" w:cs="Arial"/>
          <w:color w:val="000000"/>
        </w:rPr>
        <w:br/>
        <w:t>The majority of revenue is derived from taxation, supplemented by nominal fees for prescriptions and dental services in England (NHS Confederation, 2024). The NHS employs around 1.5 million individuals, rendering it one of the largest employers globally (BBC News, 2024).</w:t>
      </w:r>
    </w:p>
    <w:p w14:paraId="3B204137" w14:textId="77777777" w:rsidR="00C349C8" w:rsidRPr="00C349C8" w:rsidRDefault="00C349C8" w:rsidP="00C349C8">
      <w:pPr>
        <w:spacing w:before="120" w:after="120" w:line="336" w:lineRule="auto"/>
        <w:rPr>
          <w:rFonts w:ascii="Arial" w:eastAsia="Inter" w:hAnsi="Arial" w:cs="Arial"/>
          <w:color w:val="000000"/>
        </w:rPr>
      </w:pPr>
    </w:p>
    <w:p w14:paraId="5F72A5C2"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The NHS has enhanced life expectancy and diminished health disparities. The public funding model guarantees equity and accessibility (The King’s Fund, 2023). Nonetheless, it encounters significant obstacles.</w:t>
      </w:r>
      <w:r w:rsidRPr="00C349C8">
        <w:rPr>
          <w:rFonts w:ascii="Arial" w:eastAsia="Inter" w:hAnsi="Arial" w:cs="Arial"/>
          <w:color w:val="000000"/>
        </w:rPr>
        <w:br/>
      </w:r>
      <w:r w:rsidRPr="00C349C8">
        <w:rPr>
          <w:rFonts w:ascii="Arial" w:eastAsia="Inter" w:hAnsi="Arial" w:cs="Arial"/>
          <w:color w:val="000000"/>
        </w:rPr>
        <w:br/>
      </w:r>
      <w:r w:rsidRPr="00C349C8">
        <w:rPr>
          <w:rFonts w:ascii="Arial" w:eastAsia="Inter" w:hAnsi="Arial" w:cs="Arial"/>
          <w:color w:val="000000"/>
        </w:rPr>
        <w:lastRenderedPageBreak/>
        <w:t>Financial constraints and personnel deficiencies are ongoing issues. Demand is rising because of an ageing population and chronic illnesses such as diabetes (NHS England, 2024). The COVID-19 pandemic revealed capacity deficiencies, resulting in unprecedented waiting lists and worker stress.</w:t>
      </w:r>
      <w:r w:rsidRPr="00C349C8">
        <w:rPr>
          <w:rFonts w:ascii="Arial" w:eastAsia="Inter" w:hAnsi="Arial" w:cs="Arial"/>
          <w:color w:val="000000"/>
        </w:rPr>
        <w:br/>
      </w:r>
      <w:r w:rsidRPr="00C349C8">
        <w:rPr>
          <w:rFonts w:ascii="Arial" w:eastAsia="Inter" w:hAnsi="Arial" w:cs="Arial"/>
          <w:color w:val="000000"/>
        </w:rPr>
        <w:br/>
        <w:t>In 2024, almost seven million individuals were awaiting hospital care (BBC News, 2024). Notwithstanding these pressures, the NHS persists in innovating via digital healthcare, telemedicine, and an enhanced emphasis on mental health and prevention (DHSC, 2024). The objective of these modifications is to enhance the system's efficiency and sustainability for the future.</w:t>
      </w:r>
    </w:p>
    <w:p w14:paraId="4C4DE7F4" w14:textId="77777777" w:rsidR="00C349C8" w:rsidRPr="00C349C8" w:rsidRDefault="00C349C8" w:rsidP="00C349C8">
      <w:pPr>
        <w:spacing w:before="120" w:after="120" w:line="336" w:lineRule="auto"/>
        <w:rPr>
          <w:rFonts w:ascii="Arial" w:eastAsia="Inter" w:hAnsi="Arial" w:cs="Arial"/>
          <w:color w:val="000000"/>
        </w:rPr>
      </w:pPr>
    </w:p>
    <w:p w14:paraId="63C86BBB"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CONCLUSION:</w:t>
      </w:r>
      <w:r w:rsidRPr="00C349C8">
        <w:rPr>
          <w:rFonts w:ascii="Arial" w:eastAsia="Inter" w:hAnsi="Arial" w:cs="Arial"/>
          <w:color w:val="000000"/>
        </w:rPr>
        <w:br/>
        <w:t>The establishment of the NHS in 1948 revolutionised British society by instituting healthcare as a universal entitlement. The foundational values of equality, accessibility, and public finance persist in guiding its operations today. Despite contemporary issues, including underfunding and workforce shortages, the NHS continues to epitomise social unity and stands as one of the UK's most esteemed accomplishments. To ensure its future, ongoing investment, innovation, and collaboration in health and social care are crucial.</w:t>
      </w:r>
    </w:p>
    <w:p w14:paraId="1AD9DAF3" w14:textId="77777777" w:rsidR="00C349C8" w:rsidRPr="00C349C8" w:rsidRDefault="00C349C8" w:rsidP="00C349C8">
      <w:pPr>
        <w:spacing w:before="120" w:after="120" w:line="336" w:lineRule="auto"/>
        <w:rPr>
          <w:rFonts w:ascii="Arial" w:eastAsia="Inter" w:hAnsi="Arial" w:cs="Arial"/>
          <w:b/>
          <w:bCs/>
          <w:color w:val="000000"/>
        </w:rPr>
      </w:pPr>
      <w:r w:rsidRPr="00C349C8">
        <w:rPr>
          <w:rFonts w:ascii="Arial" w:eastAsia="Inter" w:hAnsi="Arial" w:cs="Arial"/>
          <w:b/>
          <w:bCs/>
          <w:color w:val="000000"/>
        </w:rPr>
        <w:t>References:</w:t>
      </w:r>
    </w:p>
    <w:p w14:paraId="32B152FA"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 xml:space="preserve">BBC News. (2024) </w:t>
      </w:r>
      <w:r w:rsidRPr="00C349C8">
        <w:rPr>
          <w:rFonts w:ascii="Arial" w:eastAsia="Inter" w:hAnsi="Arial" w:cs="Arial"/>
          <w:i/>
          <w:iCs/>
          <w:color w:val="000000"/>
        </w:rPr>
        <w:t>NHS at 75: Challenges and Achievements.</w:t>
      </w:r>
      <w:r w:rsidRPr="00C349C8">
        <w:rPr>
          <w:rFonts w:ascii="Arial" w:eastAsia="Inter" w:hAnsi="Arial" w:cs="Arial"/>
          <w:color w:val="000000"/>
        </w:rPr>
        <w:t xml:space="preserve"> Available at: https://www.bbc.co.uk/news/health</w:t>
      </w:r>
    </w:p>
    <w:p w14:paraId="57C90B39"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 xml:space="preserve">Bevan, A. (1952). </w:t>
      </w:r>
      <w:r w:rsidRPr="00C349C8">
        <w:rPr>
          <w:rFonts w:ascii="Arial" w:eastAsia="Inter" w:hAnsi="Arial" w:cs="Arial"/>
          <w:i/>
          <w:iCs/>
          <w:color w:val="000000"/>
        </w:rPr>
        <w:t>In Place of Fear.</w:t>
      </w:r>
      <w:r w:rsidRPr="00C349C8">
        <w:rPr>
          <w:rFonts w:ascii="Arial" w:eastAsia="Inter" w:hAnsi="Arial" w:cs="Arial"/>
          <w:color w:val="000000"/>
        </w:rPr>
        <w:t xml:space="preserve"> London: Heinemann.</w:t>
      </w:r>
    </w:p>
    <w:p w14:paraId="56C071B5"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 xml:space="preserve">Beveridge, W. (1942). </w:t>
      </w:r>
      <w:r w:rsidRPr="00C349C8">
        <w:rPr>
          <w:rFonts w:ascii="Arial" w:eastAsia="Inter" w:hAnsi="Arial" w:cs="Arial"/>
          <w:i/>
          <w:iCs/>
          <w:color w:val="000000"/>
        </w:rPr>
        <w:t>Social Insurance and Allied Services.</w:t>
      </w:r>
      <w:r w:rsidRPr="00C349C8">
        <w:rPr>
          <w:rFonts w:ascii="Arial" w:eastAsia="Inter" w:hAnsi="Arial" w:cs="Arial"/>
          <w:color w:val="000000"/>
        </w:rPr>
        <w:t xml:space="preserve"> London: HMSO.</w:t>
      </w:r>
    </w:p>
    <w:p w14:paraId="2FD70B17"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 xml:space="preserve">Department of Health and Social Care (DHSC). (2024) </w:t>
      </w:r>
      <w:r w:rsidRPr="00C349C8">
        <w:rPr>
          <w:rFonts w:ascii="Arial" w:eastAsia="Inter" w:hAnsi="Arial" w:cs="Arial"/>
          <w:i/>
          <w:iCs/>
          <w:color w:val="000000"/>
        </w:rPr>
        <w:t>The Structure of the NHS.</w:t>
      </w:r>
      <w:r w:rsidRPr="00C349C8">
        <w:rPr>
          <w:rFonts w:ascii="Arial" w:eastAsia="Inter" w:hAnsi="Arial" w:cs="Arial"/>
          <w:color w:val="000000"/>
        </w:rPr>
        <w:t xml:space="preserve"> Available at: https://www.gov.uk/government/organisations/department-of-health-and-social-care</w:t>
      </w:r>
    </w:p>
    <w:p w14:paraId="67D13F21"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 xml:space="preserve">NHS Confederation. (2024) </w:t>
      </w:r>
      <w:r w:rsidRPr="00C349C8">
        <w:rPr>
          <w:rFonts w:ascii="Arial" w:eastAsia="Inter" w:hAnsi="Arial" w:cs="Arial"/>
          <w:i/>
          <w:iCs/>
          <w:color w:val="000000"/>
        </w:rPr>
        <w:t>How the NHS is Funded.</w:t>
      </w:r>
      <w:r w:rsidRPr="00C349C8">
        <w:rPr>
          <w:rFonts w:ascii="Arial" w:eastAsia="Inter" w:hAnsi="Arial" w:cs="Arial"/>
          <w:color w:val="000000"/>
        </w:rPr>
        <w:t xml:space="preserve"> Available at: https://www.nhsconfed.org/</w:t>
      </w:r>
    </w:p>
    <w:p w14:paraId="616FC3A8"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 xml:space="preserve">NHS England. (2019) </w:t>
      </w:r>
      <w:r w:rsidRPr="00C349C8">
        <w:rPr>
          <w:rFonts w:ascii="Arial" w:eastAsia="Inter" w:hAnsi="Arial" w:cs="Arial"/>
          <w:i/>
          <w:iCs/>
          <w:color w:val="000000"/>
        </w:rPr>
        <w:t>The NHS Long Term Plan.</w:t>
      </w:r>
      <w:r w:rsidRPr="00C349C8">
        <w:rPr>
          <w:rFonts w:ascii="Arial" w:eastAsia="Inter" w:hAnsi="Arial" w:cs="Arial"/>
          <w:color w:val="000000"/>
        </w:rPr>
        <w:t xml:space="preserve"> Available at: https://www.longtermplan.nhs.uk</w:t>
      </w:r>
    </w:p>
    <w:p w14:paraId="17B1E8BD"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t xml:space="preserve">NHS England. (2024) </w:t>
      </w:r>
      <w:r w:rsidRPr="00C349C8">
        <w:rPr>
          <w:rFonts w:ascii="Arial" w:eastAsia="Inter" w:hAnsi="Arial" w:cs="Arial"/>
          <w:i/>
          <w:iCs/>
          <w:color w:val="000000"/>
        </w:rPr>
        <w:t>The NHS at a Glance.</w:t>
      </w:r>
      <w:r w:rsidRPr="00C349C8">
        <w:rPr>
          <w:rFonts w:ascii="Arial" w:eastAsia="Inter" w:hAnsi="Arial" w:cs="Arial"/>
          <w:color w:val="000000"/>
        </w:rPr>
        <w:t xml:space="preserve"> Available at: https://www.england.nhs.uk/about/nhs-at-a-glance/</w:t>
      </w:r>
    </w:p>
    <w:p w14:paraId="1F3A52EF" w14:textId="77777777" w:rsidR="00C349C8" w:rsidRPr="00C349C8" w:rsidRDefault="00C349C8" w:rsidP="00C349C8">
      <w:pPr>
        <w:spacing w:before="120" w:after="120" w:line="336" w:lineRule="auto"/>
        <w:rPr>
          <w:rFonts w:ascii="Arial" w:eastAsia="Inter" w:hAnsi="Arial" w:cs="Arial"/>
          <w:color w:val="000000"/>
        </w:rPr>
      </w:pPr>
      <w:r w:rsidRPr="00C349C8">
        <w:rPr>
          <w:rFonts w:ascii="Arial" w:eastAsia="Inter" w:hAnsi="Arial" w:cs="Arial"/>
          <w:color w:val="000000"/>
        </w:rPr>
        <w:lastRenderedPageBreak/>
        <w:t xml:space="preserve">The King’s Fund. (2023) </w:t>
      </w:r>
      <w:r w:rsidRPr="00C349C8">
        <w:rPr>
          <w:rFonts w:ascii="Arial" w:eastAsia="Inter" w:hAnsi="Arial" w:cs="Arial"/>
          <w:i/>
          <w:iCs/>
          <w:color w:val="000000"/>
        </w:rPr>
        <w:t>The NHS Explained: How the Health System Works.</w:t>
      </w:r>
      <w:r w:rsidRPr="00C349C8">
        <w:rPr>
          <w:rFonts w:ascii="Arial" w:eastAsia="Inter" w:hAnsi="Arial" w:cs="Arial"/>
          <w:color w:val="000000"/>
        </w:rPr>
        <w:t xml:space="preserve"> Available at: https://www.kingsfund.org.uk/</w:t>
      </w:r>
    </w:p>
    <w:p w14:paraId="4E4747B7" w14:textId="77777777" w:rsidR="00C349C8" w:rsidRPr="00C349C8" w:rsidRDefault="00C349C8" w:rsidP="00C349C8">
      <w:pPr>
        <w:spacing w:before="120" w:after="120" w:line="336" w:lineRule="auto"/>
        <w:rPr>
          <w:rFonts w:ascii="Arial" w:eastAsia="Inter" w:hAnsi="Arial" w:cs="Arial"/>
          <w:color w:val="000000"/>
        </w:rPr>
      </w:pPr>
    </w:p>
    <w:p w14:paraId="0749B2EE" w14:textId="77777777" w:rsidR="00C349C8" w:rsidRDefault="00C349C8">
      <w:pPr>
        <w:spacing w:before="120" w:after="120" w:line="336" w:lineRule="auto"/>
      </w:pPr>
    </w:p>
    <w:sectPr w:rsidR="00C349C8">
      <w:pgSz w:w="11910" w:h="16845"/>
      <w:pgMar w:top="1440" w:right="1440" w:bottom="1440"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embedRegular r:id="rId1" w:fontKey="{8D14778C-6738-4D32-A8DA-63D75DF4DBBD}"/>
    <w:embedBold r:id="rId2" w:fontKey="{51F26908-69F0-46BC-A39D-40396F82D671}"/>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nva Sans">
    <w:charset w:val="00"/>
    <w:family w:val="auto"/>
    <w:pitch w:val="default"/>
    <w:embedRegular r:id="rId3" w:fontKey="{2B055E1D-0E6D-49AA-A83D-7783FF2A36C8}"/>
    <w:embedBold r:id="rId4" w:fontKey="{3FFE6A77-3045-40F3-98F4-803EF0E5EDEB}"/>
  </w:font>
  <w:font w:name="Inter">
    <w:altName w:val="Calibri"/>
    <w:charset w:val="00"/>
    <w:family w:val="auto"/>
    <w:pitch w:val="default"/>
  </w:font>
  <w:font w:name="Inter Bold">
    <w:altName w:val="Calibri"/>
    <w:charset w:val="00"/>
    <w:family w:val="auto"/>
    <w:pitch w:val="default"/>
  </w:font>
  <w:font w:name="Inter Italics">
    <w:altName w:val="Calibri"/>
    <w:charset w:val="00"/>
    <w:family w:val="auto"/>
    <w:pitch w:val="default"/>
  </w:font>
  <w:font w:name="Canva Sans Bold">
    <w:charset w:val="00"/>
    <w:family w:val="auto"/>
    <w:pitch w:val="default"/>
    <w:embedBold r:id="rId5" w:fontKey="{0B2477D7-AEEA-4413-8238-612AD45C54A3}"/>
  </w:font>
  <w:font w:name="Canva Sans Italics">
    <w:charset w:val="00"/>
    <w:family w:val="auto"/>
    <w:pitch w:val="default"/>
    <w:embedItalic r:id="rId6" w:fontKey="{24A9BFD2-F1EE-48D1-AB00-5F056DF16E84}"/>
  </w:font>
  <w:font w:name="Arimo">
    <w:charset w:val="00"/>
    <w:family w:val="auto"/>
    <w:pitch w:val="default"/>
    <w:embedRegular r:id="rId7" w:fontKey="{B777DADC-39CB-41E5-9AFF-04813AA48751}"/>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embedRegular r:id="rId8" w:fontKey="{0AD66997-E512-48E4-BA9E-DAE7FE31CDDB}"/>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614959"/>
    <w:multiLevelType w:val="hybridMultilevel"/>
    <w:tmpl w:val="24EA7ACA"/>
    <w:lvl w:ilvl="0" w:tplc="0A9E8B60">
      <w:start w:val="1"/>
      <w:numFmt w:val="bullet"/>
      <w:lvlText w:val=""/>
      <w:lvlJc w:val="left"/>
      <w:pPr>
        <w:ind w:left="400" w:hanging="360"/>
      </w:pPr>
      <w:rPr>
        <w:rFonts w:ascii="Symbol" w:hAnsi="Symbol"/>
      </w:rPr>
    </w:lvl>
    <w:lvl w:ilvl="1" w:tplc="60447016">
      <w:start w:val="1"/>
      <w:numFmt w:val="bullet"/>
      <w:lvlText w:val="o"/>
      <w:lvlJc w:val="left"/>
      <w:pPr>
        <w:ind w:left="800" w:hanging="360"/>
      </w:pPr>
      <w:rPr>
        <w:rFonts w:ascii="Courier New" w:hAnsi="Courier New"/>
      </w:rPr>
    </w:lvl>
    <w:lvl w:ilvl="2" w:tplc="8C32C42C">
      <w:start w:val="1"/>
      <w:numFmt w:val="bullet"/>
      <w:lvlText w:val=""/>
      <w:lvlJc w:val="left"/>
      <w:pPr>
        <w:ind w:left="1200" w:hanging="360"/>
      </w:pPr>
      <w:rPr>
        <w:rFonts w:ascii="Wingdings" w:hAnsi="Wingdings"/>
      </w:rPr>
    </w:lvl>
    <w:lvl w:ilvl="3" w:tplc="6EBA3E00">
      <w:start w:val="1"/>
      <w:numFmt w:val="bullet"/>
      <w:lvlText w:val=""/>
      <w:lvlJc w:val="left"/>
      <w:pPr>
        <w:ind w:left="1600" w:hanging="360"/>
      </w:pPr>
      <w:rPr>
        <w:rFonts w:ascii="Symbol" w:hAnsi="Symbol"/>
      </w:rPr>
    </w:lvl>
    <w:lvl w:ilvl="4" w:tplc="DBEA5F12">
      <w:start w:val="1"/>
      <w:numFmt w:val="bullet"/>
      <w:lvlText w:val="o"/>
      <w:lvlJc w:val="left"/>
      <w:pPr>
        <w:ind w:left="2000" w:hanging="360"/>
      </w:pPr>
      <w:rPr>
        <w:rFonts w:ascii="Courier New" w:hAnsi="Courier New"/>
      </w:rPr>
    </w:lvl>
    <w:lvl w:ilvl="5" w:tplc="9DCC48F4">
      <w:start w:val="1"/>
      <w:numFmt w:val="bullet"/>
      <w:lvlText w:val=""/>
      <w:lvlJc w:val="left"/>
      <w:pPr>
        <w:ind w:left="2400" w:hanging="360"/>
      </w:pPr>
      <w:rPr>
        <w:rFonts w:ascii="Wingdings" w:hAnsi="Wingdings"/>
      </w:rPr>
    </w:lvl>
    <w:lvl w:ilvl="6" w:tplc="3DB26292">
      <w:start w:val="1"/>
      <w:numFmt w:val="bullet"/>
      <w:lvlText w:val=""/>
      <w:lvlJc w:val="left"/>
      <w:pPr>
        <w:ind w:left="2800" w:hanging="360"/>
      </w:pPr>
      <w:rPr>
        <w:rFonts w:ascii="Symbol" w:hAnsi="Symbol"/>
      </w:rPr>
    </w:lvl>
    <w:lvl w:ilvl="7" w:tplc="D79ADEEA">
      <w:start w:val="1"/>
      <w:numFmt w:val="bullet"/>
      <w:lvlText w:val="o"/>
      <w:lvlJc w:val="left"/>
      <w:pPr>
        <w:ind w:left="3200" w:hanging="360"/>
      </w:pPr>
      <w:rPr>
        <w:rFonts w:ascii="Courier New" w:hAnsi="Courier New"/>
      </w:rPr>
    </w:lvl>
    <w:lvl w:ilvl="8" w:tplc="50901022">
      <w:numFmt w:val="decimal"/>
      <w:lvlText w:val=""/>
      <w:lvlJc w:val="left"/>
    </w:lvl>
  </w:abstractNum>
  <w:num w:numId="1" w16cid:durableId="15903818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defaultTabStop w:val="720"/>
  <w:doNotShadeFormData/>
  <w:characterSpacingControl w:val="doNotCompress"/>
  <w:compat>
    <w:useFELayout/>
    <w:compatSetting w:name="compatibilityMode" w:uri="http://schemas.microsoft.com/office/word" w:val="12"/>
    <w:compatSetting w:name="useWord2013TrackBottomHyphenation" w:uri="http://schemas.microsoft.com/office/word" w:val="1"/>
  </w:compat>
  <w:rsids>
    <w:rsidRoot w:val="00F30EC0"/>
    <w:rsid w:val="00262B20"/>
    <w:rsid w:val="00405131"/>
    <w:rsid w:val="004823C1"/>
    <w:rsid w:val="00C349C8"/>
    <w:rsid w:val="00F30E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1F3DD"/>
  <w15:docId w15:val="{8BCE563D-7D64-468F-9196-95F45A9905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2320420">
      <w:bodyDiv w:val="1"/>
      <w:marLeft w:val="0"/>
      <w:marRight w:val="0"/>
      <w:marTop w:val="0"/>
      <w:marBottom w:val="0"/>
      <w:divBdr>
        <w:top w:val="none" w:sz="0" w:space="0" w:color="auto"/>
        <w:left w:val="none" w:sz="0" w:space="0" w:color="auto"/>
        <w:bottom w:val="none" w:sz="0" w:space="0" w:color="auto"/>
        <w:right w:val="none" w:sz="0" w:space="0" w:color="auto"/>
      </w:divBdr>
    </w:div>
    <w:div w:id="123011697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1636</Words>
  <Characters>10461</Characters>
  <Application>Microsoft Office Word</Application>
  <DocSecurity>0</DocSecurity>
  <Lines>282</Lines>
  <Paragraphs>56</Paragraphs>
  <ScaleCrop>false</ScaleCrop>
  <Company>University of Wales Trinity Saint David</Company>
  <LinksUpToDate>false</LinksUpToDate>
  <CharactersWithSpaces>12041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Apache POI</dc:creator>
  <cp:lastModifiedBy>Jakub Ceglarz</cp:lastModifiedBy>
  <cp:revision>2</cp:revision>
  <dcterms:created xsi:type="dcterms:W3CDTF">2025-10-21T13:35:00Z</dcterms:created>
  <dcterms:modified xsi:type="dcterms:W3CDTF">2025-10-21T13:35:00Z</dcterms:modified>
</cp:coreProperties>
</file>