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E11E7" w14:textId="5B073F6D" w:rsidR="00680D58" w:rsidRPr="007917B2" w:rsidRDefault="00552EA9" w:rsidP="00552EA9">
      <w:pPr>
        <w:jc w:val="center"/>
        <w:rPr>
          <w:rFonts w:ascii="Calibri" w:hAnsi="Calibri" w:cs="Calibri"/>
          <w:b/>
          <w:bCs/>
        </w:rPr>
      </w:pPr>
      <w:r>
        <w:rPr>
          <w:noProof/>
        </w:rPr>
        <w:drawing>
          <wp:inline distT="0" distB="0" distL="0" distR="0" wp14:anchorId="40193072" wp14:editId="563058F3">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6E2E0655" w14:textId="77777777" w:rsidR="002930FD" w:rsidRPr="007917B2" w:rsidRDefault="002930FD" w:rsidP="007917B2">
      <w:pPr>
        <w:jc w:val="both"/>
        <w:rPr>
          <w:rFonts w:ascii="Calibri" w:hAnsi="Calibri" w:cs="Calibri"/>
          <w:b/>
          <w:bCs/>
          <w:sz w:val="40"/>
          <w:szCs w:val="40"/>
        </w:rPr>
      </w:pPr>
    </w:p>
    <w:p w14:paraId="373A0DBA" w14:textId="10CAC448" w:rsidR="002930FD" w:rsidRPr="007917B2" w:rsidRDefault="004232BC" w:rsidP="005F19B7">
      <w:pPr>
        <w:jc w:val="center"/>
        <w:rPr>
          <w:rFonts w:ascii="Calibri" w:hAnsi="Calibri" w:cs="Calibri"/>
          <w:b/>
          <w:bCs/>
          <w:sz w:val="44"/>
          <w:szCs w:val="44"/>
        </w:rPr>
      </w:pPr>
      <w:r>
        <w:rPr>
          <w:rFonts w:ascii="Calibri" w:hAnsi="Calibri" w:cs="Calibri"/>
          <w:b/>
          <w:bCs/>
          <w:sz w:val="44"/>
          <w:szCs w:val="44"/>
        </w:rPr>
        <w:t xml:space="preserve">Action </w:t>
      </w:r>
      <w:r w:rsidR="003A1091" w:rsidRPr="007917B2">
        <w:rPr>
          <w:rFonts w:ascii="Calibri" w:hAnsi="Calibri" w:cs="Calibri"/>
          <w:b/>
          <w:bCs/>
          <w:sz w:val="44"/>
          <w:szCs w:val="44"/>
        </w:rPr>
        <w:t>Research Project</w:t>
      </w:r>
    </w:p>
    <w:p w14:paraId="4C278901" w14:textId="7E395601" w:rsidR="002930FD" w:rsidRPr="007917B2" w:rsidRDefault="002930FD" w:rsidP="005F19B7">
      <w:pPr>
        <w:jc w:val="center"/>
        <w:rPr>
          <w:rFonts w:ascii="Calibri" w:hAnsi="Calibri" w:cs="Calibri"/>
          <w:sz w:val="36"/>
          <w:szCs w:val="36"/>
        </w:rPr>
      </w:pPr>
      <w:r w:rsidRPr="007917B2">
        <w:rPr>
          <w:rFonts w:ascii="Calibri" w:hAnsi="Calibri" w:cs="Calibri"/>
          <w:b/>
          <w:bCs/>
          <w:sz w:val="36"/>
          <w:szCs w:val="36"/>
        </w:rPr>
        <w:t>The role of Work-Based Learning (WBL) in enhancing the employability of non-traditional students in post-compulsory education.</w:t>
      </w:r>
    </w:p>
    <w:p w14:paraId="71C65660" w14:textId="77777777" w:rsidR="00805BFF" w:rsidRDefault="00805BFF" w:rsidP="007917B2">
      <w:pPr>
        <w:jc w:val="both"/>
        <w:rPr>
          <w:rFonts w:ascii="Calibri" w:hAnsi="Calibri" w:cs="Calibri"/>
        </w:rPr>
      </w:pPr>
    </w:p>
    <w:p w14:paraId="329B386B" w14:textId="77777777" w:rsidR="000B32AB" w:rsidRPr="007917B2" w:rsidRDefault="000B32AB" w:rsidP="007917B2">
      <w:pPr>
        <w:jc w:val="both"/>
        <w:rPr>
          <w:rFonts w:ascii="Calibri" w:hAnsi="Calibri" w:cs="Calibri"/>
        </w:rPr>
      </w:pPr>
    </w:p>
    <w:p w14:paraId="60EC917E" w14:textId="77777777" w:rsidR="00805BFF" w:rsidRPr="007917B2" w:rsidRDefault="00805BFF" w:rsidP="007917B2">
      <w:pPr>
        <w:jc w:val="both"/>
        <w:rPr>
          <w:rFonts w:ascii="Calibri" w:hAnsi="Calibri" w:cs="Calibri"/>
        </w:rPr>
      </w:pPr>
      <w:r w:rsidRPr="007917B2">
        <w:rPr>
          <w:rFonts w:ascii="Calibri" w:hAnsi="Calibri" w:cs="Calibri"/>
          <w:b/>
          <w:bCs/>
        </w:rPr>
        <w:t>Programme:</w:t>
      </w:r>
      <w:r w:rsidRPr="007917B2">
        <w:rPr>
          <w:rFonts w:ascii="Calibri" w:hAnsi="Calibri" w:cs="Calibri"/>
        </w:rPr>
        <w:t xml:space="preserve"> Professional Graduate Certificate in Education (PCET)</w:t>
      </w:r>
    </w:p>
    <w:p w14:paraId="6E9668E9" w14:textId="2B1C6C39" w:rsidR="00805BFF" w:rsidRPr="007917B2" w:rsidRDefault="00805BFF" w:rsidP="007917B2">
      <w:pPr>
        <w:jc w:val="both"/>
        <w:rPr>
          <w:rFonts w:ascii="Calibri" w:hAnsi="Calibri" w:cs="Calibri"/>
        </w:rPr>
      </w:pPr>
      <w:r w:rsidRPr="007917B2">
        <w:rPr>
          <w:rFonts w:ascii="Calibri" w:hAnsi="Calibri" w:cs="Calibri"/>
          <w:b/>
          <w:bCs/>
        </w:rPr>
        <w:t>Module:</w:t>
      </w:r>
      <w:r w:rsidRPr="007917B2">
        <w:rPr>
          <w:rFonts w:ascii="Calibri" w:hAnsi="Calibri" w:cs="Calibri"/>
        </w:rPr>
        <w:t xml:space="preserve"> </w:t>
      </w:r>
      <w:r w:rsidR="008D4D46" w:rsidRPr="007917B2">
        <w:rPr>
          <w:rFonts w:ascii="Calibri" w:hAnsi="Calibri" w:cs="Calibri"/>
        </w:rPr>
        <w:t>Action Research Project</w:t>
      </w:r>
    </w:p>
    <w:p w14:paraId="1B43A031" w14:textId="60D41A64" w:rsidR="00805BFF" w:rsidRPr="007917B2" w:rsidRDefault="00805BFF" w:rsidP="007917B2">
      <w:pPr>
        <w:jc w:val="both"/>
        <w:rPr>
          <w:rFonts w:ascii="Calibri" w:hAnsi="Calibri" w:cs="Calibri"/>
          <w:lang w:val="fr-FR"/>
        </w:rPr>
      </w:pPr>
      <w:r w:rsidRPr="007917B2">
        <w:rPr>
          <w:rFonts w:ascii="Calibri" w:hAnsi="Calibri" w:cs="Calibri"/>
          <w:b/>
          <w:bCs/>
          <w:lang w:val="fr-FR"/>
        </w:rPr>
        <w:t>Module code:</w:t>
      </w:r>
      <w:r w:rsidRPr="007917B2">
        <w:rPr>
          <w:rFonts w:ascii="Calibri" w:hAnsi="Calibri" w:cs="Calibri"/>
          <w:lang w:val="fr-FR"/>
        </w:rPr>
        <w:t xml:space="preserve"> ECPT700</w:t>
      </w:r>
      <w:r w:rsidR="003E7FD0">
        <w:rPr>
          <w:rFonts w:ascii="Calibri" w:hAnsi="Calibri" w:cs="Calibri"/>
          <w:lang w:val="fr-FR"/>
        </w:rPr>
        <w:t>6</w:t>
      </w:r>
    </w:p>
    <w:p w14:paraId="0C6540DC" w14:textId="68C76942" w:rsidR="00805BFF" w:rsidRPr="007917B2" w:rsidRDefault="00805BFF" w:rsidP="007917B2">
      <w:pPr>
        <w:jc w:val="both"/>
        <w:rPr>
          <w:rFonts w:ascii="Calibri" w:hAnsi="Calibri" w:cs="Calibri"/>
          <w:lang w:val="fr-FR"/>
        </w:rPr>
      </w:pPr>
      <w:proofErr w:type="spellStart"/>
      <w:r w:rsidRPr="007917B2">
        <w:rPr>
          <w:rFonts w:ascii="Calibri" w:hAnsi="Calibri" w:cs="Calibri"/>
          <w:b/>
          <w:bCs/>
          <w:lang w:val="fr-FR"/>
        </w:rPr>
        <w:t>Lecturer</w:t>
      </w:r>
      <w:proofErr w:type="spellEnd"/>
      <w:r w:rsidRPr="007917B2">
        <w:rPr>
          <w:rFonts w:ascii="Calibri" w:hAnsi="Calibri" w:cs="Calibri"/>
          <w:b/>
          <w:bCs/>
          <w:lang w:val="fr-FR"/>
        </w:rPr>
        <w:t>:</w:t>
      </w:r>
      <w:r w:rsidRPr="007917B2">
        <w:rPr>
          <w:rFonts w:ascii="Calibri" w:hAnsi="Calibri" w:cs="Calibri"/>
          <w:lang w:val="fr-FR"/>
        </w:rPr>
        <w:t xml:space="preserve"> </w:t>
      </w:r>
      <w:r w:rsidR="003A1091" w:rsidRPr="007917B2">
        <w:rPr>
          <w:rFonts w:ascii="Calibri" w:hAnsi="Calibri" w:cs="Calibri"/>
          <w:lang w:val="fr-FR"/>
        </w:rPr>
        <w:t xml:space="preserve">Mark </w:t>
      </w:r>
      <w:proofErr w:type="spellStart"/>
      <w:r w:rsidR="003A1091" w:rsidRPr="007917B2">
        <w:rPr>
          <w:rFonts w:ascii="Calibri" w:hAnsi="Calibri" w:cs="Calibri"/>
          <w:lang w:val="fr-FR"/>
        </w:rPr>
        <w:t>Flagg</w:t>
      </w:r>
      <w:proofErr w:type="spellEnd"/>
    </w:p>
    <w:p w14:paraId="2375EF39" w14:textId="77777777" w:rsidR="00805BFF" w:rsidRPr="007917B2" w:rsidRDefault="00805BFF" w:rsidP="007917B2">
      <w:pPr>
        <w:jc w:val="both"/>
        <w:rPr>
          <w:rFonts w:ascii="Calibri" w:hAnsi="Calibri" w:cs="Calibri"/>
        </w:rPr>
      </w:pPr>
      <w:r w:rsidRPr="007917B2">
        <w:rPr>
          <w:rFonts w:ascii="Calibri" w:hAnsi="Calibri" w:cs="Calibri"/>
          <w:b/>
          <w:bCs/>
        </w:rPr>
        <w:t>Student name:</w:t>
      </w:r>
      <w:r w:rsidRPr="007917B2">
        <w:rPr>
          <w:rFonts w:ascii="Calibri" w:hAnsi="Calibri" w:cs="Calibri"/>
        </w:rPr>
        <w:t xml:space="preserve"> Lola Villard-Coles</w:t>
      </w:r>
    </w:p>
    <w:p w14:paraId="7E671321" w14:textId="77777777" w:rsidR="00805BFF" w:rsidRPr="007917B2" w:rsidRDefault="00805BFF" w:rsidP="007917B2">
      <w:pPr>
        <w:jc w:val="both"/>
        <w:rPr>
          <w:rFonts w:ascii="Calibri" w:hAnsi="Calibri" w:cs="Calibri"/>
        </w:rPr>
      </w:pPr>
      <w:r w:rsidRPr="007917B2">
        <w:rPr>
          <w:rFonts w:ascii="Calibri" w:hAnsi="Calibri" w:cs="Calibri"/>
          <w:b/>
          <w:bCs/>
        </w:rPr>
        <w:t>Student ID:</w:t>
      </w:r>
      <w:r w:rsidRPr="007917B2">
        <w:rPr>
          <w:rFonts w:ascii="Calibri" w:hAnsi="Calibri" w:cs="Calibri"/>
        </w:rPr>
        <w:t xml:space="preserve"> 2114927</w:t>
      </w:r>
    </w:p>
    <w:p w14:paraId="5355C662" w14:textId="77777777" w:rsidR="00805BFF" w:rsidRPr="007917B2" w:rsidRDefault="00805BFF" w:rsidP="007917B2">
      <w:pPr>
        <w:jc w:val="both"/>
        <w:rPr>
          <w:rFonts w:ascii="Calibri" w:hAnsi="Calibri" w:cs="Calibri"/>
        </w:rPr>
      </w:pPr>
    </w:p>
    <w:p w14:paraId="5E13EF8F" w14:textId="77777777" w:rsidR="00680D58" w:rsidRPr="007917B2" w:rsidRDefault="00680D58" w:rsidP="007917B2">
      <w:pPr>
        <w:jc w:val="both"/>
        <w:rPr>
          <w:rFonts w:ascii="Calibri" w:hAnsi="Calibri" w:cs="Calibri"/>
          <w:b/>
          <w:bCs/>
        </w:rPr>
      </w:pPr>
    </w:p>
    <w:p w14:paraId="35E7A839" w14:textId="77777777" w:rsidR="00525BC5" w:rsidRDefault="00525BC5" w:rsidP="00525BC5">
      <w:pPr>
        <w:rPr>
          <w:b/>
          <w:bCs/>
          <w:sz w:val="32"/>
          <w:szCs w:val="32"/>
        </w:rPr>
      </w:pPr>
      <w:r w:rsidRPr="74B02C96">
        <w:rPr>
          <w:b/>
          <w:bCs/>
          <w:sz w:val="32"/>
          <w:szCs w:val="32"/>
        </w:rPr>
        <w:t xml:space="preserve">AI Acknowledgement  </w:t>
      </w:r>
    </w:p>
    <w:p w14:paraId="04790B59" w14:textId="0AC40C73" w:rsidR="00AD4257" w:rsidRPr="009E0384" w:rsidRDefault="00AB3AE6" w:rsidP="000B32AB">
      <w:pPr>
        <w:jc w:val="both"/>
        <w:rPr>
          <w:rFonts w:ascii="Calibri" w:hAnsi="Calibri" w:cs="Calibri"/>
        </w:rPr>
      </w:pPr>
      <w:r w:rsidRPr="009E0384">
        <w:rPr>
          <w:rFonts w:ascii="Calibri" w:hAnsi="Calibri" w:cs="Calibri"/>
        </w:rPr>
        <w:t xml:space="preserve">I acknowledge the use of ChatGPT (https://chatgpt.com/) on </w:t>
      </w:r>
      <w:r w:rsidR="009E0384" w:rsidRPr="009E0384">
        <w:rPr>
          <w:rFonts w:ascii="Calibri" w:hAnsi="Calibri" w:cs="Calibri"/>
        </w:rPr>
        <w:t>28</w:t>
      </w:r>
      <w:r w:rsidRPr="009E0384">
        <w:rPr>
          <w:rFonts w:ascii="Calibri" w:hAnsi="Calibri" w:cs="Calibri"/>
        </w:rPr>
        <w:t xml:space="preserve"> </w:t>
      </w:r>
      <w:r w:rsidR="007E5591">
        <w:rPr>
          <w:rFonts w:ascii="Calibri" w:hAnsi="Calibri" w:cs="Calibri"/>
        </w:rPr>
        <w:t xml:space="preserve">March </w:t>
      </w:r>
      <w:r w:rsidRPr="009E0384">
        <w:rPr>
          <w:rFonts w:ascii="Calibri" w:hAnsi="Calibri" w:cs="Calibri"/>
        </w:rPr>
        <w:t>202</w:t>
      </w:r>
      <w:r w:rsidR="009E0384">
        <w:rPr>
          <w:rFonts w:ascii="Calibri" w:hAnsi="Calibri" w:cs="Calibri"/>
        </w:rPr>
        <w:t>5</w:t>
      </w:r>
      <w:r w:rsidR="009E0384" w:rsidRPr="009E0384">
        <w:rPr>
          <w:rFonts w:ascii="Calibri" w:hAnsi="Calibri" w:cs="Calibri"/>
        </w:rPr>
        <w:t xml:space="preserve"> </w:t>
      </w:r>
      <w:r w:rsidR="009E0384" w:rsidRPr="009E0384">
        <w:rPr>
          <w:rFonts w:ascii="Calibri" w:hAnsi="Calibri" w:cs="Calibri"/>
        </w:rPr>
        <w:t xml:space="preserve">to check my work using the prompt: </w:t>
      </w:r>
      <w:r w:rsidR="009E0384">
        <w:rPr>
          <w:rFonts w:ascii="Calibri" w:hAnsi="Calibri" w:cs="Calibri"/>
        </w:rPr>
        <w:t>‘</w:t>
      </w:r>
      <w:r w:rsidR="00AD4257" w:rsidRPr="009E0384">
        <w:rPr>
          <w:rFonts w:ascii="Calibri" w:hAnsi="Calibri" w:cs="Calibri"/>
        </w:rPr>
        <w:t>Please check the following text for readability, grammar and syntax</w:t>
      </w:r>
      <w:r w:rsidR="000B32AB">
        <w:rPr>
          <w:rFonts w:ascii="Calibri" w:hAnsi="Calibri" w:cs="Calibri"/>
        </w:rPr>
        <w:t>.</w:t>
      </w:r>
      <w:r w:rsidR="009E0384">
        <w:rPr>
          <w:rFonts w:ascii="Calibri" w:hAnsi="Calibri" w:cs="Calibri"/>
        </w:rPr>
        <w:t>’</w:t>
      </w:r>
      <w:r w:rsidR="00AD4257" w:rsidRPr="009E0384">
        <w:rPr>
          <w:rFonts w:ascii="Calibri" w:hAnsi="Calibri" w:cs="Calibri"/>
        </w:rPr>
        <w:t xml:space="preserve"> </w:t>
      </w:r>
    </w:p>
    <w:p w14:paraId="7BAFEBEF" w14:textId="252A52C9" w:rsidR="00C05D1D" w:rsidRPr="002B758F" w:rsidRDefault="00AD4257" w:rsidP="000B32AB">
      <w:pPr>
        <w:jc w:val="both"/>
        <w:rPr>
          <w:rFonts w:ascii="Calibri" w:hAnsi="Calibri" w:cs="Calibri"/>
        </w:rPr>
      </w:pPr>
      <w:r w:rsidRPr="009E0384">
        <w:rPr>
          <w:rFonts w:ascii="Calibri" w:hAnsi="Calibri" w:cs="Calibri"/>
        </w:rPr>
        <w:t xml:space="preserve">I confirm that I have not presented any AI generated text as my own work. I confirm that I have copies of my drafts, notes, and other resources I used before, and after the use of AI tools which I may be asked to provide in evidence. </w:t>
      </w:r>
    </w:p>
    <w:p w14:paraId="7636870A" w14:textId="77777777" w:rsidR="00680D58" w:rsidRPr="007917B2" w:rsidRDefault="00680D58" w:rsidP="007917B2">
      <w:pPr>
        <w:jc w:val="both"/>
        <w:rPr>
          <w:rFonts w:ascii="Calibri" w:hAnsi="Calibri" w:cs="Calibri"/>
          <w:b/>
          <w:bCs/>
        </w:rPr>
      </w:pPr>
    </w:p>
    <w:p w14:paraId="6041F6DF" w14:textId="77777777" w:rsidR="00680D58" w:rsidRPr="007917B2" w:rsidRDefault="00680D58" w:rsidP="007917B2">
      <w:pPr>
        <w:jc w:val="both"/>
        <w:rPr>
          <w:rFonts w:ascii="Calibri" w:hAnsi="Calibri" w:cs="Calibri"/>
          <w:b/>
          <w:bCs/>
        </w:rPr>
      </w:pPr>
    </w:p>
    <w:p w14:paraId="7CFC5B63" w14:textId="77777777" w:rsidR="00680D58" w:rsidRPr="007917B2" w:rsidRDefault="00680D58" w:rsidP="007917B2">
      <w:pPr>
        <w:jc w:val="both"/>
        <w:rPr>
          <w:rFonts w:ascii="Calibri" w:hAnsi="Calibri" w:cs="Calibri"/>
          <w:b/>
          <w:bCs/>
        </w:rPr>
        <w:sectPr w:rsidR="00680D58" w:rsidRPr="007917B2">
          <w:footerReference w:type="default" r:id="rId9"/>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4"/>
          <w:szCs w:val="24"/>
          <w:lang w:val="en-GB" w:eastAsia="zh-CN"/>
          <w14:ligatures w14:val="standardContextual"/>
        </w:rPr>
        <w:id w:val="620655302"/>
        <w:docPartObj>
          <w:docPartGallery w:val="Table of Contents"/>
          <w:docPartUnique/>
        </w:docPartObj>
      </w:sdtPr>
      <w:sdtEndPr>
        <w:rPr>
          <w:b/>
          <w:bCs/>
          <w:noProof/>
        </w:rPr>
      </w:sdtEndPr>
      <w:sdtContent>
        <w:p w14:paraId="078525C5" w14:textId="1AA3A1B5" w:rsidR="00AC7ECA" w:rsidRPr="007E5591" w:rsidRDefault="00AC7ECA">
          <w:pPr>
            <w:pStyle w:val="TOCHeading"/>
            <w:rPr>
              <w:rFonts w:ascii="Calibri" w:hAnsi="Calibri" w:cs="Calibri"/>
            </w:rPr>
          </w:pPr>
          <w:r w:rsidRPr="007E5591">
            <w:rPr>
              <w:rFonts w:ascii="Calibri" w:hAnsi="Calibri" w:cs="Calibri"/>
            </w:rPr>
            <w:t>Table of Contents</w:t>
          </w:r>
        </w:p>
        <w:p w14:paraId="1A9B9651" w14:textId="77777777" w:rsidR="002239B3" w:rsidRPr="007E5591" w:rsidRDefault="002239B3" w:rsidP="002239B3">
          <w:pPr>
            <w:rPr>
              <w:rFonts w:ascii="Calibri" w:hAnsi="Calibri" w:cs="Calibri"/>
              <w:sz w:val="8"/>
              <w:szCs w:val="8"/>
              <w:lang w:val="en-US" w:eastAsia="en-US"/>
            </w:rPr>
          </w:pPr>
        </w:p>
        <w:p w14:paraId="4853BDCA" w14:textId="29DE4AED" w:rsidR="002239B3" w:rsidRPr="007E5591" w:rsidRDefault="00AC7ECA">
          <w:pPr>
            <w:pStyle w:val="TOC1"/>
            <w:rPr>
              <w:rFonts w:ascii="Calibri" w:hAnsi="Calibri" w:cs="Calibri"/>
              <w:noProof/>
            </w:rPr>
          </w:pPr>
          <w:r w:rsidRPr="007E5591">
            <w:rPr>
              <w:rFonts w:ascii="Calibri" w:hAnsi="Calibri" w:cs="Calibri"/>
            </w:rPr>
            <w:fldChar w:fldCharType="begin"/>
          </w:r>
          <w:r w:rsidRPr="007E5591">
            <w:rPr>
              <w:rFonts w:ascii="Calibri" w:hAnsi="Calibri" w:cs="Calibri"/>
            </w:rPr>
            <w:instrText xml:space="preserve"> TOC \o "1-3" \h \z \u </w:instrText>
          </w:r>
          <w:r w:rsidRPr="007E5591">
            <w:rPr>
              <w:rFonts w:ascii="Calibri" w:hAnsi="Calibri" w:cs="Calibri"/>
            </w:rPr>
            <w:fldChar w:fldCharType="separate"/>
          </w:r>
          <w:hyperlink w:anchor="_Toc194050028" w:history="1">
            <w:r w:rsidR="002239B3" w:rsidRPr="007E5591">
              <w:rPr>
                <w:rStyle w:val="Hyperlink"/>
                <w:rFonts w:ascii="Calibri" w:hAnsi="Calibri" w:cs="Calibri"/>
                <w:noProof/>
              </w:rPr>
              <w:t>1.</w:t>
            </w:r>
            <w:r w:rsidR="00BA277B" w:rsidRPr="007E5591">
              <w:rPr>
                <w:rStyle w:val="Hyperlink"/>
                <w:rFonts w:ascii="Calibri" w:hAnsi="Calibri" w:cs="Calibri"/>
                <w:noProof/>
              </w:rPr>
              <w:t xml:space="preserve"> </w:t>
            </w:r>
            <w:r w:rsidR="002239B3" w:rsidRPr="007E5591">
              <w:rPr>
                <w:rStyle w:val="Hyperlink"/>
                <w:rFonts w:ascii="Calibri" w:hAnsi="Calibri" w:cs="Calibri"/>
                <w:noProof/>
              </w:rPr>
              <w:t>Introduction and Justification of Study Area</w:t>
            </w:r>
            <w:r w:rsidR="002239B3" w:rsidRPr="007E5591">
              <w:rPr>
                <w:rFonts w:ascii="Calibri" w:hAnsi="Calibri" w:cs="Calibri"/>
                <w:noProof/>
                <w:webHidden/>
              </w:rPr>
              <w:tab/>
            </w:r>
            <w:r w:rsidR="002239B3" w:rsidRPr="007E5591">
              <w:rPr>
                <w:rFonts w:ascii="Calibri" w:hAnsi="Calibri" w:cs="Calibri"/>
                <w:noProof/>
                <w:webHidden/>
              </w:rPr>
              <w:fldChar w:fldCharType="begin"/>
            </w:r>
            <w:r w:rsidR="002239B3" w:rsidRPr="007E5591">
              <w:rPr>
                <w:rFonts w:ascii="Calibri" w:hAnsi="Calibri" w:cs="Calibri"/>
                <w:noProof/>
                <w:webHidden/>
              </w:rPr>
              <w:instrText xml:space="preserve"> PAGEREF _Toc194050028 \h </w:instrText>
            </w:r>
            <w:r w:rsidR="002239B3" w:rsidRPr="007E5591">
              <w:rPr>
                <w:rFonts w:ascii="Calibri" w:hAnsi="Calibri" w:cs="Calibri"/>
                <w:noProof/>
                <w:webHidden/>
              </w:rPr>
            </w:r>
            <w:r w:rsidR="002239B3" w:rsidRPr="007E5591">
              <w:rPr>
                <w:rFonts w:ascii="Calibri" w:hAnsi="Calibri" w:cs="Calibri"/>
                <w:noProof/>
                <w:webHidden/>
              </w:rPr>
              <w:fldChar w:fldCharType="separate"/>
            </w:r>
            <w:r w:rsidR="002239B3" w:rsidRPr="007E5591">
              <w:rPr>
                <w:rFonts w:ascii="Calibri" w:hAnsi="Calibri" w:cs="Calibri"/>
                <w:noProof/>
                <w:webHidden/>
              </w:rPr>
              <w:t>4</w:t>
            </w:r>
            <w:r w:rsidR="002239B3" w:rsidRPr="007E5591">
              <w:rPr>
                <w:rFonts w:ascii="Calibri" w:hAnsi="Calibri" w:cs="Calibri"/>
                <w:noProof/>
                <w:webHidden/>
              </w:rPr>
              <w:fldChar w:fldCharType="end"/>
            </w:r>
          </w:hyperlink>
        </w:p>
        <w:p w14:paraId="4FA4D5E5" w14:textId="5F71A3FA" w:rsidR="002239B3" w:rsidRPr="007E5591" w:rsidRDefault="002239B3">
          <w:pPr>
            <w:pStyle w:val="TOC1"/>
            <w:rPr>
              <w:rFonts w:ascii="Calibri" w:hAnsi="Calibri" w:cs="Calibri"/>
              <w:noProof/>
            </w:rPr>
          </w:pPr>
          <w:hyperlink w:anchor="_Toc194050029" w:history="1">
            <w:r w:rsidRPr="007E5591">
              <w:rPr>
                <w:rStyle w:val="Hyperlink"/>
                <w:rFonts w:ascii="Calibri" w:hAnsi="Calibri" w:cs="Calibri"/>
                <w:noProof/>
              </w:rPr>
              <w:t>2.</w:t>
            </w:r>
            <w:r w:rsidR="00BA277B" w:rsidRPr="007E5591">
              <w:rPr>
                <w:rStyle w:val="Hyperlink"/>
                <w:rFonts w:ascii="Calibri" w:hAnsi="Calibri" w:cs="Calibri"/>
                <w:noProof/>
              </w:rPr>
              <w:t xml:space="preserve"> </w:t>
            </w:r>
            <w:r w:rsidRPr="007E5591">
              <w:rPr>
                <w:rStyle w:val="Hyperlink"/>
                <w:rFonts w:ascii="Calibri" w:hAnsi="Calibri" w:cs="Calibri"/>
                <w:noProof/>
              </w:rPr>
              <w:t>Literature Review</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_Toc194050029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6</w:t>
            </w:r>
            <w:r w:rsidRPr="007E5591">
              <w:rPr>
                <w:rFonts w:ascii="Calibri" w:hAnsi="Calibri" w:cs="Calibri"/>
                <w:noProof/>
                <w:webHidden/>
              </w:rPr>
              <w:fldChar w:fldCharType="end"/>
            </w:r>
          </w:hyperlink>
        </w:p>
        <w:p w14:paraId="01AE9CBE" w14:textId="3A629B55" w:rsidR="002239B3" w:rsidRPr="007E5591" w:rsidRDefault="002239B3">
          <w:pPr>
            <w:pStyle w:val="TOC2"/>
            <w:tabs>
              <w:tab w:val="right" w:leader="dot" w:pos="9016"/>
            </w:tabs>
            <w:rPr>
              <w:rFonts w:ascii="Calibri" w:hAnsi="Calibri" w:cs="Calibri"/>
              <w:noProof/>
            </w:rPr>
          </w:pPr>
          <w:hyperlink w:anchor="_Toc194050030" w:history="1">
            <w:r w:rsidRPr="007E5591">
              <w:rPr>
                <w:rStyle w:val="Hyperlink"/>
                <w:rFonts w:ascii="Calibri" w:hAnsi="Calibri" w:cs="Calibri"/>
                <w:noProof/>
              </w:rPr>
              <w:t>2.1 Overview of Work-Based Learning (WBL)</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6</w:t>
            </w:r>
            <w:r w:rsidRPr="007E5591">
              <w:rPr>
                <w:rFonts w:ascii="Calibri" w:hAnsi="Calibri" w:cs="Calibri"/>
                <w:noProof/>
                <w:webHidden/>
              </w:rPr>
              <w:fldChar w:fldCharType="end"/>
            </w:r>
          </w:hyperlink>
        </w:p>
        <w:p w14:paraId="22BFE3BE" w14:textId="4FCD5D43" w:rsidR="002239B3" w:rsidRPr="007E5591" w:rsidRDefault="002239B3">
          <w:pPr>
            <w:pStyle w:val="TOC2"/>
            <w:tabs>
              <w:tab w:val="right" w:leader="dot" w:pos="9016"/>
            </w:tabs>
            <w:rPr>
              <w:rFonts w:ascii="Calibri" w:hAnsi="Calibri" w:cs="Calibri"/>
              <w:noProof/>
            </w:rPr>
          </w:pPr>
          <w:hyperlink w:anchor="_Toc194050031" w:history="1">
            <w:r w:rsidRPr="007E5591">
              <w:rPr>
                <w:rStyle w:val="Hyperlink"/>
                <w:rFonts w:ascii="Calibri" w:hAnsi="Calibri" w:cs="Calibri"/>
                <w:noProof/>
              </w:rPr>
              <w:t>2.2 Non-Traditional Students in Higher Education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7</w:t>
            </w:r>
            <w:r w:rsidRPr="007E5591">
              <w:rPr>
                <w:rFonts w:ascii="Calibri" w:hAnsi="Calibri" w:cs="Calibri"/>
                <w:noProof/>
                <w:webHidden/>
              </w:rPr>
              <w:fldChar w:fldCharType="end"/>
            </w:r>
          </w:hyperlink>
        </w:p>
        <w:p w14:paraId="3690A4C7" w14:textId="750AFD14" w:rsidR="002239B3" w:rsidRPr="007E5591" w:rsidRDefault="002239B3">
          <w:pPr>
            <w:pStyle w:val="TOC3"/>
            <w:rPr>
              <w:rFonts w:ascii="Calibri" w:hAnsi="Calibri" w:cs="Calibri"/>
              <w:noProof/>
            </w:rPr>
          </w:pPr>
          <w:hyperlink w:anchor="_Toc194050032" w:history="1">
            <w:r w:rsidRPr="007E5591">
              <w:rPr>
                <w:rStyle w:val="Hyperlink"/>
                <w:rFonts w:ascii="Calibri" w:hAnsi="Calibri" w:cs="Calibri"/>
                <w:noProof/>
              </w:rPr>
              <w:t>Defining Traditional and Non-Traditional Students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7</w:t>
            </w:r>
            <w:r w:rsidRPr="007E5591">
              <w:rPr>
                <w:rFonts w:ascii="Calibri" w:hAnsi="Calibri" w:cs="Calibri"/>
                <w:noProof/>
                <w:webHidden/>
              </w:rPr>
              <w:fldChar w:fldCharType="end"/>
            </w:r>
          </w:hyperlink>
        </w:p>
        <w:p w14:paraId="660E2BF9" w14:textId="1E409B4D" w:rsidR="002239B3" w:rsidRPr="007E5591" w:rsidRDefault="002239B3">
          <w:pPr>
            <w:pStyle w:val="TOC3"/>
            <w:rPr>
              <w:rFonts w:ascii="Calibri" w:hAnsi="Calibri" w:cs="Calibri"/>
              <w:noProof/>
            </w:rPr>
          </w:pPr>
          <w:hyperlink w:anchor="_Toc194050033" w:history="1">
            <w:r w:rsidRPr="007E5591">
              <w:rPr>
                <w:rStyle w:val="Hyperlink"/>
                <w:rFonts w:ascii="Calibri" w:hAnsi="Calibri" w:cs="Calibri"/>
                <w:noProof/>
              </w:rPr>
              <w:t>WBL as a Solution for Non-Traditional Students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48B9ECD0" w14:textId="7F4E86DE" w:rsidR="002239B3" w:rsidRPr="007E5591" w:rsidRDefault="002239B3">
          <w:pPr>
            <w:pStyle w:val="TOC2"/>
            <w:tabs>
              <w:tab w:val="right" w:leader="dot" w:pos="9016"/>
            </w:tabs>
            <w:rPr>
              <w:rFonts w:ascii="Calibri" w:hAnsi="Calibri" w:cs="Calibri"/>
              <w:noProof/>
            </w:rPr>
          </w:pPr>
          <w:hyperlink w:anchor="_Toc194050034" w:history="1">
            <w:r w:rsidRPr="007E5591">
              <w:rPr>
                <w:rStyle w:val="Hyperlink"/>
                <w:rFonts w:ascii="Calibri" w:hAnsi="Calibri" w:cs="Calibri"/>
                <w:noProof/>
              </w:rPr>
              <w:t>2.3 Employability and Graduate Outcomes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1FBEBCFC" w14:textId="2E85EE6C" w:rsidR="002239B3" w:rsidRPr="007E5591" w:rsidRDefault="002239B3">
          <w:pPr>
            <w:pStyle w:val="TOC3"/>
            <w:rPr>
              <w:rFonts w:ascii="Calibri" w:hAnsi="Calibri" w:cs="Calibri"/>
              <w:noProof/>
            </w:rPr>
          </w:pPr>
          <w:hyperlink w:anchor="_Toc194050035" w:history="1">
            <w:r w:rsidRPr="007E5591">
              <w:rPr>
                <w:rStyle w:val="Hyperlink"/>
                <w:rFonts w:ascii="Calibri" w:hAnsi="Calibri" w:cs="Calibri"/>
                <w:noProof/>
              </w:rPr>
              <w:t>The Importance of Employability in Higher Education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8</w:t>
            </w:r>
            <w:r w:rsidRPr="007E5591">
              <w:rPr>
                <w:rFonts w:ascii="Calibri" w:hAnsi="Calibri" w:cs="Calibri"/>
                <w:noProof/>
                <w:webHidden/>
              </w:rPr>
              <w:fldChar w:fldCharType="end"/>
            </w:r>
          </w:hyperlink>
        </w:p>
        <w:p w14:paraId="7364C5B8" w14:textId="2ED59520" w:rsidR="002239B3" w:rsidRPr="007E5591" w:rsidRDefault="002239B3">
          <w:pPr>
            <w:pStyle w:val="TOC3"/>
            <w:rPr>
              <w:rFonts w:ascii="Calibri" w:hAnsi="Calibri" w:cs="Calibri"/>
              <w:noProof/>
            </w:rPr>
          </w:pPr>
          <w:hyperlink w:anchor="_Toc194050036" w:history="1">
            <w:r w:rsidRPr="007E5591">
              <w:rPr>
                <w:rStyle w:val="Hyperlink"/>
                <w:rFonts w:ascii="Calibri" w:hAnsi="Calibri" w:cs="Calibri"/>
                <w:noProof/>
              </w:rPr>
              <w:t>Impact of WBL on Employability and Employer Perspectives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_Toc194050036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9</w:t>
            </w:r>
            <w:r w:rsidRPr="007E5591">
              <w:rPr>
                <w:rFonts w:ascii="Calibri" w:hAnsi="Calibri" w:cs="Calibri"/>
                <w:noProof/>
                <w:webHidden/>
              </w:rPr>
              <w:fldChar w:fldCharType="end"/>
            </w:r>
          </w:hyperlink>
        </w:p>
        <w:p w14:paraId="7C020A31" w14:textId="0AA37EE4" w:rsidR="002239B3" w:rsidRPr="007E5591" w:rsidRDefault="002239B3">
          <w:pPr>
            <w:pStyle w:val="TOC2"/>
            <w:tabs>
              <w:tab w:val="right" w:leader="dot" w:pos="9016"/>
            </w:tabs>
            <w:rPr>
              <w:rFonts w:ascii="Calibri" w:hAnsi="Calibri" w:cs="Calibri"/>
              <w:noProof/>
            </w:rPr>
          </w:pPr>
          <w:hyperlink w:anchor="_Toc194050037" w:history="1">
            <w:r w:rsidRPr="007E5591">
              <w:rPr>
                <w:rStyle w:val="Hyperlink"/>
                <w:rFonts w:ascii="Calibri" w:hAnsi="Calibri" w:cs="Calibri"/>
                <w:noProof/>
              </w:rPr>
              <w:t>2.4 Curriculum Design and Industry Collaboration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_Toc194050037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10</w:t>
            </w:r>
            <w:r w:rsidRPr="007E5591">
              <w:rPr>
                <w:rFonts w:ascii="Calibri" w:hAnsi="Calibri" w:cs="Calibri"/>
                <w:noProof/>
                <w:webHidden/>
              </w:rPr>
              <w:fldChar w:fldCharType="end"/>
            </w:r>
          </w:hyperlink>
        </w:p>
        <w:p w14:paraId="754DFECC" w14:textId="3468790B" w:rsidR="002239B3" w:rsidRPr="007E5591" w:rsidRDefault="002239B3">
          <w:pPr>
            <w:pStyle w:val="TOC3"/>
            <w:rPr>
              <w:rFonts w:ascii="Calibri" w:hAnsi="Calibri" w:cs="Calibri"/>
              <w:noProof/>
            </w:rPr>
          </w:pPr>
          <w:hyperlink w:anchor="_Toc194050038" w:history="1">
            <w:r w:rsidRPr="007E5591">
              <w:rPr>
                <w:rStyle w:val="Hyperlink"/>
                <w:rFonts w:ascii="Calibri" w:hAnsi="Calibri" w:cs="Calibri"/>
                <w:noProof/>
              </w:rPr>
              <w:t>The Role of Employers in Curriculum Development</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_Toc194050038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10</w:t>
            </w:r>
            <w:r w:rsidRPr="007E5591">
              <w:rPr>
                <w:rFonts w:ascii="Calibri" w:hAnsi="Calibri" w:cs="Calibri"/>
                <w:noProof/>
                <w:webHidden/>
              </w:rPr>
              <w:fldChar w:fldCharType="end"/>
            </w:r>
          </w:hyperlink>
        </w:p>
        <w:p w14:paraId="4C34C1D5" w14:textId="2B3D469A" w:rsidR="002239B3" w:rsidRPr="007E5591" w:rsidRDefault="002239B3">
          <w:pPr>
            <w:pStyle w:val="TOC3"/>
            <w:rPr>
              <w:rFonts w:ascii="Calibri" w:hAnsi="Calibri" w:cs="Calibri"/>
              <w:noProof/>
            </w:rPr>
          </w:pPr>
          <w:hyperlink w:anchor="_Toc194050039" w:history="1">
            <w:r w:rsidRPr="007E5591">
              <w:rPr>
                <w:rStyle w:val="Hyperlink"/>
                <w:rFonts w:ascii="Calibri" w:hAnsi="Calibri" w:cs="Calibri"/>
                <w:noProof/>
              </w:rPr>
              <w:t>Challenges in Employer-University Collaboration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_Toc194050039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11</w:t>
            </w:r>
            <w:r w:rsidRPr="007E5591">
              <w:rPr>
                <w:rFonts w:ascii="Calibri" w:hAnsi="Calibri" w:cs="Calibri"/>
                <w:noProof/>
                <w:webHidden/>
              </w:rPr>
              <w:fldChar w:fldCharType="end"/>
            </w:r>
          </w:hyperlink>
        </w:p>
        <w:p w14:paraId="1EFCED9C" w14:textId="5B688DE0" w:rsidR="002239B3" w:rsidRPr="007E5591" w:rsidRDefault="002239B3">
          <w:pPr>
            <w:pStyle w:val="TOC2"/>
            <w:tabs>
              <w:tab w:val="right" w:leader="dot" w:pos="9016"/>
            </w:tabs>
            <w:rPr>
              <w:rFonts w:ascii="Calibri" w:hAnsi="Calibri" w:cs="Calibri"/>
              <w:noProof/>
            </w:rPr>
          </w:pPr>
          <w:hyperlink w:anchor="_Toc194050040" w:history="1">
            <w:r w:rsidRPr="007E5591">
              <w:rPr>
                <w:rStyle w:val="Hyperlink"/>
                <w:rFonts w:ascii="Calibri" w:hAnsi="Calibri" w:cs="Calibri"/>
                <w:noProof/>
              </w:rPr>
              <w:t>2.5 Conclusion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12</w:t>
            </w:r>
            <w:r w:rsidRPr="007E5591">
              <w:rPr>
                <w:rFonts w:ascii="Calibri" w:hAnsi="Calibri" w:cs="Calibri"/>
                <w:noProof/>
                <w:webHidden/>
              </w:rPr>
              <w:fldChar w:fldCharType="end"/>
            </w:r>
          </w:hyperlink>
        </w:p>
        <w:p w14:paraId="68343C5B" w14:textId="25AC8C88" w:rsidR="002239B3" w:rsidRPr="007E5591" w:rsidRDefault="002239B3">
          <w:pPr>
            <w:pStyle w:val="TOC1"/>
            <w:rPr>
              <w:rFonts w:ascii="Calibri" w:hAnsi="Calibri" w:cs="Calibri"/>
              <w:noProof/>
            </w:rPr>
          </w:pPr>
          <w:hyperlink w:anchor="_Toc194050041" w:history="1">
            <w:r w:rsidRPr="007E5591">
              <w:rPr>
                <w:rStyle w:val="Hyperlink"/>
                <w:rFonts w:ascii="Calibri" w:hAnsi="Calibri" w:cs="Calibri"/>
                <w:noProof/>
              </w:rPr>
              <w:t>3.</w:t>
            </w:r>
            <w:r w:rsidR="00BA277B" w:rsidRPr="007E5591">
              <w:rPr>
                <w:rStyle w:val="Hyperlink"/>
                <w:rFonts w:ascii="Calibri" w:hAnsi="Calibri" w:cs="Calibri"/>
                <w:noProof/>
              </w:rPr>
              <w:t xml:space="preserve"> </w:t>
            </w:r>
            <w:r w:rsidRPr="007E5591">
              <w:rPr>
                <w:rStyle w:val="Hyperlink"/>
                <w:rFonts w:ascii="Calibri" w:hAnsi="Calibri" w:cs="Calibri"/>
                <w:noProof/>
              </w:rPr>
              <w:t>Methodology</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36FC6239" w14:textId="60476AD9" w:rsidR="002239B3" w:rsidRPr="007E5591" w:rsidRDefault="002239B3">
          <w:pPr>
            <w:pStyle w:val="TOC2"/>
            <w:tabs>
              <w:tab w:val="right" w:leader="dot" w:pos="9016"/>
            </w:tabs>
            <w:rPr>
              <w:rFonts w:ascii="Calibri" w:hAnsi="Calibri" w:cs="Calibri"/>
              <w:noProof/>
            </w:rPr>
          </w:pPr>
          <w:hyperlink w:anchor="_Toc194050042" w:history="1">
            <w:r w:rsidRPr="007E5591">
              <w:rPr>
                <w:rStyle w:val="Hyperlink"/>
                <w:rFonts w:ascii="Calibri" w:hAnsi="Calibri" w:cs="Calibri"/>
                <w:noProof/>
              </w:rPr>
              <w:t>3.1 Research Approach and Action Research Framework</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0B510585" w14:textId="25D704D6" w:rsidR="002239B3" w:rsidRPr="007E5591" w:rsidRDefault="002239B3">
          <w:pPr>
            <w:pStyle w:val="TOC2"/>
            <w:tabs>
              <w:tab w:val="right" w:leader="dot" w:pos="9016"/>
            </w:tabs>
            <w:rPr>
              <w:rFonts w:ascii="Calibri" w:hAnsi="Calibri" w:cs="Calibri"/>
              <w:noProof/>
            </w:rPr>
          </w:pPr>
          <w:hyperlink w:anchor="_Toc194050043" w:history="1">
            <w:r w:rsidRPr="007E5591">
              <w:rPr>
                <w:rStyle w:val="Hyperlink"/>
                <w:rFonts w:ascii="Calibri" w:hAnsi="Calibri" w:cs="Calibri"/>
                <w:noProof/>
              </w:rPr>
              <w:t>3.2 Justification for a Secondary Data Approach</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13</w:t>
            </w:r>
            <w:r w:rsidRPr="007E5591">
              <w:rPr>
                <w:rFonts w:ascii="Calibri" w:hAnsi="Calibri" w:cs="Calibri"/>
                <w:noProof/>
                <w:webHidden/>
              </w:rPr>
              <w:fldChar w:fldCharType="end"/>
            </w:r>
          </w:hyperlink>
        </w:p>
        <w:p w14:paraId="3E4D6681" w14:textId="63045553" w:rsidR="002239B3" w:rsidRPr="007E5591" w:rsidRDefault="002239B3">
          <w:pPr>
            <w:pStyle w:val="TOC2"/>
            <w:tabs>
              <w:tab w:val="right" w:leader="dot" w:pos="9016"/>
            </w:tabs>
            <w:rPr>
              <w:rFonts w:ascii="Calibri" w:hAnsi="Calibri" w:cs="Calibri"/>
              <w:noProof/>
            </w:rPr>
          </w:pPr>
          <w:hyperlink w:anchor="_Toc194050044" w:history="1">
            <w:r w:rsidRPr="007E5591">
              <w:rPr>
                <w:rStyle w:val="Hyperlink"/>
                <w:rFonts w:ascii="Calibri" w:hAnsi="Calibri" w:cs="Calibri"/>
                <w:noProof/>
              </w:rPr>
              <w:t>3.3 Data Analysis Approach</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14</w:t>
            </w:r>
            <w:r w:rsidRPr="007E5591">
              <w:rPr>
                <w:rFonts w:ascii="Calibri" w:hAnsi="Calibri" w:cs="Calibri"/>
                <w:noProof/>
                <w:webHidden/>
              </w:rPr>
              <w:fldChar w:fldCharType="end"/>
            </w:r>
          </w:hyperlink>
        </w:p>
        <w:p w14:paraId="3A623CA1" w14:textId="252310B3" w:rsidR="002239B3" w:rsidRPr="007E5591" w:rsidRDefault="002239B3">
          <w:pPr>
            <w:pStyle w:val="TOC2"/>
            <w:tabs>
              <w:tab w:val="right" w:leader="dot" w:pos="9016"/>
            </w:tabs>
            <w:rPr>
              <w:rFonts w:ascii="Calibri" w:hAnsi="Calibri" w:cs="Calibri"/>
              <w:noProof/>
            </w:rPr>
          </w:pPr>
          <w:hyperlink w:anchor="_Toc194050045" w:history="1">
            <w:r w:rsidRPr="007E5591">
              <w:rPr>
                <w:rStyle w:val="Hyperlink"/>
                <w:rFonts w:ascii="Calibri" w:hAnsi="Calibri" w:cs="Calibri"/>
                <w:noProof/>
              </w:rPr>
              <w:t>3.4 Ethical Considerations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14</w:t>
            </w:r>
            <w:r w:rsidRPr="007E5591">
              <w:rPr>
                <w:rFonts w:ascii="Calibri" w:hAnsi="Calibri" w:cs="Calibri"/>
                <w:noProof/>
                <w:webHidden/>
              </w:rPr>
              <w:fldChar w:fldCharType="end"/>
            </w:r>
          </w:hyperlink>
        </w:p>
        <w:p w14:paraId="65BCB731" w14:textId="679807A8" w:rsidR="002239B3" w:rsidRPr="007E5591" w:rsidRDefault="002239B3">
          <w:pPr>
            <w:pStyle w:val="TOC1"/>
            <w:rPr>
              <w:rFonts w:ascii="Calibri" w:hAnsi="Calibri" w:cs="Calibri"/>
              <w:noProof/>
            </w:rPr>
          </w:pPr>
          <w:hyperlink w:anchor="_Toc194050046" w:history="1">
            <w:r w:rsidRPr="007E5591">
              <w:rPr>
                <w:rStyle w:val="Hyperlink"/>
                <w:rFonts w:ascii="Calibri" w:hAnsi="Calibri" w:cs="Calibri"/>
                <w:noProof/>
              </w:rPr>
              <w:t>4.</w:t>
            </w:r>
            <w:r w:rsidR="00BA277B" w:rsidRPr="007E5591">
              <w:rPr>
                <w:rStyle w:val="Hyperlink"/>
                <w:rFonts w:ascii="Calibri" w:hAnsi="Calibri" w:cs="Calibri"/>
                <w:noProof/>
              </w:rPr>
              <w:t xml:space="preserve"> </w:t>
            </w:r>
            <w:r w:rsidRPr="007E5591">
              <w:rPr>
                <w:rStyle w:val="Hyperlink"/>
                <w:rFonts w:ascii="Calibri" w:hAnsi="Calibri" w:cs="Calibri"/>
                <w:noProof/>
              </w:rPr>
              <w:t>Results and Discussion</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_Toc194050046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15</w:t>
            </w:r>
            <w:r w:rsidRPr="007E5591">
              <w:rPr>
                <w:rFonts w:ascii="Calibri" w:hAnsi="Calibri" w:cs="Calibri"/>
                <w:noProof/>
                <w:webHidden/>
              </w:rPr>
              <w:fldChar w:fldCharType="end"/>
            </w:r>
          </w:hyperlink>
        </w:p>
        <w:p w14:paraId="13CCB050" w14:textId="088BCEBF" w:rsidR="002239B3" w:rsidRPr="007E5591" w:rsidRDefault="002239B3">
          <w:pPr>
            <w:pStyle w:val="TOC2"/>
            <w:tabs>
              <w:tab w:val="right" w:leader="dot" w:pos="9016"/>
            </w:tabs>
            <w:rPr>
              <w:rFonts w:ascii="Calibri" w:hAnsi="Calibri" w:cs="Calibri"/>
              <w:noProof/>
            </w:rPr>
          </w:pPr>
          <w:hyperlink w:anchor="_Toc194050047" w:history="1">
            <w:r w:rsidRPr="007E5591">
              <w:rPr>
                <w:rStyle w:val="Hyperlink"/>
                <w:rFonts w:ascii="Calibri" w:hAnsi="Calibri" w:cs="Calibri"/>
                <w:noProof/>
              </w:rPr>
              <w:t>4.1 Presentation of Findings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_Toc194050047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15</w:t>
            </w:r>
            <w:r w:rsidRPr="007E5591">
              <w:rPr>
                <w:rFonts w:ascii="Calibri" w:hAnsi="Calibri" w:cs="Calibri"/>
                <w:noProof/>
                <w:webHidden/>
              </w:rPr>
              <w:fldChar w:fldCharType="end"/>
            </w:r>
          </w:hyperlink>
        </w:p>
        <w:p w14:paraId="2E94BAEA" w14:textId="401A5BDA" w:rsidR="002239B3" w:rsidRPr="007E5591" w:rsidRDefault="002239B3">
          <w:pPr>
            <w:pStyle w:val="TOC2"/>
            <w:tabs>
              <w:tab w:val="right" w:leader="dot" w:pos="9016"/>
            </w:tabs>
            <w:rPr>
              <w:rFonts w:ascii="Calibri" w:hAnsi="Calibri" w:cs="Calibri"/>
              <w:noProof/>
            </w:rPr>
          </w:pPr>
          <w:hyperlink w:anchor="_Toc194050048" w:history="1">
            <w:r w:rsidRPr="007E5591">
              <w:rPr>
                <w:rStyle w:val="Hyperlink"/>
                <w:rFonts w:ascii="Calibri" w:hAnsi="Calibri" w:cs="Calibri"/>
                <w:noProof/>
              </w:rPr>
              <w:t>4.2 Comparison with Literature</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_Toc194050048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16</w:t>
            </w:r>
            <w:r w:rsidRPr="007E5591">
              <w:rPr>
                <w:rFonts w:ascii="Calibri" w:hAnsi="Calibri" w:cs="Calibri"/>
                <w:noProof/>
                <w:webHidden/>
              </w:rPr>
              <w:fldChar w:fldCharType="end"/>
            </w:r>
          </w:hyperlink>
        </w:p>
        <w:p w14:paraId="1AD37249" w14:textId="45F1D91E" w:rsidR="002239B3" w:rsidRPr="007E5591" w:rsidRDefault="002239B3">
          <w:pPr>
            <w:pStyle w:val="TOC2"/>
            <w:tabs>
              <w:tab w:val="right" w:leader="dot" w:pos="9016"/>
            </w:tabs>
            <w:rPr>
              <w:rFonts w:ascii="Calibri" w:hAnsi="Calibri" w:cs="Calibri"/>
              <w:noProof/>
            </w:rPr>
          </w:pPr>
          <w:hyperlink w:anchor="_Toc194050049" w:history="1">
            <w:r w:rsidRPr="007E5591">
              <w:rPr>
                <w:rStyle w:val="Hyperlink"/>
                <w:rFonts w:ascii="Calibri" w:hAnsi="Calibri" w:cs="Calibri"/>
                <w:noProof/>
              </w:rPr>
              <w:t>4.3 Impact on Teaching Practice</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_Toc194050049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17</w:t>
            </w:r>
            <w:r w:rsidRPr="007E5591">
              <w:rPr>
                <w:rFonts w:ascii="Calibri" w:hAnsi="Calibri" w:cs="Calibri"/>
                <w:noProof/>
                <w:webHidden/>
              </w:rPr>
              <w:fldChar w:fldCharType="end"/>
            </w:r>
          </w:hyperlink>
        </w:p>
        <w:p w14:paraId="3CD414BD" w14:textId="35F03716" w:rsidR="002239B3" w:rsidRPr="007E5591" w:rsidRDefault="002239B3">
          <w:pPr>
            <w:pStyle w:val="TOC2"/>
            <w:tabs>
              <w:tab w:val="right" w:leader="dot" w:pos="9016"/>
            </w:tabs>
            <w:rPr>
              <w:rFonts w:ascii="Calibri" w:hAnsi="Calibri" w:cs="Calibri"/>
              <w:noProof/>
            </w:rPr>
          </w:pPr>
          <w:hyperlink w:anchor="_Toc194050050" w:history="1">
            <w:r w:rsidRPr="007E5591">
              <w:rPr>
                <w:rStyle w:val="Hyperlink"/>
                <w:rFonts w:ascii="Calibri" w:hAnsi="Calibri" w:cs="Calibri"/>
                <w:noProof/>
              </w:rPr>
              <w:t>4.4 Implications for Universities and Employers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_Toc194050050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18</w:t>
            </w:r>
            <w:r w:rsidRPr="007E5591">
              <w:rPr>
                <w:rFonts w:ascii="Calibri" w:hAnsi="Calibri" w:cs="Calibri"/>
                <w:noProof/>
                <w:webHidden/>
              </w:rPr>
              <w:fldChar w:fldCharType="end"/>
            </w:r>
          </w:hyperlink>
        </w:p>
        <w:p w14:paraId="2F2C75AC" w14:textId="4E6AB875" w:rsidR="002239B3" w:rsidRPr="007E5591" w:rsidRDefault="002239B3">
          <w:pPr>
            <w:pStyle w:val="TOC1"/>
            <w:rPr>
              <w:rFonts w:ascii="Calibri" w:hAnsi="Calibri" w:cs="Calibri"/>
              <w:noProof/>
            </w:rPr>
          </w:pPr>
          <w:hyperlink w:anchor="_Toc194050051" w:history="1">
            <w:r w:rsidRPr="007E5591">
              <w:rPr>
                <w:rStyle w:val="Hyperlink"/>
                <w:rFonts w:ascii="Calibri" w:hAnsi="Calibri" w:cs="Calibri"/>
                <w:noProof/>
              </w:rPr>
              <w:t>5.</w:t>
            </w:r>
            <w:r w:rsidR="00BA277B" w:rsidRPr="007E5591">
              <w:rPr>
                <w:rStyle w:val="Hyperlink"/>
                <w:rFonts w:ascii="Calibri" w:hAnsi="Calibri" w:cs="Calibri"/>
                <w:noProof/>
              </w:rPr>
              <w:t xml:space="preserve"> </w:t>
            </w:r>
            <w:r w:rsidRPr="007E5591">
              <w:rPr>
                <w:rStyle w:val="Hyperlink"/>
                <w:rFonts w:ascii="Calibri" w:hAnsi="Calibri" w:cs="Calibri"/>
                <w:noProof/>
              </w:rPr>
              <w:t>Conclusions and Recommendations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_Toc194050051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57AB073F" w14:textId="3C2BDA5E" w:rsidR="002239B3" w:rsidRPr="007E5591" w:rsidRDefault="002239B3">
          <w:pPr>
            <w:pStyle w:val="TOC2"/>
            <w:tabs>
              <w:tab w:val="right" w:leader="dot" w:pos="9016"/>
            </w:tabs>
            <w:rPr>
              <w:rFonts w:ascii="Calibri" w:hAnsi="Calibri" w:cs="Calibri"/>
              <w:noProof/>
            </w:rPr>
          </w:pPr>
          <w:hyperlink w:anchor="_Toc194050052" w:history="1">
            <w:r w:rsidRPr="007E5591">
              <w:rPr>
                <w:rStyle w:val="Hyperlink"/>
                <w:rFonts w:ascii="Calibri" w:hAnsi="Calibri" w:cs="Calibri"/>
                <w:noProof/>
              </w:rPr>
              <w:t>5.1 Summary of Key Findings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_Toc194050052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5741EBD4" w14:textId="79E213A9" w:rsidR="002239B3" w:rsidRPr="007E5591" w:rsidRDefault="002239B3">
          <w:pPr>
            <w:pStyle w:val="TOC2"/>
            <w:tabs>
              <w:tab w:val="right" w:leader="dot" w:pos="9016"/>
            </w:tabs>
            <w:rPr>
              <w:rFonts w:ascii="Calibri" w:hAnsi="Calibri" w:cs="Calibri"/>
              <w:noProof/>
            </w:rPr>
          </w:pPr>
          <w:hyperlink w:anchor="_Toc194050053" w:history="1">
            <w:r w:rsidRPr="007E5591">
              <w:rPr>
                <w:rStyle w:val="Hyperlink"/>
                <w:rFonts w:ascii="Calibri" w:hAnsi="Calibri" w:cs="Calibri"/>
                <w:noProof/>
              </w:rPr>
              <w:t>5.2 Practical Recommendations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_Toc194050053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19</w:t>
            </w:r>
            <w:r w:rsidRPr="007E5591">
              <w:rPr>
                <w:rFonts w:ascii="Calibri" w:hAnsi="Calibri" w:cs="Calibri"/>
                <w:noProof/>
                <w:webHidden/>
              </w:rPr>
              <w:fldChar w:fldCharType="end"/>
            </w:r>
          </w:hyperlink>
        </w:p>
        <w:p w14:paraId="17010C18" w14:textId="2F65246D" w:rsidR="002239B3" w:rsidRPr="007E5591" w:rsidRDefault="002239B3">
          <w:pPr>
            <w:pStyle w:val="TOC2"/>
            <w:tabs>
              <w:tab w:val="right" w:leader="dot" w:pos="9016"/>
            </w:tabs>
            <w:rPr>
              <w:rFonts w:ascii="Calibri" w:hAnsi="Calibri" w:cs="Calibri"/>
              <w:noProof/>
            </w:rPr>
          </w:pPr>
          <w:hyperlink w:anchor="_Toc194050054" w:history="1">
            <w:r w:rsidRPr="007E5591">
              <w:rPr>
                <w:rStyle w:val="Hyperlink"/>
                <w:rFonts w:ascii="Calibri" w:hAnsi="Calibri" w:cs="Calibri"/>
                <w:noProof/>
              </w:rPr>
              <w:t>5.3 Future Research Directions</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_Toc194050054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20</w:t>
            </w:r>
            <w:r w:rsidRPr="007E5591">
              <w:rPr>
                <w:rFonts w:ascii="Calibri" w:hAnsi="Calibri" w:cs="Calibri"/>
                <w:noProof/>
                <w:webHidden/>
              </w:rPr>
              <w:fldChar w:fldCharType="end"/>
            </w:r>
          </w:hyperlink>
        </w:p>
        <w:p w14:paraId="1E39B3A9" w14:textId="55D29F8E" w:rsidR="002239B3" w:rsidRPr="007E5591" w:rsidRDefault="002239B3">
          <w:pPr>
            <w:pStyle w:val="TOC1"/>
            <w:rPr>
              <w:rFonts w:ascii="Calibri" w:hAnsi="Calibri" w:cs="Calibri"/>
              <w:noProof/>
            </w:rPr>
          </w:pPr>
          <w:hyperlink w:anchor="_Toc194050055" w:history="1">
            <w:r w:rsidRPr="007E5591">
              <w:rPr>
                <w:rStyle w:val="Hyperlink"/>
                <w:rFonts w:ascii="Calibri" w:hAnsi="Calibri" w:cs="Calibri"/>
                <w:noProof/>
              </w:rPr>
              <w:t>Reference List</w:t>
            </w:r>
            <w:r w:rsidRPr="007E5591">
              <w:rPr>
                <w:rFonts w:ascii="Calibri" w:hAnsi="Calibri" w:cs="Calibri"/>
                <w:noProof/>
                <w:webHidden/>
              </w:rPr>
              <w:tab/>
            </w:r>
            <w:r w:rsidRPr="007E5591">
              <w:rPr>
                <w:rFonts w:ascii="Calibri" w:hAnsi="Calibri" w:cs="Calibri"/>
                <w:noProof/>
                <w:webHidden/>
              </w:rPr>
              <w:fldChar w:fldCharType="begin"/>
            </w:r>
            <w:r w:rsidRPr="007E5591">
              <w:rPr>
                <w:rFonts w:ascii="Calibri" w:hAnsi="Calibri" w:cs="Calibri"/>
                <w:noProof/>
                <w:webHidden/>
              </w:rPr>
              <w:instrText xml:space="preserve"> PAGEREF _Toc194050055 \h </w:instrText>
            </w:r>
            <w:r w:rsidRPr="007E5591">
              <w:rPr>
                <w:rFonts w:ascii="Calibri" w:hAnsi="Calibri" w:cs="Calibri"/>
                <w:noProof/>
                <w:webHidden/>
              </w:rPr>
            </w:r>
            <w:r w:rsidRPr="007E5591">
              <w:rPr>
                <w:rFonts w:ascii="Calibri" w:hAnsi="Calibri" w:cs="Calibri"/>
                <w:noProof/>
                <w:webHidden/>
              </w:rPr>
              <w:fldChar w:fldCharType="separate"/>
            </w:r>
            <w:r w:rsidRPr="007E5591">
              <w:rPr>
                <w:rFonts w:ascii="Calibri" w:hAnsi="Calibri" w:cs="Calibri"/>
                <w:noProof/>
                <w:webHidden/>
              </w:rPr>
              <w:t>21</w:t>
            </w:r>
            <w:r w:rsidRPr="007E5591">
              <w:rPr>
                <w:rFonts w:ascii="Calibri" w:hAnsi="Calibri" w:cs="Calibri"/>
                <w:noProof/>
                <w:webHidden/>
              </w:rPr>
              <w:fldChar w:fldCharType="end"/>
            </w:r>
          </w:hyperlink>
        </w:p>
        <w:p w14:paraId="375D0A19" w14:textId="26AE240D" w:rsidR="00AC7ECA" w:rsidRDefault="00AC7ECA" w:rsidP="0093120E">
          <w:r w:rsidRPr="007E5591">
            <w:rPr>
              <w:rFonts w:ascii="Calibri" w:hAnsi="Calibri" w:cs="Calibri"/>
              <w:b/>
              <w:bCs/>
              <w:noProof/>
            </w:rPr>
            <w:fldChar w:fldCharType="end"/>
          </w:r>
        </w:p>
      </w:sdtContent>
    </w:sdt>
    <w:p w14:paraId="1C6EEB01" w14:textId="77777777" w:rsidR="00AC7ECA" w:rsidRPr="00AC7ECA" w:rsidRDefault="00AC7ECA" w:rsidP="00AC7ECA">
      <w:pPr>
        <w:sectPr w:rsidR="00AC7ECA" w:rsidRPr="00AC7ECA">
          <w:pgSz w:w="11906" w:h="16838"/>
          <w:pgMar w:top="1440" w:right="1440" w:bottom="1440" w:left="1440" w:header="708" w:footer="708" w:gutter="0"/>
          <w:cols w:space="708"/>
          <w:docGrid w:linePitch="360"/>
        </w:sectPr>
      </w:pPr>
    </w:p>
    <w:p w14:paraId="1ACB5602" w14:textId="7B765449" w:rsidR="007522C5" w:rsidRPr="00AC7ECA" w:rsidRDefault="007522C5" w:rsidP="00AC7ECA">
      <w:pPr>
        <w:pStyle w:val="Heading1"/>
        <w:numPr>
          <w:ilvl w:val="0"/>
          <w:numId w:val="13"/>
        </w:numPr>
      </w:pPr>
      <w:bookmarkStart w:id="0" w:name="_Toc194050028"/>
      <w:r w:rsidRPr="00AC7ECA">
        <w:rPr>
          <w:rStyle w:val="Heading1Char"/>
        </w:rPr>
        <w:lastRenderedPageBreak/>
        <w:t xml:space="preserve">Introduction </w:t>
      </w:r>
      <w:r w:rsidR="00B148AE" w:rsidRPr="00AC7ECA">
        <w:rPr>
          <w:rStyle w:val="Heading1Char"/>
        </w:rPr>
        <w:t>and</w:t>
      </w:r>
      <w:r w:rsidRPr="00AC7ECA">
        <w:rPr>
          <w:rStyle w:val="Heading1Char"/>
        </w:rPr>
        <w:t xml:space="preserve"> Justification of Study Area</w:t>
      </w:r>
      <w:bookmarkEnd w:id="0"/>
    </w:p>
    <w:p w14:paraId="79E14AB8" w14:textId="20535785" w:rsidR="00B93F1C" w:rsidRPr="007005AB" w:rsidRDefault="00B93F1C" w:rsidP="007005AB">
      <w:pPr>
        <w:spacing w:line="360" w:lineRule="auto"/>
        <w:jc w:val="both"/>
        <w:rPr>
          <w:rFonts w:ascii="Calibri" w:hAnsi="Calibri" w:cs="Calibri"/>
        </w:rPr>
      </w:pPr>
      <w:r w:rsidRPr="007005AB">
        <w:rPr>
          <w:rFonts w:ascii="Calibri" w:hAnsi="Calibri" w:cs="Calibri"/>
        </w:rPr>
        <w:t>Work-Based Learning (WBL) has become a crucial element of higher education, particularly in enhancing the employability of students by integrating academic learning with practical experience. This is especially relevant for non-traditional students</w:t>
      </w:r>
      <w:r w:rsidR="00191239" w:rsidRPr="007005AB">
        <w:rPr>
          <w:rFonts w:ascii="Calibri" w:hAnsi="Calibri" w:cs="Calibri"/>
        </w:rPr>
        <w:t xml:space="preserve">, </w:t>
      </w:r>
      <w:r w:rsidRPr="007005AB">
        <w:rPr>
          <w:rFonts w:ascii="Calibri" w:hAnsi="Calibri" w:cs="Calibri"/>
        </w:rPr>
        <w:t>those who enter higher education through unconventional routes, including mature learners, students with caring responsibilities, and those from underrepresented backgrounds. Unlike traditional students, this group often faces unique barriers, such as balancing education with work and family commitments, making employability-focused learning opportunities even more vital.</w:t>
      </w:r>
    </w:p>
    <w:p w14:paraId="52FC7B6A" w14:textId="2BB47789" w:rsidR="00B93F1C" w:rsidRPr="007005AB" w:rsidRDefault="00B93F1C" w:rsidP="007005AB">
      <w:pPr>
        <w:spacing w:line="360" w:lineRule="auto"/>
        <w:jc w:val="both"/>
        <w:rPr>
          <w:rFonts w:ascii="Calibri" w:hAnsi="Calibri" w:cs="Calibri"/>
        </w:rPr>
      </w:pPr>
      <w:r w:rsidRPr="007005AB">
        <w:rPr>
          <w:rFonts w:ascii="Calibri" w:hAnsi="Calibri" w:cs="Calibri"/>
        </w:rPr>
        <w:t xml:space="preserve">The aim of this </w:t>
      </w:r>
      <w:r w:rsidR="008C1637" w:rsidRPr="007005AB">
        <w:rPr>
          <w:rFonts w:ascii="Calibri" w:hAnsi="Calibri" w:cs="Calibri"/>
        </w:rPr>
        <w:t xml:space="preserve">action </w:t>
      </w:r>
      <w:r w:rsidRPr="007005AB">
        <w:rPr>
          <w:rFonts w:ascii="Calibri" w:hAnsi="Calibri" w:cs="Calibri"/>
        </w:rPr>
        <w:t>research</w:t>
      </w:r>
      <w:r w:rsidR="008C1637" w:rsidRPr="007005AB">
        <w:rPr>
          <w:rFonts w:ascii="Calibri" w:hAnsi="Calibri" w:cs="Calibri"/>
        </w:rPr>
        <w:t xml:space="preserve"> project</w:t>
      </w:r>
      <w:r w:rsidRPr="007005AB">
        <w:rPr>
          <w:rFonts w:ascii="Calibri" w:hAnsi="Calibri" w:cs="Calibri"/>
        </w:rPr>
        <w:t xml:space="preserve"> is to investigate the role of Work-Based Learning </w:t>
      </w:r>
      <w:r w:rsidR="00671A8B">
        <w:rPr>
          <w:rFonts w:ascii="Calibri" w:hAnsi="Calibri" w:cs="Calibri"/>
        </w:rPr>
        <w:t>(</w:t>
      </w:r>
      <w:r w:rsidRPr="007005AB">
        <w:rPr>
          <w:rFonts w:ascii="Calibri" w:hAnsi="Calibri" w:cs="Calibri"/>
        </w:rPr>
        <w:t>WBL) in enhancing the employability of non-traditional students in post-compulsory education. The study will examine how employer-university collaborations shape WBL opportunities, how industry professionals influence curriculum development, and what key factors contribute to improved employment outcomes for non-traditional learners.</w:t>
      </w:r>
    </w:p>
    <w:p w14:paraId="3B17740A" w14:textId="77777777" w:rsidR="00B93F1C" w:rsidRPr="007005AB" w:rsidRDefault="00B93F1C" w:rsidP="007005AB">
      <w:pPr>
        <w:spacing w:line="360" w:lineRule="auto"/>
        <w:jc w:val="both"/>
        <w:rPr>
          <w:rFonts w:ascii="Calibri" w:hAnsi="Calibri" w:cs="Calibri"/>
        </w:rPr>
      </w:pPr>
      <w:r w:rsidRPr="007005AB">
        <w:rPr>
          <w:rFonts w:ascii="Calibri" w:hAnsi="Calibri" w:cs="Calibri"/>
        </w:rPr>
        <w:t>To achieve this, the research will address the following questions:</w:t>
      </w:r>
    </w:p>
    <w:p w14:paraId="0DCB7801"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How does Work-Based Learning (WBL) contribute to the employability of non-traditional students in post-16 education?</w:t>
      </w:r>
    </w:p>
    <w:p w14:paraId="51C78612"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What challenges and opportunities do non-traditional students experience in accessing and benefiting from WBL opportunities?</w:t>
      </w:r>
    </w:p>
    <w:p w14:paraId="6E6F33DB" w14:textId="77777777" w:rsidR="00B93F1C" w:rsidRPr="007005AB" w:rsidRDefault="00B93F1C" w:rsidP="007005AB">
      <w:pPr>
        <w:numPr>
          <w:ilvl w:val="0"/>
          <w:numId w:val="10"/>
        </w:numPr>
        <w:spacing w:line="360" w:lineRule="auto"/>
        <w:jc w:val="both"/>
        <w:rPr>
          <w:rFonts w:ascii="Calibri" w:hAnsi="Calibri" w:cs="Calibri"/>
        </w:rPr>
      </w:pPr>
      <w:r w:rsidRPr="007005AB">
        <w:rPr>
          <w:rFonts w:ascii="Calibri" w:hAnsi="Calibri" w:cs="Calibri"/>
        </w:rPr>
        <w:t>How do employer-university collaborations shape the effectiveness of WBL in preparing non-traditional students for the workforce?</w:t>
      </w:r>
    </w:p>
    <w:p w14:paraId="3B255829" w14:textId="7D582D79" w:rsidR="00B93F1C" w:rsidRPr="007005AB" w:rsidRDefault="00B93F1C" w:rsidP="007005AB">
      <w:pPr>
        <w:spacing w:line="360" w:lineRule="auto"/>
        <w:jc w:val="both"/>
        <w:rPr>
          <w:rFonts w:ascii="Calibri" w:hAnsi="Calibri" w:cs="Calibri"/>
        </w:rPr>
      </w:pPr>
      <w:r w:rsidRPr="007005AB">
        <w:rPr>
          <w:rFonts w:ascii="Calibri" w:hAnsi="Calibri" w:cs="Calibri"/>
        </w:rPr>
        <w:t>The growing emphasis on degree apprenticeships and work-integrated learning in the UK highlights the increasing recognition of WBL as a strategy to bridge the gap between education and employment (</w:t>
      </w:r>
      <w:r w:rsidR="00396670" w:rsidRPr="007005AB">
        <w:rPr>
          <w:rFonts w:ascii="Calibri" w:hAnsi="Calibri" w:cs="Calibri"/>
        </w:rPr>
        <w:t>Wall et al</w:t>
      </w:r>
      <w:r w:rsidRPr="007005AB">
        <w:rPr>
          <w:rFonts w:ascii="Calibri" w:hAnsi="Calibri" w:cs="Calibri"/>
        </w:rPr>
        <w:t>, 20</w:t>
      </w:r>
      <w:r w:rsidR="00396670" w:rsidRPr="007005AB">
        <w:rPr>
          <w:rFonts w:ascii="Calibri" w:hAnsi="Calibri" w:cs="Calibri"/>
        </w:rPr>
        <w:t>21</w:t>
      </w:r>
      <w:r w:rsidRPr="007005AB">
        <w:rPr>
          <w:rFonts w:ascii="Calibri" w:hAnsi="Calibri" w:cs="Calibri"/>
        </w:rPr>
        <w:t>). However, while existing literature extensively explores WBL’s impact on employability, less attention has been given to its specific benefits and challenges for non-traditional students.</w:t>
      </w:r>
    </w:p>
    <w:p w14:paraId="22B403A0" w14:textId="77777777" w:rsidR="00B93F1C" w:rsidRPr="007005AB" w:rsidRDefault="00B93F1C" w:rsidP="007005AB">
      <w:pPr>
        <w:spacing w:line="360" w:lineRule="auto"/>
        <w:jc w:val="both"/>
        <w:rPr>
          <w:rFonts w:ascii="Calibri" w:hAnsi="Calibri" w:cs="Calibri"/>
        </w:rPr>
      </w:pPr>
      <w:r w:rsidRPr="007005AB">
        <w:rPr>
          <w:rFonts w:ascii="Calibri" w:hAnsi="Calibri" w:cs="Calibri"/>
        </w:rPr>
        <w:t xml:space="preserve">By examining the relationship between WBL and future employment outcomes, this study aims to identify key factors that contribute to better graduate employability and offer practical recommendations for universities to structure WBL opportunities more inclusively. The </w:t>
      </w:r>
      <w:r w:rsidRPr="007005AB">
        <w:rPr>
          <w:rFonts w:ascii="Calibri" w:hAnsi="Calibri" w:cs="Calibri"/>
        </w:rPr>
        <w:lastRenderedPageBreak/>
        <w:t>research will also explore how industry professionals influence curriculum development to ensure relevance to the job market.</w:t>
      </w:r>
    </w:p>
    <w:p w14:paraId="6984372C" w14:textId="5B6B98FE" w:rsidR="007005AB" w:rsidRDefault="00B93F1C" w:rsidP="007005AB">
      <w:pPr>
        <w:spacing w:line="360" w:lineRule="auto"/>
        <w:jc w:val="both"/>
        <w:rPr>
          <w:rFonts w:ascii="Calibri" w:hAnsi="Calibri" w:cs="Calibri"/>
        </w:rPr>
      </w:pPr>
      <w:r w:rsidRPr="007005AB">
        <w:rPr>
          <w:rFonts w:ascii="Calibri" w:hAnsi="Calibri" w:cs="Calibri"/>
        </w:rPr>
        <w:t xml:space="preserve">The study is particularly relevant to </w:t>
      </w:r>
      <w:r w:rsidR="00EC2725" w:rsidRPr="007005AB">
        <w:rPr>
          <w:rFonts w:ascii="Calibri" w:hAnsi="Calibri" w:cs="Calibri"/>
        </w:rPr>
        <w:t>the researcher</w:t>
      </w:r>
      <w:r w:rsidR="00663D12">
        <w:rPr>
          <w:rFonts w:ascii="Calibri" w:hAnsi="Calibri" w:cs="Calibri"/>
        </w:rPr>
        <w:t>’s</w:t>
      </w:r>
      <w:r w:rsidRPr="007005AB">
        <w:rPr>
          <w:rFonts w:ascii="Calibri" w:hAnsi="Calibri" w:cs="Calibri"/>
        </w:rPr>
        <w:t xml:space="preserve"> own professional teaching experience, as </w:t>
      </w:r>
      <w:r w:rsidR="00EC2725" w:rsidRPr="007005AB">
        <w:rPr>
          <w:rFonts w:ascii="Calibri" w:hAnsi="Calibri" w:cs="Calibri"/>
        </w:rPr>
        <w:t>they</w:t>
      </w:r>
      <w:r w:rsidRPr="007005AB">
        <w:rPr>
          <w:rFonts w:ascii="Calibri" w:hAnsi="Calibri" w:cs="Calibri"/>
        </w:rPr>
        <w:t xml:space="preserve"> have observed the challenges non-traditional students face in accessing flexible and career-oriented learning pathways. The findings will provide insights into how universities can better design WBL programs to support the diverse needs of post-16 learners, making higher education more accessible and impactful.</w:t>
      </w:r>
    </w:p>
    <w:p w14:paraId="3ECAC109" w14:textId="04A83483" w:rsidR="00573187" w:rsidRDefault="00573187" w:rsidP="007005AB">
      <w:pPr>
        <w:pStyle w:val="Heading1"/>
        <w:sectPr w:rsidR="00573187">
          <w:pgSz w:w="11906" w:h="16838"/>
          <w:pgMar w:top="1440" w:right="1440" w:bottom="1440" w:left="1440" w:header="708" w:footer="708" w:gutter="0"/>
          <w:cols w:space="708"/>
          <w:docGrid w:linePitch="360"/>
        </w:sectPr>
      </w:pPr>
    </w:p>
    <w:p w14:paraId="428FE8E6" w14:textId="3F28CBAC" w:rsidR="001E7770" w:rsidRPr="007005AB" w:rsidRDefault="0065162E" w:rsidP="005F19B7">
      <w:pPr>
        <w:pStyle w:val="Heading1"/>
      </w:pPr>
      <w:r w:rsidRPr="007005AB">
        <w:lastRenderedPageBreak/>
        <w:t xml:space="preserve"> </w:t>
      </w:r>
      <w:bookmarkStart w:id="1" w:name="_Toc194050029"/>
      <w:r w:rsidR="00573187">
        <w:t>2.</w:t>
      </w:r>
      <w:r w:rsidR="005F19B7">
        <w:t xml:space="preserve"> </w:t>
      </w:r>
      <w:r w:rsidR="007522C5" w:rsidRPr="007005AB">
        <w:t>Literature Review</w:t>
      </w:r>
      <w:bookmarkEnd w:id="1"/>
      <w:r w:rsidR="007522C5" w:rsidRPr="007005AB">
        <w:t xml:space="preserve"> </w:t>
      </w:r>
    </w:p>
    <w:p w14:paraId="38094C3C" w14:textId="77777777" w:rsidR="001E7770" w:rsidRPr="007005AB" w:rsidRDefault="001E7770" w:rsidP="007005AB">
      <w:pPr>
        <w:pStyle w:val="Heading2"/>
        <w:spacing w:line="360" w:lineRule="auto"/>
        <w:jc w:val="both"/>
        <w:rPr>
          <w:rFonts w:ascii="Calibri" w:hAnsi="Calibri" w:cs="Calibri"/>
        </w:rPr>
      </w:pPr>
      <w:bookmarkStart w:id="2" w:name="_Toc194050030"/>
      <w:r w:rsidRPr="007005AB">
        <w:rPr>
          <w:rFonts w:ascii="Calibri" w:hAnsi="Calibri" w:cs="Calibri"/>
        </w:rPr>
        <w:t>2.1 Overview of Work-Based Learning (WBL)</w:t>
      </w:r>
      <w:bookmarkEnd w:id="2"/>
    </w:p>
    <w:p w14:paraId="2F522AC2" w14:textId="27800038" w:rsidR="005C6275" w:rsidRPr="005C6275" w:rsidRDefault="005C6275" w:rsidP="007005AB">
      <w:pPr>
        <w:spacing w:line="360" w:lineRule="auto"/>
        <w:jc w:val="both"/>
        <w:rPr>
          <w:rFonts w:ascii="Calibri" w:hAnsi="Calibri" w:cs="Calibri"/>
        </w:rPr>
      </w:pPr>
      <w:r w:rsidRPr="005C6275">
        <w:rPr>
          <w:rFonts w:ascii="Calibri" w:hAnsi="Calibri" w:cs="Calibri"/>
        </w:rPr>
        <w:t xml:space="preserve">Work-Based Learning (WBL) is a pedagogical approach that integrates structured work experience with academic learning, aiming to enhance students' employability by bridging the gap between theoretical knowledge and practical skills </w:t>
      </w:r>
      <w:r w:rsidR="00BF4159" w:rsidRPr="007005AB">
        <w:rPr>
          <w:rFonts w:ascii="Calibri" w:hAnsi="Calibri" w:cs="Calibri"/>
        </w:rPr>
        <w:t>(</w:t>
      </w:r>
      <w:r w:rsidR="00BF4159" w:rsidRPr="007005AB">
        <w:rPr>
          <w:rFonts w:ascii="Calibri" w:eastAsia="Times New Roman" w:hAnsi="Calibri" w:cs="Calibri"/>
          <w:kern w:val="0"/>
          <w14:ligatures w14:val="none"/>
        </w:rPr>
        <w:t>Morley, 2021</w:t>
      </w:r>
      <w:r w:rsidRPr="005C6275">
        <w:rPr>
          <w:rFonts w:ascii="Calibri" w:hAnsi="Calibri" w:cs="Calibri"/>
        </w:rPr>
        <w:t xml:space="preserve">). It includes placements, apprenticeships, internships, and industry projects, all of which provide learners with real-world exposure to their chosen careers </w:t>
      </w:r>
      <w:r w:rsidR="00396670" w:rsidRPr="007005AB">
        <w:rPr>
          <w:rFonts w:ascii="Calibri" w:hAnsi="Calibri" w:cs="Calibri"/>
        </w:rPr>
        <w:t>(Wall et al, 2021).</w:t>
      </w:r>
    </w:p>
    <w:p w14:paraId="7E3F3235" w14:textId="1E7BAB77" w:rsidR="005C6275" w:rsidRPr="005C6275" w:rsidRDefault="003E0A2E" w:rsidP="007005AB">
      <w:pPr>
        <w:spacing w:line="360" w:lineRule="auto"/>
        <w:jc w:val="both"/>
        <w:rPr>
          <w:rFonts w:ascii="Calibri" w:hAnsi="Calibri" w:cs="Calibri"/>
        </w:rPr>
      </w:pPr>
      <w:r w:rsidRPr="007005AB">
        <w:rPr>
          <w:rFonts w:ascii="Calibri" w:hAnsi="Calibri" w:cs="Calibri"/>
        </w:rPr>
        <w:t xml:space="preserve">As </w:t>
      </w:r>
      <w:r w:rsidR="009337E8" w:rsidRPr="007005AB">
        <w:rPr>
          <w:rFonts w:ascii="Calibri" w:hAnsi="Calibri" w:cs="Calibri"/>
        </w:rPr>
        <w:t>highlighted</w:t>
      </w:r>
      <w:r w:rsidRPr="007005AB">
        <w:rPr>
          <w:rFonts w:ascii="Calibri" w:hAnsi="Calibri" w:cs="Calibri"/>
        </w:rPr>
        <w:t xml:space="preserve"> in the</w:t>
      </w:r>
      <w:r w:rsidR="00A37A1C" w:rsidRPr="007005AB">
        <w:rPr>
          <w:rFonts w:ascii="Calibri" w:hAnsi="Calibri" w:cs="Calibri"/>
        </w:rPr>
        <w:t xml:space="preserve"> 2023/2024</w:t>
      </w:r>
      <w:r w:rsidRPr="007005AB">
        <w:rPr>
          <w:rFonts w:ascii="Calibri" w:hAnsi="Calibri" w:cs="Calibri"/>
        </w:rPr>
        <w:t xml:space="preserve"> report from National Audit Office</w:t>
      </w:r>
      <w:r w:rsidR="00755DAC" w:rsidRPr="007005AB">
        <w:rPr>
          <w:rFonts w:ascii="Calibri" w:hAnsi="Calibri" w:cs="Calibri"/>
        </w:rPr>
        <w:t xml:space="preserve"> (NAO)</w:t>
      </w:r>
      <w:r w:rsidR="009337E8" w:rsidRPr="007005AB">
        <w:rPr>
          <w:rFonts w:ascii="Calibri" w:hAnsi="Calibri" w:cs="Calibri"/>
        </w:rPr>
        <w:t xml:space="preserve"> for the Department for Education (DfE),</w:t>
      </w:r>
      <w:r w:rsidRPr="007005AB">
        <w:rPr>
          <w:rFonts w:ascii="Calibri" w:hAnsi="Calibri" w:cs="Calibri"/>
        </w:rPr>
        <w:t xml:space="preserve"> </w:t>
      </w:r>
      <w:r w:rsidR="005C6275" w:rsidRPr="005C6275">
        <w:rPr>
          <w:rFonts w:ascii="Calibri" w:hAnsi="Calibri" w:cs="Calibri"/>
        </w:rPr>
        <w:t xml:space="preserve">WBL has been widely recognised as a key component of higher education policy in the UK, particularly in light of employer demands for graduates with practical experience </w:t>
      </w:r>
      <w:r w:rsidR="00AE755B" w:rsidRPr="007005AB">
        <w:rPr>
          <w:rFonts w:ascii="Calibri" w:hAnsi="Calibri" w:cs="Calibri"/>
        </w:rPr>
        <w:t>(N</w:t>
      </w:r>
      <w:r w:rsidR="00A37A1C" w:rsidRPr="007005AB">
        <w:rPr>
          <w:rFonts w:ascii="Calibri" w:hAnsi="Calibri" w:cs="Calibri"/>
        </w:rPr>
        <w:t>AO</w:t>
      </w:r>
      <w:r w:rsidR="00AE755B" w:rsidRPr="007005AB">
        <w:rPr>
          <w:rFonts w:ascii="Calibri" w:hAnsi="Calibri" w:cs="Calibri"/>
        </w:rPr>
        <w:t>, 2024)</w:t>
      </w:r>
      <w:r w:rsidR="005C6275" w:rsidRPr="005C6275">
        <w:rPr>
          <w:rFonts w:ascii="Calibri" w:hAnsi="Calibri" w:cs="Calibri"/>
        </w:rPr>
        <w:t>. The Higher Education Statistics Agency (HESA) has reported that graduates who engaged in WBL programmes tend to have higher employment rates than those who followed purely academic routes (HESA, 202</w:t>
      </w:r>
      <w:r w:rsidR="00FC629A" w:rsidRPr="007005AB">
        <w:rPr>
          <w:rFonts w:ascii="Calibri" w:hAnsi="Calibri" w:cs="Calibri"/>
        </w:rPr>
        <w:t>4</w:t>
      </w:r>
      <w:r w:rsidR="005C6275" w:rsidRPr="005C6275">
        <w:rPr>
          <w:rFonts w:ascii="Calibri" w:hAnsi="Calibri" w:cs="Calibri"/>
        </w:rPr>
        <w:t xml:space="preserve">). The </w:t>
      </w:r>
      <w:r w:rsidR="00F37C35" w:rsidRPr="007005AB">
        <w:rPr>
          <w:rFonts w:ascii="Calibri" w:hAnsi="Calibri" w:cs="Calibri"/>
        </w:rPr>
        <w:t xml:space="preserve">2024 </w:t>
      </w:r>
      <w:r w:rsidR="005C6275" w:rsidRPr="005C6275">
        <w:rPr>
          <w:rFonts w:ascii="Calibri" w:hAnsi="Calibri" w:cs="Calibri"/>
        </w:rPr>
        <w:t>National Student Survey (NSS) also indicates that students who participate in WBL report higher satisfaction with their course outcomes compared to those who do not (Office for Students, 202</w:t>
      </w:r>
      <w:r w:rsidR="00F37C35" w:rsidRPr="007005AB">
        <w:rPr>
          <w:rFonts w:ascii="Calibri" w:hAnsi="Calibri" w:cs="Calibri"/>
        </w:rPr>
        <w:t>4</w:t>
      </w:r>
      <w:r w:rsidR="005C6275" w:rsidRPr="005C6275">
        <w:rPr>
          <w:rFonts w:ascii="Calibri" w:hAnsi="Calibri" w:cs="Calibri"/>
        </w:rPr>
        <w:t>).</w:t>
      </w:r>
    </w:p>
    <w:p w14:paraId="5976245F" w14:textId="110B36A4" w:rsidR="005C6275" w:rsidRPr="005C6275" w:rsidRDefault="005C6275" w:rsidP="007005AB">
      <w:pPr>
        <w:spacing w:line="360" w:lineRule="auto"/>
        <w:jc w:val="both"/>
        <w:rPr>
          <w:rFonts w:ascii="Calibri" w:hAnsi="Calibri" w:cs="Calibri"/>
        </w:rPr>
      </w:pPr>
      <w:r w:rsidRPr="005C6275">
        <w:rPr>
          <w:rFonts w:ascii="Calibri" w:hAnsi="Calibri" w:cs="Calibri"/>
        </w:rPr>
        <w:t xml:space="preserve">Recognising the importance of WBL in improving workforce readiness, Wales has recently introduced new approval criteria for post-16 Hospitality and Catering qualifications to ensure a coherent and industry-relevant qualification landscape for Further Education (FE) colleges and </w:t>
      </w:r>
      <w:r w:rsidR="00663D12">
        <w:rPr>
          <w:rFonts w:ascii="Calibri" w:hAnsi="Calibri" w:cs="Calibri"/>
        </w:rPr>
        <w:t>WBL</w:t>
      </w:r>
      <w:r w:rsidRPr="005C6275">
        <w:rPr>
          <w:rFonts w:ascii="Calibri" w:hAnsi="Calibri" w:cs="Calibri"/>
        </w:rPr>
        <w:t xml:space="preserve"> providers (Qualifications Wales, 202</w:t>
      </w:r>
      <w:r w:rsidR="001A3C53" w:rsidRPr="007005AB">
        <w:rPr>
          <w:rFonts w:ascii="Calibri" w:hAnsi="Calibri" w:cs="Calibri"/>
        </w:rPr>
        <w:t>5</w:t>
      </w:r>
      <w:r w:rsidRPr="005C6275">
        <w:rPr>
          <w:rFonts w:ascii="Calibri" w:hAnsi="Calibri" w:cs="Calibri"/>
        </w:rPr>
        <w:t xml:space="preserve">). These new qualifications, set for implementation in September 2026, will offer FE colleges a choice between pathways that focus on developing foundational skills for workforce entry or achieving full occupational competence. Additionally, a full suite of occupational competence qualifications will be available for </w:t>
      </w:r>
      <w:r w:rsidR="00663D12">
        <w:rPr>
          <w:rFonts w:ascii="Calibri" w:hAnsi="Calibri" w:cs="Calibri"/>
        </w:rPr>
        <w:t>WBL</w:t>
      </w:r>
      <w:r w:rsidRPr="005C6275">
        <w:rPr>
          <w:rFonts w:ascii="Calibri" w:hAnsi="Calibri" w:cs="Calibri"/>
        </w:rPr>
        <w:t>, aligning with revised apprenticeship frameworks to ensure better synergy between industry needs and training provision (Qualifications Wales, 202</w:t>
      </w:r>
      <w:r w:rsidR="001A3C53" w:rsidRPr="007005AB">
        <w:rPr>
          <w:rFonts w:ascii="Calibri" w:hAnsi="Calibri" w:cs="Calibri"/>
        </w:rPr>
        <w:t>5</w:t>
      </w:r>
      <w:r w:rsidRPr="005C6275">
        <w:rPr>
          <w:rFonts w:ascii="Calibri" w:hAnsi="Calibri" w:cs="Calibri"/>
        </w:rPr>
        <w:t>).</w:t>
      </w:r>
    </w:p>
    <w:p w14:paraId="245E39F0" w14:textId="77777777" w:rsidR="005C6275" w:rsidRPr="005C6275" w:rsidRDefault="005C6275" w:rsidP="007005AB">
      <w:pPr>
        <w:spacing w:line="360" w:lineRule="auto"/>
        <w:jc w:val="both"/>
        <w:rPr>
          <w:rFonts w:ascii="Calibri" w:hAnsi="Calibri" w:cs="Calibri"/>
        </w:rPr>
      </w:pPr>
      <w:r w:rsidRPr="005C6275">
        <w:rPr>
          <w:rFonts w:ascii="Calibri" w:hAnsi="Calibri" w:cs="Calibri"/>
        </w:rPr>
        <w:t xml:space="preserve">However, while these reforms aim to strengthen WBL, they appear to primarily target traditional students, particularly those progressing directly from secondary education into Further Education or apprenticeships. There is no specific mention of provisions for non-traditional learners, such as mature students, individuals with caring responsibilities, or those balancing education with employment. This lack of explicit consideration raises concerns </w:t>
      </w:r>
      <w:r w:rsidRPr="005C6275">
        <w:rPr>
          <w:rFonts w:ascii="Calibri" w:hAnsi="Calibri" w:cs="Calibri"/>
        </w:rPr>
        <w:lastRenderedPageBreak/>
        <w:t>about the inclusivity of WBL initiatives and whether current policies effectively address the flexibility and support structures needed by non-traditional students.</w:t>
      </w:r>
    </w:p>
    <w:p w14:paraId="66DA79DE" w14:textId="5BFA6DBD" w:rsidR="005C6275" w:rsidRDefault="005C6275" w:rsidP="007005AB">
      <w:pPr>
        <w:spacing w:line="360" w:lineRule="auto"/>
        <w:jc w:val="both"/>
        <w:rPr>
          <w:rFonts w:ascii="Calibri" w:hAnsi="Calibri" w:cs="Calibri"/>
        </w:rPr>
      </w:pPr>
      <w:r w:rsidRPr="005C6275">
        <w:rPr>
          <w:rFonts w:ascii="Calibri" w:hAnsi="Calibri" w:cs="Calibri"/>
        </w:rPr>
        <w:t xml:space="preserve">Despite the benefits of WBL, challenges remain. Research by </w:t>
      </w:r>
      <w:r w:rsidR="00DB0379" w:rsidRPr="007005AB">
        <w:rPr>
          <w:rFonts w:ascii="Calibri" w:hAnsi="Calibri" w:cs="Calibri"/>
        </w:rPr>
        <w:t xml:space="preserve">Viona and </w:t>
      </w:r>
      <w:proofErr w:type="spellStart"/>
      <w:r w:rsidR="00DB0379" w:rsidRPr="007005AB">
        <w:rPr>
          <w:rFonts w:ascii="Calibri" w:hAnsi="Calibri" w:cs="Calibri"/>
        </w:rPr>
        <w:t>Afrianti</w:t>
      </w:r>
      <w:proofErr w:type="spellEnd"/>
      <w:r w:rsidR="00DB0379" w:rsidRPr="007005AB">
        <w:rPr>
          <w:rFonts w:ascii="Calibri" w:hAnsi="Calibri" w:cs="Calibri"/>
        </w:rPr>
        <w:t xml:space="preserve"> (2024) </w:t>
      </w:r>
      <w:r w:rsidRPr="005C6275">
        <w:rPr>
          <w:rFonts w:ascii="Calibri" w:hAnsi="Calibri" w:cs="Calibri"/>
        </w:rPr>
        <w:t>highlights concerns around the quality of learning in workplace settings, where students may not always receive structured guidance. Additionally, issues such as workplace exploitation, limited availability of placements, and varying employer engagement levels can impact the effectiveness of WBL</w:t>
      </w:r>
      <w:r w:rsidR="0089755D" w:rsidRPr="007005AB">
        <w:rPr>
          <w:rFonts w:ascii="Calibri" w:hAnsi="Calibri" w:cs="Calibri"/>
        </w:rPr>
        <w:t xml:space="preserve"> </w:t>
      </w:r>
      <w:r w:rsidRPr="005C6275">
        <w:rPr>
          <w:rFonts w:ascii="Calibri" w:hAnsi="Calibri" w:cs="Calibri"/>
        </w:rPr>
        <w:t>(</w:t>
      </w:r>
      <w:r w:rsidR="0089755D" w:rsidRPr="007005AB">
        <w:rPr>
          <w:rFonts w:ascii="Calibri" w:hAnsi="Calibri" w:cs="Calibri"/>
        </w:rPr>
        <w:t>Jackson, 2024)</w:t>
      </w:r>
      <w:r w:rsidRPr="005C6275">
        <w:rPr>
          <w:rFonts w:ascii="Calibri" w:hAnsi="Calibri" w:cs="Calibri"/>
        </w:rPr>
        <w:t>. Without targeted strategies for supporting non-traditional students, the expansion of WBL in Wales may risk reinforcing existing barriers to participation rather than creating accessible pathways for all learners.</w:t>
      </w:r>
    </w:p>
    <w:p w14:paraId="42C9D605" w14:textId="77777777" w:rsidR="003D4A12" w:rsidRPr="001E7770" w:rsidRDefault="003D4A12" w:rsidP="007005AB">
      <w:pPr>
        <w:spacing w:line="360" w:lineRule="auto"/>
        <w:jc w:val="both"/>
        <w:rPr>
          <w:rFonts w:ascii="Calibri" w:hAnsi="Calibri" w:cs="Calibri"/>
        </w:rPr>
      </w:pPr>
    </w:p>
    <w:p w14:paraId="1F40C3E8" w14:textId="77777777" w:rsidR="001E7770" w:rsidRPr="007005AB" w:rsidRDefault="001E7770" w:rsidP="007005AB">
      <w:pPr>
        <w:pStyle w:val="Heading2"/>
        <w:spacing w:line="360" w:lineRule="auto"/>
        <w:jc w:val="both"/>
        <w:rPr>
          <w:rFonts w:ascii="Calibri" w:hAnsi="Calibri" w:cs="Calibri"/>
        </w:rPr>
      </w:pPr>
      <w:bookmarkStart w:id="3" w:name="_Toc194050031"/>
      <w:r w:rsidRPr="007005AB">
        <w:rPr>
          <w:rFonts w:ascii="Calibri" w:hAnsi="Calibri" w:cs="Calibri"/>
        </w:rPr>
        <w:t>2.2 Non-Traditional Students in Higher Education</w:t>
      </w:r>
      <w:bookmarkEnd w:id="3"/>
    </w:p>
    <w:p w14:paraId="12A85701" w14:textId="7673DDC5" w:rsidR="001E7770" w:rsidRPr="007005AB" w:rsidRDefault="001E7770" w:rsidP="007005AB">
      <w:pPr>
        <w:pStyle w:val="Heading3"/>
        <w:spacing w:line="360" w:lineRule="auto"/>
        <w:jc w:val="both"/>
        <w:rPr>
          <w:rFonts w:ascii="Calibri" w:hAnsi="Calibri" w:cs="Calibri"/>
        </w:rPr>
      </w:pPr>
      <w:bookmarkStart w:id="4" w:name="_Toc194050032"/>
      <w:r w:rsidRPr="007005AB">
        <w:rPr>
          <w:rFonts w:ascii="Calibri" w:hAnsi="Calibri" w:cs="Calibri"/>
        </w:rPr>
        <w:t xml:space="preserve">Defining </w:t>
      </w:r>
      <w:r w:rsidR="002C710E" w:rsidRPr="007005AB">
        <w:rPr>
          <w:rFonts w:ascii="Calibri" w:hAnsi="Calibri" w:cs="Calibri"/>
        </w:rPr>
        <w:t xml:space="preserve">Traditional and </w:t>
      </w:r>
      <w:r w:rsidRPr="007005AB">
        <w:rPr>
          <w:rFonts w:ascii="Calibri" w:hAnsi="Calibri" w:cs="Calibri"/>
        </w:rPr>
        <w:t>Non-Traditional Students</w:t>
      </w:r>
      <w:bookmarkEnd w:id="4"/>
    </w:p>
    <w:p w14:paraId="0DF05520" w14:textId="4D802676" w:rsidR="00C13493" w:rsidRPr="00C13493" w:rsidRDefault="00C13493" w:rsidP="007005AB">
      <w:pPr>
        <w:spacing w:line="360" w:lineRule="auto"/>
        <w:jc w:val="both"/>
        <w:rPr>
          <w:rFonts w:ascii="Calibri" w:hAnsi="Calibri" w:cs="Calibri"/>
        </w:rPr>
      </w:pPr>
      <w:r w:rsidRPr="00C13493">
        <w:rPr>
          <w:rFonts w:ascii="Calibri" w:hAnsi="Calibri" w:cs="Calibri"/>
        </w:rPr>
        <w:t>Traditional students are those who follow a linear and conventional pathway into higher education, typically entering university immediately or shortly after completing secondary education, usually between the ages of 18 and 21</w:t>
      </w:r>
      <w:r w:rsidR="00AC6D85" w:rsidRPr="007005AB">
        <w:rPr>
          <w:rFonts w:ascii="Calibri" w:hAnsi="Calibri" w:cs="Calibri"/>
        </w:rPr>
        <w:t xml:space="preserve">. </w:t>
      </w:r>
      <w:r w:rsidRPr="00C13493">
        <w:rPr>
          <w:rFonts w:ascii="Calibri" w:hAnsi="Calibri" w:cs="Calibri"/>
        </w:rPr>
        <w:t xml:space="preserve">They are more likely to be full-time students, financially dependent on parents, and without significant professional or caregiving responsibilities outside of their studies </w:t>
      </w:r>
      <w:r w:rsidR="00AC6D85" w:rsidRPr="007005AB">
        <w:rPr>
          <w:rFonts w:ascii="Calibri" w:hAnsi="Calibri" w:cs="Calibri"/>
        </w:rPr>
        <w:t>(</w:t>
      </w:r>
      <w:r w:rsidR="00AC6D85" w:rsidRPr="007005AB">
        <w:rPr>
          <w:rFonts w:ascii="Calibri" w:eastAsia="Times New Roman" w:hAnsi="Calibri" w:cs="Calibri"/>
          <w:kern w:val="0"/>
          <w14:ligatures w14:val="none"/>
        </w:rPr>
        <w:t>Carreira and Lopes, 2019).</w:t>
      </w:r>
    </w:p>
    <w:p w14:paraId="57FE6E56" w14:textId="2918C7FB" w:rsidR="00C13493" w:rsidRPr="00C13493" w:rsidRDefault="00C13493" w:rsidP="007005AB">
      <w:pPr>
        <w:spacing w:line="360" w:lineRule="auto"/>
        <w:jc w:val="both"/>
        <w:rPr>
          <w:rFonts w:ascii="Calibri" w:hAnsi="Calibri" w:cs="Calibri"/>
        </w:rPr>
      </w:pPr>
      <w:r w:rsidRPr="00C13493">
        <w:rPr>
          <w:rFonts w:ascii="Calibri" w:hAnsi="Calibri" w:cs="Calibri"/>
        </w:rPr>
        <w:t>They progress directly from school to university without significant gaps in formal education</w:t>
      </w:r>
      <w:r w:rsidR="00190DC7" w:rsidRPr="007005AB">
        <w:rPr>
          <w:rFonts w:ascii="Calibri" w:hAnsi="Calibri" w:cs="Calibri"/>
        </w:rPr>
        <w:t xml:space="preserve">. </w:t>
      </w:r>
      <w:r w:rsidRPr="00C13493">
        <w:rPr>
          <w:rFonts w:ascii="Calibri" w:hAnsi="Calibri" w:cs="Calibri"/>
        </w:rPr>
        <w:t xml:space="preserve">Most engage in full-time study, without the necessity of balancing extensive work or caregiving duties </w:t>
      </w:r>
      <w:r w:rsidR="00190DC7" w:rsidRPr="007005AB">
        <w:rPr>
          <w:rFonts w:ascii="Calibri" w:hAnsi="Calibri" w:cs="Calibri"/>
        </w:rPr>
        <w:t>(</w:t>
      </w:r>
      <w:r w:rsidR="00190DC7" w:rsidRPr="007005AB">
        <w:rPr>
          <w:rFonts w:ascii="Calibri" w:eastAsia="Times New Roman" w:hAnsi="Calibri" w:cs="Calibri"/>
          <w:kern w:val="0"/>
          <w14:ligatures w14:val="none"/>
        </w:rPr>
        <w:t xml:space="preserve">Merrill, 2018). </w:t>
      </w:r>
      <w:r w:rsidRPr="00C13493">
        <w:rPr>
          <w:rFonts w:ascii="Calibri" w:hAnsi="Calibri" w:cs="Calibri"/>
        </w:rPr>
        <w:t>Traditional students often rely on parental financial support or student loans rather than full-time employment (</w:t>
      </w:r>
      <w:r w:rsidR="008D29D0" w:rsidRPr="007005AB">
        <w:rPr>
          <w:rFonts w:ascii="Calibri" w:eastAsia="Times New Roman" w:hAnsi="Calibri" w:cs="Calibri"/>
          <w:kern w:val="0"/>
          <w14:ligatures w14:val="none"/>
        </w:rPr>
        <w:t xml:space="preserve">Belzer and </w:t>
      </w:r>
      <w:proofErr w:type="spellStart"/>
      <w:r w:rsidR="008D29D0" w:rsidRPr="007005AB">
        <w:rPr>
          <w:rFonts w:ascii="Calibri" w:eastAsia="Times New Roman" w:hAnsi="Calibri" w:cs="Calibri"/>
          <w:kern w:val="0"/>
          <w14:ligatures w14:val="none"/>
        </w:rPr>
        <w:t>Dashew</w:t>
      </w:r>
      <w:proofErr w:type="spellEnd"/>
      <w:r w:rsidR="008D29D0" w:rsidRPr="007005AB">
        <w:rPr>
          <w:rFonts w:ascii="Calibri" w:eastAsia="Times New Roman" w:hAnsi="Calibri" w:cs="Calibri"/>
          <w:kern w:val="0"/>
          <w14:ligatures w14:val="none"/>
        </w:rPr>
        <w:t>, 2023)</w:t>
      </w:r>
      <w:r w:rsidR="000D0200" w:rsidRPr="007005AB">
        <w:rPr>
          <w:rFonts w:ascii="Calibri" w:eastAsia="Times New Roman" w:hAnsi="Calibri" w:cs="Calibri"/>
          <w:kern w:val="0"/>
          <w14:ligatures w14:val="none"/>
        </w:rPr>
        <w:t xml:space="preserve">. </w:t>
      </w:r>
      <w:r w:rsidRPr="00C13493">
        <w:rPr>
          <w:rFonts w:ascii="Calibri" w:hAnsi="Calibri" w:cs="Calibri"/>
        </w:rPr>
        <w:t xml:space="preserve">They are also more involved in campus-based activities, such as student societies, internships, and extracurricular programmes (Arum and </w:t>
      </w:r>
      <w:proofErr w:type="spellStart"/>
      <w:r w:rsidRPr="00C13493">
        <w:rPr>
          <w:rFonts w:ascii="Calibri" w:hAnsi="Calibri" w:cs="Calibri"/>
        </w:rPr>
        <w:t>Roksa</w:t>
      </w:r>
      <w:proofErr w:type="spellEnd"/>
      <w:r w:rsidRPr="00C13493">
        <w:rPr>
          <w:rFonts w:ascii="Calibri" w:hAnsi="Calibri" w:cs="Calibri"/>
        </w:rPr>
        <w:t>, 2011). Since they are early in their career trajectory, traditional students often enter university with little or no professional work experience, making them more reliant on academic qualifications for future employment (Wilton, 2012).</w:t>
      </w:r>
    </w:p>
    <w:p w14:paraId="5F1E6BEC" w14:textId="52B7DD46" w:rsidR="001E7770" w:rsidRPr="001E7770" w:rsidRDefault="001E7770" w:rsidP="007005AB">
      <w:pPr>
        <w:spacing w:line="360" w:lineRule="auto"/>
        <w:jc w:val="both"/>
        <w:rPr>
          <w:rFonts w:ascii="Calibri" w:hAnsi="Calibri" w:cs="Calibri"/>
        </w:rPr>
      </w:pPr>
      <w:r w:rsidRPr="001E7770">
        <w:rPr>
          <w:rFonts w:ascii="Calibri" w:hAnsi="Calibri" w:cs="Calibri"/>
        </w:rPr>
        <w:t xml:space="preserve">Non-traditional students are those who do not follow the conventional trajectory of higher education, often entering university later in life, studying part-time, or managing additional responsibilities such as work and family care </w:t>
      </w:r>
      <w:r w:rsidR="00AC6D85" w:rsidRPr="007005AB">
        <w:rPr>
          <w:rFonts w:ascii="Calibri" w:hAnsi="Calibri" w:cs="Calibri"/>
        </w:rPr>
        <w:t>(</w:t>
      </w:r>
      <w:r w:rsidR="00AC6D85" w:rsidRPr="007005AB">
        <w:rPr>
          <w:rFonts w:ascii="Calibri" w:eastAsia="Times New Roman" w:hAnsi="Calibri" w:cs="Calibri"/>
          <w:kern w:val="0"/>
          <w14:ligatures w14:val="none"/>
        </w:rPr>
        <w:t xml:space="preserve">Carreira and Lopes, 2019). </w:t>
      </w:r>
      <w:r w:rsidRPr="001E7770">
        <w:rPr>
          <w:rFonts w:ascii="Calibri" w:hAnsi="Calibri" w:cs="Calibri"/>
        </w:rPr>
        <w:t xml:space="preserve">This group includes </w:t>
      </w:r>
      <w:r w:rsidRPr="001E7770">
        <w:rPr>
          <w:rFonts w:ascii="Calibri" w:hAnsi="Calibri" w:cs="Calibri"/>
        </w:rPr>
        <w:lastRenderedPageBreak/>
        <w:t xml:space="preserve">mature students, individuals from lower socio-economic backgrounds, disabled students, and those with caring responsibilities </w:t>
      </w:r>
      <w:r w:rsidR="00190DC7" w:rsidRPr="007005AB">
        <w:rPr>
          <w:rFonts w:ascii="Calibri" w:hAnsi="Calibri" w:cs="Calibri"/>
        </w:rPr>
        <w:t>(</w:t>
      </w:r>
      <w:r w:rsidR="00190DC7" w:rsidRPr="007005AB">
        <w:rPr>
          <w:rFonts w:ascii="Calibri" w:eastAsia="Times New Roman" w:hAnsi="Calibri" w:cs="Calibri"/>
          <w:kern w:val="0"/>
          <w14:ligatures w14:val="none"/>
        </w:rPr>
        <w:t>Merrill, 2018) </w:t>
      </w:r>
    </w:p>
    <w:p w14:paraId="1DAECBB2" w14:textId="197000E2" w:rsidR="001E7770" w:rsidRPr="001E7770" w:rsidRDefault="001E7770" w:rsidP="007005AB">
      <w:pPr>
        <w:spacing w:line="360" w:lineRule="auto"/>
        <w:jc w:val="both"/>
        <w:rPr>
          <w:rFonts w:ascii="Calibri" w:hAnsi="Calibri" w:cs="Calibri"/>
        </w:rPr>
      </w:pPr>
      <w:r w:rsidRPr="001E7770">
        <w:rPr>
          <w:rFonts w:ascii="Calibri" w:hAnsi="Calibri" w:cs="Calibri"/>
        </w:rPr>
        <w:t>Research suggests that non-traditional students encounter significant barriers to participation in higher education, including financial constraints</w:t>
      </w:r>
      <w:r w:rsidR="00C12B59" w:rsidRPr="007005AB">
        <w:rPr>
          <w:rFonts w:ascii="Calibri" w:hAnsi="Calibri" w:cs="Calibri"/>
        </w:rPr>
        <w:t>,</w:t>
      </w:r>
      <w:r w:rsidR="008D29D0" w:rsidRPr="007005AB">
        <w:rPr>
          <w:rFonts w:ascii="Calibri" w:eastAsia="Times New Roman" w:hAnsi="Calibri" w:cs="Calibri"/>
          <w:kern w:val="0"/>
          <w14:ligatures w14:val="none"/>
        </w:rPr>
        <w:t> </w:t>
      </w:r>
      <w:r w:rsidRPr="001E7770">
        <w:rPr>
          <w:rFonts w:ascii="Calibri" w:hAnsi="Calibri" w:cs="Calibri"/>
        </w:rPr>
        <w:t xml:space="preserve">limited time availability due to work or family responsibilities, a lack of academic confidence due to previous educational experiences, and difficulties in accessing flexible learning opportunities </w:t>
      </w:r>
      <w:r w:rsidR="00C12B59" w:rsidRPr="00C13493">
        <w:rPr>
          <w:rFonts w:ascii="Calibri" w:hAnsi="Calibri" w:cs="Calibri"/>
        </w:rPr>
        <w:t>(</w:t>
      </w:r>
      <w:r w:rsidR="00C12B59" w:rsidRPr="007005AB">
        <w:rPr>
          <w:rFonts w:ascii="Calibri" w:eastAsia="Times New Roman" w:hAnsi="Calibri" w:cs="Calibri"/>
          <w:kern w:val="0"/>
          <w14:ligatures w14:val="none"/>
        </w:rPr>
        <w:t xml:space="preserve">Belzer and </w:t>
      </w:r>
      <w:proofErr w:type="spellStart"/>
      <w:r w:rsidR="00C12B59" w:rsidRPr="007005AB">
        <w:rPr>
          <w:rFonts w:ascii="Calibri" w:eastAsia="Times New Roman" w:hAnsi="Calibri" w:cs="Calibri"/>
          <w:kern w:val="0"/>
          <w14:ligatures w14:val="none"/>
        </w:rPr>
        <w:t>Dashew</w:t>
      </w:r>
      <w:proofErr w:type="spellEnd"/>
      <w:r w:rsidR="00C12B59" w:rsidRPr="007005AB">
        <w:rPr>
          <w:rFonts w:ascii="Calibri" w:eastAsia="Times New Roman" w:hAnsi="Calibri" w:cs="Calibri"/>
          <w:kern w:val="0"/>
          <w14:ligatures w14:val="none"/>
        </w:rPr>
        <w:t>, 2023).</w:t>
      </w:r>
    </w:p>
    <w:p w14:paraId="55C933AB" w14:textId="77777777" w:rsidR="001E7770" w:rsidRPr="007005AB" w:rsidRDefault="001E7770" w:rsidP="007005AB">
      <w:pPr>
        <w:pStyle w:val="Heading3"/>
        <w:spacing w:line="360" w:lineRule="auto"/>
        <w:jc w:val="both"/>
        <w:rPr>
          <w:rFonts w:ascii="Calibri" w:hAnsi="Calibri" w:cs="Calibri"/>
        </w:rPr>
      </w:pPr>
      <w:bookmarkStart w:id="5" w:name="_Toc194050033"/>
      <w:r w:rsidRPr="007005AB">
        <w:rPr>
          <w:rFonts w:ascii="Calibri" w:hAnsi="Calibri" w:cs="Calibri"/>
        </w:rPr>
        <w:t>WBL as a Solution for Non-Traditional Students</w:t>
      </w:r>
      <w:bookmarkEnd w:id="5"/>
    </w:p>
    <w:p w14:paraId="22D01651" w14:textId="30168592" w:rsidR="001E7770" w:rsidRPr="001E7770" w:rsidRDefault="001E7770" w:rsidP="007005AB">
      <w:pPr>
        <w:spacing w:line="360" w:lineRule="auto"/>
        <w:jc w:val="both"/>
        <w:rPr>
          <w:rFonts w:ascii="Calibri" w:hAnsi="Calibri" w:cs="Calibri"/>
        </w:rPr>
      </w:pPr>
      <w:r w:rsidRPr="001E7770">
        <w:rPr>
          <w:rFonts w:ascii="Calibri" w:hAnsi="Calibri" w:cs="Calibri"/>
        </w:rPr>
        <w:t xml:space="preserve">WBL offers a flexible and career-focused approach that can help non-traditional students overcome these barriers. Unlike traditional lecture-based learning, WBL allows students to gain practical experience while earning a qualification, making higher education more accessible and directly relevant to their career goals </w:t>
      </w:r>
      <w:r w:rsidR="00D77668" w:rsidRPr="007005AB">
        <w:rPr>
          <w:rFonts w:ascii="Calibri" w:hAnsi="Calibri" w:cs="Calibri"/>
        </w:rPr>
        <w:t>(</w:t>
      </w:r>
      <w:r w:rsidR="00D77668" w:rsidRPr="007005AB">
        <w:rPr>
          <w:rFonts w:ascii="Calibri" w:eastAsia="Times New Roman" w:hAnsi="Calibri" w:cs="Calibri"/>
          <w:kern w:val="0"/>
          <w14:ligatures w14:val="none"/>
        </w:rPr>
        <w:t>Hedge and Carter, 2019).</w:t>
      </w:r>
    </w:p>
    <w:p w14:paraId="23F4EA2F" w14:textId="316B20B0" w:rsidR="001E7770" w:rsidRPr="001E7770" w:rsidRDefault="001E7770" w:rsidP="007005AB">
      <w:pPr>
        <w:spacing w:line="360" w:lineRule="auto"/>
        <w:jc w:val="both"/>
        <w:rPr>
          <w:rFonts w:ascii="Calibri" w:hAnsi="Calibri" w:cs="Calibri"/>
        </w:rPr>
      </w:pPr>
      <w:r w:rsidRPr="001E7770">
        <w:rPr>
          <w:rFonts w:ascii="Calibri" w:hAnsi="Calibri" w:cs="Calibri"/>
        </w:rPr>
        <w:t xml:space="preserve">A study by </w:t>
      </w:r>
      <w:r w:rsidR="00E778CE" w:rsidRPr="007005AB">
        <w:rPr>
          <w:rFonts w:ascii="Calibri" w:eastAsia="Times New Roman" w:hAnsi="Calibri" w:cs="Calibri"/>
          <w:kern w:val="0"/>
          <w14:ligatures w14:val="none"/>
        </w:rPr>
        <w:t xml:space="preserve">Morley (2021) </w:t>
      </w:r>
      <w:r w:rsidRPr="001E7770">
        <w:rPr>
          <w:rFonts w:ascii="Calibri" w:hAnsi="Calibri" w:cs="Calibri"/>
        </w:rPr>
        <w:t xml:space="preserve">found that non-traditional students who engaged in WBL reported higher career confidence and job readiness than their counterparts in traditional academic programmes. Additionally, WBL provides a pathway for career changers and those looking to re-enter the workforce, making it a vital tool for lifelong learning </w:t>
      </w:r>
      <w:r w:rsidR="00E778CE" w:rsidRPr="007005AB">
        <w:rPr>
          <w:rFonts w:ascii="Calibri" w:hAnsi="Calibri" w:cs="Calibri"/>
        </w:rPr>
        <w:t>.</w:t>
      </w:r>
    </w:p>
    <w:p w14:paraId="05C8CEDD" w14:textId="6CDC5757" w:rsidR="001E7770" w:rsidRDefault="001E7770" w:rsidP="007005AB">
      <w:pPr>
        <w:spacing w:line="360" w:lineRule="auto"/>
        <w:jc w:val="both"/>
        <w:rPr>
          <w:rFonts w:ascii="Calibri" w:hAnsi="Calibri" w:cs="Calibri"/>
        </w:rPr>
      </w:pPr>
      <w:r w:rsidRPr="001E7770">
        <w:rPr>
          <w:rFonts w:ascii="Calibri" w:hAnsi="Calibri" w:cs="Calibri"/>
        </w:rPr>
        <w:t xml:space="preserve">Despite these benefits, accessibility remains a challenge. Universities often lack sufficient WBL opportunities, and non-traditional students may struggle to secure placements due to age discrimination, lack of employer flexibility, or personal responsibilities </w:t>
      </w:r>
      <w:r w:rsidR="00CF7663" w:rsidRPr="007005AB">
        <w:rPr>
          <w:rFonts w:ascii="Calibri" w:hAnsi="Calibri" w:cs="Calibri"/>
        </w:rPr>
        <w:t>(</w:t>
      </w:r>
      <w:proofErr w:type="spellStart"/>
      <w:r w:rsidR="00CF7663" w:rsidRPr="007005AB">
        <w:rPr>
          <w:rFonts w:ascii="Calibri" w:eastAsia="Times New Roman" w:hAnsi="Calibri" w:cs="Calibri"/>
          <w:kern w:val="0"/>
          <w14:ligatures w14:val="none"/>
        </w:rPr>
        <w:t>Grummell</w:t>
      </w:r>
      <w:proofErr w:type="spellEnd"/>
      <w:r w:rsidR="00CF7663" w:rsidRPr="007005AB">
        <w:rPr>
          <w:rFonts w:ascii="Calibri" w:eastAsia="Times New Roman" w:hAnsi="Calibri" w:cs="Calibri"/>
          <w:kern w:val="0"/>
          <w14:ligatures w14:val="none"/>
        </w:rPr>
        <w:t xml:space="preserve"> and Finnegan, 2020). </w:t>
      </w:r>
      <w:r w:rsidRPr="001E7770">
        <w:rPr>
          <w:rFonts w:ascii="Calibri" w:hAnsi="Calibri" w:cs="Calibri"/>
        </w:rPr>
        <w:t>Addressing these concerns requires stronger university-employer partnerships and the development of flexible WBL models tailored to non-traditional learners.</w:t>
      </w:r>
    </w:p>
    <w:p w14:paraId="053E0D95" w14:textId="77777777" w:rsidR="00573187" w:rsidRPr="001E7770" w:rsidRDefault="00573187" w:rsidP="007005AB">
      <w:pPr>
        <w:spacing w:line="360" w:lineRule="auto"/>
        <w:jc w:val="both"/>
        <w:rPr>
          <w:rFonts w:ascii="Calibri" w:hAnsi="Calibri" w:cs="Calibri"/>
        </w:rPr>
      </w:pPr>
    </w:p>
    <w:p w14:paraId="03B4BA32" w14:textId="77777777" w:rsidR="001E7770" w:rsidRPr="007005AB" w:rsidRDefault="001E7770" w:rsidP="007005AB">
      <w:pPr>
        <w:pStyle w:val="Heading2"/>
        <w:spacing w:line="360" w:lineRule="auto"/>
        <w:jc w:val="both"/>
        <w:rPr>
          <w:rFonts w:ascii="Calibri" w:hAnsi="Calibri" w:cs="Calibri"/>
        </w:rPr>
      </w:pPr>
      <w:bookmarkStart w:id="6" w:name="_Toc194050034"/>
      <w:r w:rsidRPr="007005AB">
        <w:rPr>
          <w:rFonts w:ascii="Calibri" w:hAnsi="Calibri" w:cs="Calibri"/>
        </w:rPr>
        <w:t>2.3 Employability and Graduate Outcomes</w:t>
      </w:r>
      <w:bookmarkEnd w:id="6"/>
    </w:p>
    <w:p w14:paraId="4757D5B3" w14:textId="77777777" w:rsidR="001E7770" w:rsidRPr="007005AB" w:rsidRDefault="001E7770" w:rsidP="007005AB">
      <w:pPr>
        <w:pStyle w:val="Heading3"/>
        <w:spacing w:line="360" w:lineRule="auto"/>
        <w:jc w:val="both"/>
        <w:rPr>
          <w:rFonts w:ascii="Calibri" w:hAnsi="Calibri" w:cs="Calibri"/>
        </w:rPr>
      </w:pPr>
      <w:bookmarkStart w:id="7" w:name="_Toc194050035"/>
      <w:r w:rsidRPr="007005AB">
        <w:rPr>
          <w:rFonts w:ascii="Calibri" w:hAnsi="Calibri" w:cs="Calibri"/>
        </w:rPr>
        <w:t>The Importance of Employability in Higher Education</w:t>
      </w:r>
      <w:bookmarkEnd w:id="7"/>
    </w:p>
    <w:p w14:paraId="3F411B46" w14:textId="27FA320E" w:rsidR="00A54922" w:rsidRPr="00A54922" w:rsidRDefault="00A54922" w:rsidP="007005AB">
      <w:pPr>
        <w:spacing w:line="360" w:lineRule="auto"/>
        <w:jc w:val="both"/>
        <w:rPr>
          <w:rFonts w:ascii="Calibri" w:hAnsi="Calibri" w:cs="Calibri"/>
        </w:rPr>
      </w:pPr>
      <w:r w:rsidRPr="00A54922">
        <w:rPr>
          <w:rFonts w:ascii="Calibri" w:hAnsi="Calibri" w:cs="Calibri"/>
        </w:rPr>
        <w:t>Employability</w:t>
      </w:r>
      <w:r w:rsidR="00AB6082" w:rsidRPr="007005AB">
        <w:rPr>
          <w:rFonts w:ascii="Calibri" w:hAnsi="Calibri" w:cs="Calibri"/>
        </w:rPr>
        <w:t xml:space="preserve">, defined as </w:t>
      </w:r>
      <w:r w:rsidRPr="00A54922">
        <w:rPr>
          <w:rFonts w:ascii="Calibri" w:hAnsi="Calibri" w:cs="Calibri"/>
        </w:rPr>
        <w:t>the ability of graduates to secure meaningful employment and contribute effectively in the workplace</w:t>
      </w:r>
      <w:r w:rsidR="00AB6082" w:rsidRPr="007005AB">
        <w:rPr>
          <w:rFonts w:ascii="Calibri" w:hAnsi="Calibri" w:cs="Calibri"/>
        </w:rPr>
        <w:t xml:space="preserve">, </w:t>
      </w:r>
      <w:r w:rsidRPr="00A54922">
        <w:rPr>
          <w:rFonts w:ascii="Calibri" w:hAnsi="Calibri" w:cs="Calibri"/>
        </w:rPr>
        <w:t>is now a central focus of higher education policy (</w:t>
      </w:r>
      <w:r w:rsidR="0096249F" w:rsidRPr="007005AB">
        <w:rPr>
          <w:rFonts w:ascii="Calibri" w:eastAsia="Times New Roman" w:hAnsi="Calibri" w:cs="Calibri"/>
          <w:kern w:val="0"/>
          <w14:ligatures w14:val="none"/>
        </w:rPr>
        <w:t>Asiri, 2021)</w:t>
      </w:r>
      <w:r w:rsidR="00AF3854">
        <w:rPr>
          <w:rFonts w:ascii="Calibri" w:eastAsia="Times New Roman" w:hAnsi="Calibri" w:cs="Calibri"/>
          <w:kern w:val="0"/>
          <w14:ligatures w14:val="none"/>
        </w:rPr>
        <w:t>.</w:t>
      </w:r>
      <w:r w:rsidR="0096249F" w:rsidRPr="007005AB">
        <w:rPr>
          <w:rFonts w:ascii="Calibri" w:eastAsia="Times New Roman" w:hAnsi="Calibri" w:cs="Calibri"/>
          <w:kern w:val="0"/>
          <w14:ligatures w14:val="none"/>
        </w:rPr>
        <w:t> </w:t>
      </w:r>
      <w:r w:rsidRPr="00A54922">
        <w:rPr>
          <w:rFonts w:ascii="Calibri" w:hAnsi="Calibri" w:cs="Calibri"/>
        </w:rPr>
        <w:t>Institutions are increasingly judged on graduate employment rates, with the Teaching Excellence Framework (TEF) in the UK incorporating employability as a key metric (Office for Students, 2023).</w:t>
      </w:r>
    </w:p>
    <w:p w14:paraId="2267DEFB" w14:textId="5D27C155" w:rsidR="000B6426" w:rsidRPr="007005AB" w:rsidRDefault="000B6426" w:rsidP="007005AB">
      <w:pPr>
        <w:spacing w:line="360" w:lineRule="auto"/>
        <w:jc w:val="both"/>
        <w:rPr>
          <w:rFonts w:ascii="Calibri" w:hAnsi="Calibri" w:cs="Calibri"/>
        </w:rPr>
      </w:pPr>
      <w:r w:rsidRPr="007005AB">
        <w:rPr>
          <w:rFonts w:ascii="Calibri" w:hAnsi="Calibri" w:cs="Calibri"/>
        </w:rPr>
        <w:lastRenderedPageBreak/>
        <w:t>The role of Advance HE is crucial in shaping teaching and learning practices that enhance employability. Their 2030 Strategy highlights the need to develop educational excellence that aligns with employer expectations, ensuring that higher education remains responsive to evolving workforce demands (Advance HE, 202</w:t>
      </w:r>
      <w:r w:rsidR="007C26C7" w:rsidRPr="007005AB">
        <w:rPr>
          <w:rFonts w:ascii="Calibri" w:hAnsi="Calibri" w:cs="Calibri"/>
        </w:rPr>
        <w:t>5</w:t>
      </w:r>
      <w:r w:rsidRPr="007005AB">
        <w:rPr>
          <w:rFonts w:ascii="Calibri" w:hAnsi="Calibri" w:cs="Calibri"/>
        </w:rPr>
        <w:t>). The UK Professional Standards Framework (UK PSF), maintained by Advance HE, promotes work-integrated learning, employer collaboration, and skills-based education as key components of teaching excellence (Advance HE, 202</w:t>
      </w:r>
      <w:r w:rsidR="007C26C7" w:rsidRPr="007005AB">
        <w:rPr>
          <w:rFonts w:ascii="Calibri" w:hAnsi="Calibri" w:cs="Calibri"/>
        </w:rPr>
        <w:t>3</w:t>
      </w:r>
      <w:r w:rsidRPr="007005AB">
        <w:rPr>
          <w:rFonts w:ascii="Calibri" w:hAnsi="Calibri" w:cs="Calibri"/>
        </w:rPr>
        <w:t xml:space="preserve">). These initiatives reinforce the role of Work-Based Learning (WBL) as a strategic approach to improving graduate employability and preparing students for future workforce challenges. </w:t>
      </w:r>
    </w:p>
    <w:p w14:paraId="2C437D03" w14:textId="2EF18863" w:rsidR="00A54922" w:rsidRPr="001E7770" w:rsidRDefault="00A54922" w:rsidP="007005AB">
      <w:pPr>
        <w:spacing w:line="360" w:lineRule="auto"/>
        <w:jc w:val="both"/>
        <w:rPr>
          <w:rFonts w:ascii="Calibri" w:hAnsi="Calibri" w:cs="Calibri"/>
        </w:rPr>
      </w:pPr>
      <w:r w:rsidRPr="00A54922">
        <w:rPr>
          <w:rFonts w:ascii="Calibri" w:hAnsi="Calibri" w:cs="Calibri"/>
        </w:rPr>
        <w:t xml:space="preserve">In Wales, </w:t>
      </w:r>
      <w:proofErr w:type="spellStart"/>
      <w:r w:rsidRPr="00A54922">
        <w:rPr>
          <w:rFonts w:ascii="Calibri" w:hAnsi="Calibri" w:cs="Calibri"/>
        </w:rPr>
        <w:t>Medr’s</w:t>
      </w:r>
      <w:proofErr w:type="spellEnd"/>
      <w:r w:rsidRPr="00A54922">
        <w:rPr>
          <w:rFonts w:ascii="Calibri" w:hAnsi="Calibri" w:cs="Calibri"/>
        </w:rPr>
        <w:t xml:space="preserve"> Strategic Plan (2025-2030) outlines a strong commitment to developing work-integrated pathways that enhance employability. The plan emphasises the need for a flexible and coherent tertiary education system, particularly through the alignment of skills development with labour market demands (</w:t>
      </w:r>
      <w:proofErr w:type="spellStart"/>
      <w:r w:rsidRPr="00A54922">
        <w:rPr>
          <w:rFonts w:ascii="Calibri" w:hAnsi="Calibri" w:cs="Calibri"/>
        </w:rPr>
        <w:t>Medr</w:t>
      </w:r>
      <w:proofErr w:type="spellEnd"/>
      <w:r w:rsidRPr="00A54922">
        <w:rPr>
          <w:rFonts w:ascii="Calibri" w:hAnsi="Calibri" w:cs="Calibri"/>
        </w:rPr>
        <w:t xml:space="preserve">, 2025). </w:t>
      </w:r>
      <w:proofErr w:type="spellStart"/>
      <w:r w:rsidRPr="00A54922">
        <w:rPr>
          <w:rFonts w:ascii="Calibri" w:hAnsi="Calibri" w:cs="Calibri"/>
        </w:rPr>
        <w:t>Medr</w:t>
      </w:r>
      <w:proofErr w:type="spellEnd"/>
      <w:r w:rsidRPr="00A54922">
        <w:rPr>
          <w:rFonts w:ascii="Calibri" w:hAnsi="Calibri" w:cs="Calibri"/>
        </w:rPr>
        <w:t xml:space="preserve"> also supports employer-university partnerships and apprenticeship frameworks, which align with broader UK initiatives to integrate WBL into education policy. However, its primary focus is on traditional pathways, leaving a gap in targeted support for non-traditional students engaging in WBL.</w:t>
      </w:r>
    </w:p>
    <w:p w14:paraId="20D2EC4B" w14:textId="68214D35" w:rsidR="001E7770" w:rsidRPr="007005AB" w:rsidRDefault="001E7770" w:rsidP="007005AB">
      <w:pPr>
        <w:pStyle w:val="Heading3"/>
        <w:spacing w:line="360" w:lineRule="auto"/>
        <w:jc w:val="both"/>
        <w:rPr>
          <w:rFonts w:ascii="Calibri" w:hAnsi="Calibri" w:cs="Calibri"/>
        </w:rPr>
      </w:pPr>
      <w:bookmarkStart w:id="8" w:name="_Toc194050036"/>
      <w:r w:rsidRPr="007005AB">
        <w:rPr>
          <w:rFonts w:ascii="Calibri" w:hAnsi="Calibri" w:cs="Calibri"/>
        </w:rPr>
        <w:t>Impact of WBL on Employability</w:t>
      </w:r>
      <w:r w:rsidR="00EB0648" w:rsidRPr="007005AB">
        <w:rPr>
          <w:rFonts w:ascii="Calibri" w:hAnsi="Calibri" w:cs="Calibri"/>
        </w:rPr>
        <w:t xml:space="preserve"> and Employer Perspectives</w:t>
      </w:r>
      <w:bookmarkEnd w:id="8"/>
    </w:p>
    <w:p w14:paraId="41589A9E" w14:textId="14495505" w:rsidR="00423B1A" w:rsidRPr="00423B1A" w:rsidRDefault="00297C20" w:rsidP="007005AB">
      <w:pPr>
        <w:spacing w:line="360" w:lineRule="auto"/>
        <w:jc w:val="both"/>
        <w:rPr>
          <w:rFonts w:ascii="Calibri" w:hAnsi="Calibri" w:cs="Calibri"/>
        </w:rPr>
      </w:pPr>
      <w:r w:rsidRPr="007005AB">
        <w:rPr>
          <w:rFonts w:ascii="Calibri" w:hAnsi="Calibri" w:cs="Calibri"/>
        </w:rPr>
        <w:t>From an employer’s standpoint, WBL closes the gap between academic knowledge and practical workplace skills. A survey by CBI Economics (2024), commissioned by University Alliance, found that 42% of employers consider vocational experience gained during a degree as a key factor in hiring decisions, while 55% prioritise transferable skills such as communication, and 68% value a graduate’s enthusiasm for the role</w:t>
      </w:r>
      <w:r w:rsidR="00423B1A" w:rsidRPr="00423B1A">
        <w:rPr>
          <w:rFonts w:ascii="Calibri" w:hAnsi="Calibri" w:cs="Calibri"/>
        </w:rPr>
        <w:t xml:space="preserve">. However, some employers remain hesitant to engage in WBL programmes due to costs, administrative burdens, or lack of understanding about the benefits </w:t>
      </w:r>
      <w:r w:rsidR="0032257E" w:rsidRPr="007005AB">
        <w:rPr>
          <w:rFonts w:ascii="Calibri" w:hAnsi="Calibri" w:cs="Calibri"/>
        </w:rPr>
        <w:t>(</w:t>
      </w:r>
      <w:r w:rsidR="00E778CE" w:rsidRPr="007005AB">
        <w:rPr>
          <w:rFonts w:ascii="Calibri" w:eastAsia="Times New Roman" w:hAnsi="Calibri" w:cs="Calibri"/>
          <w:kern w:val="0"/>
          <w14:ligatures w14:val="none"/>
        </w:rPr>
        <w:t>McGurk</w:t>
      </w:r>
      <w:r w:rsidR="0032257E" w:rsidRPr="007005AB">
        <w:rPr>
          <w:rFonts w:ascii="Calibri" w:eastAsia="Times New Roman" w:hAnsi="Calibri" w:cs="Calibri"/>
          <w:kern w:val="0"/>
          <w14:ligatures w14:val="none"/>
        </w:rPr>
        <w:t xml:space="preserve"> </w:t>
      </w:r>
      <w:r w:rsidR="00E778CE" w:rsidRPr="007005AB">
        <w:rPr>
          <w:rFonts w:ascii="Calibri" w:eastAsia="Times New Roman" w:hAnsi="Calibri" w:cs="Calibri"/>
          <w:kern w:val="0"/>
          <w14:ligatures w14:val="none"/>
        </w:rPr>
        <w:t>and Ingold</w:t>
      </w:r>
      <w:r w:rsidR="0032257E" w:rsidRPr="007005AB">
        <w:rPr>
          <w:rFonts w:ascii="Calibri" w:eastAsia="Times New Roman" w:hAnsi="Calibri" w:cs="Calibri"/>
          <w:kern w:val="0"/>
          <w14:ligatures w14:val="none"/>
        </w:rPr>
        <w:t xml:space="preserve">, </w:t>
      </w:r>
      <w:r w:rsidR="00E778CE" w:rsidRPr="007005AB">
        <w:rPr>
          <w:rFonts w:ascii="Calibri" w:eastAsia="Times New Roman" w:hAnsi="Calibri" w:cs="Calibri"/>
          <w:kern w:val="0"/>
          <w14:ligatures w14:val="none"/>
        </w:rPr>
        <w:t>2023) </w:t>
      </w:r>
    </w:p>
    <w:p w14:paraId="7F308945" w14:textId="536F73EC" w:rsidR="00423B1A" w:rsidRPr="007005AB" w:rsidRDefault="00423B1A" w:rsidP="007005AB">
      <w:pPr>
        <w:spacing w:line="360" w:lineRule="auto"/>
        <w:jc w:val="both"/>
        <w:rPr>
          <w:rFonts w:ascii="Calibri" w:hAnsi="Calibri" w:cs="Calibri"/>
        </w:rPr>
      </w:pPr>
      <w:r w:rsidRPr="00423B1A">
        <w:rPr>
          <w:rFonts w:ascii="Calibri" w:hAnsi="Calibri" w:cs="Calibri"/>
        </w:rPr>
        <w:t>For non-traditional students, WBL serves as an equaliser, helping them compete with younger graduates by demonstrating work experience and applied skills</w:t>
      </w:r>
      <w:r w:rsidR="004011CA" w:rsidRPr="007005AB">
        <w:rPr>
          <w:rFonts w:ascii="Calibri" w:hAnsi="Calibri" w:cs="Calibri"/>
        </w:rPr>
        <w:t xml:space="preserve">. </w:t>
      </w:r>
      <w:r w:rsidRPr="00423B1A">
        <w:rPr>
          <w:rFonts w:ascii="Calibri" w:hAnsi="Calibri" w:cs="Calibri"/>
        </w:rPr>
        <w:t xml:space="preserve">However, concerns about unpaid placements, limited employer investment, and lack of structured mentoring continue to affect WBL’s effectiveness </w:t>
      </w:r>
      <w:r w:rsidR="001A166F" w:rsidRPr="007005AB">
        <w:rPr>
          <w:rFonts w:ascii="Calibri" w:hAnsi="Calibri" w:cs="Calibri"/>
        </w:rPr>
        <w:t>(</w:t>
      </w:r>
      <w:r w:rsidR="001A166F" w:rsidRPr="007005AB">
        <w:rPr>
          <w:rFonts w:ascii="Calibri" w:eastAsia="Times New Roman" w:hAnsi="Calibri" w:cs="Calibri"/>
          <w:kern w:val="0"/>
          <w14:ligatures w14:val="none"/>
        </w:rPr>
        <w:t>James Relly and Laczik and 2021)</w:t>
      </w:r>
      <w:r w:rsidR="004011CA" w:rsidRPr="007005AB">
        <w:rPr>
          <w:rFonts w:ascii="Calibri" w:eastAsia="Times New Roman" w:hAnsi="Calibri" w:cs="Calibri"/>
          <w:kern w:val="0"/>
          <w14:ligatures w14:val="none"/>
        </w:rPr>
        <w:t>.</w:t>
      </w:r>
    </w:p>
    <w:p w14:paraId="1B274224" w14:textId="77777777" w:rsidR="00576641" w:rsidRPr="00423B1A" w:rsidRDefault="00576641" w:rsidP="007005AB">
      <w:pPr>
        <w:spacing w:line="360" w:lineRule="auto"/>
        <w:jc w:val="both"/>
        <w:rPr>
          <w:rFonts w:ascii="Calibri" w:hAnsi="Calibri" w:cs="Calibri"/>
        </w:rPr>
      </w:pPr>
      <w:r w:rsidRPr="00423B1A">
        <w:rPr>
          <w:rFonts w:ascii="Calibri" w:hAnsi="Calibri" w:cs="Calibri"/>
        </w:rPr>
        <w:t xml:space="preserve">Several studies confirm that students who engage in WBL are more likely to secure employment post-graduation than those who follow purely academic routes </w:t>
      </w:r>
      <w:r w:rsidRPr="007005AB">
        <w:rPr>
          <w:rFonts w:ascii="Calibri" w:eastAsia="Times New Roman" w:hAnsi="Calibri" w:cs="Calibri"/>
          <w:kern w:val="0"/>
          <w14:ligatures w14:val="none"/>
        </w:rPr>
        <w:t>(QAA, 2018)</w:t>
      </w:r>
      <w:r w:rsidRPr="007005AB">
        <w:rPr>
          <w:rFonts w:ascii="Calibri" w:hAnsi="Calibri" w:cs="Calibri"/>
        </w:rPr>
        <w:t>.</w:t>
      </w:r>
      <w:r w:rsidRPr="00423B1A">
        <w:rPr>
          <w:rFonts w:ascii="Calibri" w:hAnsi="Calibri" w:cs="Calibri"/>
        </w:rPr>
        <w:t xml:space="preserve"> </w:t>
      </w:r>
      <w:r w:rsidRPr="00423B1A">
        <w:rPr>
          <w:rFonts w:ascii="Calibri" w:hAnsi="Calibri" w:cs="Calibri"/>
        </w:rPr>
        <w:lastRenderedPageBreak/>
        <w:t xml:space="preserve">According to a longitudinal study by </w:t>
      </w:r>
      <w:r w:rsidRPr="007005AB">
        <w:rPr>
          <w:rFonts w:ascii="Calibri" w:hAnsi="Calibri" w:cs="Calibri"/>
        </w:rPr>
        <w:t>(</w:t>
      </w:r>
      <w:r w:rsidRPr="007005AB">
        <w:rPr>
          <w:rFonts w:ascii="Calibri" w:eastAsia="Times New Roman" w:hAnsi="Calibri" w:cs="Calibri"/>
          <w:kern w:val="0"/>
          <w14:ligatures w14:val="none"/>
        </w:rPr>
        <w:t>Suyitno</w:t>
      </w:r>
      <w:r w:rsidRPr="007005AB">
        <w:rPr>
          <w:rFonts w:ascii="Calibri" w:hAnsi="Calibri" w:cs="Calibri"/>
        </w:rPr>
        <w:t xml:space="preserve"> et al, 2025) </w:t>
      </w:r>
      <w:r w:rsidRPr="00423B1A">
        <w:rPr>
          <w:rFonts w:ascii="Calibri" w:hAnsi="Calibri" w:cs="Calibri"/>
        </w:rPr>
        <w:t>graduates with WBL experience are not only more likely to be employed but also tend to secure higher salaries and better career progression opportunities.</w:t>
      </w:r>
    </w:p>
    <w:p w14:paraId="46080323" w14:textId="04AC6CE8" w:rsidR="00423B1A" w:rsidRDefault="001176CC" w:rsidP="00FD21C6">
      <w:pPr>
        <w:spacing w:line="360" w:lineRule="auto"/>
        <w:jc w:val="both"/>
        <w:rPr>
          <w:rFonts w:ascii="Calibri" w:hAnsi="Calibri" w:cs="Calibri"/>
        </w:rPr>
      </w:pPr>
      <w:r w:rsidRPr="00423B1A">
        <w:rPr>
          <w:rFonts w:ascii="Calibri" w:hAnsi="Calibri" w:cs="Calibri"/>
        </w:rPr>
        <w:t xml:space="preserve">While </w:t>
      </w:r>
      <w:proofErr w:type="spellStart"/>
      <w:r w:rsidRPr="00423B1A">
        <w:rPr>
          <w:rFonts w:ascii="Calibri" w:hAnsi="Calibri" w:cs="Calibri"/>
        </w:rPr>
        <w:t>Medr’s</w:t>
      </w:r>
      <w:proofErr w:type="spellEnd"/>
      <w:r w:rsidR="004011CA" w:rsidRPr="007005AB">
        <w:rPr>
          <w:rFonts w:ascii="Calibri" w:hAnsi="Calibri" w:cs="Calibri"/>
        </w:rPr>
        <w:t xml:space="preserve"> (2025)</w:t>
      </w:r>
      <w:r w:rsidRPr="00423B1A">
        <w:rPr>
          <w:rFonts w:ascii="Calibri" w:hAnsi="Calibri" w:cs="Calibri"/>
        </w:rPr>
        <w:t xml:space="preserve"> commitment to developing strong employer engagement strategies aligns with UK-wide priorities, there is little mention of how these will be adapted to meet the needs of non-traditional learners, who may require alternative placement structures, industry recognition of prior experience, or more tailored career support services.</w:t>
      </w:r>
      <w:r w:rsidRPr="007005AB">
        <w:rPr>
          <w:rFonts w:ascii="Calibri" w:hAnsi="Calibri" w:cs="Calibri"/>
        </w:rPr>
        <w:t xml:space="preserve"> </w:t>
      </w:r>
      <w:r w:rsidR="00576641" w:rsidRPr="007005AB">
        <w:rPr>
          <w:rFonts w:ascii="Calibri" w:hAnsi="Calibri" w:cs="Calibri"/>
        </w:rPr>
        <w:t>As highlighted in Advance HE’s 2030 Strategy, higher education institutions must adapt to the needs of diverse learners by developing flexible, technology-enabled WBL models that support lifelong learning and career progression (Advance HE, 2025). Without such strategic adaptations, the employability benefits of WBL may remain inaccessible to students who do not fit the traditional education-to-employment pipeline.</w:t>
      </w:r>
    </w:p>
    <w:p w14:paraId="3861BF2D" w14:textId="77777777" w:rsidR="003D4A12" w:rsidRPr="001E7770" w:rsidRDefault="003D4A12" w:rsidP="00FD21C6">
      <w:pPr>
        <w:spacing w:line="360" w:lineRule="auto"/>
        <w:jc w:val="both"/>
        <w:rPr>
          <w:rFonts w:ascii="Calibri" w:hAnsi="Calibri" w:cs="Calibri"/>
        </w:rPr>
      </w:pPr>
    </w:p>
    <w:p w14:paraId="0944A055" w14:textId="77777777" w:rsidR="001E7770" w:rsidRPr="007005AB" w:rsidRDefault="001E7770" w:rsidP="007005AB">
      <w:pPr>
        <w:pStyle w:val="Heading2"/>
        <w:spacing w:line="360" w:lineRule="auto"/>
        <w:jc w:val="both"/>
        <w:rPr>
          <w:rFonts w:ascii="Calibri" w:hAnsi="Calibri" w:cs="Calibri"/>
        </w:rPr>
      </w:pPr>
      <w:bookmarkStart w:id="9" w:name="_Toc194050037"/>
      <w:r w:rsidRPr="007005AB">
        <w:rPr>
          <w:rFonts w:ascii="Calibri" w:hAnsi="Calibri" w:cs="Calibri"/>
        </w:rPr>
        <w:t>2.4 Curriculum Design and Industry Collaboration</w:t>
      </w:r>
      <w:bookmarkEnd w:id="9"/>
    </w:p>
    <w:p w14:paraId="28C783D8" w14:textId="77777777" w:rsidR="001E7770" w:rsidRPr="007005AB" w:rsidRDefault="001E7770" w:rsidP="007005AB">
      <w:pPr>
        <w:pStyle w:val="Heading3"/>
        <w:spacing w:line="360" w:lineRule="auto"/>
        <w:jc w:val="both"/>
        <w:rPr>
          <w:rFonts w:ascii="Calibri" w:hAnsi="Calibri" w:cs="Calibri"/>
        </w:rPr>
      </w:pPr>
      <w:bookmarkStart w:id="10" w:name="_Toc194050038"/>
      <w:r w:rsidRPr="007005AB">
        <w:rPr>
          <w:rFonts w:ascii="Calibri" w:hAnsi="Calibri" w:cs="Calibri"/>
        </w:rPr>
        <w:t>The Role of Employers in Curriculum Development</w:t>
      </w:r>
      <w:bookmarkEnd w:id="10"/>
    </w:p>
    <w:p w14:paraId="4F58338E" w14:textId="28D9D33F" w:rsidR="00811CFD" w:rsidRPr="00811CFD" w:rsidRDefault="00811CFD" w:rsidP="007005AB">
      <w:pPr>
        <w:spacing w:line="360" w:lineRule="auto"/>
        <w:jc w:val="both"/>
        <w:rPr>
          <w:rFonts w:ascii="Calibri" w:hAnsi="Calibri" w:cs="Calibri"/>
        </w:rPr>
      </w:pPr>
      <w:r w:rsidRPr="00811CFD">
        <w:rPr>
          <w:rFonts w:ascii="Calibri" w:hAnsi="Calibri" w:cs="Calibri"/>
        </w:rPr>
        <w:t xml:space="preserve">The integration of employer perspectives into curriculum design is crucial for aligning Work-Based Learning (WBL) with labour market demands, ensuring that graduates develop industry-relevant skills </w:t>
      </w:r>
      <w:r w:rsidR="009310DD" w:rsidRPr="00811CFD">
        <w:rPr>
          <w:rFonts w:ascii="Calibri" w:hAnsi="Calibri" w:cs="Calibri"/>
        </w:rPr>
        <w:t xml:space="preserve">(Boud and Garrick, 2020). </w:t>
      </w:r>
      <w:r w:rsidRPr="00811CFD">
        <w:rPr>
          <w:rFonts w:ascii="Calibri" w:hAnsi="Calibri" w:cs="Calibri"/>
        </w:rPr>
        <w:t xml:space="preserve">Employer collaboration can take various forms, including curriculum co-design, guest lecturing, mentoring, and offering work-integrated assessments that bridge academic learning with real-world applications (Boud and Garrick, 2020). Research suggests that when businesses contribute to curriculum development, graduates are better prepared for workforce entry, with higher employment rates and stronger career progression outcomes (Sung, </w:t>
      </w:r>
      <w:proofErr w:type="spellStart"/>
      <w:r w:rsidRPr="00811CFD">
        <w:rPr>
          <w:rFonts w:ascii="Calibri" w:hAnsi="Calibri" w:cs="Calibri"/>
        </w:rPr>
        <w:t>Sirakaya</w:t>
      </w:r>
      <w:proofErr w:type="spellEnd"/>
      <w:r w:rsidRPr="00811CFD">
        <w:rPr>
          <w:rFonts w:ascii="Calibri" w:hAnsi="Calibri" w:cs="Calibri"/>
        </w:rPr>
        <w:t>-Turk and Sönmez, 2021).</w:t>
      </w:r>
    </w:p>
    <w:p w14:paraId="05BEB40B" w14:textId="0B659D0D" w:rsidR="00811CFD" w:rsidRPr="00811CFD" w:rsidRDefault="00811CFD" w:rsidP="007005AB">
      <w:pPr>
        <w:spacing w:line="360" w:lineRule="auto"/>
        <w:jc w:val="both"/>
        <w:rPr>
          <w:rFonts w:ascii="Calibri" w:hAnsi="Calibri" w:cs="Calibri"/>
        </w:rPr>
      </w:pPr>
      <w:r w:rsidRPr="00811CFD">
        <w:rPr>
          <w:rFonts w:ascii="Calibri" w:hAnsi="Calibri" w:cs="Calibri"/>
        </w:rPr>
        <w:t xml:space="preserve">In the UK, degree apprenticeships and structured industry partnerships have emerged as key mechanisms for embedding employer input into higher education and vocational training </w:t>
      </w:r>
      <w:r w:rsidR="00761704" w:rsidRPr="00811CFD">
        <w:rPr>
          <w:rFonts w:ascii="Calibri" w:hAnsi="Calibri" w:cs="Calibri"/>
        </w:rPr>
        <w:t>(</w:t>
      </w:r>
      <w:proofErr w:type="spellStart"/>
      <w:r w:rsidR="00761704" w:rsidRPr="00811CFD">
        <w:rPr>
          <w:rFonts w:ascii="Calibri" w:hAnsi="Calibri" w:cs="Calibri"/>
        </w:rPr>
        <w:t>Grummell</w:t>
      </w:r>
      <w:proofErr w:type="spellEnd"/>
      <w:r w:rsidR="00761704" w:rsidRPr="00811CFD">
        <w:rPr>
          <w:rFonts w:ascii="Calibri" w:hAnsi="Calibri" w:cs="Calibri"/>
        </w:rPr>
        <w:t xml:space="preserve"> and Finnegan, 2020</w:t>
      </w:r>
      <w:r w:rsidR="00761704" w:rsidRPr="007005AB">
        <w:rPr>
          <w:rFonts w:ascii="Calibri" w:hAnsi="Calibri" w:cs="Calibri"/>
        </w:rPr>
        <w:t xml:space="preserve">). </w:t>
      </w:r>
      <w:r w:rsidRPr="00811CFD">
        <w:rPr>
          <w:rFonts w:ascii="Calibri" w:hAnsi="Calibri" w:cs="Calibri"/>
        </w:rPr>
        <w:t>These models allow businesses to influence programme content, skill assessments, and professional competencies, ensuring that learning outcomes remain relevant to evolving industry expectations</w:t>
      </w:r>
      <w:r w:rsidR="00AF7C38" w:rsidRPr="007005AB">
        <w:rPr>
          <w:rFonts w:ascii="Calibri" w:hAnsi="Calibri" w:cs="Calibri"/>
        </w:rPr>
        <w:t xml:space="preserve">. </w:t>
      </w:r>
      <w:r w:rsidRPr="00811CFD">
        <w:rPr>
          <w:rFonts w:ascii="Calibri" w:hAnsi="Calibri" w:cs="Calibri"/>
        </w:rPr>
        <w:t xml:space="preserve">Internationally, dual education systems, such as those in Germany and Switzerland, provide further evidence of the benefits of </w:t>
      </w:r>
      <w:r w:rsidRPr="00811CFD">
        <w:rPr>
          <w:rFonts w:ascii="Calibri" w:hAnsi="Calibri" w:cs="Calibri"/>
        </w:rPr>
        <w:lastRenderedPageBreak/>
        <w:t>employer-led WBL, where structured partnerships between businesses and educational institutions lead to lower youth unemployment and stronger graduate employability (Deissinger, 201</w:t>
      </w:r>
      <w:r w:rsidR="00564D8C" w:rsidRPr="007005AB">
        <w:rPr>
          <w:rFonts w:ascii="Calibri" w:hAnsi="Calibri" w:cs="Calibri"/>
        </w:rPr>
        <w:t>5</w:t>
      </w:r>
      <w:r w:rsidRPr="00811CFD">
        <w:rPr>
          <w:rFonts w:ascii="Calibri" w:hAnsi="Calibri" w:cs="Calibri"/>
        </w:rPr>
        <w:t>).</w:t>
      </w:r>
    </w:p>
    <w:p w14:paraId="72F57D1E" w14:textId="3C534937" w:rsidR="00423B1A" w:rsidRPr="001E7770" w:rsidRDefault="00811CFD" w:rsidP="007005AB">
      <w:pPr>
        <w:spacing w:line="360" w:lineRule="auto"/>
        <w:jc w:val="both"/>
        <w:rPr>
          <w:rFonts w:ascii="Calibri" w:hAnsi="Calibri" w:cs="Calibri"/>
        </w:rPr>
      </w:pPr>
      <w:r w:rsidRPr="00811CFD">
        <w:rPr>
          <w:rFonts w:ascii="Calibri" w:hAnsi="Calibri" w:cs="Calibri"/>
        </w:rPr>
        <w:t>However, not all WBL initiatives effectively incorporate employer perspectives, and concerns remain about the extent and sustainability of employer involvement. Challenges include time constraints, administrative burdens, and mismatched expectations between industry and academia (</w:t>
      </w:r>
      <w:proofErr w:type="spellStart"/>
      <w:r w:rsidR="00F73CD3" w:rsidRPr="00811CFD">
        <w:rPr>
          <w:rFonts w:ascii="Calibri" w:hAnsi="Calibri" w:cs="Calibri"/>
        </w:rPr>
        <w:t>Grummell</w:t>
      </w:r>
      <w:proofErr w:type="spellEnd"/>
      <w:r w:rsidR="00F73CD3" w:rsidRPr="00811CFD">
        <w:rPr>
          <w:rFonts w:ascii="Calibri" w:hAnsi="Calibri" w:cs="Calibri"/>
        </w:rPr>
        <w:t xml:space="preserve"> and Finnegan, 2020</w:t>
      </w:r>
      <w:r w:rsidRPr="00811CFD">
        <w:rPr>
          <w:rFonts w:ascii="Calibri" w:hAnsi="Calibri" w:cs="Calibri"/>
        </w:rPr>
        <w:t xml:space="preserve">). Employers often prioritise job-specific training, whereas universities aim to develop broader transferable skills, requiring more structured collaboration frameworks to balance these objectives (Archer and Davison, 2008). Additionally, employer partnerships tend to focus on traditional learners, with fewer tailored WBL pathways for non-traditional students who may require part-time placements, remote </w:t>
      </w:r>
      <w:r w:rsidR="00645824">
        <w:rPr>
          <w:rFonts w:ascii="Calibri" w:hAnsi="Calibri" w:cs="Calibri"/>
        </w:rPr>
        <w:t>WBL</w:t>
      </w:r>
      <w:r w:rsidRPr="00811CFD">
        <w:rPr>
          <w:rFonts w:ascii="Calibri" w:hAnsi="Calibri" w:cs="Calibri"/>
        </w:rPr>
        <w:t>, or recognition of prior industry experience (</w:t>
      </w:r>
      <w:proofErr w:type="spellStart"/>
      <w:r w:rsidRPr="00811CFD">
        <w:rPr>
          <w:rFonts w:ascii="Calibri" w:hAnsi="Calibri" w:cs="Calibri"/>
        </w:rPr>
        <w:t>Grummell</w:t>
      </w:r>
      <w:proofErr w:type="spellEnd"/>
      <w:r w:rsidRPr="00811CFD">
        <w:rPr>
          <w:rFonts w:ascii="Calibri" w:hAnsi="Calibri" w:cs="Calibri"/>
        </w:rPr>
        <w:t xml:space="preserve"> and Finnegan, 2020). Expanding flexible WBL models and strengthening industry-university dialogue are therefore critical to ensuring inclusive and impactful work-integrated education (QAA, 2018).</w:t>
      </w:r>
    </w:p>
    <w:p w14:paraId="2312D385" w14:textId="77777777" w:rsidR="001E7770" w:rsidRPr="007005AB" w:rsidRDefault="001E7770" w:rsidP="007005AB">
      <w:pPr>
        <w:pStyle w:val="Heading3"/>
        <w:spacing w:line="360" w:lineRule="auto"/>
        <w:jc w:val="both"/>
        <w:rPr>
          <w:rFonts w:ascii="Calibri" w:hAnsi="Calibri" w:cs="Calibri"/>
        </w:rPr>
      </w:pPr>
      <w:bookmarkStart w:id="11" w:name="_Toc194050039"/>
      <w:r w:rsidRPr="007005AB">
        <w:rPr>
          <w:rFonts w:ascii="Calibri" w:hAnsi="Calibri" w:cs="Calibri"/>
        </w:rPr>
        <w:t>Challenges in Employer-University Collaboration</w:t>
      </w:r>
      <w:bookmarkEnd w:id="11"/>
    </w:p>
    <w:p w14:paraId="13A3F88D" w14:textId="77777777" w:rsidR="002F5A6A" w:rsidRPr="002F5A6A" w:rsidRDefault="002F5A6A" w:rsidP="007005AB">
      <w:pPr>
        <w:spacing w:line="360" w:lineRule="auto"/>
        <w:jc w:val="both"/>
        <w:rPr>
          <w:rFonts w:ascii="Calibri" w:hAnsi="Calibri" w:cs="Calibri"/>
        </w:rPr>
      </w:pPr>
      <w:r w:rsidRPr="002F5A6A">
        <w:rPr>
          <w:rFonts w:ascii="Calibri" w:hAnsi="Calibri" w:cs="Calibri"/>
        </w:rPr>
        <w:t>Despite the advantages of employer engagement, several challenges hinder effective collaboration between academia and industry. Research highlights misaligned expectations, with employers often prioritising job-specific training while universities focus on broader skill development (Wilton, 2012). Additionally, concerns over time constraints, financial costs, and administrative burdens deter some businesses from participating in WBL initiatives (Archer and Davison, 2008).</w:t>
      </w:r>
    </w:p>
    <w:p w14:paraId="7A5F697E" w14:textId="4C2E37A6" w:rsidR="00467562" w:rsidRDefault="002F5A6A" w:rsidP="00FD21C6">
      <w:pPr>
        <w:spacing w:line="360" w:lineRule="auto"/>
        <w:jc w:val="both"/>
        <w:rPr>
          <w:rFonts w:ascii="Calibri" w:hAnsi="Calibri" w:cs="Calibri"/>
        </w:rPr>
      </w:pPr>
      <w:r w:rsidRPr="002F5A6A">
        <w:rPr>
          <w:rFonts w:ascii="Calibri" w:hAnsi="Calibri" w:cs="Calibri"/>
        </w:rPr>
        <w:t xml:space="preserve">Advance HE advocates for structured governance models to facilitate sustainable employer-university partnerships, yet </w:t>
      </w:r>
      <w:proofErr w:type="spellStart"/>
      <w:r w:rsidRPr="002F5A6A">
        <w:rPr>
          <w:rFonts w:ascii="Calibri" w:hAnsi="Calibri" w:cs="Calibri"/>
        </w:rPr>
        <w:t>Medr’s</w:t>
      </w:r>
      <w:proofErr w:type="spellEnd"/>
      <w:r w:rsidRPr="002F5A6A">
        <w:rPr>
          <w:rFonts w:ascii="Calibri" w:hAnsi="Calibri" w:cs="Calibri"/>
        </w:rPr>
        <w:t xml:space="preserve"> policy direction lacks specific provisions to address challenges in employer collaboration (Advance HE, 2025; </w:t>
      </w:r>
      <w:proofErr w:type="spellStart"/>
      <w:r w:rsidRPr="002F5A6A">
        <w:rPr>
          <w:rFonts w:ascii="Calibri" w:hAnsi="Calibri" w:cs="Calibri"/>
        </w:rPr>
        <w:t>Medr</w:t>
      </w:r>
      <w:proofErr w:type="spellEnd"/>
      <w:r w:rsidRPr="002F5A6A">
        <w:rPr>
          <w:rFonts w:ascii="Calibri" w:hAnsi="Calibri" w:cs="Calibri"/>
        </w:rPr>
        <w:t>, 2025). To optimise WBL’s effectiveness, institutions must develop more flexible and scalable engagement models that cater to diverse student needs and industry expectations.</w:t>
      </w:r>
    </w:p>
    <w:p w14:paraId="42BB7A49" w14:textId="77777777" w:rsidR="003D4A12" w:rsidRPr="001E7770" w:rsidRDefault="003D4A12" w:rsidP="00FD21C6">
      <w:pPr>
        <w:spacing w:line="360" w:lineRule="auto"/>
        <w:jc w:val="both"/>
        <w:rPr>
          <w:rFonts w:ascii="Calibri" w:hAnsi="Calibri" w:cs="Calibri"/>
        </w:rPr>
      </w:pPr>
    </w:p>
    <w:p w14:paraId="0557B758" w14:textId="1600CA33" w:rsidR="001E7770" w:rsidRPr="007005AB" w:rsidRDefault="001E7770" w:rsidP="007005AB">
      <w:pPr>
        <w:pStyle w:val="Heading2"/>
        <w:spacing w:line="360" w:lineRule="auto"/>
        <w:jc w:val="both"/>
        <w:rPr>
          <w:rFonts w:ascii="Calibri" w:hAnsi="Calibri" w:cs="Calibri"/>
        </w:rPr>
      </w:pPr>
      <w:bookmarkStart w:id="12" w:name="_Toc194050040"/>
      <w:r w:rsidRPr="007005AB">
        <w:rPr>
          <w:rFonts w:ascii="Calibri" w:hAnsi="Calibri" w:cs="Calibri"/>
        </w:rPr>
        <w:lastRenderedPageBreak/>
        <w:t xml:space="preserve">2.5 </w:t>
      </w:r>
      <w:r w:rsidR="009F2B3C" w:rsidRPr="007005AB">
        <w:rPr>
          <w:rFonts w:ascii="Calibri" w:hAnsi="Calibri" w:cs="Calibri"/>
        </w:rPr>
        <w:t>Conclusion</w:t>
      </w:r>
      <w:bookmarkEnd w:id="12"/>
    </w:p>
    <w:p w14:paraId="10AA5BD7" w14:textId="77777777" w:rsidR="00D63015" w:rsidRPr="00D63015" w:rsidRDefault="00D63015" w:rsidP="007005AB">
      <w:pPr>
        <w:spacing w:line="360" w:lineRule="auto"/>
        <w:jc w:val="both"/>
        <w:rPr>
          <w:rFonts w:ascii="Calibri" w:hAnsi="Calibri" w:cs="Calibri"/>
        </w:rPr>
      </w:pPr>
      <w:r w:rsidRPr="00D63015">
        <w:rPr>
          <w:rFonts w:ascii="Calibri" w:hAnsi="Calibri" w:cs="Calibri"/>
        </w:rPr>
        <w:t>Despite the growing recognition of WBL’s role in enhancing employability, research gaps persist, particularly concerning its long-term impact on non-traditional students. While WBL participation has been linked to improved career outcomes, there is limited empirical evidence on how these benefits translate across different demographics and professional sectors (Suyitno et al., 2025).</w:t>
      </w:r>
    </w:p>
    <w:p w14:paraId="7291F82E" w14:textId="03F9193C" w:rsidR="00D63015" w:rsidRPr="00D63015" w:rsidRDefault="00D63015" w:rsidP="007005AB">
      <w:pPr>
        <w:spacing w:line="360" w:lineRule="auto"/>
        <w:jc w:val="both"/>
        <w:rPr>
          <w:rFonts w:ascii="Calibri" w:hAnsi="Calibri" w:cs="Calibri"/>
        </w:rPr>
      </w:pPr>
      <w:r w:rsidRPr="00D63015">
        <w:rPr>
          <w:rFonts w:ascii="Calibri" w:hAnsi="Calibri" w:cs="Calibri"/>
        </w:rPr>
        <w:t xml:space="preserve">A significant gap in current policy frameworks is the lack of targeted WBL strategies for non-traditional learners. Both Advance HE’s 2030 Strategy and </w:t>
      </w:r>
      <w:proofErr w:type="spellStart"/>
      <w:r w:rsidRPr="00D63015">
        <w:rPr>
          <w:rFonts w:ascii="Calibri" w:hAnsi="Calibri" w:cs="Calibri"/>
        </w:rPr>
        <w:t>Medr’s</w:t>
      </w:r>
      <w:proofErr w:type="spellEnd"/>
      <w:r w:rsidRPr="00D63015">
        <w:rPr>
          <w:rFonts w:ascii="Calibri" w:hAnsi="Calibri" w:cs="Calibri"/>
        </w:rPr>
        <w:t xml:space="preserve"> post-16 education reforms focus on traditional entry routes into employment (Advance HE, 2025; </w:t>
      </w:r>
      <w:proofErr w:type="spellStart"/>
      <w:r w:rsidRPr="00D63015">
        <w:rPr>
          <w:rFonts w:ascii="Calibri" w:hAnsi="Calibri" w:cs="Calibri"/>
        </w:rPr>
        <w:t>Medr</w:t>
      </w:r>
      <w:proofErr w:type="spellEnd"/>
      <w:r w:rsidRPr="00D63015">
        <w:rPr>
          <w:rFonts w:ascii="Calibri" w:hAnsi="Calibri" w:cs="Calibri"/>
        </w:rPr>
        <w:t xml:space="preserve">, 2025). However, non-traditional students may require alternative </w:t>
      </w:r>
      <w:r w:rsidR="00645824">
        <w:rPr>
          <w:rFonts w:ascii="Calibri" w:hAnsi="Calibri" w:cs="Calibri"/>
        </w:rPr>
        <w:t>WBL</w:t>
      </w:r>
      <w:r w:rsidRPr="00D63015">
        <w:rPr>
          <w:rFonts w:ascii="Calibri" w:hAnsi="Calibri" w:cs="Calibri"/>
        </w:rPr>
        <w:t xml:space="preserve"> structures, such as part-time placements, virtual internships, or industry-recognised accreditation of prior experience.</w:t>
      </w:r>
    </w:p>
    <w:p w14:paraId="64EAFBF0" w14:textId="77777777" w:rsidR="00D63015" w:rsidRPr="00D63015" w:rsidRDefault="00D63015" w:rsidP="007005AB">
      <w:pPr>
        <w:spacing w:line="360" w:lineRule="auto"/>
        <w:jc w:val="both"/>
        <w:rPr>
          <w:rFonts w:ascii="Calibri" w:hAnsi="Calibri" w:cs="Calibri"/>
        </w:rPr>
      </w:pPr>
      <w:r w:rsidRPr="00D63015">
        <w:rPr>
          <w:rFonts w:ascii="Calibri" w:hAnsi="Calibri" w:cs="Calibri"/>
        </w:rPr>
        <w:t>Additionally, research on employer perceptions of non-traditional graduates remains limited. While the CBI Economics (2024) survey suggests that employers value transferable skills and vocational experience, further studies are needed to explore how these perceptions influence recruitment and career progression for non-traditional students.</w:t>
      </w:r>
    </w:p>
    <w:p w14:paraId="25D01083" w14:textId="77777777" w:rsidR="00D63015" w:rsidRPr="00D63015" w:rsidRDefault="00D63015" w:rsidP="007005AB">
      <w:pPr>
        <w:spacing w:line="360" w:lineRule="auto"/>
        <w:jc w:val="both"/>
        <w:rPr>
          <w:rFonts w:ascii="Calibri" w:hAnsi="Calibri" w:cs="Calibri"/>
        </w:rPr>
      </w:pPr>
      <w:r w:rsidRPr="00D63015">
        <w:rPr>
          <w:rFonts w:ascii="Calibri" w:hAnsi="Calibri" w:cs="Calibri"/>
        </w:rPr>
        <w:t>This research aims to address these gaps by examining how WBL can be adapted to better serve non-traditional learners, ensuring that policy frameworks evolve to accommodate diverse learner needs. Without strategic interventions, the employability benefits of WBL may remain inaccessible to key demographics, undermining broader efforts to enhance workforce readiness.</w:t>
      </w:r>
    </w:p>
    <w:p w14:paraId="2EAB9D1D" w14:textId="4E9A4931" w:rsidR="007522C5" w:rsidRPr="007005AB" w:rsidRDefault="007522C5" w:rsidP="007005AB">
      <w:pPr>
        <w:spacing w:line="360" w:lineRule="auto"/>
        <w:jc w:val="both"/>
        <w:rPr>
          <w:rFonts w:ascii="Calibri" w:hAnsi="Calibri" w:cs="Calibri"/>
        </w:rPr>
      </w:pPr>
    </w:p>
    <w:p w14:paraId="57B37E5A" w14:textId="77777777" w:rsidR="00AC67CF" w:rsidRPr="007005AB" w:rsidRDefault="00AC67CF" w:rsidP="007005AB">
      <w:pPr>
        <w:spacing w:line="360" w:lineRule="auto"/>
        <w:jc w:val="both"/>
        <w:rPr>
          <w:rStyle w:val="Heading1Char"/>
          <w:rFonts w:ascii="Calibri" w:hAnsi="Calibri" w:cs="Calibri"/>
        </w:rPr>
        <w:sectPr w:rsidR="00AC67CF" w:rsidRPr="007005AB">
          <w:pgSz w:w="11906" w:h="16838"/>
          <w:pgMar w:top="1440" w:right="1440" w:bottom="1440" w:left="1440" w:header="708" w:footer="708" w:gutter="0"/>
          <w:cols w:space="708"/>
          <w:docGrid w:linePitch="360"/>
        </w:sectPr>
      </w:pPr>
    </w:p>
    <w:p w14:paraId="4C4BD0FC" w14:textId="3EBD3D34" w:rsidR="00C4509C" w:rsidRPr="007005AB" w:rsidRDefault="0065162E" w:rsidP="005F19B7">
      <w:pPr>
        <w:pStyle w:val="Heading1"/>
        <w:rPr>
          <w:b/>
          <w:bCs/>
        </w:rPr>
      </w:pPr>
      <w:bookmarkStart w:id="13" w:name="_Toc194050041"/>
      <w:r w:rsidRPr="007005AB">
        <w:rPr>
          <w:rStyle w:val="Heading1Char"/>
          <w:rFonts w:ascii="Calibri" w:hAnsi="Calibri" w:cs="Calibri"/>
        </w:rPr>
        <w:lastRenderedPageBreak/>
        <w:t xml:space="preserve">3. </w:t>
      </w:r>
      <w:r w:rsidR="007522C5" w:rsidRPr="007005AB">
        <w:rPr>
          <w:rStyle w:val="Heading1Char"/>
          <w:rFonts w:ascii="Calibri" w:hAnsi="Calibri" w:cs="Calibri"/>
        </w:rPr>
        <w:t>Methodology</w:t>
      </w:r>
      <w:bookmarkEnd w:id="13"/>
    </w:p>
    <w:p w14:paraId="220F0397" w14:textId="77777777" w:rsidR="00392F18" w:rsidRPr="007005AB" w:rsidRDefault="00392F18" w:rsidP="007005AB">
      <w:pPr>
        <w:pStyle w:val="Heading2"/>
        <w:spacing w:line="360" w:lineRule="auto"/>
        <w:jc w:val="both"/>
        <w:rPr>
          <w:rFonts w:ascii="Calibri" w:hAnsi="Calibri" w:cs="Calibri"/>
        </w:rPr>
      </w:pPr>
      <w:bookmarkStart w:id="14" w:name="_Toc194050042"/>
      <w:r w:rsidRPr="007005AB">
        <w:rPr>
          <w:rFonts w:ascii="Calibri" w:hAnsi="Calibri" w:cs="Calibri"/>
        </w:rPr>
        <w:t>3.1 Research Approach and Action Research Framework</w:t>
      </w:r>
      <w:bookmarkEnd w:id="14"/>
    </w:p>
    <w:p w14:paraId="43FB755C" w14:textId="05C4C5DE" w:rsidR="003E0B3A" w:rsidRPr="003E0B3A" w:rsidRDefault="003E0B3A" w:rsidP="007005AB">
      <w:pPr>
        <w:spacing w:line="360" w:lineRule="auto"/>
        <w:jc w:val="both"/>
        <w:rPr>
          <w:rFonts w:ascii="Calibri" w:hAnsi="Calibri" w:cs="Calibri"/>
        </w:rPr>
      </w:pPr>
      <w:r w:rsidRPr="003E0B3A">
        <w:rPr>
          <w:rFonts w:ascii="Calibri" w:hAnsi="Calibri" w:cs="Calibri"/>
        </w:rPr>
        <w:t>This study adopts a constructivist epistemological approach, recognising that knowledge is constructed through the interpretation of existing research rather than direct empirical observation (Creswell, 20</w:t>
      </w:r>
      <w:r w:rsidR="00F62E4E" w:rsidRPr="007005AB">
        <w:rPr>
          <w:rFonts w:ascii="Calibri" w:hAnsi="Calibri" w:cs="Calibri"/>
        </w:rPr>
        <w:t>22</w:t>
      </w:r>
      <w:r w:rsidRPr="003E0B3A">
        <w:rPr>
          <w:rFonts w:ascii="Calibri" w:hAnsi="Calibri" w:cs="Calibri"/>
        </w:rPr>
        <w:t>). The ontological stance aligns with interpretivism, as it seeks to explore the complexities of Work-Based Learning (WBL) for non-traditional students through secondary data rather than primary research (Saunders, Lewis and Thornhill, 20</w:t>
      </w:r>
      <w:r w:rsidR="002624F4" w:rsidRPr="007005AB">
        <w:rPr>
          <w:rFonts w:ascii="Calibri" w:hAnsi="Calibri" w:cs="Calibri"/>
        </w:rPr>
        <w:t>24</w:t>
      </w:r>
      <w:r w:rsidRPr="003E0B3A">
        <w:rPr>
          <w:rFonts w:ascii="Calibri" w:hAnsi="Calibri" w:cs="Calibri"/>
        </w:rPr>
        <w:t>).</w:t>
      </w:r>
    </w:p>
    <w:p w14:paraId="20D2162D" w14:textId="1A94671F" w:rsidR="003E0B3A" w:rsidRPr="003E0B3A" w:rsidRDefault="003E0B3A" w:rsidP="007005AB">
      <w:pPr>
        <w:spacing w:line="360" w:lineRule="auto"/>
        <w:jc w:val="both"/>
        <w:rPr>
          <w:rFonts w:ascii="Calibri" w:hAnsi="Calibri" w:cs="Calibri"/>
        </w:rPr>
      </w:pPr>
      <w:r w:rsidRPr="003E0B3A">
        <w:rPr>
          <w:rFonts w:ascii="Calibri" w:hAnsi="Calibri" w:cs="Calibri"/>
        </w:rPr>
        <w:t>The study follows an Action Research framework, which is cyclical, reflective, and practice-driven. Action Research is an iterative process used to explore practical challenges and inform continuous improvement (McNiff, 201</w:t>
      </w:r>
      <w:r w:rsidR="00043258" w:rsidRPr="007005AB">
        <w:rPr>
          <w:rFonts w:ascii="Calibri" w:hAnsi="Calibri" w:cs="Calibri"/>
        </w:rPr>
        <w:t>7</w:t>
      </w:r>
      <w:r w:rsidRPr="003E0B3A">
        <w:rPr>
          <w:rFonts w:ascii="Calibri" w:hAnsi="Calibri" w:cs="Calibri"/>
        </w:rPr>
        <w:t>). It follows a spiral model, where research moves through planning, action, observation, and reflection, leading to further refinements (Kemmis, McTaggart and Nixon, 2014). This iterative approach ensures that findings contribute to professional practice by identifying gaps, refining strategies, and guiding future research.</w:t>
      </w:r>
    </w:p>
    <w:p w14:paraId="1F5D3ED7" w14:textId="6C9A78B9" w:rsidR="003E0B3A" w:rsidRDefault="003E0B3A" w:rsidP="00FD21C6">
      <w:pPr>
        <w:spacing w:line="360" w:lineRule="auto"/>
        <w:jc w:val="both"/>
        <w:rPr>
          <w:rFonts w:ascii="Calibri" w:hAnsi="Calibri" w:cs="Calibri"/>
        </w:rPr>
      </w:pPr>
      <w:r w:rsidRPr="003E0B3A">
        <w:rPr>
          <w:rFonts w:ascii="Calibri" w:hAnsi="Calibri" w:cs="Calibri"/>
        </w:rPr>
        <w:t>Although this study does not involve primary data collection, it aligns with Action Research principles by critically evaluating existing research to inform WBL policy recommendations. Action Research supports both qualitative and quantitative data sources, making it a suitable framework for systematic secondary data analysis.</w:t>
      </w:r>
    </w:p>
    <w:p w14:paraId="65CD3E2D" w14:textId="77777777" w:rsidR="003D4A12" w:rsidRPr="007005AB" w:rsidRDefault="003D4A12" w:rsidP="00FD21C6">
      <w:pPr>
        <w:spacing w:line="360" w:lineRule="auto"/>
        <w:jc w:val="both"/>
        <w:rPr>
          <w:rFonts w:ascii="Calibri" w:hAnsi="Calibri" w:cs="Calibri"/>
        </w:rPr>
      </w:pPr>
    </w:p>
    <w:p w14:paraId="74335BAF" w14:textId="77777777" w:rsidR="00392F18" w:rsidRPr="007005AB" w:rsidRDefault="00392F18" w:rsidP="007005AB">
      <w:pPr>
        <w:pStyle w:val="Heading2"/>
        <w:spacing w:line="360" w:lineRule="auto"/>
        <w:jc w:val="both"/>
        <w:rPr>
          <w:rFonts w:ascii="Calibri" w:hAnsi="Calibri" w:cs="Calibri"/>
        </w:rPr>
      </w:pPr>
      <w:bookmarkStart w:id="15" w:name="_Toc194050043"/>
      <w:r w:rsidRPr="007005AB">
        <w:rPr>
          <w:rFonts w:ascii="Calibri" w:hAnsi="Calibri" w:cs="Calibri"/>
        </w:rPr>
        <w:t>3.2 Justification for a Secondary Data Approach</w:t>
      </w:r>
      <w:bookmarkEnd w:id="15"/>
    </w:p>
    <w:p w14:paraId="2E3D00F5" w14:textId="28EC7C93" w:rsidR="00AB76E3" w:rsidRPr="00AB76E3" w:rsidRDefault="00AB76E3" w:rsidP="007005AB">
      <w:pPr>
        <w:spacing w:line="360" w:lineRule="auto"/>
        <w:jc w:val="both"/>
        <w:rPr>
          <w:rFonts w:ascii="Calibri" w:hAnsi="Calibri" w:cs="Calibri"/>
        </w:rPr>
      </w:pPr>
      <w:r w:rsidRPr="00AB76E3">
        <w:rPr>
          <w:rFonts w:ascii="Calibri" w:hAnsi="Calibri" w:cs="Calibri"/>
        </w:rPr>
        <w:t>This study relies entirely on secondary data, including academic literature, policy reports, and statistical sources such as the Higher Education Statistics Agency (HESA) and the National Student Survey (NSS). Secondary research is appropriate due to time and ethical constraints, as conducting interviews or surveys would require institutional ethical approval and participant recruitment (Bell,</w:t>
      </w:r>
      <w:r w:rsidR="00954D4A" w:rsidRPr="007005AB">
        <w:rPr>
          <w:rFonts w:ascii="Calibri" w:hAnsi="Calibri" w:cs="Calibri"/>
        </w:rPr>
        <w:t xml:space="preserve"> Waters and </w:t>
      </w:r>
      <w:r w:rsidR="00E45587" w:rsidRPr="007005AB">
        <w:rPr>
          <w:rFonts w:ascii="Calibri" w:hAnsi="Calibri" w:cs="Calibri"/>
        </w:rPr>
        <w:t>Johnson</w:t>
      </w:r>
      <w:r w:rsidRPr="00AB76E3">
        <w:rPr>
          <w:rFonts w:ascii="Calibri" w:hAnsi="Calibri" w:cs="Calibri"/>
        </w:rPr>
        <w:t xml:space="preserve"> 20</w:t>
      </w:r>
      <w:r w:rsidR="00FF3B98" w:rsidRPr="007005AB">
        <w:rPr>
          <w:rFonts w:ascii="Calibri" w:hAnsi="Calibri" w:cs="Calibri"/>
        </w:rPr>
        <w:t>24</w:t>
      </w:r>
      <w:r w:rsidRPr="00AB76E3">
        <w:rPr>
          <w:rFonts w:ascii="Calibri" w:hAnsi="Calibri" w:cs="Calibri"/>
        </w:rPr>
        <w:t>).</w:t>
      </w:r>
    </w:p>
    <w:p w14:paraId="39755063" w14:textId="7AC4C2F0" w:rsidR="00AB76E3" w:rsidRPr="007005AB" w:rsidRDefault="00AB76E3" w:rsidP="007005AB">
      <w:pPr>
        <w:spacing w:line="360" w:lineRule="auto"/>
        <w:jc w:val="both"/>
        <w:rPr>
          <w:rFonts w:ascii="Calibri" w:hAnsi="Calibri" w:cs="Calibri"/>
        </w:rPr>
      </w:pPr>
      <w:r w:rsidRPr="00AB76E3">
        <w:rPr>
          <w:rFonts w:ascii="Calibri" w:hAnsi="Calibri" w:cs="Calibri"/>
        </w:rPr>
        <w:t>A systematic literature review allows for a broader comparison of WBL models across various contexts, providing greater generalisability than a single institutional case study (</w:t>
      </w:r>
      <w:r w:rsidR="00EF2959" w:rsidRPr="00AB76E3">
        <w:rPr>
          <w:rFonts w:ascii="Calibri" w:hAnsi="Calibri" w:cs="Calibri"/>
        </w:rPr>
        <w:t>Bell,</w:t>
      </w:r>
      <w:r w:rsidR="00EF2959" w:rsidRPr="007005AB">
        <w:rPr>
          <w:rFonts w:ascii="Calibri" w:hAnsi="Calibri" w:cs="Calibri"/>
        </w:rPr>
        <w:t xml:space="preserve"> Waters and Johnson</w:t>
      </w:r>
      <w:r w:rsidR="00EF2959" w:rsidRPr="00AB76E3">
        <w:rPr>
          <w:rFonts w:ascii="Calibri" w:hAnsi="Calibri" w:cs="Calibri"/>
        </w:rPr>
        <w:t xml:space="preserve"> 20</w:t>
      </w:r>
      <w:r w:rsidR="00EF2959" w:rsidRPr="007005AB">
        <w:rPr>
          <w:rFonts w:ascii="Calibri" w:hAnsi="Calibri" w:cs="Calibri"/>
        </w:rPr>
        <w:t>24</w:t>
      </w:r>
      <w:r w:rsidR="00EF2959" w:rsidRPr="00AB76E3">
        <w:rPr>
          <w:rFonts w:ascii="Calibri" w:hAnsi="Calibri" w:cs="Calibri"/>
        </w:rPr>
        <w:t>)</w:t>
      </w:r>
      <w:r w:rsidR="00EF2959" w:rsidRPr="007005AB">
        <w:rPr>
          <w:rFonts w:ascii="Calibri" w:hAnsi="Calibri" w:cs="Calibri"/>
        </w:rPr>
        <w:t xml:space="preserve">. </w:t>
      </w:r>
      <w:r w:rsidRPr="00AB76E3">
        <w:rPr>
          <w:rFonts w:ascii="Calibri" w:hAnsi="Calibri" w:cs="Calibri"/>
        </w:rPr>
        <w:t>This aligns with Action Research’s emphasis on inquiry-driven change, ensuring findings can inform future curriculum and policy adaptations</w:t>
      </w:r>
    </w:p>
    <w:p w14:paraId="7F510F73" w14:textId="2446B22D" w:rsidR="00392F18" w:rsidRPr="007005AB" w:rsidRDefault="00392F18" w:rsidP="007005AB">
      <w:pPr>
        <w:pStyle w:val="Heading2"/>
        <w:spacing w:line="360" w:lineRule="auto"/>
        <w:jc w:val="both"/>
        <w:rPr>
          <w:rFonts w:ascii="Calibri" w:hAnsi="Calibri" w:cs="Calibri"/>
        </w:rPr>
      </w:pPr>
      <w:bookmarkStart w:id="16" w:name="_Toc194050044"/>
      <w:r w:rsidRPr="007005AB">
        <w:rPr>
          <w:rFonts w:ascii="Calibri" w:hAnsi="Calibri" w:cs="Calibri"/>
        </w:rPr>
        <w:lastRenderedPageBreak/>
        <w:t>3.3 Data Analysis Approach</w:t>
      </w:r>
      <w:bookmarkEnd w:id="16"/>
    </w:p>
    <w:p w14:paraId="7E28F723" w14:textId="0D430FB8" w:rsidR="00AB76E3" w:rsidRDefault="00AB76E3" w:rsidP="007005AB">
      <w:pPr>
        <w:spacing w:line="360" w:lineRule="auto"/>
        <w:jc w:val="both"/>
        <w:rPr>
          <w:rFonts w:ascii="Calibri" w:hAnsi="Calibri" w:cs="Calibri"/>
        </w:rPr>
      </w:pPr>
      <w:r w:rsidRPr="007005AB">
        <w:rPr>
          <w:rFonts w:ascii="Calibri" w:hAnsi="Calibri" w:cs="Calibri"/>
        </w:rPr>
        <w:t>This study employs thematic synthesis to identify key patterns, gaps, and contradictions in WBL literature</w:t>
      </w:r>
      <w:r w:rsidR="003F798A" w:rsidRPr="007005AB">
        <w:rPr>
          <w:rFonts w:ascii="Calibri" w:hAnsi="Calibri" w:cs="Calibri"/>
        </w:rPr>
        <w:t>.</w:t>
      </w:r>
      <w:r w:rsidRPr="007005AB">
        <w:rPr>
          <w:rFonts w:ascii="Calibri" w:hAnsi="Calibri" w:cs="Calibri"/>
        </w:rPr>
        <w:t xml:space="preserve"> Additionally, critical discourse analysis will examine how policy documents and institutional reports frame employability for non-traditional students</w:t>
      </w:r>
      <w:r w:rsidR="003F798A" w:rsidRPr="007005AB">
        <w:rPr>
          <w:rFonts w:ascii="Calibri" w:hAnsi="Calibri" w:cs="Calibri"/>
        </w:rPr>
        <w:t xml:space="preserve"> (Thomas and Harden, 2008). </w:t>
      </w:r>
      <w:r w:rsidRPr="007005AB">
        <w:rPr>
          <w:rFonts w:ascii="Calibri" w:hAnsi="Calibri" w:cs="Calibri"/>
        </w:rPr>
        <w:t>These approaches align with the reflective and iterative nature of Action Research, allowing insights to be refined and built upon in future research cycles.</w:t>
      </w:r>
    </w:p>
    <w:p w14:paraId="6488E1E6" w14:textId="77777777" w:rsidR="003D4A12" w:rsidRPr="007005AB" w:rsidRDefault="003D4A12" w:rsidP="007005AB">
      <w:pPr>
        <w:spacing w:line="360" w:lineRule="auto"/>
        <w:jc w:val="both"/>
        <w:rPr>
          <w:rFonts w:ascii="Calibri" w:hAnsi="Calibri" w:cs="Calibri"/>
        </w:rPr>
      </w:pPr>
    </w:p>
    <w:p w14:paraId="6F7CDDF6" w14:textId="4E49BEC9" w:rsidR="00392F18" w:rsidRPr="007005AB" w:rsidRDefault="00392F18" w:rsidP="007005AB">
      <w:pPr>
        <w:pStyle w:val="Heading2"/>
        <w:spacing w:line="360" w:lineRule="auto"/>
        <w:jc w:val="both"/>
        <w:rPr>
          <w:rFonts w:ascii="Calibri" w:hAnsi="Calibri" w:cs="Calibri"/>
        </w:rPr>
      </w:pPr>
      <w:bookmarkStart w:id="17" w:name="_Toc194050045"/>
      <w:r w:rsidRPr="007005AB">
        <w:rPr>
          <w:rFonts w:ascii="Calibri" w:hAnsi="Calibri" w:cs="Calibri"/>
        </w:rPr>
        <w:t>3.4 Ethical Considerations</w:t>
      </w:r>
      <w:bookmarkEnd w:id="17"/>
    </w:p>
    <w:p w14:paraId="245C29CB" w14:textId="77777777" w:rsidR="00392F18" w:rsidRPr="007005AB" w:rsidRDefault="00392F18" w:rsidP="007005AB">
      <w:pPr>
        <w:spacing w:line="360" w:lineRule="auto"/>
        <w:jc w:val="both"/>
        <w:rPr>
          <w:rFonts w:ascii="Calibri" w:hAnsi="Calibri" w:cs="Calibri"/>
        </w:rPr>
      </w:pPr>
      <w:r w:rsidRPr="007005AB">
        <w:rPr>
          <w:rFonts w:ascii="Calibri" w:hAnsi="Calibri" w:cs="Calibri"/>
        </w:rPr>
        <w:t>Although this study does not involve primary data collection, all sources will be critically appraised for credibility, reliability, and potential bias (Booth, Sutton and Papaioannou, 2016). Ethical academic practice is maintained through proper citation, transparency in data selection, and avoidance of misrepresentation (Smith, 2020).</w:t>
      </w:r>
    </w:p>
    <w:p w14:paraId="7EBC1B4C" w14:textId="334021DD" w:rsidR="00392F18" w:rsidRPr="007005AB" w:rsidRDefault="00392F18" w:rsidP="007005AB">
      <w:pPr>
        <w:spacing w:line="360" w:lineRule="auto"/>
        <w:jc w:val="both"/>
        <w:rPr>
          <w:rFonts w:ascii="Calibri" w:hAnsi="Calibri" w:cs="Calibri"/>
        </w:rPr>
      </w:pPr>
      <w:r w:rsidRPr="007005AB">
        <w:rPr>
          <w:rFonts w:ascii="Calibri" w:hAnsi="Calibri" w:cs="Calibri"/>
        </w:rPr>
        <w:t>By employing secondary research within an Action Research framework, this study ensures that findings are rigorous, policy-relevant, and adaptable for future WBL developments</w:t>
      </w:r>
      <w:r w:rsidR="0047532F">
        <w:rPr>
          <w:rFonts w:ascii="Calibri" w:hAnsi="Calibri" w:cs="Calibri"/>
        </w:rPr>
        <w:t xml:space="preserve"> (BERA</w:t>
      </w:r>
      <w:r w:rsidR="0058603D">
        <w:rPr>
          <w:rFonts w:ascii="Calibri" w:hAnsi="Calibri" w:cs="Calibri"/>
        </w:rPr>
        <w:t>,2018)</w:t>
      </w:r>
      <w:r w:rsidRPr="007005AB">
        <w:rPr>
          <w:rFonts w:ascii="Calibri" w:hAnsi="Calibri" w:cs="Calibri"/>
        </w:rPr>
        <w:t>.</w:t>
      </w:r>
    </w:p>
    <w:p w14:paraId="0DEED725" w14:textId="77777777" w:rsidR="00C4509C" w:rsidRPr="007005AB" w:rsidRDefault="00C4509C" w:rsidP="007005AB">
      <w:pPr>
        <w:spacing w:line="360" w:lineRule="auto"/>
        <w:jc w:val="both"/>
        <w:rPr>
          <w:rFonts w:ascii="Calibri" w:hAnsi="Calibri" w:cs="Calibri"/>
        </w:rPr>
      </w:pPr>
    </w:p>
    <w:p w14:paraId="15B1C20A" w14:textId="77777777" w:rsidR="00FD21C6" w:rsidRDefault="00FD21C6" w:rsidP="00FD21C6">
      <w:pPr>
        <w:spacing w:after="0" w:line="360" w:lineRule="auto"/>
        <w:jc w:val="both"/>
        <w:rPr>
          <w:rFonts w:ascii="Calibri" w:hAnsi="Calibri" w:cs="Calibri"/>
        </w:rPr>
        <w:sectPr w:rsidR="00FD21C6">
          <w:pgSz w:w="11906" w:h="16838"/>
          <w:pgMar w:top="1440" w:right="1440" w:bottom="1440" w:left="1440" w:header="708" w:footer="708" w:gutter="0"/>
          <w:cols w:space="708"/>
          <w:docGrid w:linePitch="360"/>
        </w:sectPr>
      </w:pPr>
    </w:p>
    <w:p w14:paraId="363B1D7D" w14:textId="7EAE286F" w:rsidR="007522C5" w:rsidRPr="007005AB" w:rsidRDefault="007522C5" w:rsidP="000A5DC2">
      <w:pPr>
        <w:pStyle w:val="Heading1"/>
        <w:numPr>
          <w:ilvl w:val="0"/>
          <w:numId w:val="10"/>
        </w:numPr>
        <w:spacing w:before="0" w:after="0" w:line="360" w:lineRule="auto"/>
        <w:ind w:left="714" w:hanging="357"/>
        <w:jc w:val="both"/>
        <w:rPr>
          <w:rFonts w:ascii="Calibri" w:hAnsi="Calibri" w:cs="Calibri"/>
        </w:rPr>
      </w:pPr>
      <w:bookmarkStart w:id="18" w:name="_Toc194050046"/>
      <w:r w:rsidRPr="007005AB">
        <w:rPr>
          <w:rFonts w:ascii="Calibri" w:hAnsi="Calibri" w:cs="Calibri"/>
        </w:rPr>
        <w:lastRenderedPageBreak/>
        <w:t xml:space="preserve">Results </w:t>
      </w:r>
      <w:r w:rsidR="00D52A39" w:rsidRPr="007005AB">
        <w:rPr>
          <w:rFonts w:ascii="Calibri" w:hAnsi="Calibri" w:cs="Calibri"/>
        </w:rPr>
        <w:t xml:space="preserve">and </w:t>
      </w:r>
      <w:r w:rsidRPr="007005AB">
        <w:rPr>
          <w:rFonts w:ascii="Calibri" w:hAnsi="Calibri" w:cs="Calibri"/>
        </w:rPr>
        <w:t>Discussion</w:t>
      </w:r>
      <w:bookmarkEnd w:id="18"/>
    </w:p>
    <w:p w14:paraId="4B3AFDD4" w14:textId="77777777" w:rsidR="00BF2D6A" w:rsidRDefault="00BF2D6A" w:rsidP="007005AB">
      <w:pPr>
        <w:pStyle w:val="Heading2"/>
        <w:spacing w:line="360" w:lineRule="auto"/>
        <w:jc w:val="both"/>
        <w:rPr>
          <w:rFonts w:ascii="Calibri" w:hAnsi="Calibri" w:cs="Calibri"/>
        </w:rPr>
      </w:pPr>
      <w:bookmarkStart w:id="19" w:name="_Toc194050047"/>
      <w:r w:rsidRPr="007005AB">
        <w:rPr>
          <w:rFonts w:ascii="Calibri" w:hAnsi="Calibri" w:cs="Calibri"/>
        </w:rPr>
        <w:t>4.1 Presentation of Findings</w:t>
      </w:r>
      <w:bookmarkEnd w:id="19"/>
    </w:p>
    <w:p w14:paraId="6D6FC4A5"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The analysis of secondary data reveals that Work-Based Learning (WBL) plays a critical role in enhancing employability, particularly for non-traditional students. Graduates who participate in WBL consistently demonstrate higher employment rates, greater career progression opportunities, and improved workplace readiness compared to those who follow purely academic pathways. Reports from the Higher Education Statistics Agency (HESA, 2024) and the National Student Survey (NSS, 2024) confirm that students engaged in WBL feel more confident in their professional competencies and experience smoother transitions into employment. This aligns with findings by Jackson (2024), who asserts that structured workplace exposure provides graduates with industry-specific experience and transferable skills that are highly valued by employers.</w:t>
      </w:r>
    </w:p>
    <w:p w14:paraId="73D7E5F9"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Employers also acknowledge the value of WBL, recognising that graduates with practical, industry-relevant experience are more prepared for workforce demands. CBI Economics (2024) reports that 42% of employers prioritise vocational experience, while 55% highlight transferable skills such as communication, adaptability, and teamwork as key hiring factors. This suggests that employers prefer candidates who demonstrate workplace integration capabilities rather than solely possessing academic credentials. However, despite this demand for work-ready graduates, WBL opportunities remain more accessible to traditional students, while non-traditional learners face systemic barriers that limit their participation.</w:t>
      </w:r>
    </w:p>
    <w:p w14:paraId="3C9E815C"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t xml:space="preserve">The main challenges experienced by non-traditional students include financial constraints, inflexible programme structures, and employer biases that favour younger graduates. Research by </w:t>
      </w:r>
      <w:proofErr w:type="spellStart"/>
      <w:r w:rsidRPr="002E3A69">
        <w:rPr>
          <w:rFonts w:ascii="Calibri" w:hAnsi="Calibri" w:cs="Calibri"/>
        </w:rPr>
        <w:t>Grummell</w:t>
      </w:r>
      <w:proofErr w:type="spellEnd"/>
      <w:r w:rsidRPr="002E3A69">
        <w:rPr>
          <w:rFonts w:ascii="Calibri" w:hAnsi="Calibri" w:cs="Calibri"/>
        </w:rPr>
        <w:t xml:space="preserve"> and Finnegan (2020) highlights that unpaid placements disproportionately disadvantage mature students, who often balance education with employment and caregiving responsibilities. Many non-traditional learners struggle to secure placements due to the lack of employer flexibility, as WBL programmes are typically designed for full-time students transitioning directly from education to employment. This issue is compounded by employer hesitancy to engage with non-traditional students due to perceived training costs, concerns over scheduling, and assumptions about their adaptability (Wilton, 2012).</w:t>
      </w:r>
    </w:p>
    <w:p w14:paraId="27D582A9" w14:textId="77777777" w:rsidR="002E3A69" w:rsidRPr="002E3A69" w:rsidRDefault="002E3A69" w:rsidP="002E3A69">
      <w:pPr>
        <w:spacing w:after="0" w:line="360" w:lineRule="auto"/>
        <w:jc w:val="both"/>
        <w:rPr>
          <w:rFonts w:ascii="Calibri" w:hAnsi="Calibri" w:cs="Calibri"/>
        </w:rPr>
      </w:pPr>
      <w:r w:rsidRPr="002E3A69">
        <w:rPr>
          <w:rFonts w:ascii="Calibri" w:hAnsi="Calibri" w:cs="Calibri"/>
        </w:rPr>
        <w:lastRenderedPageBreak/>
        <w:t xml:space="preserve">While </w:t>
      </w:r>
      <w:proofErr w:type="spellStart"/>
      <w:r w:rsidRPr="002E3A69">
        <w:rPr>
          <w:rFonts w:ascii="Calibri" w:hAnsi="Calibri" w:cs="Calibri"/>
        </w:rPr>
        <w:t>Medr’s</w:t>
      </w:r>
      <w:proofErr w:type="spellEnd"/>
      <w:r w:rsidRPr="002E3A69">
        <w:rPr>
          <w:rFonts w:ascii="Calibri" w:hAnsi="Calibri" w:cs="Calibri"/>
        </w:rPr>
        <w:t xml:space="preserve"> Strategic Plan (2025) and Advance HE’s 2030 Strategy (2025) promote employer engagement in WBL, their initiatives largely target traditional students. Policies fail to address the unique needs of mature learners, part-time students, and those already in employment. As a result, WBL remains structured around full-time, early-career entrants, leaving gaps in support for diverse learning pathways. However, there are emerging opportunities for non-traditional students, particularly through flexible placement models, online apprenticeships, and recognition of prior work experience. Some universities have begun accrediting professional experience as a substitute for traditional WBL placements, allowing non-traditional learners to demonstrate competencies gained through previous employment (QAA, 2018).</w:t>
      </w:r>
    </w:p>
    <w:p w14:paraId="67F5DDD8" w14:textId="3ECDA284" w:rsidR="002E3A69" w:rsidRDefault="002E3A69" w:rsidP="00DF1412">
      <w:pPr>
        <w:spacing w:after="0" w:line="360" w:lineRule="auto"/>
        <w:jc w:val="both"/>
        <w:rPr>
          <w:rFonts w:ascii="Calibri" w:hAnsi="Calibri" w:cs="Calibri"/>
        </w:rPr>
      </w:pPr>
      <w:r w:rsidRPr="002E3A69">
        <w:rPr>
          <w:rFonts w:ascii="Calibri" w:hAnsi="Calibri" w:cs="Calibri"/>
        </w:rPr>
        <w:t>Employer-university partnerships play a crucial role in shaping WBL effectiveness, as successful collaborations lead to curriculum enhancements that integrate industry needs with student learning outcomes. Nonetheless, employer involvement varies widely, with some businesses fully engaged in skills development, while others remain hesitant due to administrative burdens and operational concerns (Lester and Costley, 2010). Without structured engagement frameworks, WBL risks reinforcing employment disparities, with non-traditional students facing limited access to high-quality placements and career development opportunities.</w:t>
      </w:r>
    </w:p>
    <w:p w14:paraId="0A512083" w14:textId="77777777" w:rsidR="003D4A12" w:rsidRPr="00DF1412" w:rsidRDefault="003D4A12" w:rsidP="00DF1412">
      <w:pPr>
        <w:spacing w:after="0" w:line="360" w:lineRule="auto"/>
        <w:jc w:val="both"/>
        <w:rPr>
          <w:rFonts w:ascii="Calibri" w:hAnsi="Calibri" w:cs="Calibri"/>
        </w:rPr>
      </w:pPr>
    </w:p>
    <w:p w14:paraId="528B3C84" w14:textId="77777777" w:rsidR="00BF2D6A" w:rsidRPr="007005AB" w:rsidRDefault="00BF2D6A" w:rsidP="002239B3">
      <w:pPr>
        <w:pStyle w:val="Heading2"/>
      </w:pPr>
      <w:bookmarkStart w:id="20" w:name="_Toc194050048"/>
      <w:r w:rsidRPr="007005AB">
        <w:t>4.2 Comparison with Literature</w:t>
      </w:r>
      <w:bookmarkEnd w:id="20"/>
    </w:p>
    <w:p w14:paraId="76587501" w14:textId="77777777" w:rsidR="00DF1412" w:rsidRPr="00DF1412" w:rsidRDefault="00DF1412" w:rsidP="00DF1412">
      <w:pPr>
        <w:spacing w:line="360" w:lineRule="auto"/>
        <w:jc w:val="both"/>
        <w:rPr>
          <w:rFonts w:ascii="Calibri" w:hAnsi="Calibri" w:cs="Calibri"/>
        </w:rPr>
      </w:pPr>
      <w:r w:rsidRPr="00DF1412">
        <w:rPr>
          <w:rFonts w:ascii="Calibri" w:hAnsi="Calibri" w:cs="Calibri"/>
        </w:rPr>
        <w:t xml:space="preserve">Findings from this research align with existing literature that WBL significantly enhances employability, yet they also highlight persistent issues of accessibility and equity. Studies by Jackson (2024) and QAA (2018) confirm that WBL fosters industry-relevant skills, practical expertise, and career readiness, making graduates more competitive in the job market. However, this research supports the concerns raised by </w:t>
      </w:r>
      <w:proofErr w:type="spellStart"/>
      <w:r w:rsidRPr="00DF1412">
        <w:rPr>
          <w:rFonts w:ascii="Calibri" w:hAnsi="Calibri" w:cs="Calibri"/>
        </w:rPr>
        <w:t>Grummell</w:t>
      </w:r>
      <w:proofErr w:type="spellEnd"/>
      <w:r w:rsidRPr="00DF1412">
        <w:rPr>
          <w:rFonts w:ascii="Calibri" w:hAnsi="Calibri" w:cs="Calibri"/>
        </w:rPr>
        <w:t xml:space="preserve"> and Finnegan (2020), who argue that WBL frameworks remain exclusionary for non-traditional students, primarily due to structural barriers within education and employment sectors.</w:t>
      </w:r>
    </w:p>
    <w:p w14:paraId="3A8D9E20" w14:textId="77777777" w:rsidR="00DF1412" w:rsidRPr="00DF1412" w:rsidRDefault="00DF1412" w:rsidP="00DF1412">
      <w:pPr>
        <w:spacing w:line="360" w:lineRule="auto"/>
        <w:jc w:val="both"/>
        <w:rPr>
          <w:rFonts w:ascii="Calibri" w:hAnsi="Calibri" w:cs="Calibri"/>
        </w:rPr>
      </w:pPr>
      <w:r w:rsidRPr="00DF1412">
        <w:rPr>
          <w:rFonts w:ascii="Calibri" w:hAnsi="Calibri" w:cs="Calibri"/>
        </w:rPr>
        <w:t xml:space="preserve">Research by Wilton (2012) and Lester and Costley (2010) stresses that employer engagement is essential for successful WBL integration, as employer involvement ensures that WBL programmes align with real-world industry needs. However, CBI Economics (2024) reveals that </w:t>
      </w:r>
      <w:r w:rsidRPr="00DF1412">
        <w:rPr>
          <w:rFonts w:ascii="Calibri" w:hAnsi="Calibri" w:cs="Calibri"/>
        </w:rPr>
        <w:lastRenderedPageBreak/>
        <w:t>while employers favour WBL graduates, many still prioritise younger, full-time students, creating inequities in access to professional training.</w:t>
      </w:r>
    </w:p>
    <w:p w14:paraId="2B5ED9FB" w14:textId="480C0BC0" w:rsidR="00DF1412" w:rsidRDefault="00DF1412" w:rsidP="00DF1412">
      <w:pPr>
        <w:spacing w:line="360" w:lineRule="auto"/>
        <w:jc w:val="both"/>
        <w:rPr>
          <w:rFonts w:ascii="Calibri" w:hAnsi="Calibri" w:cs="Calibri"/>
        </w:rPr>
      </w:pPr>
      <w:r w:rsidRPr="00DF1412">
        <w:rPr>
          <w:rFonts w:ascii="Calibri" w:hAnsi="Calibri" w:cs="Calibri"/>
        </w:rPr>
        <w:t>This study also contributes to Action Research in education, advocating for iterative policy improvements based on real-world applications. By evaluating WBL through a policy and practice lens, this research emphasises the need for continuous reform in WBL frameworks to accommodate diverse learner needs. Existing literature acknowledges the importance of employer-university collaboration, but this study underscores the necessity for structured, scalable, and inclusive WBL models that ensure equal participation.</w:t>
      </w:r>
    </w:p>
    <w:p w14:paraId="0B000B4C" w14:textId="77777777" w:rsidR="003D4A12" w:rsidRPr="00BF2D6A" w:rsidRDefault="003D4A12" w:rsidP="00DF1412">
      <w:pPr>
        <w:spacing w:line="360" w:lineRule="auto"/>
        <w:jc w:val="both"/>
        <w:rPr>
          <w:rFonts w:ascii="Calibri" w:hAnsi="Calibri" w:cs="Calibri"/>
        </w:rPr>
      </w:pPr>
    </w:p>
    <w:p w14:paraId="4244F3F6" w14:textId="77777777" w:rsidR="00BF2D6A" w:rsidRPr="007005AB" w:rsidRDefault="00BF2D6A" w:rsidP="002239B3">
      <w:pPr>
        <w:pStyle w:val="Heading2"/>
      </w:pPr>
      <w:bookmarkStart w:id="21" w:name="_Toc194050049"/>
      <w:r w:rsidRPr="007005AB">
        <w:t>4.3 Impact on Teaching Practice</w:t>
      </w:r>
      <w:bookmarkEnd w:id="21"/>
    </w:p>
    <w:p w14:paraId="6E22241E" w14:textId="6D1DED0C" w:rsidR="003D4A12" w:rsidRPr="003D4A12" w:rsidRDefault="003D4A12" w:rsidP="003D4A12">
      <w:pPr>
        <w:spacing w:line="360" w:lineRule="auto"/>
        <w:jc w:val="both"/>
        <w:rPr>
          <w:rFonts w:ascii="Calibri" w:hAnsi="Calibri" w:cs="Calibri"/>
        </w:rPr>
      </w:pPr>
      <w:r w:rsidRPr="003D4A12">
        <w:rPr>
          <w:rFonts w:ascii="Calibri" w:hAnsi="Calibri" w:cs="Calibri"/>
        </w:rPr>
        <w:t xml:space="preserve">The findings have significant implications for teaching practice, particularly in post-16 education settings. WBL should be integrated into curricula more extensively, ensuring that non-traditional students have access to work-integrated learning through part-time, evening, and remote placements. Educators must play an active role in guiding students through </w:t>
      </w:r>
      <w:r w:rsidR="0064149B">
        <w:rPr>
          <w:rFonts w:ascii="Calibri" w:hAnsi="Calibri" w:cs="Calibri"/>
        </w:rPr>
        <w:t xml:space="preserve">the </w:t>
      </w:r>
      <w:r w:rsidRPr="003D4A12">
        <w:rPr>
          <w:rFonts w:ascii="Calibri" w:hAnsi="Calibri" w:cs="Calibri"/>
        </w:rPr>
        <w:t>WBL process, helping them identify appropriate placements and advocating for more inclusive employer partnerships.</w:t>
      </w:r>
    </w:p>
    <w:p w14:paraId="2ED08C95" w14:textId="77777777" w:rsidR="003D4A12" w:rsidRPr="003D4A12" w:rsidRDefault="003D4A12" w:rsidP="003D4A12">
      <w:pPr>
        <w:spacing w:line="360" w:lineRule="auto"/>
        <w:jc w:val="both"/>
        <w:rPr>
          <w:rFonts w:ascii="Calibri" w:hAnsi="Calibri" w:cs="Calibri"/>
        </w:rPr>
      </w:pPr>
      <w:r w:rsidRPr="003D4A12">
        <w:rPr>
          <w:rFonts w:ascii="Calibri" w:hAnsi="Calibri" w:cs="Calibri"/>
        </w:rPr>
        <w:t>There is also a need for enhanced mentorship structures, where educators support students' career development and workplace adaptation. By aligning coursework with industry expectations, institutions can increase student engagement and preparedness for employment. Teaching strategies should incorporate case-based learning, experiential projects, and simulated industry challenges, allowing students to develop practical competencies within an academic setting.</w:t>
      </w:r>
    </w:p>
    <w:p w14:paraId="0AB567DE" w14:textId="462EE0F0" w:rsidR="003D4A12" w:rsidRDefault="003D4A12" w:rsidP="003D4A12">
      <w:pPr>
        <w:spacing w:line="360" w:lineRule="auto"/>
        <w:jc w:val="both"/>
        <w:rPr>
          <w:rFonts w:ascii="Calibri" w:hAnsi="Calibri" w:cs="Calibri"/>
        </w:rPr>
      </w:pPr>
      <w:r w:rsidRPr="003D4A12">
        <w:rPr>
          <w:rFonts w:ascii="Calibri" w:hAnsi="Calibri" w:cs="Calibri"/>
        </w:rPr>
        <w:t>For non-traditional students, universities should provide greater access to personalised career support, offering skills workshops, employer networking events, and WBL orientation sessions tailored to mature learners and career changers.</w:t>
      </w:r>
    </w:p>
    <w:p w14:paraId="3C7833E9" w14:textId="77777777" w:rsidR="003D4A12" w:rsidRDefault="003D4A12" w:rsidP="003D4A12">
      <w:pPr>
        <w:spacing w:line="360" w:lineRule="auto"/>
        <w:jc w:val="both"/>
        <w:rPr>
          <w:rFonts w:ascii="Calibri" w:hAnsi="Calibri" w:cs="Calibri"/>
        </w:rPr>
      </w:pPr>
    </w:p>
    <w:p w14:paraId="009789BC" w14:textId="77777777" w:rsidR="002239B3" w:rsidRPr="00BF2D6A" w:rsidRDefault="002239B3" w:rsidP="003D4A12">
      <w:pPr>
        <w:spacing w:line="360" w:lineRule="auto"/>
        <w:jc w:val="both"/>
        <w:rPr>
          <w:rFonts w:ascii="Calibri" w:hAnsi="Calibri" w:cs="Calibri"/>
        </w:rPr>
      </w:pPr>
    </w:p>
    <w:p w14:paraId="197EECF0" w14:textId="5803378C" w:rsidR="00BF2D6A" w:rsidRPr="007005AB" w:rsidRDefault="00BF2D6A" w:rsidP="002239B3">
      <w:pPr>
        <w:pStyle w:val="Heading2"/>
      </w:pPr>
      <w:bookmarkStart w:id="22" w:name="_Toc194050050"/>
      <w:r w:rsidRPr="007005AB">
        <w:lastRenderedPageBreak/>
        <w:t xml:space="preserve">4.4 Implications for Universities </w:t>
      </w:r>
      <w:r w:rsidR="00D52A39" w:rsidRPr="007005AB">
        <w:t>and</w:t>
      </w:r>
      <w:r w:rsidRPr="007005AB">
        <w:t xml:space="preserve"> Employers</w:t>
      </w:r>
      <w:bookmarkEnd w:id="22"/>
    </w:p>
    <w:p w14:paraId="187777D1" w14:textId="77777777" w:rsidR="003D4A12" w:rsidRPr="003D4A12" w:rsidRDefault="003D4A12" w:rsidP="003D4A12">
      <w:pPr>
        <w:spacing w:line="360" w:lineRule="auto"/>
        <w:jc w:val="both"/>
        <w:rPr>
          <w:rFonts w:ascii="Calibri" w:hAnsi="Calibri" w:cs="Calibri"/>
        </w:rPr>
      </w:pPr>
      <w:r w:rsidRPr="003D4A12">
        <w:rPr>
          <w:rFonts w:ascii="Calibri" w:hAnsi="Calibri" w:cs="Calibri"/>
        </w:rPr>
        <w:t>The findings suggest that universities must adopt more inclusive WBL policies, ensuring that students from diverse backgrounds can access work-based opportunities without systemic limitations. Institutions should develop flexible WBL pathways, including part-time apprenticeships, hybrid placements, and remote industry collaborations. Furthermore, recognising prior professional experience as a valid substitute for traditional placements would provide greater accessibility to mature learners and career-transitioning students.</w:t>
      </w:r>
    </w:p>
    <w:p w14:paraId="3A3C4DBD" w14:textId="77777777" w:rsidR="003D4A12" w:rsidRPr="003D4A12" w:rsidRDefault="003D4A12" w:rsidP="003D4A12">
      <w:pPr>
        <w:spacing w:line="360" w:lineRule="auto"/>
        <w:jc w:val="both"/>
        <w:rPr>
          <w:rFonts w:ascii="Calibri" w:hAnsi="Calibri" w:cs="Calibri"/>
        </w:rPr>
      </w:pPr>
      <w:r w:rsidRPr="003D4A12">
        <w:rPr>
          <w:rFonts w:ascii="Calibri" w:hAnsi="Calibri" w:cs="Calibri"/>
        </w:rPr>
        <w:t>Employers must also take a proactive role in developing equitable WBL programmes. Offering paid placements would eliminate financial barriers, making WBL more inclusive for students with work or caregiving responsibilities. Employers should also implement inclusive hiring strategies, ensuring that WBL placements are available to students from varied educational and professional backgrounds. By working closely with universities, businesses can co-design WBL curricula that reflect workforce demands, ultimately creating a stronger, more diverse talent pipeline.</w:t>
      </w:r>
    </w:p>
    <w:p w14:paraId="367F2A12" w14:textId="77777777" w:rsidR="003D4A12" w:rsidRPr="003D4A12" w:rsidRDefault="003D4A12" w:rsidP="003D4A12">
      <w:pPr>
        <w:spacing w:line="360" w:lineRule="auto"/>
        <w:jc w:val="both"/>
        <w:rPr>
          <w:rFonts w:ascii="Calibri" w:hAnsi="Calibri" w:cs="Calibri"/>
        </w:rPr>
      </w:pPr>
      <w:r w:rsidRPr="003D4A12">
        <w:rPr>
          <w:rFonts w:ascii="Calibri" w:hAnsi="Calibri" w:cs="Calibri"/>
        </w:rPr>
        <w:t>Improved employer-university partnerships could lead to greater alignment between academic training and industry requirements, benefiting both students and businesses. If WBL is to serve as an equalising force in education, its policies must shift from traditional frameworks to adaptive, learner-centred models that address the needs of all students, regardless of their entry point into higher education.</w:t>
      </w:r>
    </w:p>
    <w:p w14:paraId="72700586" w14:textId="77777777" w:rsidR="00BF2D6A" w:rsidRPr="000A5DC2" w:rsidRDefault="00BF2D6A" w:rsidP="007005AB">
      <w:pPr>
        <w:spacing w:line="360" w:lineRule="auto"/>
        <w:jc w:val="both"/>
        <w:rPr>
          <w:rFonts w:ascii="Calibri" w:hAnsi="Calibri" w:cs="Calibri"/>
          <w:sz w:val="22"/>
          <w:szCs w:val="22"/>
        </w:rPr>
      </w:pPr>
    </w:p>
    <w:p w14:paraId="77A9813C" w14:textId="77777777" w:rsidR="003D4A12" w:rsidRDefault="003D4A12" w:rsidP="007005AB">
      <w:pPr>
        <w:pStyle w:val="Heading1"/>
        <w:numPr>
          <w:ilvl w:val="0"/>
          <w:numId w:val="10"/>
        </w:numPr>
        <w:spacing w:line="360" w:lineRule="auto"/>
        <w:jc w:val="both"/>
        <w:rPr>
          <w:rFonts w:ascii="Calibri" w:hAnsi="Calibri" w:cs="Calibri"/>
        </w:rPr>
        <w:sectPr w:rsidR="003D4A12">
          <w:pgSz w:w="11906" w:h="16838"/>
          <w:pgMar w:top="1440" w:right="1440" w:bottom="1440" w:left="1440" w:header="708" w:footer="708" w:gutter="0"/>
          <w:cols w:space="708"/>
          <w:docGrid w:linePitch="360"/>
        </w:sectPr>
      </w:pPr>
    </w:p>
    <w:p w14:paraId="14E71855" w14:textId="440C7C07" w:rsidR="007522C5" w:rsidRPr="007005AB" w:rsidRDefault="007522C5" w:rsidP="007005AB">
      <w:pPr>
        <w:pStyle w:val="Heading1"/>
        <w:numPr>
          <w:ilvl w:val="0"/>
          <w:numId w:val="10"/>
        </w:numPr>
        <w:spacing w:line="360" w:lineRule="auto"/>
        <w:jc w:val="both"/>
        <w:rPr>
          <w:rFonts w:ascii="Calibri" w:hAnsi="Calibri" w:cs="Calibri"/>
        </w:rPr>
      </w:pPr>
      <w:bookmarkStart w:id="23" w:name="_Toc194050051"/>
      <w:r w:rsidRPr="007005AB">
        <w:rPr>
          <w:rFonts w:ascii="Calibri" w:hAnsi="Calibri" w:cs="Calibri"/>
        </w:rPr>
        <w:lastRenderedPageBreak/>
        <w:t>Conclusion</w:t>
      </w:r>
      <w:r w:rsidR="000A5DC2">
        <w:rPr>
          <w:rFonts w:ascii="Calibri" w:hAnsi="Calibri" w:cs="Calibri"/>
        </w:rPr>
        <w:t xml:space="preserve">s </w:t>
      </w:r>
      <w:r w:rsidR="00175F89">
        <w:rPr>
          <w:rFonts w:ascii="Calibri" w:hAnsi="Calibri" w:cs="Calibri"/>
        </w:rPr>
        <w:t>and</w:t>
      </w:r>
      <w:r w:rsidRPr="007005AB">
        <w:rPr>
          <w:rFonts w:ascii="Calibri" w:hAnsi="Calibri" w:cs="Calibri"/>
        </w:rPr>
        <w:t xml:space="preserve"> Recommendations</w:t>
      </w:r>
      <w:bookmarkEnd w:id="23"/>
    </w:p>
    <w:p w14:paraId="77074DED" w14:textId="77777777" w:rsidR="00E67887" w:rsidRPr="007005AB" w:rsidRDefault="00E67887" w:rsidP="007005AB">
      <w:pPr>
        <w:pStyle w:val="Heading2"/>
        <w:spacing w:line="360" w:lineRule="auto"/>
        <w:jc w:val="both"/>
        <w:rPr>
          <w:rFonts w:ascii="Calibri" w:hAnsi="Calibri" w:cs="Calibri"/>
        </w:rPr>
      </w:pPr>
      <w:bookmarkStart w:id="24" w:name="_Toc194050052"/>
      <w:r w:rsidRPr="007005AB">
        <w:rPr>
          <w:rStyle w:val="Strong"/>
          <w:rFonts w:ascii="Calibri" w:hAnsi="Calibri" w:cs="Calibri"/>
          <w:b w:val="0"/>
          <w:bCs w:val="0"/>
        </w:rPr>
        <w:t>5.1 Summary of Key Findings</w:t>
      </w:r>
      <w:bookmarkEnd w:id="24"/>
    </w:p>
    <w:p w14:paraId="6E458730" w14:textId="77777777" w:rsidR="00E67887" w:rsidRPr="007005AB" w:rsidRDefault="00E67887" w:rsidP="007005AB">
      <w:pPr>
        <w:pStyle w:val="NormalWeb"/>
        <w:spacing w:line="360" w:lineRule="auto"/>
        <w:jc w:val="both"/>
        <w:rPr>
          <w:rFonts w:ascii="Calibri" w:hAnsi="Calibri" w:cs="Calibri"/>
        </w:rPr>
      </w:pPr>
      <w:r w:rsidRPr="007005AB">
        <w:rPr>
          <w:rFonts w:ascii="Calibri" w:hAnsi="Calibri" w:cs="Calibri"/>
        </w:rPr>
        <w:t xml:space="preserve">This research addresses three key questions related to WBL and non-traditional students. Firstly, it confirms that WBL significantly enhances employability by providing students with industry-relevant skills and real-world experience. However, non-traditional students face substantial barriers to accessing these opportunities, including financial constraints, limited employer flexibility, and biases favouring younger graduates. Secondly, while policy initiatives such as </w:t>
      </w:r>
      <w:proofErr w:type="spellStart"/>
      <w:r w:rsidRPr="007005AB">
        <w:rPr>
          <w:rFonts w:ascii="Calibri" w:hAnsi="Calibri" w:cs="Calibri"/>
        </w:rPr>
        <w:t>Medr’s</w:t>
      </w:r>
      <w:proofErr w:type="spellEnd"/>
      <w:r w:rsidRPr="007005AB">
        <w:rPr>
          <w:rFonts w:ascii="Calibri" w:hAnsi="Calibri" w:cs="Calibri"/>
        </w:rPr>
        <w:t xml:space="preserve"> Strategic Plan (2025) and Advance HE’s 2030 Strategy promote WBL, they primarily cater to traditional learners and fail to offer targeted support for mature students or those balancing multiple responsibilities. Finally, employer-university collaborations shape WBL’s effectiveness, but engagement remains inconsistent, with some businesses reluctant to fully invest in structured WBL initiatives. These findings highlight the need for greater inclusivity and adaptability within WBL frameworks to ensure equitable access for all learners.</w:t>
      </w:r>
    </w:p>
    <w:p w14:paraId="7C6033A5" w14:textId="77777777" w:rsidR="00E67887" w:rsidRPr="007005AB" w:rsidRDefault="00E67887" w:rsidP="007005AB">
      <w:pPr>
        <w:pStyle w:val="Heading2"/>
        <w:spacing w:line="360" w:lineRule="auto"/>
        <w:jc w:val="both"/>
        <w:rPr>
          <w:rFonts w:ascii="Calibri" w:hAnsi="Calibri" w:cs="Calibri"/>
        </w:rPr>
      </w:pPr>
      <w:bookmarkStart w:id="25" w:name="_Toc194050053"/>
      <w:r w:rsidRPr="007005AB">
        <w:rPr>
          <w:rStyle w:val="Strong"/>
          <w:rFonts w:ascii="Calibri" w:hAnsi="Calibri" w:cs="Calibri"/>
          <w:b w:val="0"/>
          <w:bCs w:val="0"/>
        </w:rPr>
        <w:t>5.2 Practical Recommendations</w:t>
      </w:r>
      <w:bookmarkEnd w:id="25"/>
    </w:p>
    <w:p w14:paraId="48FFFDE4" w14:textId="77777777" w:rsidR="00B962C7" w:rsidRPr="00B962C7" w:rsidRDefault="00B962C7" w:rsidP="007005AB">
      <w:pPr>
        <w:spacing w:line="360" w:lineRule="auto"/>
        <w:jc w:val="both"/>
        <w:rPr>
          <w:rFonts w:ascii="Calibri" w:hAnsi="Calibri" w:cs="Calibri"/>
        </w:rPr>
      </w:pPr>
      <w:r w:rsidRPr="00B962C7">
        <w:rPr>
          <w:rFonts w:ascii="Calibri" w:hAnsi="Calibri" w:cs="Calibri"/>
        </w:rPr>
        <w:t>To improve WBL accessibility and effectiveness for non-traditional students, universities and employers must implement strategic, measurable, and achievable solutions that align with the SMART model.</w:t>
      </w:r>
    </w:p>
    <w:p w14:paraId="1FBBFE74" w14:textId="40E8844D" w:rsidR="00B962C7" w:rsidRPr="00B962C7" w:rsidRDefault="00B962C7" w:rsidP="00662E2E">
      <w:pPr>
        <w:spacing w:line="360" w:lineRule="auto"/>
        <w:jc w:val="both"/>
        <w:rPr>
          <w:rFonts w:ascii="Calibri" w:hAnsi="Calibri" w:cs="Calibri"/>
        </w:rPr>
      </w:pPr>
      <w:r w:rsidRPr="00B962C7">
        <w:rPr>
          <w:rFonts w:ascii="Calibri" w:hAnsi="Calibri" w:cs="Calibri"/>
        </w:rPr>
        <w:t xml:space="preserve">The first recommendation is for universities to implement flexible WBL pathways, including part-time, evening, and hybrid placements, within the next two academic years. This would involve collaborating with employers to co-design work-integrated learning opportunities that accommodate students balancing education, employment, and caregiving responsibilities. </w:t>
      </w:r>
      <w:r w:rsidR="00662E2E" w:rsidRPr="00662E2E">
        <w:rPr>
          <w:rFonts w:ascii="Calibri" w:hAnsi="Calibri" w:cs="Calibri"/>
        </w:rPr>
        <w:t>Universities should aim to establish, by 2030, a system for recognising</w:t>
      </w:r>
      <w:r w:rsidR="00662E2E">
        <w:rPr>
          <w:rFonts w:ascii="Calibri" w:hAnsi="Calibri" w:cs="Calibri"/>
        </w:rPr>
        <w:t xml:space="preserve"> </w:t>
      </w:r>
      <w:r w:rsidRPr="00B962C7">
        <w:rPr>
          <w:rFonts w:ascii="Calibri" w:hAnsi="Calibri" w:cs="Calibri"/>
        </w:rPr>
        <w:t>prior industry experience as an alternative to traditional placements, allowing non-traditional students to demonstrate competencies gained outside formal education. Progress should be measured through enrolment rates in flexible WBL options and student satisfaction surveys.</w:t>
      </w:r>
    </w:p>
    <w:p w14:paraId="0A1D6DD4" w14:textId="5E9503B4" w:rsidR="00B962C7" w:rsidRPr="00B962C7" w:rsidRDefault="00B962C7" w:rsidP="007005AB">
      <w:pPr>
        <w:spacing w:line="360" w:lineRule="auto"/>
        <w:jc w:val="both"/>
        <w:rPr>
          <w:rFonts w:ascii="Calibri" w:hAnsi="Calibri" w:cs="Calibri"/>
        </w:rPr>
      </w:pPr>
      <w:r w:rsidRPr="00B962C7">
        <w:rPr>
          <w:rFonts w:ascii="Calibri" w:hAnsi="Calibri" w:cs="Calibri"/>
        </w:rPr>
        <w:t>The second recommendation is for employers to expand equitable WBL opportunities by offering paid placements and remote WBL options by 20</w:t>
      </w:r>
      <w:r w:rsidR="007917B2" w:rsidRPr="007005AB">
        <w:rPr>
          <w:rFonts w:ascii="Calibri" w:hAnsi="Calibri" w:cs="Calibri"/>
        </w:rPr>
        <w:t>30</w:t>
      </w:r>
      <w:r w:rsidRPr="00B962C7">
        <w:rPr>
          <w:rFonts w:ascii="Calibri" w:hAnsi="Calibri" w:cs="Calibri"/>
        </w:rPr>
        <w:t xml:space="preserve">. Many non-traditional students cannot afford unpaid internships, making financial compensation essential for ensuring equal </w:t>
      </w:r>
      <w:r w:rsidRPr="00B962C7">
        <w:rPr>
          <w:rFonts w:ascii="Calibri" w:hAnsi="Calibri" w:cs="Calibri"/>
        </w:rPr>
        <w:lastRenderedPageBreak/>
        <w:t xml:space="preserve">access to </w:t>
      </w:r>
      <w:r w:rsidR="00645824">
        <w:rPr>
          <w:rFonts w:ascii="Calibri" w:hAnsi="Calibri" w:cs="Calibri"/>
        </w:rPr>
        <w:t>WBL</w:t>
      </w:r>
      <w:r w:rsidRPr="00B962C7">
        <w:rPr>
          <w:rFonts w:ascii="Calibri" w:hAnsi="Calibri" w:cs="Calibri"/>
        </w:rPr>
        <w:t>. Employers should also integrate inclusive recruitment strategies, such as removing age-related biases in hiring processes and providing structured mentorship programmes that support mature learners transitioning into new careers. Success can be measured through the number of non-traditional students participating in employer-sponsored WBL initiatives and feedback from employees and education providers.</w:t>
      </w:r>
    </w:p>
    <w:p w14:paraId="260B0EA5" w14:textId="77777777" w:rsidR="00B962C7" w:rsidRPr="00B962C7" w:rsidRDefault="00B962C7" w:rsidP="007005AB">
      <w:pPr>
        <w:spacing w:line="360" w:lineRule="auto"/>
        <w:jc w:val="both"/>
        <w:rPr>
          <w:rFonts w:ascii="Calibri" w:hAnsi="Calibri" w:cs="Calibri"/>
        </w:rPr>
      </w:pPr>
      <w:r w:rsidRPr="00B962C7">
        <w:rPr>
          <w:rFonts w:ascii="Calibri" w:hAnsi="Calibri" w:cs="Calibri"/>
        </w:rPr>
        <w:t>By implementing these targeted and time-bound solutions, universities and employers can bridge the accessibility gap in WBL, ensuring that non-traditional students have the same opportunities to develop industry-relevant skills and enhance their employability as their traditional counterparts.</w:t>
      </w:r>
    </w:p>
    <w:p w14:paraId="1BB58A00" w14:textId="77777777" w:rsidR="00B962C7" w:rsidRPr="007005AB" w:rsidRDefault="00B962C7" w:rsidP="007005AB">
      <w:pPr>
        <w:pStyle w:val="Heading2"/>
        <w:spacing w:line="360" w:lineRule="auto"/>
        <w:jc w:val="both"/>
        <w:rPr>
          <w:rFonts w:ascii="Calibri" w:hAnsi="Calibri" w:cs="Calibri"/>
        </w:rPr>
      </w:pPr>
      <w:bookmarkStart w:id="26" w:name="_Toc194050054"/>
      <w:r w:rsidRPr="007005AB">
        <w:rPr>
          <w:rFonts w:ascii="Calibri" w:hAnsi="Calibri" w:cs="Calibri"/>
        </w:rPr>
        <w:t>5.3 Future Research Directions</w:t>
      </w:r>
      <w:bookmarkEnd w:id="26"/>
    </w:p>
    <w:p w14:paraId="1E7BDE8B" w14:textId="77777777" w:rsidR="00B962C7" w:rsidRPr="00B962C7" w:rsidRDefault="00B962C7" w:rsidP="007005AB">
      <w:pPr>
        <w:spacing w:line="360" w:lineRule="auto"/>
        <w:jc w:val="both"/>
        <w:rPr>
          <w:rFonts w:ascii="Calibri" w:hAnsi="Calibri" w:cs="Calibri"/>
        </w:rPr>
      </w:pPr>
      <w:r w:rsidRPr="00B962C7">
        <w:rPr>
          <w:rFonts w:ascii="Calibri" w:hAnsi="Calibri" w:cs="Calibri"/>
        </w:rPr>
        <w:t>While this study provides a comprehensive analysis of WBL’s impact on non-traditional students, it is limited by its reliance on secondary data. Future research should incorporate primary data collection, such as interviews with students, educators, and employers, to gain first-hand insights into WBL challenges and opportunities. Comparative studies across different regions or education systems could further enhance understanding of best practices in employer-university collaboration. Additionally, longitudinal research tracking the career outcomes of WBL participants over time would provide deeper insights into the long-term benefits and limitations of work-integrated learning.</w:t>
      </w:r>
    </w:p>
    <w:p w14:paraId="7E722254" w14:textId="77777777" w:rsidR="002C16C0" w:rsidRDefault="00B962C7" w:rsidP="002C16C0">
      <w:pPr>
        <w:spacing w:line="360" w:lineRule="auto"/>
        <w:jc w:val="both"/>
        <w:rPr>
          <w:rFonts w:ascii="Calibri" w:hAnsi="Calibri" w:cs="Calibri"/>
        </w:rPr>
      </w:pPr>
      <w:r w:rsidRPr="00B962C7">
        <w:rPr>
          <w:rFonts w:ascii="Calibri" w:hAnsi="Calibri" w:cs="Calibri"/>
        </w:rPr>
        <w:t>As WBL continues to evolve, ongoing Action Research will be essential in refining policies and practices to ensure that all learners, regardless of background, can fully benefit from work-integrated education.</w:t>
      </w:r>
    </w:p>
    <w:p w14:paraId="26DF1208" w14:textId="77777777" w:rsidR="002C16C0" w:rsidRDefault="002C16C0" w:rsidP="002C16C0">
      <w:pPr>
        <w:spacing w:line="360" w:lineRule="auto"/>
        <w:jc w:val="both"/>
        <w:rPr>
          <w:rFonts w:ascii="Calibri" w:hAnsi="Calibri" w:cs="Calibri"/>
        </w:rPr>
      </w:pPr>
    </w:p>
    <w:p w14:paraId="27DFB60B" w14:textId="77777777" w:rsidR="002C16C0" w:rsidRDefault="002C16C0" w:rsidP="002C16C0">
      <w:pPr>
        <w:spacing w:line="360" w:lineRule="auto"/>
        <w:jc w:val="both"/>
        <w:rPr>
          <w:rFonts w:ascii="Calibri" w:hAnsi="Calibri" w:cs="Calibri"/>
        </w:rPr>
      </w:pPr>
    </w:p>
    <w:p w14:paraId="57187A61" w14:textId="05ED0C55" w:rsidR="002C16C0" w:rsidRDefault="000A5DC2" w:rsidP="002C16C0">
      <w:pPr>
        <w:spacing w:line="360" w:lineRule="auto"/>
        <w:jc w:val="both"/>
        <w:rPr>
          <w:rFonts w:ascii="Calibri" w:hAnsi="Calibri" w:cs="Calibri"/>
        </w:rPr>
      </w:pPr>
      <w:r w:rsidRPr="00A67917">
        <w:rPr>
          <w:rFonts w:ascii="Calibri" w:hAnsi="Calibri" w:cs="Calibri"/>
          <w:b/>
          <w:bCs/>
        </w:rPr>
        <w:t>Word count:</w:t>
      </w:r>
      <w:r>
        <w:rPr>
          <w:rFonts w:ascii="Calibri" w:hAnsi="Calibri" w:cs="Calibri"/>
        </w:rPr>
        <w:t xml:space="preserve"> 4</w:t>
      </w:r>
      <w:r w:rsidR="003D4A12">
        <w:rPr>
          <w:rFonts w:ascii="Calibri" w:hAnsi="Calibri" w:cs="Calibri"/>
        </w:rPr>
        <w:t>3</w:t>
      </w:r>
      <w:r w:rsidR="000D32B5">
        <w:rPr>
          <w:rFonts w:ascii="Calibri" w:hAnsi="Calibri" w:cs="Calibri"/>
        </w:rPr>
        <w:t>66</w:t>
      </w:r>
    </w:p>
    <w:p w14:paraId="0262AAE3" w14:textId="77777777" w:rsidR="002C16C0" w:rsidRDefault="002C16C0" w:rsidP="002C16C0">
      <w:pPr>
        <w:spacing w:line="360" w:lineRule="auto"/>
        <w:jc w:val="both"/>
        <w:rPr>
          <w:rFonts w:ascii="Calibri" w:hAnsi="Calibri" w:cs="Calibri"/>
        </w:rPr>
      </w:pPr>
    </w:p>
    <w:p w14:paraId="2CD8D2AF" w14:textId="77777777" w:rsidR="002C16C0" w:rsidRDefault="002C16C0" w:rsidP="002C16C0">
      <w:pPr>
        <w:spacing w:line="360" w:lineRule="auto"/>
        <w:jc w:val="both"/>
        <w:rPr>
          <w:rFonts w:ascii="Calibri" w:hAnsi="Calibri" w:cs="Calibri"/>
        </w:rPr>
        <w:sectPr w:rsidR="002C16C0">
          <w:pgSz w:w="11906" w:h="16838"/>
          <w:pgMar w:top="1440" w:right="1440" w:bottom="1440" w:left="1440" w:header="708" w:footer="708" w:gutter="0"/>
          <w:cols w:space="708"/>
          <w:docGrid w:linePitch="360"/>
        </w:sectPr>
      </w:pPr>
    </w:p>
    <w:p w14:paraId="1D211CB7" w14:textId="6C0C5877" w:rsidR="007522C5" w:rsidRPr="007917B2" w:rsidRDefault="007522C5" w:rsidP="002C16C0">
      <w:pPr>
        <w:pStyle w:val="Heading1"/>
      </w:pPr>
      <w:bookmarkStart w:id="27" w:name="_Toc194050055"/>
      <w:r w:rsidRPr="007917B2">
        <w:lastRenderedPageBreak/>
        <w:t>Reference List</w:t>
      </w:r>
      <w:bookmarkEnd w:id="27"/>
    </w:p>
    <w:p w14:paraId="1D0B3357"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heme="majorEastAsia" w:hAnsi="Calibri" w:cs="Calibri"/>
        </w:rPr>
        <w:t xml:space="preserve">Advance HE (2023) </w:t>
      </w:r>
      <w:r w:rsidRPr="0058603D">
        <w:rPr>
          <w:rFonts w:ascii="Calibri" w:eastAsiaTheme="majorEastAsia" w:hAnsi="Calibri" w:cs="Calibri"/>
          <w:i/>
          <w:iCs/>
        </w:rPr>
        <w:t>UK Professional Standards Framework for Teaching and Supporting Learning in Higher Education</w:t>
      </w:r>
      <w:r w:rsidRPr="0058603D">
        <w:rPr>
          <w:rFonts w:ascii="Calibri" w:eastAsiaTheme="majorEastAsia" w:hAnsi="Calibri" w:cs="Calibri"/>
        </w:rPr>
        <w:t xml:space="preserve">. Available at: https://www.advance-he.ac.uk/teaching-and-learning/psf </w:t>
      </w:r>
      <w:r w:rsidRPr="0058603D">
        <w:rPr>
          <w:rFonts w:ascii="Calibri" w:eastAsia="Times New Roman" w:hAnsi="Calibri" w:cs="Calibri"/>
          <w:kern w:val="0"/>
          <w14:ligatures w14:val="none"/>
        </w:rPr>
        <w:t>(Accessed: 10 March 2025).</w:t>
      </w:r>
    </w:p>
    <w:p w14:paraId="51BD5A1C" w14:textId="77777777" w:rsidR="0058603D" w:rsidRPr="0058603D" w:rsidRDefault="0058603D" w:rsidP="007917B2">
      <w:pPr>
        <w:jc w:val="both"/>
        <w:rPr>
          <w:rFonts w:ascii="Calibri" w:eastAsiaTheme="majorEastAsia" w:hAnsi="Calibri" w:cs="Calibri"/>
        </w:rPr>
      </w:pPr>
      <w:r w:rsidRPr="0058603D">
        <w:rPr>
          <w:rFonts w:ascii="Calibri" w:eastAsiaTheme="majorEastAsia" w:hAnsi="Calibri" w:cs="Calibri"/>
        </w:rPr>
        <w:t xml:space="preserve">Advance HE (2025) </w:t>
      </w:r>
      <w:r w:rsidRPr="0058603D">
        <w:rPr>
          <w:rFonts w:ascii="Calibri" w:eastAsiaTheme="majorEastAsia" w:hAnsi="Calibri" w:cs="Calibri"/>
          <w:i/>
          <w:iCs/>
        </w:rPr>
        <w:t>Advance HE Strategy 2030: Transforming Higher Education</w:t>
      </w:r>
      <w:r w:rsidRPr="0058603D">
        <w:rPr>
          <w:rFonts w:ascii="Calibri" w:eastAsiaTheme="majorEastAsia" w:hAnsi="Calibri" w:cs="Calibri"/>
        </w:rPr>
        <w:t>. Available at: AHE-Strategy-2030-V2.pdf (Accessed: 13 March 2025).</w:t>
      </w:r>
    </w:p>
    <w:p w14:paraId="6836C547"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Archer, W. and Davison, J. (2008) </w:t>
      </w:r>
      <w:r w:rsidRPr="0058603D">
        <w:rPr>
          <w:rFonts w:ascii="Calibri" w:eastAsia="Times New Roman" w:hAnsi="Calibri" w:cs="Calibri"/>
          <w:i/>
          <w:iCs/>
          <w:kern w:val="0"/>
          <w14:ligatures w14:val="none"/>
        </w:rPr>
        <w:t>Graduate employability: The views of employers</w:t>
      </w:r>
      <w:r w:rsidRPr="0058603D">
        <w:rPr>
          <w:rFonts w:ascii="Calibri" w:eastAsia="Times New Roman" w:hAnsi="Calibri" w:cs="Calibri"/>
          <w:kern w:val="0"/>
          <w14:ligatures w14:val="none"/>
        </w:rPr>
        <w:t>. London: The Council for Industry and Higher Education.</w:t>
      </w:r>
    </w:p>
    <w:p w14:paraId="183B1E38" w14:textId="77777777" w:rsidR="0058603D" w:rsidRPr="0058603D" w:rsidRDefault="0058603D" w:rsidP="007917B2">
      <w:pPr>
        <w:jc w:val="both"/>
        <w:rPr>
          <w:rFonts w:ascii="Calibri" w:hAnsi="Calibri" w:cs="Calibri"/>
        </w:rPr>
      </w:pPr>
      <w:r w:rsidRPr="00782447">
        <w:rPr>
          <w:rFonts w:ascii="Calibri" w:hAnsi="Calibri" w:cs="Calibri"/>
        </w:rPr>
        <w:t xml:space="preserve">Arum, R. and </w:t>
      </w:r>
      <w:proofErr w:type="spellStart"/>
      <w:r w:rsidRPr="00782447">
        <w:rPr>
          <w:rFonts w:ascii="Calibri" w:hAnsi="Calibri" w:cs="Calibri"/>
        </w:rPr>
        <w:t>Roksa</w:t>
      </w:r>
      <w:proofErr w:type="spellEnd"/>
      <w:r w:rsidRPr="00782447">
        <w:rPr>
          <w:rFonts w:ascii="Calibri" w:hAnsi="Calibri" w:cs="Calibri"/>
        </w:rPr>
        <w:t xml:space="preserve">, J. (2011) </w:t>
      </w:r>
      <w:r w:rsidRPr="00782447">
        <w:rPr>
          <w:rFonts w:ascii="Calibri" w:hAnsi="Calibri" w:cs="Calibri"/>
          <w:i/>
          <w:iCs/>
        </w:rPr>
        <w:t>Academically Adrift: Limited Learning on College Campuses</w:t>
      </w:r>
      <w:r w:rsidRPr="00782447">
        <w:rPr>
          <w:rFonts w:ascii="Calibri" w:hAnsi="Calibri" w:cs="Calibri"/>
        </w:rPr>
        <w:t>. Chicago: University of Chicago Press.</w:t>
      </w:r>
    </w:p>
    <w:p w14:paraId="2F0313A0"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Asiri, A. (2021) </w:t>
      </w:r>
      <w:r w:rsidRPr="0058603D">
        <w:rPr>
          <w:rFonts w:ascii="Calibri" w:eastAsia="Times New Roman" w:hAnsi="Calibri" w:cs="Calibri"/>
          <w:i/>
          <w:iCs/>
          <w:kern w:val="0"/>
          <w14:ligatures w14:val="none"/>
        </w:rPr>
        <w:t>Development of Key Employability Skills for Business Students in Higher Education : Evaluation of a Business Simulation Game as a Method to Enhance Employability</w:t>
      </w:r>
      <w:r w:rsidRPr="0058603D">
        <w:rPr>
          <w:rFonts w:ascii="Calibri" w:eastAsia="Times New Roman" w:hAnsi="Calibri" w:cs="Calibri"/>
          <w:kern w:val="0"/>
          <w14:ligatures w14:val="none"/>
        </w:rPr>
        <w:t>. ProQuest Dissertations &amp; Theses.</w:t>
      </w:r>
    </w:p>
    <w:p w14:paraId="2414AD54" w14:textId="77777777" w:rsidR="0058603D" w:rsidRPr="002069CB" w:rsidRDefault="0058603D" w:rsidP="007917B2">
      <w:pPr>
        <w:jc w:val="both"/>
        <w:rPr>
          <w:rFonts w:ascii="Calibri" w:hAnsi="Calibri" w:cs="Calibri"/>
        </w:rPr>
      </w:pPr>
      <w:r w:rsidRPr="002069CB">
        <w:rPr>
          <w:rFonts w:ascii="Calibri" w:hAnsi="Calibri" w:cs="Calibri"/>
        </w:rPr>
        <w:t>Bell, J.</w:t>
      </w:r>
      <w:r w:rsidRPr="0058603D">
        <w:rPr>
          <w:rFonts w:ascii="Calibri" w:hAnsi="Calibri" w:cs="Calibri"/>
        </w:rPr>
        <w:t>, Waters, S. and Jonhson, H.</w:t>
      </w:r>
      <w:r w:rsidRPr="002069CB">
        <w:rPr>
          <w:rFonts w:ascii="Calibri" w:hAnsi="Calibri" w:cs="Calibri"/>
        </w:rPr>
        <w:t xml:space="preserve"> (20</w:t>
      </w:r>
      <w:r w:rsidRPr="0058603D">
        <w:rPr>
          <w:rFonts w:ascii="Calibri" w:hAnsi="Calibri" w:cs="Calibri"/>
        </w:rPr>
        <w:t>24</w:t>
      </w:r>
      <w:r w:rsidRPr="002069CB">
        <w:rPr>
          <w:rFonts w:ascii="Calibri" w:hAnsi="Calibri" w:cs="Calibri"/>
        </w:rPr>
        <w:t xml:space="preserve">) </w:t>
      </w:r>
      <w:r w:rsidRPr="002069CB">
        <w:rPr>
          <w:rFonts w:ascii="Calibri" w:hAnsi="Calibri" w:cs="Calibri"/>
          <w:i/>
          <w:iCs/>
        </w:rPr>
        <w:t>Doing Your Research Project: A Guide for First-Time Researchers</w:t>
      </w:r>
      <w:r w:rsidRPr="002069CB">
        <w:rPr>
          <w:rFonts w:ascii="Calibri" w:hAnsi="Calibri" w:cs="Calibri"/>
        </w:rPr>
        <w:t xml:space="preserve">. </w:t>
      </w:r>
      <w:r w:rsidRPr="0058603D">
        <w:rPr>
          <w:rFonts w:ascii="Calibri" w:hAnsi="Calibri" w:cs="Calibri"/>
        </w:rPr>
        <w:t>8</w:t>
      </w:r>
      <w:r w:rsidRPr="002069CB">
        <w:rPr>
          <w:rFonts w:ascii="Calibri" w:hAnsi="Calibri" w:cs="Calibri"/>
        </w:rPr>
        <w:t xml:space="preserve">th </w:t>
      </w:r>
      <w:proofErr w:type="spellStart"/>
      <w:r w:rsidRPr="002069CB">
        <w:rPr>
          <w:rFonts w:ascii="Calibri" w:hAnsi="Calibri" w:cs="Calibri"/>
        </w:rPr>
        <w:t>edn</w:t>
      </w:r>
      <w:proofErr w:type="spellEnd"/>
      <w:r w:rsidRPr="002069CB">
        <w:rPr>
          <w:rFonts w:ascii="Calibri" w:hAnsi="Calibri" w:cs="Calibri"/>
        </w:rPr>
        <w:t xml:space="preserve">. London: </w:t>
      </w:r>
      <w:r w:rsidRPr="0058603D">
        <w:rPr>
          <w:rFonts w:ascii="Calibri" w:hAnsi="Calibri" w:cs="Calibri"/>
        </w:rPr>
        <w:t>McGraw Hill</w:t>
      </w:r>
    </w:p>
    <w:p w14:paraId="484A3EF0"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Belzer, A. and </w:t>
      </w:r>
      <w:proofErr w:type="spellStart"/>
      <w:r w:rsidRPr="0058603D">
        <w:rPr>
          <w:rFonts w:ascii="Calibri" w:eastAsia="Times New Roman" w:hAnsi="Calibri" w:cs="Calibri"/>
          <w:kern w:val="0"/>
          <w14:ligatures w14:val="none"/>
        </w:rPr>
        <w:t>Dashew</w:t>
      </w:r>
      <w:proofErr w:type="spellEnd"/>
      <w:r w:rsidRPr="0058603D">
        <w:rPr>
          <w:rFonts w:ascii="Calibri" w:eastAsia="Times New Roman" w:hAnsi="Calibri" w:cs="Calibri"/>
          <w:kern w:val="0"/>
          <w14:ligatures w14:val="none"/>
        </w:rPr>
        <w:t>, B. (2023) </w:t>
      </w:r>
      <w:r w:rsidRPr="0058603D">
        <w:rPr>
          <w:rFonts w:ascii="Calibri" w:eastAsia="Times New Roman" w:hAnsi="Calibri" w:cs="Calibri"/>
          <w:i/>
          <w:iCs/>
          <w:kern w:val="0"/>
          <w14:ligatures w14:val="none"/>
        </w:rPr>
        <w:t>Understanding the Adult Learner: Perspectives and Practices</w:t>
      </w:r>
      <w:r w:rsidRPr="0058603D">
        <w:rPr>
          <w:rFonts w:ascii="Calibri" w:eastAsia="Times New Roman" w:hAnsi="Calibri" w:cs="Calibri"/>
          <w:kern w:val="0"/>
          <w14:ligatures w14:val="none"/>
        </w:rPr>
        <w:t>, </w:t>
      </w:r>
      <w:r w:rsidRPr="0058603D">
        <w:rPr>
          <w:rFonts w:ascii="Calibri" w:eastAsia="Times New Roman" w:hAnsi="Calibri" w:cs="Calibri"/>
          <w:i/>
          <w:iCs/>
          <w:kern w:val="0"/>
          <w14:ligatures w14:val="none"/>
        </w:rPr>
        <w:t>Stylus Publishing LLC</w:t>
      </w:r>
      <w:r w:rsidRPr="0058603D">
        <w:rPr>
          <w:rFonts w:ascii="Calibri" w:eastAsia="Times New Roman" w:hAnsi="Calibri" w:cs="Calibri"/>
          <w:kern w:val="0"/>
          <w14:ligatures w14:val="none"/>
        </w:rPr>
        <w:t xml:space="preserve">. Stylus Publishing LLC. Available at: </w:t>
      </w:r>
      <w:hyperlink r:id="rId10" w:history="1">
        <w:r w:rsidRPr="0058603D">
          <w:rPr>
            <w:rStyle w:val="Hyperlink"/>
            <w:rFonts w:ascii="Calibri" w:eastAsia="Times New Roman" w:hAnsi="Calibri" w:cs="Calibri"/>
            <w:color w:val="auto"/>
            <w:kern w:val="0"/>
            <w:u w:val="none"/>
            <w14:ligatures w14:val="none"/>
          </w:rPr>
          <w:t>https://doi.org/10.4324/9781003448471</w:t>
        </w:r>
      </w:hyperlink>
      <w:r w:rsidRPr="0058603D">
        <w:rPr>
          <w:rFonts w:ascii="Calibri" w:eastAsia="Times New Roman" w:hAnsi="Calibri" w:cs="Calibri"/>
          <w:kern w:val="0"/>
          <w14:ligatures w14:val="none"/>
        </w:rPr>
        <w:t>.</w:t>
      </w:r>
    </w:p>
    <w:p w14:paraId="635D6BB4" w14:textId="77777777" w:rsidR="0058603D" w:rsidRPr="002069CB" w:rsidRDefault="0058603D" w:rsidP="007917B2">
      <w:pPr>
        <w:jc w:val="both"/>
        <w:rPr>
          <w:rFonts w:ascii="Calibri" w:hAnsi="Calibri" w:cs="Calibri"/>
        </w:rPr>
      </w:pPr>
      <w:r w:rsidRPr="002069CB">
        <w:rPr>
          <w:rFonts w:ascii="Calibri" w:hAnsi="Calibri" w:cs="Calibri"/>
        </w:rPr>
        <w:t xml:space="preserve">BERA (2018) </w:t>
      </w:r>
      <w:r w:rsidRPr="002069CB">
        <w:rPr>
          <w:rFonts w:ascii="Calibri" w:hAnsi="Calibri" w:cs="Calibri"/>
          <w:i/>
          <w:iCs/>
        </w:rPr>
        <w:t>Ethical Guidelines for Educational Research</w:t>
      </w:r>
      <w:r w:rsidRPr="002069CB">
        <w:rPr>
          <w:rFonts w:ascii="Calibri" w:hAnsi="Calibri" w:cs="Calibri"/>
        </w:rPr>
        <w:t>. British Educational Research Association. Available at: https://www.bera.ac.uk/publication/ethical-guidelines-for-educational-research (Accessed: 10 March 2025).</w:t>
      </w:r>
    </w:p>
    <w:p w14:paraId="11F9D586" w14:textId="77777777" w:rsidR="0058603D" w:rsidRPr="002069CB" w:rsidRDefault="0058603D" w:rsidP="007917B2">
      <w:pPr>
        <w:jc w:val="both"/>
        <w:rPr>
          <w:rFonts w:ascii="Calibri" w:hAnsi="Calibri" w:cs="Calibri"/>
        </w:rPr>
      </w:pPr>
      <w:r w:rsidRPr="002069CB">
        <w:rPr>
          <w:rFonts w:ascii="Calibri" w:hAnsi="Calibri" w:cs="Calibri"/>
        </w:rPr>
        <w:t xml:space="preserve">Booth, A., Sutton, A. and Papaioannou, D. (2016) </w:t>
      </w:r>
      <w:r w:rsidRPr="002069CB">
        <w:rPr>
          <w:rFonts w:ascii="Calibri" w:hAnsi="Calibri" w:cs="Calibri"/>
          <w:i/>
          <w:iCs/>
        </w:rPr>
        <w:t>Systematic Approaches to a Successful Literature Review</w:t>
      </w:r>
      <w:r w:rsidRPr="002069CB">
        <w:rPr>
          <w:rFonts w:ascii="Calibri" w:hAnsi="Calibri" w:cs="Calibri"/>
        </w:rPr>
        <w:t>. London: SAGE.</w:t>
      </w:r>
    </w:p>
    <w:p w14:paraId="3881363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Boud, D. and Garrick, J. (2020) </w:t>
      </w:r>
      <w:r w:rsidRPr="0058603D">
        <w:rPr>
          <w:rFonts w:ascii="Calibri" w:eastAsia="Times New Roman" w:hAnsi="Calibri" w:cs="Calibri"/>
          <w:i/>
          <w:iCs/>
          <w:kern w:val="0"/>
          <w14:ligatures w14:val="none"/>
        </w:rPr>
        <w:t>Understanding Learning at Work: Lessons for Higher Education</w:t>
      </w:r>
      <w:r w:rsidRPr="0058603D">
        <w:rPr>
          <w:rFonts w:ascii="Calibri" w:eastAsia="Times New Roman" w:hAnsi="Calibri" w:cs="Calibri"/>
          <w:kern w:val="0"/>
          <w14:ligatures w14:val="none"/>
        </w:rPr>
        <w:t>. London: Routledge.</w:t>
      </w:r>
    </w:p>
    <w:p w14:paraId="5008DEB3" w14:textId="77777777" w:rsidR="0058603D" w:rsidRPr="0058603D" w:rsidRDefault="0058603D" w:rsidP="007917B2">
      <w:pPr>
        <w:jc w:val="both"/>
        <w:rPr>
          <w:rFonts w:ascii="Calibri" w:hAnsi="Calibri" w:cs="Calibri"/>
        </w:rPr>
      </w:pPr>
      <w:r w:rsidRPr="0058603D">
        <w:rPr>
          <w:rFonts w:ascii="Calibri" w:eastAsia="Times New Roman" w:hAnsi="Calibri" w:cs="Calibri"/>
          <w:kern w:val="0"/>
          <w14:ligatures w14:val="none"/>
        </w:rPr>
        <w:t>Carreira, P. and Lopes, A. S. (2019) ‘Drivers of academic pathways in higher education: traditional vs. non-traditional students’, </w:t>
      </w:r>
      <w:r w:rsidRPr="0058603D">
        <w:rPr>
          <w:rFonts w:ascii="Calibri" w:eastAsia="Times New Roman" w:hAnsi="Calibri" w:cs="Calibri"/>
          <w:i/>
          <w:iCs/>
          <w:kern w:val="0"/>
          <w14:ligatures w14:val="none"/>
        </w:rPr>
        <w:t>Studies in Higher Education</w:t>
      </w:r>
      <w:r w:rsidRPr="0058603D">
        <w:rPr>
          <w:rFonts w:ascii="Calibri" w:eastAsia="Times New Roman" w:hAnsi="Calibri" w:cs="Calibri"/>
          <w:kern w:val="0"/>
          <w14:ligatures w14:val="none"/>
        </w:rPr>
        <w:t>, 46(7), pp. 1340–1355. Available at: https://doi.org/10.1080/03075079.2019.1675621.</w:t>
      </w:r>
    </w:p>
    <w:p w14:paraId="7F545E40"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CBI Economics (2024) 'To what degree: Understanding what UK businesses look for in graduates.' Available at: </w:t>
      </w:r>
      <w:hyperlink r:id="rId11" w:tgtFrame="_new" w:history="1">
        <w:r w:rsidRPr="0058603D">
          <w:rPr>
            <w:rStyle w:val="Hyperlink"/>
            <w:rFonts w:ascii="Calibri" w:eastAsia="Times New Roman" w:hAnsi="Calibri" w:cs="Calibri"/>
            <w:color w:val="auto"/>
            <w:kern w:val="0"/>
            <w:u w:val="none"/>
            <w14:ligatures w14:val="none"/>
          </w:rPr>
          <w:t>https://www.coventry.ac.uk/news/2024/university-alliance-cbi-economics-report/</w:t>
        </w:r>
      </w:hyperlink>
      <w:r w:rsidRPr="0058603D">
        <w:rPr>
          <w:rFonts w:ascii="Calibri" w:eastAsia="Times New Roman" w:hAnsi="Calibri" w:cs="Calibri"/>
          <w:kern w:val="0"/>
          <w14:ligatures w14:val="none"/>
        </w:rPr>
        <w:t xml:space="preserve"> (Accessed: 13 March 2025).</w:t>
      </w:r>
    </w:p>
    <w:p w14:paraId="62B0CCA9"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Creswell, J. W. and Creswell, J. D. (2022) </w:t>
      </w:r>
      <w:r w:rsidRPr="0058603D">
        <w:rPr>
          <w:rFonts w:ascii="Calibri" w:eastAsia="Times New Roman" w:hAnsi="Calibri" w:cs="Calibri"/>
          <w:i/>
          <w:iCs/>
          <w:kern w:val="0"/>
          <w14:ligatures w14:val="none"/>
        </w:rPr>
        <w:t>Research Design: Qualitative, Quantitative, and Mixed Methods Approaches</w:t>
      </w:r>
      <w:r w:rsidRPr="0058603D">
        <w:rPr>
          <w:rFonts w:ascii="Calibri" w:eastAsia="Times New Roman" w:hAnsi="Calibri" w:cs="Calibri"/>
          <w:kern w:val="0"/>
          <w14:ligatures w14:val="none"/>
        </w:rPr>
        <w:t xml:space="preserve">. 6th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London: SAGE.</w:t>
      </w:r>
    </w:p>
    <w:p w14:paraId="33A862B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highlight w:val="yellow"/>
          <w14:ligatures w14:val="none"/>
        </w:rPr>
      </w:pPr>
      <w:r w:rsidRPr="0058603D">
        <w:rPr>
          <w:rFonts w:ascii="Calibri" w:eastAsia="Times New Roman" w:hAnsi="Calibri" w:cs="Calibri"/>
          <w:kern w:val="0"/>
          <w14:ligatures w14:val="none"/>
        </w:rPr>
        <w:lastRenderedPageBreak/>
        <w:t>Deissinger, T. (2015). The German dual vocational education and training system as 'good practice'?. Local Economy. Available at: https//doi.org/10.1177/0269094215589311.</w:t>
      </w:r>
    </w:p>
    <w:p w14:paraId="5DDFA87F"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proofErr w:type="spellStart"/>
      <w:r w:rsidRPr="0058603D">
        <w:rPr>
          <w:rFonts w:ascii="Calibri" w:eastAsia="Times New Roman" w:hAnsi="Calibri" w:cs="Calibri"/>
          <w:kern w:val="0"/>
          <w14:ligatures w14:val="none"/>
        </w:rPr>
        <w:t>Grummell</w:t>
      </w:r>
      <w:proofErr w:type="spellEnd"/>
      <w:r w:rsidRPr="0058603D">
        <w:rPr>
          <w:rFonts w:ascii="Calibri" w:eastAsia="Times New Roman" w:hAnsi="Calibri" w:cs="Calibri"/>
          <w:kern w:val="0"/>
          <w14:ligatures w14:val="none"/>
        </w:rPr>
        <w:t xml:space="preserve">, B. and Finnegan, F. (2020) ‘Access, participation and justice: non-traditional students and lifelong learning’, </w:t>
      </w:r>
      <w:r w:rsidRPr="0058603D">
        <w:rPr>
          <w:rFonts w:ascii="Calibri" w:eastAsia="Times New Roman" w:hAnsi="Calibri" w:cs="Calibri"/>
          <w:i/>
          <w:iCs/>
          <w:kern w:val="0"/>
          <w14:ligatures w14:val="none"/>
        </w:rPr>
        <w:t>International Journal of Lifelong Education</w:t>
      </w:r>
      <w:r w:rsidRPr="0058603D">
        <w:rPr>
          <w:rFonts w:ascii="Calibri" w:eastAsia="Times New Roman" w:hAnsi="Calibri" w:cs="Calibri"/>
          <w:kern w:val="0"/>
          <w14:ligatures w14:val="none"/>
        </w:rPr>
        <w:t>, 39(2), pp. 141–156. Available at: https//doi.org/10.1080/02601370.2020.1733166.</w:t>
      </w:r>
    </w:p>
    <w:p w14:paraId="684FFBCE" w14:textId="77777777" w:rsidR="0058603D" w:rsidRPr="0058603D" w:rsidRDefault="0058603D" w:rsidP="007917B2">
      <w:pPr>
        <w:jc w:val="both"/>
        <w:rPr>
          <w:rFonts w:ascii="Calibri" w:eastAsia="Times New Roman" w:hAnsi="Calibri" w:cs="Calibri"/>
          <w:kern w:val="0"/>
          <w14:ligatures w14:val="none"/>
        </w:rPr>
      </w:pPr>
      <w:proofErr w:type="spellStart"/>
      <w:r w:rsidRPr="0058603D">
        <w:rPr>
          <w:rFonts w:ascii="Calibri" w:eastAsia="Times New Roman" w:hAnsi="Calibri" w:cs="Calibri"/>
          <w:kern w:val="0"/>
          <w14:ligatures w14:val="none"/>
        </w:rPr>
        <w:t>Grummell</w:t>
      </w:r>
      <w:proofErr w:type="spellEnd"/>
      <w:r w:rsidRPr="0058603D">
        <w:rPr>
          <w:rFonts w:ascii="Calibri" w:eastAsia="Times New Roman" w:hAnsi="Calibri" w:cs="Calibri"/>
          <w:kern w:val="0"/>
          <w14:ligatures w14:val="none"/>
        </w:rPr>
        <w:t>, B. and Finnegan, F. (eds) (2020) </w:t>
      </w:r>
      <w:r w:rsidRPr="0058603D">
        <w:rPr>
          <w:rFonts w:ascii="Calibri" w:eastAsia="Times New Roman" w:hAnsi="Calibri" w:cs="Calibri"/>
          <w:i/>
          <w:iCs/>
          <w:kern w:val="0"/>
          <w14:ligatures w14:val="none"/>
        </w:rPr>
        <w:t>Doing Critical and Creative Research in Adult Education : Case Studies in Methodology and Theory</w:t>
      </w:r>
      <w:r w:rsidRPr="0058603D">
        <w:rPr>
          <w:rFonts w:ascii="Calibri" w:eastAsia="Times New Roman" w:hAnsi="Calibri" w:cs="Calibri"/>
          <w:kern w:val="0"/>
          <w14:ligatures w14:val="none"/>
        </w:rPr>
        <w:t xml:space="preserve">. First edition. Leiden, The Netherlands: Brill Sense. </w:t>
      </w:r>
    </w:p>
    <w:p w14:paraId="5F7C0EB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Hedge, J.W. and Carter, G.W. (2019) </w:t>
      </w:r>
      <w:r w:rsidRPr="0058603D">
        <w:rPr>
          <w:rFonts w:ascii="Calibri" w:eastAsia="Times New Roman" w:hAnsi="Calibri" w:cs="Calibri"/>
          <w:i/>
          <w:iCs/>
          <w:kern w:val="0"/>
          <w14:ligatures w14:val="none"/>
        </w:rPr>
        <w:t>Career Pathways: From School to Retirement</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w:t>
      </w:r>
      <w:r w:rsidRPr="0058603D">
        <w:rPr>
          <w:rFonts w:ascii="Calibri" w:eastAsia="Times New Roman" w:hAnsi="Calibri" w:cs="Calibri"/>
          <w:i/>
          <w:iCs/>
          <w:kern w:val="0"/>
          <w14:ligatures w14:val="none"/>
        </w:rPr>
        <w:t>Oxford University Press</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xml:space="preserve">. United Kingdom: Oxford University Press. Available at: </w:t>
      </w:r>
      <w:hyperlink r:id="rId12" w:history="1">
        <w:r w:rsidRPr="0058603D">
          <w:rPr>
            <w:rStyle w:val="Hyperlink"/>
            <w:rFonts w:ascii="Calibri" w:eastAsia="Times New Roman" w:hAnsi="Calibri" w:cs="Calibri"/>
            <w:color w:val="auto"/>
            <w:kern w:val="0"/>
            <w:u w:val="none"/>
            <w14:ligatures w14:val="none"/>
          </w:rPr>
          <w:t>https://doi.org/10.1093/oso/9780190907785.001.0001</w:t>
        </w:r>
      </w:hyperlink>
      <w:r w:rsidRPr="0058603D">
        <w:rPr>
          <w:rFonts w:ascii="Calibri" w:eastAsia="Times New Roman" w:hAnsi="Calibri" w:cs="Calibri"/>
          <w:kern w:val="0"/>
          <w14:ligatures w14:val="none"/>
        </w:rPr>
        <w:t>.</w:t>
      </w:r>
    </w:p>
    <w:p w14:paraId="354D4624"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Higher Education Statistics Agency (HESA) (2024) </w:t>
      </w:r>
      <w:r w:rsidRPr="0058603D">
        <w:rPr>
          <w:rFonts w:ascii="Calibri" w:eastAsia="Times New Roman" w:hAnsi="Calibri" w:cs="Calibri"/>
          <w:i/>
          <w:iCs/>
          <w:kern w:val="0"/>
          <w14:ligatures w14:val="none"/>
        </w:rPr>
        <w:t>Student Record Collection 2023/24: Introduction</w:t>
      </w:r>
      <w:r w:rsidRPr="0058603D">
        <w:rPr>
          <w:rFonts w:ascii="Calibri" w:eastAsia="Times New Roman" w:hAnsi="Calibri" w:cs="Calibri"/>
          <w:kern w:val="0"/>
          <w14:ligatures w14:val="none"/>
        </w:rPr>
        <w:t xml:space="preserve">. Available at: </w:t>
      </w:r>
      <w:hyperlink r:id="rId13" w:anchor=":~:text=The%20reporting%20period%20is%20from,or%20the%20minimum%20response%20required" w:tgtFrame="_new" w:history="1">
        <w:r w:rsidRPr="0058603D">
          <w:rPr>
            <w:rStyle w:val="Hyperlink"/>
            <w:rFonts w:ascii="Calibri" w:eastAsia="Times New Roman" w:hAnsi="Calibri" w:cs="Calibri"/>
            <w:color w:val="auto"/>
            <w:kern w:val="0"/>
            <w:u w:val="none"/>
            <w14:ligatures w14:val="none"/>
          </w:rPr>
          <w:t>https://www.hesa.ac.uk/collection/c23072/introduction</w:t>
        </w:r>
      </w:hyperlink>
      <w:r w:rsidRPr="0058603D">
        <w:rPr>
          <w:rFonts w:ascii="Calibri" w:eastAsia="Times New Roman" w:hAnsi="Calibri" w:cs="Calibri"/>
          <w:kern w:val="0"/>
          <w14:ligatures w14:val="none"/>
        </w:rPr>
        <w:t xml:space="preserve"> (Accessed: 10 March 2025).</w:t>
      </w:r>
    </w:p>
    <w:p w14:paraId="7088ADBD" w14:textId="77777777" w:rsidR="0058603D" w:rsidRPr="0058603D" w:rsidRDefault="0058603D" w:rsidP="007917B2">
      <w:pPr>
        <w:spacing w:before="100" w:beforeAutospacing="1" w:after="100" w:afterAutospacing="1" w:line="240" w:lineRule="auto"/>
        <w:jc w:val="both"/>
        <w:rPr>
          <w:rFonts w:ascii="Calibri" w:hAnsi="Calibri" w:cs="Calibri"/>
        </w:rPr>
      </w:pPr>
      <w:r w:rsidRPr="0058603D">
        <w:rPr>
          <w:rFonts w:ascii="Calibri" w:hAnsi="Calibri" w:cs="Calibri"/>
        </w:rPr>
        <w:t>Jackson, D. (2024). Work-integrated Learning: Opportunities and Challenges in Australia. Higher Education Research &amp; Development, 43(3), 767–773. Available at: </w:t>
      </w:r>
      <w:hyperlink r:id="rId14" w:history="1">
        <w:r w:rsidRPr="0058603D">
          <w:rPr>
            <w:rStyle w:val="Hyperlink"/>
            <w:rFonts w:ascii="Calibri" w:hAnsi="Calibri" w:cs="Calibri"/>
            <w:color w:val="auto"/>
            <w:u w:val="none"/>
          </w:rPr>
          <w:t>https://doi.org/10.1080/07294360.2024.2307929</w:t>
        </w:r>
      </w:hyperlink>
    </w:p>
    <w:p w14:paraId="467E239F" w14:textId="77777777" w:rsidR="0058603D" w:rsidRPr="0058603D" w:rsidRDefault="0058603D" w:rsidP="007917B2">
      <w:pPr>
        <w:jc w:val="both"/>
        <w:rPr>
          <w:rFonts w:ascii="Calibri" w:eastAsia="Times New Roman" w:hAnsi="Calibri" w:cs="Calibri"/>
          <w:kern w:val="0"/>
          <w14:ligatures w14:val="none"/>
        </w:rPr>
      </w:pPr>
      <w:r w:rsidRPr="0058603D">
        <w:rPr>
          <w:rFonts w:ascii="Calibri" w:eastAsia="Times New Roman" w:hAnsi="Calibri" w:cs="Calibri"/>
          <w:kern w:val="0"/>
          <w14:ligatures w14:val="none"/>
        </w:rPr>
        <w:t>James Relly, S. and Laczik, A. (2021) ‘Apprenticeship, employer engagement and vocational formation: a process of collaboration’, </w:t>
      </w:r>
      <w:r w:rsidRPr="0058603D">
        <w:rPr>
          <w:rFonts w:ascii="Calibri" w:eastAsia="Times New Roman" w:hAnsi="Calibri" w:cs="Calibri"/>
          <w:i/>
          <w:iCs/>
          <w:kern w:val="0"/>
          <w14:ligatures w14:val="none"/>
        </w:rPr>
        <w:t>Journal of Education and Work</w:t>
      </w:r>
      <w:r w:rsidRPr="0058603D">
        <w:rPr>
          <w:rFonts w:ascii="Calibri" w:eastAsia="Times New Roman" w:hAnsi="Calibri" w:cs="Calibri"/>
          <w:kern w:val="0"/>
          <w14:ligatures w14:val="none"/>
        </w:rPr>
        <w:t xml:space="preserve">, 35(1), pp. 1–15. </w:t>
      </w:r>
      <w:proofErr w:type="spellStart"/>
      <w:r w:rsidRPr="0058603D">
        <w:rPr>
          <w:rFonts w:ascii="Calibri" w:eastAsia="Times New Roman" w:hAnsi="Calibri" w:cs="Calibri"/>
          <w:kern w:val="0"/>
          <w14:ligatures w14:val="none"/>
        </w:rPr>
        <w:t>doi</w:t>
      </w:r>
      <w:proofErr w:type="spellEnd"/>
      <w:r w:rsidRPr="0058603D">
        <w:rPr>
          <w:rFonts w:ascii="Calibri" w:eastAsia="Times New Roman" w:hAnsi="Calibri" w:cs="Calibri"/>
          <w:kern w:val="0"/>
          <w14:ligatures w14:val="none"/>
        </w:rPr>
        <w:t>: 10.1080/13639080.2021.1983524.</w:t>
      </w:r>
    </w:p>
    <w:p w14:paraId="70295D41" w14:textId="77777777" w:rsidR="0058603D" w:rsidRPr="00782447" w:rsidRDefault="0058603D" w:rsidP="007917B2">
      <w:pPr>
        <w:jc w:val="both"/>
        <w:rPr>
          <w:rFonts w:ascii="Calibri" w:hAnsi="Calibri" w:cs="Calibri"/>
        </w:rPr>
      </w:pPr>
      <w:r w:rsidRPr="0058603D">
        <w:rPr>
          <w:rFonts w:ascii="Calibri" w:hAnsi="Calibri" w:cs="Calibri"/>
        </w:rPr>
        <w:t xml:space="preserve">Kemmis, S., McTaggart, R. and Nixon, R. (2014) </w:t>
      </w:r>
      <w:r w:rsidRPr="0058603D">
        <w:rPr>
          <w:rFonts w:ascii="Calibri" w:hAnsi="Calibri" w:cs="Calibri"/>
          <w:i/>
          <w:iCs/>
        </w:rPr>
        <w:t>The Action Research Planner: Doing Critical Participatory Action Research</w:t>
      </w:r>
      <w:r w:rsidRPr="0058603D">
        <w:rPr>
          <w:rFonts w:ascii="Calibri" w:hAnsi="Calibri" w:cs="Calibri"/>
        </w:rPr>
        <w:t>. Singapore: Springer</w:t>
      </w:r>
    </w:p>
    <w:p w14:paraId="7DEB864A"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McGurk, P. and Ingold, J. (2023) </w:t>
      </w:r>
      <w:r w:rsidRPr="0058603D">
        <w:rPr>
          <w:rFonts w:ascii="Calibri" w:eastAsia="Times New Roman" w:hAnsi="Calibri" w:cs="Calibri"/>
          <w:i/>
          <w:iCs/>
          <w:kern w:val="0"/>
          <w14:ligatures w14:val="none"/>
        </w:rPr>
        <w:t>Employer Engagement: Making Active Labour Market Policies Work</w:t>
      </w:r>
      <w:r w:rsidRPr="0058603D">
        <w:rPr>
          <w:rFonts w:ascii="Calibri" w:eastAsia="Times New Roman" w:hAnsi="Calibri" w:cs="Calibri"/>
          <w:kern w:val="0"/>
          <w14:ligatures w14:val="none"/>
        </w:rPr>
        <w:t xml:space="preserve">. 1st </w:t>
      </w:r>
      <w:proofErr w:type="spellStart"/>
      <w:r w:rsidRPr="0058603D">
        <w:rPr>
          <w:rFonts w:ascii="Calibri" w:eastAsia="Times New Roman" w:hAnsi="Calibri" w:cs="Calibri"/>
          <w:kern w:val="0"/>
          <w14:ligatures w14:val="none"/>
        </w:rPr>
        <w:t>edn</w:t>
      </w:r>
      <w:proofErr w:type="spellEnd"/>
      <w:r w:rsidRPr="0058603D">
        <w:rPr>
          <w:rFonts w:ascii="Calibri" w:eastAsia="Times New Roman" w:hAnsi="Calibri" w:cs="Calibri"/>
          <w:kern w:val="0"/>
          <w14:ligatures w14:val="none"/>
        </w:rPr>
        <w:t>. Bristol, UK: Bristol University Press. Available at: https://doi.org/10.46692/9781529223026.</w:t>
      </w:r>
    </w:p>
    <w:p w14:paraId="4F8BB281" w14:textId="77777777" w:rsidR="0058603D" w:rsidRPr="002069CB" w:rsidRDefault="0058603D" w:rsidP="007917B2">
      <w:pPr>
        <w:jc w:val="both"/>
        <w:rPr>
          <w:rFonts w:ascii="Calibri" w:hAnsi="Calibri" w:cs="Calibri"/>
        </w:rPr>
      </w:pPr>
      <w:r w:rsidRPr="002069CB">
        <w:rPr>
          <w:rFonts w:ascii="Calibri" w:hAnsi="Calibri" w:cs="Calibri"/>
        </w:rPr>
        <w:t>McNiff, J. (201</w:t>
      </w:r>
      <w:r w:rsidRPr="0058603D">
        <w:rPr>
          <w:rFonts w:ascii="Calibri" w:hAnsi="Calibri" w:cs="Calibri"/>
        </w:rPr>
        <w:t>7</w:t>
      </w:r>
      <w:r w:rsidRPr="002069CB">
        <w:rPr>
          <w:rFonts w:ascii="Calibri" w:hAnsi="Calibri" w:cs="Calibri"/>
        </w:rPr>
        <w:t xml:space="preserve">) </w:t>
      </w:r>
      <w:r w:rsidRPr="002069CB">
        <w:rPr>
          <w:rFonts w:ascii="Calibri" w:hAnsi="Calibri" w:cs="Calibri"/>
          <w:i/>
          <w:iCs/>
        </w:rPr>
        <w:t>All You Need to Know About Action Research</w:t>
      </w:r>
      <w:r w:rsidRPr="002069CB">
        <w:rPr>
          <w:rFonts w:ascii="Calibri" w:hAnsi="Calibri" w:cs="Calibri"/>
        </w:rPr>
        <w:t>. London: SAGE.</w:t>
      </w:r>
    </w:p>
    <w:p w14:paraId="3D4BCED0" w14:textId="77777777" w:rsidR="0058603D" w:rsidRPr="0058603D" w:rsidRDefault="0058603D" w:rsidP="007917B2">
      <w:pPr>
        <w:jc w:val="both"/>
        <w:rPr>
          <w:rFonts w:ascii="Calibri" w:hAnsi="Calibri" w:cs="Calibri"/>
        </w:rPr>
      </w:pPr>
      <w:proofErr w:type="spellStart"/>
      <w:r w:rsidRPr="0058603D">
        <w:rPr>
          <w:rFonts w:ascii="Calibri" w:hAnsi="Calibri" w:cs="Calibri"/>
        </w:rPr>
        <w:t>Medr</w:t>
      </w:r>
      <w:proofErr w:type="spellEnd"/>
      <w:r w:rsidRPr="0058603D">
        <w:rPr>
          <w:rFonts w:ascii="Calibri" w:hAnsi="Calibri" w:cs="Calibri"/>
        </w:rPr>
        <w:t xml:space="preserve"> (2025) </w:t>
      </w:r>
      <w:r w:rsidRPr="0058603D">
        <w:rPr>
          <w:rFonts w:ascii="Calibri" w:hAnsi="Calibri" w:cs="Calibri"/>
          <w:i/>
          <w:iCs/>
        </w:rPr>
        <w:t>Strategic Plan 2025-2030</w:t>
      </w:r>
      <w:r w:rsidRPr="0058603D">
        <w:rPr>
          <w:rFonts w:ascii="Calibri" w:hAnsi="Calibri" w:cs="Calibri"/>
        </w:rPr>
        <w:t>. Available at: https://www.medr.cymru/wp-content/uploads/2025/03/Medr-Strategic-Plan-2025-2030.pdf (Accessed: 13 March 2025).</w:t>
      </w:r>
    </w:p>
    <w:p w14:paraId="2049D423"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Merrill, B. (2018) </w:t>
      </w:r>
      <w:r w:rsidRPr="0058603D">
        <w:rPr>
          <w:rFonts w:ascii="Calibri" w:eastAsia="Times New Roman" w:hAnsi="Calibri" w:cs="Calibri"/>
          <w:i/>
          <w:iCs/>
          <w:kern w:val="0"/>
          <w14:ligatures w14:val="none"/>
        </w:rPr>
        <w:t>Continuity and discontinuity in learning careers : potentials for a learning space in a changing world</w:t>
      </w:r>
      <w:r w:rsidRPr="0058603D">
        <w:rPr>
          <w:rFonts w:ascii="Calibri" w:eastAsia="Times New Roman" w:hAnsi="Calibri" w:cs="Calibri"/>
          <w:kern w:val="0"/>
          <w14:ligatures w14:val="none"/>
        </w:rPr>
        <w:t>. Edited by B. Merrill. Leiden, The Netherlands ; Brill.</w:t>
      </w:r>
    </w:p>
    <w:p w14:paraId="4B5BFCA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Morley, D.A. (2021) </w:t>
      </w:r>
      <w:r w:rsidRPr="0058603D">
        <w:rPr>
          <w:rFonts w:ascii="Calibri" w:eastAsia="Times New Roman" w:hAnsi="Calibri" w:cs="Calibri"/>
          <w:i/>
          <w:iCs/>
          <w:kern w:val="0"/>
          <w14:ligatures w14:val="none"/>
        </w:rPr>
        <w:t>Applied Pedagogies for Higher Education : Real World Learning and Innovation across the Curriculum</w:t>
      </w:r>
      <w:r w:rsidRPr="0058603D">
        <w:rPr>
          <w:rFonts w:ascii="Calibri" w:eastAsia="Times New Roman" w:hAnsi="Calibri" w:cs="Calibri"/>
          <w:kern w:val="0"/>
          <w14:ligatures w14:val="none"/>
        </w:rPr>
        <w:t xml:space="preserve">. 1st ed. 2021. Edited by D.A. Morley and </w:t>
      </w:r>
      <w:proofErr w:type="spellStart"/>
      <w:r w:rsidRPr="0058603D">
        <w:rPr>
          <w:rFonts w:ascii="Calibri" w:eastAsia="Times New Roman" w:hAnsi="Calibri" w:cs="Calibri"/>
          <w:kern w:val="0"/>
          <w14:ligatures w14:val="none"/>
        </w:rPr>
        <w:t>M.Golam</w:t>
      </w:r>
      <w:proofErr w:type="spellEnd"/>
      <w:r w:rsidRPr="0058603D">
        <w:rPr>
          <w:rFonts w:ascii="Calibri" w:eastAsia="Times New Roman" w:hAnsi="Calibri" w:cs="Calibri"/>
          <w:kern w:val="0"/>
          <w14:ligatures w14:val="none"/>
        </w:rPr>
        <w:t xml:space="preserve">. Jamil. Cham: Springer International Publishing. Available at: </w:t>
      </w:r>
      <w:hyperlink r:id="rId15" w:history="1">
        <w:r w:rsidRPr="0058603D">
          <w:rPr>
            <w:rStyle w:val="Hyperlink"/>
            <w:rFonts w:ascii="Calibri" w:eastAsia="Times New Roman" w:hAnsi="Calibri" w:cs="Calibri"/>
            <w:color w:val="auto"/>
            <w:kern w:val="0"/>
            <w:u w:val="none"/>
            <w14:ligatures w14:val="none"/>
          </w:rPr>
          <w:t>https://doi.org/10.1007/978-3-030-46951-1</w:t>
        </w:r>
      </w:hyperlink>
      <w:r w:rsidRPr="0058603D">
        <w:rPr>
          <w:rFonts w:ascii="Calibri" w:eastAsia="Times New Roman" w:hAnsi="Calibri" w:cs="Calibri"/>
          <w:kern w:val="0"/>
          <w14:ligatures w14:val="none"/>
        </w:rPr>
        <w:t>.</w:t>
      </w:r>
    </w:p>
    <w:p w14:paraId="22F7BC5A"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lastRenderedPageBreak/>
        <w:t xml:space="preserve">National Audit Office (NAO) (2024) </w:t>
      </w:r>
      <w:r w:rsidRPr="0058603D">
        <w:rPr>
          <w:rFonts w:ascii="Calibri" w:eastAsia="Times New Roman" w:hAnsi="Calibri" w:cs="Calibri"/>
          <w:i/>
          <w:iCs/>
          <w:kern w:val="0"/>
          <w14:ligatures w14:val="none"/>
        </w:rPr>
        <w:t>Department for Education: Overview 2023-24</w:t>
      </w:r>
      <w:r w:rsidRPr="0058603D">
        <w:rPr>
          <w:rFonts w:ascii="Calibri" w:eastAsia="Times New Roman" w:hAnsi="Calibri" w:cs="Calibri"/>
          <w:kern w:val="0"/>
          <w14:ligatures w14:val="none"/>
        </w:rPr>
        <w:t xml:space="preserve">. Available at: </w:t>
      </w:r>
      <w:hyperlink r:id="rId16" w:tgtFrame="_new" w:history="1">
        <w:r w:rsidRPr="0058603D">
          <w:rPr>
            <w:rStyle w:val="Hyperlink"/>
            <w:rFonts w:ascii="Calibri" w:eastAsia="Times New Roman" w:hAnsi="Calibri" w:cs="Calibri"/>
            <w:color w:val="auto"/>
            <w:kern w:val="0"/>
            <w:u w:val="none"/>
            <w14:ligatures w14:val="none"/>
          </w:rPr>
          <w:t>https://www.nao.org.uk/wp-content/uploads/2024/10/department-for-education-overview-2023-24.pdf</w:t>
        </w:r>
      </w:hyperlink>
      <w:r w:rsidRPr="0058603D">
        <w:rPr>
          <w:rFonts w:ascii="Calibri" w:eastAsia="Times New Roman" w:hAnsi="Calibri" w:cs="Calibri"/>
          <w:kern w:val="0"/>
          <w14:ligatures w14:val="none"/>
        </w:rPr>
        <w:t xml:space="preserve"> (Accessed: 10 March 2025).</w:t>
      </w:r>
    </w:p>
    <w:p w14:paraId="150198F2"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Office for Students (2023) </w:t>
      </w:r>
      <w:r w:rsidRPr="0058603D">
        <w:rPr>
          <w:rFonts w:ascii="Calibri" w:eastAsia="Times New Roman" w:hAnsi="Calibri" w:cs="Calibri"/>
          <w:i/>
          <w:iCs/>
          <w:kern w:val="0"/>
          <w14:ligatures w14:val="none"/>
        </w:rPr>
        <w:t>Teaching Excellence Framework (TEF): Assessing employability outcomes</w:t>
      </w:r>
      <w:r w:rsidRPr="0058603D">
        <w:rPr>
          <w:rFonts w:ascii="Calibri" w:eastAsia="Times New Roman" w:hAnsi="Calibri" w:cs="Calibri"/>
          <w:kern w:val="0"/>
          <w14:ligatures w14:val="none"/>
        </w:rPr>
        <w:t xml:space="preserve">. Available at: </w:t>
      </w:r>
      <w:hyperlink r:id="rId17" w:tgtFrame="_new" w:history="1">
        <w:r w:rsidRPr="0058603D">
          <w:rPr>
            <w:rStyle w:val="Hyperlink"/>
            <w:rFonts w:ascii="Calibri" w:eastAsia="Times New Roman" w:hAnsi="Calibri" w:cs="Calibri"/>
            <w:color w:val="auto"/>
            <w:kern w:val="0"/>
            <w:u w:val="none"/>
            <w14:ligatures w14:val="none"/>
          </w:rPr>
          <w:t>https://www.officeforstudents.org.uk/for-providers/quality-and-standards/about-the-tef/</w:t>
        </w:r>
      </w:hyperlink>
      <w:r w:rsidRPr="0058603D">
        <w:rPr>
          <w:rFonts w:ascii="Calibri" w:eastAsia="Times New Roman" w:hAnsi="Calibri" w:cs="Calibri"/>
          <w:kern w:val="0"/>
          <w14:ligatures w14:val="none"/>
        </w:rPr>
        <w:t xml:space="preserve"> (Accessed: 10 March 2025).</w:t>
      </w:r>
    </w:p>
    <w:p w14:paraId="795543FE"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Office for Students (2024) </w:t>
      </w:r>
      <w:r w:rsidRPr="0058603D">
        <w:rPr>
          <w:rFonts w:ascii="Calibri" w:eastAsia="Times New Roman" w:hAnsi="Calibri" w:cs="Calibri"/>
          <w:i/>
          <w:iCs/>
          <w:kern w:val="0"/>
          <w14:ligatures w14:val="none"/>
        </w:rPr>
        <w:t>National Student Survey (NSS) Data</w:t>
      </w:r>
      <w:r w:rsidRPr="0058603D">
        <w:rPr>
          <w:rFonts w:ascii="Calibri" w:eastAsia="Times New Roman" w:hAnsi="Calibri" w:cs="Calibri"/>
          <w:kern w:val="0"/>
          <w14:ligatures w14:val="none"/>
        </w:rPr>
        <w:t xml:space="preserve">. Available at: </w:t>
      </w:r>
      <w:hyperlink r:id="rId18" w:tgtFrame="_new" w:history="1">
        <w:r w:rsidRPr="0058603D">
          <w:rPr>
            <w:rStyle w:val="Hyperlink"/>
            <w:rFonts w:ascii="Calibri" w:eastAsia="Times New Roman" w:hAnsi="Calibri" w:cs="Calibri"/>
            <w:color w:val="auto"/>
            <w:kern w:val="0"/>
            <w:u w:val="none"/>
            <w14:ligatures w14:val="none"/>
          </w:rPr>
          <w:t>https://www.officeforstudents.org.uk/data-and-analysis/national-student-survey-data/</w:t>
        </w:r>
      </w:hyperlink>
      <w:r w:rsidRPr="0058603D">
        <w:rPr>
          <w:rFonts w:ascii="Calibri" w:eastAsia="Times New Roman" w:hAnsi="Calibri" w:cs="Calibri"/>
          <w:kern w:val="0"/>
          <w14:ligatures w14:val="none"/>
        </w:rPr>
        <w:t xml:space="preserve"> (Accessed: 10 March 2025).</w:t>
      </w:r>
    </w:p>
    <w:p w14:paraId="571E5D6F" w14:textId="77777777" w:rsidR="0058603D" w:rsidRPr="0058603D" w:rsidRDefault="0058603D" w:rsidP="007917B2">
      <w:pPr>
        <w:jc w:val="both"/>
        <w:rPr>
          <w:rFonts w:ascii="Calibri" w:hAnsi="Calibri" w:cs="Calibri"/>
        </w:rPr>
      </w:pPr>
      <w:r w:rsidRPr="0058603D">
        <w:rPr>
          <w:rFonts w:ascii="Calibri" w:hAnsi="Calibri" w:cs="Calibri"/>
        </w:rPr>
        <w:t xml:space="preserve">Qualifications Wales (2025) </w:t>
      </w:r>
      <w:r w:rsidRPr="0058603D">
        <w:rPr>
          <w:rFonts w:ascii="Calibri" w:hAnsi="Calibri" w:cs="Calibri"/>
          <w:i/>
          <w:iCs/>
        </w:rPr>
        <w:t>New Approval Criteria for Hospitality and Catering Qualifications</w:t>
      </w:r>
      <w:r w:rsidRPr="0058603D">
        <w:rPr>
          <w:rFonts w:ascii="Calibri" w:hAnsi="Calibri" w:cs="Calibri"/>
        </w:rPr>
        <w:t>. Available at: https://qualifications.wales/news-views/new-approval-criteria-for-hospitality-and-catering-qualifications (Accessed: 10 March 2025).</w:t>
      </w:r>
    </w:p>
    <w:p w14:paraId="42F35666"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Quality Assurance Agency for Higher Education (QAA) (2018) </w:t>
      </w:r>
      <w:r w:rsidRPr="0058603D">
        <w:rPr>
          <w:rFonts w:ascii="Calibri" w:eastAsia="Times New Roman" w:hAnsi="Calibri" w:cs="Calibri"/>
          <w:i/>
          <w:iCs/>
          <w:kern w:val="0"/>
          <w14:ligatures w14:val="none"/>
        </w:rPr>
        <w:t>Advice and Guidance: Work-Based Learning</w:t>
      </w:r>
      <w:r w:rsidRPr="0058603D">
        <w:rPr>
          <w:rFonts w:ascii="Calibri" w:eastAsia="Times New Roman" w:hAnsi="Calibri" w:cs="Calibri"/>
          <w:kern w:val="0"/>
          <w14:ligatures w14:val="none"/>
        </w:rPr>
        <w:t xml:space="preserve">. Available at: </w:t>
      </w:r>
      <w:hyperlink r:id="rId19" w:tgtFrame="_new" w:history="1">
        <w:r w:rsidRPr="0058603D">
          <w:rPr>
            <w:rStyle w:val="Hyperlink"/>
            <w:rFonts w:ascii="Calibri" w:eastAsia="Times New Roman" w:hAnsi="Calibri" w:cs="Calibri"/>
            <w:color w:val="auto"/>
            <w:kern w:val="0"/>
            <w:u w:val="none"/>
            <w14:ligatures w14:val="none"/>
          </w:rPr>
          <w:t>https://www.qaa.ac.uk/docs/qaa/quality-code/advice-and-guidance-work-based-learning.pdf?sfvrsn=f625c181_2</w:t>
        </w:r>
      </w:hyperlink>
      <w:r w:rsidRPr="0058603D">
        <w:rPr>
          <w:rFonts w:ascii="Calibri" w:eastAsia="Times New Roman" w:hAnsi="Calibri" w:cs="Calibri"/>
          <w:kern w:val="0"/>
          <w14:ligatures w14:val="none"/>
        </w:rPr>
        <w:t xml:space="preserve"> (Accessed: 13 March 2025).</w:t>
      </w:r>
    </w:p>
    <w:p w14:paraId="0C465030" w14:textId="77777777" w:rsidR="0058603D" w:rsidRPr="002069CB" w:rsidRDefault="0058603D" w:rsidP="007917B2">
      <w:pPr>
        <w:jc w:val="both"/>
        <w:rPr>
          <w:rFonts w:ascii="Calibri" w:hAnsi="Calibri" w:cs="Calibri"/>
        </w:rPr>
      </w:pPr>
      <w:r w:rsidRPr="002069CB">
        <w:rPr>
          <w:rFonts w:ascii="Calibri" w:hAnsi="Calibri" w:cs="Calibri"/>
        </w:rPr>
        <w:t>Saunders, M., Lewis, P. and Thornhill, A. (20</w:t>
      </w:r>
      <w:r w:rsidRPr="0058603D">
        <w:rPr>
          <w:rFonts w:ascii="Calibri" w:hAnsi="Calibri" w:cs="Calibri"/>
        </w:rPr>
        <w:t>24</w:t>
      </w:r>
      <w:r w:rsidRPr="002069CB">
        <w:rPr>
          <w:rFonts w:ascii="Calibri" w:hAnsi="Calibri" w:cs="Calibri"/>
        </w:rPr>
        <w:t xml:space="preserve">) </w:t>
      </w:r>
      <w:r w:rsidRPr="002069CB">
        <w:rPr>
          <w:rFonts w:ascii="Calibri" w:hAnsi="Calibri" w:cs="Calibri"/>
          <w:i/>
          <w:iCs/>
        </w:rPr>
        <w:t>Research Methods for Business Students</w:t>
      </w:r>
      <w:r w:rsidRPr="002069CB">
        <w:rPr>
          <w:rFonts w:ascii="Calibri" w:hAnsi="Calibri" w:cs="Calibri"/>
        </w:rPr>
        <w:t xml:space="preserve">. 8th </w:t>
      </w:r>
      <w:proofErr w:type="spellStart"/>
      <w:r w:rsidRPr="002069CB">
        <w:rPr>
          <w:rFonts w:ascii="Calibri" w:hAnsi="Calibri" w:cs="Calibri"/>
        </w:rPr>
        <w:t>edn</w:t>
      </w:r>
      <w:proofErr w:type="spellEnd"/>
      <w:r w:rsidRPr="002069CB">
        <w:rPr>
          <w:rFonts w:ascii="Calibri" w:hAnsi="Calibri" w:cs="Calibri"/>
        </w:rPr>
        <w:t>. Harlow: Pearson.</w:t>
      </w:r>
    </w:p>
    <w:p w14:paraId="007EFFB5" w14:textId="77777777" w:rsidR="0058603D" w:rsidRPr="002069CB" w:rsidRDefault="0058603D" w:rsidP="007917B2">
      <w:pPr>
        <w:jc w:val="both"/>
        <w:rPr>
          <w:rFonts w:ascii="Calibri" w:hAnsi="Calibri" w:cs="Calibri"/>
        </w:rPr>
      </w:pPr>
      <w:r w:rsidRPr="002069CB">
        <w:rPr>
          <w:rFonts w:ascii="Calibri" w:hAnsi="Calibri" w:cs="Calibri"/>
        </w:rPr>
        <w:t xml:space="preserve">Smith, L. (2020) </w:t>
      </w:r>
      <w:r w:rsidRPr="002069CB">
        <w:rPr>
          <w:rFonts w:ascii="Calibri" w:hAnsi="Calibri" w:cs="Calibri"/>
          <w:i/>
          <w:iCs/>
        </w:rPr>
        <w:t>Research Ethics in the Social Sciences: A Practical Guide</w:t>
      </w:r>
      <w:r w:rsidRPr="002069CB">
        <w:rPr>
          <w:rFonts w:ascii="Calibri" w:hAnsi="Calibri" w:cs="Calibri"/>
        </w:rPr>
        <w:t>. London: Bloomsbury.</w:t>
      </w:r>
    </w:p>
    <w:p w14:paraId="2324740F"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Sung, Y., </w:t>
      </w:r>
      <w:proofErr w:type="spellStart"/>
      <w:r w:rsidRPr="0058603D">
        <w:rPr>
          <w:rFonts w:ascii="Calibri" w:eastAsia="Times New Roman" w:hAnsi="Calibri" w:cs="Calibri"/>
          <w:kern w:val="0"/>
          <w14:ligatures w14:val="none"/>
        </w:rPr>
        <w:t>Sirakaya</w:t>
      </w:r>
      <w:proofErr w:type="spellEnd"/>
      <w:r w:rsidRPr="0058603D">
        <w:rPr>
          <w:rFonts w:ascii="Calibri" w:eastAsia="Times New Roman" w:hAnsi="Calibri" w:cs="Calibri"/>
          <w:kern w:val="0"/>
          <w14:ligatures w14:val="none"/>
        </w:rPr>
        <w:t xml:space="preserve">-Turk, E. and Sönmez, S. (2021) ‘The role of employer engagement in work-integrated learning programs: Best practices and challenges’, </w:t>
      </w:r>
      <w:r w:rsidRPr="0058603D">
        <w:rPr>
          <w:rFonts w:ascii="Calibri" w:eastAsia="Times New Roman" w:hAnsi="Calibri" w:cs="Calibri"/>
          <w:i/>
          <w:iCs/>
          <w:kern w:val="0"/>
          <w14:ligatures w14:val="none"/>
        </w:rPr>
        <w:t>Journal of Work-Integrated Learning</w:t>
      </w:r>
      <w:r w:rsidRPr="0058603D">
        <w:rPr>
          <w:rFonts w:ascii="Calibri" w:eastAsia="Times New Roman" w:hAnsi="Calibri" w:cs="Calibri"/>
          <w:kern w:val="0"/>
          <w14:ligatures w14:val="none"/>
        </w:rPr>
        <w:t>, 22(3), pp. 305–322. Available at: https//doi.org/10.1108/JWIL-06-2021-0057.</w:t>
      </w:r>
    </w:p>
    <w:p w14:paraId="48852ADB" w14:textId="77777777" w:rsidR="0058603D" w:rsidRPr="0058603D" w:rsidRDefault="0058603D" w:rsidP="007917B2">
      <w:pPr>
        <w:spacing w:before="100" w:beforeAutospacing="1" w:after="100" w:afterAutospacing="1" w:line="240" w:lineRule="auto"/>
        <w:jc w:val="both"/>
        <w:rPr>
          <w:rFonts w:ascii="Calibri" w:eastAsia="Times New Roman" w:hAnsi="Calibri" w:cs="Calibri"/>
          <w:kern w:val="0"/>
          <w14:ligatures w14:val="none"/>
        </w:rPr>
      </w:pPr>
      <w:r w:rsidRPr="0058603D">
        <w:rPr>
          <w:rFonts w:ascii="Calibri" w:eastAsia="Times New Roman" w:hAnsi="Calibri" w:cs="Calibri"/>
          <w:kern w:val="0"/>
          <w14:ligatures w14:val="none"/>
        </w:rPr>
        <w:t xml:space="preserve">Suyitno, S., </w:t>
      </w:r>
      <w:proofErr w:type="spellStart"/>
      <w:r w:rsidRPr="0058603D">
        <w:rPr>
          <w:rFonts w:ascii="Calibri" w:eastAsia="Times New Roman" w:hAnsi="Calibri" w:cs="Calibri"/>
          <w:kern w:val="0"/>
          <w14:ligatures w14:val="none"/>
        </w:rPr>
        <w:t>Nurtanto</w:t>
      </w:r>
      <w:proofErr w:type="spellEnd"/>
      <w:r w:rsidRPr="0058603D">
        <w:rPr>
          <w:rFonts w:ascii="Calibri" w:eastAsia="Times New Roman" w:hAnsi="Calibri" w:cs="Calibri"/>
          <w:kern w:val="0"/>
          <w14:ligatures w14:val="none"/>
        </w:rPr>
        <w:t xml:space="preserve">, M., </w:t>
      </w:r>
      <w:proofErr w:type="spellStart"/>
      <w:r w:rsidRPr="0058603D">
        <w:rPr>
          <w:rFonts w:ascii="Calibri" w:eastAsia="Times New Roman" w:hAnsi="Calibri" w:cs="Calibri"/>
          <w:kern w:val="0"/>
          <w14:ligatures w14:val="none"/>
        </w:rPr>
        <w:t>Jatmoko</w:t>
      </w:r>
      <w:proofErr w:type="spellEnd"/>
      <w:r w:rsidRPr="0058603D">
        <w:rPr>
          <w:rFonts w:ascii="Calibri" w:eastAsia="Times New Roman" w:hAnsi="Calibri" w:cs="Calibri"/>
          <w:kern w:val="0"/>
          <w14:ligatures w14:val="none"/>
        </w:rPr>
        <w:t xml:space="preserve">, D., </w:t>
      </w:r>
      <w:proofErr w:type="spellStart"/>
      <w:r w:rsidRPr="0058603D">
        <w:rPr>
          <w:rFonts w:ascii="Calibri" w:eastAsia="Times New Roman" w:hAnsi="Calibri" w:cs="Calibri"/>
          <w:kern w:val="0"/>
          <w14:ligatures w14:val="none"/>
        </w:rPr>
        <w:t>Widiyono</w:t>
      </w:r>
      <w:proofErr w:type="spellEnd"/>
      <w:r w:rsidRPr="0058603D">
        <w:rPr>
          <w:rFonts w:ascii="Calibri" w:eastAsia="Times New Roman" w:hAnsi="Calibri" w:cs="Calibri"/>
          <w:kern w:val="0"/>
          <w14:ligatures w14:val="none"/>
        </w:rPr>
        <w:t xml:space="preserve">, Y., Purwoko, R. Y., Abdillah, F., </w:t>
      </w:r>
      <w:proofErr w:type="spellStart"/>
      <w:r w:rsidRPr="0058603D">
        <w:rPr>
          <w:rFonts w:ascii="Calibri" w:eastAsia="Times New Roman" w:hAnsi="Calibri" w:cs="Calibri"/>
          <w:kern w:val="0"/>
          <w14:ligatures w14:val="none"/>
        </w:rPr>
        <w:t>Setuju</w:t>
      </w:r>
      <w:proofErr w:type="spellEnd"/>
      <w:r w:rsidRPr="0058603D">
        <w:rPr>
          <w:rFonts w:ascii="Calibri" w:eastAsia="Times New Roman" w:hAnsi="Calibri" w:cs="Calibri"/>
          <w:kern w:val="0"/>
          <w14:ligatures w14:val="none"/>
        </w:rPr>
        <w:t>, &amp; Hermawan, Y. (2025). The effect of work-based learning on employability skills: The role of self-efficacy and vocational identity. </w:t>
      </w:r>
      <w:r w:rsidRPr="0058603D">
        <w:rPr>
          <w:rFonts w:ascii="Calibri" w:eastAsia="Times New Roman" w:hAnsi="Calibri" w:cs="Calibri"/>
          <w:i/>
          <w:iCs/>
          <w:kern w:val="0"/>
          <w14:ligatures w14:val="none"/>
        </w:rPr>
        <w:t>European Journal of Educational Research, 14</w:t>
      </w:r>
      <w:r w:rsidRPr="0058603D">
        <w:rPr>
          <w:rFonts w:ascii="Calibri" w:eastAsia="Times New Roman" w:hAnsi="Calibri" w:cs="Calibri"/>
          <w:kern w:val="0"/>
          <w14:ligatures w14:val="none"/>
        </w:rPr>
        <w:t>(1), 309-321. Available at: https://doi.org/10.12973/eu-jer.14.1.309</w:t>
      </w:r>
    </w:p>
    <w:p w14:paraId="37C9FCDF" w14:textId="77777777" w:rsidR="0058603D" w:rsidRPr="002069CB" w:rsidRDefault="0058603D" w:rsidP="007917B2">
      <w:pPr>
        <w:jc w:val="both"/>
        <w:rPr>
          <w:rFonts w:ascii="Calibri" w:hAnsi="Calibri" w:cs="Calibri"/>
        </w:rPr>
      </w:pPr>
      <w:r w:rsidRPr="002069CB">
        <w:rPr>
          <w:rFonts w:ascii="Calibri" w:hAnsi="Calibri" w:cs="Calibri"/>
        </w:rPr>
        <w:t xml:space="preserve">Thomas, J. and Harden, A. (2008) ‘Methods for the thematic synthesis of qualitative research in systematic reviews’, </w:t>
      </w:r>
      <w:r w:rsidRPr="002069CB">
        <w:rPr>
          <w:rFonts w:ascii="Calibri" w:hAnsi="Calibri" w:cs="Calibri"/>
          <w:i/>
          <w:iCs/>
        </w:rPr>
        <w:t>BMC Medical Research Methodology</w:t>
      </w:r>
      <w:r w:rsidRPr="002069CB">
        <w:rPr>
          <w:rFonts w:ascii="Calibri" w:hAnsi="Calibri" w:cs="Calibri"/>
        </w:rPr>
        <w:t>, 8(1), pp. 45–52.</w:t>
      </w:r>
      <w:r w:rsidRPr="0058603D">
        <w:rPr>
          <w:rFonts w:ascii="Calibri" w:hAnsi="Calibri" w:cs="Calibri"/>
        </w:rPr>
        <w:t xml:space="preserve"> . Available at: https://doi.org/10.1186/1471-2288-8-45</w:t>
      </w:r>
    </w:p>
    <w:p w14:paraId="5AF6C8FB" w14:textId="77777777" w:rsidR="0058603D" w:rsidRPr="0058603D" w:rsidRDefault="0058603D" w:rsidP="007917B2">
      <w:pPr>
        <w:jc w:val="both"/>
        <w:rPr>
          <w:rFonts w:ascii="Calibri" w:hAnsi="Calibri" w:cs="Calibri"/>
        </w:rPr>
      </w:pPr>
      <w:r w:rsidRPr="0058603D">
        <w:rPr>
          <w:rFonts w:ascii="Calibri" w:hAnsi="Calibri" w:cs="Calibri"/>
        </w:rPr>
        <w:t xml:space="preserve">Viona, E. and </w:t>
      </w:r>
      <w:proofErr w:type="spellStart"/>
      <w:r w:rsidRPr="0058603D">
        <w:rPr>
          <w:rFonts w:ascii="Calibri" w:hAnsi="Calibri" w:cs="Calibri"/>
        </w:rPr>
        <w:t>Afrianti</w:t>
      </w:r>
      <w:proofErr w:type="spellEnd"/>
      <w:r w:rsidRPr="0058603D">
        <w:rPr>
          <w:rFonts w:ascii="Calibri" w:hAnsi="Calibri" w:cs="Calibri"/>
        </w:rPr>
        <w:t xml:space="preserve">, H. (2024) ‘A systematic literature review on work-based learning: Trends, challenges, and future directions’, </w:t>
      </w:r>
      <w:r w:rsidRPr="0058603D">
        <w:rPr>
          <w:rFonts w:ascii="Calibri" w:hAnsi="Calibri" w:cs="Calibri"/>
          <w:i/>
          <w:iCs/>
        </w:rPr>
        <w:t>PPSDP International Journal of Education</w:t>
      </w:r>
      <w:r w:rsidRPr="0058603D">
        <w:rPr>
          <w:rFonts w:ascii="Calibri" w:hAnsi="Calibri" w:cs="Calibri"/>
        </w:rPr>
        <w:t xml:space="preserve">, 3(2), pp. 771–789. Available at: </w:t>
      </w:r>
      <w:hyperlink r:id="rId20" w:history="1">
        <w:r w:rsidRPr="0058603D">
          <w:rPr>
            <w:rStyle w:val="Hyperlink"/>
            <w:rFonts w:ascii="Calibri" w:hAnsi="Calibri" w:cs="Calibri"/>
            <w:color w:val="auto"/>
            <w:u w:val="none"/>
          </w:rPr>
          <w:t>https://doi.org/10.59175/pijed.v3i2.368</w:t>
        </w:r>
      </w:hyperlink>
      <w:r w:rsidRPr="0058603D">
        <w:rPr>
          <w:rFonts w:ascii="Calibri" w:hAnsi="Calibri" w:cs="Calibri"/>
        </w:rPr>
        <w:t xml:space="preserve">.  </w:t>
      </w:r>
    </w:p>
    <w:p w14:paraId="48893A72" w14:textId="77777777" w:rsidR="0058603D" w:rsidRPr="0058603D" w:rsidRDefault="0058603D" w:rsidP="007917B2">
      <w:pPr>
        <w:spacing w:before="100" w:beforeAutospacing="1" w:after="100" w:afterAutospacing="1" w:line="240" w:lineRule="auto"/>
        <w:jc w:val="both"/>
        <w:rPr>
          <w:rFonts w:ascii="Calibri" w:hAnsi="Calibri" w:cs="Calibri"/>
        </w:rPr>
      </w:pPr>
      <w:hyperlink r:id="rId21" w:tooltip="Tony Wall" w:history="1">
        <w:r w:rsidRPr="0058603D">
          <w:rPr>
            <w:rStyle w:val="Hyperlink"/>
            <w:rFonts w:ascii="Calibri" w:hAnsi="Calibri" w:cs="Calibri"/>
            <w:color w:val="auto"/>
            <w:u w:val="none"/>
          </w:rPr>
          <w:t>Wall, T.</w:t>
        </w:r>
      </w:hyperlink>
      <w:r w:rsidRPr="0058603D">
        <w:rPr>
          <w:rFonts w:ascii="Calibri" w:hAnsi="Calibri" w:cs="Calibri"/>
        </w:rPr>
        <w:t>, </w:t>
      </w:r>
      <w:hyperlink r:id="rId22" w:tooltip="Ann Hindley" w:history="1">
        <w:r w:rsidRPr="0058603D">
          <w:rPr>
            <w:rStyle w:val="Hyperlink"/>
            <w:rFonts w:ascii="Calibri" w:hAnsi="Calibri" w:cs="Calibri"/>
            <w:color w:val="auto"/>
            <w:u w:val="none"/>
          </w:rPr>
          <w:t>Hindley, A.</w:t>
        </w:r>
      </w:hyperlink>
      <w:r w:rsidRPr="0058603D">
        <w:rPr>
          <w:rFonts w:ascii="Calibri" w:hAnsi="Calibri" w:cs="Calibri"/>
        </w:rPr>
        <w:t>, </w:t>
      </w:r>
      <w:hyperlink r:id="rId23" w:tooltip="Tamara Hunt" w:history="1">
        <w:r w:rsidRPr="0058603D">
          <w:rPr>
            <w:rStyle w:val="Hyperlink"/>
            <w:rFonts w:ascii="Calibri" w:hAnsi="Calibri" w:cs="Calibri"/>
            <w:color w:val="auto"/>
            <w:u w:val="none"/>
          </w:rPr>
          <w:t>Hunt, T.</w:t>
        </w:r>
      </w:hyperlink>
      <w:r w:rsidRPr="0058603D">
        <w:rPr>
          <w:rFonts w:ascii="Calibri" w:hAnsi="Calibri" w:cs="Calibri"/>
        </w:rPr>
        <w:t>, </w:t>
      </w:r>
      <w:hyperlink r:id="rId24" w:tooltip="Jeremy Peach" w:history="1">
        <w:r w:rsidRPr="0058603D">
          <w:rPr>
            <w:rStyle w:val="Hyperlink"/>
            <w:rFonts w:ascii="Calibri" w:hAnsi="Calibri" w:cs="Calibri"/>
            <w:color w:val="auto"/>
            <w:u w:val="none"/>
          </w:rPr>
          <w:t>Peach, J.</w:t>
        </w:r>
      </w:hyperlink>
      <w:r w:rsidRPr="0058603D">
        <w:rPr>
          <w:rFonts w:ascii="Calibri" w:hAnsi="Calibri" w:cs="Calibri"/>
        </w:rPr>
        <w:t>, </w:t>
      </w:r>
      <w:hyperlink r:id="rId25" w:tooltip="Martin Preston" w:history="1">
        <w:r w:rsidRPr="0058603D">
          <w:rPr>
            <w:rStyle w:val="Hyperlink"/>
            <w:rFonts w:ascii="Calibri" w:hAnsi="Calibri" w:cs="Calibri"/>
            <w:color w:val="auto"/>
            <w:u w:val="none"/>
          </w:rPr>
          <w:t>Preston, M.</w:t>
        </w:r>
      </w:hyperlink>
      <w:r w:rsidRPr="0058603D">
        <w:rPr>
          <w:rFonts w:ascii="Calibri" w:hAnsi="Calibri" w:cs="Calibri"/>
        </w:rPr>
        <w:t>, </w:t>
      </w:r>
      <w:hyperlink r:id="rId26" w:tooltip="Courtney Hartley" w:history="1">
        <w:r w:rsidRPr="0058603D">
          <w:rPr>
            <w:rStyle w:val="Hyperlink"/>
            <w:rFonts w:ascii="Calibri" w:hAnsi="Calibri" w:cs="Calibri"/>
            <w:color w:val="auto"/>
            <w:u w:val="none"/>
          </w:rPr>
          <w:t>Hartley, C.</w:t>
        </w:r>
      </w:hyperlink>
      <w:r w:rsidRPr="0058603D">
        <w:rPr>
          <w:rFonts w:ascii="Calibri" w:hAnsi="Calibri" w:cs="Calibri"/>
        </w:rPr>
        <w:t> and </w:t>
      </w:r>
      <w:hyperlink r:id="rId27" w:tooltip="Amy Fairbank" w:history="1">
        <w:r w:rsidRPr="0058603D">
          <w:rPr>
            <w:rStyle w:val="Hyperlink"/>
            <w:rFonts w:ascii="Calibri" w:hAnsi="Calibri" w:cs="Calibri"/>
            <w:color w:val="auto"/>
            <w:u w:val="none"/>
          </w:rPr>
          <w:t>Fairbank, A.</w:t>
        </w:r>
      </w:hyperlink>
      <w:r w:rsidRPr="0058603D">
        <w:rPr>
          <w:rFonts w:ascii="Calibri" w:hAnsi="Calibri" w:cs="Calibri"/>
        </w:rPr>
        <w:t> (2021), "Work-based learning as a catalyst for sustainability: a review and prospects", </w:t>
      </w:r>
      <w:hyperlink r:id="rId28" w:history="1">
        <w:r w:rsidRPr="0058603D">
          <w:rPr>
            <w:rStyle w:val="Hyperlink"/>
            <w:rFonts w:ascii="Calibri" w:hAnsi="Calibri" w:cs="Calibri"/>
            <w:i/>
            <w:iCs/>
            <w:color w:val="auto"/>
            <w:u w:val="none"/>
          </w:rPr>
          <w:t>Higher Education, Skills and Work-Based Learning</w:t>
        </w:r>
      </w:hyperlink>
      <w:r w:rsidRPr="0058603D">
        <w:rPr>
          <w:rFonts w:ascii="Calibri" w:hAnsi="Calibri" w:cs="Calibri"/>
        </w:rPr>
        <w:t xml:space="preserve">. Available at: </w:t>
      </w:r>
      <w:hyperlink r:id="rId29" w:history="1">
        <w:r w:rsidRPr="0058603D">
          <w:rPr>
            <w:rStyle w:val="Hyperlink"/>
            <w:rFonts w:ascii="Calibri" w:hAnsi="Calibri" w:cs="Calibri"/>
            <w:color w:val="auto"/>
            <w:u w:val="none"/>
          </w:rPr>
          <w:t>https://doi.org/10.1108/HESWBL-02-2017-0014</w:t>
        </w:r>
      </w:hyperlink>
      <w:r w:rsidRPr="0058603D">
        <w:rPr>
          <w:rFonts w:ascii="Calibri" w:hAnsi="Calibri" w:cs="Calibri"/>
        </w:rPr>
        <w:t>.</w:t>
      </w:r>
    </w:p>
    <w:p w14:paraId="28285971" w14:textId="6057A37C" w:rsidR="00926574" w:rsidRPr="007917B2" w:rsidRDefault="0058603D" w:rsidP="007E5591">
      <w:pPr>
        <w:spacing w:before="100" w:beforeAutospacing="1" w:after="100" w:afterAutospacing="1" w:line="240" w:lineRule="auto"/>
        <w:jc w:val="both"/>
        <w:rPr>
          <w:rFonts w:ascii="Calibri" w:hAnsi="Calibri" w:cs="Calibri"/>
        </w:rPr>
      </w:pPr>
      <w:r w:rsidRPr="0058603D">
        <w:rPr>
          <w:rFonts w:ascii="Calibri" w:eastAsia="Times New Roman" w:hAnsi="Calibri" w:cs="Calibri"/>
          <w:kern w:val="0"/>
          <w14:ligatures w14:val="none"/>
        </w:rPr>
        <w:t xml:space="preserve">Wilton, N. (2012) ‘The impact of work placements on skills development and career outcomes for business and management graduates’, </w:t>
      </w:r>
      <w:r w:rsidRPr="0058603D">
        <w:rPr>
          <w:rFonts w:ascii="Calibri" w:eastAsia="Times New Roman" w:hAnsi="Calibri" w:cs="Calibri"/>
          <w:i/>
          <w:iCs/>
          <w:kern w:val="0"/>
          <w14:ligatures w14:val="none"/>
        </w:rPr>
        <w:t>Studies in Higher Education</w:t>
      </w:r>
      <w:r w:rsidRPr="0058603D">
        <w:rPr>
          <w:rFonts w:ascii="Calibri" w:eastAsia="Times New Roman" w:hAnsi="Calibri" w:cs="Calibri"/>
          <w:kern w:val="0"/>
          <w14:ligatures w14:val="none"/>
        </w:rPr>
        <w:t>, 37(5), pp. 603–620</w:t>
      </w:r>
    </w:p>
    <w:sectPr w:rsidR="00926574" w:rsidRPr="007917B2" w:rsidSect="007E5591">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3995D" w14:textId="77777777" w:rsidR="008E1FDC" w:rsidRDefault="008E1FDC" w:rsidP="007E08FC">
      <w:pPr>
        <w:spacing w:after="0" w:line="240" w:lineRule="auto"/>
      </w:pPr>
      <w:r>
        <w:separator/>
      </w:r>
    </w:p>
  </w:endnote>
  <w:endnote w:type="continuationSeparator" w:id="0">
    <w:p w14:paraId="5B335A84" w14:textId="77777777" w:rsidR="008E1FDC" w:rsidRDefault="008E1FDC" w:rsidP="007E0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1967826"/>
      <w:docPartObj>
        <w:docPartGallery w:val="Page Numbers (Bottom of Page)"/>
        <w:docPartUnique/>
      </w:docPartObj>
    </w:sdtPr>
    <w:sdtEndPr>
      <w:rPr>
        <w:noProof/>
      </w:rPr>
    </w:sdtEndPr>
    <w:sdtContent>
      <w:p w14:paraId="254A2049" w14:textId="6622F651" w:rsidR="00E87EFB" w:rsidRDefault="00E87E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924BB2" w14:textId="77777777" w:rsidR="00E87EFB" w:rsidRDefault="00E87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3F1EB" w14:textId="77777777" w:rsidR="008E1FDC" w:rsidRDefault="008E1FDC" w:rsidP="007E08FC">
      <w:pPr>
        <w:spacing w:after="0" w:line="240" w:lineRule="auto"/>
      </w:pPr>
      <w:r>
        <w:separator/>
      </w:r>
    </w:p>
  </w:footnote>
  <w:footnote w:type="continuationSeparator" w:id="0">
    <w:p w14:paraId="446840CE" w14:textId="77777777" w:rsidR="008E1FDC" w:rsidRDefault="008E1FDC" w:rsidP="007E0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71AE1"/>
    <w:multiLevelType w:val="multilevel"/>
    <w:tmpl w:val="A7922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22E5E"/>
    <w:multiLevelType w:val="multilevel"/>
    <w:tmpl w:val="01C404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446626"/>
    <w:multiLevelType w:val="hybridMultilevel"/>
    <w:tmpl w:val="927407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DD953B5"/>
    <w:multiLevelType w:val="multilevel"/>
    <w:tmpl w:val="14BE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E34C7F"/>
    <w:multiLevelType w:val="hybridMultilevel"/>
    <w:tmpl w:val="93E2C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DB296F"/>
    <w:multiLevelType w:val="multilevel"/>
    <w:tmpl w:val="999EB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3A76B9"/>
    <w:multiLevelType w:val="hybridMultilevel"/>
    <w:tmpl w:val="28AE0D08"/>
    <w:lvl w:ilvl="0" w:tplc="09FC5966">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06B09"/>
    <w:multiLevelType w:val="multilevel"/>
    <w:tmpl w:val="0D560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3E3FB6"/>
    <w:multiLevelType w:val="multilevel"/>
    <w:tmpl w:val="ED3E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1B2D2E"/>
    <w:multiLevelType w:val="multilevel"/>
    <w:tmpl w:val="F2E28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3E2874"/>
    <w:multiLevelType w:val="multilevel"/>
    <w:tmpl w:val="42E4AE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6002B0"/>
    <w:multiLevelType w:val="hybridMultilevel"/>
    <w:tmpl w:val="E9FAAD6C"/>
    <w:lvl w:ilvl="0" w:tplc="55E8F962">
      <w:start w:val="1"/>
      <w:numFmt w:val="decimal"/>
      <w:lvlText w:val="%1."/>
      <w:lvlJc w:val="left"/>
      <w:pPr>
        <w:ind w:left="360" w:hanging="360"/>
      </w:pPr>
      <w:rPr>
        <w:rFonts w:asciiTheme="majorHAnsi" w:eastAsiaTheme="majorEastAsia" w:hAnsiTheme="majorHAnsi" w:cstheme="majorBidi" w:hint="default"/>
        <w:b w:val="0"/>
        <w:color w:val="0F4761" w:themeColor="accent1" w:themeShade="BF"/>
        <w:sz w:val="4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B467372"/>
    <w:multiLevelType w:val="multilevel"/>
    <w:tmpl w:val="693ED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1939121">
    <w:abstractNumId w:val="9"/>
  </w:num>
  <w:num w:numId="2" w16cid:durableId="1955212258">
    <w:abstractNumId w:val="4"/>
  </w:num>
  <w:num w:numId="3" w16cid:durableId="2063560200">
    <w:abstractNumId w:val="8"/>
  </w:num>
  <w:num w:numId="4" w16cid:durableId="1352296403">
    <w:abstractNumId w:val="10"/>
  </w:num>
  <w:num w:numId="5" w16cid:durableId="406728108">
    <w:abstractNumId w:val="3"/>
  </w:num>
  <w:num w:numId="6" w16cid:durableId="1178230620">
    <w:abstractNumId w:val="7"/>
  </w:num>
  <w:num w:numId="7" w16cid:durableId="164441054">
    <w:abstractNumId w:val="1"/>
  </w:num>
  <w:num w:numId="8" w16cid:durableId="980691642">
    <w:abstractNumId w:val="0"/>
  </w:num>
  <w:num w:numId="9" w16cid:durableId="829294663">
    <w:abstractNumId w:val="5"/>
  </w:num>
  <w:num w:numId="10" w16cid:durableId="2063743951">
    <w:abstractNumId w:val="12"/>
  </w:num>
  <w:num w:numId="11" w16cid:durableId="2123259350">
    <w:abstractNumId w:val="11"/>
  </w:num>
  <w:num w:numId="12" w16cid:durableId="897978512">
    <w:abstractNumId w:val="6"/>
  </w:num>
  <w:num w:numId="13" w16cid:durableId="36709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9D"/>
    <w:rsid w:val="00023DED"/>
    <w:rsid w:val="00027F13"/>
    <w:rsid w:val="000411B3"/>
    <w:rsid w:val="00043258"/>
    <w:rsid w:val="00073DA3"/>
    <w:rsid w:val="00073EF3"/>
    <w:rsid w:val="0007497C"/>
    <w:rsid w:val="000904E0"/>
    <w:rsid w:val="00093EF4"/>
    <w:rsid w:val="00096D81"/>
    <w:rsid w:val="000A5DC2"/>
    <w:rsid w:val="000B32AB"/>
    <w:rsid w:val="000B6426"/>
    <w:rsid w:val="000C27C7"/>
    <w:rsid w:val="000C369B"/>
    <w:rsid w:val="000C5D95"/>
    <w:rsid w:val="000D0200"/>
    <w:rsid w:val="000D32B5"/>
    <w:rsid w:val="00100CA2"/>
    <w:rsid w:val="001176CC"/>
    <w:rsid w:val="00157978"/>
    <w:rsid w:val="00175F89"/>
    <w:rsid w:val="00185392"/>
    <w:rsid w:val="0018633C"/>
    <w:rsid w:val="00190DC7"/>
    <w:rsid w:val="00191239"/>
    <w:rsid w:val="00193BCD"/>
    <w:rsid w:val="001A166F"/>
    <w:rsid w:val="001A24DF"/>
    <w:rsid w:val="001A3532"/>
    <w:rsid w:val="001A3C53"/>
    <w:rsid w:val="001D4219"/>
    <w:rsid w:val="001D722B"/>
    <w:rsid w:val="001E7770"/>
    <w:rsid w:val="002069CB"/>
    <w:rsid w:val="00212527"/>
    <w:rsid w:val="00212D5D"/>
    <w:rsid w:val="0022009A"/>
    <w:rsid w:val="002239B3"/>
    <w:rsid w:val="00226FAA"/>
    <w:rsid w:val="002350BC"/>
    <w:rsid w:val="0023612F"/>
    <w:rsid w:val="002624F4"/>
    <w:rsid w:val="00262525"/>
    <w:rsid w:val="00267DCC"/>
    <w:rsid w:val="00271541"/>
    <w:rsid w:val="00271E9E"/>
    <w:rsid w:val="002906AA"/>
    <w:rsid w:val="002930FD"/>
    <w:rsid w:val="00297C20"/>
    <w:rsid w:val="002B758F"/>
    <w:rsid w:val="002C16C0"/>
    <w:rsid w:val="002C710E"/>
    <w:rsid w:val="002D2722"/>
    <w:rsid w:val="002E3A69"/>
    <w:rsid w:val="002F3419"/>
    <w:rsid w:val="002F4F8E"/>
    <w:rsid w:val="002F5A6A"/>
    <w:rsid w:val="0032257E"/>
    <w:rsid w:val="00326C6C"/>
    <w:rsid w:val="00342AAB"/>
    <w:rsid w:val="00357441"/>
    <w:rsid w:val="00386388"/>
    <w:rsid w:val="0039065B"/>
    <w:rsid w:val="0039240F"/>
    <w:rsid w:val="00392F18"/>
    <w:rsid w:val="00396670"/>
    <w:rsid w:val="003A1091"/>
    <w:rsid w:val="003B18E4"/>
    <w:rsid w:val="003B6105"/>
    <w:rsid w:val="003C7D11"/>
    <w:rsid w:val="003D4A12"/>
    <w:rsid w:val="003E0A2E"/>
    <w:rsid w:val="003E0B3A"/>
    <w:rsid w:val="003E3440"/>
    <w:rsid w:val="003E3EFC"/>
    <w:rsid w:val="003E73DA"/>
    <w:rsid w:val="003E7FD0"/>
    <w:rsid w:val="003F798A"/>
    <w:rsid w:val="004011CA"/>
    <w:rsid w:val="0041039D"/>
    <w:rsid w:val="00420509"/>
    <w:rsid w:val="00421E4E"/>
    <w:rsid w:val="004232BC"/>
    <w:rsid w:val="00423B1A"/>
    <w:rsid w:val="00430447"/>
    <w:rsid w:val="00452008"/>
    <w:rsid w:val="004623E0"/>
    <w:rsid w:val="00467562"/>
    <w:rsid w:val="0047532F"/>
    <w:rsid w:val="004A686D"/>
    <w:rsid w:val="004A7A02"/>
    <w:rsid w:val="004A7D1D"/>
    <w:rsid w:val="004D059A"/>
    <w:rsid w:val="0050140F"/>
    <w:rsid w:val="005129F4"/>
    <w:rsid w:val="00525BC5"/>
    <w:rsid w:val="00532B0C"/>
    <w:rsid w:val="00545C48"/>
    <w:rsid w:val="00552EA9"/>
    <w:rsid w:val="00564D8C"/>
    <w:rsid w:val="00573187"/>
    <w:rsid w:val="00576641"/>
    <w:rsid w:val="00577F06"/>
    <w:rsid w:val="0058603D"/>
    <w:rsid w:val="005C4132"/>
    <w:rsid w:val="005C6275"/>
    <w:rsid w:val="005C79A2"/>
    <w:rsid w:val="005D5CF9"/>
    <w:rsid w:val="005F19B7"/>
    <w:rsid w:val="0061414C"/>
    <w:rsid w:val="0064149B"/>
    <w:rsid w:val="00645824"/>
    <w:rsid w:val="0065162E"/>
    <w:rsid w:val="00662E2E"/>
    <w:rsid w:val="00663D12"/>
    <w:rsid w:val="00671A8B"/>
    <w:rsid w:val="0068050F"/>
    <w:rsid w:val="00680D58"/>
    <w:rsid w:val="006857A2"/>
    <w:rsid w:val="00692EC7"/>
    <w:rsid w:val="0069798D"/>
    <w:rsid w:val="006C2826"/>
    <w:rsid w:val="006E0291"/>
    <w:rsid w:val="006E1545"/>
    <w:rsid w:val="006E5EBE"/>
    <w:rsid w:val="006F21FB"/>
    <w:rsid w:val="007005AB"/>
    <w:rsid w:val="00704C45"/>
    <w:rsid w:val="0070588E"/>
    <w:rsid w:val="00732C4A"/>
    <w:rsid w:val="007334B5"/>
    <w:rsid w:val="00744316"/>
    <w:rsid w:val="00747A2D"/>
    <w:rsid w:val="0075153D"/>
    <w:rsid w:val="007522C5"/>
    <w:rsid w:val="00755DAC"/>
    <w:rsid w:val="007603EA"/>
    <w:rsid w:val="00761704"/>
    <w:rsid w:val="00782447"/>
    <w:rsid w:val="007917B2"/>
    <w:rsid w:val="007A32E7"/>
    <w:rsid w:val="007B2574"/>
    <w:rsid w:val="007C26C7"/>
    <w:rsid w:val="007C3E42"/>
    <w:rsid w:val="007C61C3"/>
    <w:rsid w:val="007E08FC"/>
    <w:rsid w:val="007E5591"/>
    <w:rsid w:val="007F2440"/>
    <w:rsid w:val="007F40EE"/>
    <w:rsid w:val="00805BFF"/>
    <w:rsid w:val="00811CFD"/>
    <w:rsid w:val="008123E8"/>
    <w:rsid w:val="008338BA"/>
    <w:rsid w:val="00867ADD"/>
    <w:rsid w:val="00870270"/>
    <w:rsid w:val="00871171"/>
    <w:rsid w:val="00871197"/>
    <w:rsid w:val="00875267"/>
    <w:rsid w:val="00895DE8"/>
    <w:rsid w:val="008961A2"/>
    <w:rsid w:val="0089755D"/>
    <w:rsid w:val="008A0B15"/>
    <w:rsid w:val="008C1637"/>
    <w:rsid w:val="008D29D0"/>
    <w:rsid w:val="008D4D46"/>
    <w:rsid w:val="008E1FDC"/>
    <w:rsid w:val="008E4155"/>
    <w:rsid w:val="00904188"/>
    <w:rsid w:val="00922D88"/>
    <w:rsid w:val="00926574"/>
    <w:rsid w:val="009310DD"/>
    <w:rsid w:val="0093120E"/>
    <w:rsid w:val="009337E8"/>
    <w:rsid w:val="00954D4A"/>
    <w:rsid w:val="0096249F"/>
    <w:rsid w:val="009A3F29"/>
    <w:rsid w:val="009E0384"/>
    <w:rsid w:val="009F2B3C"/>
    <w:rsid w:val="00A20C83"/>
    <w:rsid w:val="00A22A77"/>
    <w:rsid w:val="00A27BD3"/>
    <w:rsid w:val="00A34FAE"/>
    <w:rsid w:val="00A37A1C"/>
    <w:rsid w:val="00A41113"/>
    <w:rsid w:val="00A4499D"/>
    <w:rsid w:val="00A54922"/>
    <w:rsid w:val="00A658A3"/>
    <w:rsid w:val="00A67917"/>
    <w:rsid w:val="00A73E10"/>
    <w:rsid w:val="00A766BC"/>
    <w:rsid w:val="00A8711D"/>
    <w:rsid w:val="00A925B3"/>
    <w:rsid w:val="00AA107E"/>
    <w:rsid w:val="00AA3A0D"/>
    <w:rsid w:val="00AB3AE6"/>
    <w:rsid w:val="00AB6082"/>
    <w:rsid w:val="00AB76E3"/>
    <w:rsid w:val="00AC5B16"/>
    <w:rsid w:val="00AC67CF"/>
    <w:rsid w:val="00AC6D85"/>
    <w:rsid w:val="00AC7ECA"/>
    <w:rsid w:val="00AD1EA3"/>
    <w:rsid w:val="00AD4257"/>
    <w:rsid w:val="00AD53F9"/>
    <w:rsid w:val="00AE4561"/>
    <w:rsid w:val="00AE755B"/>
    <w:rsid w:val="00AF0484"/>
    <w:rsid w:val="00AF3854"/>
    <w:rsid w:val="00AF7C38"/>
    <w:rsid w:val="00B13DA9"/>
    <w:rsid w:val="00B148AE"/>
    <w:rsid w:val="00B53614"/>
    <w:rsid w:val="00B565A4"/>
    <w:rsid w:val="00B93F1C"/>
    <w:rsid w:val="00B93F75"/>
    <w:rsid w:val="00B962C7"/>
    <w:rsid w:val="00BA277B"/>
    <w:rsid w:val="00BC124F"/>
    <w:rsid w:val="00BC2ADE"/>
    <w:rsid w:val="00BF2D6A"/>
    <w:rsid w:val="00BF4159"/>
    <w:rsid w:val="00C05D1D"/>
    <w:rsid w:val="00C05E3F"/>
    <w:rsid w:val="00C12B59"/>
    <w:rsid w:val="00C13493"/>
    <w:rsid w:val="00C4413D"/>
    <w:rsid w:val="00C4509C"/>
    <w:rsid w:val="00C94740"/>
    <w:rsid w:val="00C97B64"/>
    <w:rsid w:val="00CC10FB"/>
    <w:rsid w:val="00CC4A2F"/>
    <w:rsid w:val="00CE3AF6"/>
    <w:rsid w:val="00CF7663"/>
    <w:rsid w:val="00D14692"/>
    <w:rsid w:val="00D41C51"/>
    <w:rsid w:val="00D52A39"/>
    <w:rsid w:val="00D63015"/>
    <w:rsid w:val="00D77668"/>
    <w:rsid w:val="00D80030"/>
    <w:rsid w:val="00D831AB"/>
    <w:rsid w:val="00DA45DE"/>
    <w:rsid w:val="00DA69DE"/>
    <w:rsid w:val="00DB0379"/>
    <w:rsid w:val="00DB0F26"/>
    <w:rsid w:val="00DF1412"/>
    <w:rsid w:val="00E159AC"/>
    <w:rsid w:val="00E31552"/>
    <w:rsid w:val="00E3714B"/>
    <w:rsid w:val="00E374BD"/>
    <w:rsid w:val="00E45587"/>
    <w:rsid w:val="00E57725"/>
    <w:rsid w:val="00E57AE2"/>
    <w:rsid w:val="00E67887"/>
    <w:rsid w:val="00E678B9"/>
    <w:rsid w:val="00E778CE"/>
    <w:rsid w:val="00E835BC"/>
    <w:rsid w:val="00E87EFB"/>
    <w:rsid w:val="00E91069"/>
    <w:rsid w:val="00E963F3"/>
    <w:rsid w:val="00EA4913"/>
    <w:rsid w:val="00EB0648"/>
    <w:rsid w:val="00EB6F6E"/>
    <w:rsid w:val="00EC2725"/>
    <w:rsid w:val="00ED04E0"/>
    <w:rsid w:val="00EF2959"/>
    <w:rsid w:val="00EF3422"/>
    <w:rsid w:val="00F13AD2"/>
    <w:rsid w:val="00F37C35"/>
    <w:rsid w:val="00F52FCB"/>
    <w:rsid w:val="00F56718"/>
    <w:rsid w:val="00F62E4E"/>
    <w:rsid w:val="00F73CD3"/>
    <w:rsid w:val="00F82242"/>
    <w:rsid w:val="00FC2B48"/>
    <w:rsid w:val="00FC629A"/>
    <w:rsid w:val="00FD21C6"/>
    <w:rsid w:val="00FD3B85"/>
    <w:rsid w:val="00FE736C"/>
    <w:rsid w:val="00FF3B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2EAAF"/>
  <w15:chartTrackingRefBased/>
  <w15:docId w15:val="{03D70C2E-4787-44EB-9257-62B39804C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4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99D"/>
    <w:rPr>
      <w:rFonts w:eastAsiaTheme="majorEastAsia" w:cstheme="majorBidi"/>
      <w:color w:val="272727" w:themeColor="text1" w:themeTint="D8"/>
    </w:rPr>
  </w:style>
  <w:style w:type="paragraph" w:styleId="Title">
    <w:name w:val="Title"/>
    <w:basedOn w:val="Normal"/>
    <w:next w:val="Normal"/>
    <w:link w:val="TitleChar"/>
    <w:uiPriority w:val="10"/>
    <w:qFormat/>
    <w:rsid w:val="00A44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99D"/>
    <w:pPr>
      <w:spacing w:before="160"/>
      <w:jc w:val="center"/>
    </w:pPr>
    <w:rPr>
      <w:i/>
      <w:iCs/>
      <w:color w:val="404040" w:themeColor="text1" w:themeTint="BF"/>
    </w:rPr>
  </w:style>
  <w:style w:type="character" w:customStyle="1" w:styleId="QuoteChar">
    <w:name w:val="Quote Char"/>
    <w:basedOn w:val="DefaultParagraphFont"/>
    <w:link w:val="Quote"/>
    <w:uiPriority w:val="29"/>
    <w:rsid w:val="00A4499D"/>
    <w:rPr>
      <w:i/>
      <w:iCs/>
      <w:color w:val="404040" w:themeColor="text1" w:themeTint="BF"/>
    </w:rPr>
  </w:style>
  <w:style w:type="paragraph" w:styleId="ListParagraph">
    <w:name w:val="List Paragraph"/>
    <w:basedOn w:val="Normal"/>
    <w:uiPriority w:val="34"/>
    <w:qFormat/>
    <w:rsid w:val="00A4499D"/>
    <w:pPr>
      <w:ind w:left="720"/>
      <w:contextualSpacing/>
    </w:pPr>
  </w:style>
  <w:style w:type="character" w:styleId="IntenseEmphasis">
    <w:name w:val="Intense Emphasis"/>
    <w:basedOn w:val="DefaultParagraphFont"/>
    <w:uiPriority w:val="21"/>
    <w:qFormat/>
    <w:rsid w:val="00A4499D"/>
    <w:rPr>
      <w:i/>
      <w:iCs/>
      <w:color w:val="0F4761" w:themeColor="accent1" w:themeShade="BF"/>
    </w:rPr>
  </w:style>
  <w:style w:type="paragraph" w:styleId="IntenseQuote">
    <w:name w:val="Intense Quote"/>
    <w:basedOn w:val="Normal"/>
    <w:next w:val="Normal"/>
    <w:link w:val="IntenseQuoteChar"/>
    <w:uiPriority w:val="30"/>
    <w:qFormat/>
    <w:rsid w:val="00A44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99D"/>
    <w:rPr>
      <w:i/>
      <w:iCs/>
      <w:color w:val="0F4761" w:themeColor="accent1" w:themeShade="BF"/>
    </w:rPr>
  </w:style>
  <w:style w:type="character" w:styleId="IntenseReference">
    <w:name w:val="Intense Reference"/>
    <w:basedOn w:val="DefaultParagraphFont"/>
    <w:uiPriority w:val="32"/>
    <w:qFormat/>
    <w:rsid w:val="00A4499D"/>
    <w:rPr>
      <w:b/>
      <w:bCs/>
      <w:smallCaps/>
      <w:color w:val="0F4761" w:themeColor="accent1" w:themeShade="BF"/>
      <w:spacing w:val="5"/>
    </w:rPr>
  </w:style>
  <w:style w:type="paragraph" w:styleId="Header">
    <w:name w:val="header"/>
    <w:basedOn w:val="Normal"/>
    <w:link w:val="HeaderChar"/>
    <w:uiPriority w:val="99"/>
    <w:unhideWhenUsed/>
    <w:rsid w:val="007E0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8FC"/>
  </w:style>
  <w:style w:type="paragraph" w:styleId="Footer">
    <w:name w:val="footer"/>
    <w:basedOn w:val="Normal"/>
    <w:link w:val="FooterChar"/>
    <w:uiPriority w:val="99"/>
    <w:unhideWhenUsed/>
    <w:rsid w:val="007E0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8FC"/>
  </w:style>
  <w:style w:type="paragraph" w:styleId="NormalWeb">
    <w:name w:val="Normal (Web)"/>
    <w:basedOn w:val="Normal"/>
    <w:uiPriority w:val="99"/>
    <w:semiHidden/>
    <w:unhideWhenUsed/>
    <w:rsid w:val="00B93F1C"/>
    <w:rPr>
      <w:rFonts w:ascii="Times New Roman" w:hAnsi="Times New Roman" w:cs="Times New Roman"/>
    </w:rPr>
  </w:style>
  <w:style w:type="character" w:styleId="Strong">
    <w:name w:val="Strong"/>
    <w:basedOn w:val="DefaultParagraphFont"/>
    <w:uiPriority w:val="22"/>
    <w:qFormat/>
    <w:rsid w:val="00421E4E"/>
    <w:rPr>
      <w:b/>
      <w:bCs/>
    </w:rPr>
  </w:style>
  <w:style w:type="character" w:styleId="Emphasis">
    <w:name w:val="Emphasis"/>
    <w:basedOn w:val="DefaultParagraphFont"/>
    <w:uiPriority w:val="20"/>
    <w:qFormat/>
    <w:rsid w:val="00421E4E"/>
    <w:rPr>
      <w:i/>
      <w:iCs/>
    </w:rPr>
  </w:style>
  <w:style w:type="character" w:styleId="Hyperlink">
    <w:name w:val="Hyperlink"/>
    <w:basedOn w:val="DefaultParagraphFont"/>
    <w:uiPriority w:val="99"/>
    <w:unhideWhenUsed/>
    <w:rsid w:val="00421E4E"/>
    <w:rPr>
      <w:color w:val="0000FF"/>
      <w:u w:val="single"/>
    </w:rPr>
  </w:style>
  <w:style w:type="paragraph" w:styleId="TOCHeading">
    <w:name w:val="TOC Heading"/>
    <w:basedOn w:val="Heading1"/>
    <w:next w:val="Normal"/>
    <w:uiPriority w:val="39"/>
    <w:unhideWhenUsed/>
    <w:qFormat/>
    <w:rsid w:val="00B13DA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005AB"/>
    <w:pPr>
      <w:tabs>
        <w:tab w:val="left" w:pos="480"/>
        <w:tab w:val="right" w:leader="dot" w:pos="9016"/>
      </w:tabs>
      <w:spacing w:after="100"/>
    </w:pPr>
  </w:style>
  <w:style w:type="paragraph" w:styleId="TOC2">
    <w:name w:val="toc 2"/>
    <w:basedOn w:val="Normal"/>
    <w:next w:val="Normal"/>
    <w:autoRedefine/>
    <w:uiPriority w:val="39"/>
    <w:unhideWhenUsed/>
    <w:rsid w:val="00AC67CF"/>
    <w:pPr>
      <w:spacing w:after="100"/>
      <w:ind w:left="240"/>
    </w:pPr>
  </w:style>
  <w:style w:type="paragraph" w:styleId="TOC3">
    <w:name w:val="toc 3"/>
    <w:basedOn w:val="Normal"/>
    <w:next w:val="Normal"/>
    <w:autoRedefine/>
    <w:uiPriority w:val="39"/>
    <w:unhideWhenUsed/>
    <w:rsid w:val="002239B3"/>
    <w:pPr>
      <w:tabs>
        <w:tab w:val="right" w:leader="dot" w:pos="9016"/>
      </w:tabs>
      <w:spacing w:after="100"/>
      <w:ind w:left="720"/>
    </w:pPr>
  </w:style>
  <w:style w:type="character" w:styleId="UnresolvedMention">
    <w:name w:val="Unresolved Mention"/>
    <w:basedOn w:val="DefaultParagraphFont"/>
    <w:uiPriority w:val="99"/>
    <w:semiHidden/>
    <w:unhideWhenUsed/>
    <w:rsid w:val="00357441"/>
    <w:rPr>
      <w:color w:val="605E5C"/>
      <w:shd w:val="clear" w:color="auto" w:fill="E1DFDD"/>
    </w:rPr>
  </w:style>
  <w:style w:type="character" w:styleId="FollowedHyperlink">
    <w:name w:val="FollowedHyperlink"/>
    <w:basedOn w:val="DefaultParagraphFont"/>
    <w:uiPriority w:val="99"/>
    <w:semiHidden/>
    <w:unhideWhenUsed/>
    <w:rsid w:val="000B6426"/>
    <w:rPr>
      <w:color w:val="96607D" w:themeColor="followedHyperlink"/>
      <w:u w:val="single"/>
    </w:rPr>
  </w:style>
  <w:style w:type="paragraph" w:styleId="NoSpacing">
    <w:name w:val="No Spacing"/>
    <w:uiPriority w:val="1"/>
    <w:qFormat/>
    <w:rsid w:val="007005A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74791">
      <w:bodyDiv w:val="1"/>
      <w:marLeft w:val="0"/>
      <w:marRight w:val="0"/>
      <w:marTop w:val="0"/>
      <w:marBottom w:val="0"/>
      <w:divBdr>
        <w:top w:val="none" w:sz="0" w:space="0" w:color="auto"/>
        <w:left w:val="none" w:sz="0" w:space="0" w:color="auto"/>
        <w:bottom w:val="none" w:sz="0" w:space="0" w:color="auto"/>
        <w:right w:val="none" w:sz="0" w:space="0" w:color="auto"/>
      </w:divBdr>
    </w:div>
    <w:div w:id="46296768">
      <w:bodyDiv w:val="1"/>
      <w:marLeft w:val="0"/>
      <w:marRight w:val="0"/>
      <w:marTop w:val="0"/>
      <w:marBottom w:val="0"/>
      <w:divBdr>
        <w:top w:val="none" w:sz="0" w:space="0" w:color="auto"/>
        <w:left w:val="none" w:sz="0" w:space="0" w:color="auto"/>
        <w:bottom w:val="none" w:sz="0" w:space="0" w:color="auto"/>
        <w:right w:val="none" w:sz="0" w:space="0" w:color="auto"/>
      </w:divBdr>
    </w:div>
    <w:div w:id="71702020">
      <w:bodyDiv w:val="1"/>
      <w:marLeft w:val="0"/>
      <w:marRight w:val="0"/>
      <w:marTop w:val="0"/>
      <w:marBottom w:val="0"/>
      <w:divBdr>
        <w:top w:val="none" w:sz="0" w:space="0" w:color="auto"/>
        <w:left w:val="none" w:sz="0" w:space="0" w:color="auto"/>
        <w:bottom w:val="none" w:sz="0" w:space="0" w:color="auto"/>
        <w:right w:val="none" w:sz="0" w:space="0" w:color="auto"/>
      </w:divBdr>
    </w:div>
    <w:div w:id="86653909">
      <w:bodyDiv w:val="1"/>
      <w:marLeft w:val="0"/>
      <w:marRight w:val="0"/>
      <w:marTop w:val="0"/>
      <w:marBottom w:val="0"/>
      <w:divBdr>
        <w:top w:val="none" w:sz="0" w:space="0" w:color="auto"/>
        <w:left w:val="none" w:sz="0" w:space="0" w:color="auto"/>
        <w:bottom w:val="none" w:sz="0" w:space="0" w:color="auto"/>
        <w:right w:val="none" w:sz="0" w:space="0" w:color="auto"/>
      </w:divBdr>
    </w:div>
    <w:div w:id="91634172">
      <w:bodyDiv w:val="1"/>
      <w:marLeft w:val="0"/>
      <w:marRight w:val="0"/>
      <w:marTop w:val="0"/>
      <w:marBottom w:val="0"/>
      <w:divBdr>
        <w:top w:val="none" w:sz="0" w:space="0" w:color="auto"/>
        <w:left w:val="none" w:sz="0" w:space="0" w:color="auto"/>
        <w:bottom w:val="none" w:sz="0" w:space="0" w:color="auto"/>
        <w:right w:val="none" w:sz="0" w:space="0" w:color="auto"/>
      </w:divBdr>
    </w:div>
    <w:div w:id="107168703">
      <w:bodyDiv w:val="1"/>
      <w:marLeft w:val="0"/>
      <w:marRight w:val="0"/>
      <w:marTop w:val="0"/>
      <w:marBottom w:val="0"/>
      <w:divBdr>
        <w:top w:val="none" w:sz="0" w:space="0" w:color="auto"/>
        <w:left w:val="none" w:sz="0" w:space="0" w:color="auto"/>
        <w:bottom w:val="none" w:sz="0" w:space="0" w:color="auto"/>
        <w:right w:val="none" w:sz="0" w:space="0" w:color="auto"/>
      </w:divBdr>
    </w:div>
    <w:div w:id="112793072">
      <w:bodyDiv w:val="1"/>
      <w:marLeft w:val="0"/>
      <w:marRight w:val="0"/>
      <w:marTop w:val="0"/>
      <w:marBottom w:val="0"/>
      <w:divBdr>
        <w:top w:val="none" w:sz="0" w:space="0" w:color="auto"/>
        <w:left w:val="none" w:sz="0" w:space="0" w:color="auto"/>
        <w:bottom w:val="none" w:sz="0" w:space="0" w:color="auto"/>
        <w:right w:val="none" w:sz="0" w:space="0" w:color="auto"/>
      </w:divBdr>
    </w:div>
    <w:div w:id="133065871">
      <w:bodyDiv w:val="1"/>
      <w:marLeft w:val="0"/>
      <w:marRight w:val="0"/>
      <w:marTop w:val="0"/>
      <w:marBottom w:val="0"/>
      <w:divBdr>
        <w:top w:val="none" w:sz="0" w:space="0" w:color="auto"/>
        <w:left w:val="none" w:sz="0" w:space="0" w:color="auto"/>
        <w:bottom w:val="none" w:sz="0" w:space="0" w:color="auto"/>
        <w:right w:val="none" w:sz="0" w:space="0" w:color="auto"/>
      </w:divBdr>
    </w:div>
    <w:div w:id="157231523">
      <w:bodyDiv w:val="1"/>
      <w:marLeft w:val="0"/>
      <w:marRight w:val="0"/>
      <w:marTop w:val="0"/>
      <w:marBottom w:val="0"/>
      <w:divBdr>
        <w:top w:val="none" w:sz="0" w:space="0" w:color="auto"/>
        <w:left w:val="none" w:sz="0" w:space="0" w:color="auto"/>
        <w:bottom w:val="none" w:sz="0" w:space="0" w:color="auto"/>
        <w:right w:val="none" w:sz="0" w:space="0" w:color="auto"/>
      </w:divBdr>
    </w:div>
    <w:div w:id="217664493">
      <w:bodyDiv w:val="1"/>
      <w:marLeft w:val="0"/>
      <w:marRight w:val="0"/>
      <w:marTop w:val="0"/>
      <w:marBottom w:val="0"/>
      <w:divBdr>
        <w:top w:val="none" w:sz="0" w:space="0" w:color="auto"/>
        <w:left w:val="none" w:sz="0" w:space="0" w:color="auto"/>
        <w:bottom w:val="none" w:sz="0" w:space="0" w:color="auto"/>
        <w:right w:val="none" w:sz="0" w:space="0" w:color="auto"/>
      </w:divBdr>
    </w:div>
    <w:div w:id="250086938">
      <w:bodyDiv w:val="1"/>
      <w:marLeft w:val="0"/>
      <w:marRight w:val="0"/>
      <w:marTop w:val="0"/>
      <w:marBottom w:val="0"/>
      <w:divBdr>
        <w:top w:val="none" w:sz="0" w:space="0" w:color="auto"/>
        <w:left w:val="none" w:sz="0" w:space="0" w:color="auto"/>
        <w:bottom w:val="none" w:sz="0" w:space="0" w:color="auto"/>
        <w:right w:val="none" w:sz="0" w:space="0" w:color="auto"/>
      </w:divBdr>
    </w:div>
    <w:div w:id="288708832">
      <w:bodyDiv w:val="1"/>
      <w:marLeft w:val="0"/>
      <w:marRight w:val="0"/>
      <w:marTop w:val="0"/>
      <w:marBottom w:val="0"/>
      <w:divBdr>
        <w:top w:val="none" w:sz="0" w:space="0" w:color="auto"/>
        <w:left w:val="none" w:sz="0" w:space="0" w:color="auto"/>
        <w:bottom w:val="none" w:sz="0" w:space="0" w:color="auto"/>
        <w:right w:val="none" w:sz="0" w:space="0" w:color="auto"/>
      </w:divBdr>
    </w:div>
    <w:div w:id="289016657">
      <w:bodyDiv w:val="1"/>
      <w:marLeft w:val="0"/>
      <w:marRight w:val="0"/>
      <w:marTop w:val="0"/>
      <w:marBottom w:val="0"/>
      <w:divBdr>
        <w:top w:val="none" w:sz="0" w:space="0" w:color="auto"/>
        <w:left w:val="none" w:sz="0" w:space="0" w:color="auto"/>
        <w:bottom w:val="none" w:sz="0" w:space="0" w:color="auto"/>
        <w:right w:val="none" w:sz="0" w:space="0" w:color="auto"/>
      </w:divBdr>
    </w:div>
    <w:div w:id="348142065">
      <w:bodyDiv w:val="1"/>
      <w:marLeft w:val="0"/>
      <w:marRight w:val="0"/>
      <w:marTop w:val="0"/>
      <w:marBottom w:val="0"/>
      <w:divBdr>
        <w:top w:val="none" w:sz="0" w:space="0" w:color="auto"/>
        <w:left w:val="none" w:sz="0" w:space="0" w:color="auto"/>
        <w:bottom w:val="none" w:sz="0" w:space="0" w:color="auto"/>
        <w:right w:val="none" w:sz="0" w:space="0" w:color="auto"/>
      </w:divBdr>
    </w:div>
    <w:div w:id="367413230">
      <w:bodyDiv w:val="1"/>
      <w:marLeft w:val="0"/>
      <w:marRight w:val="0"/>
      <w:marTop w:val="0"/>
      <w:marBottom w:val="0"/>
      <w:divBdr>
        <w:top w:val="none" w:sz="0" w:space="0" w:color="auto"/>
        <w:left w:val="none" w:sz="0" w:space="0" w:color="auto"/>
        <w:bottom w:val="none" w:sz="0" w:space="0" w:color="auto"/>
        <w:right w:val="none" w:sz="0" w:space="0" w:color="auto"/>
      </w:divBdr>
    </w:div>
    <w:div w:id="390622249">
      <w:bodyDiv w:val="1"/>
      <w:marLeft w:val="0"/>
      <w:marRight w:val="0"/>
      <w:marTop w:val="0"/>
      <w:marBottom w:val="0"/>
      <w:divBdr>
        <w:top w:val="none" w:sz="0" w:space="0" w:color="auto"/>
        <w:left w:val="none" w:sz="0" w:space="0" w:color="auto"/>
        <w:bottom w:val="none" w:sz="0" w:space="0" w:color="auto"/>
        <w:right w:val="none" w:sz="0" w:space="0" w:color="auto"/>
      </w:divBdr>
    </w:div>
    <w:div w:id="396392658">
      <w:bodyDiv w:val="1"/>
      <w:marLeft w:val="0"/>
      <w:marRight w:val="0"/>
      <w:marTop w:val="0"/>
      <w:marBottom w:val="0"/>
      <w:divBdr>
        <w:top w:val="none" w:sz="0" w:space="0" w:color="auto"/>
        <w:left w:val="none" w:sz="0" w:space="0" w:color="auto"/>
        <w:bottom w:val="none" w:sz="0" w:space="0" w:color="auto"/>
        <w:right w:val="none" w:sz="0" w:space="0" w:color="auto"/>
      </w:divBdr>
    </w:div>
    <w:div w:id="398788793">
      <w:bodyDiv w:val="1"/>
      <w:marLeft w:val="0"/>
      <w:marRight w:val="0"/>
      <w:marTop w:val="0"/>
      <w:marBottom w:val="0"/>
      <w:divBdr>
        <w:top w:val="none" w:sz="0" w:space="0" w:color="auto"/>
        <w:left w:val="none" w:sz="0" w:space="0" w:color="auto"/>
        <w:bottom w:val="none" w:sz="0" w:space="0" w:color="auto"/>
        <w:right w:val="none" w:sz="0" w:space="0" w:color="auto"/>
      </w:divBdr>
    </w:div>
    <w:div w:id="402222482">
      <w:bodyDiv w:val="1"/>
      <w:marLeft w:val="0"/>
      <w:marRight w:val="0"/>
      <w:marTop w:val="0"/>
      <w:marBottom w:val="0"/>
      <w:divBdr>
        <w:top w:val="none" w:sz="0" w:space="0" w:color="auto"/>
        <w:left w:val="none" w:sz="0" w:space="0" w:color="auto"/>
        <w:bottom w:val="none" w:sz="0" w:space="0" w:color="auto"/>
        <w:right w:val="none" w:sz="0" w:space="0" w:color="auto"/>
      </w:divBdr>
    </w:div>
    <w:div w:id="410004041">
      <w:bodyDiv w:val="1"/>
      <w:marLeft w:val="0"/>
      <w:marRight w:val="0"/>
      <w:marTop w:val="0"/>
      <w:marBottom w:val="0"/>
      <w:divBdr>
        <w:top w:val="none" w:sz="0" w:space="0" w:color="auto"/>
        <w:left w:val="none" w:sz="0" w:space="0" w:color="auto"/>
        <w:bottom w:val="none" w:sz="0" w:space="0" w:color="auto"/>
        <w:right w:val="none" w:sz="0" w:space="0" w:color="auto"/>
      </w:divBdr>
    </w:div>
    <w:div w:id="422458907">
      <w:bodyDiv w:val="1"/>
      <w:marLeft w:val="0"/>
      <w:marRight w:val="0"/>
      <w:marTop w:val="0"/>
      <w:marBottom w:val="0"/>
      <w:divBdr>
        <w:top w:val="none" w:sz="0" w:space="0" w:color="auto"/>
        <w:left w:val="none" w:sz="0" w:space="0" w:color="auto"/>
        <w:bottom w:val="none" w:sz="0" w:space="0" w:color="auto"/>
        <w:right w:val="none" w:sz="0" w:space="0" w:color="auto"/>
      </w:divBdr>
    </w:div>
    <w:div w:id="450898484">
      <w:bodyDiv w:val="1"/>
      <w:marLeft w:val="0"/>
      <w:marRight w:val="0"/>
      <w:marTop w:val="0"/>
      <w:marBottom w:val="0"/>
      <w:divBdr>
        <w:top w:val="none" w:sz="0" w:space="0" w:color="auto"/>
        <w:left w:val="none" w:sz="0" w:space="0" w:color="auto"/>
        <w:bottom w:val="none" w:sz="0" w:space="0" w:color="auto"/>
        <w:right w:val="none" w:sz="0" w:space="0" w:color="auto"/>
      </w:divBdr>
    </w:div>
    <w:div w:id="473763315">
      <w:bodyDiv w:val="1"/>
      <w:marLeft w:val="0"/>
      <w:marRight w:val="0"/>
      <w:marTop w:val="0"/>
      <w:marBottom w:val="0"/>
      <w:divBdr>
        <w:top w:val="none" w:sz="0" w:space="0" w:color="auto"/>
        <w:left w:val="none" w:sz="0" w:space="0" w:color="auto"/>
        <w:bottom w:val="none" w:sz="0" w:space="0" w:color="auto"/>
        <w:right w:val="none" w:sz="0" w:space="0" w:color="auto"/>
      </w:divBdr>
    </w:div>
    <w:div w:id="489910084">
      <w:bodyDiv w:val="1"/>
      <w:marLeft w:val="0"/>
      <w:marRight w:val="0"/>
      <w:marTop w:val="0"/>
      <w:marBottom w:val="0"/>
      <w:divBdr>
        <w:top w:val="none" w:sz="0" w:space="0" w:color="auto"/>
        <w:left w:val="none" w:sz="0" w:space="0" w:color="auto"/>
        <w:bottom w:val="none" w:sz="0" w:space="0" w:color="auto"/>
        <w:right w:val="none" w:sz="0" w:space="0" w:color="auto"/>
      </w:divBdr>
    </w:div>
    <w:div w:id="514081236">
      <w:bodyDiv w:val="1"/>
      <w:marLeft w:val="0"/>
      <w:marRight w:val="0"/>
      <w:marTop w:val="0"/>
      <w:marBottom w:val="0"/>
      <w:divBdr>
        <w:top w:val="none" w:sz="0" w:space="0" w:color="auto"/>
        <w:left w:val="none" w:sz="0" w:space="0" w:color="auto"/>
        <w:bottom w:val="none" w:sz="0" w:space="0" w:color="auto"/>
        <w:right w:val="none" w:sz="0" w:space="0" w:color="auto"/>
      </w:divBdr>
    </w:div>
    <w:div w:id="545070571">
      <w:bodyDiv w:val="1"/>
      <w:marLeft w:val="0"/>
      <w:marRight w:val="0"/>
      <w:marTop w:val="0"/>
      <w:marBottom w:val="0"/>
      <w:divBdr>
        <w:top w:val="none" w:sz="0" w:space="0" w:color="auto"/>
        <w:left w:val="none" w:sz="0" w:space="0" w:color="auto"/>
        <w:bottom w:val="none" w:sz="0" w:space="0" w:color="auto"/>
        <w:right w:val="none" w:sz="0" w:space="0" w:color="auto"/>
      </w:divBdr>
    </w:div>
    <w:div w:id="628707030">
      <w:bodyDiv w:val="1"/>
      <w:marLeft w:val="0"/>
      <w:marRight w:val="0"/>
      <w:marTop w:val="0"/>
      <w:marBottom w:val="0"/>
      <w:divBdr>
        <w:top w:val="none" w:sz="0" w:space="0" w:color="auto"/>
        <w:left w:val="none" w:sz="0" w:space="0" w:color="auto"/>
        <w:bottom w:val="none" w:sz="0" w:space="0" w:color="auto"/>
        <w:right w:val="none" w:sz="0" w:space="0" w:color="auto"/>
      </w:divBdr>
    </w:div>
    <w:div w:id="640840507">
      <w:bodyDiv w:val="1"/>
      <w:marLeft w:val="0"/>
      <w:marRight w:val="0"/>
      <w:marTop w:val="0"/>
      <w:marBottom w:val="0"/>
      <w:divBdr>
        <w:top w:val="none" w:sz="0" w:space="0" w:color="auto"/>
        <w:left w:val="none" w:sz="0" w:space="0" w:color="auto"/>
        <w:bottom w:val="none" w:sz="0" w:space="0" w:color="auto"/>
        <w:right w:val="none" w:sz="0" w:space="0" w:color="auto"/>
      </w:divBdr>
    </w:div>
    <w:div w:id="690375293">
      <w:bodyDiv w:val="1"/>
      <w:marLeft w:val="0"/>
      <w:marRight w:val="0"/>
      <w:marTop w:val="0"/>
      <w:marBottom w:val="0"/>
      <w:divBdr>
        <w:top w:val="none" w:sz="0" w:space="0" w:color="auto"/>
        <w:left w:val="none" w:sz="0" w:space="0" w:color="auto"/>
        <w:bottom w:val="none" w:sz="0" w:space="0" w:color="auto"/>
        <w:right w:val="none" w:sz="0" w:space="0" w:color="auto"/>
      </w:divBdr>
    </w:div>
    <w:div w:id="709110997">
      <w:bodyDiv w:val="1"/>
      <w:marLeft w:val="0"/>
      <w:marRight w:val="0"/>
      <w:marTop w:val="0"/>
      <w:marBottom w:val="0"/>
      <w:divBdr>
        <w:top w:val="none" w:sz="0" w:space="0" w:color="auto"/>
        <w:left w:val="none" w:sz="0" w:space="0" w:color="auto"/>
        <w:bottom w:val="none" w:sz="0" w:space="0" w:color="auto"/>
        <w:right w:val="none" w:sz="0" w:space="0" w:color="auto"/>
      </w:divBdr>
    </w:div>
    <w:div w:id="724453296">
      <w:bodyDiv w:val="1"/>
      <w:marLeft w:val="0"/>
      <w:marRight w:val="0"/>
      <w:marTop w:val="0"/>
      <w:marBottom w:val="0"/>
      <w:divBdr>
        <w:top w:val="none" w:sz="0" w:space="0" w:color="auto"/>
        <w:left w:val="none" w:sz="0" w:space="0" w:color="auto"/>
        <w:bottom w:val="none" w:sz="0" w:space="0" w:color="auto"/>
        <w:right w:val="none" w:sz="0" w:space="0" w:color="auto"/>
      </w:divBdr>
    </w:div>
    <w:div w:id="815076215">
      <w:bodyDiv w:val="1"/>
      <w:marLeft w:val="0"/>
      <w:marRight w:val="0"/>
      <w:marTop w:val="0"/>
      <w:marBottom w:val="0"/>
      <w:divBdr>
        <w:top w:val="none" w:sz="0" w:space="0" w:color="auto"/>
        <w:left w:val="none" w:sz="0" w:space="0" w:color="auto"/>
        <w:bottom w:val="none" w:sz="0" w:space="0" w:color="auto"/>
        <w:right w:val="none" w:sz="0" w:space="0" w:color="auto"/>
      </w:divBdr>
    </w:div>
    <w:div w:id="828326281">
      <w:bodyDiv w:val="1"/>
      <w:marLeft w:val="0"/>
      <w:marRight w:val="0"/>
      <w:marTop w:val="0"/>
      <w:marBottom w:val="0"/>
      <w:divBdr>
        <w:top w:val="none" w:sz="0" w:space="0" w:color="auto"/>
        <w:left w:val="none" w:sz="0" w:space="0" w:color="auto"/>
        <w:bottom w:val="none" w:sz="0" w:space="0" w:color="auto"/>
        <w:right w:val="none" w:sz="0" w:space="0" w:color="auto"/>
      </w:divBdr>
    </w:div>
    <w:div w:id="912198056">
      <w:bodyDiv w:val="1"/>
      <w:marLeft w:val="0"/>
      <w:marRight w:val="0"/>
      <w:marTop w:val="0"/>
      <w:marBottom w:val="0"/>
      <w:divBdr>
        <w:top w:val="none" w:sz="0" w:space="0" w:color="auto"/>
        <w:left w:val="none" w:sz="0" w:space="0" w:color="auto"/>
        <w:bottom w:val="none" w:sz="0" w:space="0" w:color="auto"/>
        <w:right w:val="none" w:sz="0" w:space="0" w:color="auto"/>
      </w:divBdr>
    </w:div>
    <w:div w:id="992876775">
      <w:bodyDiv w:val="1"/>
      <w:marLeft w:val="0"/>
      <w:marRight w:val="0"/>
      <w:marTop w:val="0"/>
      <w:marBottom w:val="0"/>
      <w:divBdr>
        <w:top w:val="none" w:sz="0" w:space="0" w:color="auto"/>
        <w:left w:val="none" w:sz="0" w:space="0" w:color="auto"/>
        <w:bottom w:val="none" w:sz="0" w:space="0" w:color="auto"/>
        <w:right w:val="none" w:sz="0" w:space="0" w:color="auto"/>
      </w:divBdr>
    </w:div>
    <w:div w:id="1016808699">
      <w:bodyDiv w:val="1"/>
      <w:marLeft w:val="0"/>
      <w:marRight w:val="0"/>
      <w:marTop w:val="0"/>
      <w:marBottom w:val="0"/>
      <w:divBdr>
        <w:top w:val="none" w:sz="0" w:space="0" w:color="auto"/>
        <w:left w:val="none" w:sz="0" w:space="0" w:color="auto"/>
        <w:bottom w:val="none" w:sz="0" w:space="0" w:color="auto"/>
        <w:right w:val="none" w:sz="0" w:space="0" w:color="auto"/>
      </w:divBdr>
    </w:div>
    <w:div w:id="1146356698">
      <w:bodyDiv w:val="1"/>
      <w:marLeft w:val="0"/>
      <w:marRight w:val="0"/>
      <w:marTop w:val="0"/>
      <w:marBottom w:val="0"/>
      <w:divBdr>
        <w:top w:val="none" w:sz="0" w:space="0" w:color="auto"/>
        <w:left w:val="none" w:sz="0" w:space="0" w:color="auto"/>
        <w:bottom w:val="none" w:sz="0" w:space="0" w:color="auto"/>
        <w:right w:val="none" w:sz="0" w:space="0" w:color="auto"/>
      </w:divBdr>
    </w:div>
    <w:div w:id="1198590589">
      <w:bodyDiv w:val="1"/>
      <w:marLeft w:val="0"/>
      <w:marRight w:val="0"/>
      <w:marTop w:val="0"/>
      <w:marBottom w:val="0"/>
      <w:divBdr>
        <w:top w:val="none" w:sz="0" w:space="0" w:color="auto"/>
        <w:left w:val="none" w:sz="0" w:space="0" w:color="auto"/>
        <w:bottom w:val="none" w:sz="0" w:space="0" w:color="auto"/>
        <w:right w:val="none" w:sz="0" w:space="0" w:color="auto"/>
      </w:divBdr>
    </w:div>
    <w:div w:id="1211113257">
      <w:bodyDiv w:val="1"/>
      <w:marLeft w:val="0"/>
      <w:marRight w:val="0"/>
      <w:marTop w:val="0"/>
      <w:marBottom w:val="0"/>
      <w:divBdr>
        <w:top w:val="none" w:sz="0" w:space="0" w:color="auto"/>
        <w:left w:val="none" w:sz="0" w:space="0" w:color="auto"/>
        <w:bottom w:val="none" w:sz="0" w:space="0" w:color="auto"/>
        <w:right w:val="none" w:sz="0" w:space="0" w:color="auto"/>
      </w:divBdr>
    </w:div>
    <w:div w:id="1252355031">
      <w:bodyDiv w:val="1"/>
      <w:marLeft w:val="0"/>
      <w:marRight w:val="0"/>
      <w:marTop w:val="0"/>
      <w:marBottom w:val="0"/>
      <w:divBdr>
        <w:top w:val="none" w:sz="0" w:space="0" w:color="auto"/>
        <w:left w:val="none" w:sz="0" w:space="0" w:color="auto"/>
        <w:bottom w:val="none" w:sz="0" w:space="0" w:color="auto"/>
        <w:right w:val="none" w:sz="0" w:space="0" w:color="auto"/>
      </w:divBdr>
    </w:div>
    <w:div w:id="1259874609">
      <w:bodyDiv w:val="1"/>
      <w:marLeft w:val="0"/>
      <w:marRight w:val="0"/>
      <w:marTop w:val="0"/>
      <w:marBottom w:val="0"/>
      <w:divBdr>
        <w:top w:val="none" w:sz="0" w:space="0" w:color="auto"/>
        <w:left w:val="none" w:sz="0" w:space="0" w:color="auto"/>
        <w:bottom w:val="none" w:sz="0" w:space="0" w:color="auto"/>
        <w:right w:val="none" w:sz="0" w:space="0" w:color="auto"/>
      </w:divBdr>
    </w:div>
    <w:div w:id="1269579784">
      <w:bodyDiv w:val="1"/>
      <w:marLeft w:val="0"/>
      <w:marRight w:val="0"/>
      <w:marTop w:val="0"/>
      <w:marBottom w:val="0"/>
      <w:divBdr>
        <w:top w:val="none" w:sz="0" w:space="0" w:color="auto"/>
        <w:left w:val="none" w:sz="0" w:space="0" w:color="auto"/>
        <w:bottom w:val="none" w:sz="0" w:space="0" w:color="auto"/>
        <w:right w:val="none" w:sz="0" w:space="0" w:color="auto"/>
      </w:divBdr>
    </w:div>
    <w:div w:id="1312247085">
      <w:bodyDiv w:val="1"/>
      <w:marLeft w:val="0"/>
      <w:marRight w:val="0"/>
      <w:marTop w:val="0"/>
      <w:marBottom w:val="0"/>
      <w:divBdr>
        <w:top w:val="none" w:sz="0" w:space="0" w:color="auto"/>
        <w:left w:val="none" w:sz="0" w:space="0" w:color="auto"/>
        <w:bottom w:val="none" w:sz="0" w:space="0" w:color="auto"/>
        <w:right w:val="none" w:sz="0" w:space="0" w:color="auto"/>
      </w:divBdr>
    </w:div>
    <w:div w:id="1335717122">
      <w:bodyDiv w:val="1"/>
      <w:marLeft w:val="0"/>
      <w:marRight w:val="0"/>
      <w:marTop w:val="0"/>
      <w:marBottom w:val="0"/>
      <w:divBdr>
        <w:top w:val="none" w:sz="0" w:space="0" w:color="auto"/>
        <w:left w:val="none" w:sz="0" w:space="0" w:color="auto"/>
        <w:bottom w:val="none" w:sz="0" w:space="0" w:color="auto"/>
        <w:right w:val="none" w:sz="0" w:space="0" w:color="auto"/>
      </w:divBdr>
    </w:div>
    <w:div w:id="1346634226">
      <w:bodyDiv w:val="1"/>
      <w:marLeft w:val="0"/>
      <w:marRight w:val="0"/>
      <w:marTop w:val="0"/>
      <w:marBottom w:val="0"/>
      <w:divBdr>
        <w:top w:val="none" w:sz="0" w:space="0" w:color="auto"/>
        <w:left w:val="none" w:sz="0" w:space="0" w:color="auto"/>
        <w:bottom w:val="none" w:sz="0" w:space="0" w:color="auto"/>
        <w:right w:val="none" w:sz="0" w:space="0" w:color="auto"/>
      </w:divBdr>
    </w:div>
    <w:div w:id="1417365103">
      <w:bodyDiv w:val="1"/>
      <w:marLeft w:val="0"/>
      <w:marRight w:val="0"/>
      <w:marTop w:val="0"/>
      <w:marBottom w:val="0"/>
      <w:divBdr>
        <w:top w:val="none" w:sz="0" w:space="0" w:color="auto"/>
        <w:left w:val="none" w:sz="0" w:space="0" w:color="auto"/>
        <w:bottom w:val="none" w:sz="0" w:space="0" w:color="auto"/>
        <w:right w:val="none" w:sz="0" w:space="0" w:color="auto"/>
      </w:divBdr>
    </w:div>
    <w:div w:id="1443844210">
      <w:bodyDiv w:val="1"/>
      <w:marLeft w:val="0"/>
      <w:marRight w:val="0"/>
      <w:marTop w:val="0"/>
      <w:marBottom w:val="0"/>
      <w:divBdr>
        <w:top w:val="none" w:sz="0" w:space="0" w:color="auto"/>
        <w:left w:val="none" w:sz="0" w:space="0" w:color="auto"/>
        <w:bottom w:val="none" w:sz="0" w:space="0" w:color="auto"/>
        <w:right w:val="none" w:sz="0" w:space="0" w:color="auto"/>
      </w:divBdr>
    </w:div>
    <w:div w:id="1450006694">
      <w:bodyDiv w:val="1"/>
      <w:marLeft w:val="0"/>
      <w:marRight w:val="0"/>
      <w:marTop w:val="0"/>
      <w:marBottom w:val="0"/>
      <w:divBdr>
        <w:top w:val="none" w:sz="0" w:space="0" w:color="auto"/>
        <w:left w:val="none" w:sz="0" w:space="0" w:color="auto"/>
        <w:bottom w:val="none" w:sz="0" w:space="0" w:color="auto"/>
        <w:right w:val="none" w:sz="0" w:space="0" w:color="auto"/>
      </w:divBdr>
    </w:div>
    <w:div w:id="1468232926">
      <w:bodyDiv w:val="1"/>
      <w:marLeft w:val="0"/>
      <w:marRight w:val="0"/>
      <w:marTop w:val="0"/>
      <w:marBottom w:val="0"/>
      <w:divBdr>
        <w:top w:val="none" w:sz="0" w:space="0" w:color="auto"/>
        <w:left w:val="none" w:sz="0" w:space="0" w:color="auto"/>
        <w:bottom w:val="none" w:sz="0" w:space="0" w:color="auto"/>
        <w:right w:val="none" w:sz="0" w:space="0" w:color="auto"/>
      </w:divBdr>
    </w:div>
    <w:div w:id="1590886521">
      <w:bodyDiv w:val="1"/>
      <w:marLeft w:val="0"/>
      <w:marRight w:val="0"/>
      <w:marTop w:val="0"/>
      <w:marBottom w:val="0"/>
      <w:divBdr>
        <w:top w:val="none" w:sz="0" w:space="0" w:color="auto"/>
        <w:left w:val="none" w:sz="0" w:space="0" w:color="auto"/>
        <w:bottom w:val="none" w:sz="0" w:space="0" w:color="auto"/>
        <w:right w:val="none" w:sz="0" w:space="0" w:color="auto"/>
      </w:divBdr>
    </w:div>
    <w:div w:id="1603879683">
      <w:bodyDiv w:val="1"/>
      <w:marLeft w:val="0"/>
      <w:marRight w:val="0"/>
      <w:marTop w:val="0"/>
      <w:marBottom w:val="0"/>
      <w:divBdr>
        <w:top w:val="none" w:sz="0" w:space="0" w:color="auto"/>
        <w:left w:val="none" w:sz="0" w:space="0" w:color="auto"/>
        <w:bottom w:val="none" w:sz="0" w:space="0" w:color="auto"/>
        <w:right w:val="none" w:sz="0" w:space="0" w:color="auto"/>
      </w:divBdr>
    </w:div>
    <w:div w:id="1656839384">
      <w:bodyDiv w:val="1"/>
      <w:marLeft w:val="0"/>
      <w:marRight w:val="0"/>
      <w:marTop w:val="0"/>
      <w:marBottom w:val="0"/>
      <w:divBdr>
        <w:top w:val="none" w:sz="0" w:space="0" w:color="auto"/>
        <w:left w:val="none" w:sz="0" w:space="0" w:color="auto"/>
        <w:bottom w:val="none" w:sz="0" w:space="0" w:color="auto"/>
        <w:right w:val="none" w:sz="0" w:space="0" w:color="auto"/>
      </w:divBdr>
    </w:div>
    <w:div w:id="1713840740">
      <w:bodyDiv w:val="1"/>
      <w:marLeft w:val="0"/>
      <w:marRight w:val="0"/>
      <w:marTop w:val="0"/>
      <w:marBottom w:val="0"/>
      <w:divBdr>
        <w:top w:val="none" w:sz="0" w:space="0" w:color="auto"/>
        <w:left w:val="none" w:sz="0" w:space="0" w:color="auto"/>
        <w:bottom w:val="none" w:sz="0" w:space="0" w:color="auto"/>
        <w:right w:val="none" w:sz="0" w:space="0" w:color="auto"/>
      </w:divBdr>
    </w:div>
    <w:div w:id="1714698190">
      <w:bodyDiv w:val="1"/>
      <w:marLeft w:val="0"/>
      <w:marRight w:val="0"/>
      <w:marTop w:val="0"/>
      <w:marBottom w:val="0"/>
      <w:divBdr>
        <w:top w:val="none" w:sz="0" w:space="0" w:color="auto"/>
        <w:left w:val="none" w:sz="0" w:space="0" w:color="auto"/>
        <w:bottom w:val="none" w:sz="0" w:space="0" w:color="auto"/>
        <w:right w:val="none" w:sz="0" w:space="0" w:color="auto"/>
      </w:divBdr>
    </w:div>
    <w:div w:id="1763793976">
      <w:bodyDiv w:val="1"/>
      <w:marLeft w:val="0"/>
      <w:marRight w:val="0"/>
      <w:marTop w:val="0"/>
      <w:marBottom w:val="0"/>
      <w:divBdr>
        <w:top w:val="none" w:sz="0" w:space="0" w:color="auto"/>
        <w:left w:val="none" w:sz="0" w:space="0" w:color="auto"/>
        <w:bottom w:val="none" w:sz="0" w:space="0" w:color="auto"/>
        <w:right w:val="none" w:sz="0" w:space="0" w:color="auto"/>
      </w:divBdr>
    </w:div>
    <w:div w:id="1774741083">
      <w:bodyDiv w:val="1"/>
      <w:marLeft w:val="0"/>
      <w:marRight w:val="0"/>
      <w:marTop w:val="0"/>
      <w:marBottom w:val="0"/>
      <w:divBdr>
        <w:top w:val="none" w:sz="0" w:space="0" w:color="auto"/>
        <w:left w:val="none" w:sz="0" w:space="0" w:color="auto"/>
        <w:bottom w:val="none" w:sz="0" w:space="0" w:color="auto"/>
        <w:right w:val="none" w:sz="0" w:space="0" w:color="auto"/>
      </w:divBdr>
    </w:div>
    <w:div w:id="1828283340">
      <w:bodyDiv w:val="1"/>
      <w:marLeft w:val="0"/>
      <w:marRight w:val="0"/>
      <w:marTop w:val="0"/>
      <w:marBottom w:val="0"/>
      <w:divBdr>
        <w:top w:val="none" w:sz="0" w:space="0" w:color="auto"/>
        <w:left w:val="none" w:sz="0" w:space="0" w:color="auto"/>
        <w:bottom w:val="none" w:sz="0" w:space="0" w:color="auto"/>
        <w:right w:val="none" w:sz="0" w:space="0" w:color="auto"/>
      </w:divBdr>
    </w:div>
    <w:div w:id="1846245811">
      <w:bodyDiv w:val="1"/>
      <w:marLeft w:val="0"/>
      <w:marRight w:val="0"/>
      <w:marTop w:val="0"/>
      <w:marBottom w:val="0"/>
      <w:divBdr>
        <w:top w:val="none" w:sz="0" w:space="0" w:color="auto"/>
        <w:left w:val="none" w:sz="0" w:space="0" w:color="auto"/>
        <w:bottom w:val="none" w:sz="0" w:space="0" w:color="auto"/>
        <w:right w:val="none" w:sz="0" w:space="0" w:color="auto"/>
      </w:divBdr>
    </w:div>
    <w:div w:id="1860196852">
      <w:bodyDiv w:val="1"/>
      <w:marLeft w:val="0"/>
      <w:marRight w:val="0"/>
      <w:marTop w:val="0"/>
      <w:marBottom w:val="0"/>
      <w:divBdr>
        <w:top w:val="none" w:sz="0" w:space="0" w:color="auto"/>
        <w:left w:val="none" w:sz="0" w:space="0" w:color="auto"/>
        <w:bottom w:val="none" w:sz="0" w:space="0" w:color="auto"/>
        <w:right w:val="none" w:sz="0" w:space="0" w:color="auto"/>
      </w:divBdr>
    </w:div>
    <w:div w:id="1903979956">
      <w:bodyDiv w:val="1"/>
      <w:marLeft w:val="0"/>
      <w:marRight w:val="0"/>
      <w:marTop w:val="0"/>
      <w:marBottom w:val="0"/>
      <w:divBdr>
        <w:top w:val="none" w:sz="0" w:space="0" w:color="auto"/>
        <w:left w:val="none" w:sz="0" w:space="0" w:color="auto"/>
        <w:bottom w:val="none" w:sz="0" w:space="0" w:color="auto"/>
        <w:right w:val="none" w:sz="0" w:space="0" w:color="auto"/>
      </w:divBdr>
    </w:div>
    <w:div w:id="1921521639">
      <w:bodyDiv w:val="1"/>
      <w:marLeft w:val="0"/>
      <w:marRight w:val="0"/>
      <w:marTop w:val="0"/>
      <w:marBottom w:val="0"/>
      <w:divBdr>
        <w:top w:val="none" w:sz="0" w:space="0" w:color="auto"/>
        <w:left w:val="none" w:sz="0" w:space="0" w:color="auto"/>
        <w:bottom w:val="none" w:sz="0" w:space="0" w:color="auto"/>
        <w:right w:val="none" w:sz="0" w:space="0" w:color="auto"/>
      </w:divBdr>
    </w:div>
    <w:div w:id="1924296746">
      <w:bodyDiv w:val="1"/>
      <w:marLeft w:val="0"/>
      <w:marRight w:val="0"/>
      <w:marTop w:val="0"/>
      <w:marBottom w:val="0"/>
      <w:divBdr>
        <w:top w:val="none" w:sz="0" w:space="0" w:color="auto"/>
        <w:left w:val="none" w:sz="0" w:space="0" w:color="auto"/>
        <w:bottom w:val="none" w:sz="0" w:space="0" w:color="auto"/>
        <w:right w:val="none" w:sz="0" w:space="0" w:color="auto"/>
      </w:divBdr>
    </w:div>
    <w:div w:id="1927575038">
      <w:bodyDiv w:val="1"/>
      <w:marLeft w:val="0"/>
      <w:marRight w:val="0"/>
      <w:marTop w:val="0"/>
      <w:marBottom w:val="0"/>
      <w:divBdr>
        <w:top w:val="none" w:sz="0" w:space="0" w:color="auto"/>
        <w:left w:val="none" w:sz="0" w:space="0" w:color="auto"/>
        <w:bottom w:val="none" w:sz="0" w:space="0" w:color="auto"/>
        <w:right w:val="none" w:sz="0" w:space="0" w:color="auto"/>
      </w:divBdr>
    </w:div>
    <w:div w:id="1986622619">
      <w:bodyDiv w:val="1"/>
      <w:marLeft w:val="0"/>
      <w:marRight w:val="0"/>
      <w:marTop w:val="0"/>
      <w:marBottom w:val="0"/>
      <w:divBdr>
        <w:top w:val="none" w:sz="0" w:space="0" w:color="auto"/>
        <w:left w:val="none" w:sz="0" w:space="0" w:color="auto"/>
        <w:bottom w:val="none" w:sz="0" w:space="0" w:color="auto"/>
        <w:right w:val="none" w:sz="0" w:space="0" w:color="auto"/>
      </w:divBdr>
    </w:div>
    <w:div w:id="1993025411">
      <w:bodyDiv w:val="1"/>
      <w:marLeft w:val="0"/>
      <w:marRight w:val="0"/>
      <w:marTop w:val="0"/>
      <w:marBottom w:val="0"/>
      <w:divBdr>
        <w:top w:val="none" w:sz="0" w:space="0" w:color="auto"/>
        <w:left w:val="none" w:sz="0" w:space="0" w:color="auto"/>
        <w:bottom w:val="none" w:sz="0" w:space="0" w:color="auto"/>
        <w:right w:val="none" w:sz="0" w:space="0" w:color="auto"/>
      </w:divBdr>
    </w:div>
    <w:div w:id="2028479957">
      <w:bodyDiv w:val="1"/>
      <w:marLeft w:val="0"/>
      <w:marRight w:val="0"/>
      <w:marTop w:val="0"/>
      <w:marBottom w:val="0"/>
      <w:divBdr>
        <w:top w:val="none" w:sz="0" w:space="0" w:color="auto"/>
        <w:left w:val="none" w:sz="0" w:space="0" w:color="auto"/>
        <w:bottom w:val="none" w:sz="0" w:space="0" w:color="auto"/>
        <w:right w:val="none" w:sz="0" w:space="0" w:color="auto"/>
      </w:divBdr>
    </w:div>
    <w:div w:id="2051490366">
      <w:bodyDiv w:val="1"/>
      <w:marLeft w:val="0"/>
      <w:marRight w:val="0"/>
      <w:marTop w:val="0"/>
      <w:marBottom w:val="0"/>
      <w:divBdr>
        <w:top w:val="none" w:sz="0" w:space="0" w:color="auto"/>
        <w:left w:val="none" w:sz="0" w:space="0" w:color="auto"/>
        <w:bottom w:val="none" w:sz="0" w:space="0" w:color="auto"/>
        <w:right w:val="none" w:sz="0" w:space="0" w:color="auto"/>
      </w:divBdr>
    </w:div>
    <w:div w:id="2052339324">
      <w:bodyDiv w:val="1"/>
      <w:marLeft w:val="0"/>
      <w:marRight w:val="0"/>
      <w:marTop w:val="0"/>
      <w:marBottom w:val="0"/>
      <w:divBdr>
        <w:top w:val="none" w:sz="0" w:space="0" w:color="auto"/>
        <w:left w:val="none" w:sz="0" w:space="0" w:color="auto"/>
        <w:bottom w:val="none" w:sz="0" w:space="0" w:color="auto"/>
        <w:right w:val="none" w:sz="0" w:space="0" w:color="auto"/>
      </w:divBdr>
    </w:div>
    <w:div w:id="2062709080">
      <w:bodyDiv w:val="1"/>
      <w:marLeft w:val="0"/>
      <w:marRight w:val="0"/>
      <w:marTop w:val="0"/>
      <w:marBottom w:val="0"/>
      <w:divBdr>
        <w:top w:val="none" w:sz="0" w:space="0" w:color="auto"/>
        <w:left w:val="none" w:sz="0" w:space="0" w:color="auto"/>
        <w:bottom w:val="none" w:sz="0" w:space="0" w:color="auto"/>
        <w:right w:val="none" w:sz="0" w:space="0" w:color="auto"/>
      </w:divBdr>
    </w:div>
    <w:div w:id="214631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sa.ac.uk/collection/c23072/introduction" TargetMode="External"/><Relationship Id="rId18" Type="http://schemas.openxmlformats.org/officeDocument/2006/relationships/hyperlink" Target="https://www.officeforstudents.org.uk/data-and-analysis/national-student-survey-data/" TargetMode="External"/><Relationship Id="rId26" Type="http://schemas.openxmlformats.org/officeDocument/2006/relationships/hyperlink" Target="https://www.emerald.com/insight/search?q=Courtney%20Hartley" TargetMode="External"/><Relationship Id="rId3" Type="http://schemas.openxmlformats.org/officeDocument/2006/relationships/styles" Target="styles.xml"/><Relationship Id="rId21" Type="http://schemas.openxmlformats.org/officeDocument/2006/relationships/hyperlink" Target="https://www.emerald.com/insight/search?q=Tony%20Wall" TargetMode="External"/><Relationship Id="rId7" Type="http://schemas.openxmlformats.org/officeDocument/2006/relationships/endnotes" Target="endnotes.xml"/><Relationship Id="rId12" Type="http://schemas.openxmlformats.org/officeDocument/2006/relationships/hyperlink" Target="https://doi.org/10.1093/oso/9780190907785.001.0001" TargetMode="External"/><Relationship Id="rId17" Type="http://schemas.openxmlformats.org/officeDocument/2006/relationships/hyperlink" Target="https://www.officeforstudents.org.uk/for-providers/quality-and-standards/about-the-tef/" TargetMode="External"/><Relationship Id="rId25" Type="http://schemas.openxmlformats.org/officeDocument/2006/relationships/hyperlink" Target="https://www.emerald.com/insight/search?q=Martin%20Preston" TargetMode="External"/><Relationship Id="rId2" Type="http://schemas.openxmlformats.org/officeDocument/2006/relationships/numbering" Target="numbering.xml"/><Relationship Id="rId16" Type="http://schemas.openxmlformats.org/officeDocument/2006/relationships/hyperlink" Target="https://www.nao.org.uk/wp-content/uploads/2024/10/department-for-education-overview-2023-24.pdf" TargetMode="External"/><Relationship Id="rId20" Type="http://schemas.openxmlformats.org/officeDocument/2006/relationships/hyperlink" Target="https://doi.org/10.59175/pijed.v3i2.368" TargetMode="External"/><Relationship Id="rId29" Type="http://schemas.openxmlformats.org/officeDocument/2006/relationships/hyperlink" Target="https://doi.org/10.1108/HESWBL-02-2017-00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ac.uk/news/2024/university-alliance-cbi-economics-report/" TargetMode="External"/><Relationship Id="rId24" Type="http://schemas.openxmlformats.org/officeDocument/2006/relationships/hyperlink" Target="https://www.emerald.com/insight/search?q=Jeremy%20Peach" TargetMode="External"/><Relationship Id="rId5" Type="http://schemas.openxmlformats.org/officeDocument/2006/relationships/webSettings" Target="webSettings.xml"/><Relationship Id="rId15" Type="http://schemas.openxmlformats.org/officeDocument/2006/relationships/hyperlink" Target="https://doi.org/10.1007/978-3-030-46951-1" TargetMode="External"/><Relationship Id="rId23" Type="http://schemas.openxmlformats.org/officeDocument/2006/relationships/hyperlink" Target="https://www.emerald.com/insight/search?q=Tamara%20Hunt" TargetMode="External"/><Relationship Id="rId28" Type="http://schemas.openxmlformats.org/officeDocument/2006/relationships/hyperlink" Target="https://www.emerald.com/insight/publication/issn/2042-3896" TargetMode="External"/><Relationship Id="rId10" Type="http://schemas.openxmlformats.org/officeDocument/2006/relationships/hyperlink" Target="https://doi.org/10.4324/9781003448471" TargetMode="External"/><Relationship Id="rId19" Type="http://schemas.openxmlformats.org/officeDocument/2006/relationships/hyperlink" Target="https://www.qaa.ac.uk/docs/qaa/quality-code/advice-and-guidance-work-based-learning.pdf?sfvrsn=f625c181_2"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80/07294360.2024.2307929" TargetMode="External"/><Relationship Id="rId22" Type="http://schemas.openxmlformats.org/officeDocument/2006/relationships/hyperlink" Target="https://www.emerald.com/insight/search?q=Ann%20Hindley" TargetMode="External"/><Relationship Id="rId27" Type="http://schemas.openxmlformats.org/officeDocument/2006/relationships/hyperlink" Target="https://www.emerald.com/insight/search?q=Amy%20Fairban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7A988-9929-4375-9E8C-2032DEC89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6965</Words>
  <Characters>39705</Characters>
  <Application>Microsoft Office Word</Application>
  <DocSecurity>0</DocSecurity>
  <Lines>330</Lines>
  <Paragraphs>93</Paragraphs>
  <ScaleCrop>false</ScaleCrop>
  <Company>University of Wales Trinity Saint David</Company>
  <LinksUpToDate>false</LinksUpToDate>
  <CharactersWithSpaces>46577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260</cp:revision>
  <dcterms:created xsi:type="dcterms:W3CDTF">2024-09-27T20:43:00Z</dcterms:created>
  <dcterms:modified xsi:type="dcterms:W3CDTF">2025-03-28T10:38:00Z</dcterms:modified>
</cp:coreProperties>
</file>