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26D81" w:rsidRDefault="00626D81" w:rsidP="00E41EC5">
      <w:pPr>
        <w:jc w:val="both"/>
        <w:rPr>
          <w:b/>
          <w:sz w:val="24"/>
          <w:szCs w:val="24"/>
          <w:u w:val="single"/>
        </w:rPr>
      </w:pPr>
    </w:p>
    <w:p w:rsidR="003D3648" w:rsidRPr="001C6AB5" w:rsidRDefault="00B84D4A" w:rsidP="00E41EC5">
      <w:pPr>
        <w:jc w:val="both"/>
        <w:rPr>
          <w:b/>
          <w:sz w:val="24"/>
          <w:szCs w:val="24"/>
          <w:u w:val="single"/>
        </w:rPr>
      </w:pPr>
      <w:r w:rsidRPr="001C6AB5">
        <w:rPr>
          <w:b/>
          <w:sz w:val="24"/>
          <w:szCs w:val="24"/>
          <w:u w:val="single"/>
        </w:rPr>
        <w:t>(1) The Acquisition-Learning Hypothesis</w:t>
      </w:r>
    </w:p>
    <w:p w:rsidR="00847FA8" w:rsidRPr="001C6AB5" w:rsidRDefault="00B84D4A" w:rsidP="00E41EC5">
      <w:pPr>
        <w:jc w:val="both"/>
        <w:rPr>
          <w:sz w:val="24"/>
          <w:szCs w:val="24"/>
        </w:rPr>
      </w:pPr>
      <w:r w:rsidRPr="001C6AB5">
        <w:rPr>
          <w:b/>
          <w:sz w:val="24"/>
          <w:szCs w:val="24"/>
        </w:rPr>
        <w:t xml:space="preserve">- </w:t>
      </w:r>
      <w:r w:rsidR="00D4607A" w:rsidRPr="001C6AB5">
        <w:rPr>
          <w:b/>
          <w:sz w:val="24"/>
          <w:szCs w:val="24"/>
        </w:rPr>
        <w:t>Krashen</w:t>
      </w:r>
      <w:r w:rsidRPr="001C6AB5">
        <w:rPr>
          <w:sz w:val="24"/>
          <w:szCs w:val="24"/>
        </w:rPr>
        <w:t xml:space="preserve"> only draws on one set of references from </w:t>
      </w:r>
      <w:r w:rsidRPr="001C6AB5">
        <w:rPr>
          <w:b/>
          <w:sz w:val="24"/>
          <w:szCs w:val="24"/>
        </w:rPr>
        <w:t>Roger Brown</w:t>
      </w:r>
      <w:r w:rsidRPr="001C6AB5">
        <w:rPr>
          <w:sz w:val="24"/>
          <w:szCs w:val="24"/>
        </w:rPr>
        <w:t xml:space="preserve"> in the early 1970s</w:t>
      </w:r>
      <w:r w:rsidR="00F75956" w:rsidRPr="001C6AB5">
        <w:rPr>
          <w:sz w:val="24"/>
          <w:szCs w:val="24"/>
        </w:rPr>
        <w:t xml:space="preserve"> and c</w:t>
      </w:r>
      <w:r w:rsidR="00847FA8" w:rsidRPr="001C6AB5">
        <w:rPr>
          <w:sz w:val="24"/>
          <w:szCs w:val="24"/>
        </w:rPr>
        <w:t>ompares it with several other authors’ distinction of implicit and explicit learning</w:t>
      </w:r>
      <w:r w:rsidR="00F75956" w:rsidRPr="001C6AB5">
        <w:rPr>
          <w:sz w:val="24"/>
          <w:szCs w:val="24"/>
        </w:rPr>
        <w:t xml:space="preserve">. However, he </w:t>
      </w:r>
      <w:r w:rsidR="00847FA8" w:rsidRPr="001C6AB5">
        <w:rPr>
          <w:sz w:val="24"/>
          <w:szCs w:val="24"/>
        </w:rPr>
        <w:t xml:space="preserve">simply informs the reader that evidence will be </w:t>
      </w:r>
      <w:r w:rsidR="00F75956" w:rsidRPr="001C6AB5">
        <w:rPr>
          <w:sz w:val="24"/>
          <w:szCs w:val="24"/>
        </w:rPr>
        <w:t>provided</w:t>
      </w:r>
      <w:r w:rsidR="00847FA8" w:rsidRPr="001C6AB5">
        <w:rPr>
          <w:sz w:val="24"/>
          <w:szCs w:val="24"/>
        </w:rPr>
        <w:t xml:space="preserve"> later</w:t>
      </w:r>
    </w:p>
    <w:p w:rsidR="00BA2BD3" w:rsidRPr="001C6AB5" w:rsidRDefault="00BA2BD3" w:rsidP="00BA2BD3">
      <w:pPr>
        <w:jc w:val="both"/>
        <w:rPr>
          <w:sz w:val="24"/>
          <w:szCs w:val="24"/>
        </w:rPr>
      </w:pPr>
      <w:r w:rsidRPr="001C6AB5">
        <w:rPr>
          <w:b/>
          <w:sz w:val="24"/>
          <w:szCs w:val="24"/>
        </w:rPr>
        <w:t>- Krashen</w:t>
      </w:r>
      <w:r w:rsidRPr="001C6AB5">
        <w:rPr>
          <w:sz w:val="24"/>
          <w:szCs w:val="24"/>
        </w:rPr>
        <w:t xml:space="preserve"> takes the position that grammar study has no place in language learning (Krashen 1993s, 1993b).</w:t>
      </w:r>
      <w:r w:rsidR="00F75956" w:rsidRPr="001C6AB5">
        <w:rPr>
          <w:b/>
          <w:sz w:val="24"/>
          <w:szCs w:val="24"/>
        </w:rPr>
        <w:t xml:space="preserve"> </w:t>
      </w:r>
      <w:r w:rsidRPr="001C6AB5">
        <w:rPr>
          <w:b/>
          <w:sz w:val="24"/>
          <w:szCs w:val="24"/>
        </w:rPr>
        <w:t>Greg (1984</w:t>
      </w:r>
      <w:r w:rsidRPr="001C6AB5">
        <w:rPr>
          <w:sz w:val="24"/>
          <w:szCs w:val="24"/>
        </w:rPr>
        <w:t xml:space="preserve">), </w:t>
      </w:r>
      <w:r w:rsidRPr="001C6AB5">
        <w:rPr>
          <w:b/>
          <w:sz w:val="24"/>
          <w:szCs w:val="24"/>
        </w:rPr>
        <w:t>MacLaughlin (1987)</w:t>
      </w:r>
      <w:r w:rsidRPr="001C6AB5">
        <w:rPr>
          <w:sz w:val="24"/>
          <w:szCs w:val="24"/>
        </w:rPr>
        <w:t xml:space="preserve"> and </w:t>
      </w:r>
      <w:r w:rsidRPr="001C6AB5">
        <w:rPr>
          <w:b/>
          <w:sz w:val="24"/>
          <w:szCs w:val="24"/>
        </w:rPr>
        <w:t>Lightbown &amp; Pienemann (1993</w:t>
      </w:r>
      <w:r w:rsidRPr="001C6AB5">
        <w:rPr>
          <w:sz w:val="24"/>
          <w:szCs w:val="24"/>
        </w:rPr>
        <w:t>)</w:t>
      </w:r>
      <w:r w:rsidR="00F75956" w:rsidRPr="001C6AB5">
        <w:rPr>
          <w:sz w:val="24"/>
          <w:szCs w:val="24"/>
        </w:rPr>
        <w:t xml:space="preserve"> </w:t>
      </w:r>
      <w:r w:rsidRPr="001C6AB5">
        <w:rPr>
          <w:sz w:val="24"/>
          <w:szCs w:val="24"/>
        </w:rPr>
        <w:t xml:space="preserve">explain that there are </w:t>
      </w:r>
      <w:r w:rsidR="00F75956" w:rsidRPr="001C6AB5">
        <w:rPr>
          <w:sz w:val="24"/>
          <w:szCs w:val="24"/>
        </w:rPr>
        <w:t>numerous</w:t>
      </w:r>
      <w:r w:rsidRPr="001C6AB5">
        <w:rPr>
          <w:sz w:val="24"/>
          <w:szCs w:val="24"/>
        </w:rPr>
        <w:t xml:space="preserve"> examples of how grammar study can be of </w:t>
      </w:r>
      <w:r w:rsidR="00E97FFB" w:rsidRPr="001C6AB5">
        <w:rPr>
          <w:sz w:val="24"/>
          <w:szCs w:val="24"/>
        </w:rPr>
        <w:t>substantial</w:t>
      </w:r>
      <w:r w:rsidRPr="001C6AB5">
        <w:rPr>
          <w:sz w:val="24"/>
          <w:szCs w:val="24"/>
        </w:rPr>
        <w:t xml:space="preserve"> benefit  to students learning </w:t>
      </w:r>
      <w:r w:rsidR="00E97FFB" w:rsidRPr="001C6AB5">
        <w:rPr>
          <w:sz w:val="24"/>
          <w:szCs w:val="24"/>
        </w:rPr>
        <w:t xml:space="preserve">via </w:t>
      </w:r>
      <w:r w:rsidRPr="001C6AB5">
        <w:rPr>
          <w:sz w:val="24"/>
          <w:szCs w:val="24"/>
        </w:rPr>
        <w:t>communicative method</w:t>
      </w:r>
      <w:r w:rsidR="00E97FFB" w:rsidRPr="001C6AB5">
        <w:rPr>
          <w:sz w:val="24"/>
          <w:szCs w:val="24"/>
        </w:rPr>
        <w:t>s</w:t>
      </w:r>
      <w:r w:rsidRPr="001C6AB5">
        <w:rPr>
          <w:sz w:val="24"/>
          <w:szCs w:val="24"/>
        </w:rPr>
        <w:t>.</w:t>
      </w:r>
    </w:p>
    <w:p w:rsidR="00B84D4A" w:rsidRPr="001C6AB5" w:rsidRDefault="008108C0" w:rsidP="00E41EC5">
      <w:pPr>
        <w:jc w:val="both"/>
        <w:rPr>
          <w:sz w:val="24"/>
          <w:szCs w:val="24"/>
        </w:rPr>
      </w:pPr>
      <w:r w:rsidRPr="001C6AB5">
        <w:rPr>
          <w:b/>
          <w:sz w:val="24"/>
          <w:szCs w:val="24"/>
        </w:rPr>
        <w:t>- Gregg (1984)</w:t>
      </w:r>
      <w:r w:rsidRPr="001C6AB5">
        <w:rPr>
          <w:sz w:val="24"/>
          <w:szCs w:val="24"/>
        </w:rPr>
        <w:t xml:space="preserve"> </w:t>
      </w:r>
      <w:r w:rsidR="00C87637" w:rsidRPr="001C6AB5">
        <w:rPr>
          <w:sz w:val="24"/>
          <w:szCs w:val="24"/>
        </w:rPr>
        <w:t>insists</w:t>
      </w:r>
      <w:r w:rsidRPr="001C6AB5">
        <w:rPr>
          <w:sz w:val="24"/>
          <w:szCs w:val="24"/>
        </w:rPr>
        <w:t xml:space="preserve"> that </w:t>
      </w:r>
      <w:r w:rsidR="00D4607A" w:rsidRPr="001C6AB5">
        <w:rPr>
          <w:b/>
          <w:sz w:val="24"/>
          <w:szCs w:val="24"/>
        </w:rPr>
        <w:t>Krashen</w:t>
      </w:r>
      <w:r w:rsidRPr="001C6AB5">
        <w:rPr>
          <w:b/>
          <w:sz w:val="24"/>
          <w:szCs w:val="24"/>
        </w:rPr>
        <w:t>’</w:t>
      </w:r>
      <w:r w:rsidRPr="001C6AB5">
        <w:rPr>
          <w:sz w:val="24"/>
          <w:szCs w:val="24"/>
        </w:rPr>
        <w:t xml:space="preserve">s </w:t>
      </w:r>
      <w:r w:rsidR="00C87637" w:rsidRPr="001C6AB5">
        <w:rPr>
          <w:sz w:val="24"/>
          <w:szCs w:val="24"/>
        </w:rPr>
        <w:t xml:space="preserve">contention </w:t>
      </w:r>
      <w:r w:rsidRPr="001C6AB5">
        <w:rPr>
          <w:sz w:val="24"/>
          <w:szCs w:val="24"/>
        </w:rPr>
        <w:t xml:space="preserve">that learning can never </w:t>
      </w:r>
      <w:r w:rsidR="00421420" w:rsidRPr="001C6AB5">
        <w:rPr>
          <w:sz w:val="24"/>
          <w:szCs w:val="24"/>
        </w:rPr>
        <w:t>become acquisition is quickly refute</w:t>
      </w:r>
      <w:r w:rsidR="002559FB" w:rsidRPr="001C6AB5">
        <w:rPr>
          <w:sz w:val="24"/>
          <w:szCs w:val="24"/>
        </w:rPr>
        <w:t>d</w:t>
      </w:r>
      <w:r w:rsidR="00421420" w:rsidRPr="001C6AB5">
        <w:rPr>
          <w:sz w:val="24"/>
          <w:szCs w:val="24"/>
        </w:rPr>
        <w:t xml:space="preserve"> by the experience of anyone who has internalised some of the grammar they have memorised. However, although it is not explicitly stated, </w:t>
      </w:r>
      <w:r w:rsidR="00D4607A" w:rsidRPr="001C6AB5">
        <w:rPr>
          <w:b/>
          <w:sz w:val="24"/>
          <w:szCs w:val="24"/>
        </w:rPr>
        <w:t>Krashen</w:t>
      </w:r>
      <w:r w:rsidR="00421420" w:rsidRPr="001C6AB5">
        <w:rPr>
          <w:b/>
          <w:sz w:val="24"/>
          <w:szCs w:val="24"/>
        </w:rPr>
        <w:t xml:space="preserve">’s </w:t>
      </w:r>
      <w:r w:rsidR="00421420" w:rsidRPr="001C6AB5">
        <w:rPr>
          <w:sz w:val="24"/>
          <w:szCs w:val="24"/>
        </w:rPr>
        <w:t>emphasis seems to be that classroom learning does not lead to</w:t>
      </w:r>
      <w:r w:rsidR="00CD3FD0" w:rsidRPr="001C6AB5">
        <w:rPr>
          <w:sz w:val="24"/>
          <w:szCs w:val="24"/>
        </w:rPr>
        <w:t xml:space="preserve"> fluent, native-like speech</w:t>
      </w:r>
      <w:r w:rsidR="00584AA9" w:rsidRPr="001C6AB5">
        <w:rPr>
          <w:sz w:val="24"/>
          <w:szCs w:val="24"/>
        </w:rPr>
        <w:t xml:space="preserve">. </w:t>
      </w:r>
      <w:r w:rsidR="00584AA9" w:rsidRPr="001C6AB5">
        <w:rPr>
          <w:b/>
          <w:sz w:val="24"/>
          <w:szCs w:val="24"/>
        </w:rPr>
        <w:t xml:space="preserve">Gregg’s </w:t>
      </w:r>
      <w:r w:rsidR="00584AA9" w:rsidRPr="001C6AB5">
        <w:rPr>
          <w:sz w:val="24"/>
          <w:szCs w:val="24"/>
        </w:rPr>
        <w:t xml:space="preserve">account that his memorisation of a verb conjugation chart was “error-free” after a couple of days seems to go against this spirit. </w:t>
      </w:r>
    </w:p>
    <w:p w:rsidR="00FA68F8" w:rsidRPr="001C6AB5" w:rsidRDefault="002B0A1B" w:rsidP="00E41EC5">
      <w:pPr>
        <w:jc w:val="both"/>
        <w:rPr>
          <w:sz w:val="24"/>
          <w:szCs w:val="24"/>
        </w:rPr>
      </w:pPr>
      <w:r w:rsidRPr="001C6AB5">
        <w:rPr>
          <w:b/>
          <w:sz w:val="24"/>
          <w:szCs w:val="24"/>
        </w:rPr>
        <w:t>- McLaughlin (1987)</w:t>
      </w:r>
      <w:r w:rsidRPr="001C6AB5">
        <w:rPr>
          <w:sz w:val="24"/>
          <w:szCs w:val="24"/>
        </w:rPr>
        <w:t xml:space="preserve"> begins his critique by pointing by pointing out that </w:t>
      </w:r>
      <w:r w:rsidR="00D4607A" w:rsidRPr="001C6AB5">
        <w:rPr>
          <w:b/>
          <w:sz w:val="24"/>
          <w:szCs w:val="24"/>
        </w:rPr>
        <w:t>Krashen</w:t>
      </w:r>
      <w:r w:rsidRPr="001C6AB5">
        <w:rPr>
          <w:sz w:val="24"/>
          <w:szCs w:val="24"/>
        </w:rPr>
        <w:t xml:space="preserve"> never adequately defines acquisition, learning, conscious, and subconscious and that without such clarification</w:t>
      </w:r>
      <w:r w:rsidR="00FA68F8" w:rsidRPr="001C6AB5">
        <w:rPr>
          <w:sz w:val="24"/>
          <w:szCs w:val="24"/>
        </w:rPr>
        <w:t>, it is very difficult to independently determine whether subjects are learning or acquiring language. Furthermore, any attempt to recreate an environment suitable for acq</w:t>
      </w:r>
      <w:r w:rsidR="00283E7E" w:rsidRPr="001C6AB5">
        <w:rPr>
          <w:sz w:val="24"/>
          <w:szCs w:val="24"/>
        </w:rPr>
        <w:t>uisition is bound to be problematic.</w:t>
      </w:r>
    </w:p>
    <w:p w:rsidR="002C128C" w:rsidRPr="001C6AB5" w:rsidRDefault="002C128C" w:rsidP="002C128C">
      <w:pPr>
        <w:jc w:val="both"/>
        <w:rPr>
          <w:b/>
          <w:sz w:val="24"/>
          <w:szCs w:val="24"/>
          <w:u w:val="single"/>
        </w:rPr>
      </w:pPr>
      <w:r w:rsidRPr="001C6AB5">
        <w:rPr>
          <w:b/>
          <w:sz w:val="24"/>
          <w:szCs w:val="24"/>
          <w:u w:val="single"/>
        </w:rPr>
        <w:t xml:space="preserve">(2) </w:t>
      </w:r>
      <w:r w:rsidR="004647B7" w:rsidRPr="001C6AB5">
        <w:rPr>
          <w:b/>
          <w:sz w:val="24"/>
          <w:szCs w:val="24"/>
          <w:u w:val="single"/>
        </w:rPr>
        <w:t xml:space="preserve">The Natural Order </w:t>
      </w:r>
      <w:r w:rsidRPr="001C6AB5">
        <w:rPr>
          <w:b/>
          <w:sz w:val="24"/>
          <w:szCs w:val="24"/>
          <w:u w:val="single"/>
        </w:rPr>
        <w:t>Hypothesis</w:t>
      </w:r>
    </w:p>
    <w:p w:rsidR="003269D7" w:rsidRPr="001C6AB5" w:rsidRDefault="003269D7" w:rsidP="001775CD">
      <w:pPr>
        <w:jc w:val="both"/>
        <w:rPr>
          <w:sz w:val="24"/>
          <w:szCs w:val="24"/>
        </w:rPr>
      </w:pPr>
      <w:r w:rsidRPr="001C6AB5">
        <w:rPr>
          <w:b/>
          <w:sz w:val="24"/>
          <w:szCs w:val="24"/>
        </w:rPr>
        <w:t>- Gregg</w:t>
      </w:r>
      <w:r w:rsidRPr="001C6AB5">
        <w:rPr>
          <w:sz w:val="24"/>
          <w:szCs w:val="24"/>
        </w:rPr>
        <w:t xml:space="preserve"> reminds us that the basic idea of a simple linear order of acquisition is extremely unlikely</w:t>
      </w:r>
    </w:p>
    <w:p w:rsidR="004B463D" w:rsidRPr="001C6AB5" w:rsidRDefault="004B463D" w:rsidP="001775CD">
      <w:pPr>
        <w:jc w:val="both"/>
        <w:rPr>
          <w:sz w:val="24"/>
          <w:szCs w:val="24"/>
        </w:rPr>
      </w:pPr>
      <w:r w:rsidRPr="001C6AB5">
        <w:rPr>
          <w:b/>
          <w:sz w:val="24"/>
          <w:szCs w:val="24"/>
        </w:rPr>
        <w:t>- McLaughlin</w:t>
      </w:r>
      <w:r w:rsidRPr="001C6AB5">
        <w:rPr>
          <w:sz w:val="24"/>
          <w:szCs w:val="24"/>
        </w:rPr>
        <w:t xml:space="preserve"> points out the methodical problems with </w:t>
      </w:r>
      <w:r w:rsidRPr="001C6AB5">
        <w:rPr>
          <w:b/>
          <w:sz w:val="24"/>
          <w:szCs w:val="24"/>
        </w:rPr>
        <w:t>Dulay and Burt’s 1974 study</w:t>
      </w:r>
      <w:r w:rsidR="001775CD" w:rsidRPr="001C6AB5">
        <w:rPr>
          <w:sz w:val="24"/>
          <w:szCs w:val="24"/>
        </w:rPr>
        <w:t xml:space="preserve"> and cites a study by </w:t>
      </w:r>
      <w:r w:rsidR="001775CD" w:rsidRPr="001C6AB5">
        <w:rPr>
          <w:b/>
          <w:sz w:val="24"/>
          <w:szCs w:val="24"/>
        </w:rPr>
        <w:t>Hakuta and Cancino (1977),</w:t>
      </w:r>
      <w:r w:rsidR="001775CD" w:rsidRPr="001C6AB5">
        <w:rPr>
          <w:sz w:val="24"/>
          <w:szCs w:val="24"/>
        </w:rPr>
        <w:t xml:space="preserve"> cited in </w:t>
      </w:r>
      <w:r w:rsidR="001775CD" w:rsidRPr="001C6AB5">
        <w:rPr>
          <w:b/>
          <w:sz w:val="24"/>
          <w:szCs w:val="24"/>
        </w:rPr>
        <w:t>McLaughlin</w:t>
      </w:r>
      <w:r w:rsidR="00304FE3" w:rsidRPr="001C6AB5">
        <w:rPr>
          <w:b/>
          <w:sz w:val="24"/>
          <w:szCs w:val="24"/>
        </w:rPr>
        <w:t xml:space="preserve"> </w:t>
      </w:r>
      <w:r w:rsidR="0015261E" w:rsidRPr="001C6AB5">
        <w:rPr>
          <w:b/>
          <w:sz w:val="24"/>
          <w:szCs w:val="24"/>
        </w:rPr>
        <w:t>(1987, p.32)</w:t>
      </w:r>
      <w:r w:rsidR="0015261E" w:rsidRPr="001C6AB5">
        <w:rPr>
          <w:sz w:val="24"/>
          <w:szCs w:val="24"/>
        </w:rPr>
        <w:t xml:space="preserve"> which found that the complexity of a morpheme depended on the learner’s native language.</w:t>
      </w:r>
    </w:p>
    <w:p w:rsidR="0015261E" w:rsidRPr="001C6AB5" w:rsidRDefault="0015261E" w:rsidP="001775CD">
      <w:pPr>
        <w:jc w:val="both"/>
        <w:rPr>
          <w:sz w:val="24"/>
          <w:szCs w:val="24"/>
        </w:rPr>
      </w:pPr>
      <w:r w:rsidRPr="001C6AB5">
        <w:rPr>
          <w:sz w:val="24"/>
          <w:szCs w:val="24"/>
        </w:rPr>
        <w:t>-</w:t>
      </w:r>
      <w:r w:rsidR="00C92380" w:rsidRPr="001C6AB5">
        <w:rPr>
          <w:sz w:val="24"/>
          <w:szCs w:val="24"/>
        </w:rPr>
        <w:t xml:space="preserve"> </w:t>
      </w:r>
      <w:r w:rsidR="004A7EC7" w:rsidRPr="001C6AB5">
        <w:rPr>
          <w:sz w:val="24"/>
          <w:szCs w:val="24"/>
        </w:rPr>
        <w:t xml:space="preserve">The contradictions for planning curriculum are immediately evident. Having just discredited grammar study in the Acquisition-Learning Hypothesis, </w:t>
      </w:r>
      <w:r w:rsidR="00D4607A" w:rsidRPr="001C6AB5">
        <w:rPr>
          <w:b/>
          <w:sz w:val="24"/>
          <w:szCs w:val="24"/>
        </w:rPr>
        <w:t>Krashen</w:t>
      </w:r>
      <w:r w:rsidR="004A7EC7" w:rsidRPr="001C6AB5">
        <w:rPr>
          <w:sz w:val="24"/>
          <w:szCs w:val="24"/>
        </w:rPr>
        <w:t xml:space="preserve"> suddenly proposes</w:t>
      </w:r>
      <w:r w:rsidR="00A8741D" w:rsidRPr="001C6AB5">
        <w:rPr>
          <w:sz w:val="24"/>
          <w:szCs w:val="24"/>
        </w:rPr>
        <w:t xml:space="preserve"> that second language learners should the natural order of acquisition for grammatical morphemes</w:t>
      </w:r>
      <w:r w:rsidR="00755D43" w:rsidRPr="001C6AB5">
        <w:rPr>
          <w:sz w:val="24"/>
          <w:szCs w:val="24"/>
        </w:rPr>
        <w:t>. The teachers is first instructed to create a natural environment for the learner but the</w:t>
      </w:r>
      <w:r w:rsidR="0041392A" w:rsidRPr="001C6AB5">
        <w:rPr>
          <w:sz w:val="24"/>
          <w:szCs w:val="24"/>
        </w:rPr>
        <w:t>n</w:t>
      </w:r>
      <w:r w:rsidR="00755D43" w:rsidRPr="001C6AB5">
        <w:rPr>
          <w:sz w:val="24"/>
          <w:szCs w:val="24"/>
        </w:rPr>
        <w:t xml:space="preserve">, in trying to create a curriculum, </w:t>
      </w:r>
      <w:r w:rsidR="0041392A" w:rsidRPr="001C6AB5">
        <w:rPr>
          <w:sz w:val="24"/>
          <w:szCs w:val="24"/>
        </w:rPr>
        <w:t xml:space="preserve">they are instructed to base it on the learner but then, in trying to create a curriculum, they are instructed to base it on grammar. Thus, attempting to put these conflicting theories into practice is very problematic. </w:t>
      </w:r>
    </w:p>
    <w:p w:rsidR="00626D81" w:rsidRDefault="00626D81" w:rsidP="001775CD">
      <w:pPr>
        <w:jc w:val="both"/>
        <w:rPr>
          <w:b/>
          <w:sz w:val="24"/>
          <w:szCs w:val="24"/>
        </w:rPr>
      </w:pPr>
    </w:p>
    <w:p w:rsidR="00626D81" w:rsidRDefault="00626D81" w:rsidP="001775CD">
      <w:pPr>
        <w:jc w:val="both"/>
        <w:rPr>
          <w:b/>
          <w:sz w:val="24"/>
          <w:szCs w:val="24"/>
        </w:rPr>
      </w:pPr>
    </w:p>
    <w:p w:rsidR="00EC47D3" w:rsidRPr="001C6AB5" w:rsidRDefault="00EC47D3" w:rsidP="001775CD">
      <w:pPr>
        <w:jc w:val="both"/>
        <w:rPr>
          <w:sz w:val="24"/>
          <w:szCs w:val="24"/>
        </w:rPr>
      </w:pPr>
      <w:r w:rsidRPr="001C6AB5">
        <w:rPr>
          <w:b/>
          <w:sz w:val="24"/>
          <w:szCs w:val="24"/>
        </w:rPr>
        <w:t>- McLaughlin (1987)</w:t>
      </w:r>
      <w:r w:rsidR="00883FEC" w:rsidRPr="001C6AB5">
        <w:rPr>
          <w:sz w:val="24"/>
          <w:szCs w:val="24"/>
        </w:rPr>
        <w:t xml:space="preserve"> points out that correct usage, even for grammatical morphemes, is not monolithic. Correct usage is relevant the situational context, i.e. what is correct in one situation might be complexly inappropriate in a different situation. In this sense, the term acquisition  becomes very unclear. </w:t>
      </w:r>
    </w:p>
    <w:p w:rsidR="003269D7" w:rsidRPr="001C6AB5" w:rsidRDefault="00F5669B" w:rsidP="002C128C">
      <w:pPr>
        <w:jc w:val="both"/>
        <w:rPr>
          <w:b/>
          <w:sz w:val="24"/>
          <w:szCs w:val="24"/>
        </w:rPr>
      </w:pPr>
      <w:r w:rsidRPr="001C6AB5">
        <w:rPr>
          <w:sz w:val="24"/>
          <w:szCs w:val="24"/>
        </w:rPr>
        <w:t>- even if some weak form of natural order exists for any learners who are speakers of a given language, learning</w:t>
      </w:r>
      <w:r w:rsidR="00E64590" w:rsidRPr="001C6AB5">
        <w:rPr>
          <w:sz w:val="24"/>
          <w:szCs w:val="24"/>
        </w:rPr>
        <w:t xml:space="preserve"> in a given environment, it is not clear that the order is the same for comprehension and production. If these two orders differ, it is not clear how they would interact.</w:t>
      </w:r>
      <w:r w:rsidRPr="001C6AB5">
        <w:rPr>
          <w:sz w:val="24"/>
          <w:szCs w:val="24"/>
        </w:rPr>
        <w:t xml:space="preserve">  </w:t>
      </w:r>
    </w:p>
    <w:p w:rsidR="003B7E93" w:rsidRPr="001C6AB5" w:rsidRDefault="002C128C" w:rsidP="002C128C">
      <w:pPr>
        <w:jc w:val="both"/>
        <w:rPr>
          <w:b/>
          <w:sz w:val="24"/>
          <w:szCs w:val="24"/>
          <w:u w:val="single"/>
        </w:rPr>
      </w:pPr>
      <w:r w:rsidRPr="001C6AB5">
        <w:rPr>
          <w:b/>
          <w:sz w:val="24"/>
          <w:szCs w:val="24"/>
          <w:u w:val="single"/>
        </w:rPr>
        <w:t xml:space="preserve">(3) </w:t>
      </w:r>
      <w:r w:rsidR="00BE2D78" w:rsidRPr="001C6AB5">
        <w:rPr>
          <w:b/>
          <w:sz w:val="24"/>
          <w:szCs w:val="24"/>
          <w:u w:val="single"/>
        </w:rPr>
        <w:t xml:space="preserve">The Monitor </w:t>
      </w:r>
      <w:r w:rsidRPr="001C6AB5">
        <w:rPr>
          <w:b/>
          <w:sz w:val="24"/>
          <w:szCs w:val="24"/>
          <w:u w:val="single"/>
        </w:rPr>
        <w:t>Hypothesis</w:t>
      </w:r>
    </w:p>
    <w:p w:rsidR="00FC30AB" w:rsidRPr="001C6AB5" w:rsidRDefault="00FC30AB" w:rsidP="002C128C">
      <w:pPr>
        <w:jc w:val="both"/>
        <w:rPr>
          <w:sz w:val="24"/>
          <w:szCs w:val="24"/>
        </w:rPr>
      </w:pPr>
      <w:r w:rsidRPr="001C6AB5">
        <w:rPr>
          <w:b/>
          <w:sz w:val="24"/>
          <w:szCs w:val="24"/>
        </w:rPr>
        <w:t>- Greg</w:t>
      </w:r>
      <w:r w:rsidR="00F458EF" w:rsidRPr="001C6AB5">
        <w:rPr>
          <w:b/>
          <w:sz w:val="24"/>
          <w:szCs w:val="24"/>
        </w:rPr>
        <w:t xml:space="preserve"> </w:t>
      </w:r>
      <w:r w:rsidRPr="001C6AB5">
        <w:rPr>
          <w:b/>
          <w:sz w:val="24"/>
          <w:szCs w:val="24"/>
        </w:rPr>
        <w:t>(1984</w:t>
      </w:r>
      <w:r w:rsidR="00EB7B4E" w:rsidRPr="001C6AB5">
        <w:rPr>
          <w:b/>
          <w:sz w:val="24"/>
          <w:szCs w:val="24"/>
        </w:rPr>
        <w:t>, p84</w:t>
      </w:r>
      <w:r w:rsidRPr="001C6AB5">
        <w:rPr>
          <w:b/>
          <w:sz w:val="24"/>
          <w:szCs w:val="24"/>
        </w:rPr>
        <w:t>)</w:t>
      </w:r>
      <w:r w:rsidRPr="001C6AB5">
        <w:rPr>
          <w:sz w:val="24"/>
          <w:szCs w:val="24"/>
        </w:rPr>
        <w:t xml:space="preserve"> </w:t>
      </w:r>
      <w:r w:rsidR="00EB7B4E" w:rsidRPr="001C6AB5">
        <w:rPr>
          <w:sz w:val="24"/>
          <w:szCs w:val="24"/>
        </w:rPr>
        <w:t xml:space="preserve">points out by restricting monitor use to learned grammar and only in production, </w:t>
      </w:r>
      <w:r w:rsidR="00D4607A" w:rsidRPr="001C6AB5">
        <w:rPr>
          <w:b/>
          <w:sz w:val="24"/>
          <w:szCs w:val="24"/>
        </w:rPr>
        <w:t>Krashen</w:t>
      </w:r>
      <w:r w:rsidR="00EB7B4E" w:rsidRPr="001C6AB5">
        <w:rPr>
          <w:sz w:val="24"/>
          <w:szCs w:val="24"/>
        </w:rPr>
        <w:t xml:space="preserve"> in effect makes the Acquisition-Learning Hypothesis contradictory. </w:t>
      </w:r>
      <w:r w:rsidR="00EB7B4E" w:rsidRPr="001C6AB5">
        <w:rPr>
          <w:b/>
          <w:sz w:val="24"/>
          <w:szCs w:val="24"/>
        </w:rPr>
        <w:t>Gregg</w:t>
      </w:r>
      <w:r w:rsidR="00EB7B4E" w:rsidRPr="001C6AB5">
        <w:rPr>
          <w:sz w:val="24"/>
          <w:szCs w:val="24"/>
        </w:rPr>
        <w:t xml:space="preserve"> also points out that the restricting learning to the role of and the role of editing production completely ignores comprehension. </w:t>
      </w:r>
    </w:p>
    <w:p w:rsidR="00EB7B4E" w:rsidRPr="001C6AB5" w:rsidRDefault="00EB7B4E" w:rsidP="002C128C">
      <w:pPr>
        <w:jc w:val="both"/>
        <w:rPr>
          <w:sz w:val="24"/>
          <w:szCs w:val="24"/>
        </w:rPr>
      </w:pPr>
      <w:r w:rsidRPr="001C6AB5">
        <w:rPr>
          <w:b/>
          <w:sz w:val="24"/>
          <w:szCs w:val="24"/>
        </w:rPr>
        <w:t>- McLaughlin (1987)</w:t>
      </w:r>
      <w:r w:rsidR="003C3AC5" w:rsidRPr="001C6AB5">
        <w:rPr>
          <w:sz w:val="24"/>
          <w:szCs w:val="24"/>
        </w:rPr>
        <w:t xml:space="preserve"> gives a thorough dissection of the hypothesis showing that </w:t>
      </w:r>
      <w:r w:rsidR="00D4607A" w:rsidRPr="001C6AB5">
        <w:rPr>
          <w:b/>
          <w:sz w:val="24"/>
          <w:szCs w:val="24"/>
        </w:rPr>
        <w:t>Krashen</w:t>
      </w:r>
      <w:r w:rsidR="003C3AC5" w:rsidRPr="001C6AB5">
        <w:rPr>
          <w:sz w:val="24"/>
          <w:szCs w:val="24"/>
        </w:rPr>
        <w:t xml:space="preserve"> has never demonstration the operation of the Monitor in his own or any other research.</w:t>
      </w:r>
    </w:p>
    <w:p w:rsidR="00882FFA" w:rsidRPr="001C6AB5" w:rsidRDefault="00882FFA" w:rsidP="00882FFA">
      <w:pPr>
        <w:jc w:val="both"/>
        <w:rPr>
          <w:b/>
          <w:sz w:val="24"/>
          <w:szCs w:val="24"/>
          <w:u w:val="single"/>
        </w:rPr>
      </w:pPr>
      <w:r w:rsidRPr="001C6AB5">
        <w:rPr>
          <w:b/>
          <w:sz w:val="24"/>
          <w:szCs w:val="24"/>
          <w:u w:val="single"/>
        </w:rPr>
        <w:t>(4) The Affective Filter Hypothesis</w:t>
      </w:r>
    </w:p>
    <w:p w:rsidR="00882FFA" w:rsidRPr="001C6AB5" w:rsidRDefault="00882FFA" w:rsidP="00882FFA">
      <w:pPr>
        <w:spacing w:before="100" w:beforeAutospacing="1" w:after="100" w:afterAutospacing="1" w:line="240" w:lineRule="auto"/>
        <w:jc w:val="both"/>
        <w:rPr>
          <w:rFonts w:eastAsia="Times New Roman" w:cs="Times New Roman"/>
          <w:bCs/>
          <w:sz w:val="24"/>
          <w:szCs w:val="24"/>
          <w:lang w:eastAsia="en-GB"/>
        </w:rPr>
      </w:pPr>
      <w:r w:rsidRPr="001C6AB5">
        <w:rPr>
          <w:rFonts w:eastAsia="Times New Roman" w:cs="Times New Roman"/>
          <w:bCs/>
          <w:sz w:val="24"/>
          <w:szCs w:val="24"/>
          <w:lang w:eastAsia="en-GB"/>
        </w:rPr>
        <w:t xml:space="preserve">- </w:t>
      </w:r>
      <w:r w:rsidRPr="001C6AB5">
        <w:rPr>
          <w:rFonts w:eastAsia="Times New Roman" w:cs="Times New Roman"/>
          <w:b/>
          <w:bCs/>
          <w:sz w:val="24"/>
          <w:szCs w:val="24"/>
          <w:lang w:eastAsia="en-GB"/>
        </w:rPr>
        <w:t>Krashen</w:t>
      </w:r>
      <w:r w:rsidRPr="001C6AB5">
        <w:rPr>
          <w:rFonts w:eastAsia="Times New Roman" w:cs="Times New Roman"/>
          <w:bCs/>
          <w:sz w:val="24"/>
          <w:szCs w:val="24"/>
          <w:lang w:eastAsia="en-GB"/>
        </w:rPr>
        <w:t xml:space="preserve"> seems to feel that the affective filter is associated with the emotional upheaval and hypersensitivity of puberty, but </w:t>
      </w:r>
      <w:r w:rsidRPr="001C6AB5">
        <w:rPr>
          <w:rFonts w:eastAsia="Times New Roman" w:cs="Times New Roman"/>
          <w:b/>
          <w:bCs/>
          <w:sz w:val="24"/>
          <w:szCs w:val="24"/>
          <w:lang w:eastAsia="en-GB"/>
        </w:rPr>
        <w:t>Greg (1984)</w:t>
      </w:r>
      <w:r w:rsidRPr="001C6AB5">
        <w:rPr>
          <w:rFonts w:eastAsia="Times New Roman" w:cs="Times New Roman"/>
          <w:bCs/>
          <w:sz w:val="24"/>
          <w:szCs w:val="24"/>
          <w:lang w:eastAsia="en-GB"/>
        </w:rPr>
        <w:t xml:space="preserve"> notes that this would indicate that the filter would slowly disappear in adulthood, which </w:t>
      </w:r>
      <w:r w:rsidRPr="001C6AB5">
        <w:rPr>
          <w:rFonts w:eastAsia="Times New Roman" w:cs="Times New Roman"/>
          <w:b/>
          <w:bCs/>
          <w:sz w:val="24"/>
          <w:szCs w:val="24"/>
          <w:lang w:eastAsia="en-GB"/>
        </w:rPr>
        <w:t>Krashen</w:t>
      </w:r>
      <w:r w:rsidRPr="001C6AB5">
        <w:rPr>
          <w:rFonts w:eastAsia="Times New Roman" w:cs="Times New Roman"/>
          <w:bCs/>
          <w:sz w:val="24"/>
          <w:szCs w:val="24"/>
          <w:lang w:eastAsia="en-GB"/>
        </w:rPr>
        <w:t xml:space="preserve"> does not allow for.</w:t>
      </w:r>
    </w:p>
    <w:p w:rsidR="00882FFA" w:rsidRPr="001C6AB5" w:rsidRDefault="00882FFA" w:rsidP="00882FFA">
      <w:pPr>
        <w:spacing w:before="100" w:beforeAutospacing="1" w:after="100" w:afterAutospacing="1" w:line="240" w:lineRule="auto"/>
        <w:jc w:val="both"/>
        <w:rPr>
          <w:rFonts w:eastAsia="Times New Roman" w:cs="Times New Roman"/>
          <w:bCs/>
          <w:sz w:val="24"/>
          <w:szCs w:val="24"/>
          <w:lang w:eastAsia="en-GB"/>
        </w:rPr>
      </w:pPr>
      <w:r w:rsidRPr="001C6AB5">
        <w:rPr>
          <w:rFonts w:eastAsia="Times New Roman" w:cs="Times New Roman"/>
          <w:bCs/>
          <w:sz w:val="24"/>
          <w:szCs w:val="24"/>
          <w:lang w:eastAsia="en-GB"/>
        </w:rPr>
        <w:t xml:space="preserve">- </w:t>
      </w:r>
      <w:r w:rsidRPr="001C6AB5">
        <w:rPr>
          <w:b/>
          <w:sz w:val="24"/>
          <w:szCs w:val="24"/>
        </w:rPr>
        <w:t>McLaughlin (1987)</w:t>
      </w:r>
      <w:r w:rsidRPr="001C6AB5">
        <w:rPr>
          <w:sz w:val="24"/>
          <w:szCs w:val="24"/>
        </w:rPr>
        <w:t xml:space="preserve"> points out that adolescents often acquire languages faster than younger, monitor-free children</w:t>
      </w:r>
    </w:p>
    <w:p w:rsidR="002C128C" w:rsidRPr="001C6AB5" w:rsidRDefault="002C128C" w:rsidP="002C128C">
      <w:pPr>
        <w:jc w:val="both"/>
        <w:rPr>
          <w:b/>
          <w:sz w:val="24"/>
          <w:szCs w:val="24"/>
          <w:u w:val="single"/>
        </w:rPr>
      </w:pPr>
      <w:r w:rsidRPr="001C6AB5">
        <w:rPr>
          <w:b/>
          <w:sz w:val="24"/>
          <w:szCs w:val="24"/>
          <w:u w:val="single"/>
        </w:rPr>
        <w:t>(</w:t>
      </w:r>
      <w:r w:rsidR="00882FFA" w:rsidRPr="001C6AB5">
        <w:rPr>
          <w:b/>
          <w:sz w:val="24"/>
          <w:szCs w:val="24"/>
          <w:u w:val="single"/>
        </w:rPr>
        <w:t>5</w:t>
      </w:r>
      <w:r w:rsidRPr="001C6AB5">
        <w:rPr>
          <w:b/>
          <w:sz w:val="24"/>
          <w:szCs w:val="24"/>
          <w:u w:val="single"/>
        </w:rPr>
        <w:t xml:space="preserve">) </w:t>
      </w:r>
      <w:r w:rsidR="00BE2D78" w:rsidRPr="001C6AB5">
        <w:rPr>
          <w:b/>
          <w:sz w:val="24"/>
          <w:szCs w:val="24"/>
          <w:u w:val="single"/>
        </w:rPr>
        <w:t xml:space="preserve"> The Input </w:t>
      </w:r>
      <w:r w:rsidRPr="001C6AB5">
        <w:rPr>
          <w:b/>
          <w:sz w:val="24"/>
          <w:szCs w:val="24"/>
          <w:u w:val="single"/>
        </w:rPr>
        <w:t>Hypothesis</w:t>
      </w:r>
    </w:p>
    <w:p w:rsidR="00F458EF" w:rsidRPr="001C6AB5" w:rsidRDefault="00F458EF" w:rsidP="002C128C">
      <w:pPr>
        <w:jc w:val="both"/>
        <w:rPr>
          <w:sz w:val="24"/>
          <w:szCs w:val="24"/>
        </w:rPr>
      </w:pPr>
      <w:r w:rsidRPr="001C6AB5">
        <w:rPr>
          <w:b/>
          <w:sz w:val="24"/>
          <w:szCs w:val="24"/>
        </w:rPr>
        <w:t>- Greg (1984)</w:t>
      </w:r>
      <w:r w:rsidRPr="001C6AB5">
        <w:rPr>
          <w:sz w:val="24"/>
          <w:szCs w:val="24"/>
        </w:rPr>
        <w:t xml:space="preserve"> spends substantial time </w:t>
      </w:r>
      <w:r w:rsidR="00D37B50" w:rsidRPr="001C6AB5">
        <w:rPr>
          <w:sz w:val="24"/>
          <w:szCs w:val="24"/>
        </w:rPr>
        <w:t>on this particular hypothesis, because, while it seems to be the core of the model, it is simply an uncontroversial observation with no process described and no proof provided.</w:t>
      </w:r>
    </w:p>
    <w:p w:rsidR="00FA56B1" w:rsidRPr="001C6AB5" w:rsidRDefault="00D37B50" w:rsidP="002C128C">
      <w:pPr>
        <w:jc w:val="both"/>
        <w:rPr>
          <w:sz w:val="24"/>
          <w:szCs w:val="24"/>
        </w:rPr>
      </w:pPr>
      <w:r w:rsidRPr="001C6AB5">
        <w:rPr>
          <w:sz w:val="24"/>
          <w:szCs w:val="24"/>
        </w:rPr>
        <w:t xml:space="preserve">- He also cites several studies that shed some </w:t>
      </w:r>
      <w:r w:rsidR="006A39E6" w:rsidRPr="001C6AB5">
        <w:rPr>
          <w:sz w:val="24"/>
          <w:szCs w:val="24"/>
        </w:rPr>
        <w:t>doubt</w:t>
      </w:r>
      <w:r w:rsidRPr="001C6AB5">
        <w:rPr>
          <w:sz w:val="24"/>
          <w:szCs w:val="24"/>
        </w:rPr>
        <w:t xml:space="preserve"> on</w:t>
      </w:r>
      <w:r w:rsidR="006A39E6" w:rsidRPr="001C6AB5">
        <w:rPr>
          <w:sz w:val="24"/>
          <w:szCs w:val="24"/>
        </w:rPr>
        <w:t xml:space="preserve"> the connection between caretaker speech in first language acquisition and simplified input </w:t>
      </w:r>
      <w:r w:rsidR="00897596" w:rsidRPr="001C6AB5">
        <w:rPr>
          <w:sz w:val="24"/>
          <w:szCs w:val="24"/>
        </w:rPr>
        <w:t xml:space="preserve">in second language acquisition. </w:t>
      </w:r>
      <w:r w:rsidR="00897596" w:rsidRPr="001C6AB5">
        <w:rPr>
          <w:b/>
          <w:sz w:val="24"/>
          <w:szCs w:val="24"/>
        </w:rPr>
        <w:t>Mclaughlin</w:t>
      </w:r>
      <w:r w:rsidR="0022002D" w:rsidRPr="001C6AB5">
        <w:rPr>
          <w:b/>
          <w:sz w:val="24"/>
          <w:szCs w:val="24"/>
        </w:rPr>
        <w:t xml:space="preserve"> (1987)</w:t>
      </w:r>
      <w:r w:rsidR="00897596" w:rsidRPr="001C6AB5">
        <w:rPr>
          <w:b/>
          <w:sz w:val="24"/>
          <w:szCs w:val="24"/>
        </w:rPr>
        <w:t xml:space="preserve"> </w:t>
      </w:r>
      <w:r w:rsidR="00897596" w:rsidRPr="001C6AB5">
        <w:rPr>
          <w:sz w:val="24"/>
          <w:szCs w:val="24"/>
        </w:rPr>
        <w:t xml:space="preserve">also gives careful and thorough consideration to this part of </w:t>
      </w:r>
      <w:r w:rsidR="00897596" w:rsidRPr="001C6AB5">
        <w:rPr>
          <w:b/>
          <w:sz w:val="24"/>
          <w:szCs w:val="24"/>
        </w:rPr>
        <w:t>Krashen’s</w:t>
      </w:r>
      <w:r w:rsidR="00897596" w:rsidRPr="001C6AB5">
        <w:rPr>
          <w:sz w:val="24"/>
          <w:szCs w:val="24"/>
        </w:rPr>
        <w:t xml:space="preserve"> model. He addresses each of the </w:t>
      </w:r>
      <w:r w:rsidR="00416EAF" w:rsidRPr="001C6AB5">
        <w:rPr>
          <w:sz w:val="24"/>
          <w:szCs w:val="24"/>
        </w:rPr>
        <w:t>points t</w:t>
      </w:r>
      <w:r w:rsidR="00897596" w:rsidRPr="001C6AB5">
        <w:rPr>
          <w:sz w:val="24"/>
          <w:szCs w:val="24"/>
        </w:rPr>
        <w:t xml:space="preserve">hat </w:t>
      </w:r>
      <w:r w:rsidR="00897596" w:rsidRPr="001C6AB5">
        <w:rPr>
          <w:b/>
          <w:sz w:val="24"/>
          <w:szCs w:val="24"/>
        </w:rPr>
        <w:t>Krashen</w:t>
      </w:r>
      <w:r w:rsidR="00897596" w:rsidRPr="001C6AB5">
        <w:rPr>
          <w:sz w:val="24"/>
          <w:szCs w:val="24"/>
        </w:rPr>
        <w:t xml:space="preserve"> presents, arguing that</w:t>
      </w:r>
      <w:r w:rsidR="00416EAF" w:rsidRPr="001C6AB5">
        <w:rPr>
          <w:sz w:val="24"/>
          <w:szCs w:val="24"/>
        </w:rPr>
        <w:t xml:space="preserve"> it is not sufficient to simply say that certain phenomenon can be viewed from the perspective of the Input Hypothesis</w:t>
      </w:r>
      <w:r w:rsidR="00FA56B1" w:rsidRPr="001C6AB5">
        <w:rPr>
          <w:sz w:val="24"/>
          <w:szCs w:val="24"/>
        </w:rPr>
        <w:t>. The concept of a learner’s level is extremely difficult to define, just as the idea of I +1.</w:t>
      </w:r>
    </w:p>
    <w:p w:rsidR="00626D81" w:rsidRDefault="00626D81" w:rsidP="002C128C">
      <w:pPr>
        <w:jc w:val="both"/>
        <w:rPr>
          <w:b/>
          <w:sz w:val="24"/>
          <w:szCs w:val="24"/>
        </w:rPr>
      </w:pPr>
    </w:p>
    <w:p w:rsidR="00537A09" w:rsidRPr="001C6AB5" w:rsidRDefault="00537A09" w:rsidP="002C128C">
      <w:pPr>
        <w:jc w:val="both"/>
        <w:rPr>
          <w:sz w:val="24"/>
          <w:szCs w:val="24"/>
        </w:rPr>
      </w:pPr>
      <w:r w:rsidRPr="001C6AB5">
        <w:rPr>
          <w:b/>
          <w:sz w:val="24"/>
          <w:szCs w:val="24"/>
        </w:rPr>
        <w:t>- McLaughlin (1987)</w:t>
      </w:r>
      <w:r w:rsidRPr="001C6AB5">
        <w:rPr>
          <w:sz w:val="24"/>
          <w:szCs w:val="24"/>
        </w:rPr>
        <w:t xml:space="preserve"> points out that </w:t>
      </w:r>
      <w:r w:rsidRPr="001C6AB5">
        <w:rPr>
          <w:b/>
          <w:sz w:val="24"/>
          <w:szCs w:val="24"/>
        </w:rPr>
        <w:t>Krashen</w:t>
      </w:r>
      <w:r w:rsidRPr="001C6AB5">
        <w:rPr>
          <w:sz w:val="24"/>
          <w:szCs w:val="24"/>
        </w:rPr>
        <w:t xml:space="preserve"> simply ignores other internal factors such as motivation and the importance of producing language for interaction. He also points out that </w:t>
      </w:r>
      <w:r w:rsidRPr="001C6AB5">
        <w:rPr>
          <w:b/>
          <w:sz w:val="24"/>
          <w:szCs w:val="24"/>
        </w:rPr>
        <w:t xml:space="preserve">Krashen </w:t>
      </w:r>
      <w:r w:rsidRPr="001C6AB5">
        <w:rPr>
          <w:sz w:val="24"/>
          <w:szCs w:val="24"/>
        </w:rPr>
        <w:t>never gives us any convincing idea as to how it works.</w:t>
      </w:r>
    </w:p>
    <w:p w:rsidR="00D37B50" w:rsidRPr="001C6AB5" w:rsidRDefault="00537A09" w:rsidP="002C128C">
      <w:pPr>
        <w:jc w:val="both"/>
        <w:rPr>
          <w:sz w:val="24"/>
          <w:szCs w:val="24"/>
        </w:rPr>
      </w:pPr>
      <w:r w:rsidRPr="001C6AB5">
        <w:rPr>
          <w:b/>
          <w:sz w:val="24"/>
          <w:szCs w:val="24"/>
        </w:rPr>
        <w:t>- Ellis (1992)</w:t>
      </w:r>
      <w:r w:rsidRPr="001C6AB5">
        <w:rPr>
          <w:sz w:val="24"/>
          <w:szCs w:val="24"/>
        </w:rPr>
        <w:t xml:space="preserve"> points out that even of his 1985 work he had still not provided a single study that demonstrated the Input Hypothesis. Over extended periods of time, students do learn to understand more and even how to speak, but it often seems to take much longer than </w:t>
      </w:r>
      <w:r w:rsidRPr="001C6AB5">
        <w:rPr>
          <w:b/>
          <w:sz w:val="24"/>
          <w:szCs w:val="24"/>
        </w:rPr>
        <w:t>Krashen i</w:t>
      </w:r>
      <w:r w:rsidRPr="001C6AB5">
        <w:rPr>
          <w:sz w:val="24"/>
          <w:szCs w:val="24"/>
        </w:rPr>
        <w:t xml:space="preserve">mplies, indicating that there are perhaps more factors involved. </w:t>
      </w:r>
      <w:r w:rsidR="006A39E6" w:rsidRPr="001C6AB5">
        <w:rPr>
          <w:sz w:val="24"/>
          <w:szCs w:val="24"/>
        </w:rPr>
        <w:t xml:space="preserve"> </w:t>
      </w:r>
      <w:r w:rsidR="00D37B50" w:rsidRPr="001C6AB5">
        <w:rPr>
          <w:sz w:val="24"/>
          <w:szCs w:val="24"/>
        </w:rPr>
        <w:t xml:space="preserve">  </w:t>
      </w:r>
    </w:p>
    <w:p w:rsidR="001010E6" w:rsidRPr="001C6AB5" w:rsidRDefault="001010E6" w:rsidP="001010E6">
      <w:pPr>
        <w:spacing w:before="100" w:beforeAutospacing="1" w:after="100" w:afterAutospacing="1" w:line="240" w:lineRule="auto"/>
        <w:rPr>
          <w:rFonts w:eastAsia="Times New Roman" w:cs="Times New Roman"/>
          <w:sz w:val="24"/>
          <w:szCs w:val="24"/>
          <w:u w:val="single"/>
          <w:lang w:eastAsia="en-GB"/>
        </w:rPr>
      </w:pPr>
      <w:r w:rsidRPr="001C6AB5">
        <w:rPr>
          <w:rFonts w:eastAsia="Times New Roman" w:cs="Times New Roman"/>
          <w:b/>
          <w:bCs/>
          <w:sz w:val="24"/>
          <w:szCs w:val="24"/>
          <w:u w:val="single"/>
          <w:lang w:eastAsia="en-GB"/>
        </w:rPr>
        <w:t>Bibliography</w:t>
      </w:r>
      <w:r w:rsidRPr="001C6AB5">
        <w:rPr>
          <w:rFonts w:eastAsia="Times New Roman" w:cs="Times New Roman"/>
          <w:sz w:val="24"/>
          <w:szCs w:val="24"/>
          <w:u w:val="single"/>
          <w:lang w:eastAsia="en-GB"/>
        </w:rPr>
        <w:t xml:space="preserve"> </w:t>
      </w:r>
    </w:p>
    <w:p w:rsidR="001010E6" w:rsidRPr="001C6AB5" w:rsidRDefault="001010E6" w:rsidP="001010E6">
      <w:pPr>
        <w:spacing w:before="100" w:beforeAutospacing="1" w:after="100" w:afterAutospacing="1" w:line="240" w:lineRule="auto"/>
        <w:jc w:val="both"/>
        <w:rPr>
          <w:rFonts w:eastAsia="Times New Roman" w:cs="Times New Roman"/>
          <w:sz w:val="24"/>
          <w:szCs w:val="24"/>
          <w:lang w:eastAsia="en-GB"/>
        </w:rPr>
      </w:pPr>
      <w:r w:rsidRPr="001C6AB5">
        <w:rPr>
          <w:rFonts w:eastAsia="Times New Roman" w:cs="Times New Roman"/>
          <w:sz w:val="24"/>
          <w:szCs w:val="24"/>
          <w:lang w:eastAsia="en-GB"/>
        </w:rPr>
        <w:t xml:space="preserve">Ellis, R. (1992). Comprehension and the acquisition of grammatical knowledge in a second language. In Courchãene, R.J. </w:t>
      </w:r>
      <w:r w:rsidRPr="001C6AB5">
        <w:rPr>
          <w:rFonts w:eastAsia="Times New Roman" w:cs="Times New Roman"/>
          <w:i/>
          <w:iCs/>
          <w:sz w:val="24"/>
          <w:szCs w:val="24"/>
          <w:lang w:eastAsia="en-GB"/>
        </w:rPr>
        <w:t>Comprehension-based second language teaching</w:t>
      </w:r>
      <w:r w:rsidRPr="001C6AB5">
        <w:rPr>
          <w:rFonts w:eastAsia="Times New Roman" w:cs="Times New Roman"/>
          <w:sz w:val="24"/>
          <w:szCs w:val="24"/>
          <w:lang w:eastAsia="en-GB"/>
        </w:rPr>
        <w:t xml:space="preserve">. Ottawa : University of Ottawa Press. </w:t>
      </w:r>
    </w:p>
    <w:p w:rsidR="001010E6" w:rsidRPr="001C6AB5" w:rsidRDefault="001010E6" w:rsidP="001010E6">
      <w:pPr>
        <w:spacing w:before="100" w:beforeAutospacing="1" w:after="100" w:afterAutospacing="1" w:line="240" w:lineRule="auto"/>
        <w:jc w:val="both"/>
        <w:rPr>
          <w:rFonts w:eastAsia="Times New Roman" w:cs="Times New Roman"/>
          <w:sz w:val="24"/>
          <w:szCs w:val="24"/>
          <w:lang w:eastAsia="en-GB"/>
        </w:rPr>
      </w:pPr>
      <w:r w:rsidRPr="001C6AB5">
        <w:rPr>
          <w:rFonts w:eastAsia="Times New Roman" w:cs="Times New Roman"/>
          <w:sz w:val="24"/>
          <w:szCs w:val="24"/>
          <w:lang w:eastAsia="en-GB"/>
        </w:rPr>
        <w:t xml:space="preserve">Gregg, K. (1984). </w:t>
      </w:r>
      <w:r w:rsidR="00D4607A" w:rsidRPr="001C6AB5">
        <w:rPr>
          <w:rFonts w:eastAsia="Times New Roman" w:cs="Times New Roman"/>
          <w:sz w:val="24"/>
          <w:szCs w:val="24"/>
          <w:lang w:eastAsia="en-GB"/>
        </w:rPr>
        <w:t>Krashen</w:t>
      </w:r>
      <w:r w:rsidRPr="001C6AB5">
        <w:rPr>
          <w:rFonts w:eastAsia="Times New Roman" w:cs="Times New Roman"/>
          <w:sz w:val="24"/>
          <w:szCs w:val="24"/>
          <w:lang w:eastAsia="en-GB"/>
        </w:rPr>
        <w:t xml:space="preserve">’s monitor and Occam’s razor. </w:t>
      </w:r>
      <w:r w:rsidRPr="001C6AB5">
        <w:rPr>
          <w:rFonts w:eastAsia="Times New Roman" w:cs="Times New Roman"/>
          <w:i/>
          <w:iCs/>
          <w:sz w:val="24"/>
          <w:szCs w:val="24"/>
          <w:lang w:eastAsia="en-GB"/>
        </w:rPr>
        <w:t>Applied Linguistics, 5</w:t>
      </w:r>
      <w:r w:rsidRPr="001C6AB5">
        <w:rPr>
          <w:rFonts w:eastAsia="Times New Roman" w:cs="Times New Roman"/>
          <w:sz w:val="24"/>
          <w:szCs w:val="24"/>
          <w:lang w:eastAsia="en-GB"/>
        </w:rPr>
        <w:t xml:space="preserve">, 79-100. </w:t>
      </w:r>
    </w:p>
    <w:p w:rsidR="001010E6" w:rsidRPr="001C6AB5" w:rsidRDefault="00D4607A" w:rsidP="001010E6">
      <w:pPr>
        <w:spacing w:before="100" w:beforeAutospacing="1" w:after="100" w:afterAutospacing="1" w:line="240" w:lineRule="auto"/>
        <w:jc w:val="both"/>
        <w:rPr>
          <w:rFonts w:eastAsia="Times New Roman" w:cs="Times New Roman"/>
          <w:sz w:val="24"/>
          <w:szCs w:val="24"/>
          <w:lang w:eastAsia="en-GB"/>
        </w:rPr>
      </w:pPr>
      <w:r w:rsidRPr="001C6AB5">
        <w:rPr>
          <w:rFonts w:eastAsia="Times New Roman" w:cs="Times New Roman"/>
          <w:sz w:val="24"/>
          <w:szCs w:val="24"/>
          <w:lang w:eastAsia="en-GB"/>
        </w:rPr>
        <w:t>Krashen</w:t>
      </w:r>
      <w:r w:rsidR="001010E6" w:rsidRPr="001C6AB5">
        <w:rPr>
          <w:rFonts w:eastAsia="Times New Roman" w:cs="Times New Roman"/>
          <w:sz w:val="24"/>
          <w:szCs w:val="24"/>
          <w:lang w:eastAsia="en-GB"/>
        </w:rPr>
        <w:t xml:space="preserve">, S.D. (1981). Bilingual education and second language acquisition theory.  In </w:t>
      </w:r>
      <w:r w:rsidR="001010E6" w:rsidRPr="001C6AB5">
        <w:rPr>
          <w:rFonts w:eastAsia="Times New Roman" w:cs="Times New Roman"/>
          <w:i/>
          <w:iCs/>
          <w:sz w:val="24"/>
          <w:szCs w:val="24"/>
          <w:lang w:eastAsia="en-GB"/>
        </w:rPr>
        <w:t>Schooling and language minority students: A theoretical framework</w:t>
      </w:r>
      <w:r w:rsidR="001010E6" w:rsidRPr="001C6AB5">
        <w:rPr>
          <w:rFonts w:eastAsia="Times New Roman" w:cs="Times New Roman"/>
          <w:sz w:val="24"/>
          <w:szCs w:val="24"/>
          <w:lang w:eastAsia="en-GB"/>
        </w:rPr>
        <w:t xml:space="preserve">. (p.51-79). California State Department of Education. </w:t>
      </w:r>
    </w:p>
    <w:p w:rsidR="001010E6" w:rsidRPr="001C6AB5" w:rsidRDefault="00D4607A" w:rsidP="001010E6">
      <w:pPr>
        <w:spacing w:before="100" w:beforeAutospacing="1" w:after="100" w:afterAutospacing="1" w:line="240" w:lineRule="auto"/>
        <w:jc w:val="both"/>
        <w:rPr>
          <w:rFonts w:eastAsia="Times New Roman" w:cs="Times New Roman"/>
          <w:sz w:val="24"/>
          <w:szCs w:val="24"/>
          <w:lang w:eastAsia="en-GB"/>
        </w:rPr>
      </w:pPr>
      <w:r w:rsidRPr="001C6AB5">
        <w:rPr>
          <w:rFonts w:eastAsia="Times New Roman" w:cs="Times New Roman"/>
          <w:sz w:val="24"/>
          <w:szCs w:val="24"/>
          <w:lang w:eastAsia="en-GB"/>
        </w:rPr>
        <w:t>Krashen</w:t>
      </w:r>
      <w:r w:rsidR="001010E6" w:rsidRPr="001C6AB5">
        <w:rPr>
          <w:rFonts w:eastAsia="Times New Roman" w:cs="Times New Roman"/>
          <w:sz w:val="24"/>
          <w:szCs w:val="24"/>
          <w:lang w:eastAsia="en-GB"/>
        </w:rPr>
        <w:t xml:space="preserve">, S.D. (1985). </w:t>
      </w:r>
      <w:r w:rsidR="001010E6" w:rsidRPr="001C6AB5">
        <w:rPr>
          <w:rFonts w:eastAsia="Times New Roman" w:cs="Times New Roman"/>
          <w:i/>
          <w:iCs/>
          <w:sz w:val="24"/>
          <w:szCs w:val="24"/>
          <w:lang w:eastAsia="en-GB"/>
        </w:rPr>
        <w:t>The input hypothesis: Issues and implications</w:t>
      </w:r>
      <w:r w:rsidR="001010E6" w:rsidRPr="001C6AB5">
        <w:rPr>
          <w:rFonts w:eastAsia="Times New Roman" w:cs="Times New Roman"/>
          <w:sz w:val="24"/>
          <w:szCs w:val="24"/>
          <w:lang w:eastAsia="en-GB"/>
        </w:rPr>
        <w:t xml:space="preserve">. New York, Longman. </w:t>
      </w:r>
    </w:p>
    <w:p w:rsidR="001010E6" w:rsidRPr="001C6AB5" w:rsidRDefault="00D4607A" w:rsidP="001010E6">
      <w:pPr>
        <w:spacing w:before="100" w:beforeAutospacing="1" w:after="100" w:afterAutospacing="1" w:line="240" w:lineRule="auto"/>
        <w:jc w:val="both"/>
        <w:rPr>
          <w:rFonts w:eastAsia="Times New Roman" w:cs="Times New Roman"/>
          <w:sz w:val="24"/>
          <w:szCs w:val="24"/>
          <w:lang w:eastAsia="en-GB"/>
        </w:rPr>
      </w:pPr>
      <w:r w:rsidRPr="001C6AB5">
        <w:rPr>
          <w:rFonts w:eastAsia="Times New Roman" w:cs="Times New Roman"/>
          <w:sz w:val="24"/>
          <w:szCs w:val="24"/>
          <w:lang w:eastAsia="en-GB"/>
        </w:rPr>
        <w:t>Krashen</w:t>
      </w:r>
      <w:r w:rsidR="001010E6" w:rsidRPr="001C6AB5">
        <w:rPr>
          <w:rFonts w:eastAsia="Times New Roman" w:cs="Times New Roman"/>
          <w:sz w:val="24"/>
          <w:szCs w:val="24"/>
          <w:lang w:eastAsia="en-GB"/>
        </w:rPr>
        <w:t xml:space="preserve">, S.D. (1991). The input hypothesis: An update. In James E. </w:t>
      </w:r>
      <w:proofErr w:type="spellStart"/>
      <w:r w:rsidR="001010E6" w:rsidRPr="001C6AB5">
        <w:rPr>
          <w:rFonts w:eastAsia="Times New Roman" w:cs="Times New Roman"/>
          <w:sz w:val="24"/>
          <w:szCs w:val="24"/>
          <w:lang w:eastAsia="en-GB"/>
        </w:rPr>
        <w:t>Alatis</w:t>
      </w:r>
      <w:proofErr w:type="spellEnd"/>
      <w:r w:rsidR="001010E6" w:rsidRPr="001C6AB5">
        <w:rPr>
          <w:rFonts w:eastAsia="Times New Roman" w:cs="Times New Roman"/>
          <w:sz w:val="24"/>
          <w:szCs w:val="24"/>
          <w:lang w:eastAsia="en-GB"/>
        </w:rPr>
        <w:t xml:space="preserve"> (ed.) </w:t>
      </w:r>
      <w:r w:rsidR="001010E6" w:rsidRPr="001C6AB5">
        <w:rPr>
          <w:rFonts w:eastAsia="Times New Roman" w:cs="Times New Roman"/>
          <w:i/>
          <w:iCs/>
          <w:sz w:val="24"/>
          <w:szCs w:val="24"/>
          <w:lang w:eastAsia="en-GB"/>
        </w:rPr>
        <w:t>Georgetown University Round Table on Languages and Linguistics 1991</w:t>
      </w:r>
      <w:r w:rsidR="001010E6" w:rsidRPr="001C6AB5">
        <w:rPr>
          <w:rFonts w:eastAsia="Times New Roman" w:cs="Times New Roman"/>
          <w:sz w:val="24"/>
          <w:szCs w:val="24"/>
          <w:lang w:eastAsia="en-GB"/>
        </w:rPr>
        <w:t xml:space="preserve">. Washington, D.C.: Georgetown University Press. 409-431. </w:t>
      </w:r>
    </w:p>
    <w:p w:rsidR="001010E6" w:rsidRPr="001C6AB5" w:rsidRDefault="00D4607A" w:rsidP="001010E6">
      <w:pPr>
        <w:spacing w:before="100" w:beforeAutospacing="1" w:after="100" w:afterAutospacing="1" w:line="240" w:lineRule="auto"/>
        <w:jc w:val="both"/>
        <w:rPr>
          <w:rFonts w:eastAsia="Times New Roman" w:cs="Times New Roman"/>
          <w:sz w:val="24"/>
          <w:szCs w:val="24"/>
          <w:lang w:eastAsia="en-GB"/>
        </w:rPr>
      </w:pPr>
      <w:r w:rsidRPr="001C6AB5">
        <w:rPr>
          <w:rFonts w:eastAsia="Times New Roman" w:cs="Times New Roman"/>
          <w:sz w:val="24"/>
          <w:szCs w:val="24"/>
          <w:lang w:eastAsia="en-GB"/>
        </w:rPr>
        <w:t>Krashen</w:t>
      </w:r>
      <w:r w:rsidR="001010E6" w:rsidRPr="001C6AB5">
        <w:rPr>
          <w:rFonts w:eastAsia="Times New Roman" w:cs="Times New Roman"/>
          <w:sz w:val="24"/>
          <w:szCs w:val="24"/>
          <w:lang w:eastAsia="en-GB"/>
        </w:rPr>
        <w:t xml:space="preserve">, S.D. (1993a). Teaching issues: Formal grammar instruction.  Another educator comments . . . . </w:t>
      </w:r>
      <w:r w:rsidR="001010E6" w:rsidRPr="001C6AB5">
        <w:rPr>
          <w:rFonts w:eastAsia="Times New Roman" w:cs="Times New Roman"/>
          <w:i/>
          <w:iCs/>
          <w:sz w:val="24"/>
          <w:szCs w:val="24"/>
          <w:lang w:eastAsia="en-GB"/>
        </w:rPr>
        <w:t>TESOL Quarterly, 26, No. 2</w:t>
      </w:r>
      <w:r w:rsidR="001010E6" w:rsidRPr="001C6AB5">
        <w:rPr>
          <w:rFonts w:eastAsia="Times New Roman" w:cs="Times New Roman"/>
          <w:sz w:val="24"/>
          <w:szCs w:val="24"/>
          <w:lang w:eastAsia="en-GB"/>
        </w:rPr>
        <w:t xml:space="preserve">. 409-411 </w:t>
      </w:r>
    </w:p>
    <w:p w:rsidR="001010E6" w:rsidRPr="001C6AB5" w:rsidRDefault="00D4607A" w:rsidP="001010E6">
      <w:pPr>
        <w:spacing w:before="100" w:beforeAutospacing="1" w:after="100" w:afterAutospacing="1" w:line="240" w:lineRule="auto"/>
        <w:jc w:val="both"/>
        <w:rPr>
          <w:rFonts w:eastAsia="Times New Roman" w:cs="Times New Roman"/>
          <w:sz w:val="24"/>
          <w:szCs w:val="24"/>
          <w:lang w:eastAsia="en-GB"/>
        </w:rPr>
      </w:pPr>
      <w:r w:rsidRPr="001C6AB5">
        <w:rPr>
          <w:rFonts w:eastAsia="Times New Roman" w:cs="Times New Roman"/>
          <w:sz w:val="24"/>
          <w:szCs w:val="24"/>
          <w:lang w:eastAsia="en-GB"/>
        </w:rPr>
        <w:t>Krashen</w:t>
      </w:r>
      <w:r w:rsidR="001010E6" w:rsidRPr="001C6AB5">
        <w:rPr>
          <w:rFonts w:eastAsia="Times New Roman" w:cs="Times New Roman"/>
          <w:sz w:val="24"/>
          <w:szCs w:val="24"/>
          <w:lang w:eastAsia="en-GB"/>
        </w:rPr>
        <w:t xml:space="preserve">, S.D. (1993b). The effect of formal grammar teaching: Still peripheral.  </w:t>
      </w:r>
      <w:r w:rsidR="001010E6" w:rsidRPr="001C6AB5">
        <w:rPr>
          <w:rFonts w:eastAsia="Times New Roman" w:cs="Times New Roman"/>
          <w:i/>
          <w:iCs/>
          <w:sz w:val="24"/>
          <w:szCs w:val="24"/>
          <w:lang w:eastAsia="en-GB"/>
        </w:rPr>
        <w:t>TESOL Quarterly, 26, No.3</w:t>
      </w:r>
      <w:r w:rsidR="001010E6" w:rsidRPr="001C6AB5">
        <w:rPr>
          <w:rFonts w:eastAsia="Times New Roman" w:cs="Times New Roman"/>
          <w:sz w:val="24"/>
          <w:szCs w:val="24"/>
          <w:lang w:eastAsia="en-GB"/>
        </w:rPr>
        <w:t xml:space="preserve">. 722-725. </w:t>
      </w:r>
    </w:p>
    <w:p w:rsidR="001010E6" w:rsidRPr="001C6AB5" w:rsidRDefault="00D4607A" w:rsidP="001010E6">
      <w:pPr>
        <w:spacing w:before="100" w:beforeAutospacing="1" w:after="100" w:afterAutospacing="1" w:line="240" w:lineRule="auto"/>
        <w:jc w:val="both"/>
        <w:rPr>
          <w:rFonts w:eastAsia="Times New Roman" w:cs="Times New Roman"/>
          <w:sz w:val="24"/>
          <w:szCs w:val="24"/>
          <w:lang w:eastAsia="en-GB"/>
        </w:rPr>
      </w:pPr>
      <w:r w:rsidRPr="001C6AB5">
        <w:rPr>
          <w:rFonts w:eastAsia="Times New Roman" w:cs="Times New Roman"/>
          <w:sz w:val="24"/>
          <w:szCs w:val="24"/>
          <w:lang w:eastAsia="en-GB"/>
        </w:rPr>
        <w:t>Krashen</w:t>
      </w:r>
      <w:r w:rsidR="001010E6" w:rsidRPr="001C6AB5">
        <w:rPr>
          <w:rFonts w:eastAsia="Times New Roman" w:cs="Times New Roman"/>
          <w:sz w:val="24"/>
          <w:szCs w:val="24"/>
          <w:lang w:eastAsia="en-GB"/>
        </w:rPr>
        <w:t xml:space="preserve">, S.D. &amp; Terrell, T.D. (1983). </w:t>
      </w:r>
      <w:r w:rsidR="001010E6" w:rsidRPr="001C6AB5">
        <w:rPr>
          <w:rFonts w:eastAsia="Times New Roman" w:cs="Times New Roman"/>
          <w:i/>
          <w:iCs/>
          <w:sz w:val="24"/>
          <w:szCs w:val="24"/>
          <w:lang w:eastAsia="en-GB"/>
        </w:rPr>
        <w:t>The natural approach: Language acquisition in the classroom</w:t>
      </w:r>
      <w:r w:rsidR="001010E6" w:rsidRPr="001C6AB5">
        <w:rPr>
          <w:rFonts w:eastAsia="Times New Roman" w:cs="Times New Roman"/>
          <w:sz w:val="24"/>
          <w:szCs w:val="24"/>
          <w:lang w:eastAsia="en-GB"/>
        </w:rPr>
        <w:t xml:space="preserve">. London: Prentice Hall Europe. </w:t>
      </w:r>
    </w:p>
    <w:p w:rsidR="001010E6" w:rsidRPr="001C6AB5" w:rsidRDefault="001010E6" w:rsidP="001010E6">
      <w:pPr>
        <w:spacing w:before="100" w:beforeAutospacing="1" w:after="100" w:afterAutospacing="1" w:line="240" w:lineRule="auto"/>
        <w:jc w:val="both"/>
        <w:rPr>
          <w:rFonts w:eastAsia="Times New Roman" w:cs="Times New Roman"/>
          <w:sz w:val="24"/>
          <w:szCs w:val="24"/>
          <w:lang w:eastAsia="en-GB"/>
        </w:rPr>
      </w:pPr>
      <w:r w:rsidRPr="001C6AB5">
        <w:rPr>
          <w:rFonts w:eastAsia="Times New Roman" w:cs="Times New Roman"/>
          <w:sz w:val="24"/>
          <w:szCs w:val="24"/>
          <w:lang w:eastAsia="en-GB"/>
        </w:rPr>
        <w:t xml:space="preserve">Lightbown, P.M. &amp; Pienemann, M. (1993). Comments on Stephen D. </w:t>
      </w:r>
      <w:r w:rsidR="00D4607A" w:rsidRPr="001C6AB5">
        <w:rPr>
          <w:rFonts w:eastAsia="Times New Roman" w:cs="Times New Roman"/>
          <w:sz w:val="24"/>
          <w:szCs w:val="24"/>
          <w:lang w:eastAsia="en-GB"/>
        </w:rPr>
        <w:t>Krashen</w:t>
      </w:r>
      <w:r w:rsidRPr="001C6AB5">
        <w:rPr>
          <w:rFonts w:eastAsia="Times New Roman" w:cs="Times New Roman"/>
          <w:sz w:val="24"/>
          <w:szCs w:val="24"/>
          <w:lang w:eastAsia="en-GB"/>
        </w:rPr>
        <w:t xml:space="preserve">’s “Teaching Issues: Formal grammar instruction.”  </w:t>
      </w:r>
      <w:r w:rsidRPr="001C6AB5">
        <w:rPr>
          <w:rFonts w:eastAsia="Times New Roman" w:cs="Times New Roman"/>
          <w:i/>
          <w:iCs/>
          <w:sz w:val="24"/>
          <w:szCs w:val="24"/>
          <w:lang w:eastAsia="en-GB"/>
        </w:rPr>
        <w:t>TESOL Quarterly, 26, No.3</w:t>
      </w:r>
      <w:r w:rsidRPr="001C6AB5">
        <w:rPr>
          <w:rFonts w:eastAsia="Times New Roman" w:cs="Times New Roman"/>
          <w:sz w:val="24"/>
          <w:szCs w:val="24"/>
          <w:lang w:eastAsia="en-GB"/>
        </w:rPr>
        <w:t xml:space="preserve">. 717-722. </w:t>
      </w:r>
    </w:p>
    <w:p w:rsidR="001010E6" w:rsidRPr="001C6AB5" w:rsidRDefault="001010E6" w:rsidP="001010E6">
      <w:pPr>
        <w:spacing w:before="100" w:beforeAutospacing="1" w:after="100" w:afterAutospacing="1" w:line="240" w:lineRule="auto"/>
        <w:jc w:val="both"/>
        <w:rPr>
          <w:rFonts w:eastAsia="Times New Roman" w:cs="Times New Roman"/>
          <w:sz w:val="24"/>
          <w:szCs w:val="24"/>
          <w:lang w:eastAsia="en-GB"/>
        </w:rPr>
      </w:pPr>
      <w:r w:rsidRPr="001C6AB5">
        <w:rPr>
          <w:rFonts w:eastAsia="Times New Roman" w:cs="Times New Roman"/>
          <w:sz w:val="24"/>
          <w:szCs w:val="24"/>
          <w:lang w:eastAsia="en-GB"/>
        </w:rPr>
        <w:t xml:space="preserve">McLaughlin, B. (1987). </w:t>
      </w:r>
      <w:r w:rsidRPr="001C6AB5">
        <w:rPr>
          <w:rFonts w:eastAsia="Times New Roman" w:cs="Times New Roman"/>
          <w:i/>
          <w:iCs/>
          <w:sz w:val="24"/>
          <w:szCs w:val="24"/>
          <w:lang w:eastAsia="en-GB"/>
        </w:rPr>
        <w:t>Theories of second language learning</w:t>
      </w:r>
      <w:r w:rsidRPr="001C6AB5">
        <w:rPr>
          <w:rFonts w:eastAsia="Times New Roman" w:cs="Times New Roman"/>
          <w:sz w:val="24"/>
          <w:szCs w:val="24"/>
          <w:lang w:eastAsia="en-GB"/>
        </w:rPr>
        <w:t xml:space="preserve">. London: Edward Arnold. </w:t>
      </w:r>
    </w:p>
    <w:p w:rsidR="002B0A1B" w:rsidRPr="001C6AB5" w:rsidRDefault="001010E6" w:rsidP="0073469D">
      <w:pPr>
        <w:spacing w:before="100" w:beforeAutospacing="1" w:after="100" w:afterAutospacing="1" w:line="240" w:lineRule="auto"/>
        <w:jc w:val="both"/>
        <w:rPr>
          <w:sz w:val="24"/>
          <w:szCs w:val="24"/>
        </w:rPr>
      </w:pPr>
      <w:r w:rsidRPr="001C6AB5">
        <w:rPr>
          <w:rFonts w:eastAsia="Times New Roman" w:cs="Times New Roman"/>
          <w:sz w:val="24"/>
          <w:szCs w:val="24"/>
          <w:lang w:eastAsia="en-GB"/>
        </w:rPr>
        <w:t xml:space="preserve">Terrell, T.D. (1977). "A natural approach to the acquisition and learning of a language". </w:t>
      </w:r>
      <w:r w:rsidRPr="001C6AB5">
        <w:rPr>
          <w:rFonts w:eastAsia="Times New Roman" w:cs="Times New Roman"/>
          <w:i/>
          <w:iCs/>
          <w:sz w:val="24"/>
          <w:szCs w:val="24"/>
          <w:lang w:eastAsia="en-GB"/>
        </w:rPr>
        <w:t>Modern Language Journal, 61</w:t>
      </w:r>
      <w:r w:rsidRPr="001C6AB5">
        <w:rPr>
          <w:rFonts w:eastAsia="Times New Roman" w:cs="Times New Roman"/>
          <w:sz w:val="24"/>
          <w:szCs w:val="24"/>
          <w:lang w:eastAsia="en-GB"/>
        </w:rPr>
        <w:t>. 325-336.</w:t>
      </w:r>
    </w:p>
    <w:sectPr w:rsidR="002B0A1B" w:rsidRPr="001C6AB5" w:rsidSect="005A6A33">
      <w:head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0650A" w:rsidRDefault="0080650A" w:rsidP="00F904CF">
      <w:pPr>
        <w:spacing w:after="0" w:line="240" w:lineRule="auto"/>
      </w:pPr>
      <w:r>
        <w:separator/>
      </w:r>
    </w:p>
  </w:endnote>
  <w:endnote w:type="continuationSeparator" w:id="0">
    <w:p w:rsidR="0080650A" w:rsidRDefault="0080650A" w:rsidP="00F904C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0650A" w:rsidRDefault="0080650A" w:rsidP="00F904CF">
      <w:pPr>
        <w:spacing w:after="0" w:line="240" w:lineRule="auto"/>
      </w:pPr>
      <w:r>
        <w:separator/>
      </w:r>
    </w:p>
  </w:footnote>
  <w:footnote w:type="continuationSeparator" w:id="0">
    <w:p w:rsidR="0080650A" w:rsidRDefault="0080650A" w:rsidP="00F904CF">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F7478" w:rsidRPr="006F7478" w:rsidRDefault="00F904CF" w:rsidP="00F904CF">
    <w:pPr>
      <w:jc w:val="both"/>
      <w:rPr>
        <w:sz w:val="24"/>
        <w:szCs w:val="24"/>
      </w:rPr>
    </w:pPr>
    <w:r w:rsidRPr="006F7478">
      <w:rPr>
        <w:b/>
        <w:sz w:val="24"/>
        <w:szCs w:val="24"/>
      </w:rPr>
      <w:t>Summary of critique on Krashen and Terrell’s Natural Approach by Ken Romeo:-</w:t>
    </w:r>
    <w:hyperlink r:id="rId1" w:history="1">
      <w:r w:rsidR="006F7478" w:rsidRPr="006F7478">
        <w:rPr>
          <w:rStyle w:val="Hyperlink"/>
          <w:sz w:val="24"/>
          <w:szCs w:val="24"/>
        </w:rPr>
        <w:t>http://www.stanford.edu/~hakuta/www/LAU/ICLangLit/NaturalApproach.htm</w:t>
      </w:r>
    </w:hyperlink>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defaultTabStop w:val="720"/>
  <w:characterSpacingControl w:val="doNotCompress"/>
  <w:footnotePr>
    <w:footnote w:id="-1"/>
    <w:footnote w:id="0"/>
  </w:footnotePr>
  <w:endnotePr>
    <w:endnote w:id="-1"/>
    <w:endnote w:id="0"/>
  </w:endnotePr>
  <w:compat/>
  <w:rsids>
    <w:rsidRoot w:val="003D3648"/>
    <w:rsid w:val="00072B65"/>
    <w:rsid w:val="001010E6"/>
    <w:rsid w:val="00107354"/>
    <w:rsid w:val="0015261E"/>
    <w:rsid w:val="001546A9"/>
    <w:rsid w:val="00155148"/>
    <w:rsid w:val="001775CD"/>
    <w:rsid w:val="00187C9C"/>
    <w:rsid w:val="001C6AB5"/>
    <w:rsid w:val="001D135F"/>
    <w:rsid w:val="0022002D"/>
    <w:rsid w:val="002559FB"/>
    <w:rsid w:val="00273905"/>
    <w:rsid w:val="00283E7E"/>
    <w:rsid w:val="002B0A1B"/>
    <w:rsid w:val="002B5F43"/>
    <w:rsid w:val="002C128C"/>
    <w:rsid w:val="00304FE3"/>
    <w:rsid w:val="003269D7"/>
    <w:rsid w:val="00397FD6"/>
    <w:rsid w:val="003B7E93"/>
    <w:rsid w:val="003C3AC5"/>
    <w:rsid w:val="003D3648"/>
    <w:rsid w:val="0041392A"/>
    <w:rsid w:val="00416EAF"/>
    <w:rsid w:val="00421420"/>
    <w:rsid w:val="004647B7"/>
    <w:rsid w:val="0049450E"/>
    <w:rsid w:val="00495378"/>
    <w:rsid w:val="00496905"/>
    <w:rsid w:val="004A4FAF"/>
    <w:rsid w:val="004A7EC7"/>
    <w:rsid w:val="004B463D"/>
    <w:rsid w:val="005179F4"/>
    <w:rsid w:val="005317D1"/>
    <w:rsid w:val="00537A09"/>
    <w:rsid w:val="00567ECE"/>
    <w:rsid w:val="00584AA9"/>
    <w:rsid w:val="005A6A33"/>
    <w:rsid w:val="00626D81"/>
    <w:rsid w:val="00660F03"/>
    <w:rsid w:val="00685E92"/>
    <w:rsid w:val="006A39E6"/>
    <w:rsid w:val="006D2DCB"/>
    <w:rsid w:val="006F7478"/>
    <w:rsid w:val="0073469D"/>
    <w:rsid w:val="00751D30"/>
    <w:rsid w:val="00755D43"/>
    <w:rsid w:val="00760A0F"/>
    <w:rsid w:val="00780D4A"/>
    <w:rsid w:val="007934DC"/>
    <w:rsid w:val="0080650A"/>
    <w:rsid w:val="008108C0"/>
    <w:rsid w:val="00847FA8"/>
    <w:rsid w:val="0086323D"/>
    <w:rsid w:val="00882FFA"/>
    <w:rsid w:val="00883FEC"/>
    <w:rsid w:val="00897596"/>
    <w:rsid w:val="008E47FF"/>
    <w:rsid w:val="009346A5"/>
    <w:rsid w:val="00A00677"/>
    <w:rsid w:val="00A0728B"/>
    <w:rsid w:val="00A35398"/>
    <w:rsid w:val="00A8741D"/>
    <w:rsid w:val="00A92B0F"/>
    <w:rsid w:val="00B84D4A"/>
    <w:rsid w:val="00BA0C5F"/>
    <w:rsid w:val="00BA2BD3"/>
    <w:rsid w:val="00BE2D78"/>
    <w:rsid w:val="00C44F1E"/>
    <w:rsid w:val="00C87637"/>
    <w:rsid w:val="00C92380"/>
    <w:rsid w:val="00CC2540"/>
    <w:rsid w:val="00CD3FD0"/>
    <w:rsid w:val="00D37B50"/>
    <w:rsid w:val="00D4607A"/>
    <w:rsid w:val="00DF55B1"/>
    <w:rsid w:val="00DF7284"/>
    <w:rsid w:val="00E41EC5"/>
    <w:rsid w:val="00E441CB"/>
    <w:rsid w:val="00E64590"/>
    <w:rsid w:val="00E97FFB"/>
    <w:rsid w:val="00EB7B4E"/>
    <w:rsid w:val="00EC47D3"/>
    <w:rsid w:val="00EE52F4"/>
    <w:rsid w:val="00F458EF"/>
    <w:rsid w:val="00F5669B"/>
    <w:rsid w:val="00F75956"/>
    <w:rsid w:val="00F818D0"/>
    <w:rsid w:val="00F904CF"/>
    <w:rsid w:val="00FA56B1"/>
    <w:rsid w:val="00FA68F8"/>
    <w:rsid w:val="00FC21AA"/>
    <w:rsid w:val="00FC30A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A6A3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04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04CF"/>
  </w:style>
  <w:style w:type="paragraph" w:styleId="Footer">
    <w:name w:val="footer"/>
    <w:basedOn w:val="Normal"/>
    <w:link w:val="FooterChar"/>
    <w:uiPriority w:val="99"/>
    <w:semiHidden/>
    <w:unhideWhenUsed/>
    <w:rsid w:val="00F904C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F904CF"/>
  </w:style>
  <w:style w:type="paragraph" w:styleId="BalloonText">
    <w:name w:val="Balloon Text"/>
    <w:basedOn w:val="Normal"/>
    <w:link w:val="BalloonTextChar"/>
    <w:uiPriority w:val="99"/>
    <w:semiHidden/>
    <w:unhideWhenUsed/>
    <w:rsid w:val="00F904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04CF"/>
    <w:rPr>
      <w:rFonts w:ascii="Tahoma" w:hAnsi="Tahoma" w:cs="Tahoma"/>
      <w:sz w:val="16"/>
      <w:szCs w:val="16"/>
    </w:rPr>
  </w:style>
  <w:style w:type="character" w:styleId="Hyperlink">
    <w:name w:val="Hyperlink"/>
    <w:basedOn w:val="DefaultParagraphFont"/>
    <w:uiPriority w:val="99"/>
    <w:semiHidden/>
    <w:unhideWhenUsed/>
    <w:rsid w:val="006F7478"/>
    <w:rPr>
      <w:color w:val="0000FF"/>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hyperlink" Target="http://www.stanford.edu/~hakuta/www/LAU/ICLangLit/NaturalApproach.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448CD28-97A2-4284-A01C-C735A158D6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1039</Words>
  <Characters>5928</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6954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ss-dw</dc:creator>
  <cp:keywords/>
  <dc:description/>
  <cp:lastModifiedBy>ss-dw</cp:lastModifiedBy>
  <cp:revision>2</cp:revision>
  <dcterms:created xsi:type="dcterms:W3CDTF">2013-03-13T16:29:00Z</dcterms:created>
  <dcterms:modified xsi:type="dcterms:W3CDTF">2013-03-13T16:29:00Z</dcterms:modified>
</cp:coreProperties>
</file>