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16DF" w:rsidRDefault="00A016DF">
      <w:r>
        <w:t>Callum Wilson 1502092</w:t>
      </w:r>
    </w:p>
    <w:p w:rsidR="004C79DE" w:rsidRDefault="004C79DE">
      <w:r>
        <w:t>Do Ancient Greco-Roman Werewolf Myths Derive from Ritual Activity?</w:t>
      </w:r>
    </w:p>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A016DF" w:rsidRDefault="00A016DF"/>
    <w:p w:rsidR="004C79DE" w:rsidRDefault="004C79DE">
      <w:r>
        <w:lastRenderedPageBreak/>
        <w:t>The notion of human transformation was incredibly common throughout the ancient world, especially for the Greeks and Romans. We see many different tales on the topic of human transformation</w:t>
      </w:r>
      <w:r w:rsidR="00F50069">
        <w:t>, these</w:t>
      </w:r>
      <w:r>
        <w:t xml:space="preserve"> being repeated </w:t>
      </w:r>
      <w:r w:rsidR="00F50069">
        <w:t>and</w:t>
      </w:r>
      <w:r>
        <w:t xml:space="preserve"> altered by writer</w:t>
      </w:r>
      <w:r w:rsidR="00F50069">
        <w:t>s from both cultures. As it would</w:t>
      </w:r>
      <w:r w:rsidR="00D70835">
        <w:t xml:space="preserve"> have</w:t>
      </w:r>
      <w:r w:rsidR="00F50069">
        <w:t xml:space="preserve"> be</w:t>
      </w:r>
      <w:r w:rsidR="00D70835">
        <w:t>en</w:t>
      </w:r>
      <w:r w:rsidR="00F50069">
        <w:t xml:space="preserve"> the writers</w:t>
      </w:r>
      <w:r w:rsidR="00D70835">
        <w:t xml:space="preserve"> that</w:t>
      </w:r>
      <w:r w:rsidR="00F50069">
        <w:t xml:space="preserve"> probably would have known at the time what the origins of these transformation stories were, at least early in the myths construction. This means that the writers had no inclination, no want or no knowledge with which to tell the audience of the origins of such ideas. This leads into a debate that has been maintained by a lack of evidence </w:t>
      </w:r>
      <w:proofErr w:type="gramStart"/>
      <w:r w:rsidR="00F50069">
        <w:t xml:space="preserve">at this </w:t>
      </w:r>
      <w:r w:rsidR="003F71E6">
        <w:t>point in time</w:t>
      </w:r>
      <w:proofErr w:type="gramEnd"/>
      <w:r w:rsidR="003F71E6">
        <w:t>, the argument of myth stemming from ritualism or stemming from another source.</w:t>
      </w:r>
    </w:p>
    <w:p w:rsidR="006866A4" w:rsidRDefault="003F71E6" w:rsidP="00986373">
      <w:r>
        <w:t xml:space="preserve">This debate began with a belief that ritual was fundamental to the origins of mythical tales with the belief in ritual beginning the stories supported by scholars such as Buxton. The origins being explained as coming from elsewhere is supported by the likes of </w:t>
      </w:r>
      <w:r w:rsidR="00986373">
        <w:t>Irving who attempts to find an alternate source of origin for these tales. The argument is at its most conflicted when discussing the idea of werewolves as although we have plenty of Greco-Roman literary sources writing on the subject over their histories. Yet, as Irving shows us, there is little in the way of archaeological finds to support the notion that there was even a ritual based around a wolf cult</w:t>
      </w:r>
      <w:r w:rsidR="00986373">
        <w:rPr>
          <w:rStyle w:val="FootnoteReference"/>
        </w:rPr>
        <w:footnoteReference w:id="1"/>
      </w:r>
      <w:r w:rsidR="00986373">
        <w:t xml:space="preserve">. To begin Irving and Buxton approach the topic much the same, drawing on outside sources </w:t>
      </w:r>
      <w:proofErr w:type="gramStart"/>
      <w:r w:rsidR="00986373">
        <w:t>in order to</w:t>
      </w:r>
      <w:proofErr w:type="gramEnd"/>
      <w:r w:rsidR="00986373">
        <w:t xml:space="preserve"> influence their arguments</w:t>
      </w:r>
      <w:r w:rsidR="00140C2C">
        <w:t>.</w:t>
      </w:r>
      <w:r w:rsidR="00986373">
        <w:t xml:space="preserve"> Irving draws contrasts between Egyptian and Mesopotamian worship of animals thought to be heralds of their patron </w:t>
      </w:r>
      <w:r w:rsidR="00140C2C">
        <w:t xml:space="preserve">god, such as the bull of </w:t>
      </w:r>
      <w:proofErr w:type="spellStart"/>
      <w:r w:rsidR="00140C2C">
        <w:t>Apis</w:t>
      </w:r>
      <w:proofErr w:type="spellEnd"/>
      <w:r w:rsidR="00140C2C">
        <w:t xml:space="preserve"> yet</w:t>
      </w:r>
      <w:r w:rsidR="00140C2C">
        <w:rPr>
          <w:rStyle w:val="FootnoteReference"/>
        </w:rPr>
        <w:footnoteReference w:id="2"/>
      </w:r>
      <w:r w:rsidR="00140C2C">
        <w:t>, as Irving points out from Herodotus’s own writings on the matter the Greeks believed themselves superior for not worshipping animal gods</w:t>
      </w:r>
      <w:r w:rsidR="00140C2C">
        <w:rPr>
          <w:rStyle w:val="FootnoteReference"/>
        </w:rPr>
        <w:footnoteReference w:id="3"/>
      </w:r>
      <w:r w:rsidR="00140C2C">
        <w:t>. Buxton however draws parallels with later European tradition to show the commonality of the werewolf’s use in mythos</w:t>
      </w:r>
      <w:r w:rsidR="00140C2C">
        <w:rPr>
          <w:rStyle w:val="FootnoteReference"/>
        </w:rPr>
        <w:footnoteReference w:id="4"/>
      </w:r>
      <w:r w:rsidR="00140C2C">
        <w:t>, including the similarities of Pliny’s account to the idea of water being the sacred crossing over for the participants of the rite of passage</w:t>
      </w:r>
      <w:r w:rsidR="00140C2C">
        <w:rPr>
          <w:rStyle w:val="FootnoteReference"/>
        </w:rPr>
        <w:footnoteReference w:id="5"/>
      </w:r>
      <w:r w:rsidR="00A016DF">
        <w:t xml:space="preserve"> which could be seen to be related to a fundamental aspect of Greek rites of passage, the practice of bathing</w:t>
      </w:r>
      <w:r w:rsidR="00A016DF">
        <w:rPr>
          <w:rStyle w:val="FootnoteReference"/>
        </w:rPr>
        <w:footnoteReference w:id="6"/>
      </w:r>
      <w:r w:rsidR="00140C2C">
        <w:t>. As both scholars go on through their writings both Irving and Buxton end up at the same point of the initiation or rite of passage among the Greeks that would reflect the idea of werewolves and ritual being linked. Irving focuses on the lack of evidence for such practices among the Greek peoples</w:t>
      </w:r>
      <w:r w:rsidR="00140C2C">
        <w:rPr>
          <w:rStyle w:val="FootnoteReference"/>
        </w:rPr>
        <w:footnoteReference w:id="7"/>
      </w:r>
      <w:r w:rsidR="00140C2C">
        <w:t xml:space="preserve"> however, Irving leaves out the passage from Plato on the Athenian rite of passage where an individual is sent away from t</w:t>
      </w:r>
      <w:r w:rsidR="006866A4">
        <w:t>heir community in preparation and training for their reintegration</w:t>
      </w:r>
      <w:r w:rsidR="006866A4">
        <w:rPr>
          <w:rStyle w:val="FootnoteReference"/>
        </w:rPr>
        <w:footnoteReference w:id="8"/>
      </w:r>
      <w:r w:rsidR="006866A4">
        <w:t xml:space="preserve">. It is apparent from this being an element of an Athenian constitution that Initiations could have been popular among the Greeks at the time showing a potential oversight by Irving however, Buxton appears to be more than willing to accept the idea of these rituals </w:t>
      </w:r>
      <w:proofErr w:type="gramStart"/>
      <w:r w:rsidR="006866A4">
        <w:t>due to the fact that</w:t>
      </w:r>
      <w:proofErr w:type="gramEnd"/>
      <w:r w:rsidR="006866A4">
        <w:t xml:space="preserve"> the myths seem to give off the notion. </w:t>
      </w:r>
    </w:p>
    <w:p w:rsidR="00A016DF" w:rsidRDefault="00A016DF" w:rsidP="00986373"/>
    <w:p w:rsidR="00A016DF" w:rsidRDefault="00A016DF" w:rsidP="00986373"/>
    <w:p w:rsidR="00A016DF" w:rsidRDefault="00A016DF" w:rsidP="00986373"/>
    <w:p w:rsidR="00A016DF" w:rsidRDefault="00A016DF" w:rsidP="00986373"/>
    <w:p w:rsidR="00A016DF" w:rsidRDefault="00A016DF" w:rsidP="00986373"/>
    <w:p w:rsidR="004C79DE" w:rsidRDefault="006866A4" w:rsidP="00986373">
      <w:bookmarkStart w:id="0" w:name="_GoBack"/>
      <w:bookmarkEnd w:id="0"/>
      <w:r>
        <w:lastRenderedPageBreak/>
        <w:t>The two scholars have a very different approach to the tale of Lycaon and its connection to the werewolf rituals described by many. Their key issues revolve around the character of Lycaon itself, Irving has much to dispute with the use of Lycaon’s character as a model for the initiation. Irving goes on to say that Lycaon is an older man, at this point any rite of passage was done by the youths of a Polis</w:t>
      </w:r>
      <w:r>
        <w:rPr>
          <w:rStyle w:val="FootnoteReference"/>
        </w:rPr>
        <w:footnoteReference w:id="9"/>
      </w:r>
      <w:r>
        <w:t>. Irving goes on to say that Lycaon’s transformation is permanent unlike those of the ritual doers described by the sources and if this is to show the danger of what could happen in the rite of passage, Lycaon’s crimes were not of eating human meat instead they were of murder and betrayal of hospitality</w:t>
      </w:r>
      <w:r>
        <w:rPr>
          <w:rStyle w:val="FootnoteReference"/>
        </w:rPr>
        <w:footnoteReference w:id="10"/>
      </w:r>
      <w:r w:rsidR="00826E5B">
        <w:t>.</w:t>
      </w:r>
      <w:r w:rsidR="00D51BEF">
        <w:t xml:space="preserve"> Buxton seemingly agrees with the fact that cannibalism is not the source of Lycaon’s punishment either, instead it was the fact that the sacrifice was committed upon an altar dedicated to Zeus on Mount </w:t>
      </w:r>
      <w:proofErr w:type="spellStart"/>
      <w:r w:rsidR="00D51BEF">
        <w:t>Lycaeon</w:t>
      </w:r>
      <w:proofErr w:type="spellEnd"/>
      <w:r w:rsidR="005A7425">
        <w:rPr>
          <w:rStyle w:val="FootnoteReference"/>
        </w:rPr>
        <w:footnoteReference w:id="11"/>
      </w:r>
      <w:r>
        <w:t>.</w:t>
      </w:r>
      <w:r w:rsidR="00A016DF">
        <w:t xml:space="preserve"> This notion of Lycaon being a representation of failing the rite is also suggested by Buxton yet he accepts the idea rather than attempting to show inaccuracies, binding it with the belief of showing a Greek to be respectful of Gods no matter your position of power</w:t>
      </w:r>
      <w:r w:rsidR="00A016DF">
        <w:rPr>
          <w:rStyle w:val="FootnoteReference"/>
        </w:rPr>
        <w:footnoteReference w:id="12"/>
      </w:r>
      <w:r w:rsidR="00A016DF">
        <w:t xml:space="preserve">. Further links are </w:t>
      </w:r>
      <w:r w:rsidR="00D51BEF">
        <w:t xml:space="preserve">a possibility through the story of </w:t>
      </w:r>
      <w:proofErr w:type="spellStart"/>
      <w:r w:rsidR="00D51BEF">
        <w:t>Damarchus</w:t>
      </w:r>
      <w:proofErr w:type="spellEnd"/>
      <w:r w:rsidR="00D51BEF">
        <w:t xml:space="preserve">, a man who went through the ritual </w:t>
      </w:r>
      <w:r w:rsidR="005A7425">
        <w:t xml:space="preserve">atop Mount </w:t>
      </w:r>
      <w:proofErr w:type="spellStart"/>
      <w:r w:rsidR="005A7425">
        <w:t>Lycaeon</w:t>
      </w:r>
      <w:proofErr w:type="spellEnd"/>
      <w:r w:rsidR="005A7425">
        <w:t xml:space="preserve"> </w:t>
      </w:r>
      <w:r w:rsidR="00D51BEF">
        <w:t>only to return and become an Olympic victor showing an idea of making the sacrifice to become a greater part of society</w:t>
      </w:r>
      <w:r w:rsidR="00D51BEF">
        <w:rPr>
          <w:rStyle w:val="FootnoteReference"/>
        </w:rPr>
        <w:footnoteReference w:id="13"/>
      </w:r>
      <w:r w:rsidR="00D51BEF">
        <w:t xml:space="preserve">. Irving </w:t>
      </w:r>
      <w:r w:rsidR="005A7425">
        <w:t xml:space="preserve">shows us however that there is no archaeological basis for this ritual site on Mount </w:t>
      </w:r>
      <w:proofErr w:type="spellStart"/>
      <w:r w:rsidR="005A7425">
        <w:t>Lycaeon</w:t>
      </w:r>
      <w:proofErr w:type="spellEnd"/>
      <w:r w:rsidR="005A7425">
        <w:t xml:space="preserve"> and without that it places most of the literary sources in a tight spot as they have no basis archaeologically</w:t>
      </w:r>
      <w:r w:rsidR="005A7425">
        <w:rPr>
          <w:rStyle w:val="FootnoteReference"/>
        </w:rPr>
        <w:footnoteReference w:id="14"/>
      </w:r>
      <w:r w:rsidR="005A7425">
        <w:t>. Renditions seemingly follow Plato’s discussion of a ritual feast according to Irving leaving much up to speculation once again.</w:t>
      </w:r>
    </w:p>
    <w:p w:rsidR="006866A4" w:rsidRDefault="005A7425" w:rsidP="00986373">
      <w:r>
        <w:t xml:space="preserve">As Irving rightly suggests in his conclusion on this topic, the simplicity of </w:t>
      </w:r>
      <w:proofErr w:type="gramStart"/>
      <w:r>
        <w:t>assuming that</w:t>
      </w:r>
      <w:proofErr w:type="gramEnd"/>
      <w:r>
        <w:t xml:space="preserve"> these myths are used to depict these rites of passage </w:t>
      </w:r>
      <w:r w:rsidR="00CE4A33">
        <w:t>is unattainable</w:t>
      </w:r>
      <w:r w:rsidR="00CE4A33">
        <w:rPr>
          <w:rStyle w:val="FootnoteReference"/>
        </w:rPr>
        <w:footnoteReference w:id="15"/>
      </w:r>
      <w:r w:rsidR="00CE4A33">
        <w:t xml:space="preserve">. To Irving the simple fact that Lycaon is not punished for his cannibalism nor is this seen for the Goddess Demeter, the cannibal in the story of </w:t>
      </w:r>
      <w:proofErr w:type="spellStart"/>
      <w:r w:rsidR="00CE4A33">
        <w:t>Tantilus</w:t>
      </w:r>
      <w:proofErr w:type="spellEnd"/>
      <w:r w:rsidR="00CE4A33">
        <w:rPr>
          <w:rStyle w:val="FootnoteReference"/>
        </w:rPr>
        <w:footnoteReference w:id="16"/>
      </w:r>
      <w:r w:rsidR="00CE4A33">
        <w:t>. Buxton’s attempts to draw parallels to between Greek thoughts and approaches to wolves and the werewolves that come from this. This is a highly theoretical approach yet there seems to be reward when to looking at the individuals of the time’s perception of the animal closest representing the mythological beast and attempting to understand what this may have represented in their society</w:t>
      </w:r>
      <w:r w:rsidR="00CE4A33">
        <w:rPr>
          <w:rStyle w:val="FootnoteReference"/>
        </w:rPr>
        <w:footnoteReference w:id="17"/>
      </w:r>
      <w:r w:rsidR="00CE4A33">
        <w:t xml:space="preserve">. </w:t>
      </w:r>
      <w:r w:rsidR="00ED67A8">
        <w:t xml:space="preserve">Irving’s discussion on the origins of myth ends with the statement that we are stuck to using the myth to </w:t>
      </w:r>
      <w:proofErr w:type="gramStart"/>
      <w:r w:rsidR="00ED67A8">
        <w:t>give an explanation of</w:t>
      </w:r>
      <w:proofErr w:type="gramEnd"/>
      <w:r w:rsidR="00ED67A8">
        <w:t xml:space="preserve"> the initiations even if Irving just showed how patchwork their use actually is. </w:t>
      </w:r>
      <w:r w:rsidR="00CE4A33">
        <w:t xml:space="preserve">  </w:t>
      </w:r>
    </w:p>
    <w:p w:rsidR="00F22446" w:rsidRDefault="00F22446">
      <w:r>
        <w:t>Bibliography:</w:t>
      </w:r>
    </w:p>
    <w:p w:rsidR="003F71E6" w:rsidRDefault="003F71E6">
      <w:r>
        <w:t>Herodotus</w:t>
      </w:r>
    </w:p>
    <w:p w:rsidR="003F71E6" w:rsidRDefault="003F71E6">
      <w:r>
        <w:t>Aristotle Athenian Constitution</w:t>
      </w:r>
    </w:p>
    <w:p w:rsidR="003F71E6" w:rsidRDefault="003F71E6">
      <w:r>
        <w:t>Plato’s republic</w:t>
      </w:r>
    </w:p>
    <w:p w:rsidR="003F71E6" w:rsidRDefault="003F71E6">
      <w:r w:rsidRPr="003F71E6">
        <w:t>Irving, P. (1992). Metamorphosis in Greek Myths. Oxford: Clarendon Press. p38 - 57</w:t>
      </w:r>
    </w:p>
    <w:p w:rsidR="004C79DE" w:rsidRDefault="003F71E6">
      <w:r>
        <w:t>Buxton, R. (2013). Myths and Tragedies in their Ancient Greek Contexts. Oxford. OUP Oxford.</w:t>
      </w:r>
    </w:p>
    <w:sectPr w:rsidR="004C79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472B" w:rsidRDefault="0040472B" w:rsidP="00986373">
      <w:pPr>
        <w:spacing w:after="0" w:line="240" w:lineRule="auto"/>
      </w:pPr>
      <w:r>
        <w:separator/>
      </w:r>
    </w:p>
  </w:endnote>
  <w:endnote w:type="continuationSeparator" w:id="0">
    <w:p w:rsidR="0040472B" w:rsidRDefault="0040472B" w:rsidP="00986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472B" w:rsidRDefault="0040472B" w:rsidP="00986373">
      <w:pPr>
        <w:spacing w:after="0" w:line="240" w:lineRule="auto"/>
      </w:pPr>
      <w:r>
        <w:separator/>
      </w:r>
    </w:p>
  </w:footnote>
  <w:footnote w:type="continuationSeparator" w:id="0">
    <w:p w:rsidR="0040472B" w:rsidRDefault="0040472B" w:rsidP="00986373">
      <w:pPr>
        <w:spacing w:after="0" w:line="240" w:lineRule="auto"/>
      </w:pPr>
      <w:r>
        <w:continuationSeparator/>
      </w:r>
    </w:p>
  </w:footnote>
  <w:footnote w:id="1">
    <w:p w:rsidR="00986373" w:rsidRDefault="00986373">
      <w:pPr>
        <w:pStyle w:val="FootnoteText"/>
      </w:pPr>
      <w:r>
        <w:rPr>
          <w:rStyle w:val="FootnoteReference"/>
        </w:rPr>
        <w:footnoteRef/>
      </w:r>
      <w:r>
        <w:t xml:space="preserve"> Irving 1992:55</w:t>
      </w:r>
    </w:p>
  </w:footnote>
  <w:footnote w:id="2">
    <w:p w:rsidR="00140C2C" w:rsidRDefault="00140C2C">
      <w:pPr>
        <w:pStyle w:val="FootnoteText"/>
      </w:pPr>
      <w:r>
        <w:rPr>
          <w:rStyle w:val="FootnoteReference"/>
        </w:rPr>
        <w:footnoteRef/>
      </w:r>
      <w:r>
        <w:t xml:space="preserve"> Irving 1992:40</w:t>
      </w:r>
    </w:p>
  </w:footnote>
  <w:footnote w:id="3">
    <w:p w:rsidR="00140C2C" w:rsidRDefault="00140C2C">
      <w:pPr>
        <w:pStyle w:val="FootnoteText"/>
      </w:pPr>
      <w:r>
        <w:rPr>
          <w:rStyle w:val="FootnoteReference"/>
        </w:rPr>
        <w:footnoteRef/>
      </w:r>
      <w:r>
        <w:t xml:space="preserve"> Irving 1992:42</w:t>
      </w:r>
    </w:p>
  </w:footnote>
  <w:footnote w:id="4">
    <w:p w:rsidR="00140C2C" w:rsidRDefault="00140C2C">
      <w:pPr>
        <w:pStyle w:val="FootnoteText"/>
      </w:pPr>
      <w:r>
        <w:rPr>
          <w:rStyle w:val="FootnoteReference"/>
        </w:rPr>
        <w:footnoteRef/>
      </w:r>
      <w:r>
        <w:t xml:space="preserve"> Buxton 2013:44</w:t>
      </w:r>
    </w:p>
  </w:footnote>
  <w:footnote w:id="5">
    <w:p w:rsidR="00140C2C" w:rsidRDefault="00140C2C">
      <w:pPr>
        <w:pStyle w:val="FootnoteText"/>
      </w:pPr>
      <w:r>
        <w:rPr>
          <w:rStyle w:val="FootnoteReference"/>
        </w:rPr>
        <w:footnoteRef/>
      </w:r>
      <w:r>
        <w:t xml:space="preserve"> Pliny. NH. 8.81</w:t>
      </w:r>
    </w:p>
  </w:footnote>
  <w:footnote w:id="6">
    <w:p w:rsidR="00A016DF" w:rsidRDefault="00A016DF">
      <w:pPr>
        <w:pStyle w:val="FootnoteText"/>
      </w:pPr>
      <w:r>
        <w:rPr>
          <w:rStyle w:val="FootnoteReference"/>
        </w:rPr>
        <w:footnoteRef/>
      </w:r>
      <w:r>
        <w:t xml:space="preserve"> Buxton 2013:44</w:t>
      </w:r>
    </w:p>
  </w:footnote>
  <w:footnote w:id="7">
    <w:p w:rsidR="00140C2C" w:rsidRDefault="00140C2C">
      <w:pPr>
        <w:pStyle w:val="FootnoteText"/>
      </w:pPr>
      <w:r>
        <w:rPr>
          <w:rStyle w:val="FootnoteReference"/>
        </w:rPr>
        <w:footnoteRef/>
      </w:r>
      <w:r>
        <w:t xml:space="preserve"> </w:t>
      </w:r>
      <w:r w:rsidR="006866A4">
        <w:t>Irving 1992:51</w:t>
      </w:r>
    </w:p>
  </w:footnote>
  <w:footnote w:id="8">
    <w:p w:rsidR="006866A4" w:rsidRDefault="006866A4">
      <w:pPr>
        <w:pStyle w:val="FootnoteText"/>
      </w:pPr>
      <w:r>
        <w:rPr>
          <w:rStyle w:val="FootnoteReference"/>
        </w:rPr>
        <w:footnoteRef/>
      </w:r>
      <w:r>
        <w:t xml:space="preserve"> Plato. </w:t>
      </w:r>
      <w:proofErr w:type="spellStart"/>
      <w:r>
        <w:t>Ath</w:t>
      </w:r>
      <w:proofErr w:type="spellEnd"/>
      <w:r>
        <w:t>. Pol. 42</w:t>
      </w:r>
    </w:p>
  </w:footnote>
  <w:footnote w:id="9">
    <w:p w:rsidR="006866A4" w:rsidRDefault="006866A4">
      <w:pPr>
        <w:pStyle w:val="FootnoteText"/>
      </w:pPr>
      <w:r>
        <w:rPr>
          <w:rStyle w:val="FootnoteReference"/>
        </w:rPr>
        <w:footnoteRef/>
      </w:r>
      <w:r>
        <w:t xml:space="preserve"> Irving 1992:56-57</w:t>
      </w:r>
    </w:p>
  </w:footnote>
  <w:footnote w:id="10">
    <w:p w:rsidR="006866A4" w:rsidRDefault="006866A4">
      <w:pPr>
        <w:pStyle w:val="FootnoteText"/>
      </w:pPr>
      <w:r>
        <w:rPr>
          <w:rStyle w:val="FootnoteReference"/>
        </w:rPr>
        <w:footnoteRef/>
      </w:r>
      <w:r>
        <w:t xml:space="preserve"> </w:t>
      </w:r>
      <w:r w:rsidR="00A016DF">
        <w:t>Irving 1992:56-57</w:t>
      </w:r>
    </w:p>
  </w:footnote>
  <w:footnote w:id="11">
    <w:p w:rsidR="005A7425" w:rsidRDefault="005A7425">
      <w:pPr>
        <w:pStyle w:val="FootnoteText"/>
      </w:pPr>
      <w:r>
        <w:rPr>
          <w:rStyle w:val="FootnoteReference"/>
        </w:rPr>
        <w:footnoteRef/>
      </w:r>
      <w:r>
        <w:t xml:space="preserve"> </w:t>
      </w:r>
      <w:r w:rsidRPr="005A7425">
        <w:t>Buxton 2013:48</w:t>
      </w:r>
    </w:p>
  </w:footnote>
  <w:footnote w:id="12">
    <w:p w:rsidR="00A016DF" w:rsidRDefault="00A016DF">
      <w:pPr>
        <w:pStyle w:val="FootnoteText"/>
      </w:pPr>
      <w:r>
        <w:rPr>
          <w:rStyle w:val="FootnoteReference"/>
        </w:rPr>
        <w:footnoteRef/>
      </w:r>
      <w:r>
        <w:t xml:space="preserve"> Buxton 2013:48</w:t>
      </w:r>
    </w:p>
  </w:footnote>
  <w:footnote w:id="13">
    <w:p w:rsidR="00D51BEF" w:rsidRDefault="00D51BEF">
      <w:pPr>
        <w:pStyle w:val="FootnoteText"/>
      </w:pPr>
      <w:r>
        <w:rPr>
          <w:rStyle w:val="FootnoteReference"/>
        </w:rPr>
        <w:footnoteRef/>
      </w:r>
      <w:r>
        <w:t xml:space="preserve"> Irving 1992:54-55</w:t>
      </w:r>
    </w:p>
  </w:footnote>
  <w:footnote w:id="14">
    <w:p w:rsidR="005A7425" w:rsidRDefault="005A7425">
      <w:pPr>
        <w:pStyle w:val="FootnoteText"/>
      </w:pPr>
      <w:r>
        <w:rPr>
          <w:rStyle w:val="FootnoteReference"/>
        </w:rPr>
        <w:footnoteRef/>
      </w:r>
      <w:r>
        <w:t xml:space="preserve"> Irving 1992:55</w:t>
      </w:r>
    </w:p>
  </w:footnote>
  <w:footnote w:id="15">
    <w:p w:rsidR="00CE4A33" w:rsidRDefault="00CE4A33">
      <w:pPr>
        <w:pStyle w:val="FootnoteText"/>
      </w:pPr>
      <w:r>
        <w:rPr>
          <w:rStyle w:val="FootnoteReference"/>
        </w:rPr>
        <w:footnoteRef/>
      </w:r>
      <w:r>
        <w:t xml:space="preserve"> Irving 1992:57</w:t>
      </w:r>
    </w:p>
  </w:footnote>
  <w:footnote w:id="16">
    <w:p w:rsidR="00CE4A33" w:rsidRDefault="00CE4A33">
      <w:pPr>
        <w:pStyle w:val="FootnoteText"/>
      </w:pPr>
      <w:r>
        <w:rPr>
          <w:rStyle w:val="FootnoteReference"/>
        </w:rPr>
        <w:footnoteRef/>
      </w:r>
      <w:r>
        <w:t xml:space="preserve"> Irving 1992:57</w:t>
      </w:r>
    </w:p>
  </w:footnote>
  <w:footnote w:id="17">
    <w:p w:rsidR="00CE4A33" w:rsidRDefault="00CE4A33">
      <w:pPr>
        <w:pStyle w:val="FootnoteText"/>
      </w:pPr>
      <w:r>
        <w:rPr>
          <w:rStyle w:val="FootnoteReference"/>
        </w:rPr>
        <w:footnoteRef/>
      </w:r>
      <w:r>
        <w:t xml:space="preserve"> Buxton 2013:35-40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9DE"/>
    <w:rsid w:val="00140C2C"/>
    <w:rsid w:val="002942CF"/>
    <w:rsid w:val="003F71E6"/>
    <w:rsid w:val="0040472B"/>
    <w:rsid w:val="004C79DE"/>
    <w:rsid w:val="005A7425"/>
    <w:rsid w:val="006866A4"/>
    <w:rsid w:val="00826E5B"/>
    <w:rsid w:val="00986373"/>
    <w:rsid w:val="00A016DF"/>
    <w:rsid w:val="00AD00A6"/>
    <w:rsid w:val="00B00977"/>
    <w:rsid w:val="00CE4A33"/>
    <w:rsid w:val="00D51BEF"/>
    <w:rsid w:val="00D70835"/>
    <w:rsid w:val="00DB686C"/>
    <w:rsid w:val="00ED67A8"/>
    <w:rsid w:val="00EF15F4"/>
    <w:rsid w:val="00F22446"/>
    <w:rsid w:val="00F50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86B34"/>
  <w15:chartTrackingRefBased/>
  <w15:docId w15:val="{A30463C9-ADCB-4C29-8988-34B7F04AA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863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86373"/>
    <w:rPr>
      <w:sz w:val="20"/>
      <w:szCs w:val="20"/>
    </w:rPr>
  </w:style>
  <w:style w:type="character" w:styleId="FootnoteReference">
    <w:name w:val="footnote reference"/>
    <w:basedOn w:val="DefaultParagraphFont"/>
    <w:uiPriority w:val="99"/>
    <w:semiHidden/>
    <w:unhideWhenUsed/>
    <w:rsid w:val="0098637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TotalTime>
  <Pages>3</Pages>
  <Words>907</Words>
  <Characters>5171</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Wilson</dc:creator>
  <cp:keywords/>
  <dc:description/>
  <cp:lastModifiedBy>Callum Wilson</cp:lastModifiedBy>
  <cp:revision>2</cp:revision>
  <dcterms:created xsi:type="dcterms:W3CDTF">2018-01-19T10:28:00Z</dcterms:created>
  <dcterms:modified xsi:type="dcterms:W3CDTF">2018-01-19T15:14:00Z</dcterms:modified>
</cp:coreProperties>
</file>