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01AF1" w14:textId="3EA34518" w:rsidR="007D2169" w:rsidRPr="009765E0" w:rsidRDefault="007D2169"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(AC 1.1)</w:t>
      </w:r>
    </w:p>
    <w:p w14:paraId="5827CBFF" w14:textId="5C5C19C1" w:rsidR="0069406A" w:rsidRPr="009765E0" w:rsidRDefault="003109EB" w:rsidP="00FC1ABB">
      <w:pPr>
        <w:spacing w:before="240" w:line="240" w:lineRule="auto"/>
        <w:rPr>
          <w:rFonts w:ascii="Verdana" w:hAnsi="Verdana"/>
          <w:sz w:val="20"/>
          <w:szCs w:val="20"/>
        </w:rPr>
      </w:pPr>
      <w:r w:rsidRPr="009765E0">
        <w:rPr>
          <w:rFonts w:ascii="Verdana" w:hAnsi="Verdana"/>
          <w:sz w:val="20"/>
          <w:szCs w:val="20"/>
        </w:rPr>
        <w:t>Ensuring compliance with</w:t>
      </w:r>
      <w:r w:rsidR="00062254" w:rsidRPr="009765E0">
        <w:rPr>
          <w:rFonts w:ascii="Verdana" w:hAnsi="Verdana"/>
          <w:sz w:val="20"/>
          <w:szCs w:val="20"/>
        </w:rPr>
        <w:t xml:space="preserve"> employment regulations is a productive way to spend your time</w:t>
      </w:r>
      <w:r w:rsidR="0069406A" w:rsidRPr="009765E0">
        <w:rPr>
          <w:rFonts w:ascii="Verdana" w:hAnsi="Verdana"/>
          <w:sz w:val="20"/>
          <w:szCs w:val="20"/>
        </w:rPr>
        <w:t xml:space="preserve">. </w:t>
      </w:r>
      <w:r w:rsidR="00042F7D" w:rsidRPr="009765E0">
        <w:rPr>
          <w:rFonts w:ascii="Verdana" w:hAnsi="Verdana"/>
          <w:sz w:val="20"/>
          <w:szCs w:val="20"/>
        </w:rPr>
        <w:t xml:space="preserve">Having these regulations gives </w:t>
      </w:r>
      <w:r w:rsidR="0069406A" w:rsidRPr="009765E0">
        <w:rPr>
          <w:rFonts w:ascii="Verdana" w:hAnsi="Verdana"/>
          <w:sz w:val="20"/>
          <w:szCs w:val="20"/>
        </w:rPr>
        <w:t>the</w:t>
      </w:r>
      <w:r w:rsidR="00042F7D" w:rsidRPr="009765E0">
        <w:rPr>
          <w:rFonts w:ascii="Verdana" w:hAnsi="Verdana"/>
          <w:sz w:val="20"/>
          <w:szCs w:val="20"/>
        </w:rPr>
        <w:t xml:space="preserve"> employer and the employee expectations on </w:t>
      </w:r>
      <w:r w:rsidR="0069406A" w:rsidRPr="009765E0">
        <w:rPr>
          <w:rFonts w:ascii="Verdana" w:hAnsi="Verdana"/>
          <w:sz w:val="20"/>
          <w:szCs w:val="20"/>
        </w:rPr>
        <w:t>the</w:t>
      </w:r>
      <w:r w:rsidR="00042F7D" w:rsidRPr="009765E0">
        <w:rPr>
          <w:rFonts w:ascii="Verdana" w:hAnsi="Verdana"/>
          <w:sz w:val="20"/>
          <w:szCs w:val="20"/>
        </w:rPr>
        <w:t xml:space="preserve"> way of working </w:t>
      </w:r>
      <w:r w:rsidR="0069406A" w:rsidRPr="009765E0">
        <w:rPr>
          <w:rFonts w:ascii="Verdana" w:hAnsi="Verdana"/>
          <w:sz w:val="20"/>
          <w:szCs w:val="20"/>
        </w:rPr>
        <w:t xml:space="preserve">expected of them </w:t>
      </w:r>
      <w:r w:rsidR="00042F7D" w:rsidRPr="009765E0">
        <w:rPr>
          <w:rFonts w:ascii="Verdana" w:hAnsi="Verdana"/>
          <w:sz w:val="20"/>
          <w:szCs w:val="20"/>
        </w:rPr>
        <w:t xml:space="preserve">(Daniels, 2024). </w:t>
      </w:r>
      <w:r w:rsidR="00453602" w:rsidRPr="009765E0">
        <w:rPr>
          <w:rFonts w:ascii="Verdana" w:hAnsi="Verdana"/>
          <w:sz w:val="20"/>
          <w:szCs w:val="20"/>
        </w:rPr>
        <w:t xml:space="preserve">Breaching employment regulations </w:t>
      </w:r>
      <w:r w:rsidR="0005746D" w:rsidRPr="009765E0">
        <w:rPr>
          <w:rFonts w:ascii="Verdana" w:hAnsi="Verdana"/>
          <w:sz w:val="20"/>
          <w:szCs w:val="20"/>
        </w:rPr>
        <w:t>may leave us at risk of being in an employment tribunal</w:t>
      </w:r>
      <w:r w:rsidR="0069406A" w:rsidRPr="009765E0">
        <w:rPr>
          <w:rFonts w:ascii="Verdana" w:hAnsi="Verdana"/>
          <w:sz w:val="20"/>
          <w:szCs w:val="20"/>
        </w:rPr>
        <w:t>. There is no cost to bring a case to tribunal for employees (ACAS, 2022)</w:t>
      </w:r>
      <w:r w:rsidRPr="009765E0">
        <w:rPr>
          <w:rFonts w:ascii="Verdana" w:hAnsi="Verdana"/>
          <w:sz w:val="20"/>
          <w:szCs w:val="20"/>
        </w:rPr>
        <w:t xml:space="preserve">, but there are fees for employers, settlement payments, and fines if the case is lost. Therefore, our time and money </w:t>
      </w:r>
      <w:proofErr w:type="gramStart"/>
      <w:r w:rsidRPr="009765E0">
        <w:rPr>
          <w:rFonts w:ascii="Verdana" w:hAnsi="Verdana"/>
          <w:sz w:val="20"/>
          <w:szCs w:val="20"/>
        </w:rPr>
        <w:t>is</w:t>
      </w:r>
      <w:proofErr w:type="gramEnd"/>
      <w:r w:rsidRPr="009765E0">
        <w:rPr>
          <w:rFonts w:ascii="Verdana" w:hAnsi="Verdana"/>
          <w:sz w:val="20"/>
          <w:szCs w:val="20"/>
        </w:rPr>
        <w:t xml:space="preserve"> better spent ensuring compliance with employee regulations.</w:t>
      </w:r>
    </w:p>
    <w:p w14:paraId="2E9BC0E5" w14:textId="34435427" w:rsidR="00B54456" w:rsidRPr="009765E0" w:rsidRDefault="00403745" w:rsidP="00FC1ABB">
      <w:pPr>
        <w:spacing w:before="240" w:line="240" w:lineRule="auto"/>
        <w:rPr>
          <w:rFonts w:ascii="Verdana" w:hAnsi="Verdana"/>
          <w:i/>
          <w:iCs/>
          <w:sz w:val="20"/>
          <w:szCs w:val="20"/>
        </w:rPr>
      </w:pPr>
      <w:r w:rsidRPr="009765E0">
        <w:rPr>
          <w:rFonts w:ascii="Verdana" w:hAnsi="Verdana"/>
          <w:sz w:val="20"/>
          <w:szCs w:val="20"/>
        </w:rPr>
        <w:t>W</w:t>
      </w:r>
      <w:r w:rsidR="00FA5B76" w:rsidRPr="009765E0">
        <w:rPr>
          <w:rFonts w:ascii="Verdana" w:hAnsi="Verdana"/>
          <w:sz w:val="20"/>
          <w:szCs w:val="20"/>
        </w:rPr>
        <w:t xml:space="preserve">ork life balance is one of the most important elements of </w:t>
      </w:r>
      <w:r w:rsidR="00471BDF" w:rsidRPr="009765E0">
        <w:rPr>
          <w:rFonts w:ascii="Verdana" w:hAnsi="Verdana"/>
          <w:sz w:val="20"/>
          <w:szCs w:val="20"/>
        </w:rPr>
        <w:t xml:space="preserve">an employee experience, with 56% of employees willing to take a pay cut for </w:t>
      </w:r>
      <w:r w:rsidR="00D272E3" w:rsidRPr="009765E0">
        <w:rPr>
          <w:rFonts w:ascii="Verdana" w:hAnsi="Verdana"/>
          <w:sz w:val="20"/>
          <w:szCs w:val="20"/>
        </w:rPr>
        <w:t>a better work life balance (Mayne, 2023)</w:t>
      </w:r>
      <w:r w:rsidRPr="009765E0">
        <w:rPr>
          <w:rFonts w:ascii="Verdana" w:hAnsi="Verdana"/>
          <w:sz w:val="20"/>
          <w:szCs w:val="20"/>
        </w:rPr>
        <w:t xml:space="preserve">. </w:t>
      </w:r>
      <w:r w:rsidR="00D158EC" w:rsidRPr="009765E0">
        <w:rPr>
          <w:rFonts w:ascii="Verdana" w:hAnsi="Verdana"/>
          <w:sz w:val="20"/>
          <w:szCs w:val="20"/>
        </w:rPr>
        <w:t>The working time regulations ensures</w:t>
      </w:r>
      <w:r w:rsidR="003109EB" w:rsidRPr="009765E0">
        <w:rPr>
          <w:rFonts w:ascii="Verdana" w:hAnsi="Verdana"/>
          <w:sz w:val="20"/>
          <w:szCs w:val="20"/>
        </w:rPr>
        <w:t xml:space="preserve"> the health and safety of employees by ensuring they have </w:t>
      </w:r>
      <w:r w:rsidR="00D158EC" w:rsidRPr="009765E0">
        <w:rPr>
          <w:rFonts w:ascii="Verdana" w:hAnsi="Verdana"/>
          <w:sz w:val="20"/>
          <w:szCs w:val="20"/>
        </w:rPr>
        <w:t>sufficient breaks and rest during and betw</w:t>
      </w:r>
      <w:r w:rsidR="003109EB" w:rsidRPr="009765E0">
        <w:rPr>
          <w:rFonts w:ascii="Verdana" w:hAnsi="Verdana"/>
          <w:sz w:val="20"/>
          <w:szCs w:val="20"/>
        </w:rPr>
        <w:t>een shifts and are not overworked.</w:t>
      </w:r>
      <w:r w:rsidR="00B54456" w:rsidRPr="009765E0">
        <w:rPr>
          <w:rFonts w:ascii="Verdana" w:hAnsi="Verdana"/>
          <w:sz w:val="20"/>
          <w:szCs w:val="20"/>
        </w:rPr>
        <w:t xml:space="preserve"> An average working week shouldn’t exceed 48 hours unless individuals have opted out of the cap (TUC, 2017). Everyone should also receive paid holidays on a minimum of 5.6 weeks every year and encouraged to take that time off </w:t>
      </w:r>
      <w:r w:rsidR="00B54456" w:rsidRPr="009765E0">
        <w:rPr>
          <w:rFonts w:ascii="Verdana" w:hAnsi="Verdana"/>
          <w:sz w:val="20"/>
          <w:szCs w:val="20"/>
        </w:rPr>
        <w:t>(Department for Business and Trade, 2020</w:t>
      </w:r>
      <w:proofErr w:type="gramStart"/>
      <w:r w:rsidR="00B54456" w:rsidRPr="009765E0">
        <w:rPr>
          <w:rFonts w:ascii="Verdana" w:hAnsi="Verdana"/>
          <w:sz w:val="20"/>
          <w:szCs w:val="20"/>
        </w:rPr>
        <w:t>).</w:t>
      </w:r>
      <w:r w:rsidR="005B11D6" w:rsidRPr="009765E0">
        <w:rPr>
          <w:rFonts w:ascii="Verdana" w:hAnsi="Verdana"/>
          <w:sz w:val="20"/>
          <w:szCs w:val="20"/>
        </w:rPr>
        <w:t>If</w:t>
      </w:r>
      <w:proofErr w:type="gramEnd"/>
      <w:r w:rsidR="005B11D6" w:rsidRPr="009765E0">
        <w:rPr>
          <w:rFonts w:ascii="Verdana" w:hAnsi="Verdana"/>
          <w:sz w:val="20"/>
          <w:szCs w:val="20"/>
        </w:rPr>
        <w:t xml:space="preserve"> these regulations are breached then there is a case for the employee at tribunal, such as </w:t>
      </w:r>
      <w:r w:rsidR="005B11D6" w:rsidRPr="009765E0">
        <w:rPr>
          <w:rFonts w:ascii="Verdana" w:hAnsi="Verdana"/>
          <w:i/>
          <w:iCs/>
          <w:sz w:val="20"/>
          <w:szCs w:val="20"/>
        </w:rPr>
        <w:t xml:space="preserve">Holloway v Aura Gas Ltd (2020). </w:t>
      </w:r>
    </w:p>
    <w:p w14:paraId="0FD0B802" w14:textId="3ABFE147" w:rsidR="003E0227" w:rsidRPr="009765E0" w:rsidRDefault="00EE0058" w:rsidP="00FC1ABB">
      <w:pPr>
        <w:spacing w:before="240" w:line="240" w:lineRule="auto"/>
        <w:rPr>
          <w:rFonts w:ascii="Verdana" w:hAnsi="Verdana" w:cstheme="minorHAnsi"/>
          <w:b/>
          <w:bCs/>
          <w:sz w:val="20"/>
          <w:szCs w:val="20"/>
        </w:rPr>
      </w:pPr>
      <w:r w:rsidRPr="009765E0">
        <w:rPr>
          <w:rFonts w:ascii="Verdana" w:hAnsi="Verdana"/>
          <w:sz w:val="20"/>
          <w:szCs w:val="20"/>
        </w:rPr>
        <w:t xml:space="preserve">The </w:t>
      </w:r>
      <w:r w:rsidR="00E65B9C" w:rsidRPr="009765E0">
        <w:rPr>
          <w:rFonts w:ascii="Verdana" w:hAnsi="Verdana"/>
          <w:sz w:val="20"/>
          <w:szCs w:val="20"/>
        </w:rPr>
        <w:t xml:space="preserve">Equality Act 2010 </w:t>
      </w:r>
      <w:r w:rsidR="005C0CC7" w:rsidRPr="009765E0">
        <w:rPr>
          <w:rFonts w:ascii="Verdana" w:hAnsi="Verdana"/>
          <w:sz w:val="20"/>
          <w:szCs w:val="20"/>
        </w:rPr>
        <w:t xml:space="preserve">aims to </w:t>
      </w:r>
      <w:r w:rsidR="00E65B9C" w:rsidRPr="009765E0">
        <w:rPr>
          <w:rFonts w:ascii="Verdana" w:hAnsi="Verdana"/>
          <w:sz w:val="20"/>
          <w:szCs w:val="20"/>
        </w:rPr>
        <w:t>protect</w:t>
      </w:r>
      <w:r w:rsidR="005C0CC7" w:rsidRPr="009765E0">
        <w:rPr>
          <w:rFonts w:ascii="Verdana" w:hAnsi="Verdana"/>
          <w:sz w:val="20"/>
          <w:szCs w:val="20"/>
        </w:rPr>
        <w:t xml:space="preserve"> </w:t>
      </w:r>
      <w:r w:rsidR="00E65B9C" w:rsidRPr="009765E0">
        <w:rPr>
          <w:rFonts w:ascii="Verdana" w:hAnsi="Verdana"/>
          <w:sz w:val="20"/>
          <w:szCs w:val="20"/>
        </w:rPr>
        <w:t xml:space="preserve">minorities from </w:t>
      </w:r>
      <w:r w:rsidR="0095105E" w:rsidRPr="009765E0">
        <w:rPr>
          <w:rFonts w:ascii="Verdana" w:hAnsi="Verdana"/>
          <w:sz w:val="20"/>
          <w:szCs w:val="20"/>
        </w:rPr>
        <w:t>discrimination</w:t>
      </w:r>
      <w:r w:rsidR="005B11D6" w:rsidRPr="009765E0">
        <w:rPr>
          <w:rFonts w:ascii="Verdana" w:hAnsi="Verdana"/>
          <w:sz w:val="20"/>
          <w:szCs w:val="20"/>
        </w:rPr>
        <w:t xml:space="preserve"> and harassment</w:t>
      </w:r>
      <w:r w:rsidR="00E65B9C" w:rsidRPr="009765E0">
        <w:rPr>
          <w:rFonts w:ascii="Verdana" w:hAnsi="Verdana"/>
          <w:sz w:val="20"/>
          <w:szCs w:val="20"/>
        </w:rPr>
        <w:t xml:space="preserve"> in the </w:t>
      </w:r>
      <w:r w:rsidR="0095105E" w:rsidRPr="009765E0">
        <w:rPr>
          <w:rFonts w:ascii="Verdana" w:hAnsi="Verdana"/>
          <w:sz w:val="20"/>
          <w:szCs w:val="20"/>
        </w:rPr>
        <w:t>workplace</w:t>
      </w:r>
      <w:r w:rsidR="005B11D6" w:rsidRPr="009765E0">
        <w:rPr>
          <w:rFonts w:ascii="Verdana" w:hAnsi="Verdana"/>
          <w:sz w:val="20"/>
          <w:szCs w:val="20"/>
        </w:rPr>
        <w:t>. Unfortunately, it</w:t>
      </w:r>
      <w:r w:rsidR="00E65B9C" w:rsidRPr="009765E0">
        <w:rPr>
          <w:rFonts w:ascii="Verdana" w:hAnsi="Verdana"/>
          <w:sz w:val="20"/>
          <w:szCs w:val="20"/>
        </w:rPr>
        <w:t xml:space="preserve"> doesn’t stop people from being discriminated against. Recently, Pregnant then Screwed </w:t>
      </w:r>
      <w:r w:rsidR="0095105E" w:rsidRPr="009765E0">
        <w:rPr>
          <w:rFonts w:ascii="Verdana" w:hAnsi="Verdana"/>
          <w:sz w:val="20"/>
          <w:szCs w:val="20"/>
        </w:rPr>
        <w:t xml:space="preserve">(2025) </w:t>
      </w:r>
      <w:r w:rsidR="00E65B9C" w:rsidRPr="009765E0">
        <w:rPr>
          <w:rFonts w:ascii="Verdana" w:hAnsi="Verdana"/>
          <w:sz w:val="20"/>
          <w:szCs w:val="20"/>
        </w:rPr>
        <w:t xml:space="preserve">released research saying that 74,000 women a year lose their jobs for getting pregnant or for taking maternity leave, even though pregnancy and </w:t>
      </w:r>
      <w:r w:rsidR="00172EC8" w:rsidRPr="009765E0">
        <w:rPr>
          <w:rFonts w:ascii="Verdana" w:hAnsi="Verdana"/>
          <w:sz w:val="20"/>
          <w:szCs w:val="20"/>
        </w:rPr>
        <w:t>m</w:t>
      </w:r>
      <w:r w:rsidR="00E65B9C" w:rsidRPr="009765E0">
        <w:rPr>
          <w:rFonts w:ascii="Verdana" w:hAnsi="Verdana"/>
          <w:sz w:val="20"/>
          <w:szCs w:val="20"/>
        </w:rPr>
        <w:t xml:space="preserve">aternity </w:t>
      </w:r>
      <w:r w:rsidR="005B11D6" w:rsidRPr="009765E0">
        <w:rPr>
          <w:rFonts w:ascii="Verdana" w:hAnsi="Verdana"/>
          <w:sz w:val="20"/>
          <w:szCs w:val="20"/>
        </w:rPr>
        <w:t>is</w:t>
      </w:r>
      <w:r w:rsidR="00E65B9C" w:rsidRPr="009765E0">
        <w:rPr>
          <w:rFonts w:ascii="Verdana" w:hAnsi="Verdana"/>
          <w:sz w:val="20"/>
          <w:szCs w:val="20"/>
        </w:rPr>
        <w:t xml:space="preserve"> a protected characteristic. </w:t>
      </w:r>
      <w:r w:rsidR="005B11D6" w:rsidRPr="009765E0">
        <w:rPr>
          <w:rFonts w:ascii="Verdana" w:hAnsi="Verdana"/>
          <w:sz w:val="20"/>
          <w:szCs w:val="20"/>
        </w:rPr>
        <w:t xml:space="preserve">The number has </w:t>
      </w:r>
      <w:r w:rsidR="005C0CC7" w:rsidRPr="009765E0">
        <w:rPr>
          <w:rFonts w:ascii="Verdana" w:hAnsi="Verdana"/>
          <w:sz w:val="20"/>
          <w:szCs w:val="20"/>
        </w:rPr>
        <w:t xml:space="preserve">increased </w:t>
      </w:r>
      <w:r w:rsidR="00AB4D32" w:rsidRPr="009765E0">
        <w:rPr>
          <w:rFonts w:ascii="Verdana" w:hAnsi="Verdana"/>
          <w:sz w:val="20"/>
          <w:szCs w:val="20"/>
        </w:rPr>
        <w:t xml:space="preserve">37% since 2016. </w:t>
      </w:r>
      <w:r w:rsidR="00172EC8" w:rsidRPr="009765E0">
        <w:rPr>
          <w:rFonts w:ascii="Verdana" w:hAnsi="Verdana"/>
          <w:sz w:val="20"/>
          <w:szCs w:val="20"/>
        </w:rPr>
        <w:t>The Equality act 2010 has been legislation for 15 years and prior to this there were several separate legislations with various forms of discrimination</w:t>
      </w:r>
      <w:r w:rsidR="00172EC8" w:rsidRPr="009765E0">
        <w:rPr>
          <w:rFonts w:ascii="Verdana" w:hAnsi="Verdana"/>
          <w:sz w:val="20"/>
          <w:szCs w:val="20"/>
        </w:rPr>
        <w:t xml:space="preserve"> described as </w:t>
      </w:r>
      <w:r w:rsidR="00172EC8" w:rsidRPr="009765E0">
        <w:rPr>
          <w:rFonts w:ascii="Verdana" w:hAnsi="Verdana"/>
          <w:sz w:val="20"/>
          <w:szCs w:val="20"/>
        </w:rPr>
        <w:t>unlawful.</w:t>
      </w:r>
      <w:r w:rsidR="00172EC8" w:rsidRPr="009765E0">
        <w:rPr>
          <w:rFonts w:ascii="Verdana" w:hAnsi="Verdana"/>
          <w:sz w:val="20"/>
          <w:szCs w:val="20"/>
        </w:rPr>
        <w:t xml:space="preserve"> W</w:t>
      </w:r>
      <w:r w:rsidR="00AB4D32" w:rsidRPr="009765E0">
        <w:rPr>
          <w:rFonts w:ascii="Verdana" w:hAnsi="Verdana"/>
          <w:sz w:val="20"/>
          <w:szCs w:val="20"/>
        </w:rPr>
        <w:t xml:space="preserve">e can see that </w:t>
      </w:r>
      <w:r w:rsidR="001F7ECD" w:rsidRPr="009765E0">
        <w:rPr>
          <w:rFonts w:ascii="Verdana" w:hAnsi="Verdana"/>
          <w:sz w:val="20"/>
          <w:szCs w:val="20"/>
        </w:rPr>
        <w:t xml:space="preserve">the regulation itself is not enough to deter </w:t>
      </w:r>
      <w:r w:rsidR="005627AC" w:rsidRPr="009765E0">
        <w:rPr>
          <w:rFonts w:ascii="Verdana" w:hAnsi="Verdana"/>
          <w:sz w:val="20"/>
          <w:szCs w:val="20"/>
        </w:rPr>
        <w:t>discrimination</w:t>
      </w:r>
      <w:r w:rsidR="001F7ECD" w:rsidRPr="009765E0">
        <w:rPr>
          <w:rFonts w:ascii="Verdana" w:hAnsi="Verdana"/>
          <w:sz w:val="20"/>
          <w:szCs w:val="20"/>
        </w:rPr>
        <w:t xml:space="preserve"> for minority group</w:t>
      </w:r>
      <w:r w:rsidR="00172EC8" w:rsidRPr="009765E0">
        <w:rPr>
          <w:rFonts w:ascii="Verdana" w:hAnsi="Verdana"/>
          <w:sz w:val="20"/>
          <w:szCs w:val="20"/>
        </w:rPr>
        <w:t>s</w:t>
      </w:r>
      <w:r w:rsidR="001F7ECD" w:rsidRPr="009765E0">
        <w:rPr>
          <w:rFonts w:ascii="Verdana" w:hAnsi="Verdana"/>
          <w:sz w:val="20"/>
          <w:szCs w:val="20"/>
        </w:rPr>
        <w:t xml:space="preserve">. </w:t>
      </w:r>
      <w:r w:rsidR="005B11D6" w:rsidRPr="009765E0">
        <w:rPr>
          <w:rFonts w:ascii="Verdana" w:hAnsi="Verdana"/>
          <w:sz w:val="20"/>
          <w:szCs w:val="20"/>
        </w:rPr>
        <w:t>We must go above the</w:t>
      </w:r>
      <w:r w:rsidR="005E1953" w:rsidRPr="009765E0">
        <w:rPr>
          <w:rFonts w:ascii="Verdana" w:hAnsi="Verdana"/>
          <w:sz w:val="20"/>
          <w:szCs w:val="20"/>
        </w:rPr>
        <w:t xml:space="preserve"> legal requirements to ensure inclusivity, psychological safety, and a positive employee experience (CIPD, 2024a). </w:t>
      </w:r>
      <w:r w:rsidR="00172EC8" w:rsidRPr="009765E0">
        <w:rPr>
          <w:rFonts w:ascii="Verdana" w:hAnsi="Verdana"/>
          <w:sz w:val="20"/>
          <w:szCs w:val="20"/>
        </w:rPr>
        <w:t xml:space="preserve">We must also work towards reducing </w:t>
      </w:r>
      <w:r w:rsidR="005E1953" w:rsidRPr="009765E0">
        <w:rPr>
          <w:rFonts w:ascii="Verdana" w:hAnsi="Verdana"/>
          <w:sz w:val="20"/>
          <w:szCs w:val="20"/>
        </w:rPr>
        <w:t>unconscious biases we may have</w:t>
      </w:r>
      <w:r w:rsidR="00172EC8" w:rsidRPr="009765E0">
        <w:rPr>
          <w:rFonts w:ascii="Verdana" w:hAnsi="Verdana"/>
          <w:sz w:val="20"/>
          <w:szCs w:val="20"/>
        </w:rPr>
        <w:t xml:space="preserve"> to increase inclusivity</w:t>
      </w:r>
      <w:r w:rsidR="005E1953" w:rsidRPr="009765E0">
        <w:rPr>
          <w:rFonts w:ascii="Verdana" w:hAnsi="Verdana"/>
          <w:sz w:val="20"/>
          <w:szCs w:val="20"/>
        </w:rPr>
        <w:t xml:space="preserve">. </w:t>
      </w:r>
      <w:r w:rsidR="00172EC8" w:rsidRPr="009765E0">
        <w:rPr>
          <w:rFonts w:ascii="Verdana" w:hAnsi="Verdana"/>
          <w:sz w:val="20"/>
          <w:szCs w:val="20"/>
        </w:rPr>
        <w:t xml:space="preserve">There are loopholes which are being considered all the time. For example, during </w:t>
      </w:r>
      <w:r w:rsidR="00172EC8" w:rsidRPr="009765E0">
        <w:rPr>
          <w:rFonts w:ascii="Verdana" w:hAnsi="Verdana"/>
          <w:i/>
          <w:iCs/>
          <w:sz w:val="20"/>
          <w:szCs w:val="20"/>
        </w:rPr>
        <w:t xml:space="preserve">Taylor Vs Jaguar Land Rover Ltd (2020) </w:t>
      </w:r>
      <w:r w:rsidR="00172EC8" w:rsidRPr="009765E0">
        <w:rPr>
          <w:rFonts w:ascii="Verdana" w:hAnsi="Verdana"/>
          <w:sz w:val="20"/>
          <w:szCs w:val="20"/>
        </w:rPr>
        <w:t xml:space="preserve">was it determined that those identifying as a non-binary gender was protected by the characteristic of gender reassignment. This makes it difficult to ensure compliance and stay current when developments are made all the time. </w:t>
      </w:r>
    </w:p>
    <w:p w14:paraId="01BB85D1" w14:textId="4949AE5B" w:rsidR="003E0227" w:rsidRPr="009765E0" w:rsidRDefault="003E0227"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(AC 1.2)</w:t>
      </w:r>
    </w:p>
    <w:p w14:paraId="6622C4A5" w14:textId="2AB2AD0E" w:rsidR="003E0227" w:rsidRPr="009765E0" w:rsidRDefault="009D6FCF" w:rsidP="00FC1ABB">
      <w:pPr>
        <w:spacing w:before="240" w:line="240" w:lineRule="auto"/>
        <w:rPr>
          <w:rFonts w:ascii="Verdana" w:hAnsi="Verdana"/>
          <w:sz w:val="20"/>
          <w:szCs w:val="20"/>
        </w:rPr>
      </w:pPr>
      <w:r w:rsidRPr="009765E0">
        <w:rPr>
          <w:rFonts w:ascii="Verdana" w:hAnsi="Verdana"/>
          <w:sz w:val="20"/>
          <w:szCs w:val="20"/>
        </w:rPr>
        <w:t>T</w:t>
      </w:r>
      <w:r w:rsidR="00DB2F7F" w:rsidRPr="009765E0">
        <w:rPr>
          <w:rFonts w:ascii="Verdana" w:hAnsi="Verdana"/>
          <w:sz w:val="20"/>
          <w:szCs w:val="20"/>
        </w:rPr>
        <w:t>he judgements made by the European Court of Justice (ECJ) remains good law in the UK until U</w:t>
      </w:r>
      <w:r w:rsidRPr="009765E0">
        <w:rPr>
          <w:rFonts w:ascii="Verdana" w:hAnsi="Verdana"/>
          <w:sz w:val="20"/>
          <w:szCs w:val="20"/>
        </w:rPr>
        <w:t>K</w:t>
      </w:r>
      <w:r w:rsidR="00DB2F7F" w:rsidRPr="009765E0">
        <w:rPr>
          <w:rFonts w:ascii="Verdana" w:hAnsi="Verdana"/>
          <w:sz w:val="20"/>
          <w:szCs w:val="20"/>
        </w:rPr>
        <w:t xml:space="preserve"> legislation overrides </w:t>
      </w:r>
      <w:r w:rsidRPr="009765E0">
        <w:rPr>
          <w:rFonts w:ascii="Verdana" w:hAnsi="Verdana"/>
          <w:sz w:val="20"/>
          <w:szCs w:val="20"/>
        </w:rPr>
        <w:t>the judgement.</w:t>
      </w:r>
      <w:r w:rsidR="00DB2F7F" w:rsidRPr="009765E0">
        <w:rPr>
          <w:rFonts w:ascii="Verdana" w:hAnsi="Verdana"/>
          <w:sz w:val="20"/>
          <w:szCs w:val="20"/>
        </w:rPr>
        <w:t xml:space="preserve"> </w:t>
      </w:r>
      <w:r w:rsidR="000206EC" w:rsidRPr="009765E0">
        <w:rPr>
          <w:rFonts w:ascii="Verdana" w:hAnsi="Verdana"/>
          <w:sz w:val="20"/>
          <w:szCs w:val="20"/>
        </w:rPr>
        <w:t>ECJ judgements made post Brexit are not legally binding, but they do hold value and are considered when judgements are made, so wouldn’t be disregarded</w:t>
      </w:r>
      <w:r w:rsidRPr="009765E0">
        <w:rPr>
          <w:rFonts w:ascii="Verdana" w:hAnsi="Verdana"/>
          <w:sz w:val="20"/>
          <w:szCs w:val="20"/>
        </w:rPr>
        <w:t xml:space="preserve"> (Daniels, 2024).</w:t>
      </w:r>
    </w:p>
    <w:p w14:paraId="01A7620A" w14:textId="03175497" w:rsidR="009D6FCF" w:rsidRPr="009765E0" w:rsidRDefault="009D6FCF" w:rsidP="00FC1ABB">
      <w:pPr>
        <w:spacing w:before="240" w:line="240" w:lineRule="auto"/>
        <w:rPr>
          <w:rFonts w:ascii="Verdana" w:hAnsi="Verdana"/>
          <w:sz w:val="20"/>
          <w:szCs w:val="20"/>
        </w:rPr>
      </w:pPr>
      <w:r w:rsidRPr="009765E0">
        <w:rPr>
          <w:rFonts w:ascii="Verdana" w:hAnsi="Verdana"/>
          <w:sz w:val="20"/>
          <w:szCs w:val="20"/>
        </w:rPr>
        <w:t xml:space="preserve">As the UK has left the EU in 2020, there was a transition period where the Retained EU Law (revocation and Reform) Act 2023 was then introduced to allow the UK to choose which laws they’d like to retain from the EU and which ones they wanted to amend or abolish. This was only a short period and there were thousands of pieces of legislation which would apply so the decision was to opt out of different legislation rather than opt in. In total around 600 pieces of legislation were removed (Daniels, 2024). </w:t>
      </w:r>
    </w:p>
    <w:p w14:paraId="3893BAA3" w14:textId="5789E66B" w:rsidR="009D6FCF" w:rsidRPr="009765E0" w:rsidRDefault="009D6FCF" w:rsidP="00FC1ABB">
      <w:pPr>
        <w:spacing w:before="240" w:line="240" w:lineRule="auto"/>
        <w:rPr>
          <w:rFonts w:ascii="Verdana" w:hAnsi="Verdana"/>
          <w:sz w:val="20"/>
          <w:szCs w:val="20"/>
        </w:rPr>
      </w:pPr>
      <w:r w:rsidRPr="009765E0">
        <w:rPr>
          <w:rFonts w:ascii="Verdana" w:hAnsi="Verdana"/>
          <w:sz w:val="20"/>
          <w:szCs w:val="20"/>
        </w:rPr>
        <w:t xml:space="preserve">Since Brexit, appeals are no longer heard at the Court of Justice, but the final court is the Supreme Court within the UK (Daniels, 2024). </w:t>
      </w:r>
    </w:p>
    <w:p w14:paraId="26A6EF6D" w14:textId="01BFFA48" w:rsidR="003842D6" w:rsidRPr="009765E0" w:rsidRDefault="003842D6" w:rsidP="00FC1ABB">
      <w:pPr>
        <w:spacing w:before="240" w:line="240" w:lineRule="auto"/>
        <w:rPr>
          <w:rFonts w:ascii="Verdana" w:hAnsi="Verdana"/>
          <w:sz w:val="20"/>
          <w:szCs w:val="20"/>
        </w:rPr>
      </w:pPr>
      <w:r w:rsidRPr="009765E0">
        <w:rPr>
          <w:rFonts w:ascii="Verdana" w:hAnsi="Verdana"/>
          <w:sz w:val="20"/>
          <w:szCs w:val="20"/>
        </w:rPr>
        <w:t>An example of how EU regulations have remained within UK Law is The Employment Rights (Amendment, Revocation and Transitional Provision) Regulations 2023</w:t>
      </w:r>
      <w:r w:rsidR="00C64640" w:rsidRPr="009765E0">
        <w:rPr>
          <w:rFonts w:ascii="Verdana" w:hAnsi="Verdana"/>
          <w:sz w:val="20"/>
          <w:szCs w:val="20"/>
        </w:rPr>
        <w:t xml:space="preserve"> (Gov.uk, </w:t>
      </w:r>
      <w:r w:rsidR="00C64640" w:rsidRPr="009765E0">
        <w:rPr>
          <w:rFonts w:ascii="Verdana" w:hAnsi="Verdana"/>
          <w:sz w:val="20"/>
          <w:szCs w:val="20"/>
        </w:rPr>
        <w:lastRenderedPageBreak/>
        <w:t>2024)</w:t>
      </w:r>
      <w:r w:rsidR="00E910F6" w:rsidRPr="009765E0">
        <w:rPr>
          <w:rFonts w:ascii="Verdana" w:hAnsi="Verdana"/>
          <w:sz w:val="20"/>
          <w:szCs w:val="20"/>
        </w:rPr>
        <w:t xml:space="preserve">. </w:t>
      </w:r>
      <w:r w:rsidRPr="009765E0">
        <w:rPr>
          <w:rFonts w:ascii="Verdana" w:hAnsi="Verdana"/>
          <w:sz w:val="20"/>
          <w:szCs w:val="20"/>
        </w:rPr>
        <w:t xml:space="preserve">From January 2024, changes were made to annual leave on how to calculate leave entitlement, and the carry over of excess leave. </w:t>
      </w:r>
      <w:r w:rsidR="00CA0BBE" w:rsidRPr="009765E0">
        <w:rPr>
          <w:rFonts w:ascii="Verdana" w:hAnsi="Verdana"/>
          <w:sz w:val="20"/>
          <w:szCs w:val="20"/>
        </w:rPr>
        <w:t xml:space="preserve">The EU time directive focused on using leave entitlement and had more limitations for carry over to following leave years (Daniels, 2024). On the other hand, there’s elements determined by the Court of Justice of the European Union pre-Brexit that are still incorporated in UK law today, such as </w:t>
      </w:r>
      <w:r w:rsidR="00CA0BBE" w:rsidRPr="009765E0">
        <w:rPr>
          <w:rFonts w:ascii="Verdana" w:hAnsi="Verdana"/>
          <w:i/>
          <w:iCs/>
          <w:sz w:val="20"/>
          <w:szCs w:val="20"/>
        </w:rPr>
        <w:t xml:space="preserve">Stringer Vs HMRC (2009) </w:t>
      </w:r>
      <w:r w:rsidR="00CA0BBE" w:rsidRPr="009765E0">
        <w:rPr>
          <w:rFonts w:ascii="Verdana" w:hAnsi="Verdana"/>
          <w:sz w:val="20"/>
          <w:szCs w:val="20"/>
        </w:rPr>
        <w:t>determined at the Court of Justice of the European Union that statutory annual leave allowance does continue to accrue during sickness absence</w:t>
      </w:r>
      <w:r w:rsidR="00C64640" w:rsidRPr="009765E0">
        <w:rPr>
          <w:rFonts w:ascii="Verdana" w:hAnsi="Verdana"/>
          <w:sz w:val="20"/>
          <w:szCs w:val="20"/>
        </w:rPr>
        <w:t xml:space="preserve"> (Daniels, 2024). </w:t>
      </w:r>
    </w:p>
    <w:p w14:paraId="23F95173" w14:textId="0F58193D" w:rsidR="003E0227" w:rsidRPr="009765E0" w:rsidRDefault="003E0227"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 xml:space="preserve">(AC 2.1) </w:t>
      </w:r>
    </w:p>
    <w:p w14:paraId="12CCA9C8" w14:textId="14AA70F0" w:rsidR="001C71C3" w:rsidRPr="009765E0" w:rsidRDefault="001C71C3" w:rsidP="00FC1ABB">
      <w:pPr>
        <w:spacing w:before="240" w:line="240" w:lineRule="auto"/>
        <w:rPr>
          <w:rFonts w:ascii="Verdana" w:hAnsi="Verdana"/>
          <w:sz w:val="20"/>
          <w:szCs w:val="20"/>
        </w:rPr>
      </w:pPr>
      <w:r w:rsidRPr="009765E0">
        <w:rPr>
          <w:rFonts w:ascii="Verdana" w:hAnsi="Verdana"/>
          <w:sz w:val="20"/>
          <w:szCs w:val="20"/>
        </w:rPr>
        <w:t xml:space="preserve">In most circumstances, when advertising for a role, the advert shouldn’t be aimed at one sex over another. Sex is a protected characteristic under the Equality Act 2010. Advertising for a man over a woman or vice versa would be considered direct discrimination </w:t>
      </w:r>
      <w:r w:rsidR="00E910F6" w:rsidRPr="009765E0">
        <w:rPr>
          <w:rFonts w:ascii="Verdana" w:hAnsi="Verdana"/>
          <w:sz w:val="20"/>
          <w:szCs w:val="20"/>
        </w:rPr>
        <w:t>as</w:t>
      </w:r>
      <w:r w:rsidRPr="009765E0">
        <w:rPr>
          <w:rFonts w:ascii="Verdana" w:hAnsi="Verdana"/>
          <w:sz w:val="20"/>
          <w:szCs w:val="20"/>
        </w:rPr>
        <w:t xml:space="preserve"> you’re treating someone less favourable because of their protected characteristic. This type of discrimination is not exclusive to current </w:t>
      </w:r>
      <w:proofErr w:type="gramStart"/>
      <w:r w:rsidRPr="009765E0">
        <w:rPr>
          <w:rFonts w:ascii="Verdana" w:hAnsi="Verdana"/>
          <w:sz w:val="20"/>
          <w:szCs w:val="20"/>
        </w:rPr>
        <w:t>employees, but</w:t>
      </w:r>
      <w:proofErr w:type="gramEnd"/>
      <w:r w:rsidRPr="009765E0">
        <w:rPr>
          <w:rFonts w:ascii="Verdana" w:hAnsi="Verdana"/>
          <w:sz w:val="20"/>
          <w:szCs w:val="20"/>
        </w:rPr>
        <w:t xml:space="preserve"> extend to applicants of a role as they could claim the process was discriminatory (Daniels, 2024). </w:t>
      </w:r>
      <w:r w:rsidR="00D44605" w:rsidRPr="009765E0">
        <w:rPr>
          <w:rFonts w:ascii="Verdana" w:hAnsi="Verdana"/>
          <w:sz w:val="20"/>
          <w:szCs w:val="20"/>
        </w:rPr>
        <w:t>An example case of</w:t>
      </w:r>
      <w:r w:rsidRPr="009765E0">
        <w:rPr>
          <w:rFonts w:ascii="Verdana" w:hAnsi="Verdana"/>
          <w:sz w:val="20"/>
          <w:szCs w:val="20"/>
        </w:rPr>
        <w:t xml:space="preserve"> discrimination due to sex during a recruitment process </w:t>
      </w:r>
      <w:r w:rsidR="00BB0C2E" w:rsidRPr="009765E0">
        <w:rPr>
          <w:rFonts w:ascii="Verdana" w:hAnsi="Verdana"/>
          <w:sz w:val="20"/>
          <w:szCs w:val="20"/>
        </w:rPr>
        <w:t>is</w:t>
      </w:r>
      <w:r w:rsidR="00D44605" w:rsidRPr="009765E0">
        <w:rPr>
          <w:rFonts w:ascii="Verdana" w:hAnsi="Verdana"/>
          <w:sz w:val="20"/>
          <w:szCs w:val="20"/>
        </w:rPr>
        <w:t xml:space="preserve"> </w:t>
      </w:r>
      <w:r w:rsidR="00D44605" w:rsidRPr="009765E0">
        <w:rPr>
          <w:rFonts w:ascii="Verdana" w:hAnsi="Verdana"/>
          <w:i/>
          <w:iCs/>
          <w:sz w:val="20"/>
          <w:szCs w:val="20"/>
        </w:rPr>
        <w:t xml:space="preserve">Amnesty International v Ahmed (2009) </w:t>
      </w:r>
      <w:r w:rsidR="00D44605" w:rsidRPr="009765E0">
        <w:rPr>
          <w:rFonts w:ascii="Verdana" w:hAnsi="Verdana"/>
          <w:sz w:val="20"/>
          <w:szCs w:val="20"/>
        </w:rPr>
        <w:t xml:space="preserve">where a female was not selected for a role due to her sex (Daniels, 2024). </w:t>
      </w:r>
    </w:p>
    <w:p w14:paraId="430C1591" w14:textId="5258E8C5" w:rsidR="00CB3696" w:rsidRPr="009765E0" w:rsidRDefault="00D44605" w:rsidP="00FC1ABB">
      <w:pPr>
        <w:spacing w:before="240" w:line="240" w:lineRule="auto"/>
        <w:rPr>
          <w:rFonts w:ascii="Verdana" w:hAnsi="Verdana"/>
          <w:sz w:val="20"/>
          <w:szCs w:val="20"/>
        </w:rPr>
      </w:pPr>
      <w:r w:rsidRPr="009765E0">
        <w:rPr>
          <w:rFonts w:ascii="Verdana" w:hAnsi="Verdana"/>
          <w:sz w:val="20"/>
          <w:szCs w:val="20"/>
        </w:rPr>
        <w:t>D</w:t>
      </w:r>
      <w:r w:rsidR="00721767" w:rsidRPr="009765E0">
        <w:rPr>
          <w:rFonts w:ascii="Verdana" w:hAnsi="Verdana"/>
          <w:sz w:val="20"/>
          <w:szCs w:val="20"/>
        </w:rPr>
        <w:t xml:space="preserve">uring the selection process should be a fair one with the same questions asked during the interview process and beyond. For example, a mother of 2 young children had her offer rescinded following a question about her children’s ages asked, ‘out of the blue’ (Brown, 2024). This is direct sex discrimination as a man would not have been asked the question initially, and was unlikely to lose an offer if he had the same answer once offered the role. </w:t>
      </w:r>
    </w:p>
    <w:p w14:paraId="7D45D8F3" w14:textId="4313D9B2" w:rsidR="00721767" w:rsidRPr="009765E0" w:rsidRDefault="00721767" w:rsidP="00FC1ABB">
      <w:pPr>
        <w:spacing w:before="240" w:line="240" w:lineRule="auto"/>
        <w:rPr>
          <w:rFonts w:ascii="Verdana" w:hAnsi="Verdana"/>
          <w:i/>
          <w:iCs/>
          <w:sz w:val="20"/>
          <w:szCs w:val="20"/>
        </w:rPr>
      </w:pPr>
      <w:r w:rsidRPr="009765E0">
        <w:rPr>
          <w:rFonts w:ascii="Verdana" w:hAnsi="Verdana"/>
          <w:sz w:val="20"/>
          <w:szCs w:val="20"/>
        </w:rPr>
        <w:t xml:space="preserve">There are instances </w:t>
      </w:r>
      <w:proofErr w:type="gramStart"/>
      <w:r w:rsidR="00745DF8" w:rsidRPr="009765E0">
        <w:rPr>
          <w:rFonts w:ascii="Verdana" w:hAnsi="Verdana"/>
          <w:sz w:val="20"/>
          <w:szCs w:val="20"/>
        </w:rPr>
        <w:t>where</w:t>
      </w:r>
      <w:proofErr w:type="gramEnd"/>
      <w:r w:rsidRPr="009765E0">
        <w:rPr>
          <w:rFonts w:ascii="Verdana" w:hAnsi="Verdana"/>
          <w:sz w:val="20"/>
          <w:szCs w:val="20"/>
        </w:rPr>
        <w:t xml:space="preserve"> asking for a specific characteristic is essential for the role.</w:t>
      </w:r>
      <w:r w:rsidR="00E90812" w:rsidRPr="009765E0">
        <w:rPr>
          <w:rFonts w:ascii="Verdana" w:hAnsi="Verdana"/>
          <w:sz w:val="20"/>
          <w:szCs w:val="20"/>
        </w:rPr>
        <w:t xml:space="preserve"> </w:t>
      </w:r>
      <w:r w:rsidRPr="009765E0">
        <w:rPr>
          <w:rFonts w:ascii="Verdana" w:hAnsi="Verdana"/>
          <w:sz w:val="20"/>
          <w:szCs w:val="20"/>
        </w:rPr>
        <w:t xml:space="preserve"> </w:t>
      </w:r>
      <w:r w:rsidR="00C45BD6" w:rsidRPr="009765E0">
        <w:rPr>
          <w:rFonts w:ascii="Verdana" w:hAnsi="Verdana"/>
          <w:sz w:val="20"/>
          <w:szCs w:val="20"/>
        </w:rPr>
        <w:t>Those working at a woman’s refuge, may need to be female to reduce trauma for those women fleeing an abusive male partner</w:t>
      </w:r>
      <w:r w:rsidR="00E90812" w:rsidRPr="009765E0">
        <w:rPr>
          <w:rFonts w:ascii="Verdana" w:hAnsi="Verdana"/>
          <w:sz w:val="20"/>
          <w:szCs w:val="20"/>
        </w:rPr>
        <w:t xml:space="preserve">. This would be an exception under the equality act 2010 as an occupational requirement (Equality and Human Rights Commission, 2021). </w:t>
      </w:r>
      <w:r w:rsidR="00D44605" w:rsidRPr="009765E0">
        <w:rPr>
          <w:rFonts w:ascii="Verdana" w:hAnsi="Verdana"/>
          <w:sz w:val="20"/>
          <w:szCs w:val="20"/>
        </w:rPr>
        <w:t xml:space="preserve">An occupational requirement is not the same as positive discrimination which is when an employer tries to increase the diversity by </w:t>
      </w:r>
      <w:r w:rsidR="00BB0C2E" w:rsidRPr="009765E0">
        <w:rPr>
          <w:rFonts w:ascii="Verdana" w:hAnsi="Verdana"/>
          <w:sz w:val="20"/>
          <w:szCs w:val="20"/>
        </w:rPr>
        <w:t>recruiting</w:t>
      </w:r>
      <w:r w:rsidR="00D44605" w:rsidRPr="009765E0">
        <w:rPr>
          <w:rFonts w:ascii="Verdana" w:hAnsi="Verdana"/>
          <w:sz w:val="20"/>
          <w:szCs w:val="20"/>
        </w:rPr>
        <w:t xml:space="preserve"> someone because they have a certain protected characteristic, which is unlawful like in </w:t>
      </w:r>
      <w:r w:rsidR="00D44605" w:rsidRPr="009765E0">
        <w:rPr>
          <w:rFonts w:ascii="Verdana" w:hAnsi="Verdana"/>
          <w:i/>
          <w:iCs/>
          <w:sz w:val="20"/>
          <w:szCs w:val="20"/>
        </w:rPr>
        <w:t>Furlong v Chief Constable of Cheshire Police (</w:t>
      </w:r>
      <w:proofErr w:type="gramStart"/>
      <w:r w:rsidR="00D44605" w:rsidRPr="009765E0">
        <w:rPr>
          <w:rFonts w:ascii="Verdana" w:hAnsi="Verdana"/>
          <w:i/>
          <w:iCs/>
          <w:sz w:val="20"/>
          <w:szCs w:val="20"/>
        </w:rPr>
        <w:t>2019)(</w:t>
      </w:r>
      <w:proofErr w:type="gramEnd"/>
      <w:r w:rsidR="00D44605" w:rsidRPr="009765E0">
        <w:rPr>
          <w:rFonts w:ascii="Verdana" w:hAnsi="Verdana"/>
          <w:i/>
          <w:iCs/>
          <w:sz w:val="20"/>
          <w:szCs w:val="20"/>
        </w:rPr>
        <w:t>CIPD, 2024b)</w:t>
      </w:r>
    </w:p>
    <w:p w14:paraId="093D8F6A" w14:textId="0F60D315" w:rsidR="003E0227" w:rsidRPr="009765E0" w:rsidRDefault="003E0227"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(AC 2.2)</w:t>
      </w:r>
    </w:p>
    <w:p w14:paraId="4BA47ACB" w14:textId="5F98F178" w:rsidR="00FE5BE4" w:rsidRPr="009765E0" w:rsidRDefault="00BB0C2E" w:rsidP="00FC1ABB">
      <w:pPr>
        <w:spacing w:before="240" w:line="240" w:lineRule="auto"/>
        <w:rPr>
          <w:rFonts w:ascii="Verdana" w:hAnsi="Verdana"/>
          <w:sz w:val="20"/>
          <w:szCs w:val="20"/>
        </w:rPr>
      </w:pPr>
      <w:r w:rsidRPr="009765E0">
        <w:rPr>
          <w:rFonts w:ascii="Verdana" w:hAnsi="Verdana"/>
          <w:sz w:val="20"/>
          <w:szCs w:val="20"/>
        </w:rPr>
        <w:t xml:space="preserve">It would not be advisable to </w:t>
      </w:r>
      <w:r w:rsidR="00FE5BE4" w:rsidRPr="009765E0">
        <w:rPr>
          <w:rFonts w:ascii="Verdana" w:hAnsi="Verdana"/>
          <w:sz w:val="20"/>
          <w:szCs w:val="20"/>
        </w:rPr>
        <w:t xml:space="preserve">approve the </w:t>
      </w:r>
      <w:r w:rsidRPr="009765E0">
        <w:rPr>
          <w:rFonts w:ascii="Verdana" w:hAnsi="Verdana"/>
          <w:sz w:val="20"/>
          <w:szCs w:val="20"/>
        </w:rPr>
        <w:t xml:space="preserve">increased salary for two male </w:t>
      </w:r>
      <w:r w:rsidRPr="009765E0">
        <w:rPr>
          <w:rFonts w:ascii="Verdana" w:hAnsi="Verdana"/>
          <w:sz w:val="20"/>
          <w:szCs w:val="20"/>
        </w:rPr>
        <w:t>Health Care Assistants</w:t>
      </w:r>
      <w:r w:rsidRPr="009765E0">
        <w:rPr>
          <w:rFonts w:ascii="Verdana" w:hAnsi="Verdana"/>
          <w:sz w:val="20"/>
          <w:szCs w:val="20"/>
        </w:rPr>
        <w:t xml:space="preserve"> (HCA’s)</w:t>
      </w:r>
      <w:r w:rsidR="00FE5BE4" w:rsidRPr="009765E0">
        <w:rPr>
          <w:rFonts w:ascii="Verdana" w:hAnsi="Verdana"/>
          <w:sz w:val="20"/>
          <w:szCs w:val="20"/>
        </w:rPr>
        <w:t xml:space="preserve"> based on the information provided.</w:t>
      </w:r>
      <w:r w:rsidR="00A71304" w:rsidRPr="009765E0">
        <w:rPr>
          <w:rFonts w:ascii="Verdana" w:hAnsi="Verdana"/>
          <w:sz w:val="20"/>
          <w:szCs w:val="20"/>
        </w:rPr>
        <w:t xml:space="preserve"> As equal pay is part of the Equality Act 2010, e</w:t>
      </w:r>
      <w:r w:rsidR="00FE5BE4" w:rsidRPr="009765E0">
        <w:rPr>
          <w:rFonts w:ascii="Verdana" w:hAnsi="Verdana"/>
          <w:sz w:val="20"/>
          <w:szCs w:val="20"/>
        </w:rPr>
        <w:t>very organisation has an obligation to equal pay</w:t>
      </w:r>
      <w:r w:rsidRPr="009765E0">
        <w:rPr>
          <w:rFonts w:ascii="Verdana" w:hAnsi="Verdana"/>
          <w:sz w:val="20"/>
          <w:szCs w:val="20"/>
        </w:rPr>
        <w:t>. W</w:t>
      </w:r>
      <w:r w:rsidR="00FE5BE4" w:rsidRPr="009765E0">
        <w:rPr>
          <w:rFonts w:ascii="Verdana" w:hAnsi="Verdana"/>
          <w:sz w:val="20"/>
          <w:szCs w:val="20"/>
        </w:rPr>
        <w:t xml:space="preserve">e must pay men and </w:t>
      </w:r>
      <w:r w:rsidR="00EB1F79" w:rsidRPr="009765E0">
        <w:rPr>
          <w:rFonts w:ascii="Verdana" w:hAnsi="Verdana"/>
          <w:sz w:val="20"/>
          <w:szCs w:val="20"/>
        </w:rPr>
        <w:t>women</w:t>
      </w:r>
      <w:r w:rsidR="00FE5BE4" w:rsidRPr="009765E0">
        <w:rPr>
          <w:rFonts w:ascii="Verdana" w:hAnsi="Verdana"/>
          <w:sz w:val="20"/>
          <w:szCs w:val="20"/>
        </w:rPr>
        <w:t xml:space="preserve"> in the same employment performing equal work to receive equal pay (CIPD, 2024</w:t>
      </w:r>
      <w:r w:rsidR="005B0ADB" w:rsidRPr="009765E0">
        <w:rPr>
          <w:rFonts w:ascii="Verdana" w:hAnsi="Verdana"/>
          <w:sz w:val="20"/>
          <w:szCs w:val="20"/>
        </w:rPr>
        <w:t>c</w:t>
      </w:r>
      <w:r w:rsidR="00FE5BE4" w:rsidRPr="009765E0">
        <w:rPr>
          <w:rFonts w:ascii="Verdana" w:hAnsi="Verdana"/>
          <w:sz w:val="20"/>
          <w:szCs w:val="20"/>
        </w:rPr>
        <w:t>).</w:t>
      </w:r>
      <w:r w:rsidR="00EB1F79" w:rsidRPr="009765E0">
        <w:rPr>
          <w:rFonts w:ascii="Verdana" w:hAnsi="Verdana"/>
          <w:sz w:val="20"/>
          <w:szCs w:val="20"/>
        </w:rPr>
        <w:t xml:space="preserve"> </w:t>
      </w:r>
    </w:p>
    <w:p w14:paraId="6374BD09" w14:textId="10C9B830" w:rsidR="00B9545F" w:rsidRPr="009765E0" w:rsidRDefault="00B9545F" w:rsidP="00FC1ABB">
      <w:pPr>
        <w:spacing w:before="240" w:line="240" w:lineRule="auto"/>
        <w:rPr>
          <w:rFonts w:ascii="Verdana" w:hAnsi="Verdana"/>
          <w:sz w:val="20"/>
          <w:szCs w:val="20"/>
        </w:rPr>
      </w:pPr>
      <w:r w:rsidRPr="009765E0">
        <w:rPr>
          <w:rFonts w:ascii="Verdana" w:hAnsi="Verdana"/>
          <w:sz w:val="20"/>
          <w:szCs w:val="20"/>
        </w:rPr>
        <w:t>If</w:t>
      </w:r>
      <w:r w:rsidR="00A71304" w:rsidRPr="009765E0">
        <w:rPr>
          <w:rFonts w:ascii="Verdana" w:hAnsi="Verdana"/>
          <w:sz w:val="20"/>
          <w:szCs w:val="20"/>
        </w:rPr>
        <w:t xml:space="preserve"> the two male </w:t>
      </w:r>
      <w:proofErr w:type="gramStart"/>
      <w:r w:rsidR="00A71304" w:rsidRPr="009765E0">
        <w:rPr>
          <w:rFonts w:ascii="Verdana" w:hAnsi="Verdana"/>
          <w:sz w:val="20"/>
          <w:szCs w:val="20"/>
        </w:rPr>
        <w:t>HCA’s</w:t>
      </w:r>
      <w:proofErr w:type="gramEnd"/>
      <w:r w:rsidR="00A71304" w:rsidRPr="009765E0">
        <w:rPr>
          <w:rFonts w:ascii="Verdana" w:hAnsi="Verdana"/>
          <w:sz w:val="20"/>
          <w:szCs w:val="20"/>
        </w:rPr>
        <w:t xml:space="preserve"> were given a pay rise</w:t>
      </w:r>
      <w:r w:rsidRPr="009765E0">
        <w:rPr>
          <w:rFonts w:ascii="Verdana" w:hAnsi="Verdana"/>
          <w:sz w:val="20"/>
          <w:szCs w:val="20"/>
        </w:rPr>
        <w:t>,</w:t>
      </w:r>
      <w:r w:rsidR="00A71304" w:rsidRPr="009765E0">
        <w:rPr>
          <w:rFonts w:ascii="Verdana" w:hAnsi="Verdana"/>
          <w:sz w:val="20"/>
          <w:szCs w:val="20"/>
        </w:rPr>
        <w:t xml:space="preserve"> the females doing the same role could bring an equal pay claim against the organisation saying that they are doing work of equal value and use the two male individual as a comparator</w:t>
      </w:r>
      <w:r w:rsidRPr="009765E0">
        <w:rPr>
          <w:rFonts w:ascii="Verdana" w:hAnsi="Verdana"/>
          <w:sz w:val="20"/>
          <w:szCs w:val="20"/>
        </w:rPr>
        <w:t xml:space="preserve"> (</w:t>
      </w:r>
      <w:r w:rsidRPr="009765E0">
        <w:rPr>
          <w:rFonts w:ascii="Verdana" w:hAnsi="Verdana"/>
          <w:i/>
          <w:iCs/>
          <w:sz w:val="20"/>
          <w:szCs w:val="20"/>
        </w:rPr>
        <w:t xml:space="preserve">Capper Pass vs Lawton, 1977). </w:t>
      </w:r>
      <w:r w:rsidR="00044223" w:rsidRPr="009765E0">
        <w:rPr>
          <w:rFonts w:ascii="Verdana" w:hAnsi="Verdana"/>
          <w:sz w:val="20"/>
          <w:szCs w:val="20"/>
        </w:rPr>
        <w:t>It would be up to the organisation to show that the two male individuals are doing work that is</w:t>
      </w:r>
      <w:r w:rsidRPr="009765E0">
        <w:rPr>
          <w:rFonts w:ascii="Verdana" w:hAnsi="Verdana"/>
          <w:sz w:val="20"/>
          <w:szCs w:val="20"/>
        </w:rPr>
        <w:t xml:space="preserve"> not</w:t>
      </w:r>
      <w:r w:rsidR="00044223" w:rsidRPr="009765E0">
        <w:rPr>
          <w:rFonts w:ascii="Verdana" w:hAnsi="Verdana"/>
          <w:sz w:val="20"/>
          <w:szCs w:val="20"/>
        </w:rPr>
        <w:t xml:space="preserve"> like for like, </w:t>
      </w:r>
      <w:r w:rsidRPr="009765E0">
        <w:rPr>
          <w:rFonts w:ascii="Verdana" w:hAnsi="Verdana"/>
          <w:sz w:val="20"/>
          <w:szCs w:val="20"/>
        </w:rPr>
        <w:t xml:space="preserve">or </w:t>
      </w:r>
      <w:r w:rsidR="00044223" w:rsidRPr="009765E0">
        <w:rPr>
          <w:rFonts w:ascii="Verdana" w:hAnsi="Verdana"/>
          <w:sz w:val="20"/>
          <w:szCs w:val="20"/>
        </w:rPr>
        <w:t>of equal value and be able to explain the legitimate reasons they have received a pay increase. Currently, the reasoning that there is a surplus of money isn’t enough to justify why the male employees have received the additional salary</w:t>
      </w:r>
      <w:r w:rsidRPr="009765E0">
        <w:rPr>
          <w:rFonts w:ascii="Verdana" w:hAnsi="Verdana"/>
          <w:sz w:val="20"/>
          <w:szCs w:val="20"/>
        </w:rPr>
        <w:t xml:space="preserve"> (Daniels, 2024). There must be a material factor as to why the male employees are getting paid more than the female employees doing equal work. This can include </w:t>
      </w:r>
      <w:r w:rsidR="00121F6E" w:rsidRPr="009765E0">
        <w:rPr>
          <w:rFonts w:ascii="Verdana" w:hAnsi="Verdana"/>
          <w:sz w:val="20"/>
          <w:szCs w:val="20"/>
        </w:rPr>
        <w:t>recruitment</w:t>
      </w:r>
      <w:r w:rsidRPr="009765E0">
        <w:rPr>
          <w:rFonts w:ascii="Verdana" w:hAnsi="Verdana"/>
          <w:sz w:val="20"/>
          <w:szCs w:val="20"/>
        </w:rPr>
        <w:t xml:space="preserve"> difficulties, skills shortage, experience, shift work. In this case, if the reasoning for the increased salary for the male employees is because occupational requirements of </w:t>
      </w:r>
      <w:proofErr w:type="gramStart"/>
      <w:r w:rsidRPr="009765E0">
        <w:rPr>
          <w:rFonts w:ascii="Verdana" w:hAnsi="Verdana"/>
          <w:sz w:val="20"/>
          <w:szCs w:val="20"/>
        </w:rPr>
        <w:t>HCA’s</w:t>
      </w:r>
      <w:proofErr w:type="gramEnd"/>
      <w:r w:rsidRPr="009765E0">
        <w:rPr>
          <w:rFonts w:ascii="Verdana" w:hAnsi="Verdana"/>
          <w:sz w:val="20"/>
          <w:szCs w:val="20"/>
        </w:rPr>
        <w:t xml:space="preserve"> </w:t>
      </w:r>
      <w:r w:rsidR="00BB0C2E" w:rsidRPr="009765E0">
        <w:rPr>
          <w:rFonts w:ascii="Verdana" w:hAnsi="Verdana"/>
          <w:sz w:val="20"/>
          <w:szCs w:val="20"/>
        </w:rPr>
        <w:t xml:space="preserve">as there </w:t>
      </w:r>
      <w:r w:rsidRPr="009765E0">
        <w:rPr>
          <w:rFonts w:ascii="Verdana" w:hAnsi="Verdana"/>
          <w:sz w:val="20"/>
          <w:szCs w:val="20"/>
        </w:rPr>
        <w:t xml:space="preserve">is </w:t>
      </w:r>
      <w:r w:rsidR="00BB0C2E" w:rsidRPr="009765E0">
        <w:rPr>
          <w:rFonts w:ascii="Verdana" w:hAnsi="Verdana"/>
          <w:sz w:val="20"/>
          <w:szCs w:val="20"/>
        </w:rPr>
        <w:t>a</w:t>
      </w:r>
      <w:r w:rsidRPr="009765E0">
        <w:rPr>
          <w:rFonts w:ascii="Verdana" w:hAnsi="Verdana"/>
          <w:sz w:val="20"/>
          <w:szCs w:val="20"/>
        </w:rPr>
        <w:t xml:space="preserve"> need for male staff for male clients, and there’s a </w:t>
      </w:r>
      <w:r w:rsidR="00BB0C2E" w:rsidRPr="009765E0">
        <w:rPr>
          <w:rFonts w:ascii="Verdana" w:hAnsi="Verdana"/>
          <w:sz w:val="20"/>
          <w:szCs w:val="20"/>
        </w:rPr>
        <w:lastRenderedPageBreak/>
        <w:t xml:space="preserve">current </w:t>
      </w:r>
      <w:r w:rsidRPr="009765E0">
        <w:rPr>
          <w:rFonts w:ascii="Verdana" w:hAnsi="Verdana"/>
          <w:sz w:val="20"/>
          <w:szCs w:val="20"/>
        </w:rPr>
        <w:t xml:space="preserve">shortage, then it could potentially be reasoned that they’re on an increased salary for </w:t>
      </w:r>
      <w:r w:rsidR="00BB0C2E" w:rsidRPr="009765E0">
        <w:rPr>
          <w:rFonts w:ascii="Verdana" w:hAnsi="Verdana"/>
          <w:sz w:val="20"/>
          <w:szCs w:val="20"/>
        </w:rPr>
        <w:t>retention and skills shortage purpose</w:t>
      </w:r>
      <w:r w:rsidR="00121F6E" w:rsidRPr="009765E0">
        <w:rPr>
          <w:rFonts w:ascii="Verdana" w:hAnsi="Verdana"/>
          <w:sz w:val="20"/>
          <w:szCs w:val="20"/>
        </w:rPr>
        <w:t xml:space="preserve"> (Equality and Human Rights commission, 2016).</w:t>
      </w:r>
      <w:r w:rsidRPr="009765E0">
        <w:rPr>
          <w:rFonts w:ascii="Verdana" w:hAnsi="Verdana"/>
          <w:sz w:val="20"/>
          <w:szCs w:val="20"/>
        </w:rPr>
        <w:t xml:space="preserve"> This would have to be continuously reviewed and there’s a risk this would not be accepted as enough of a reasoning for the </w:t>
      </w:r>
      <w:r w:rsidR="00121F6E" w:rsidRPr="009765E0">
        <w:rPr>
          <w:rFonts w:ascii="Verdana" w:hAnsi="Verdana"/>
          <w:sz w:val="20"/>
          <w:szCs w:val="20"/>
        </w:rPr>
        <w:t>tribunal;</w:t>
      </w:r>
      <w:r w:rsidRPr="009765E0">
        <w:rPr>
          <w:rFonts w:ascii="Verdana" w:hAnsi="Verdana"/>
          <w:sz w:val="20"/>
          <w:szCs w:val="20"/>
        </w:rPr>
        <w:t xml:space="preserve"> </w:t>
      </w:r>
      <w:proofErr w:type="gramStart"/>
      <w:r w:rsidRPr="009765E0">
        <w:rPr>
          <w:rFonts w:ascii="Verdana" w:hAnsi="Verdana"/>
          <w:sz w:val="20"/>
          <w:szCs w:val="20"/>
        </w:rPr>
        <w:t>therefore</w:t>
      </w:r>
      <w:proofErr w:type="gramEnd"/>
      <w:r w:rsidRPr="009765E0">
        <w:rPr>
          <w:rFonts w:ascii="Verdana" w:hAnsi="Verdana"/>
          <w:sz w:val="20"/>
          <w:szCs w:val="20"/>
        </w:rPr>
        <w:t xml:space="preserve"> we’d recommend against this unless absolutely necessary. </w:t>
      </w:r>
    </w:p>
    <w:p w14:paraId="1FE025F5" w14:textId="550A3ECB" w:rsidR="00EB1F79" w:rsidRPr="009765E0" w:rsidRDefault="00EB1F79" w:rsidP="00FC1ABB">
      <w:pPr>
        <w:spacing w:before="240" w:line="240" w:lineRule="auto"/>
        <w:rPr>
          <w:rFonts w:ascii="Verdana" w:hAnsi="Verdana"/>
          <w:i/>
          <w:iCs/>
          <w:sz w:val="20"/>
          <w:szCs w:val="20"/>
        </w:rPr>
      </w:pPr>
      <w:r w:rsidRPr="009765E0">
        <w:rPr>
          <w:rFonts w:ascii="Verdana" w:hAnsi="Verdana"/>
          <w:sz w:val="20"/>
          <w:szCs w:val="20"/>
        </w:rPr>
        <w:t xml:space="preserve">If there are 2 vacancies on a grade B available, then we’d suggest advertising the role internally and make it open to all </w:t>
      </w:r>
      <w:proofErr w:type="gramStart"/>
      <w:r w:rsidRPr="009765E0">
        <w:rPr>
          <w:rFonts w:ascii="Verdana" w:hAnsi="Verdana"/>
          <w:sz w:val="20"/>
          <w:szCs w:val="20"/>
        </w:rPr>
        <w:t>HCA’s</w:t>
      </w:r>
      <w:proofErr w:type="gramEnd"/>
      <w:r w:rsidRPr="009765E0">
        <w:rPr>
          <w:rFonts w:ascii="Verdana" w:hAnsi="Verdana"/>
          <w:sz w:val="20"/>
          <w:szCs w:val="20"/>
        </w:rPr>
        <w:t xml:space="preserve"> on a grade A to apply and follow a fair recruitment process. We’d recommend that all applicants are required to </w:t>
      </w:r>
      <w:proofErr w:type="gramStart"/>
      <w:r w:rsidRPr="009765E0">
        <w:rPr>
          <w:rFonts w:ascii="Verdana" w:hAnsi="Verdana"/>
          <w:sz w:val="20"/>
          <w:szCs w:val="20"/>
        </w:rPr>
        <w:t>submit an application</w:t>
      </w:r>
      <w:proofErr w:type="gramEnd"/>
      <w:r w:rsidRPr="009765E0">
        <w:rPr>
          <w:rFonts w:ascii="Verdana" w:hAnsi="Verdana"/>
          <w:sz w:val="20"/>
          <w:szCs w:val="20"/>
        </w:rPr>
        <w:t xml:space="preserve"> form and subject to interview with a </w:t>
      </w:r>
      <w:r w:rsidR="00A71304" w:rsidRPr="009765E0">
        <w:rPr>
          <w:rFonts w:ascii="Verdana" w:hAnsi="Verdana"/>
          <w:sz w:val="20"/>
          <w:szCs w:val="20"/>
        </w:rPr>
        <w:t>retreatment</w:t>
      </w:r>
      <w:r w:rsidRPr="009765E0">
        <w:rPr>
          <w:rFonts w:ascii="Verdana" w:hAnsi="Verdana"/>
          <w:sz w:val="20"/>
          <w:szCs w:val="20"/>
        </w:rPr>
        <w:t xml:space="preserve"> panel with at least 2</w:t>
      </w:r>
      <w:r w:rsidR="00BB0C2E" w:rsidRPr="009765E0">
        <w:rPr>
          <w:rFonts w:ascii="Verdana" w:hAnsi="Verdana"/>
          <w:sz w:val="20"/>
          <w:szCs w:val="20"/>
        </w:rPr>
        <w:t xml:space="preserve"> individuals, ideally male and female to reduce the likelihood of unconscious bias</w:t>
      </w:r>
      <w:r w:rsidRPr="009765E0">
        <w:rPr>
          <w:rFonts w:ascii="Verdana" w:hAnsi="Verdana"/>
          <w:sz w:val="20"/>
          <w:szCs w:val="20"/>
        </w:rPr>
        <w:t>. This way we can show that the 2 who receive the grade B are awarded on merit</w:t>
      </w:r>
      <w:r w:rsidR="005B0ADB" w:rsidRPr="009765E0">
        <w:rPr>
          <w:rFonts w:ascii="Verdana" w:hAnsi="Verdana"/>
          <w:sz w:val="20"/>
          <w:szCs w:val="20"/>
        </w:rPr>
        <w:t xml:space="preserve"> </w:t>
      </w:r>
      <w:r w:rsidR="00E171B7" w:rsidRPr="009765E0">
        <w:rPr>
          <w:rFonts w:ascii="Verdana" w:hAnsi="Verdana"/>
          <w:sz w:val="20"/>
          <w:szCs w:val="20"/>
        </w:rPr>
        <w:t>(</w:t>
      </w:r>
      <w:r w:rsidR="005B0ADB" w:rsidRPr="009765E0">
        <w:rPr>
          <w:rFonts w:ascii="Verdana" w:hAnsi="Verdana"/>
          <w:sz w:val="20"/>
          <w:szCs w:val="20"/>
        </w:rPr>
        <w:t xml:space="preserve">CIPD, 2024d). </w:t>
      </w:r>
    </w:p>
    <w:p w14:paraId="7063A78E" w14:textId="1407F84E" w:rsidR="003E0227" w:rsidRPr="009765E0" w:rsidRDefault="003E0227"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 xml:space="preserve">(AC 3.1)    </w:t>
      </w:r>
    </w:p>
    <w:p w14:paraId="25E7E95E" w14:textId="25079040" w:rsidR="00121F6E" w:rsidRPr="009765E0" w:rsidRDefault="00121F6E" w:rsidP="00FC1ABB">
      <w:pPr>
        <w:spacing w:before="240" w:line="240" w:lineRule="auto"/>
        <w:rPr>
          <w:rFonts w:ascii="Verdana" w:hAnsi="Verdana"/>
          <w:sz w:val="20"/>
          <w:szCs w:val="20"/>
        </w:rPr>
      </w:pPr>
      <w:r w:rsidRPr="009765E0">
        <w:rPr>
          <w:rFonts w:ascii="Verdana" w:hAnsi="Verdana"/>
          <w:sz w:val="20"/>
          <w:szCs w:val="20"/>
        </w:rPr>
        <w:t xml:space="preserve">Constructive dismissal is when an employee resigns from an organisation because they think their employment contract has been breached. Reasons could include issues relating to pay, time off, hours worked, treatment while at work, or an event that </w:t>
      </w:r>
      <w:r w:rsidR="005B0ADB" w:rsidRPr="009765E0">
        <w:rPr>
          <w:rFonts w:ascii="Verdana" w:hAnsi="Verdana"/>
          <w:sz w:val="20"/>
          <w:szCs w:val="20"/>
        </w:rPr>
        <w:t xml:space="preserve">left them with little or no other option other than to </w:t>
      </w:r>
      <w:r w:rsidRPr="009765E0">
        <w:rPr>
          <w:rFonts w:ascii="Verdana" w:hAnsi="Verdana"/>
          <w:sz w:val="20"/>
          <w:szCs w:val="20"/>
        </w:rPr>
        <w:t>resign (ACAS, 2024</w:t>
      </w:r>
      <w:r w:rsidR="005B0ADB" w:rsidRPr="009765E0">
        <w:rPr>
          <w:rFonts w:ascii="Verdana" w:hAnsi="Verdana"/>
          <w:sz w:val="20"/>
          <w:szCs w:val="20"/>
        </w:rPr>
        <w:t>a</w:t>
      </w:r>
      <w:r w:rsidRPr="009765E0">
        <w:rPr>
          <w:rFonts w:ascii="Verdana" w:hAnsi="Verdana"/>
          <w:sz w:val="20"/>
          <w:szCs w:val="20"/>
        </w:rPr>
        <w:t xml:space="preserve">). To make a claim, they </w:t>
      </w:r>
      <w:r w:rsidR="002B3E77" w:rsidRPr="009765E0">
        <w:rPr>
          <w:rFonts w:ascii="Verdana" w:hAnsi="Verdana"/>
          <w:sz w:val="20"/>
          <w:szCs w:val="20"/>
        </w:rPr>
        <w:t>must</w:t>
      </w:r>
      <w:r w:rsidRPr="009765E0">
        <w:rPr>
          <w:rFonts w:ascii="Verdana" w:hAnsi="Verdana"/>
          <w:sz w:val="20"/>
          <w:szCs w:val="20"/>
        </w:rPr>
        <w:t xml:space="preserve"> be an employee and have 2 years of continuous service. They then have 3 months minus 1 day to make a claim of constructive dismissal. If they worked their notice, this would be from the last day of their notice, or the day they resigned if they left with no notice</w:t>
      </w:r>
      <w:r w:rsidR="002B3E77" w:rsidRPr="009765E0">
        <w:rPr>
          <w:rFonts w:ascii="Verdana" w:hAnsi="Verdana"/>
          <w:sz w:val="20"/>
          <w:szCs w:val="20"/>
        </w:rPr>
        <w:t xml:space="preserve"> (</w:t>
      </w:r>
      <w:r w:rsidR="005B0ADB" w:rsidRPr="009765E0">
        <w:rPr>
          <w:rFonts w:ascii="Verdana" w:hAnsi="Verdana"/>
          <w:sz w:val="20"/>
          <w:szCs w:val="20"/>
        </w:rPr>
        <w:t>ACAS</w:t>
      </w:r>
      <w:r w:rsidR="002B3E77" w:rsidRPr="009765E0">
        <w:rPr>
          <w:rFonts w:ascii="Verdana" w:hAnsi="Verdana"/>
          <w:sz w:val="20"/>
          <w:szCs w:val="20"/>
        </w:rPr>
        <w:t>, 2024</w:t>
      </w:r>
      <w:r w:rsidR="005B0ADB" w:rsidRPr="009765E0">
        <w:rPr>
          <w:rFonts w:ascii="Verdana" w:hAnsi="Verdana"/>
          <w:sz w:val="20"/>
          <w:szCs w:val="20"/>
        </w:rPr>
        <w:t>a</w:t>
      </w:r>
      <w:r w:rsidR="002B3E77" w:rsidRPr="009765E0">
        <w:rPr>
          <w:rFonts w:ascii="Verdana" w:hAnsi="Verdana"/>
          <w:sz w:val="20"/>
          <w:szCs w:val="20"/>
        </w:rPr>
        <w:t xml:space="preserve">). If they don’t meet these conditions, they won’t be able to bring a claim to the tribunal. </w:t>
      </w:r>
      <w:r w:rsidR="00AC5912" w:rsidRPr="009765E0">
        <w:rPr>
          <w:rFonts w:ascii="Verdana" w:hAnsi="Verdana"/>
          <w:sz w:val="20"/>
          <w:szCs w:val="20"/>
        </w:rPr>
        <w:t xml:space="preserve">There also needs to be a resignation closely following the change made by the employer to constitute unfair dismissal (Daniels, 2024). </w:t>
      </w:r>
    </w:p>
    <w:p w14:paraId="2C09AAE3" w14:textId="2E2EEF5F" w:rsidR="00BC0230" w:rsidRPr="009765E0" w:rsidRDefault="002B3E77" w:rsidP="00FC1ABB">
      <w:pPr>
        <w:spacing w:before="240" w:line="240" w:lineRule="auto"/>
        <w:rPr>
          <w:rFonts w:ascii="Verdana" w:hAnsi="Verdana"/>
          <w:sz w:val="20"/>
          <w:szCs w:val="20"/>
        </w:rPr>
      </w:pPr>
      <w:r w:rsidRPr="009765E0">
        <w:rPr>
          <w:rFonts w:ascii="Verdana" w:hAnsi="Verdana"/>
          <w:sz w:val="20"/>
          <w:szCs w:val="20"/>
        </w:rPr>
        <w:t>The reasoning behind the suspicion that he may bring a claim</w:t>
      </w:r>
      <w:r w:rsidR="00AC5912" w:rsidRPr="009765E0">
        <w:rPr>
          <w:rFonts w:ascii="Verdana" w:hAnsi="Verdana"/>
          <w:sz w:val="20"/>
          <w:szCs w:val="20"/>
        </w:rPr>
        <w:t xml:space="preserve"> of constructive dismissal</w:t>
      </w:r>
      <w:r w:rsidRPr="009765E0">
        <w:rPr>
          <w:rFonts w:ascii="Verdana" w:hAnsi="Verdana"/>
          <w:sz w:val="20"/>
          <w:szCs w:val="20"/>
        </w:rPr>
        <w:t xml:space="preserve"> is </w:t>
      </w:r>
      <w:r w:rsidR="00AC5912" w:rsidRPr="009765E0">
        <w:rPr>
          <w:rFonts w:ascii="Verdana" w:hAnsi="Verdana"/>
          <w:sz w:val="20"/>
          <w:szCs w:val="20"/>
        </w:rPr>
        <w:t xml:space="preserve">due to </w:t>
      </w:r>
      <w:r w:rsidRPr="009765E0">
        <w:rPr>
          <w:rFonts w:ascii="Verdana" w:hAnsi="Verdana"/>
          <w:sz w:val="20"/>
          <w:szCs w:val="20"/>
        </w:rPr>
        <w:t xml:space="preserve">the </w:t>
      </w:r>
      <w:r w:rsidR="00AC5912" w:rsidRPr="009765E0">
        <w:rPr>
          <w:rFonts w:ascii="Verdana" w:hAnsi="Verdana"/>
          <w:sz w:val="20"/>
          <w:szCs w:val="20"/>
        </w:rPr>
        <w:t xml:space="preserve">recent </w:t>
      </w:r>
      <w:r w:rsidRPr="009765E0">
        <w:rPr>
          <w:rFonts w:ascii="Verdana" w:hAnsi="Verdana"/>
          <w:sz w:val="20"/>
          <w:szCs w:val="20"/>
        </w:rPr>
        <w:t xml:space="preserve">change to his working hours. This could be considered a breach of contract if the changes made were unreasonable, they were bullied into changing their hours, or that </w:t>
      </w:r>
      <w:r w:rsidR="005B0ADB" w:rsidRPr="009765E0">
        <w:rPr>
          <w:rFonts w:ascii="Verdana" w:hAnsi="Verdana"/>
          <w:sz w:val="20"/>
          <w:szCs w:val="20"/>
        </w:rPr>
        <w:t>it</w:t>
      </w:r>
      <w:r w:rsidRPr="009765E0">
        <w:rPr>
          <w:rFonts w:ascii="Verdana" w:hAnsi="Verdana"/>
          <w:sz w:val="20"/>
          <w:szCs w:val="20"/>
        </w:rPr>
        <w:t xml:space="preserve"> put them at a</w:t>
      </w:r>
      <w:r w:rsidR="005B0ADB" w:rsidRPr="009765E0">
        <w:rPr>
          <w:rFonts w:ascii="Verdana" w:hAnsi="Verdana"/>
          <w:sz w:val="20"/>
          <w:szCs w:val="20"/>
        </w:rPr>
        <w:t xml:space="preserve"> </w:t>
      </w:r>
      <w:r w:rsidRPr="009765E0">
        <w:rPr>
          <w:rFonts w:ascii="Verdana" w:hAnsi="Verdana"/>
          <w:sz w:val="20"/>
          <w:szCs w:val="20"/>
        </w:rPr>
        <w:t>disadvantage and somehow discriminatory. (ACAS, 2024</w:t>
      </w:r>
      <w:r w:rsidR="005B0ADB" w:rsidRPr="009765E0">
        <w:rPr>
          <w:rFonts w:ascii="Verdana" w:hAnsi="Verdana"/>
          <w:sz w:val="20"/>
          <w:szCs w:val="20"/>
        </w:rPr>
        <w:t>a</w:t>
      </w:r>
      <w:r w:rsidRPr="009765E0">
        <w:rPr>
          <w:rFonts w:ascii="Verdana" w:hAnsi="Verdana"/>
          <w:sz w:val="20"/>
          <w:szCs w:val="20"/>
        </w:rPr>
        <w:t xml:space="preserve">). If the change in hours was across the department or organisation then there should have been a consultation, and if he worked those hours without protest prior to his resignation, we </w:t>
      </w:r>
      <w:r w:rsidR="00AC5912" w:rsidRPr="009765E0">
        <w:rPr>
          <w:rFonts w:ascii="Verdana" w:hAnsi="Verdana"/>
          <w:sz w:val="20"/>
          <w:szCs w:val="20"/>
        </w:rPr>
        <w:t>could</w:t>
      </w:r>
      <w:r w:rsidRPr="009765E0">
        <w:rPr>
          <w:rFonts w:ascii="Verdana" w:hAnsi="Verdana"/>
          <w:sz w:val="20"/>
          <w:szCs w:val="20"/>
        </w:rPr>
        <w:t xml:space="preserve"> assume he agreed to the changes made (Daniels, 2024)</w:t>
      </w:r>
      <w:r w:rsidR="00AC5912" w:rsidRPr="009765E0">
        <w:rPr>
          <w:rFonts w:ascii="Verdana" w:hAnsi="Verdana"/>
          <w:sz w:val="20"/>
          <w:szCs w:val="20"/>
        </w:rPr>
        <w:t xml:space="preserve">. If he raised issue with the hours changed or made any grievances, and the organisation still pursed with the new hours, he may have a claim </w:t>
      </w:r>
      <w:proofErr w:type="gramStart"/>
      <w:r w:rsidR="00AC5912" w:rsidRPr="009765E0">
        <w:rPr>
          <w:rFonts w:ascii="Verdana" w:hAnsi="Verdana"/>
          <w:sz w:val="20"/>
          <w:szCs w:val="20"/>
        </w:rPr>
        <w:t>as long as</w:t>
      </w:r>
      <w:proofErr w:type="gramEnd"/>
      <w:r w:rsidR="00AC5912" w:rsidRPr="009765E0">
        <w:rPr>
          <w:rFonts w:ascii="Verdana" w:hAnsi="Verdana"/>
          <w:sz w:val="20"/>
          <w:szCs w:val="20"/>
        </w:rPr>
        <w:t xml:space="preserve"> there</w:t>
      </w:r>
      <w:r w:rsidR="005B0ADB" w:rsidRPr="009765E0">
        <w:rPr>
          <w:rFonts w:ascii="Verdana" w:hAnsi="Verdana"/>
          <w:sz w:val="20"/>
          <w:szCs w:val="20"/>
        </w:rPr>
        <w:t>’</w:t>
      </w:r>
      <w:r w:rsidR="00AC5912" w:rsidRPr="009765E0">
        <w:rPr>
          <w:rFonts w:ascii="Verdana" w:hAnsi="Verdana"/>
          <w:sz w:val="20"/>
          <w:szCs w:val="20"/>
        </w:rPr>
        <w:t xml:space="preserve">s no business reason his hours could have remained the same (Daniels, 2024). </w:t>
      </w:r>
      <w:r w:rsidR="00BC0230" w:rsidRPr="009765E0">
        <w:rPr>
          <w:rFonts w:ascii="Verdana" w:hAnsi="Verdana"/>
          <w:sz w:val="20"/>
          <w:szCs w:val="20"/>
        </w:rPr>
        <w:t>If the individual made a flexible working request to amend his hours following the initial change, then the request should follow the flexible working rules where the request can only be rejected for legitimate business reasons (CIPD, 2024</w:t>
      </w:r>
      <w:r w:rsidR="005B0ADB" w:rsidRPr="009765E0">
        <w:rPr>
          <w:rFonts w:ascii="Verdana" w:hAnsi="Verdana"/>
          <w:sz w:val="20"/>
          <w:szCs w:val="20"/>
        </w:rPr>
        <w:t>e</w:t>
      </w:r>
      <w:r w:rsidR="00BC0230" w:rsidRPr="009765E0">
        <w:rPr>
          <w:rFonts w:ascii="Verdana" w:hAnsi="Verdana"/>
          <w:sz w:val="20"/>
          <w:szCs w:val="20"/>
        </w:rPr>
        <w:t>). It’s also worth considering the reasons behind his objection to the change, and whether they were not suitable due to caregiving responsibilities for dependents, that could amount to indirect discrimination (Daniels, 2024) or whether there were any females who had their hours amended or remained the same due to caregiving responsibilities</w:t>
      </w:r>
      <w:r w:rsidR="00656EA0" w:rsidRPr="009765E0">
        <w:rPr>
          <w:rFonts w:ascii="Verdana" w:hAnsi="Verdana"/>
          <w:sz w:val="20"/>
          <w:szCs w:val="20"/>
        </w:rPr>
        <w:t>. If t</w:t>
      </w:r>
      <w:r w:rsidR="00BC0230" w:rsidRPr="009765E0">
        <w:rPr>
          <w:rFonts w:ascii="Verdana" w:hAnsi="Verdana"/>
          <w:sz w:val="20"/>
          <w:szCs w:val="20"/>
        </w:rPr>
        <w:t xml:space="preserve">his person might have </w:t>
      </w:r>
      <w:r w:rsidR="00656EA0" w:rsidRPr="009765E0">
        <w:rPr>
          <w:rFonts w:ascii="Verdana" w:hAnsi="Verdana"/>
          <w:sz w:val="20"/>
          <w:szCs w:val="20"/>
        </w:rPr>
        <w:t>had a flexible working request</w:t>
      </w:r>
      <w:r w:rsidR="00BC0230" w:rsidRPr="009765E0">
        <w:rPr>
          <w:rFonts w:ascii="Verdana" w:hAnsi="Verdana"/>
          <w:sz w:val="20"/>
          <w:szCs w:val="20"/>
        </w:rPr>
        <w:t xml:space="preserve"> rejected under the assumption that as a </w:t>
      </w:r>
      <w:r w:rsidR="00656EA0" w:rsidRPr="009765E0">
        <w:rPr>
          <w:rFonts w:ascii="Verdana" w:hAnsi="Verdana"/>
          <w:sz w:val="20"/>
          <w:szCs w:val="20"/>
        </w:rPr>
        <w:t>male,</w:t>
      </w:r>
      <w:r w:rsidR="00BC0230" w:rsidRPr="009765E0">
        <w:rPr>
          <w:rFonts w:ascii="Verdana" w:hAnsi="Verdana"/>
          <w:sz w:val="20"/>
          <w:szCs w:val="20"/>
        </w:rPr>
        <w:t xml:space="preserve"> he’s not the primary caregiver</w:t>
      </w:r>
      <w:r w:rsidR="007132E1" w:rsidRPr="009765E0">
        <w:rPr>
          <w:rFonts w:ascii="Verdana" w:hAnsi="Verdana"/>
          <w:sz w:val="20"/>
          <w:szCs w:val="20"/>
        </w:rPr>
        <w:t>,</w:t>
      </w:r>
      <w:r w:rsidR="00656EA0" w:rsidRPr="009765E0">
        <w:rPr>
          <w:rFonts w:ascii="Verdana" w:hAnsi="Verdana"/>
          <w:sz w:val="20"/>
          <w:szCs w:val="20"/>
        </w:rPr>
        <w:t xml:space="preserve"> he might have been directly discriminated against. C</w:t>
      </w:r>
      <w:r w:rsidR="007132E1" w:rsidRPr="009765E0">
        <w:rPr>
          <w:rFonts w:ascii="Verdana" w:hAnsi="Verdana"/>
          <w:sz w:val="20"/>
          <w:szCs w:val="20"/>
        </w:rPr>
        <w:t>hanges were made in the Equality Act 2010 on 1 January 2024 (legislation, 2024)</w:t>
      </w:r>
      <w:r w:rsidR="00656EA0" w:rsidRPr="009765E0">
        <w:rPr>
          <w:rFonts w:ascii="Verdana" w:hAnsi="Verdana"/>
          <w:sz w:val="20"/>
          <w:szCs w:val="20"/>
        </w:rPr>
        <w:t xml:space="preserve"> to state that if the action put him at a disadvantage due to his protected characteristic, and traditionally it’s not his group that suffers this type of discrimination, he can still bring a claim. </w:t>
      </w:r>
    </w:p>
    <w:p w14:paraId="26CD087F" w14:textId="314BACD8" w:rsidR="003E0227" w:rsidRPr="009765E0" w:rsidRDefault="003E0227"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(AC 3.2)</w:t>
      </w:r>
    </w:p>
    <w:p w14:paraId="223CB809" w14:textId="0EC033F1" w:rsidR="004801F8" w:rsidRPr="009765E0" w:rsidRDefault="004801F8" w:rsidP="00FC1ABB">
      <w:pPr>
        <w:spacing w:before="240" w:line="240" w:lineRule="auto"/>
        <w:rPr>
          <w:rFonts w:ascii="Verdana" w:hAnsi="Verdana"/>
          <w:sz w:val="20"/>
          <w:szCs w:val="20"/>
        </w:rPr>
      </w:pPr>
      <w:r w:rsidRPr="009765E0">
        <w:rPr>
          <w:rFonts w:ascii="Verdana" w:hAnsi="Verdana"/>
          <w:sz w:val="20"/>
          <w:szCs w:val="20"/>
        </w:rPr>
        <w:t xml:space="preserve">Redundancy is one of the fair reasons for dismissal listed in the Employment </w:t>
      </w:r>
      <w:r w:rsidR="00656EA0" w:rsidRPr="009765E0">
        <w:rPr>
          <w:rFonts w:ascii="Verdana" w:hAnsi="Verdana"/>
          <w:sz w:val="20"/>
          <w:szCs w:val="20"/>
        </w:rPr>
        <w:t>R</w:t>
      </w:r>
      <w:r w:rsidRPr="009765E0">
        <w:rPr>
          <w:rFonts w:ascii="Verdana" w:hAnsi="Verdana"/>
          <w:sz w:val="20"/>
          <w:szCs w:val="20"/>
        </w:rPr>
        <w:t xml:space="preserve">ights Act 1996 (Daniels, 2024), but it </w:t>
      </w:r>
      <w:r w:rsidR="00656EA0" w:rsidRPr="009765E0">
        <w:rPr>
          <w:rFonts w:ascii="Verdana" w:hAnsi="Verdana"/>
          <w:sz w:val="20"/>
          <w:szCs w:val="20"/>
        </w:rPr>
        <w:t>must</w:t>
      </w:r>
      <w:r w:rsidRPr="009765E0">
        <w:rPr>
          <w:rFonts w:ascii="Verdana" w:hAnsi="Verdana"/>
          <w:sz w:val="20"/>
          <w:szCs w:val="20"/>
        </w:rPr>
        <w:t xml:space="preserve"> be carried out correctly to ensure that there isn’t a wrongful dismissal case. Reasons for redundancy </w:t>
      </w:r>
      <w:r w:rsidR="00656EA0" w:rsidRPr="009765E0">
        <w:rPr>
          <w:rFonts w:ascii="Verdana" w:hAnsi="Verdana"/>
          <w:sz w:val="20"/>
          <w:szCs w:val="20"/>
        </w:rPr>
        <w:t>include</w:t>
      </w:r>
      <w:r w:rsidRPr="009765E0">
        <w:rPr>
          <w:rFonts w:ascii="Verdana" w:hAnsi="Verdana"/>
          <w:sz w:val="20"/>
          <w:szCs w:val="20"/>
        </w:rPr>
        <w:t xml:space="preserve"> the employer has ceased or intends to cease the business for it’s intended purpose, or that the location of the </w:t>
      </w:r>
      <w:r w:rsidRPr="009765E0">
        <w:rPr>
          <w:rFonts w:ascii="Verdana" w:hAnsi="Verdana"/>
          <w:sz w:val="20"/>
          <w:szCs w:val="20"/>
        </w:rPr>
        <w:lastRenderedPageBreak/>
        <w:t xml:space="preserve">business changes, or the requirement to carry out a particular type of work has come to an end (Daniels, 2024). </w:t>
      </w:r>
    </w:p>
    <w:p w14:paraId="2E40ABAC" w14:textId="57D81BC6" w:rsidR="004801F8" w:rsidRPr="009765E0" w:rsidRDefault="004801F8" w:rsidP="00FC1ABB">
      <w:pPr>
        <w:spacing w:before="240" w:line="240" w:lineRule="auto"/>
        <w:rPr>
          <w:rFonts w:ascii="Verdana" w:hAnsi="Verdana"/>
          <w:sz w:val="20"/>
          <w:szCs w:val="20"/>
        </w:rPr>
      </w:pPr>
      <w:r w:rsidRPr="009765E0">
        <w:rPr>
          <w:rFonts w:ascii="Verdana" w:hAnsi="Verdana"/>
          <w:sz w:val="20"/>
          <w:szCs w:val="20"/>
        </w:rPr>
        <w:t xml:space="preserve">If there are 50 posts being lost, then there needs to be a </w:t>
      </w:r>
      <w:r w:rsidR="000145F9" w:rsidRPr="009765E0">
        <w:rPr>
          <w:rFonts w:ascii="Verdana" w:hAnsi="Verdana"/>
          <w:sz w:val="20"/>
          <w:szCs w:val="20"/>
        </w:rPr>
        <w:t>30-day</w:t>
      </w:r>
      <w:r w:rsidRPr="009765E0">
        <w:rPr>
          <w:rFonts w:ascii="Verdana" w:hAnsi="Verdana"/>
          <w:sz w:val="20"/>
          <w:szCs w:val="20"/>
        </w:rPr>
        <w:t xml:space="preserve"> consultation and a HR1 form submitted</w:t>
      </w:r>
      <w:r w:rsidR="00356B01" w:rsidRPr="009765E0">
        <w:rPr>
          <w:rFonts w:ascii="Verdana" w:hAnsi="Verdana"/>
          <w:sz w:val="20"/>
          <w:szCs w:val="20"/>
        </w:rPr>
        <w:t xml:space="preserve"> to the government’s Payment Service </w:t>
      </w:r>
      <w:r w:rsidR="000145F9" w:rsidRPr="009765E0">
        <w:rPr>
          <w:rFonts w:ascii="Verdana" w:hAnsi="Verdana"/>
          <w:sz w:val="20"/>
          <w:szCs w:val="20"/>
        </w:rPr>
        <w:t xml:space="preserve">30 days before the first dismissal </w:t>
      </w:r>
      <w:r w:rsidR="00356B01" w:rsidRPr="009765E0">
        <w:rPr>
          <w:rFonts w:ascii="Verdana" w:hAnsi="Verdana"/>
          <w:sz w:val="20"/>
          <w:szCs w:val="20"/>
        </w:rPr>
        <w:t>(ACAS, 2024</w:t>
      </w:r>
      <w:r w:rsidR="00656EA0" w:rsidRPr="009765E0">
        <w:rPr>
          <w:rFonts w:ascii="Verdana" w:hAnsi="Verdana"/>
          <w:sz w:val="20"/>
          <w:szCs w:val="20"/>
        </w:rPr>
        <w:t>b</w:t>
      </w:r>
      <w:r w:rsidR="00356B01" w:rsidRPr="009765E0">
        <w:rPr>
          <w:rFonts w:ascii="Verdana" w:hAnsi="Verdana"/>
          <w:sz w:val="20"/>
          <w:szCs w:val="20"/>
        </w:rPr>
        <w:t>)</w:t>
      </w:r>
      <w:r w:rsidRPr="009765E0">
        <w:rPr>
          <w:rFonts w:ascii="Verdana" w:hAnsi="Verdana"/>
          <w:sz w:val="20"/>
          <w:szCs w:val="20"/>
        </w:rPr>
        <w:t>. The consultation needs to be meaningful</w:t>
      </w:r>
      <w:r w:rsidR="000145F9" w:rsidRPr="009765E0">
        <w:rPr>
          <w:rFonts w:ascii="Verdana" w:hAnsi="Verdana"/>
          <w:sz w:val="20"/>
          <w:szCs w:val="20"/>
        </w:rPr>
        <w:t xml:space="preserve">, and no decisions can be made before holding the collective consultation. Making any redundancies before the end of the </w:t>
      </w:r>
      <w:r w:rsidR="00656EA0" w:rsidRPr="009765E0">
        <w:rPr>
          <w:rFonts w:ascii="Verdana" w:hAnsi="Verdana"/>
          <w:sz w:val="20"/>
          <w:szCs w:val="20"/>
        </w:rPr>
        <w:t>30-day</w:t>
      </w:r>
      <w:r w:rsidR="000145F9" w:rsidRPr="009765E0">
        <w:rPr>
          <w:rFonts w:ascii="Verdana" w:hAnsi="Verdana"/>
          <w:sz w:val="20"/>
          <w:szCs w:val="20"/>
        </w:rPr>
        <w:t xml:space="preserve"> period runs the risk of an employee making a claim to the tribunal and if successful, they could claim a protective award of 90 days pay per employee effected (ACAS, 2024</w:t>
      </w:r>
      <w:r w:rsidR="00656EA0" w:rsidRPr="009765E0">
        <w:rPr>
          <w:rFonts w:ascii="Verdana" w:hAnsi="Verdana"/>
          <w:sz w:val="20"/>
          <w:szCs w:val="20"/>
        </w:rPr>
        <w:t>b</w:t>
      </w:r>
      <w:r w:rsidR="000145F9" w:rsidRPr="009765E0">
        <w:rPr>
          <w:rFonts w:ascii="Verdana" w:hAnsi="Verdana"/>
          <w:sz w:val="20"/>
          <w:szCs w:val="20"/>
        </w:rPr>
        <w:t>). Employees should be consulted as a collective at first with either their trade union representative or their elected representative if there is no trade union representative</w:t>
      </w:r>
      <w:r w:rsidR="00DC2E3A" w:rsidRPr="009765E0">
        <w:rPr>
          <w:rFonts w:ascii="Verdana" w:hAnsi="Verdana"/>
          <w:sz w:val="20"/>
          <w:szCs w:val="20"/>
        </w:rPr>
        <w:t xml:space="preserve"> (Daniels, 2024). No decisions can have been made at the beginning of the consultation otherwise it’s not meaningful, and individuals need time to process the information presented to them, as determined from the </w:t>
      </w:r>
      <w:r w:rsidR="00DC2E3A" w:rsidRPr="009765E0">
        <w:rPr>
          <w:rFonts w:ascii="Verdana" w:hAnsi="Verdana"/>
          <w:i/>
          <w:iCs/>
          <w:sz w:val="20"/>
          <w:szCs w:val="20"/>
        </w:rPr>
        <w:t xml:space="preserve">King and others v Eaton Ltd (1995) </w:t>
      </w:r>
      <w:r w:rsidR="00DC2E3A" w:rsidRPr="009765E0">
        <w:rPr>
          <w:rFonts w:ascii="Verdana" w:hAnsi="Verdana"/>
          <w:sz w:val="20"/>
          <w:szCs w:val="20"/>
        </w:rPr>
        <w:t xml:space="preserve">case (Daniels, 2024). </w:t>
      </w:r>
    </w:p>
    <w:p w14:paraId="6E89DB13" w14:textId="41652845" w:rsidR="00DC2E3A" w:rsidRPr="009765E0" w:rsidRDefault="00DA6518" w:rsidP="00FC1ABB">
      <w:pPr>
        <w:spacing w:before="240" w:line="240" w:lineRule="auto"/>
        <w:rPr>
          <w:rFonts w:ascii="Verdana" w:hAnsi="Verdana"/>
          <w:sz w:val="20"/>
          <w:szCs w:val="20"/>
        </w:rPr>
      </w:pPr>
      <w:r w:rsidRPr="009765E0">
        <w:rPr>
          <w:rFonts w:ascii="Verdana" w:hAnsi="Verdana"/>
          <w:sz w:val="20"/>
          <w:szCs w:val="20"/>
        </w:rPr>
        <w:t xml:space="preserve">A pool of those at risk will need to be identified, then a </w:t>
      </w:r>
      <w:r w:rsidR="00DC2E3A" w:rsidRPr="009765E0">
        <w:rPr>
          <w:rFonts w:ascii="Verdana" w:hAnsi="Verdana"/>
          <w:sz w:val="20"/>
          <w:szCs w:val="20"/>
        </w:rPr>
        <w:t xml:space="preserve">selection criterion will need to be created to fairly accept or deny applications for voluntary redundancy, or to select for compulsory redundancy. </w:t>
      </w:r>
      <w:r w:rsidRPr="009765E0">
        <w:rPr>
          <w:rFonts w:ascii="Verdana" w:hAnsi="Verdana"/>
          <w:sz w:val="20"/>
          <w:szCs w:val="20"/>
        </w:rPr>
        <w:t xml:space="preserve">Casting the net wide for the pool is safer than being too narrow to reduce the risk of unfair dismissal </w:t>
      </w:r>
      <w:r w:rsidR="00656EA0" w:rsidRPr="009765E0">
        <w:rPr>
          <w:rFonts w:ascii="Verdana" w:hAnsi="Verdana"/>
          <w:sz w:val="20"/>
          <w:szCs w:val="20"/>
        </w:rPr>
        <w:t>like</w:t>
      </w:r>
      <w:r w:rsidRPr="009765E0">
        <w:rPr>
          <w:rFonts w:ascii="Verdana" w:hAnsi="Verdana"/>
          <w:sz w:val="20"/>
          <w:szCs w:val="20"/>
        </w:rPr>
        <w:t xml:space="preserve"> </w:t>
      </w:r>
      <w:r w:rsidRPr="009765E0">
        <w:rPr>
          <w:rFonts w:ascii="Verdana" w:hAnsi="Verdana"/>
          <w:i/>
          <w:iCs/>
          <w:sz w:val="20"/>
          <w:szCs w:val="20"/>
        </w:rPr>
        <w:t xml:space="preserve">Capita Hartshead Ltd v Byard (2012) </w:t>
      </w:r>
      <w:r w:rsidRPr="009765E0">
        <w:rPr>
          <w:rFonts w:ascii="Verdana" w:hAnsi="Verdana"/>
          <w:sz w:val="20"/>
          <w:szCs w:val="20"/>
        </w:rPr>
        <w:t xml:space="preserve">(Daniels, 2024). When creating a </w:t>
      </w:r>
      <w:r w:rsidR="00656EA0" w:rsidRPr="009765E0">
        <w:rPr>
          <w:rFonts w:ascii="Verdana" w:hAnsi="Verdana"/>
          <w:sz w:val="20"/>
          <w:szCs w:val="20"/>
        </w:rPr>
        <w:t>selection criterion</w:t>
      </w:r>
      <w:r w:rsidRPr="009765E0">
        <w:rPr>
          <w:rFonts w:ascii="Verdana" w:hAnsi="Verdana"/>
          <w:sz w:val="20"/>
          <w:szCs w:val="20"/>
        </w:rPr>
        <w:t xml:space="preserve">, different aspects must be considered to reduce the likelihood of indirect discrimination. For example, length of service could be considered age discrimination, and sickness absence levels could be considered disability discrimination. The </w:t>
      </w:r>
      <w:r w:rsidRPr="009765E0">
        <w:rPr>
          <w:rFonts w:ascii="Verdana" w:hAnsi="Verdana"/>
          <w:i/>
          <w:iCs/>
          <w:sz w:val="20"/>
          <w:szCs w:val="20"/>
        </w:rPr>
        <w:t xml:space="preserve">Williams v Compare Maxam (1982) </w:t>
      </w:r>
      <w:r w:rsidRPr="009765E0">
        <w:rPr>
          <w:rFonts w:ascii="Verdana" w:hAnsi="Verdana"/>
          <w:sz w:val="20"/>
          <w:szCs w:val="20"/>
        </w:rPr>
        <w:t xml:space="preserve">case determined that the selection criteria should be consulted upon with representatives, the criteria must ideally be objective such as performance records, should be carried out fairly, alternative employment should be offered where possible, and the assessors must know each of the employees to make a fair assessment against the criteria (Daniels, 2024). The process should be fair and carried out by more than one assessor to ensure </w:t>
      </w:r>
      <w:r w:rsidR="00A54503" w:rsidRPr="009765E0">
        <w:rPr>
          <w:rFonts w:ascii="Verdana" w:hAnsi="Verdana"/>
          <w:sz w:val="20"/>
          <w:szCs w:val="20"/>
        </w:rPr>
        <w:t xml:space="preserve">objectiveness. </w:t>
      </w:r>
    </w:p>
    <w:p w14:paraId="606C2933" w14:textId="40912665" w:rsidR="00A54503" w:rsidRPr="009765E0" w:rsidRDefault="00A54503" w:rsidP="00FC1ABB">
      <w:pPr>
        <w:spacing w:before="240" w:line="240" w:lineRule="auto"/>
        <w:rPr>
          <w:rFonts w:ascii="Verdana" w:hAnsi="Verdana"/>
          <w:sz w:val="20"/>
          <w:szCs w:val="20"/>
        </w:rPr>
      </w:pPr>
      <w:r w:rsidRPr="009765E0">
        <w:rPr>
          <w:rFonts w:ascii="Verdana" w:hAnsi="Verdana"/>
          <w:sz w:val="20"/>
          <w:szCs w:val="20"/>
        </w:rPr>
        <w:t>Once the collective consultation ends, then the individuals need to be consulted. If following this</w:t>
      </w:r>
      <w:r w:rsidR="00656EA0" w:rsidRPr="009765E0">
        <w:rPr>
          <w:rFonts w:ascii="Verdana" w:hAnsi="Verdana"/>
          <w:sz w:val="20"/>
          <w:szCs w:val="20"/>
        </w:rPr>
        <w:t>,</w:t>
      </w:r>
      <w:r w:rsidRPr="009765E0">
        <w:rPr>
          <w:rFonts w:ascii="Verdana" w:hAnsi="Verdana"/>
          <w:sz w:val="20"/>
          <w:szCs w:val="20"/>
        </w:rPr>
        <w:t xml:space="preserve"> redundancy is the outcome, then the employee is entitled to statutory redundancy pay. The pay is capped at £700 per week, up to a maximum of £21,000. Those with more than 2 </w:t>
      </w:r>
      <w:r w:rsidR="00831928" w:rsidRPr="009765E0">
        <w:rPr>
          <w:rFonts w:ascii="Verdana" w:hAnsi="Verdana"/>
          <w:sz w:val="20"/>
          <w:szCs w:val="20"/>
        </w:rPr>
        <w:t>years’ service</w:t>
      </w:r>
      <w:r w:rsidRPr="009765E0">
        <w:rPr>
          <w:rFonts w:ascii="Verdana" w:hAnsi="Verdana"/>
          <w:sz w:val="20"/>
          <w:szCs w:val="20"/>
        </w:rPr>
        <w:t xml:space="preserve"> are entitled. The amount varies depending on age, but they’ll receive between 1-2 weeks of pay for each full </w:t>
      </w:r>
      <w:r w:rsidR="00831928" w:rsidRPr="009765E0">
        <w:rPr>
          <w:rFonts w:ascii="Verdana" w:hAnsi="Verdana"/>
          <w:sz w:val="20"/>
          <w:szCs w:val="20"/>
        </w:rPr>
        <w:t>year and</w:t>
      </w:r>
      <w:r w:rsidRPr="009765E0">
        <w:rPr>
          <w:rFonts w:ascii="Verdana" w:hAnsi="Verdana"/>
          <w:sz w:val="20"/>
          <w:szCs w:val="20"/>
        </w:rPr>
        <w:t xml:space="preserve"> capped at 20 years. Weekly pay is calculated at the 12 weeks of pay prior to redundancy notice (Gov.uk,</w:t>
      </w:r>
      <w:r w:rsidR="00831928" w:rsidRPr="009765E0">
        <w:rPr>
          <w:rFonts w:ascii="Verdana" w:hAnsi="Verdana"/>
          <w:sz w:val="20"/>
          <w:szCs w:val="20"/>
        </w:rPr>
        <w:t xml:space="preserve"> 2024</w:t>
      </w:r>
      <w:r w:rsidRPr="009765E0">
        <w:rPr>
          <w:rFonts w:ascii="Verdana" w:hAnsi="Verdana"/>
          <w:sz w:val="20"/>
          <w:szCs w:val="20"/>
        </w:rPr>
        <w:t xml:space="preserve">). </w:t>
      </w:r>
    </w:p>
    <w:p w14:paraId="7010A92D" w14:textId="1B7AD5B3" w:rsidR="003E0227" w:rsidRPr="009765E0" w:rsidRDefault="003E0227" w:rsidP="00FC1ABB">
      <w:pPr>
        <w:spacing w:before="240" w:line="240" w:lineRule="auto"/>
        <w:rPr>
          <w:rFonts w:ascii="Verdana" w:hAnsi="Verdana"/>
          <w:b/>
          <w:bCs/>
          <w:sz w:val="20"/>
          <w:szCs w:val="20"/>
        </w:rPr>
      </w:pPr>
      <w:r w:rsidRPr="009765E0">
        <w:rPr>
          <w:rFonts w:ascii="Verdana" w:hAnsi="Verdana" w:cstheme="minorHAnsi"/>
          <w:b/>
          <w:bCs/>
          <w:sz w:val="20"/>
          <w:szCs w:val="20"/>
        </w:rPr>
        <w:t xml:space="preserve"> (AC 3.3) </w:t>
      </w:r>
      <w:r w:rsidRPr="009765E0">
        <w:rPr>
          <w:rFonts w:ascii="Verdana" w:hAnsi="Verdana"/>
          <w:b/>
          <w:bCs/>
          <w:sz w:val="20"/>
          <w:szCs w:val="20"/>
        </w:rPr>
        <w:t xml:space="preserve">  </w:t>
      </w:r>
    </w:p>
    <w:p w14:paraId="1108AF4B" w14:textId="75BBFDF1" w:rsidR="00EE5170" w:rsidRPr="009765E0" w:rsidRDefault="000A7BAB" w:rsidP="00FC1ABB">
      <w:pPr>
        <w:spacing w:before="240" w:line="240" w:lineRule="auto"/>
        <w:rPr>
          <w:rFonts w:ascii="Verdana" w:hAnsi="Verdana"/>
          <w:sz w:val="20"/>
          <w:szCs w:val="20"/>
        </w:rPr>
      </w:pPr>
      <w:r w:rsidRPr="009765E0">
        <w:rPr>
          <w:rFonts w:ascii="Verdana" w:hAnsi="Verdana"/>
          <w:sz w:val="20"/>
          <w:szCs w:val="20"/>
        </w:rPr>
        <w:t xml:space="preserve">The transfer in this situation is a change in service provision. The transferor is the neighbouring trust, and the transferee is this trust. (Daniels 2024). </w:t>
      </w:r>
      <w:r w:rsidR="00EE5170" w:rsidRPr="009765E0">
        <w:rPr>
          <w:rFonts w:ascii="Verdana" w:hAnsi="Verdana"/>
          <w:sz w:val="20"/>
          <w:szCs w:val="20"/>
        </w:rPr>
        <w:t xml:space="preserve">Staff </w:t>
      </w:r>
      <w:r w:rsidR="00676AC4" w:rsidRPr="009765E0">
        <w:rPr>
          <w:rFonts w:ascii="Verdana" w:hAnsi="Verdana"/>
          <w:sz w:val="20"/>
          <w:szCs w:val="20"/>
        </w:rPr>
        <w:t xml:space="preserve">working at the neighbouring trust pharmacy will be transferred </w:t>
      </w:r>
      <w:r w:rsidR="00EE5170" w:rsidRPr="009765E0">
        <w:rPr>
          <w:rFonts w:ascii="Verdana" w:hAnsi="Verdana"/>
          <w:sz w:val="20"/>
          <w:szCs w:val="20"/>
        </w:rPr>
        <w:t xml:space="preserve">into </w:t>
      </w:r>
      <w:r w:rsidR="00676AC4" w:rsidRPr="009765E0">
        <w:rPr>
          <w:rFonts w:ascii="Verdana" w:hAnsi="Verdana"/>
          <w:sz w:val="20"/>
          <w:szCs w:val="20"/>
        </w:rPr>
        <w:t>t</w:t>
      </w:r>
      <w:r w:rsidR="00161DBB" w:rsidRPr="009765E0">
        <w:rPr>
          <w:rFonts w:ascii="Verdana" w:hAnsi="Verdana"/>
          <w:sz w:val="20"/>
          <w:szCs w:val="20"/>
        </w:rPr>
        <w:t xml:space="preserve">his </w:t>
      </w:r>
      <w:r w:rsidR="00EE5170" w:rsidRPr="009765E0">
        <w:rPr>
          <w:rFonts w:ascii="Verdana" w:hAnsi="Verdana"/>
          <w:sz w:val="20"/>
          <w:szCs w:val="20"/>
        </w:rPr>
        <w:t>trust but provide services to</w:t>
      </w:r>
      <w:r w:rsidR="00676AC4" w:rsidRPr="009765E0">
        <w:rPr>
          <w:rFonts w:ascii="Verdana" w:hAnsi="Verdana"/>
          <w:sz w:val="20"/>
          <w:szCs w:val="20"/>
        </w:rPr>
        <w:t xml:space="preserve"> the </w:t>
      </w:r>
      <w:r w:rsidR="00EE5170" w:rsidRPr="009765E0">
        <w:rPr>
          <w:rFonts w:ascii="Verdana" w:hAnsi="Verdana"/>
          <w:sz w:val="20"/>
          <w:szCs w:val="20"/>
        </w:rPr>
        <w:t>neighbouring trust</w:t>
      </w:r>
      <w:r w:rsidR="00676AC4" w:rsidRPr="009765E0">
        <w:rPr>
          <w:rFonts w:ascii="Verdana" w:hAnsi="Verdana"/>
          <w:sz w:val="20"/>
          <w:szCs w:val="20"/>
        </w:rPr>
        <w:t xml:space="preserve">, since they are the employees that are specifically assigned to work on the pharmacy operations (Daniels, 2024). TUPE gives a protection to the employees being transferred, </w:t>
      </w:r>
      <w:r w:rsidR="003B56DD" w:rsidRPr="009765E0">
        <w:rPr>
          <w:rFonts w:ascii="Verdana" w:hAnsi="Verdana"/>
          <w:sz w:val="20"/>
          <w:szCs w:val="20"/>
        </w:rPr>
        <w:t>meaning all their contractual rights are transferred. A</w:t>
      </w:r>
      <w:r w:rsidR="00676AC4" w:rsidRPr="009765E0">
        <w:rPr>
          <w:rFonts w:ascii="Verdana" w:hAnsi="Verdana"/>
          <w:sz w:val="20"/>
          <w:szCs w:val="20"/>
        </w:rPr>
        <w:t xml:space="preserve">ny dismissals </w:t>
      </w:r>
      <w:r w:rsidR="003B56DD" w:rsidRPr="009765E0">
        <w:rPr>
          <w:rFonts w:ascii="Verdana" w:hAnsi="Verdana"/>
          <w:sz w:val="20"/>
          <w:szCs w:val="20"/>
        </w:rPr>
        <w:t>due</w:t>
      </w:r>
      <w:r w:rsidR="00676AC4" w:rsidRPr="009765E0">
        <w:rPr>
          <w:rFonts w:ascii="Verdana" w:hAnsi="Verdana"/>
          <w:sz w:val="20"/>
          <w:szCs w:val="20"/>
        </w:rPr>
        <w:t xml:space="preserve"> of the transfer will automatically be unfair (Daniels, 2024)</w:t>
      </w:r>
      <w:r w:rsidR="00030D9D" w:rsidRPr="009765E0">
        <w:rPr>
          <w:rFonts w:ascii="Verdana" w:hAnsi="Verdana"/>
          <w:sz w:val="20"/>
          <w:szCs w:val="20"/>
        </w:rPr>
        <w:t xml:space="preserve">. If terms are proposed to be changed years later and employees don’t agree, protection still applies, see </w:t>
      </w:r>
      <w:r w:rsidR="00030D9D" w:rsidRPr="009765E0">
        <w:rPr>
          <w:rFonts w:ascii="Verdana" w:hAnsi="Verdana"/>
          <w:i/>
          <w:iCs/>
          <w:sz w:val="20"/>
          <w:szCs w:val="20"/>
        </w:rPr>
        <w:t>Taylor v Connex South Eastern Ltd (</w:t>
      </w:r>
      <w:proofErr w:type="gramStart"/>
      <w:r w:rsidR="00030D9D" w:rsidRPr="009765E0">
        <w:rPr>
          <w:rFonts w:ascii="Verdana" w:hAnsi="Verdana"/>
          <w:i/>
          <w:iCs/>
          <w:sz w:val="20"/>
          <w:szCs w:val="20"/>
        </w:rPr>
        <w:t>2000)</w:t>
      </w:r>
      <w:r w:rsidR="00030D9D" w:rsidRPr="009765E0">
        <w:rPr>
          <w:rFonts w:ascii="Verdana" w:hAnsi="Verdana"/>
          <w:sz w:val="20"/>
          <w:szCs w:val="20"/>
        </w:rPr>
        <w:t>(</w:t>
      </w:r>
      <w:proofErr w:type="gramEnd"/>
      <w:r w:rsidR="00030D9D" w:rsidRPr="009765E0">
        <w:rPr>
          <w:rFonts w:ascii="Verdana" w:hAnsi="Verdana"/>
          <w:sz w:val="20"/>
          <w:szCs w:val="20"/>
        </w:rPr>
        <w:t xml:space="preserve">Daniels, 2024). </w:t>
      </w:r>
    </w:p>
    <w:p w14:paraId="7BB03060" w14:textId="77777777" w:rsidR="008C6C4A" w:rsidRPr="009765E0" w:rsidRDefault="00161DBB" w:rsidP="008C6C4A">
      <w:pPr>
        <w:spacing w:before="240" w:line="240" w:lineRule="auto"/>
        <w:rPr>
          <w:rFonts w:ascii="Verdana" w:hAnsi="Verdana"/>
          <w:sz w:val="20"/>
          <w:szCs w:val="20"/>
        </w:rPr>
      </w:pPr>
      <w:r w:rsidRPr="009765E0">
        <w:rPr>
          <w:rFonts w:ascii="Verdana" w:hAnsi="Verdana"/>
          <w:sz w:val="20"/>
          <w:szCs w:val="20"/>
        </w:rPr>
        <w:t xml:space="preserve">There must be a consultation with employee </w:t>
      </w:r>
      <w:r w:rsidR="00ED25F9" w:rsidRPr="009765E0">
        <w:rPr>
          <w:rFonts w:ascii="Verdana" w:hAnsi="Verdana"/>
          <w:sz w:val="20"/>
          <w:szCs w:val="20"/>
        </w:rPr>
        <w:t>representatives</w:t>
      </w:r>
      <w:r w:rsidRPr="009765E0">
        <w:rPr>
          <w:rFonts w:ascii="Verdana" w:hAnsi="Verdana"/>
          <w:sz w:val="20"/>
          <w:szCs w:val="20"/>
        </w:rPr>
        <w:t xml:space="preserve">, whether that be an elected </w:t>
      </w:r>
      <w:r w:rsidR="00ED25F9" w:rsidRPr="009765E0">
        <w:rPr>
          <w:rFonts w:ascii="Verdana" w:hAnsi="Verdana"/>
          <w:sz w:val="20"/>
          <w:szCs w:val="20"/>
        </w:rPr>
        <w:t>representative</w:t>
      </w:r>
      <w:r w:rsidRPr="009765E0">
        <w:rPr>
          <w:rFonts w:ascii="Verdana" w:hAnsi="Verdana"/>
          <w:sz w:val="20"/>
          <w:szCs w:val="20"/>
        </w:rPr>
        <w:t>, or a trade union rep</w:t>
      </w:r>
      <w:r w:rsidR="008C6C4A" w:rsidRPr="009765E0">
        <w:rPr>
          <w:rFonts w:ascii="Verdana" w:hAnsi="Verdana"/>
          <w:sz w:val="20"/>
          <w:szCs w:val="20"/>
        </w:rPr>
        <w:t>resentative</w:t>
      </w:r>
      <w:r w:rsidRPr="009765E0">
        <w:rPr>
          <w:rFonts w:ascii="Verdana" w:hAnsi="Verdana"/>
          <w:sz w:val="20"/>
          <w:szCs w:val="20"/>
        </w:rPr>
        <w:t>. During the consultation it must be communicated that the transfer will take place, why, when, the implications on the employees</w:t>
      </w:r>
      <w:r w:rsidR="008C6C4A" w:rsidRPr="009765E0">
        <w:rPr>
          <w:rFonts w:ascii="Verdana" w:hAnsi="Verdana"/>
          <w:sz w:val="20"/>
          <w:szCs w:val="20"/>
        </w:rPr>
        <w:t xml:space="preserve"> and</w:t>
      </w:r>
      <w:r w:rsidRPr="009765E0">
        <w:rPr>
          <w:rFonts w:ascii="Verdana" w:hAnsi="Verdana"/>
          <w:sz w:val="20"/>
          <w:szCs w:val="20"/>
        </w:rPr>
        <w:t xml:space="preserve"> the measures required of the employer and the transferee (Daniels, 2024). If there are less than 10 employees involved in the </w:t>
      </w:r>
      <w:r w:rsidR="00ED25F9" w:rsidRPr="009765E0">
        <w:rPr>
          <w:rFonts w:ascii="Verdana" w:hAnsi="Verdana"/>
          <w:sz w:val="20"/>
          <w:szCs w:val="20"/>
        </w:rPr>
        <w:t>transfer,</w:t>
      </w:r>
      <w:r w:rsidRPr="009765E0">
        <w:rPr>
          <w:rFonts w:ascii="Verdana" w:hAnsi="Verdana"/>
          <w:sz w:val="20"/>
          <w:szCs w:val="20"/>
        </w:rPr>
        <w:t xml:space="preserve"> then all</w:t>
      </w:r>
      <w:r w:rsidR="008C6C4A" w:rsidRPr="009765E0">
        <w:rPr>
          <w:rFonts w:ascii="Verdana" w:hAnsi="Verdana"/>
          <w:sz w:val="20"/>
          <w:szCs w:val="20"/>
        </w:rPr>
        <w:t xml:space="preserve"> individuals</w:t>
      </w:r>
      <w:r w:rsidRPr="009765E0">
        <w:rPr>
          <w:rFonts w:ascii="Verdana" w:hAnsi="Verdana"/>
          <w:sz w:val="20"/>
          <w:szCs w:val="20"/>
        </w:rPr>
        <w:t xml:space="preserve"> can be </w:t>
      </w:r>
      <w:r w:rsidR="00ED25F9" w:rsidRPr="009765E0">
        <w:rPr>
          <w:rFonts w:ascii="Verdana" w:hAnsi="Verdana"/>
          <w:sz w:val="20"/>
          <w:szCs w:val="20"/>
        </w:rPr>
        <w:t>consulted,</w:t>
      </w:r>
      <w:r w:rsidRPr="009765E0">
        <w:rPr>
          <w:rFonts w:ascii="Verdana" w:hAnsi="Verdana"/>
          <w:sz w:val="20"/>
          <w:szCs w:val="20"/>
        </w:rPr>
        <w:t xml:space="preserve"> and a representative doesn’t need to be elected. </w:t>
      </w:r>
      <w:r w:rsidR="008C6C4A" w:rsidRPr="009765E0">
        <w:rPr>
          <w:rFonts w:ascii="Verdana" w:hAnsi="Verdana"/>
          <w:sz w:val="20"/>
          <w:szCs w:val="20"/>
        </w:rPr>
        <w:t xml:space="preserve">Enough time needs to </w:t>
      </w:r>
      <w:r w:rsidR="008C6C4A" w:rsidRPr="009765E0">
        <w:rPr>
          <w:rFonts w:ascii="Verdana" w:hAnsi="Verdana"/>
          <w:sz w:val="20"/>
          <w:szCs w:val="20"/>
        </w:rPr>
        <w:lastRenderedPageBreak/>
        <w:t>be allowed to ensure a meaningful consultation, elect representatives, provide training, and share information (CIPD, 2024f)</w:t>
      </w:r>
    </w:p>
    <w:p w14:paraId="0CF809CB" w14:textId="2E6D54DA" w:rsidR="00ED25F9" w:rsidRPr="009765E0" w:rsidRDefault="00030D9D" w:rsidP="00FC1ABB">
      <w:pPr>
        <w:spacing w:before="240" w:line="240" w:lineRule="auto"/>
        <w:rPr>
          <w:rFonts w:ascii="Verdana" w:hAnsi="Verdana"/>
          <w:sz w:val="20"/>
          <w:szCs w:val="20"/>
        </w:rPr>
      </w:pPr>
      <w:r w:rsidRPr="009765E0">
        <w:rPr>
          <w:rFonts w:ascii="Verdana" w:hAnsi="Verdana"/>
          <w:sz w:val="20"/>
          <w:szCs w:val="20"/>
        </w:rPr>
        <w:t>Those who object to the transfer don’t become employees of the transferee, and their contracts of employment end but there is no dismissal or redundancy (CIPD, 2024</w:t>
      </w:r>
      <w:r w:rsidR="008C6C4A" w:rsidRPr="009765E0">
        <w:rPr>
          <w:rFonts w:ascii="Verdana" w:hAnsi="Verdana"/>
          <w:sz w:val="20"/>
          <w:szCs w:val="20"/>
        </w:rPr>
        <w:t>f</w:t>
      </w:r>
      <w:r w:rsidR="00CA0146" w:rsidRPr="009765E0">
        <w:rPr>
          <w:rFonts w:ascii="Verdana" w:hAnsi="Verdana"/>
          <w:sz w:val="20"/>
          <w:szCs w:val="20"/>
        </w:rPr>
        <w:t>). The</w:t>
      </w:r>
      <w:r w:rsidRPr="009765E0">
        <w:rPr>
          <w:rFonts w:ascii="Verdana" w:hAnsi="Verdana"/>
          <w:sz w:val="20"/>
          <w:szCs w:val="20"/>
        </w:rPr>
        <w:t xml:space="preserve"> only time the terms can be changed is for an economic, technical or organisational reason. Examples of reasons include but not limited to profitability, performance, processes, management, </w:t>
      </w:r>
      <w:r w:rsidR="008C6C4A" w:rsidRPr="009765E0">
        <w:rPr>
          <w:rFonts w:ascii="Verdana" w:hAnsi="Verdana"/>
          <w:sz w:val="20"/>
          <w:szCs w:val="20"/>
        </w:rPr>
        <w:t>s</w:t>
      </w:r>
      <w:r w:rsidRPr="009765E0">
        <w:rPr>
          <w:rFonts w:ascii="Verdana" w:hAnsi="Verdana"/>
          <w:sz w:val="20"/>
          <w:szCs w:val="20"/>
        </w:rPr>
        <w:t>tructure</w:t>
      </w:r>
      <w:r w:rsidR="00CA0146" w:rsidRPr="009765E0">
        <w:rPr>
          <w:rFonts w:ascii="Verdana" w:hAnsi="Verdana"/>
          <w:sz w:val="20"/>
          <w:szCs w:val="20"/>
        </w:rPr>
        <w:t xml:space="preserve"> (Daniels, 2024). </w:t>
      </w:r>
    </w:p>
    <w:p w14:paraId="3B090D28" w14:textId="5646499C" w:rsidR="00161DBB" w:rsidRPr="009765E0" w:rsidRDefault="00161DBB" w:rsidP="00FC1ABB">
      <w:pPr>
        <w:spacing w:before="240" w:line="240" w:lineRule="auto"/>
        <w:rPr>
          <w:rFonts w:ascii="Verdana" w:hAnsi="Verdana"/>
          <w:sz w:val="20"/>
          <w:szCs w:val="20"/>
        </w:rPr>
      </w:pPr>
      <w:r w:rsidRPr="009765E0">
        <w:rPr>
          <w:rFonts w:ascii="Verdana" w:hAnsi="Verdana"/>
          <w:sz w:val="20"/>
          <w:szCs w:val="20"/>
        </w:rPr>
        <w:t xml:space="preserve">The transferor will be legally obliged to provide you as the transferee the personal information of the employees, their statements of </w:t>
      </w:r>
      <w:r w:rsidR="00ED25F9" w:rsidRPr="009765E0">
        <w:rPr>
          <w:rFonts w:ascii="Verdana" w:hAnsi="Verdana"/>
          <w:sz w:val="20"/>
          <w:szCs w:val="20"/>
        </w:rPr>
        <w:t>particulars</w:t>
      </w:r>
      <w:r w:rsidRPr="009765E0">
        <w:rPr>
          <w:rFonts w:ascii="Verdana" w:hAnsi="Verdana"/>
          <w:sz w:val="20"/>
          <w:szCs w:val="20"/>
        </w:rPr>
        <w:t xml:space="preserve">, details of any collective agreements, any disciplinaries, grievances or legal action in the past 2 years. If this information is not provided to you at least 28 days prior to the transfer, the Employment tribunal could </w:t>
      </w:r>
      <w:r w:rsidR="00ED25F9" w:rsidRPr="009765E0">
        <w:rPr>
          <w:rFonts w:ascii="Verdana" w:hAnsi="Verdana"/>
          <w:sz w:val="20"/>
          <w:szCs w:val="20"/>
        </w:rPr>
        <w:t>award</w:t>
      </w:r>
      <w:r w:rsidRPr="009765E0">
        <w:rPr>
          <w:rFonts w:ascii="Verdana" w:hAnsi="Verdana"/>
          <w:sz w:val="20"/>
          <w:szCs w:val="20"/>
        </w:rPr>
        <w:t xml:space="preserve"> you as the transferee up to £500 per employee affected</w:t>
      </w:r>
      <w:r w:rsidR="008C6C4A" w:rsidRPr="009765E0">
        <w:rPr>
          <w:rFonts w:ascii="Verdana" w:hAnsi="Verdana"/>
          <w:sz w:val="20"/>
          <w:szCs w:val="20"/>
        </w:rPr>
        <w:t xml:space="preserve"> (Daniels, 2024).</w:t>
      </w:r>
    </w:p>
    <w:p w14:paraId="3BCC260B" w14:textId="71BD21F4" w:rsidR="003E0227" w:rsidRPr="009765E0" w:rsidRDefault="003E0227"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(AC 4.1)</w:t>
      </w:r>
    </w:p>
    <w:p w14:paraId="2A95C0CE" w14:textId="5BDFEE15" w:rsidR="00EE5170" w:rsidRPr="009765E0" w:rsidRDefault="00BA14B7" w:rsidP="00FC1ABB">
      <w:pPr>
        <w:spacing w:before="240" w:line="240" w:lineRule="auto"/>
        <w:rPr>
          <w:rFonts w:ascii="Verdana" w:hAnsi="Verdana"/>
          <w:sz w:val="20"/>
          <w:szCs w:val="20"/>
        </w:rPr>
      </w:pPr>
      <w:r w:rsidRPr="009765E0">
        <w:rPr>
          <w:rFonts w:ascii="Verdana" w:hAnsi="Verdana"/>
          <w:sz w:val="20"/>
          <w:szCs w:val="20"/>
        </w:rPr>
        <w:t xml:space="preserve">According to </w:t>
      </w:r>
      <w:r w:rsidR="00266B48" w:rsidRPr="009765E0">
        <w:rPr>
          <w:rFonts w:ascii="Verdana" w:hAnsi="Verdana"/>
          <w:sz w:val="20"/>
          <w:szCs w:val="20"/>
        </w:rPr>
        <w:t>Department for Business and Trade (2020</w:t>
      </w:r>
      <w:r w:rsidRPr="009765E0">
        <w:rPr>
          <w:rFonts w:ascii="Verdana" w:hAnsi="Verdana"/>
          <w:sz w:val="20"/>
          <w:szCs w:val="20"/>
        </w:rPr>
        <w:t>)</w:t>
      </w:r>
      <w:r w:rsidR="00266B48" w:rsidRPr="009765E0">
        <w:rPr>
          <w:rFonts w:ascii="Verdana" w:hAnsi="Verdana"/>
          <w:sz w:val="20"/>
          <w:szCs w:val="20"/>
        </w:rPr>
        <w:t>, b</w:t>
      </w:r>
      <w:r w:rsidR="00EE5170" w:rsidRPr="009765E0">
        <w:rPr>
          <w:rFonts w:ascii="Verdana" w:hAnsi="Verdana"/>
          <w:sz w:val="20"/>
          <w:szCs w:val="20"/>
        </w:rPr>
        <w:t>ank nurse staff would be considered workers or employees therefore would be entitled to the statutory 5.6 weeks of holiday per year if they worke</w:t>
      </w:r>
      <w:r w:rsidR="00885FCE" w:rsidRPr="009765E0">
        <w:rPr>
          <w:rFonts w:ascii="Verdana" w:hAnsi="Verdana"/>
          <w:sz w:val="20"/>
          <w:szCs w:val="20"/>
        </w:rPr>
        <w:t>d</w:t>
      </w:r>
      <w:r w:rsidR="00DA36B5" w:rsidRPr="009765E0">
        <w:rPr>
          <w:rFonts w:ascii="Verdana" w:hAnsi="Verdana"/>
          <w:sz w:val="20"/>
          <w:szCs w:val="20"/>
        </w:rPr>
        <w:t xml:space="preserve"> 5 days per week un</w:t>
      </w:r>
      <w:r w:rsidR="00EE5170" w:rsidRPr="009765E0">
        <w:rPr>
          <w:rFonts w:ascii="Verdana" w:hAnsi="Verdana"/>
          <w:sz w:val="20"/>
          <w:szCs w:val="20"/>
        </w:rPr>
        <w:t xml:space="preserve">der the Working Time Regulations 1998. The amount they </w:t>
      </w:r>
      <w:r w:rsidR="008C6C4A" w:rsidRPr="009765E0">
        <w:rPr>
          <w:rFonts w:ascii="Verdana" w:hAnsi="Verdana"/>
          <w:sz w:val="20"/>
          <w:szCs w:val="20"/>
        </w:rPr>
        <w:t>receive</w:t>
      </w:r>
      <w:r w:rsidR="00EE5170" w:rsidRPr="009765E0">
        <w:rPr>
          <w:rFonts w:ascii="Verdana" w:hAnsi="Verdana"/>
          <w:sz w:val="20"/>
          <w:szCs w:val="20"/>
        </w:rPr>
        <w:t xml:space="preserve"> would depend on the actual hours worked and at what rate of pay. Due to the variation in hours, an average over the last 52 weeks of work </w:t>
      </w:r>
      <w:r w:rsidRPr="009765E0">
        <w:rPr>
          <w:rFonts w:ascii="Verdana" w:hAnsi="Verdana"/>
          <w:sz w:val="20"/>
          <w:szCs w:val="20"/>
        </w:rPr>
        <w:t xml:space="preserve">would need to be taken to calculate what needs to be paid for leave. If they’ve worked less than 52 </w:t>
      </w:r>
      <w:r w:rsidR="008C6C4A" w:rsidRPr="009765E0">
        <w:rPr>
          <w:rFonts w:ascii="Verdana" w:hAnsi="Verdana"/>
          <w:sz w:val="20"/>
          <w:szCs w:val="20"/>
        </w:rPr>
        <w:t>weeks,</w:t>
      </w:r>
      <w:r w:rsidRPr="009765E0">
        <w:rPr>
          <w:rFonts w:ascii="Verdana" w:hAnsi="Verdana"/>
          <w:sz w:val="20"/>
          <w:szCs w:val="20"/>
        </w:rPr>
        <w:t xml:space="preserve"> then the weeks worked within their service record will need to be considered. </w:t>
      </w:r>
      <w:r w:rsidR="00DA36B5" w:rsidRPr="009765E0">
        <w:rPr>
          <w:rFonts w:ascii="Verdana" w:hAnsi="Verdana"/>
          <w:sz w:val="20"/>
          <w:szCs w:val="20"/>
        </w:rPr>
        <w:t xml:space="preserve">The 5.6 weeks is split into 4 weeks following the Court of Justice of the European Union, and an additional 1.6 weeks by regulation 13A which doesn’t come from EU Law. </w:t>
      </w:r>
      <w:r w:rsidR="00266B48" w:rsidRPr="009765E0">
        <w:rPr>
          <w:rFonts w:ascii="Verdana" w:hAnsi="Verdana"/>
          <w:sz w:val="20"/>
          <w:szCs w:val="20"/>
        </w:rPr>
        <w:t xml:space="preserve">If the individual is on any form of extended leave, they still accrue leave and the </w:t>
      </w:r>
      <w:proofErr w:type="gramStart"/>
      <w:r w:rsidR="00266B48" w:rsidRPr="009765E0">
        <w:rPr>
          <w:rFonts w:ascii="Verdana" w:hAnsi="Verdana"/>
          <w:sz w:val="20"/>
          <w:szCs w:val="20"/>
        </w:rPr>
        <w:t>52 week</w:t>
      </w:r>
      <w:proofErr w:type="gramEnd"/>
      <w:r w:rsidR="00266B48" w:rsidRPr="009765E0">
        <w:rPr>
          <w:rFonts w:ascii="Verdana" w:hAnsi="Verdana"/>
          <w:sz w:val="20"/>
          <w:szCs w:val="20"/>
        </w:rPr>
        <w:t xml:space="preserve"> period </w:t>
      </w:r>
      <w:r w:rsidR="008C6C4A" w:rsidRPr="009765E0">
        <w:rPr>
          <w:rFonts w:ascii="Verdana" w:hAnsi="Verdana"/>
          <w:sz w:val="20"/>
          <w:szCs w:val="20"/>
        </w:rPr>
        <w:t xml:space="preserve">of hours worked </w:t>
      </w:r>
      <w:r w:rsidR="00266B48" w:rsidRPr="009765E0">
        <w:rPr>
          <w:rFonts w:ascii="Verdana" w:hAnsi="Verdana"/>
          <w:sz w:val="20"/>
          <w:szCs w:val="20"/>
        </w:rPr>
        <w:t xml:space="preserve">must be before the absence started </w:t>
      </w:r>
      <w:r w:rsidR="008C6C4A" w:rsidRPr="009765E0">
        <w:rPr>
          <w:rFonts w:ascii="Verdana" w:hAnsi="Verdana"/>
          <w:sz w:val="20"/>
          <w:szCs w:val="20"/>
        </w:rPr>
        <w:t xml:space="preserve">to take an average </w:t>
      </w:r>
      <w:r w:rsidR="00266B48" w:rsidRPr="009765E0">
        <w:rPr>
          <w:rFonts w:ascii="Verdana" w:hAnsi="Verdana"/>
          <w:sz w:val="20"/>
          <w:szCs w:val="20"/>
        </w:rPr>
        <w:t>(ACAS, 2024</w:t>
      </w:r>
      <w:r w:rsidR="008C6C4A" w:rsidRPr="009765E0">
        <w:rPr>
          <w:rFonts w:ascii="Verdana" w:hAnsi="Verdana"/>
          <w:sz w:val="20"/>
          <w:szCs w:val="20"/>
        </w:rPr>
        <w:t>c</w:t>
      </w:r>
      <w:r w:rsidR="00266B48" w:rsidRPr="009765E0">
        <w:rPr>
          <w:rFonts w:ascii="Verdana" w:hAnsi="Verdana"/>
          <w:sz w:val="20"/>
          <w:szCs w:val="20"/>
        </w:rPr>
        <w:t xml:space="preserve">). </w:t>
      </w:r>
    </w:p>
    <w:p w14:paraId="6709588F" w14:textId="344A4D3C" w:rsidR="00BA14B7" w:rsidRPr="009765E0" w:rsidRDefault="00BA14B7" w:rsidP="00FC1ABB">
      <w:pPr>
        <w:spacing w:before="240" w:line="240" w:lineRule="auto"/>
        <w:rPr>
          <w:rFonts w:ascii="Verdana" w:hAnsi="Verdana"/>
          <w:sz w:val="20"/>
          <w:szCs w:val="20"/>
        </w:rPr>
      </w:pPr>
      <w:r w:rsidRPr="009765E0">
        <w:rPr>
          <w:rFonts w:ascii="Verdana" w:hAnsi="Verdana"/>
          <w:sz w:val="20"/>
          <w:szCs w:val="20"/>
        </w:rPr>
        <w:t>If the bank nurses have a variable rate of pay, an average hourly rate may need to be calculated</w:t>
      </w:r>
      <w:r w:rsidR="008C6C4A" w:rsidRPr="009765E0">
        <w:rPr>
          <w:rFonts w:ascii="Verdana" w:hAnsi="Verdana"/>
          <w:sz w:val="20"/>
          <w:szCs w:val="20"/>
        </w:rPr>
        <w:t>. This is to</w:t>
      </w:r>
      <w:r w:rsidRPr="009765E0">
        <w:rPr>
          <w:rFonts w:ascii="Verdana" w:hAnsi="Verdana"/>
          <w:sz w:val="20"/>
          <w:szCs w:val="20"/>
        </w:rPr>
        <w:t xml:space="preserve"> then calculate weekly rate of pay, then calculate holiday pay entitlement. </w:t>
      </w:r>
      <w:r w:rsidR="008C6C4A" w:rsidRPr="009765E0">
        <w:rPr>
          <w:rFonts w:ascii="Verdana" w:hAnsi="Verdana"/>
          <w:sz w:val="20"/>
          <w:szCs w:val="20"/>
        </w:rPr>
        <w:t xml:space="preserve">A </w:t>
      </w:r>
      <w:r w:rsidR="00DA36B5" w:rsidRPr="009765E0">
        <w:rPr>
          <w:rFonts w:ascii="Verdana" w:hAnsi="Verdana"/>
          <w:sz w:val="20"/>
          <w:szCs w:val="20"/>
        </w:rPr>
        <w:t>weekly rate</w:t>
      </w:r>
      <w:r w:rsidR="008C6C4A" w:rsidRPr="009765E0">
        <w:rPr>
          <w:rFonts w:ascii="Verdana" w:hAnsi="Verdana"/>
          <w:sz w:val="20"/>
          <w:szCs w:val="20"/>
        </w:rPr>
        <w:t xml:space="preserve"> of pay is</w:t>
      </w:r>
      <w:r w:rsidR="00DA36B5" w:rsidRPr="009765E0">
        <w:rPr>
          <w:rFonts w:ascii="Verdana" w:hAnsi="Verdana"/>
          <w:sz w:val="20"/>
          <w:szCs w:val="20"/>
        </w:rPr>
        <w:t xml:space="preserve"> to know what is owed</w:t>
      </w:r>
      <w:r w:rsidR="008C6C4A" w:rsidRPr="009765E0">
        <w:rPr>
          <w:rFonts w:ascii="Verdana" w:hAnsi="Verdana"/>
          <w:sz w:val="20"/>
          <w:szCs w:val="20"/>
        </w:rPr>
        <w:t xml:space="preserve">. A monthly salary average is to know what is to be paid that month if paid </w:t>
      </w:r>
      <w:proofErr w:type="gramStart"/>
      <w:r w:rsidR="008C6C4A" w:rsidRPr="009765E0">
        <w:rPr>
          <w:rFonts w:ascii="Verdana" w:hAnsi="Verdana"/>
          <w:sz w:val="20"/>
          <w:szCs w:val="20"/>
        </w:rPr>
        <w:t>on a monthly basis</w:t>
      </w:r>
      <w:proofErr w:type="gramEnd"/>
      <w:r w:rsidR="00DA36B5" w:rsidRPr="009765E0">
        <w:rPr>
          <w:rFonts w:ascii="Verdana" w:hAnsi="Verdana"/>
          <w:sz w:val="20"/>
          <w:szCs w:val="20"/>
        </w:rPr>
        <w:t>. (</w:t>
      </w:r>
      <w:r w:rsidR="00266B48" w:rsidRPr="009765E0">
        <w:rPr>
          <w:rFonts w:ascii="Verdana" w:hAnsi="Verdana"/>
          <w:sz w:val="20"/>
          <w:szCs w:val="20"/>
        </w:rPr>
        <w:t>Department for Business and Trade, 2020</w:t>
      </w:r>
      <w:r w:rsidR="00DA36B5" w:rsidRPr="009765E0">
        <w:rPr>
          <w:rFonts w:ascii="Verdana" w:hAnsi="Verdana"/>
          <w:sz w:val="20"/>
          <w:szCs w:val="20"/>
        </w:rPr>
        <w:t xml:space="preserve">). The pay for the two split of leave entitlement is slightly different but most employers tend to pay the whole </w:t>
      </w:r>
      <w:proofErr w:type="gramStart"/>
      <w:r w:rsidR="00DA36B5" w:rsidRPr="009765E0">
        <w:rPr>
          <w:rFonts w:ascii="Verdana" w:hAnsi="Verdana"/>
          <w:sz w:val="20"/>
          <w:szCs w:val="20"/>
        </w:rPr>
        <w:t>5.6 week</w:t>
      </w:r>
      <w:proofErr w:type="gramEnd"/>
      <w:r w:rsidR="00DA36B5" w:rsidRPr="009765E0">
        <w:rPr>
          <w:rFonts w:ascii="Verdana" w:hAnsi="Verdana"/>
          <w:sz w:val="20"/>
          <w:szCs w:val="20"/>
        </w:rPr>
        <w:t xml:space="preserve"> allowance under the ‘normal remuneration’ which is when the individual must not be financially worse off having taken leave than working</w:t>
      </w:r>
      <w:r w:rsidR="008C6C4A" w:rsidRPr="009765E0">
        <w:rPr>
          <w:rFonts w:ascii="Verdana" w:hAnsi="Verdana"/>
          <w:sz w:val="20"/>
          <w:szCs w:val="20"/>
        </w:rPr>
        <w:t>. E</w:t>
      </w:r>
      <w:r w:rsidR="00DA36B5" w:rsidRPr="009765E0">
        <w:rPr>
          <w:rFonts w:ascii="Verdana" w:hAnsi="Verdana"/>
          <w:sz w:val="20"/>
          <w:szCs w:val="20"/>
        </w:rPr>
        <w:t>xtra pay such as commission, overtime, bonus need to be considered in the rate of pay. Expenses does not need to be included</w:t>
      </w:r>
      <w:r w:rsidR="00DC645B" w:rsidRPr="009765E0">
        <w:rPr>
          <w:rFonts w:ascii="Verdana" w:hAnsi="Verdana"/>
          <w:sz w:val="20"/>
          <w:szCs w:val="20"/>
        </w:rPr>
        <w:t xml:space="preserve"> (ACAS, 2024c).</w:t>
      </w:r>
    </w:p>
    <w:p w14:paraId="09D4E217" w14:textId="558EDF62" w:rsidR="00266B48" w:rsidRPr="009765E0" w:rsidRDefault="00DA36B5" w:rsidP="00FC1ABB">
      <w:pPr>
        <w:spacing w:before="240" w:line="240" w:lineRule="auto"/>
        <w:rPr>
          <w:rFonts w:ascii="Verdana" w:hAnsi="Verdana"/>
          <w:sz w:val="20"/>
          <w:szCs w:val="20"/>
        </w:rPr>
      </w:pPr>
      <w:r w:rsidRPr="009765E0">
        <w:rPr>
          <w:rFonts w:ascii="Verdana" w:hAnsi="Verdana"/>
          <w:sz w:val="20"/>
          <w:szCs w:val="20"/>
        </w:rPr>
        <w:t xml:space="preserve">Any unused holiday by the end of their contract must be paid in full. Holiday is accrued from day 1. </w:t>
      </w:r>
      <w:r w:rsidR="00266B48" w:rsidRPr="009765E0">
        <w:rPr>
          <w:rFonts w:ascii="Verdana" w:hAnsi="Verdana"/>
          <w:sz w:val="20"/>
          <w:szCs w:val="20"/>
        </w:rPr>
        <w:t>From 1 April 2024, it became possible to pay someone for their accrued holiday with their wages, instead of taking the time as leave, known as ‘rolled up’ holiday pay (ACAS, 2024</w:t>
      </w:r>
      <w:r w:rsidR="00DC645B" w:rsidRPr="009765E0">
        <w:rPr>
          <w:rFonts w:ascii="Verdana" w:hAnsi="Verdana"/>
          <w:sz w:val="20"/>
          <w:szCs w:val="20"/>
        </w:rPr>
        <w:t>c</w:t>
      </w:r>
      <w:r w:rsidR="00266B48" w:rsidRPr="009765E0">
        <w:rPr>
          <w:rFonts w:ascii="Verdana" w:hAnsi="Verdana"/>
          <w:sz w:val="20"/>
          <w:szCs w:val="20"/>
        </w:rPr>
        <w:t xml:space="preserve">). This would be 12.07% added onto the workers total pay within a pay period. They must not lose their holiday pay or leave allowance when off on sickness or parental leave. </w:t>
      </w:r>
      <w:r w:rsidR="00DC645B" w:rsidRPr="009765E0">
        <w:rPr>
          <w:rFonts w:ascii="Verdana" w:hAnsi="Verdana"/>
          <w:sz w:val="20"/>
          <w:szCs w:val="20"/>
        </w:rPr>
        <w:t>Taking the time away is the better option to encourage enough rest and ensure compliance with working time regulations (TUC, 2017).</w:t>
      </w:r>
    </w:p>
    <w:p w14:paraId="13F0E077" w14:textId="7384341C" w:rsidR="003E0227" w:rsidRPr="009765E0" w:rsidRDefault="00DC645B"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w:t>
      </w:r>
      <w:r w:rsidR="003E0227" w:rsidRPr="009765E0">
        <w:rPr>
          <w:rFonts w:ascii="Verdana" w:hAnsi="Verdana" w:cstheme="minorHAnsi"/>
          <w:b/>
          <w:bCs/>
          <w:sz w:val="20"/>
          <w:szCs w:val="20"/>
        </w:rPr>
        <w:t>AC 4.2)</w:t>
      </w:r>
    </w:p>
    <w:p w14:paraId="69F0E512" w14:textId="703FD592" w:rsidR="00C1330F" w:rsidRPr="009765E0" w:rsidRDefault="007845B6" w:rsidP="00FC1ABB">
      <w:pPr>
        <w:spacing w:before="240" w:line="240" w:lineRule="auto"/>
        <w:rPr>
          <w:rFonts w:ascii="Verdana" w:hAnsi="Verdana"/>
          <w:sz w:val="20"/>
          <w:szCs w:val="20"/>
        </w:rPr>
      </w:pPr>
      <w:r w:rsidRPr="009765E0">
        <w:rPr>
          <w:rFonts w:ascii="Verdana" w:hAnsi="Verdana"/>
          <w:sz w:val="20"/>
          <w:szCs w:val="20"/>
        </w:rPr>
        <w:t>Maternity leave</w:t>
      </w:r>
      <w:r w:rsidR="005627AC" w:rsidRPr="009765E0">
        <w:rPr>
          <w:rFonts w:ascii="Verdana" w:hAnsi="Verdana"/>
          <w:sz w:val="20"/>
          <w:szCs w:val="20"/>
        </w:rPr>
        <w:t xml:space="preserve"> (ML)</w:t>
      </w:r>
      <w:r w:rsidRPr="009765E0">
        <w:rPr>
          <w:rFonts w:ascii="Verdana" w:hAnsi="Verdana"/>
          <w:sz w:val="20"/>
          <w:szCs w:val="20"/>
        </w:rPr>
        <w:t xml:space="preserve"> is for the person who gives birth to the baby</w:t>
      </w:r>
      <w:r w:rsidR="009056D3" w:rsidRPr="009765E0">
        <w:rPr>
          <w:rFonts w:ascii="Verdana" w:hAnsi="Verdana"/>
          <w:sz w:val="20"/>
          <w:szCs w:val="20"/>
        </w:rPr>
        <w:t>. Shared parental leave</w:t>
      </w:r>
      <w:r w:rsidR="005627AC" w:rsidRPr="009765E0">
        <w:rPr>
          <w:rFonts w:ascii="Verdana" w:hAnsi="Verdana"/>
          <w:sz w:val="20"/>
          <w:szCs w:val="20"/>
        </w:rPr>
        <w:t xml:space="preserve"> (SPL)</w:t>
      </w:r>
      <w:r w:rsidR="009056D3" w:rsidRPr="009765E0">
        <w:rPr>
          <w:rFonts w:ascii="Verdana" w:hAnsi="Verdana"/>
          <w:sz w:val="20"/>
          <w:szCs w:val="20"/>
        </w:rPr>
        <w:t xml:space="preserve"> is parental leave that can be shared between the parents. </w:t>
      </w:r>
      <w:r w:rsidR="005627AC" w:rsidRPr="009765E0">
        <w:rPr>
          <w:rFonts w:ascii="Verdana" w:hAnsi="Verdana"/>
          <w:sz w:val="20"/>
          <w:szCs w:val="20"/>
        </w:rPr>
        <w:t>SPL</w:t>
      </w:r>
      <w:r w:rsidR="009056D3" w:rsidRPr="009765E0">
        <w:rPr>
          <w:rFonts w:ascii="Verdana" w:hAnsi="Verdana"/>
          <w:sz w:val="20"/>
          <w:szCs w:val="20"/>
        </w:rPr>
        <w:t xml:space="preserve"> is up to 50 weeks, and </w:t>
      </w:r>
      <w:r w:rsidR="005627AC" w:rsidRPr="009765E0">
        <w:rPr>
          <w:rFonts w:ascii="Verdana" w:hAnsi="Verdana"/>
          <w:sz w:val="20"/>
          <w:szCs w:val="20"/>
        </w:rPr>
        <w:t>ML</w:t>
      </w:r>
      <w:r w:rsidR="009056D3" w:rsidRPr="009765E0">
        <w:rPr>
          <w:rFonts w:ascii="Verdana" w:hAnsi="Verdana"/>
          <w:sz w:val="20"/>
          <w:szCs w:val="20"/>
        </w:rPr>
        <w:t xml:space="preserve"> is up to 52 weeks. The first 2 weeks </w:t>
      </w:r>
      <w:r w:rsidR="003943A9" w:rsidRPr="009765E0">
        <w:rPr>
          <w:rFonts w:ascii="Verdana" w:hAnsi="Verdana"/>
          <w:sz w:val="20"/>
          <w:szCs w:val="20"/>
        </w:rPr>
        <w:t xml:space="preserve">of </w:t>
      </w:r>
      <w:r w:rsidR="005627AC" w:rsidRPr="009765E0">
        <w:rPr>
          <w:rFonts w:ascii="Verdana" w:hAnsi="Verdana"/>
          <w:sz w:val="20"/>
          <w:szCs w:val="20"/>
        </w:rPr>
        <w:t>ML</w:t>
      </w:r>
      <w:r w:rsidR="003943A9" w:rsidRPr="009765E0">
        <w:rPr>
          <w:rFonts w:ascii="Verdana" w:hAnsi="Verdana"/>
          <w:sz w:val="20"/>
          <w:szCs w:val="20"/>
        </w:rPr>
        <w:t xml:space="preserve"> </w:t>
      </w:r>
      <w:r w:rsidR="009056D3" w:rsidRPr="009765E0">
        <w:rPr>
          <w:rFonts w:ascii="Verdana" w:hAnsi="Verdana"/>
          <w:sz w:val="20"/>
          <w:szCs w:val="20"/>
        </w:rPr>
        <w:t xml:space="preserve">are compulsory, the following 24 weeks is </w:t>
      </w:r>
      <w:r w:rsidR="003943A9" w:rsidRPr="009765E0">
        <w:rPr>
          <w:rFonts w:ascii="Verdana" w:hAnsi="Verdana"/>
          <w:sz w:val="20"/>
          <w:szCs w:val="20"/>
        </w:rPr>
        <w:t>O</w:t>
      </w:r>
      <w:r w:rsidR="009056D3" w:rsidRPr="009765E0">
        <w:rPr>
          <w:rFonts w:ascii="Verdana" w:hAnsi="Verdana"/>
          <w:sz w:val="20"/>
          <w:szCs w:val="20"/>
        </w:rPr>
        <w:t xml:space="preserve">rdinary </w:t>
      </w:r>
      <w:r w:rsidR="003943A9" w:rsidRPr="009765E0">
        <w:rPr>
          <w:rFonts w:ascii="Verdana" w:hAnsi="Verdana"/>
          <w:sz w:val="20"/>
          <w:szCs w:val="20"/>
        </w:rPr>
        <w:t>M</w:t>
      </w:r>
      <w:r w:rsidR="009056D3" w:rsidRPr="009765E0">
        <w:rPr>
          <w:rFonts w:ascii="Verdana" w:hAnsi="Verdana"/>
          <w:sz w:val="20"/>
          <w:szCs w:val="20"/>
        </w:rPr>
        <w:t xml:space="preserve">aternity </w:t>
      </w:r>
      <w:r w:rsidR="003943A9" w:rsidRPr="009765E0">
        <w:rPr>
          <w:rFonts w:ascii="Verdana" w:hAnsi="Verdana"/>
          <w:sz w:val="20"/>
          <w:szCs w:val="20"/>
        </w:rPr>
        <w:t>L</w:t>
      </w:r>
      <w:r w:rsidR="009056D3" w:rsidRPr="009765E0">
        <w:rPr>
          <w:rFonts w:ascii="Verdana" w:hAnsi="Verdana"/>
          <w:sz w:val="20"/>
          <w:szCs w:val="20"/>
        </w:rPr>
        <w:t xml:space="preserve">eave and the final 26 weeks is </w:t>
      </w:r>
      <w:r w:rsidR="003943A9" w:rsidRPr="009765E0">
        <w:rPr>
          <w:rFonts w:ascii="Verdana" w:hAnsi="Verdana"/>
          <w:sz w:val="20"/>
          <w:szCs w:val="20"/>
        </w:rPr>
        <w:t>A</w:t>
      </w:r>
      <w:r w:rsidR="009056D3" w:rsidRPr="009765E0">
        <w:rPr>
          <w:rFonts w:ascii="Verdana" w:hAnsi="Verdana"/>
          <w:sz w:val="20"/>
          <w:szCs w:val="20"/>
        </w:rPr>
        <w:t xml:space="preserve">dditional Maternity </w:t>
      </w:r>
      <w:r w:rsidR="003943A9" w:rsidRPr="009765E0">
        <w:rPr>
          <w:rFonts w:ascii="Verdana" w:hAnsi="Verdana"/>
          <w:sz w:val="20"/>
          <w:szCs w:val="20"/>
        </w:rPr>
        <w:t>L</w:t>
      </w:r>
      <w:r w:rsidR="009056D3" w:rsidRPr="009765E0">
        <w:rPr>
          <w:rFonts w:ascii="Verdana" w:hAnsi="Verdana"/>
          <w:sz w:val="20"/>
          <w:szCs w:val="20"/>
        </w:rPr>
        <w:t xml:space="preserve">eave. </w:t>
      </w:r>
      <w:r w:rsidR="00DC645B" w:rsidRPr="009765E0">
        <w:rPr>
          <w:rFonts w:ascii="Verdana" w:hAnsi="Verdana"/>
          <w:sz w:val="20"/>
          <w:szCs w:val="20"/>
        </w:rPr>
        <w:t>SPL is one type of leave</w:t>
      </w:r>
      <w:r w:rsidR="00DC645B" w:rsidRPr="009765E0">
        <w:rPr>
          <w:rFonts w:ascii="Verdana" w:hAnsi="Verdana"/>
          <w:sz w:val="20"/>
          <w:szCs w:val="20"/>
        </w:rPr>
        <w:t xml:space="preserve"> only. </w:t>
      </w:r>
    </w:p>
    <w:p w14:paraId="353223BF" w14:textId="25616C4C" w:rsidR="003943A9" w:rsidRPr="009765E0" w:rsidRDefault="003943A9" w:rsidP="00FC1ABB">
      <w:pPr>
        <w:spacing w:before="240" w:line="240" w:lineRule="auto"/>
        <w:rPr>
          <w:rFonts w:ascii="Verdana" w:hAnsi="Verdana"/>
          <w:sz w:val="20"/>
          <w:szCs w:val="20"/>
        </w:rPr>
      </w:pPr>
      <w:r w:rsidRPr="009765E0">
        <w:rPr>
          <w:rFonts w:ascii="Verdana" w:hAnsi="Verdana"/>
          <w:sz w:val="20"/>
          <w:szCs w:val="20"/>
        </w:rPr>
        <w:lastRenderedPageBreak/>
        <w:t xml:space="preserve">The pay between the two are different. </w:t>
      </w:r>
      <w:r w:rsidR="005627AC" w:rsidRPr="009765E0">
        <w:rPr>
          <w:rFonts w:ascii="Verdana" w:hAnsi="Verdana"/>
          <w:sz w:val="20"/>
          <w:szCs w:val="20"/>
        </w:rPr>
        <w:t>ML</w:t>
      </w:r>
      <w:r w:rsidRPr="009765E0">
        <w:rPr>
          <w:rFonts w:ascii="Verdana" w:hAnsi="Verdana"/>
          <w:sz w:val="20"/>
          <w:szCs w:val="20"/>
        </w:rPr>
        <w:t xml:space="preserve"> is paid at 90% of your gross salary for the first 6 weeks, then Statutory Maternity Pay which is £184.03 a week, or 90% of your gross salary if that’s lower as of April 2024 for 33 </w:t>
      </w:r>
      <w:r w:rsidR="00DC645B" w:rsidRPr="009765E0">
        <w:rPr>
          <w:rFonts w:ascii="Verdana" w:hAnsi="Verdana"/>
          <w:sz w:val="20"/>
          <w:szCs w:val="20"/>
        </w:rPr>
        <w:t>weeks,</w:t>
      </w:r>
      <w:r w:rsidRPr="009765E0">
        <w:rPr>
          <w:rFonts w:ascii="Verdana" w:hAnsi="Verdana"/>
          <w:sz w:val="20"/>
          <w:szCs w:val="20"/>
        </w:rPr>
        <w:t xml:space="preserve"> and the final 12 weeks are unpaid. Shared Parental Pay is which is £184.03 a week or 90% of your gross salary if that’s lower for up to 37 weeks, and the remaining is unpaid. </w:t>
      </w:r>
      <w:r w:rsidR="005627AC" w:rsidRPr="009765E0">
        <w:rPr>
          <w:rFonts w:ascii="Verdana" w:hAnsi="Verdana"/>
          <w:sz w:val="20"/>
          <w:szCs w:val="20"/>
        </w:rPr>
        <w:t>Therefore,</w:t>
      </w:r>
      <w:r w:rsidRPr="009765E0">
        <w:rPr>
          <w:rFonts w:ascii="Verdana" w:hAnsi="Verdana"/>
          <w:sz w:val="20"/>
          <w:szCs w:val="20"/>
        </w:rPr>
        <w:t xml:space="preserve"> the mother would be better off staying on </w:t>
      </w:r>
      <w:r w:rsidR="005627AC" w:rsidRPr="009765E0">
        <w:rPr>
          <w:rFonts w:ascii="Verdana" w:hAnsi="Verdana"/>
          <w:sz w:val="20"/>
          <w:szCs w:val="20"/>
        </w:rPr>
        <w:t>ML</w:t>
      </w:r>
      <w:r w:rsidRPr="009765E0">
        <w:rPr>
          <w:rFonts w:ascii="Verdana" w:hAnsi="Verdana"/>
          <w:sz w:val="20"/>
          <w:szCs w:val="20"/>
        </w:rPr>
        <w:t xml:space="preserve"> for first 6 weeks as this is paid at a higher rate. </w:t>
      </w:r>
      <w:r w:rsidR="00692A6A" w:rsidRPr="009765E0">
        <w:rPr>
          <w:rFonts w:ascii="Verdana" w:hAnsi="Verdana"/>
          <w:i/>
          <w:iCs/>
          <w:sz w:val="20"/>
          <w:szCs w:val="20"/>
        </w:rPr>
        <w:t>Ali v Capita Customer Management Ltd (2017)</w:t>
      </w:r>
      <w:r w:rsidR="00692A6A" w:rsidRPr="009765E0">
        <w:rPr>
          <w:rFonts w:ascii="Verdana" w:hAnsi="Verdana"/>
          <w:sz w:val="20"/>
          <w:szCs w:val="20"/>
        </w:rPr>
        <w:t xml:space="preserve"> </w:t>
      </w:r>
      <w:r w:rsidR="00DC645B" w:rsidRPr="009765E0">
        <w:rPr>
          <w:rFonts w:ascii="Verdana" w:hAnsi="Verdana"/>
          <w:sz w:val="20"/>
          <w:szCs w:val="20"/>
        </w:rPr>
        <w:t xml:space="preserve">argued </w:t>
      </w:r>
      <w:r w:rsidR="00692A6A" w:rsidRPr="009765E0">
        <w:rPr>
          <w:rFonts w:ascii="Verdana" w:hAnsi="Verdana"/>
          <w:sz w:val="20"/>
          <w:szCs w:val="20"/>
        </w:rPr>
        <w:t xml:space="preserve">that both Maternity and Shared parental leave should be paid the same rate of pay, but it was unsuccessful because the two different types of leave have two different purposes, therefore SPL is not discriminatory to men (Daniels, 2024). </w:t>
      </w:r>
    </w:p>
    <w:p w14:paraId="494C3AAF" w14:textId="7BE5E859" w:rsidR="003943A9" w:rsidRPr="009765E0" w:rsidRDefault="003943A9" w:rsidP="00FC1ABB">
      <w:pPr>
        <w:spacing w:before="240" w:line="240" w:lineRule="auto"/>
        <w:rPr>
          <w:rFonts w:ascii="Verdana" w:hAnsi="Verdana"/>
          <w:sz w:val="20"/>
          <w:szCs w:val="20"/>
        </w:rPr>
      </w:pPr>
      <w:r w:rsidRPr="009765E0">
        <w:rPr>
          <w:rFonts w:ascii="Verdana" w:hAnsi="Verdana"/>
          <w:sz w:val="20"/>
          <w:szCs w:val="20"/>
        </w:rPr>
        <w:t xml:space="preserve"> </w:t>
      </w:r>
      <w:r w:rsidR="005627AC" w:rsidRPr="009765E0">
        <w:rPr>
          <w:rFonts w:ascii="Verdana" w:hAnsi="Verdana"/>
          <w:sz w:val="20"/>
          <w:szCs w:val="20"/>
        </w:rPr>
        <w:t>T</w:t>
      </w:r>
      <w:r w:rsidRPr="009765E0">
        <w:rPr>
          <w:rFonts w:ascii="Verdana" w:hAnsi="Verdana"/>
          <w:sz w:val="20"/>
          <w:szCs w:val="20"/>
        </w:rPr>
        <w:t>he mother can take up to 10 Keeping in touch (KIT) days</w:t>
      </w:r>
      <w:r w:rsidR="005627AC" w:rsidRPr="009765E0">
        <w:rPr>
          <w:rFonts w:ascii="Verdana" w:hAnsi="Verdana"/>
          <w:sz w:val="20"/>
          <w:szCs w:val="20"/>
        </w:rPr>
        <w:t xml:space="preserve"> on Maternity</w:t>
      </w:r>
      <w:r w:rsidRPr="009765E0">
        <w:rPr>
          <w:rFonts w:ascii="Verdana" w:hAnsi="Verdana"/>
          <w:sz w:val="20"/>
          <w:szCs w:val="20"/>
        </w:rPr>
        <w:t xml:space="preserve"> which is paid at least at minimum wage, to enable her to attend meetings, training </w:t>
      </w:r>
      <w:r w:rsidR="005627AC" w:rsidRPr="009765E0">
        <w:rPr>
          <w:rFonts w:ascii="Verdana" w:hAnsi="Verdana"/>
          <w:sz w:val="20"/>
          <w:szCs w:val="20"/>
        </w:rPr>
        <w:t xml:space="preserve">or </w:t>
      </w:r>
      <w:r w:rsidRPr="009765E0">
        <w:rPr>
          <w:rFonts w:ascii="Verdana" w:hAnsi="Verdana"/>
          <w:sz w:val="20"/>
          <w:szCs w:val="20"/>
        </w:rPr>
        <w:t xml:space="preserve">maintain a relationship. These are optional and both the mother and employer </w:t>
      </w:r>
      <w:r w:rsidR="005627AC" w:rsidRPr="009765E0">
        <w:rPr>
          <w:rFonts w:ascii="Verdana" w:hAnsi="Verdana"/>
          <w:sz w:val="20"/>
          <w:szCs w:val="20"/>
        </w:rPr>
        <w:t>must</w:t>
      </w:r>
      <w:r w:rsidRPr="009765E0">
        <w:rPr>
          <w:rFonts w:ascii="Verdana" w:hAnsi="Verdana"/>
          <w:sz w:val="20"/>
          <w:szCs w:val="20"/>
        </w:rPr>
        <w:t xml:space="preserve"> agree. </w:t>
      </w:r>
      <w:r w:rsidR="005627AC" w:rsidRPr="009765E0">
        <w:rPr>
          <w:rFonts w:ascii="Verdana" w:hAnsi="Verdana"/>
          <w:sz w:val="20"/>
          <w:szCs w:val="20"/>
        </w:rPr>
        <w:t>Both parents</w:t>
      </w:r>
      <w:r w:rsidRPr="009765E0">
        <w:rPr>
          <w:rFonts w:ascii="Verdana" w:hAnsi="Verdana"/>
          <w:sz w:val="20"/>
          <w:szCs w:val="20"/>
        </w:rPr>
        <w:t xml:space="preserve"> have 20 optional Shared Parental Leave in touch (SPLIT) days </w:t>
      </w:r>
      <w:r w:rsidR="005627AC" w:rsidRPr="009765E0">
        <w:rPr>
          <w:rFonts w:ascii="Verdana" w:hAnsi="Verdana"/>
          <w:sz w:val="20"/>
          <w:szCs w:val="20"/>
        </w:rPr>
        <w:t xml:space="preserve">and </w:t>
      </w:r>
      <w:r w:rsidRPr="009765E0">
        <w:rPr>
          <w:rFonts w:ascii="Verdana" w:hAnsi="Verdana"/>
          <w:sz w:val="20"/>
          <w:szCs w:val="20"/>
        </w:rPr>
        <w:t>can only be taken on Shared Parental leave. To start Shared Parental leave, Maternity leave must end, so to take advantage of the KIT days they’d have to be completed before the end of Maternity leave</w:t>
      </w:r>
      <w:r w:rsidR="00DC645B" w:rsidRPr="009765E0">
        <w:rPr>
          <w:rFonts w:ascii="Verdana" w:hAnsi="Verdana"/>
          <w:sz w:val="20"/>
          <w:szCs w:val="20"/>
        </w:rPr>
        <w:t xml:space="preserve"> (Gov.uk, 2024).</w:t>
      </w:r>
    </w:p>
    <w:p w14:paraId="6246BBBD" w14:textId="6C5FB000" w:rsidR="00DC645B" w:rsidRPr="009765E0" w:rsidRDefault="003943A9" w:rsidP="00DC645B">
      <w:pPr>
        <w:spacing w:before="240" w:line="240" w:lineRule="auto"/>
        <w:rPr>
          <w:rFonts w:ascii="Verdana" w:hAnsi="Verdana"/>
          <w:sz w:val="20"/>
          <w:szCs w:val="20"/>
        </w:rPr>
      </w:pPr>
      <w:r w:rsidRPr="009765E0">
        <w:rPr>
          <w:rFonts w:ascii="Verdana" w:hAnsi="Verdana"/>
          <w:sz w:val="20"/>
          <w:szCs w:val="20"/>
        </w:rPr>
        <w:t xml:space="preserve">Maternity leave can be started up to 11 weeks before the </w:t>
      </w:r>
      <w:r w:rsidR="00DC645B" w:rsidRPr="009765E0">
        <w:rPr>
          <w:rFonts w:ascii="Verdana" w:hAnsi="Verdana"/>
          <w:sz w:val="20"/>
          <w:szCs w:val="20"/>
        </w:rPr>
        <w:t>Expected Week of Confinement (EWC), which is the due date</w:t>
      </w:r>
      <w:r w:rsidR="00DC645B" w:rsidRPr="009765E0">
        <w:rPr>
          <w:rFonts w:ascii="Verdana" w:hAnsi="Verdana"/>
          <w:sz w:val="20"/>
          <w:szCs w:val="20"/>
        </w:rPr>
        <w:t xml:space="preserve"> </w:t>
      </w:r>
      <w:r w:rsidR="00DC645B" w:rsidRPr="009765E0">
        <w:rPr>
          <w:rFonts w:ascii="Verdana" w:hAnsi="Verdana"/>
          <w:sz w:val="20"/>
          <w:szCs w:val="20"/>
        </w:rPr>
        <w:t>and can be taken as one block of leave</w:t>
      </w:r>
      <w:r w:rsidR="00DC645B" w:rsidRPr="009765E0">
        <w:rPr>
          <w:rFonts w:ascii="Verdana" w:hAnsi="Verdana"/>
          <w:sz w:val="20"/>
          <w:szCs w:val="20"/>
        </w:rPr>
        <w:t xml:space="preserve">. </w:t>
      </w:r>
      <w:r w:rsidRPr="009765E0">
        <w:rPr>
          <w:rFonts w:ascii="Verdana" w:hAnsi="Verdana"/>
          <w:sz w:val="20"/>
          <w:szCs w:val="20"/>
        </w:rPr>
        <w:t>Shared Parental leave can only start following the birth of the baby</w:t>
      </w:r>
      <w:r w:rsidR="00DC645B" w:rsidRPr="009765E0">
        <w:rPr>
          <w:rFonts w:ascii="Verdana" w:hAnsi="Verdana"/>
          <w:sz w:val="20"/>
          <w:szCs w:val="20"/>
        </w:rPr>
        <w:t xml:space="preserve">. </w:t>
      </w:r>
      <w:r w:rsidR="00DC645B" w:rsidRPr="009765E0">
        <w:rPr>
          <w:rFonts w:ascii="Verdana" w:hAnsi="Verdana"/>
          <w:sz w:val="20"/>
          <w:szCs w:val="20"/>
        </w:rPr>
        <w:t>SPL</w:t>
      </w:r>
      <w:r w:rsidR="00DC645B" w:rsidRPr="009765E0">
        <w:rPr>
          <w:rFonts w:ascii="Verdana" w:hAnsi="Verdana"/>
          <w:sz w:val="20"/>
          <w:szCs w:val="20"/>
        </w:rPr>
        <w:t xml:space="preserve"> can be taken as one block, known as continuous leave, or several smaller chunks, known as discontinuous leave. Continuous leave cannot be refused but discontinuous leave can be refused depending on the case presented (Daniels, 2024). Both parents can take SPL at the same time but only the mother can take ML. </w:t>
      </w:r>
    </w:p>
    <w:p w14:paraId="382CC5A8" w14:textId="05B5216B" w:rsidR="003943A9" w:rsidRPr="009765E0" w:rsidRDefault="003943A9" w:rsidP="00FC1ABB">
      <w:pPr>
        <w:spacing w:before="240" w:line="240" w:lineRule="auto"/>
        <w:rPr>
          <w:rFonts w:ascii="Verdana" w:hAnsi="Verdana"/>
          <w:sz w:val="20"/>
          <w:szCs w:val="20"/>
        </w:rPr>
      </w:pPr>
      <w:r w:rsidRPr="009765E0">
        <w:rPr>
          <w:rFonts w:ascii="Verdana" w:hAnsi="Verdana"/>
          <w:sz w:val="20"/>
          <w:szCs w:val="20"/>
        </w:rPr>
        <w:t xml:space="preserve">  To be eligible for Maternity leave the mother must inform their employer before the end of the 15</w:t>
      </w:r>
      <w:r w:rsidRPr="009765E0">
        <w:rPr>
          <w:rFonts w:ascii="Verdana" w:hAnsi="Verdana"/>
          <w:sz w:val="20"/>
          <w:szCs w:val="20"/>
          <w:vertAlign w:val="superscript"/>
        </w:rPr>
        <w:t>th</w:t>
      </w:r>
      <w:r w:rsidRPr="009765E0">
        <w:rPr>
          <w:rFonts w:ascii="Verdana" w:hAnsi="Verdana"/>
          <w:sz w:val="20"/>
          <w:szCs w:val="20"/>
        </w:rPr>
        <w:t xml:space="preserve"> week before their due date. To be </w:t>
      </w:r>
      <w:r w:rsidR="005627AC" w:rsidRPr="009765E0">
        <w:rPr>
          <w:rFonts w:ascii="Verdana" w:hAnsi="Verdana"/>
          <w:sz w:val="20"/>
          <w:szCs w:val="20"/>
        </w:rPr>
        <w:t>e</w:t>
      </w:r>
      <w:r w:rsidRPr="009765E0">
        <w:rPr>
          <w:rFonts w:ascii="Verdana" w:hAnsi="Verdana"/>
          <w:sz w:val="20"/>
          <w:szCs w:val="20"/>
        </w:rPr>
        <w:t xml:space="preserve">ligible for </w:t>
      </w:r>
      <w:r w:rsidR="005627AC" w:rsidRPr="009765E0">
        <w:rPr>
          <w:rFonts w:ascii="Verdana" w:hAnsi="Verdana"/>
          <w:sz w:val="20"/>
          <w:szCs w:val="20"/>
        </w:rPr>
        <w:t>SPL</w:t>
      </w:r>
      <w:r w:rsidRPr="009765E0">
        <w:rPr>
          <w:rFonts w:ascii="Verdana" w:hAnsi="Verdana"/>
          <w:sz w:val="20"/>
          <w:szCs w:val="20"/>
        </w:rPr>
        <w:t>, is slightly different depending on who wants to take the leave. If both parents take it, then they must be employed for 26 weeks at the end of 15</w:t>
      </w:r>
      <w:r w:rsidRPr="009765E0">
        <w:rPr>
          <w:rFonts w:ascii="Verdana" w:hAnsi="Verdana"/>
          <w:sz w:val="20"/>
          <w:szCs w:val="20"/>
          <w:vertAlign w:val="superscript"/>
        </w:rPr>
        <w:t>th</w:t>
      </w:r>
      <w:r w:rsidRPr="009765E0">
        <w:rPr>
          <w:rFonts w:ascii="Verdana" w:hAnsi="Verdana"/>
          <w:sz w:val="20"/>
          <w:szCs w:val="20"/>
        </w:rPr>
        <w:t xml:space="preserve"> week before due date. If </w:t>
      </w:r>
      <w:r w:rsidR="00DC645B" w:rsidRPr="009765E0">
        <w:rPr>
          <w:rFonts w:ascii="Verdana" w:hAnsi="Verdana"/>
          <w:sz w:val="20"/>
          <w:szCs w:val="20"/>
        </w:rPr>
        <w:t>m</w:t>
      </w:r>
      <w:r w:rsidRPr="009765E0">
        <w:rPr>
          <w:rFonts w:ascii="Verdana" w:hAnsi="Verdana"/>
          <w:sz w:val="20"/>
          <w:szCs w:val="20"/>
        </w:rPr>
        <w:t>other, or partner wants to take SPL the mother will have had to work 26 weeks out of the 66 weeks before baby due date and earned at least £390, for partner they must be continuously employed for 26 weeks by the end of the 15</w:t>
      </w:r>
      <w:r w:rsidRPr="009765E0">
        <w:rPr>
          <w:rFonts w:ascii="Verdana" w:hAnsi="Verdana"/>
          <w:sz w:val="20"/>
          <w:szCs w:val="20"/>
          <w:vertAlign w:val="superscript"/>
        </w:rPr>
        <w:t>th</w:t>
      </w:r>
      <w:r w:rsidRPr="009765E0">
        <w:rPr>
          <w:rFonts w:ascii="Verdana" w:hAnsi="Verdana"/>
          <w:sz w:val="20"/>
          <w:szCs w:val="20"/>
        </w:rPr>
        <w:t xml:space="preserve"> week before due date</w:t>
      </w:r>
      <w:r w:rsidR="00DC645B" w:rsidRPr="009765E0">
        <w:rPr>
          <w:rFonts w:ascii="Verdana" w:hAnsi="Verdana"/>
          <w:sz w:val="20"/>
          <w:szCs w:val="20"/>
        </w:rPr>
        <w:t xml:space="preserve"> (Gov.uk, 2024).</w:t>
      </w:r>
    </w:p>
    <w:p w14:paraId="67959C84" w14:textId="0B6128F1" w:rsidR="003943A9" w:rsidRPr="009765E0" w:rsidRDefault="003943A9" w:rsidP="00FC1ABB">
      <w:pPr>
        <w:spacing w:before="240" w:line="240" w:lineRule="auto"/>
        <w:rPr>
          <w:rFonts w:ascii="Verdana" w:hAnsi="Verdana"/>
          <w:sz w:val="20"/>
          <w:szCs w:val="20"/>
        </w:rPr>
      </w:pPr>
      <w:r w:rsidRPr="009765E0">
        <w:rPr>
          <w:rFonts w:ascii="Verdana" w:hAnsi="Verdana"/>
          <w:sz w:val="20"/>
          <w:szCs w:val="20"/>
        </w:rPr>
        <w:t xml:space="preserve"> </w:t>
      </w:r>
      <w:r w:rsidR="00692A6A" w:rsidRPr="009765E0">
        <w:rPr>
          <w:rFonts w:ascii="Verdana" w:hAnsi="Verdana"/>
          <w:sz w:val="20"/>
          <w:szCs w:val="20"/>
        </w:rPr>
        <w:t>Therefore,</w:t>
      </w:r>
      <w:r w:rsidRPr="009765E0">
        <w:rPr>
          <w:rFonts w:ascii="Verdana" w:hAnsi="Verdana"/>
          <w:sz w:val="20"/>
          <w:szCs w:val="20"/>
        </w:rPr>
        <w:t xml:space="preserve"> to get </w:t>
      </w:r>
      <w:proofErr w:type="gramStart"/>
      <w:r w:rsidRPr="009765E0">
        <w:rPr>
          <w:rFonts w:ascii="Verdana" w:hAnsi="Verdana"/>
          <w:sz w:val="20"/>
          <w:szCs w:val="20"/>
        </w:rPr>
        <w:t>the most</w:t>
      </w:r>
      <w:proofErr w:type="gramEnd"/>
      <w:r w:rsidRPr="009765E0">
        <w:rPr>
          <w:rFonts w:ascii="Verdana" w:hAnsi="Verdana"/>
          <w:sz w:val="20"/>
          <w:szCs w:val="20"/>
        </w:rPr>
        <w:t xml:space="preserve"> of the leave following the birth of a child, I’d recommend the mother take at least the first 6 weeks of </w:t>
      </w:r>
      <w:r w:rsidR="00DC645B" w:rsidRPr="009765E0">
        <w:rPr>
          <w:rFonts w:ascii="Verdana" w:hAnsi="Verdana"/>
          <w:sz w:val="20"/>
          <w:szCs w:val="20"/>
        </w:rPr>
        <w:t>ML</w:t>
      </w:r>
      <w:r w:rsidRPr="009765E0">
        <w:rPr>
          <w:rFonts w:ascii="Verdana" w:hAnsi="Verdana"/>
          <w:sz w:val="20"/>
          <w:szCs w:val="20"/>
        </w:rPr>
        <w:t xml:space="preserve"> and after that the remainder of the leave can be shared between parents. If you want to make the most of the SPLIT </w:t>
      </w:r>
      <w:r w:rsidR="00DC645B" w:rsidRPr="009765E0">
        <w:rPr>
          <w:rFonts w:ascii="Verdana" w:hAnsi="Verdana"/>
          <w:sz w:val="20"/>
          <w:szCs w:val="20"/>
        </w:rPr>
        <w:t>days,</w:t>
      </w:r>
      <w:r w:rsidRPr="009765E0">
        <w:rPr>
          <w:rFonts w:ascii="Verdana" w:hAnsi="Verdana"/>
          <w:sz w:val="20"/>
          <w:szCs w:val="20"/>
        </w:rPr>
        <w:t xml:space="preserve"> then I’d recommend taking the days during the unpaid portion of the leave. </w:t>
      </w:r>
    </w:p>
    <w:p w14:paraId="322A4755" w14:textId="3B97BF1D" w:rsidR="003E0227" w:rsidRPr="009765E0" w:rsidRDefault="003E0227" w:rsidP="00FC1ABB">
      <w:pPr>
        <w:spacing w:before="240" w:line="240" w:lineRule="auto"/>
        <w:rPr>
          <w:rFonts w:ascii="Verdana" w:hAnsi="Verdana" w:cstheme="minorHAnsi"/>
          <w:b/>
          <w:bCs/>
          <w:sz w:val="20"/>
          <w:szCs w:val="20"/>
        </w:rPr>
      </w:pPr>
      <w:r w:rsidRPr="009765E0">
        <w:rPr>
          <w:rFonts w:ascii="Verdana" w:hAnsi="Verdana" w:cstheme="minorHAnsi"/>
          <w:b/>
          <w:bCs/>
          <w:sz w:val="20"/>
          <w:szCs w:val="20"/>
        </w:rPr>
        <w:t>(AC 4.3)</w:t>
      </w:r>
    </w:p>
    <w:p w14:paraId="4FD97DB5" w14:textId="776E7061" w:rsidR="00692A6A" w:rsidRPr="009765E0" w:rsidRDefault="005627AC"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Since April 2024, making a flexible working request has become a day one right</w:t>
      </w:r>
      <w:r w:rsidR="00FE5F0F" w:rsidRPr="009765E0">
        <w:rPr>
          <w:rFonts w:ascii="Verdana" w:hAnsi="Verdana"/>
          <w:color w:val="auto"/>
          <w:sz w:val="20"/>
          <w:szCs w:val="20"/>
        </w:rPr>
        <w:t>, therefore this individual is fully entitled to make the request of hybrid working (CIPD, 2024</w:t>
      </w:r>
      <w:r w:rsidR="00266660" w:rsidRPr="009765E0">
        <w:rPr>
          <w:rFonts w:ascii="Verdana" w:hAnsi="Verdana"/>
          <w:color w:val="auto"/>
          <w:sz w:val="20"/>
          <w:szCs w:val="20"/>
        </w:rPr>
        <w:t>e</w:t>
      </w:r>
      <w:r w:rsidR="00FE5F0F" w:rsidRPr="009765E0">
        <w:rPr>
          <w:rFonts w:ascii="Verdana" w:hAnsi="Verdana"/>
          <w:color w:val="auto"/>
          <w:sz w:val="20"/>
          <w:szCs w:val="20"/>
        </w:rPr>
        <w:t>). There are many benefits to accepting flexible working requests such as improved health and wellbeing, better work- life balance, better staff retention, better accessibility, diversity, inclusion (ACAS, 2024</w:t>
      </w:r>
      <w:r w:rsidR="00266660" w:rsidRPr="009765E0">
        <w:rPr>
          <w:rFonts w:ascii="Verdana" w:hAnsi="Verdana"/>
          <w:color w:val="auto"/>
          <w:sz w:val="20"/>
          <w:szCs w:val="20"/>
        </w:rPr>
        <w:t>d</w:t>
      </w:r>
      <w:r w:rsidR="00FE5F0F" w:rsidRPr="009765E0">
        <w:rPr>
          <w:rFonts w:ascii="Verdana" w:hAnsi="Verdana"/>
          <w:color w:val="auto"/>
          <w:sz w:val="20"/>
          <w:szCs w:val="20"/>
        </w:rPr>
        <w:t>)</w:t>
      </w:r>
      <w:r w:rsidR="00692A6A" w:rsidRPr="009765E0">
        <w:rPr>
          <w:rFonts w:ascii="Verdana" w:hAnsi="Verdana"/>
          <w:color w:val="auto"/>
          <w:sz w:val="20"/>
          <w:szCs w:val="20"/>
        </w:rPr>
        <w:t xml:space="preserve">. </w:t>
      </w:r>
    </w:p>
    <w:p w14:paraId="0BB4A81F" w14:textId="62DA3E3C" w:rsidR="00555A1B" w:rsidRPr="009765E0" w:rsidRDefault="00692A6A"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The application must</w:t>
      </w:r>
      <w:r w:rsidR="00E055AC" w:rsidRPr="009765E0">
        <w:rPr>
          <w:rFonts w:ascii="Verdana" w:hAnsi="Verdana"/>
          <w:color w:val="auto"/>
          <w:sz w:val="20"/>
          <w:szCs w:val="20"/>
        </w:rPr>
        <w:t xml:space="preserve"> be given serious consideration. If it doesn’t, it could go to tribunal. To ensure that it is </w:t>
      </w:r>
      <w:r w:rsidRPr="009765E0">
        <w:rPr>
          <w:rFonts w:ascii="Verdana" w:hAnsi="Verdana"/>
          <w:color w:val="auto"/>
          <w:sz w:val="20"/>
          <w:szCs w:val="20"/>
        </w:rPr>
        <w:t xml:space="preserve">reasonably </w:t>
      </w:r>
      <w:r w:rsidR="00E055AC" w:rsidRPr="009765E0">
        <w:rPr>
          <w:rFonts w:ascii="Verdana" w:hAnsi="Verdana"/>
          <w:color w:val="auto"/>
          <w:sz w:val="20"/>
          <w:szCs w:val="20"/>
        </w:rPr>
        <w:t>considered</w:t>
      </w:r>
      <w:r w:rsidRPr="009765E0">
        <w:rPr>
          <w:rFonts w:ascii="Verdana" w:hAnsi="Verdana"/>
          <w:color w:val="auto"/>
          <w:sz w:val="20"/>
          <w:szCs w:val="20"/>
        </w:rPr>
        <w:t xml:space="preserve">, </w:t>
      </w:r>
      <w:r w:rsidR="00E055AC" w:rsidRPr="009765E0">
        <w:rPr>
          <w:rFonts w:ascii="Verdana" w:hAnsi="Verdana"/>
          <w:color w:val="auto"/>
          <w:sz w:val="20"/>
          <w:szCs w:val="20"/>
        </w:rPr>
        <w:t>there needs to be a consultation meeting regarding the request</w:t>
      </w:r>
      <w:r w:rsidRPr="009765E0">
        <w:rPr>
          <w:rFonts w:ascii="Verdana" w:hAnsi="Verdana"/>
          <w:color w:val="auto"/>
          <w:sz w:val="20"/>
          <w:szCs w:val="20"/>
        </w:rPr>
        <w:t xml:space="preserve">. Good practice dictates that </w:t>
      </w:r>
      <w:r w:rsidR="00E055AC" w:rsidRPr="009765E0">
        <w:rPr>
          <w:rFonts w:ascii="Verdana" w:hAnsi="Verdana"/>
          <w:color w:val="auto"/>
          <w:sz w:val="20"/>
          <w:szCs w:val="20"/>
        </w:rPr>
        <w:t xml:space="preserve">she </w:t>
      </w:r>
      <w:r w:rsidRPr="009765E0">
        <w:rPr>
          <w:rFonts w:ascii="Verdana" w:hAnsi="Verdana"/>
          <w:color w:val="auto"/>
          <w:sz w:val="20"/>
          <w:szCs w:val="20"/>
        </w:rPr>
        <w:t>is allowed to be accompanied by a colleague or trade union representative</w:t>
      </w:r>
      <w:r w:rsidR="00E055AC" w:rsidRPr="009765E0">
        <w:rPr>
          <w:rFonts w:ascii="Verdana" w:hAnsi="Verdana"/>
          <w:color w:val="auto"/>
          <w:sz w:val="20"/>
          <w:szCs w:val="20"/>
        </w:rPr>
        <w:t xml:space="preserve"> to that meeting to discuss her request (Daniels, 2024).</w:t>
      </w:r>
      <w:r w:rsidR="003D6FA1" w:rsidRPr="009765E0">
        <w:rPr>
          <w:rFonts w:ascii="Verdana" w:hAnsi="Verdana"/>
          <w:color w:val="auto"/>
          <w:sz w:val="20"/>
          <w:szCs w:val="20"/>
        </w:rPr>
        <w:t xml:space="preserve">                                                                                                                      </w:t>
      </w:r>
    </w:p>
    <w:p w14:paraId="4224BD92" w14:textId="69926D85" w:rsidR="008F1ED0" w:rsidRPr="009765E0" w:rsidRDefault="008F1ED0"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Reasons for refusing a request must be related to a genuine business reason, which is laid out in the Employment Rights act 1996 (ACAS, 2024</w:t>
      </w:r>
      <w:r w:rsidR="00266660" w:rsidRPr="009765E0">
        <w:rPr>
          <w:rFonts w:ascii="Verdana" w:hAnsi="Verdana"/>
          <w:color w:val="auto"/>
          <w:sz w:val="20"/>
          <w:szCs w:val="20"/>
        </w:rPr>
        <w:t>d</w:t>
      </w:r>
      <w:r w:rsidRPr="009765E0">
        <w:rPr>
          <w:rFonts w:ascii="Verdana" w:hAnsi="Verdana"/>
          <w:color w:val="auto"/>
          <w:sz w:val="20"/>
          <w:szCs w:val="20"/>
        </w:rPr>
        <w:t xml:space="preserve">). These include issues surrounding cost, workload, impact on the quality of the services and workload. </w:t>
      </w:r>
    </w:p>
    <w:p w14:paraId="0812BEB2" w14:textId="7454DD52" w:rsidR="00555A1B" w:rsidRPr="009765E0" w:rsidRDefault="00E055AC"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lastRenderedPageBreak/>
        <w:t xml:space="preserve"> </w:t>
      </w:r>
      <w:r w:rsidR="00555A1B" w:rsidRPr="009765E0">
        <w:rPr>
          <w:rFonts w:ascii="Verdana" w:hAnsi="Verdana"/>
          <w:color w:val="auto"/>
          <w:sz w:val="20"/>
          <w:szCs w:val="20"/>
        </w:rPr>
        <w:t xml:space="preserve">If </w:t>
      </w:r>
      <w:r w:rsidR="00266660" w:rsidRPr="009765E0">
        <w:rPr>
          <w:rFonts w:ascii="Verdana" w:hAnsi="Verdana"/>
          <w:color w:val="auto"/>
          <w:sz w:val="20"/>
          <w:szCs w:val="20"/>
        </w:rPr>
        <w:t>there</w:t>
      </w:r>
      <w:r w:rsidR="00555A1B" w:rsidRPr="009765E0">
        <w:rPr>
          <w:rFonts w:ascii="Verdana" w:hAnsi="Verdana"/>
          <w:color w:val="auto"/>
          <w:sz w:val="20"/>
          <w:szCs w:val="20"/>
        </w:rPr>
        <w:t xml:space="preserve"> are concern</w:t>
      </w:r>
      <w:r w:rsidR="00266660" w:rsidRPr="009765E0">
        <w:rPr>
          <w:rFonts w:ascii="Verdana" w:hAnsi="Verdana"/>
          <w:color w:val="auto"/>
          <w:sz w:val="20"/>
          <w:szCs w:val="20"/>
        </w:rPr>
        <w:t>s</w:t>
      </w:r>
      <w:r w:rsidR="00555A1B" w:rsidRPr="009765E0">
        <w:rPr>
          <w:rFonts w:ascii="Verdana" w:hAnsi="Verdana"/>
          <w:color w:val="auto"/>
          <w:sz w:val="20"/>
          <w:szCs w:val="20"/>
        </w:rPr>
        <w:t xml:space="preserve"> </w:t>
      </w:r>
      <w:r w:rsidR="00266660" w:rsidRPr="009765E0">
        <w:rPr>
          <w:rFonts w:ascii="Verdana" w:hAnsi="Verdana"/>
          <w:color w:val="auto"/>
          <w:sz w:val="20"/>
          <w:szCs w:val="20"/>
        </w:rPr>
        <w:t>regarding the needs of</w:t>
      </w:r>
      <w:r w:rsidR="00555A1B" w:rsidRPr="009765E0">
        <w:rPr>
          <w:rFonts w:ascii="Verdana" w:hAnsi="Verdana"/>
          <w:color w:val="auto"/>
          <w:sz w:val="20"/>
          <w:szCs w:val="20"/>
        </w:rPr>
        <w:t xml:space="preserve"> the organisation, then compromises could be agreed such as a trial period, meeting </w:t>
      </w:r>
      <w:r w:rsidR="00DB2F7F" w:rsidRPr="009765E0">
        <w:rPr>
          <w:rFonts w:ascii="Verdana" w:hAnsi="Verdana"/>
          <w:color w:val="auto"/>
          <w:sz w:val="20"/>
          <w:szCs w:val="20"/>
        </w:rPr>
        <w:t>halfway</w:t>
      </w:r>
      <w:r w:rsidR="00555A1B" w:rsidRPr="009765E0">
        <w:rPr>
          <w:rFonts w:ascii="Verdana" w:hAnsi="Verdana"/>
          <w:color w:val="auto"/>
          <w:sz w:val="20"/>
          <w:szCs w:val="20"/>
        </w:rPr>
        <w:t xml:space="preserve"> on the request</w:t>
      </w:r>
      <w:r w:rsidR="00266660" w:rsidRPr="009765E0">
        <w:rPr>
          <w:rFonts w:ascii="Verdana" w:hAnsi="Verdana"/>
          <w:color w:val="auto"/>
          <w:sz w:val="20"/>
          <w:szCs w:val="20"/>
        </w:rPr>
        <w:t xml:space="preserve"> </w:t>
      </w:r>
      <w:r w:rsidR="00266660" w:rsidRPr="009765E0">
        <w:rPr>
          <w:rFonts w:ascii="Verdana" w:hAnsi="Verdana"/>
          <w:color w:val="auto"/>
          <w:sz w:val="20"/>
          <w:szCs w:val="20"/>
        </w:rPr>
        <w:t xml:space="preserve">(ACAS, 2024d). </w:t>
      </w:r>
      <w:r w:rsidR="00555A1B" w:rsidRPr="009765E0">
        <w:rPr>
          <w:rFonts w:ascii="Verdana" w:hAnsi="Verdana"/>
          <w:color w:val="auto"/>
          <w:sz w:val="20"/>
          <w:szCs w:val="20"/>
        </w:rPr>
        <w:t xml:space="preserve"> </w:t>
      </w:r>
    </w:p>
    <w:p w14:paraId="0BA41067" w14:textId="524A93AA" w:rsidR="00DB2F7F" w:rsidRPr="009765E0" w:rsidRDefault="00DB2F7F"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If a reason for refusing ex</w:t>
      </w:r>
      <w:r w:rsidR="00266660" w:rsidRPr="009765E0">
        <w:rPr>
          <w:rFonts w:ascii="Verdana" w:hAnsi="Verdana"/>
          <w:color w:val="auto"/>
          <w:sz w:val="20"/>
          <w:szCs w:val="20"/>
        </w:rPr>
        <w:t>i</w:t>
      </w:r>
      <w:r w:rsidRPr="009765E0">
        <w:rPr>
          <w:rFonts w:ascii="Verdana" w:hAnsi="Verdana"/>
          <w:color w:val="auto"/>
          <w:sz w:val="20"/>
          <w:szCs w:val="20"/>
        </w:rPr>
        <w:t>sts, then the request can be refused</w:t>
      </w:r>
      <w:r w:rsidR="00266660" w:rsidRPr="009765E0">
        <w:rPr>
          <w:rFonts w:ascii="Verdana" w:hAnsi="Verdana"/>
          <w:color w:val="auto"/>
          <w:sz w:val="20"/>
          <w:szCs w:val="20"/>
        </w:rPr>
        <w:t>.</w:t>
      </w:r>
      <w:r w:rsidRPr="009765E0">
        <w:rPr>
          <w:rFonts w:ascii="Verdana" w:hAnsi="Verdana"/>
          <w:color w:val="auto"/>
          <w:sz w:val="20"/>
          <w:szCs w:val="20"/>
        </w:rPr>
        <w:t xml:space="preserve"> </w:t>
      </w:r>
      <w:r w:rsidR="00266660" w:rsidRPr="009765E0">
        <w:rPr>
          <w:rFonts w:ascii="Verdana" w:hAnsi="Verdana"/>
          <w:color w:val="auto"/>
          <w:sz w:val="20"/>
          <w:szCs w:val="20"/>
        </w:rPr>
        <w:t>T</w:t>
      </w:r>
      <w:r w:rsidRPr="009765E0">
        <w:rPr>
          <w:rFonts w:ascii="Verdana" w:hAnsi="Verdana"/>
          <w:color w:val="auto"/>
          <w:sz w:val="20"/>
          <w:szCs w:val="20"/>
        </w:rPr>
        <w:t xml:space="preserve">he individual must be written to with </w:t>
      </w:r>
      <w:r w:rsidR="00266660" w:rsidRPr="009765E0">
        <w:rPr>
          <w:rFonts w:ascii="Verdana" w:hAnsi="Verdana"/>
          <w:color w:val="auto"/>
          <w:sz w:val="20"/>
          <w:szCs w:val="20"/>
        </w:rPr>
        <w:t xml:space="preserve">a </w:t>
      </w:r>
      <w:r w:rsidRPr="009765E0">
        <w:rPr>
          <w:rFonts w:ascii="Verdana" w:hAnsi="Verdana"/>
          <w:color w:val="auto"/>
          <w:sz w:val="20"/>
          <w:szCs w:val="20"/>
        </w:rPr>
        <w:t>clear indication as to why. There is no statutory right of appeal, but it is good practice to allow appeals (</w:t>
      </w:r>
      <w:proofErr w:type="spellStart"/>
      <w:r w:rsidRPr="009765E0">
        <w:rPr>
          <w:rFonts w:ascii="Verdana" w:hAnsi="Verdana"/>
          <w:color w:val="auto"/>
          <w:sz w:val="20"/>
          <w:szCs w:val="20"/>
        </w:rPr>
        <w:t>Acas</w:t>
      </w:r>
      <w:proofErr w:type="spellEnd"/>
      <w:r w:rsidRPr="009765E0">
        <w:rPr>
          <w:rFonts w:ascii="Verdana" w:hAnsi="Verdana"/>
          <w:color w:val="auto"/>
          <w:sz w:val="20"/>
          <w:szCs w:val="20"/>
        </w:rPr>
        <w:t>, 2024</w:t>
      </w:r>
      <w:r w:rsidR="00266660" w:rsidRPr="009765E0">
        <w:rPr>
          <w:rFonts w:ascii="Verdana" w:hAnsi="Verdana"/>
          <w:color w:val="auto"/>
          <w:sz w:val="20"/>
          <w:szCs w:val="20"/>
        </w:rPr>
        <w:t>d</w:t>
      </w:r>
      <w:r w:rsidRPr="009765E0">
        <w:rPr>
          <w:rFonts w:ascii="Verdana" w:hAnsi="Verdana"/>
          <w:color w:val="auto"/>
          <w:sz w:val="20"/>
          <w:szCs w:val="20"/>
        </w:rPr>
        <w:t>).</w:t>
      </w:r>
    </w:p>
    <w:p w14:paraId="6A5481BC" w14:textId="6947BEBF" w:rsidR="00E055AC" w:rsidRPr="009765E0" w:rsidRDefault="00266660"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To reject t</w:t>
      </w:r>
      <w:r w:rsidR="00E055AC" w:rsidRPr="009765E0">
        <w:rPr>
          <w:rFonts w:ascii="Verdana" w:hAnsi="Verdana"/>
          <w:color w:val="auto"/>
          <w:sz w:val="20"/>
          <w:szCs w:val="20"/>
        </w:rPr>
        <w:t xml:space="preserve">he request </w:t>
      </w:r>
      <w:r w:rsidR="00555A1B" w:rsidRPr="009765E0">
        <w:rPr>
          <w:rFonts w:ascii="Verdana" w:hAnsi="Verdana"/>
          <w:color w:val="auto"/>
          <w:sz w:val="20"/>
          <w:szCs w:val="20"/>
        </w:rPr>
        <w:t xml:space="preserve">based </w:t>
      </w:r>
      <w:r w:rsidRPr="009765E0">
        <w:rPr>
          <w:rFonts w:ascii="Verdana" w:hAnsi="Verdana"/>
          <w:color w:val="auto"/>
          <w:sz w:val="20"/>
          <w:szCs w:val="20"/>
        </w:rPr>
        <w:t xml:space="preserve">the perception of others making similar requests </w:t>
      </w:r>
      <w:r w:rsidR="00E055AC" w:rsidRPr="009765E0">
        <w:rPr>
          <w:rFonts w:ascii="Verdana" w:hAnsi="Verdana"/>
          <w:color w:val="auto"/>
          <w:sz w:val="20"/>
          <w:szCs w:val="20"/>
        </w:rPr>
        <w:t xml:space="preserve">could end in tribunal because this isn’t permitted by legislation. If the tribunal is in favour of the employee, </w:t>
      </w:r>
      <w:r w:rsidRPr="009765E0">
        <w:rPr>
          <w:rFonts w:ascii="Verdana" w:hAnsi="Verdana"/>
          <w:color w:val="auto"/>
          <w:sz w:val="20"/>
          <w:szCs w:val="20"/>
        </w:rPr>
        <w:t>up</w:t>
      </w:r>
      <w:r w:rsidR="00E055AC" w:rsidRPr="009765E0">
        <w:rPr>
          <w:rFonts w:ascii="Verdana" w:hAnsi="Verdana"/>
          <w:color w:val="auto"/>
          <w:sz w:val="20"/>
          <w:szCs w:val="20"/>
        </w:rPr>
        <w:t xml:space="preserve"> to 8 </w:t>
      </w:r>
      <w:proofErr w:type="spellStart"/>
      <w:r w:rsidR="00E055AC" w:rsidRPr="009765E0">
        <w:rPr>
          <w:rFonts w:ascii="Verdana" w:hAnsi="Verdana"/>
          <w:color w:val="auto"/>
          <w:sz w:val="20"/>
          <w:szCs w:val="20"/>
        </w:rPr>
        <w:t>weeks</w:t>
      </w:r>
      <w:proofErr w:type="spellEnd"/>
      <w:r w:rsidR="00E055AC" w:rsidRPr="009765E0">
        <w:rPr>
          <w:rFonts w:ascii="Verdana" w:hAnsi="Verdana"/>
          <w:color w:val="auto"/>
          <w:sz w:val="20"/>
          <w:szCs w:val="20"/>
        </w:rPr>
        <w:t xml:space="preserve"> pay up to a maximum of £700</w:t>
      </w:r>
      <w:r w:rsidRPr="009765E0">
        <w:rPr>
          <w:rFonts w:ascii="Verdana" w:hAnsi="Verdana"/>
          <w:color w:val="auto"/>
          <w:sz w:val="20"/>
          <w:szCs w:val="20"/>
        </w:rPr>
        <w:t xml:space="preserve"> may have to be paid</w:t>
      </w:r>
      <w:r w:rsidR="00E055AC" w:rsidRPr="009765E0">
        <w:rPr>
          <w:rFonts w:ascii="Verdana" w:hAnsi="Verdana"/>
          <w:color w:val="auto"/>
          <w:sz w:val="20"/>
          <w:szCs w:val="20"/>
        </w:rPr>
        <w:t xml:space="preserve"> (Daniels, 2024).</w:t>
      </w:r>
      <w:r w:rsidR="00555A1B" w:rsidRPr="009765E0">
        <w:rPr>
          <w:rFonts w:ascii="Verdana" w:hAnsi="Verdana"/>
          <w:color w:val="auto"/>
          <w:sz w:val="20"/>
          <w:szCs w:val="20"/>
        </w:rPr>
        <w:t xml:space="preserve"> Without a meeting, </w:t>
      </w:r>
      <w:r w:rsidRPr="009765E0">
        <w:rPr>
          <w:rFonts w:ascii="Verdana" w:hAnsi="Verdana"/>
          <w:color w:val="auto"/>
          <w:sz w:val="20"/>
          <w:szCs w:val="20"/>
        </w:rPr>
        <w:t>it</w:t>
      </w:r>
      <w:r w:rsidR="00555A1B" w:rsidRPr="009765E0">
        <w:rPr>
          <w:rFonts w:ascii="Verdana" w:hAnsi="Verdana"/>
          <w:color w:val="auto"/>
          <w:sz w:val="20"/>
          <w:szCs w:val="20"/>
        </w:rPr>
        <w:t xml:space="preserve"> won’t </w:t>
      </w:r>
      <w:r w:rsidRPr="009765E0">
        <w:rPr>
          <w:rFonts w:ascii="Verdana" w:hAnsi="Verdana"/>
          <w:color w:val="auto"/>
          <w:sz w:val="20"/>
          <w:szCs w:val="20"/>
        </w:rPr>
        <w:t xml:space="preserve">be </w:t>
      </w:r>
      <w:r w:rsidR="00555A1B" w:rsidRPr="009765E0">
        <w:rPr>
          <w:rFonts w:ascii="Verdana" w:hAnsi="Verdana"/>
          <w:color w:val="auto"/>
          <w:sz w:val="20"/>
          <w:szCs w:val="20"/>
        </w:rPr>
        <w:t>know</w:t>
      </w:r>
      <w:r w:rsidRPr="009765E0">
        <w:rPr>
          <w:rFonts w:ascii="Verdana" w:hAnsi="Verdana"/>
          <w:color w:val="auto"/>
          <w:sz w:val="20"/>
          <w:szCs w:val="20"/>
        </w:rPr>
        <w:t>n</w:t>
      </w:r>
      <w:r w:rsidR="00555A1B" w:rsidRPr="009765E0">
        <w:rPr>
          <w:rFonts w:ascii="Verdana" w:hAnsi="Verdana"/>
          <w:color w:val="auto"/>
          <w:sz w:val="20"/>
          <w:szCs w:val="20"/>
        </w:rPr>
        <w:t xml:space="preserve"> </w:t>
      </w:r>
      <w:r w:rsidRPr="009765E0">
        <w:rPr>
          <w:rFonts w:ascii="Verdana" w:hAnsi="Verdana"/>
          <w:color w:val="auto"/>
          <w:sz w:val="20"/>
          <w:szCs w:val="20"/>
        </w:rPr>
        <w:t xml:space="preserve">what’s </w:t>
      </w:r>
      <w:r w:rsidR="00555A1B" w:rsidRPr="009765E0">
        <w:rPr>
          <w:rFonts w:ascii="Verdana" w:hAnsi="Verdana"/>
          <w:color w:val="auto"/>
          <w:sz w:val="20"/>
          <w:szCs w:val="20"/>
        </w:rPr>
        <w:t>the reasoning behind the request. There</w:t>
      </w:r>
      <w:r w:rsidRPr="009765E0">
        <w:rPr>
          <w:rFonts w:ascii="Verdana" w:hAnsi="Verdana"/>
          <w:color w:val="auto"/>
          <w:sz w:val="20"/>
          <w:szCs w:val="20"/>
        </w:rPr>
        <w:t>’</w:t>
      </w:r>
      <w:r w:rsidR="00555A1B" w:rsidRPr="009765E0">
        <w:rPr>
          <w:rFonts w:ascii="Verdana" w:hAnsi="Verdana"/>
          <w:color w:val="auto"/>
          <w:sz w:val="20"/>
          <w:szCs w:val="20"/>
        </w:rPr>
        <w:t xml:space="preserve">s a possibility that the request was made due to caregiving responsibilities and if rejected, </w:t>
      </w:r>
      <w:r w:rsidRPr="009765E0">
        <w:rPr>
          <w:rFonts w:ascii="Verdana" w:hAnsi="Verdana"/>
          <w:color w:val="auto"/>
          <w:sz w:val="20"/>
          <w:szCs w:val="20"/>
        </w:rPr>
        <w:t xml:space="preserve">there could be a claim of </w:t>
      </w:r>
      <w:r w:rsidR="00555A1B" w:rsidRPr="009765E0">
        <w:rPr>
          <w:rFonts w:ascii="Verdana" w:hAnsi="Verdana"/>
          <w:color w:val="auto"/>
          <w:sz w:val="20"/>
          <w:szCs w:val="20"/>
        </w:rPr>
        <w:t>indirect sex discrimination (</w:t>
      </w:r>
      <w:r w:rsidR="00555A1B" w:rsidRPr="009765E0">
        <w:rPr>
          <w:rFonts w:ascii="Verdana" w:hAnsi="Verdana"/>
          <w:i/>
          <w:iCs/>
          <w:color w:val="auto"/>
          <w:sz w:val="20"/>
          <w:szCs w:val="20"/>
        </w:rPr>
        <w:t xml:space="preserve">XC Trains Ltd v CD, </w:t>
      </w:r>
      <w:proofErr w:type="gramStart"/>
      <w:r w:rsidR="00555A1B" w:rsidRPr="009765E0">
        <w:rPr>
          <w:rFonts w:ascii="Verdana" w:hAnsi="Verdana"/>
          <w:i/>
          <w:iCs/>
          <w:color w:val="auto"/>
          <w:sz w:val="20"/>
          <w:szCs w:val="20"/>
        </w:rPr>
        <w:t>2016)</w:t>
      </w:r>
      <w:r w:rsidR="00555A1B" w:rsidRPr="009765E0">
        <w:rPr>
          <w:rFonts w:ascii="Verdana" w:hAnsi="Verdana"/>
          <w:color w:val="auto"/>
          <w:sz w:val="20"/>
          <w:szCs w:val="20"/>
        </w:rPr>
        <w:t>(</w:t>
      </w:r>
      <w:proofErr w:type="gramEnd"/>
      <w:r w:rsidR="00555A1B" w:rsidRPr="009765E0">
        <w:rPr>
          <w:rFonts w:ascii="Verdana" w:hAnsi="Verdana"/>
          <w:color w:val="auto"/>
          <w:sz w:val="20"/>
          <w:szCs w:val="20"/>
        </w:rPr>
        <w:t>Daniels, 2024).</w:t>
      </w:r>
      <w:r w:rsidRPr="009765E0">
        <w:rPr>
          <w:rFonts w:ascii="Verdana" w:hAnsi="Verdana"/>
          <w:color w:val="auto"/>
          <w:sz w:val="20"/>
          <w:szCs w:val="20"/>
        </w:rPr>
        <w:t xml:space="preserve"> I</w:t>
      </w:r>
      <w:r w:rsidR="008F1ED0" w:rsidRPr="009765E0">
        <w:rPr>
          <w:rFonts w:ascii="Verdana" w:hAnsi="Verdana"/>
          <w:color w:val="auto"/>
          <w:sz w:val="20"/>
          <w:szCs w:val="20"/>
        </w:rPr>
        <w:t xml:space="preserve">t may be a request related to </w:t>
      </w:r>
      <w:r w:rsidRPr="009765E0">
        <w:rPr>
          <w:rFonts w:ascii="Verdana" w:hAnsi="Verdana"/>
          <w:color w:val="auto"/>
          <w:sz w:val="20"/>
          <w:szCs w:val="20"/>
        </w:rPr>
        <w:t>a disability</w:t>
      </w:r>
      <w:r w:rsidR="008F1ED0" w:rsidRPr="009765E0">
        <w:rPr>
          <w:rFonts w:ascii="Verdana" w:hAnsi="Verdana"/>
          <w:color w:val="auto"/>
          <w:sz w:val="20"/>
          <w:szCs w:val="20"/>
        </w:rPr>
        <w:t>, which could be considered a reasonable adjustment, which if rejected could be seen as discrimination</w:t>
      </w:r>
      <w:r w:rsidRPr="009765E0">
        <w:rPr>
          <w:rFonts w:ascii="Verdana" w:hAnsi="Verdana"/>
          <w:color w:val="auto"/>
          <w:sz w:val="20"/>
          <w:szCs w:val="20"/>
        </w:rPr>
        <w:t xml:space="preserve"> (ACAS, 2025). </w:t>
      </w:r>
    </w:p>
    <w:p w14:paraId="1C90F720" w14:textId="77777777" w:rsidR="00110B8F" w:rsidRPr="009765E0" w:rsidRDefault="00110B8F" w:rsidP="00FC1ABB">
      <w:pPr>
        <w:pStyle w:val="Listparag"/>
        <w:spacing w:before="240" w:after="0" w:line="240" w:lineRule="auto"/>
        <w:rPr>
          <w:rFonts w:ascii="Verdana" w:hAnsi="Verdana"/>
          <w:color w:val="auto"/>
          <w:sz w:val="20"/>
          <w:szCs w:val="20"/>
        </w:rPr>
      </w:pPr>
    </w:p>
    <w:p w14:paraId="24ED4C2D" w14:textId="3C76EF63" w:rsidR="00110B8F" w:rsidRPr="009765E0" w:rsidRDefault="00110B8F" w:rsidP="00FC1ABB">
      <w:pPr>
        <w:pStyle w:val="Listparag"/>
        <w:spacing w:before="240" w:after="0" w:line="240" w:lineRule="auto"/>
        <w:rPr>
          <w:rFonts w:ascii="Verdana" w:hAnsi="Verdana"/>
          <w:b/>
          <w:bCs/>
          <w:color w:val="auto"/>
          <w:sz w:val="20"/>
          <w:szCs w:val="20"/>
        </w:rPr>
      </w:pPr>
      <w:r w:rsidRPr="009765E0">
        <w:rPr>
          <w:rFonts w:ascii="Verdana" w:hAnsi="Verdana"/>
          <w:b/>
          <w:bCs/>
          <w:color w:val="auto"/>
          <w:sz w:val="20"/>
          <w:szCs w:val="20"/>
        </w:rPr>
        <w:t>References</w:t>
      </w:r>
    </w:p>
    <w:p w14:paraId="3C11E0D5" w14:textId="1E52D0B1" w:rsidR="003109EB" w:rsidRPr="009765E0" w:rsidRDefault="003109EB"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ACAS (2022) </w:t>
      </w:r>
      <w:r w:rsidRPr="009765E0">
        <w:rPr>
          <w:rFonts w:ascii="Verdana" w:hAnsi="Verdana"/>
          <w:i/>
          <w:iCs/>
          <w:color w:val="auto"/>
          <w:sz w:val="20"/>
          <w:szCs w:val="20"/>
        </w:rPr>
        <w:t xml:space="preserve">Making a claim to an employment tribunal. </w:t>
      </w:r>
      <w:r w:rsidRPr="009765E0">
        <w:rPr>
          <w:rFonts w:ascii="Verdana" w:hAnsi="Verdana"/>
          <w:color w:val="auto"/>
          <w:sz w:val="20"/>
          <w:szCs w:val="20"/>
        </w:rPr>
        <w:t xml:space="preserve">Available at: </w:t>
      </w:r>
      <w:hyperlink r:id="rId5" w:history="1">
        <w:r w:rsidRPr="009765E0">
          <w:rPr>
            <w:rStyle w:val="Hyperlink"/>
            <w:rFonts w:ascii="Verdana" w:hAnsi="Verdana"/>
            <w:color w:val="auto"/>
            <w:sz w:val="20"/>
            <w:szCs w:val="20"/>
          </w:rPr>
          <w:t>https://www.acas.org.uk/making-a-claim-to-an-employment-tribunal</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23 March 2025</w:t>
      </w:r>
      <w:r w:rsidR="009765E0">
        <w:rPr>
          <w:rFonts w:ascii="Verdana" w:hAnsi="Verdana"/>
          <w:color w:val="auto"/>
          <w:sz w:val="20"/>
          <w:szCs w:val="20"/>
        </w:rPr>
        <w:t>)</w:t>
      </w:r>
      <w:r w:rsidRPr="009765E0">
        <w:rPr>
          <w:rFonts w:ascii="Verdana" w:hAnsi="Verdana"/>
          <w:color w:val="auto"/>
          <w:sz w:val="20"/>
          <w:szCs w:val="20"/>
        </w:rPr>
        <w:t xml:space="preserve">. </w:t>
      </w:r>
    </w:p>
    <w:p w14:paraId="786873AE" w14:textId="71B717F3" w:rsidR="00FE5F0F" w:rsidRPr="009765E0" w:rsidRDefault="00FE5F0F"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ACAS (2024</w:t>
      </w:r>
      <w:r w:rsidR="008C6C4A" w:rsidRPr="009765E0">
        <w:rPr>
          <w:rFonts w:ascii="Verdana" w:hAnsi="Verdana"/>
          <w:color w:val="auto"/>
          <w:sz w:val="20"/>
          <w:szCs w:val="20"/>
        </w:rPr>
        <w:t>d</w:t>
      </w:r>
      <w:r w:rsidRPr="009765E0">
        <w:rPr>
          <w:rFonts w:ascii="Verdana" w:hAnsi="Verdana"/>
          <w:color w:val="auto"/>
          <w:sz w:val="20"/>
          <w:szCs w:val="20"/>
        </w:rPr>
        <w:t xml:space="preserve">) </w:t>
      </w:r>
      <w:r w:rsidRPr="009765E0">
        <w:rPr>
          <w:rFonts w:ascii="Verdana" w:hAnsi="Verdana"/>
          <w:i/>
          <w:iCs/>
          <w:color w:val="auto"/>
          <w:sz w:val="20"/>
          <w:szCs w:val="20"/>
        </w:rPr>
        <w:t>Code of Practice on requests on flexible working.</w:t>
      </w:r>
      <w:r w:rsidRPr="009765E0">
        <w:rPr>
          <w:rFonts w:ascii="Verdana" w:hAnsi="Verdana"/>
          <w:color w:val="auto"/>
          <w:sz w:val="20"/>
          <w:szCs w:val="20"/>
        </w:rPr>
        <w:t xml:space="preserve"> Available at: </w:t>
      </w:r>
      <w:hyperlink r:id="rId6" w:history="1">
        <w:r w:rsidRPr="009765E0">
          <w:rPr>
            <w:rStyle w:val="Hyperlink"/>
            <w:rFonts w:ascii="Verdana" w:hAnsi="Verdana"/>
            <w:color w:val="auto"/>
            <w:sz w:val="20"/>
            <w:szCs w:val="20"/>
          </w:rPr>
          <w:t>https://www.acas.org.uk/acas-code-of-practice-on-flexible-working-requests/html</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17 March 2025</w:t>
      </w:r>
      <w:r w:rsidR="009765E0">
        <w:rPr>
          <w:rFonts w:ascii="Verdana" w:hAnsi="Verdana"/>
          <w:color w:val="auto"/>
          <w:sz w:val="20"/>
          <w:szCs w:val="20"/>
        </w:rPr>
        <w:t>)</w:t>
      </w:r>
      <w:r w:rsidRPr="009765E0">
        <w:rPr>
          <w:rFonts w:ascii="Verdana" w:hAnsi="Verdana"/>
          <w:color w:val="auto"/>
          <w:sz w:val="20"/>
          <w:szCs w:val="20"/>
        </w:rPr>
        <w:t xml:space="preserve">. </w:t>
      </w:r>
    </w:p>
    <w:p w14:paraId="7BB7FEF3" w14:textId="3023BD7C" w:rsidR="00356B01" w:rsidRPr="009765E0" w:rsidRDefault="00356B01"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ACAS (2024</w:t>
      </w:r>
      <w:r w:rsidR="00656EA0" w:rsidRPr="009765E0">
        <w:rPr>
          <w:rFonts w:ascii="Verdana" w:hAnsi="Verdana"/>
          <w:color w:val="auto"/>
          <w:sz w:val="20"/>
          <w:szCs w:val="20"/>
        </w:rPr>
        <w:t>b</w:t>
      </w:r>
      <w:r w:rsidRPr="009765E0">
        <w:rPr>
          <w:rFonts w:ascii="Verdana" w:hAnsi="Verdana"/>
          <w:color w:val="auto"/>
          <w:sz w:val="20"/>
          <w:szCs w:val="20"/>
        </w:rPr>
        <w:t xml:space="preserve">) </w:t>
      </w:r>
      <w:r w:rsidRPr="009765E0">
        <w:rPr>
          <w:rFonts w:ascii="Verdana" w:hAnsi="Verdana"/>
          <w:i/>
          <w:iCs/>
          <w:color w:val="auto"/>
          <w:sz w:val="20"/>
          <w:szCs w:val="20"/>
        </w:rPr>
        <w:t xml:space="preserve">Collective Consultation for redundancy When you must consult. </w:t>
      </w:r>
      <w:r w:rsidRPr="009765E0">
        <w:rPr>
          <w:rFonts w:ascii="Verdana" w:hAnsi="Verdana"/>
          <w:color w:val="auto"/>
          <w:sz w:val="20"/>
          <w:szCs w:val="20"/>
        </w:rPr>
        <w:t xml:space="preserve">Available at: </w:t>
      </w:r>
      <w:hyperlink r:id="rId7" w:history="1">
        <w:r w:rsidRPr="009765E0">
          <w:rPr>
            <w:rStyle w:val="Hyperlink"/>
            <w:rFonts w:ascii="Verdana" w:hAnsi="Verdana"/>
            <w:color w:val="auto"/>
            <w:sz w:val="20"/>
            <w:szCs w:val="20"/>
          </w:rPr>
          <w:t>https://www.acas.org.uk/collective-consultation-redundancy</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22 March 2025</w:t>
      </w:r>
      <w:r w:rsidR="009765E0">
        <w:rPr>
          <w:rFonts w:ascii="Verdana" w:hAnsi="Verdana"/>
          <w:color w:val="auto"/>
          <w:sz w:val="20"/>
          <w:szCs w:val="20"/>
        </w:rPr>
        <w:t>)</w:t>
      </w:r>
      <w:r w:rsidRPr="009765E0">
        <w:rPr>
          <w:rFonts w:ascii="Verdana" w:hAnsi="Verdana"/>
          <w:color w:val="auto"/>
          <w:sz w:val="20"/>
          <w:szCs w:val="20"/>
        </w:rPr>
        <w:t xml:space="preserve">. </w:t>
      </w:r>
    </w:p>
    <w:p w14:paraId="0A412458" w14:textId="19D7F3EE" w:rsidR="00121F6E" w:rsidRPr="009765E0" w:rsidRDefault="00121F6E"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ACAS (2024</w:t>
      </w:r>
      <w:r w:rsidR="005B0ADB" w:rsidRPr="009765E0">
        <w:rPr>
          <w:rFonts w:ascii="Verdana" w:hAnsi="Verdana"/>
          <w:color w:val="auto"/>
          <w:sz w:val="20"/>
          <w:szCs w:val="20"/>
        </w:rPr>
        <w:t>a</w:t>
      </w:r>
      <w:r w:rsidRPr="009765E0">
        <w:rPr>
          <w:rFonts w:ascii="Verdana" w:hAnsi="Verdana"/>
          <w:color w:val="auto"/>
          <w:sz w:val="20"/>
          <w:szCs w:val="20"/>
        </w:rPr>
        <w:t xml:space="preserve">) </w:t>
      </w:r>
      <w:r w:rsidRPr="009765E0">
        <w:rPr>
          <w:rFonts w:ascii="Verdana" w:hAnsi="Verdana"/>
          <w:i/>
          <w:iCs/>
          <w:color w:val="auto"/>
          <w:sz w:val="20"/>
          <w:szCs w:val="20"/>
        </w:rPr>
        <w:t xml:space="preserve">Dismissals: Constructive Dismissal. </w:t>
      </w:r>
      <w:r w:rsidRPr="009765E0">
        <w:rPr>
          <w:rFonts w:ascii="Verdana" w:hAnsi="Verdana"/>
          <w:color w:val="auto"/>
          <w:sz w:val="20"/>
          <w:szCs w:val="20"/>
        </w:rPr>
        <w:t xml:space="preserve">Available at: </w:t>
      </w:r>
      <w:hyperlink r:id="rId8" w:anchor=":~:text=What%20constructive%20dismissal%20is,place%20of%20work%20without%20agreement" w:history="1">
        <w:r w:rsidRPr="009765E0">
          <w:rPr>
            <w:rStyle w:val="Hyperlink"/>
            <w:rFonts w:ascii="Verdana" w:hAnsi="Verdana"/>
            <w:color w:val="auto"/>
            <w:sz w:val="20"/>
            <w:szCs w:val="20"/>
          </w:rPr>
          <w:t>https://www.acas.org.uk/dismissals/constructive-dismissal#:~:text=What%20constructive%20dismissal%20is,place%20of%20work%20without%20agreement</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22 March 2025</w:t>
      </w:r>
      <w:r w:rsidR="009765E0">
        <w:rPr>
          <w:rFonts w:ascii="Verdana" w:hAnsi="Verdana"/>
          <w:color w:val="auto"/>
          <w:sz w:val="20"/>
          <w:szCs w:val="20"/>
        </w:rPr>
        <w:t>)</w:t>
      </w:r>
      <w:r w:rsidRPr="009765E0">
        <w:rPr>
          <w:rFonts w:ascii="Verdana" w:hAnsi="Verdana"/>
          <w:color w:val="auto"/>
          <w:sz w:val="20"/>
          <w:szCs w:val="20"/>
        </w:rPr>
        <w:t xml:space="preserve">. </w:t>
      </w:r>
    </w:p>
    <w:p w14:paraId="4D35442A" w14:textId="2FD5D93D" w:rsidR="003109EB" w:rsidRPr="009765E0" w:rsidRDefault="00266B48"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ACAS (2024</w:t>
      </w:r>
      <w:r w:rsidR="008C6C4A" w:rsidRPr="009765E0">
        <w:rPr>
          <w:rFonts w:ascii="Verdana" w:hAnsi="Verdana"/>
          <w:color w:val="auto"/>
          <w:sz w:val="20"/>
          <w:szCs w:val="20"/>
        </w:rPr>
        <w:t>c</w:t>
      </w:r>
      <w:r w:rsidRPr="009765E0">
        <w:rPr>
          <w:rFonts w:ascii="Verdana" w:hAnsi="Verdana"/>
          <w:color w:val="auto"/>
          <w:sz w:val="20"/>
          <w:szCs w:val="20"/>
        </w:rPr>
        <w:t xml:space="preserve">) </w:t>
      </w:r>
      <w:r w:rsidRPr="009765E0">
        <w:rPr>
          <w:rFonts w:ascii="Verdana" w:hAnsi="Verdana"/>
          <w:i/>
          <w:iCs/>
          <w:color w:val="auto"/>
          <w:sz w:val="20"/>
          <w:szCs w:val="20"/>
        </w:rPr>
        <w:t>Irregular hours and part year workers Rolled-up holiday pay</w:t>
      </w:r>
      <w:r w:rsidRPr="009765E0">
        <w:rPr>
          <w:rFonts w:ascii="Verdana" w:hAnsi="Verdana"/>
          <w:color w:val="auto"/>
          <w:sz w:val="20"/>
          <w:szCs w:val="20"/>
        </w:rPr>
        <w:t xml:space="preserve">. Available at: </w:t>
      </w:r>
      <w:hyperlink r:id="rId9" w:history="1">
        <w:r w:rsidRPr="009765E0">
          <w:rPr>
            <w:rStyle w:val="Hyperlink"/>
            <w:rFonts w:ascii="Verdana" w:hAnsi="Verdana"/>
            <w:color w:val="auto"/>
            <w:sz w:val="20"/>
            <w:szCs w:val="20"/>
          </w:rPr>
          <w:t>https://www.acas.org.uk/irregular-hours-and-part-year-workers/rolled-up-holiday-pay</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23 March 2025</w:t>
      </w:r>
      <w:r w:rsidR="009765E0">
        <w:rPr>
          <w:rFonts w:ascii="Verdana" w:hAnsi="Verdana"/>
          <w:color w:val="auto"/>
          <w:sz w:val="20"/>
          <w:szCs w:val="20"/>
        </w:rPr>
        <w:t>)</w:t>
      </w:r>
      <w:r w:rsidRPr="009765E0">
        <w:rPr>
          <w:rFonts w:ascii="Verdana" w:hAnsi="Verdana"/>
          <w:color w:val="auto"/>
          <w:sz w:val="20"/>
          <w:szCs w:val="20"/>
        </w:rPr>
        <w:t xml:space="preserve">. </w:t>
      </w:r>
    </w:p>
    <w:p w14:paraId="069684A3" w14:textId="0CBDB9F8" w:rsidR="00266660" w:rsidRPr="009765E0" w:rsidRDefault="00266660"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ACAS (2025) </w:t>
      </w:r>
      <w:r w:rsidRPr="009765E0">
        <w:rPr>
          <w:rFonts w:ascii="Verdana" w:hAnsi="Verdana"/>
          <w:i/>
          <w:iCs/>
          <w:color w:val="auto"/>
          <w:sz w:val="20"/>
          <w:szCs w:val="20"/>
        </w:rPr>
        <w:t xml:space="preserve">Reasonable adjustments at work. </w:t>
      </w:r>
      <w:r w:rsidRPr="009765E0">
        <w:rPr>
          <w:rFonts w:ascii="Verdana" w:hAnsi="Verdana"/>
          <w:color w:val="auto"/>
          <w:sz w:val="20"/>
          <w:szCs w:val="20"/>
        </w:rPr>
        <w:t xml:space="preserve">Available at: </w:t>
      </w:r>
      <w:hyperlink r:id="rId10" w:history="1">
        <w:r w:rsidRPr="009765E0">
          <w:rPr>
            <w:rStyle w:val="Hyperlink"/>
            <w:rFonts w:ascii="Verdana" w:hAnsi="Verdana"/>
            <w:color w:val="auto"/>
            <w:sz w:val="20"/>
            <w:szCs w:val="20"/>
          </w:rPr>
          <w:t>https://www.acas.org.uk/reasonable-adjustments</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23 March 2025</w:t>
      </w:r>
      <w:r w:rsidR="009765E0">
        <w:rPr>
          <w:rFonts w:ascii="Verdana" w:hAnsi="Verdana"/>
          <w:color w:val="auto"/>
          <w:sz w:val="20"/>
          <w:szCs w:val="20"/>
        </w:rPr>
        <w:t>)</w:t>
      </w:r>
      <w:r w:rsidRPr="009765E0">
        <w:rPr>
          <w:rFonts w:ascii="Verdana" w:hAnsi="Verdana"/>
          <w:color w:val="auto"/>
          <w:sz w:val="20"/>
          <w:szCs w:val="20"/>
        </w:rPr>
        <w:t xml:space="preserve">. </w:t>
      </w:r>
    </w:p>
    <w:p w14:paraId="201116D5" w14:textId="25892B13" w:rsidR="00721767" w:rsidRPr="009765E0" w:rsidRDefault="00721767"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Brown, L (2024) </w:t>
      </w:r>
      <w:r w:rsidR="00DA6427">
        <w:rPr>
          <w:rFonts w:ascii="Verdana" w:hAnsi="Verdana"/>
          <w:color w:val="auto"/>
          <w:sz w:val="20"/>
          <w:szCs w:val="20"/>
        </w:rPr>
        <w:t>‘</w:t>
      </w:r>
      <w:r w:rsidRPr="009765E0">
        <w:rPr>
          <w:rFonts w:ascii="Verdana" w:hAnsi="Verdana"/>
          <w:color w:val="auto"/>
          <w:sz w:val="20"/>
          <w:szCs w:val="20"/>
        </w:rPr>
        <w:t>Mothe</w:t>
      </w:r>
      <w:r w:rsidR="00DA6427">
        <w:rPr>
          <w:rFonts w:ascii="Verdana" w:hAnsi="Verdana"/>
          <w:color w:val="auto"/>
          <w:sz w:val="20"/>
          <w:szCs w:val="20"/>
        </w:rPr>
        <w:t>r</w:t>
      </w:r>
      <w:r w:rsidRPr="009765E0">
        <w:rPr>
          <w:rFonts w:ascii="Verdana" w:hAnsi="Verdana"/>
          <w:color w:val="auto"/>
          <w:sz w:val="20"/>
          <w:szCs w:val="20"/>
        </w:rPr>
        <w:t xml:space="preserve"> who had job offer rescinded after being asked children’s ages wins £90k at tribunal</w:t>
      </w:r>
      <w:r w:rsidR="00DA6427">
        <w:rPr>
          <w:rFonts w:ascii="Verdana" w:hAnsi="Verdana"/>
          <w:color w:val="auto"/>
          <w:sz w:val="20"/>
          <w:szCs w:val="20"/>
        </w:rPr>
        <w:t>’</w:t>
      </w:r>
      <w:r w:rsidRPr="009765E0">
        <w:rPr>
          <w:rFonts w:ascii="Verdana" w:hAnsi="Verdana"/>
          <w:color w:val="auto"/>
          <w:sz w:val="20"/>
          <w:szCs w:val="20"/>
        </w:rPr>
        <w:t>.</w:t>
      </w:r>
      <w:r w:rsidR="00DA6427">
        <w:rPr>
          <w:rFonts w:ascii="Verdana" w:hAnsi="Verdana"/>
          <w:i/>
          <w:iCs/>
          <w:color w:val="auto"/>
          <w:sz w:val="20"/>
          <w:szCs w:val="20"/>
        </w:rPr>
        <w:t xml:space="preserve"> People Management,</w:t>
      </w:r>
      <w:r w:rsidR="00DA6427">
        <w:rPr>
          <w:rFonts w:ascii="Verdana" w:hAnsi="Verdana"/>
          <w:color w:val="auto"/>
          <w:sz w:val="20"/>
          <w:szCs w:val="20"/>
        </w:rPr>
        <w:t xml:space="preserve"> 10 July.</w:t>
      </w:r>
      <w:r w:rsidR="00DA6427">
        <w:rPr>
          <w:rFonts w:ascii="Verdana" w:hAnsi="Verdana"/>
          <w:i/>
          <w:iCs/>
          <w:color w:val="auto"/>
          <w:sz w:val="20"/>
          <w:szCs w:val="20"/>
        </w:rPr>
        <w:t xml:space="preserve"> </w:t>
      </w:r>
      <w:r w:rsidRPr="009765E0">
        <w:rPr>
          <w:rFonts w:ascii="Verdana" w:hAnsi="Verdana"/>
          <w:color w:val="auto"/>
          <w:sz w:val="20"/>
          <w:szCs w:val="20"/>
        </w:rPr>
        <w:t xml:space="preserve"> Available at: </w:t>
      </w:r>
      <w:hyperlink r:id="rId11" w:history="1">
        <w:r w:rsidRPr="009765E0">
          <w:rPr>
            <w:rStyle w:val="Hyperlink"/>
            <w:rFonts w:ascii="Verdana" w:hAnsi="Verdana"/>
            <w:color w:val="auto"/>
            <w:sz w:val="20"/>
            <w:szCs w:val="20"/>
          </w:rPr>
          <w:t>https://www.peoplemanagement.co.uk/article/1880255/mother-job-offer-rescinded-asked-childrens-ages-wins-90k-</w:t>
        </w:r>
        <w:r w:rsidRPr="009765E0">
          <w:rPr>
            <w:rStyle w:val="Hyperlink"/>
            <w:rFonts w:ascii="Verdana" w:hAnsi="Verdana"/>
            <w:color w:val="auto"/>
            <w:sz w:val="20"/>
            <w:szCs w:val="20"/>
          </w:rPr>
          <w:t>t</w:t>
        </w:r>
        <w:r w:rsidRPr="009765E0">
          <w:rPr>
            <w:rStyle w:val="Hyperlink"/>
            <w:rFonts w:ascii="Verdana" w:hAnsi="Verdana"/>
            <w:color w:val="auto"/>
            <w:sz w:val="20"/>
            <w:szCs w:val="20"/>
          </w:rPr>
          <w:t>ribunal</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19 March 2025). </w:t>
      </w:r>
    </w:p>
    <w:p w14:paraId="58661495" w14:textId="1073AF05" w:rsidR="005E1953" w:rsidRPr="009765E0" w:rsidRDefault="005E1953"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CIPD (2024a) </w:t>
      </w:r>
      <w:r w:rsidRPr="009765E0">
        <w:rPr>
          <w:rFonts w:ascii="Verdana" w:hAnsi="Verdana"/>
          <w:i/>
          <w:iCs/>
          <w:color w:val="auto"/>
          <w:sz w:val="20"/>
          <w:szCs w:val="20"/>
        </w:rPr>
        <w:t>Equality, diversity and inclusion (EDI) in the workplace</w:t>
      </w:r>
      <w:r w:rsidRPr="009765E0">
        <w:rPr>
          <w:rFonts w:ascii="Verdana" w:hAnsi="Verdana"/>
          <w:color w:val="auto"/>
          <w:sz w:val="20"/>
          <w:szCs w:val="20"/>
        </w:rPr>
        <w:t xml:space="preserve">. Available at: </w:t>
      </w:r>
      <w:hyperlink r:id="rId12" w:history="1">
        <w:r w:rsidRPr="009765E0">
          <w:rPr>
            <w:rStyle w:val="Hyperlink"/>
            <w:rFonts w:ascii="Verdana" w:hAnsi="Verdana"/>
            <w:color w:val="auto"/>
            <w:sz w:val="20"/>
            <w:szCs w:val="20"/>
          </w:rPr>
          <w:t>https://www.cipd.org/uk/knowledge/factsheets/diversity-factsheet/</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23 March 2025</w:t>
      </w:r>
      <w:r w:rsidR="009765E0">
        <w:rPr>
          <w:rFonts w:ascii="Verdana" w:hAnsi="Verdana"/>
          <w:color w:val="auto"/>
          <w:sz w:val="20"/>
          <w:szCs w:val="20"/>
        </w:rPr>
        <w:t>)</w:t>
      </w:r>
      <w:r w:rsidRPr="009765E0">
        <w:rPr>
          <w:rFonts w:ascii="Verdana" w:hAnsi="Verdana"/>
          <w:color w:val="auto"/>
          <w:sz w:val="20"/>
          <w:szCs w:val="20"/>
        </w:rPr>
        <w:t xml:space="preserve">. </w:t>
      </w:r>
    </w:p>
    <w:p w14:paraId="40ABB98D" w14:textId="515F2511" w:rsidR="00E6434C" w:rsidRPr="009765E0" w:rsidRDefault="00E6434C"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CIPD (2024</w:t>
      </w:r>
      <w:r w:rsidR="005B0ADB" w:rsidRPr="009765E0">
        <w:rPr>
          <w:rFonts w:ascii="Verdana" w:hAnsi="Verdana"/>
          <w:color w:val="auto"/>
          <w:sz w:val="20"/>
          <w:szCs w:val="20"/>
        </w:rPr>
        <w:t>c</w:t>
      </w:r>
      <w:r w:rsidRPr="009765E0">
        <w:rPr>
          <w:rFonts w:ascii="Verdana" w:hAnsi="Verdana"/>
          <w:color w:val="auto"/>
          <w:sz w:val="20"/>
          <w:szCs w:val="20"/>
        </w:rPr>
        <w:t xml:space="preserve">). </w:t>
      </w:r>
      <w:r w:rsidRPr="009765E0">
        <w:rPr>
          <w:rFonts w:ascii="Verdana" w:hAnsi="Verdana"/>
          <w:i/>
          <w:iCs/>
          <w:color w:val="auto"/>
          <w:sz w:val="20"/>
          <w:szCs w:val="20"/>
        </w:rPr>
        <w:t>Equal Pay: Uk Employment law.</w:t>
      </w:r>
      <w:r w:rsidRPr="009765E0">
        <w:rPr>
          <w:rFonts w:ascii="Verdana" w:hAnsi="Verdana"/>
          <w:color w:val="auto"/>
          <w:sz w:val="20"/>
          <w:szCs w:val="20"/>
        </w:rPr>
        <w:t xml:space="preserve"> Available at </w:t>
      </w:r>
      <w:hyperlink r:id="rId13" w:history="1">
        <w:r w:rsidRPr="009765E0">
          <w:rPr>
            <w:rStyle w:val="Hyperlink"/>
            <w:rFonts w:ascii="Verdana" w:hAnsi="Verdana"/>
            <w:color w:val="auto"/>
            <w:sz w:val="20"/>
            <w:szCs w:val="20"/>
          </w:rPr>
          <w:t>https://www.cipd.org/uk/knowledge/employment-law/equal-pay/</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22 March 2025</w:t>
      </w:r>
      <w:r w:rsidR="009765E0">
        <w:rPr>
          <w:rFonts w:ascii="Verdana" w:hAnsi="Verdana"/>
          <w:color w:val="auto"/>
          <w:sz w:val="20"/>
          <w:szCs w:val="20"/>
        </w:rPr>
        <w:t>)</w:t>
      </w:r>
      <w:r w:rsidRPr="009765E0">
        <w:rPr>
          <w:rFonts w:ascii="Verdana" w:hAnsi="Verdana"/>
          <w:color w:val="auto"/>
          <w:sz w:val="20"/>
          <w:szCs w:val="20"/>
        </w:rPr>
        <w:t xml:space="preserve">. </w:t>
      </w:r>
      <w:r w:rsidR="009A4F20" w:rsidRPr="009765E0">
        <w:rPr>
          <w:rFonts w:ascii="Verdana" w:hAnsi="Verdana"/>
          <w:color w:val="auto"/>
          <w:sz w:val="20"/>
          <w:szCs w:val="20"/>
        </w:rPr>
        <w:t xml:space="preserve"> </w:t>
      </w:r>
    </w:p>
    <w:p w14:paraId="1CAF9D35" w14:textId="7467364A" w:rsidR="005E1953" w:rsidRPr="009765E0" w:rsidRDefault="005E1953"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lastRenderedPageBreak/>
        <w:t>CIPD (2024</w:t>
      </w:r>
      <w:r w:rsidR="005B0ADB" w:rsidRPr="009765E0">
        <w:rPr>
          <w:rFonts w:ascii="Verdana" w:hAnsi="Verdana"/>
          <w:color w:val="auto"/>
          <w:sz w:val="20"/>
          <w:szCs w:val="20"/>
        </w:rPr>
        <w:t>e</w:t>
      </w:r>
      <w:r w:rsidRPr="009765E0">
        <w:rPr>
          <w:rFonts w:ascii="Verdana" w:hAnsi="Verdana"/>
          <w:color w:val="auto"/>
          <w:sz w:val="20"/>
          <w:szCs w:val="20"/>
        </w:rPr>
        <w:t xml:space="preserve">) </w:t>
      </w:r>
      <w:r w:rsidRPr="009765E0">
        <w:rPr>
          <w:rFonts w:ascii="Verdana" w:hAnsi="Verdana"/>
          <w:i/>
          <w:iCs/>
          <w:color w:val="auto"/>
          <w:sz w:val="20"/>
          <w:szCs w:val="20"/>
        </w:rPr>
        <w:t>Flexible working practices</w:t>
      </w:r>
      <w:r w:rsidRPr="009765E0">
        <w:rPr>
          <w:rFonts w:ascii="Verdana" w:hAnsi="Verdana"/>
          <w:color w:val="auto"/>
          <w:sz w:val="20"/>
          <w:szCs w:val="20"/>
        </w:rPr>
        <w:t xml:space="preserve">. Available at: </w:t>
      </w:r>
      <w:hyperlink r:id="rId14" w:history="1">
        <w:r w:rsidRPr="009765E0">
          <w:rPr>
            <w:rStyle w:val="Hyperlink"/>
            <w:rFonts w:ascii="Verdana" w:hAnsi="Verdana"/>
            <w:color w:val="auto"/>
            <w:sz w:val="20"/>
            <w:szCs w:val="20"/>
          </w:rPr>
          <w:t>https://www.cipd.org/uk/knowledge/factsheets/flexible-working-factsheet/</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17 March 2024</w:t>
      </w:r>
      <w:r w:rsidR="009765E0">
        <w:rPr>
          <w:rFonts w:ascii="Verdana" w:hAnsi="Verdana"/>
          <w:color w:val="auto"/>
          <w:sz w:val="20"/>
          <w:szCs w:val="20"/>
        </w:rPr>
        <w:t>)</w:t>
      </w:r>
    </w:p>
    <w:p w14:paraId="6F281D0C" w14:textId="64C66555" w:rsidR="005B0ADB" w:rsidRPr="009765E0" w:rsidRDefault="005B0ADB"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CIPD (2024d) </w:t>
      </w:r>
      <w:r w:rsidRPr="009765E0">
        <w:rPr>
          <w:rFonts w:ascii="Verdana" w:hAnsi="Verdana"/>
          <w:i/>
          <w:iCs/>
          <w:color w:val="auto"/>
          <w:sz w:val="20"/>
          <w:szCs w:val="20"/>
        </w:rPr>
        <w:t xml:space="preserve">Inclusive recruitment: Guide for People professionals. </w:t>
      </w:r>
      <w:r w:rsidRPr="009765E0">
        <w:rPr>
          <w:rFonts w:ascii="Verdana" w:hAnsi="Verdana"/>
          <w:color w:val="auto"/>
          <w:sz w:val="20"/>
          <w:szCs w:val="20"/>
        </w:rPr>
        <w:t xml:space="preserve">Available at: </w:t>
      </w:r>
      <w:hyperlink r:id="rId15" w:history="1">
        <w:r w:rsidRPr="009765E0">
          <w:rPr>
            <w:rStyle w:val="Hyperlink"/>
            <w:rFonts w:ascii="Verdana" w:hAnsi="Verdana"/>
            <w:color w:val="auto"/>
            <w:sz w:val="20"/>
            <w:szCs w:val="20"/>
          </w:rPr>
          <w:t>https://www.cipd.org/uk/knowledge/guides/inclusive-employers/</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23 March 2025</w:t>
      </w:r>
      <w:r w:rsidR="009765E0">
        <w:rPr>
          <w:rFonts w:ascii="Verdana" w:hAnsi="Verdana"/>
          <w:color w:val="auto"/>
          <w:sz w:val="20"/>
          <w:szCs w:val="20"/>
        </w:rPr>
        <w:t>)</w:t>
      </w:r>
      <w:r w:rsidRPr="009765E0">
        <w:rPr>
          <w:rFonts w:ascii="Verdana" w:hAnsi="Verdana"/>
          <w:color w:val="auto"/>
          <w:sz w:val="20"/>
          <w:szCs w:val="20"/>
        </w:rPr>
        <w:t xml:space="preserve">. </w:t>
      </w:r>
    </w:p>
    <w:p w14:paraId="3588B775" w14:textId="33AC4867" w:rsidR="00D44605" w:rsidRPr="009765E0" w:rsidRDefault="00D44605"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CIPD (2024b) </w:t>
      </w:r>
      <w:r w:rsidRPr="009765E0">
        <w:rPr>
          <w:rFonts w:ascii="Verdana" w:hAnsi="Verdana"/>
          <w:i/>
          <w:iCs/>
          <w:color w:val="auto"/>
          <w:sz w:val="20"/>
          <w:szCs w:val="20"/>
        </w:rPr>
        <w:t>Recruitment: UK employment law</w:t>
      </w:r>
      <w:r w:rsidRPr="009765E0">
        <w:rPr>
          <w:rFonts w:ascii="Verdana" w:hAnsi="Verdana"/>
          <w:color w:val="auto"/>
          <w:sz w:val="20"/>
          <w:szCs w:val="20"/>
        </w:rPr>
        <w:t xml:space="preserve">. Available at: </w:t>
      </w:r>
      <w:hyperlink r:id="rId16" w:history="1">
        <w:r w:rsidRPr="009765E0">
          <w:rPr>
            <w:rStyle w:val="Hyperlink"/>
            <w:rFonts w:ascii="Verdana" w:hAnsi="Verdana"/>
            <w:color w:val="auto"/>
            <w:sz w:val="20"/>
            <w:szCs w:val="20"/>
          </w:rPr>
          <w:t>https://www.cipd.org/uk/knowledge/employment-law/recruitment/#case-law</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23 March 2025</w:t>
      </w:r>
      <w:r w:rsidR="009765E0">
        <w:rPr>
          <w:rFonts w:ascii="Verdana" w:hAnsi="Verdana"/>
          <w:color w:val="auto"/>
          <w:sz w:val="20"/>
          <w:szCs w:val="20"/>
        </w:rPr>
        <w:t>)</w:t>
      </w:r>
      <w:r w:rsidRPr="009765E0">
        <w:rPr>
          <w:rFonts w:ascii="Verdana" w:hAnsi="Verdana"/>
          <w:color w:val="auto"/>
          <w:sz w:val="20"/>
          <w:szCs w:val="20"/>
        </w:rPr>
        <w:t xml:space="preserve">. </w:t>
      </w:r>
    </w:p>
    <w:p w14:paraId="5072BD1F" w14:textId="77777777" w:rsidR="009765E0" w:rsidRDefault="003B56DD"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CIPD (2024</w:t>
      </w:r>
      <w:r w:rsidR="008C6C4A" w:rsidRPr="009765E0">
        <w:rPr>
          <w:rFonts w:ascii="Verdana" w:hAnsi="Verdana"/>
          <w:color w:val="auto"/>
          <w:sz w:val="20"/>
          <w:szCs w:val="20"/>
        </w:rPr>
        <w:t>f</w:t>
      </w:r>
      <w:r w:rsidRPr="009765E0">
        <w:rPr>
          <w:rFonts w:ascii="Verdana" w:hAnsi="Verdana"/>
          <w:color w:val="auto"/>
          <w:sz w:val="20"/>
          <w:szCs w:val="20"/>
        </w:rPr>
        <w:t xml:space="preserve">) </w:t>
      </w:r>
      <w:r w:rsidRPr="009765E0">
        <w:rPr>
          <w:rFonts w:ascii="Verdana" w:hAnsi="Verdana"/>
          <w:i/>
          <w:iCs/>
          <w:color w:val="auto"/>
          <w:sz w:val="20"/>
          <w:szCs w:val="20"/>
        </w:rPr>
        <w:t>Tupe Transfers: Guide for people professionals.</w:t>
      </w:r>
      <w:r w:rsidRPr="009765E0">
        <w:rPr>
          <w:rFonts w:ascii="Verdana" w:hAnsi="Verdana"/>
          <w:color w:val="auto"/>
          <w:sz w:val="20"/>
          <w:szCs w:val="20"/>
        </w:rPr>
        <w:t xml:space="preserve"> Available at: </w:t>
      </w:r>
      <w:hyperlink r:id="rId17" w:history="1">
        <w:r w:rsidRPr="009765E0">
          <w:rPr>
            <w:rStyle w:val="Hyperlink"/>
            <w:rFonts w:ascii="Verdana" w:hAnsi="Verdana"/>
            <w:color w:val="auto"/>
            <w:sz w:val="20"/>
            <w:szCs w:val="20"/>
          </w:rPr>
          <w:t>https://www.cipd.org/uk/knowledge/guides/tupe-guide/</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23 March 2025</w:t>
      </w:r>
      <w:r w:rsidR="009765E0">
        <w:rPr>
          <w:rFonts w:ascii="Verdana" w:hAnsi="Verdana"/>
          <w:color w:val="auto"/>
          <w:sz w:val="20"/>
          <w:szCs w:val="20"/>
        </w:rPr>
        <w:t>)</w:t>
      </w:r>
      <w:r w:rsidRPr="009765E0">
        <w:rPr>
          <w:rFonts w:ascii="Verdana" w:hAnsi="Verdana"/>
          <w:color w:val="auto"/>
          <w:sz w:val="20"/>
          <w:szCs w:val="20"/>
        </w:rPr>
        <w:t xml:space="preserve">. </w:t>
      </w:r>
    </w:p>
    <w:p w14:paraId="2AE53B73" w14:textId="6C453A4B" w:rsidR="006322BC" w:rsidRDefault="006322BC" w:rsidP="00FC1ABB">
      <w:pPr>
        <w:pStyle w:val="Listparag"/>
        <w:spacing w:before="240" w:after="0" w:line="240" w:lineRule="auto"/>
        <w:rPr>
          <w:rFonts w:ascii="Verdana" w:hAnsi="Verdana"/>
          <w:color w:val="auto"/>
          <w:sz w:val="20"/>
          <w:szCs w:val="20"/>
        </w:rPr>
      </w:pPr>
      <w:r>
        <w:rPr>
          <w:rFonts w:ascii="Verdana" w:hAnsi="Verdana"/>
          <w:color w:val="auto"/>
          <w:sz w:val="20"/>
          <w:szCs w:val="20"/>
        </w:rPr>
        <w:t xml:space="preserve">Daniels, K. (2024) </w:t>
      </w:r>
      <w:r>
        <w:rPr>
          <w:rFonts w:ascii="Verdana" w:hAnsi="Verdana"/>
          <w:i/>
          <w:iCs/>
          <w:color w:val="auto"/>
          <w:sz w:val="20"/>
          <w:szCs w:val="20"/>
        </w:rPr>
        <w:t xml:space="preserve">Introduction to employment law: </w:t>
      </w:r>
      <w:proofErr w:type="spellStart"/>
      <w:r>
        <w:rPr>
          <w:rFonts w:ascii="Verdana" w:hAnsi="Verdana"/>
          <w:i/>
          <w:iCs/>
          <w:color w:val="auto"/>
          <w:sz w:val="20"/>
          <w:szCs w:val="20"/>
        </w:rPr>
        <w:t>Fundimentals</w:t>
      </w:r>
      <w:proofErr w:type="spellEnd"/>
      <w:r>
        <w:rPr>
          <w:rFonts w:ascii="Verdana" w:hAnsi="Verdana"/>
          <w:i/>
          <w:iCs/>
          <w:color w:val="auto"/>
          <w:sz w:val="20"/>
          <w:szCs w:val="20"/>
        </w:rPr>
        <w:t xml:space="preserve"> for HR and Business Students.</w:t>
      </w:r>
      <w:r>
        <w:rPr>
          <w:rFonts w:ascii="Verdana" w:hAnsi="Verdana"/>
          <w:color w:val="auto"/>
          <w:sz w:val="20"/>
          <w:szCs w:val="20"/>
        </w:rPr>
        <w:t xml:space="preserve"> 7</w:t>
      </w:r>
      <w:r w:rsidRPr="006322BC">
        <w:rPr>
          <w:rFonts w:ascii="Verdana" w:hAnsi="Verdana"/>
          <w:color w:val="auto"/>
          <w:sz w:val="20"/>
          <w:szCs w:val="20"/>
          <w:vertAlign w:val="superscript"/>
        </w:rPr>
        <w:t>th</w:t>
      </w:r>
      <w:r>
        <w:rPr>
          <w:rFonts w:ascii="Verdana" w:hAnsi="Verdana"/>
          <w:color w:val="auto"/>
          <w:sz w:val="20"/>
          <w:szCs w:val="20"/>
        </w:rPr>
        <w:t xml:space="preserve"> </w:t>
      </w:r>
      <w:proofErr w:type="spellStart"/>
      <w:r>
        <w:rPr>
          <w:rFonts w:ascii="Verdana" w:hAnsi="Verdana"/>
          <w:color w:val="auto"/>
          <w:sz w:val="20"/>
          <w:szCs w:val="20"/>
        </w:rPr>
        <w:t>Edn</w:t>
      </w:r>
      <w:proofErr w:type="spellEnd"/>
      <w:r>
        <w:rPr>
          <w:rFonts w:ascii="Verdana" w:hAnsi="Verdana"/>
          <w:color w:val="auto"/>
          <w:sz w:val="20"/>
          <w:szCs w:val="20"/>
        </w:rPr>
        <w:t>. London: Kogan Page.</w:t>
      </w:r>
    </w:p>
    <w:p w14:paraId="03B9A4F6" w14:textId="30AEA9C2" w:rsidR="006322BC" w:rsidRDefault="006322BC"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Department for Business and Trade (2020) </w:t>
      </w:r>
      <w:r w:rsidRPr="009765E0">
        <w:rPr>
          <w:rFonts w:ascii="Verdana" w:hAnsi="Verdana"/>
          <w:i/>
          <w:iCs/>
          <w:color w:val="auto"/>
          <w:sz w:val="20"/>
          <w:szCs w:val="20"/>
        </w:rPr>
        <w:t xml:space="preserve">Guidance Calculating holiday pay for workers without fixed hours or pay. </w:t>
      </w:r>
      <w:r w:rsidRPr="009765E0">
        <w:rPr>
          <w:rFonts w:ascii="Verdana" w:hAnsi="Verdana"/>
          <w:color w:val="auto"/>
          <w:sz w:val="20"/>
          <w:szCs w:val="20"/>
        </w:rPr>
        <w:t xml:space="preserve">Available on: </w:t>
      </w:r>
      <w:hyperlink r:id="rId18" w:history="1">
        <w:r w:rsidRPr="009765E0">
          <w:rPr>
            <w:rStyle w:val="Hyperlink"/>
            <w:rFonts w:ascii="Verdana" w:hAnsi="Verdana"/>
            <w:color w:val="auto"/>
            <w:sz w:val="20"/>
            <w:szCs w:val="20"/>
          </w:rPr>
          <w:t>https://www.gov.uk/government/publications/calculating-holiday-pay-for-workers-without-fixed-hours-or-pay/calculating-holiday-pay-for-workers-without-fixed-hours-or-pay--2</w:t>
        </w:r>
      </w:hyperlink>
      <w:r w:rsidRPr="009765E0">
        <w:rPr>
          <w:rFonts w:ascii="Verdana" w:hAnsi="Verdana"/>
          <w:color w:val="auto"/>
          <w:sz w:val="20"/>
          <w:szCs w:val="20"/>
        </w:rPr>
        <w:t xml:space="preserve"> </w:t>
      </w:r>
      <w:r>
        <w:rPr>
          <w:rFonts w:ascii="Verdana" w:hAnsi="Verdana"/>
          <w:color w:val="auto"/>
          <w:sz w:val="20"/>
          <w:szCs w:val="20"/>
        </w:rPr>
        <w:t>(</w:t>
      </w:r>
      <w:r w:rsidRPr="009765E0">
        <w:rPr>
          <w:rFonts w:ascii="Verdana" w:hAnsi="Verdana"/>
          <w:color w:val="auto"/>
          <w:sz w:val="20"/>
          <w:szCs w:val="20"/>
        </w:rPr>
        <w:t>Accessed</w:t>
      </w:r>
      <w:r>
        <w:rPr>
          <w:rFonts w:ascii="Verdana" w:hAnsi="Verdana"/>
          <w:color w:val="auto"/>
          <w:sz w:val="20"/>
          <w:szCs w:val="20"/>
        </w:rPr>
        <w:t>:</w:t>
      </w:r>
      <w:r w:rsidRPr="009765E0">
        <w:rPr>
          <w:rFonts w:ascii="Verdana" w:hAnsi="Verdana"/>
          <w:color w:val="auto"/>
          <w:sz w:val="20"/>
          <w:szCs w:val="20"/>
        </w:rPr>
        <w:t>23 March 2025</w:t>
      </w:r>
      <w:r>
        <w:rPr>
          <w:rFonts w:ascii="Verdana" w:hAnsi="Verdana"/>
          <w:color w:val="auto"/>
          <w:sz w:val="20"/>
          <w:szCs w:val="20"/>
        </w:rPr>
        <w:t>)</w:t>
      </w:r>
      <w:r w:rsidRPr="009765E0">
        <w:rPr>
          <w:rFonts w:ascii="Verdana" w:hAnsi="Verdana"/>
          <w:color w:val="auto"/>
          <w:sz w:val="20"/>
          <w:szCs w:val="20"/>
        </w:rPr>
        <w:t xml:space="preserve">. </w:t>
      </w:r>
    </w:p>
    <w:p w14:paraId="19FBB5D7" w14:textId="6D814BD0" w:rsidR="006322BC" w:rsidRDefault="006322BC" w:rsidP="006322BC">
      <w:pPr>
        <w:spacing w:before="240"/>
        <w:rPr>
          <w:rFonts w:ascii="Verdana" w:hAnsi="Verdana"/>
          <w:sz w:val="20"/>
          <w:szCs w:val="20"/>
        </w:rPr>
      </w:pPr>
      <w:r>
        <w:rPr>
          <w:rFonts w:ascii="Verdana" w:hAnsi="Verdana"/>
          <w:sz w:val="20"/>
          <w:szCs w:val="20"/>
        </w:rPr>
        <w:t>Department for Business &amp; Trade</w:t>
      </w:r>
      <w:r w:rsidRPr="009765E0">
        <w:rPr>
          <w:rFonts w:ascii="Verdana" w:hAnsi="Verdana"/>
          <w:sz w:val="20"/>
          <w:szCs w:val="20"/>
        </w:rPr>
        <w:t xml:space="preserve"> (2024) </w:t>
      </w:r>
      <w:r w:rsidRPr="00DA6427">
        <w:rPr>
          <w:rFonts w:ascii="Verdana" w:hAnsi="Verdana"/>
          <w:i/>
          <w:iCs/>
          <w:sz w:val="20"/>
          <w:szCs w:val="20"/>
        </w:rPr>
        <w:t>Holiday Pay and Entitlement reforms from 1 January 2024.</w:t>
      </w:r>
      <w:r w:rsidRPr="009765E0">
        <w:rPr>
          <w:rFonts w:ascii="Verdana" w:hAnsi="Verdana"/>
          <w:sz w:val="20"/>
          <w:szCs w:val="20"/>
        </w:rPr>
        <w:t xml:space="preserve"> Available at: </w:t>
      </w:r>
      <w:hyperlink r:id="rId19" w:history="1">
        <w:r w:rsidRPr="009765E0">
          <w:rPr>
            <w:rStyle w:val="Hyperlink"/>
            <w:rFonts w:ascii="Verdana" w:hAnsi="Verdana"/>
            <w:color w:val="auto"/>
            <w:sz w:val="20"/>
            <w:szCs w:val="20"/>
          </w:rPr>
          <w:t>https://www.gov.uk/go</w:t>
        </w:r>
        <w:r w:rsidRPr="009765E0">
          <w:rPr>
            <w:rStyle w:val="Hyperlink"/>
            <w:rFonts w:ascii="Verdana" w:hAnsi="Verdana"/>
            <w:color w:val="auto"/>
            <w:sz w:val="20"/>
            <w:szCs w:val="20"/>
          </w:rPr>
          <w:t>v</w:t>
        </w:r>
        <w:r w:rsidRPr="009765E0">
          <w:rPr>
            <w:rStyle w:val="Hyperlink"/>
            <w:rFonts w:ascii="Verdana" w:hAnsi="Verdana"/>
            <w:color w:val="auto"/>
            <w:sz w:val="20"/>
            <w:szCs w:val="20"/>
          </w:rPr>
          <w:t>ernment/publications/simplifying-holiday-entitlement-and-holiday-pay-calculations/holiday-pay-and-entitlement-reforms-from-1-january-2024</w:t>
        </w:r>
      </w:hyperlink>
      <w:r w:rsidRPr="009765E0">
        <w:rPr>
          <w:rFonts w:ascii="Verdana" w:hAnsi="Verdana"/>
          <w:sz w:val="20"/>
          <w:szCs w:val="20"/>
        </w:rPr>
        <w:t xml:space="preserve">  </w:t>
      </w:r>
      <w:r>
        <w:rPr>
          <w:rFonts w:ascii="Verdana" w:hAnsi="Verdana"/>
          <w:sz w:val="20"/>
          <w:szCs w:val="20"/>
        </w:rPr>
        <w:t>(Accessed:</w:t>
      </w:r>
      <w:r w:rsidRPr="009765E0">
        <w:rPr>
          <w:rFonts w:ascii="Verdana" w:hAnsi="Verdana"/>
          <w:sz w:val="20"/>
          <w:szCs w:val="20"/>
        </w:rPr>
        <w:t xml:space="preserve"> 19 March 2025</w:t>
      </w:r>
      <w:r>
        <w:rPr>
          <w:rFonts w:ascii="Verdana" w:hAnsi="Verdana"/>
          <w:sz w:val="20"/>
          <w:szCs w:val="20"/>
        </w:rPr>
        <w:t>)</w:t>
      </w:r>
      <w:r w:rsidRPr="009765E0">
        <w:rPr>
          <w:rFonts w:ascii="Verdana" w:hAnsi="Verdana"/>
          <w:sz w:val="20"/>
          <w:szCs w:val="20"/>
        </w:rPr>
        <w:t xml:space="preserve">. </w:t>
      </w:r>
    </w:p>
    <w:p w14:paraId="283FB390" w14:textId="0958427F" w:rsidR="00110B8F" w:rsidRPr="009765E0" w:rsidRDefault="00DA6427" w:rsidP="00FC1ABB">
      <w:pPr>
        <w:pStyle w:val="Listparag"/>
        <w:spacing w:before="240" w:after="0" w:line="240" w:lineRule="auto"/>
        <w:rPr>
          <w:rFonts w:ascii="Verdana" w:hAnsi="Verdana"/>
          <w:color w:val="auto"/>
          <w:sz w:val="20"/>
          <w:szCs w:val="20"/>
        </w:rPr>
      </w:pPr>
      <w:r>
        <w:rPr>
          <w:rFonts w:ascii="Verdana" w:hAnsi="Verdana"/>
          <w:color w:val="auto"/>
          <w:sz w:val="20"/>
          <w:szCs w:val="20"/>
        </w:rPr>
        <w:t>Department of Work &amp; Pensions (</w:t>
      </w:r>
      <w:proofErr w:type="spellStart"/>
      <w:r>
        <w:rPr>
          <w:rFonts w:ascii="Verdana" w:hAnsi="Verdana"/>
          <w:color w:val="auto"/>
          <w:sz w:val="20"/>
          <w:szCs w:val="20"/>
        </w:rPr>
        <w:t>n.d</w:t>
      </w:r>
      <w:proofErr w:type="spellEnd"/>
      <w:r>
        <w:rPr>
          <w:rFonts w:ascii="Verdana" w:hAnsi="Verdana"/>
          <w:color w:val="auto"/>
          <w:sz w:val="20"/>
          <w:szCs w:val="20"/>
        </w:rPr>
        <w:t xml:space="preserve">) </w:t>
      </w:r>
      <w:r>
        <w:rPr>
          <w:rFonts w:ascii="Verdana" w:hAnsi="Verdana"/>
          <w:i/>
          <w:iCs/>
          <w:color w:val="auto"/>
          <w:sz w:val="20"/>
          <w:szCs w:val="20"/>
        </w:rPr>
        <w:t xml:space="preserve">Maximum weekly working hours. </w:t>
      </w:r>
      <w:r>
        <w:rPr>
          <w:rFonts w:ascii="Verdana" w:hAnsi="Verdana"/>
          <w:color w:val="auto"/>
          <w:sz w:val="20"/>
          <w:szCs w:val="20"/>
        </w:rPr>
        <w:t xml:space="preserve">Available at: </w:t>
      </w:r>
      <w:hyperlink r:id="rId20" w:history="1">
        <w:r w:rsidRPr="00385BB9">
          <w:rPr>
            <w:rStyle w:val="Hyperlink"/>
            <w:rFonts w:ascii="Verdana" w:hAnsi="Verdana"/>
            <w:sz w:val="20"/>
            <w:szCs w:val="20"/>
          </w:rPr>
          <w:t>https://www.gov.</w:t>
        </w:r>
        <w:r w:rsidRPr="00385BB9">
          <w:rPr>
            <w:rStyle w:val="Hyperlink"/>
            <w:rFonts w:ascii="Verdana" w:hAnsi="Verdana"/>
            <w:sz w:val="20"/>
            <w:szCs w:val="20"/>
          </w:rPr>
          <w:t>u</w:t>
        </w:r>
        <w:r w:rsidRPr="00385BB9">
          <w:rPr>
            <w:rStyle w:val="Hyperlink"/>
            <w:rFonts w:ascii="Verdana" w:hAnsi="Verdana"/>
            <w:sz w:val="20"/>
            <w:szCs w:val="20"/>
          </w:rPr>
          <w:t>k/maximum-weekly-wor</w:t>
        </w:r>
        <w:r w:rsidRPr="00385BB9">
          <w:rPr>
            <w:rStyle w:val="Hyperlink"/>
            <w:rFonts w:ascii="Verdana" w:hAnsi="Verdana"/>
            <w:sz w:val="20"/>
            <w:szCs w:val="20"/>
          </w:rPr>
          <w:t>k</w:t>
        </w:r>
        <w:r w:rsidRPr="00385BB9">
          <w:rPr>
            <w:rStyle w:val="Hyperlink"/>
            <w:rFonts w:ascii="Verdana" w:hAnsi="Verdana"/>
            <w:sz w:val="20"/>
            <w:szCs w:val="20"/>
          </w:rPr>
          <w:t>ing-hours</w:t>
        </w:r>
      </w:hyperlink>
      <w:r w:rsidR="001048AF" w:rsidRPr="009765E0">
        <w:rPr>
          <w:rFonts w:ascii="Verdana" w:hAnsi="Verdana"/>
          <w:color w:val="auto"/>
          <w:sz w:val="20"/>
          <w:szCs w:val="20"/>
        </w:rPr>
        <w:t xml:space="preserve"> </w:t>
      </w:r>
      <w:r w:rsidR="009765E0">
        <w:rPr>
          <w:rFonts w:ascii="Verdana" w:hAnsi="Verdana"/>
          <w:color w:val="auto"/>
          <w:sz w:val="20"/>
          <w:szCs w:val="20"/>
        </w:rPr>
        <w:t>(Accessed:</w:t>
      </w:r>
      <w:r w:rsidR="001048AF" w:rsidRPr="009765E0">
        <w:rPr>
          <w:rFonts w:ascii="Verdana" w:hAnsi="Verdana"/>
          <w:color w:val="auto"/>
          <w:sz w:val="20"/>
          <w:szCs w:val="20"/>
        </w:rPr>
        <w:t xml:space="preserve"> 17 March 2025</w:t>
      </w:r>
      <w:r w:rsidR="009765E0">
        <w:rPr>
          <w:rFonts w:ascii="Verdana" w:hAnsi="Verdana"/>
          <w:color w:val="auto"/>
          <w:sz w:val="20"/>
          <w:szCs w:val="20"/>
        </w:rPr>
        <w:t>)</w:t>
      </w:r>
      <w:r w:rsidR="001048AF" w:rsidRPr="009765E0">
        <w:rPr>
          <w:rFonts w:ascii="Verdana" w:hAnsi="Verdana"/>
          <w:color w:val="auto"/>
          <w:sz w:val="20"/>
          <w:szCs w:val="20"/>
        </w:rPr>
        <w:t xml:space="preserve">. </w:t>
      </w:r>
    </w:p>
    <w:p w14:paraId="59BC27A2" w14:textId="39BE06AA" w:rsidR="00831928" w:rsidRDefault="00DA6427" w:rsidP="00FC1ABB">
      <w:pPr>
        <w:pStyle w:val="Listparag"/>
        <w:spacing w:before="240" w:after="0" w:line="240" w:lineRule="auto"/>
        <w:rPr>
          <w:rFonts w:ascii="Verdana" w:hAnsi="Verdana"/>
          <w:color w:val="auto"/>
          <w:sz w:val="20"/>
          <w:szCs w:val="20"/>
        </w:rPr>
      </w:pPr>
      <w:r>
        <w:rPr>
          <w:rFonts w:ascii="Verdana" w:hAnsi="Verdana"/>
          <w:color w:val="auto"/>
          <w:sz w:val="20"/>
          <w:szCs w:val="20"/>
        </w:rPr>
        <w:t xml:space="preserve">Department of Work &amp; Pensions </w:t>
      </w:r>
      <w:r w:rsidR="00831928" w:rsidRPr="009765E0">
        <w:rPr>
          <w:rFonts w:ascii="Verdana" w:hAnsi="Verdana"/>
          <w:color w:val="auto"/>
          <w:sz w:val="20"/>
          <w:szCs w:val="20"/>
        </w:rPr>
        <w:t>(2024)</w:t>
      </w:r>
      <w:r w:rsidR="00831928" w:rsidRPr="009765E0">
        <w:rPr>
          <w:rFonts w:ascii="Verdana" w:hAnsi="Verdana"/>
          <w:i/>
          <w:iCs/>
          <w:color w:val="auto"/>
          <w:sz w:val="20"/>
          <w:szCs w:val="20"/>
        </w:rPr>
        <w:t xml:space="preserve"> Redundancy: your rights</w:t>
      </w:r>
      <w:r w:rsidR="00831928" w:rsidRPr="009765E0">
        <w:rPr>
          <w:rFonts w:ascii="Verdana" w:hAnsi="Verdana"/>
          <w:color w:val="auto"/>
          <w:sz w:val="20"/>
          <w:szCs w:val="20"/>
        </w:rPr>
        <w:t xml:space="preserve">. Available at: </w:t>
      </w:r>
      <w:hyperlink r:id="rId21" w:history="1">
        <w:r w:rsidR="00831928" w:rsidRPr="009765E0">
          <w:rPr>
            <w:rStyle w:val="Hyperlink"/>
            <w:rFonts w:ascii="Verdana" w:hAnsi="Verdana"/>
            <w:color w:val="auto"/>
            <w:sz w:val="20"/>
            <w:szCs w:val="20"/>
          </w:rPr>
          <w:t>https://www.gov.uk/redundancy-your-rights/p</w:t>
        </w:r>
        <w:r w:rsidR="00831928" w:rsidRPr="009765E0">
          <w:rPr>
            <w:rStyle w:val="Hyperlink"/>
            <w:rFonts w:ascii="Verdana" w:hAnsi="Verdana"/>
            <w:color w:val="auto"/>
            <w:sz w:val="20"/>
            <w:szCs w:val="20"/>
          </w:rPr>
          <w:t>r</w:t>
        </w:r>
        <w:r w:rsidR="00831928" w:rsidRPr="009765E0">
          <w:rPr>
            <w:rStyle w:val="Hyperlink"/>
            <w:rFonts w:ascii="Verdana" w:hAnsi="Verdana"/>
            <w:color w:val="auto"/>
            <w:sz w:val="20"/>
            <w:szCs w:val="20"/>
          </w:rPr>
          <w:t>int</w:t>
        </w:r>
      </w:hyperlink>
      <w:r w:rsidR="00831928" w:rsidRPr="009765E0">
        <w:rPr>
          <w:rFonts w:ascii="Verdana" w:hAnsi="Verdana"/>
          <w:color w:val="auto"/>
          <w:sz w:val="20"/>
          <w:szCs w:val="20"/>
        </w:rPr>
        <w:t xml:space="preserve"> </w:t>
      </w:r>
      <w:r w:rsidR="009765E0">
        <w:rPr>
          <w:rFonts w:ascii="Verdana" w:hAnsi="Verdana"/>
          <w:color w:val="auto"/>
          <w:sz w:val="20"/>
          <w:szCs w:val="20"/>
        </w:rPr>
        <w:t>(Accessed:</w:t>
      </w:r>
      <w:r w:rsidR="00831928" w:rsidRPr="009765E0">
        <w:rPr>
          <w:rFonts w:ascii="Verdana" w:hAnsi="Verdana"/>
          <w:color w:val="auto"/>
          <w:sz w:val="20"/>
          <w:szCs w:val="20"/>
        </w:rPr>
        <w:t xml:space="preserve"> 22 March 2025</w:t>
      </w:r>
      <w:r w:rsidR="009765E0">
        <w:rPr>
          <w:rFonts w:ascii="Verdana" w:hAnsi="Verdana"/>
          <w:color w:val="auto"/>
          <w:sz w:val="20"/>
          <w:szCs w:val="20"/>
        </w:rPr>
        <w:t>)</w:t>
      </w:r>
      <w:r w:rsidR="00831928" w:rsidRPr="009765E0">
        <w:rPr>
          <w:rFonts w:ascii="Verdana" w:hAnsi="Verdana"/>
          <w:color w:val="auto"/>
          <w:sz w:val="20"/>
          <w:szCs w:val="20"/>
        </w:rPr>
        <w:t xml:space="preserve">. </w:t>
      </w:r>
    </w:p>
    <w:p w14:paraId="3194B380" w14:textId="00A29D14" w:rsidR="006322BC" w:rsidRPr="009765E0" w:rsidRDefault="006322BC" w:rsidP="006322BC">
      <w:pPr>
        <w:spacing w:before="240"/>
        <w:rPr>
          <w:rFonts w:ascii="Verdana" w:hAnsi="Verdana"/>
          <w:sz w:val="20"/>
          <w:szCs w:val="20"/>
        </w:rPr>
      </w:pPr>
      <w:r>
        <w:rPr>
          <w:rFonts w:ascii="Verdana" w:hAnsi="Verdana"/>
          <w:sz w:val="20"/>
          <w:szCs w:val="20"/>
        </w:rPr>
        <w:t>Department of Work &amp; Pensions (</w:t>
      </w:r>
      <w:proofErr w:type="spellStart"/>
      <w:r>
        <w:rPr>
          <w:rFonts w:ascii="Verdana" w:hAnsi="Verdana"/>
          <w:sz w:val="20"/>
          <w:szCs w:val="20"/>
        </w:rPr>
        <w:t>n.d</w:t>
      </w:r>
      <w:proofErr w:type="spellEnd"/>
      <w:r>
        <w:rPr>
          <w:rFonts w:ascii="Verdana" w:hAnsi="Verdana"/>
          <w:sz w:val="20"/>
          <w:szCs w:val="20"/>
        </w:rPr>
        <w:t xml:space="preserve">) </w:t>
      </w:r>
      <w:r>
        <w:rPr>
          <w:rFonts w:ascii="Verdana" w:hAnsi="Verdana"/>
          <w:i/>
          <w:iCs/>
          <w:sz w:val="20"/>
          <w:szCs w:val="20"/>
        </w:rPr>
        <w:t xml:space="preserve">Shared Parental Leave and Pay. </w:t>
      </w:r>
      <w:r>
        <w:rPr>
          <w:rFonts w:ascii="Verdana" w:hAnsi="Verdana"/>
          <w:sz w:val="20"/>
          <w:szCs w:val="20"/>
        </w:rPr>
        <w:t>Available at:</w:t>
      </w:r>
      <w:r>
        <w:rPr>
          <w:rFonts w:ascii="Verdana" w:hAnsi="Verdana"/>
          <w:i/>
          <w:iCs/>
          <w:sz w:val="20"/>
          <w:szCs w:val="20"/>
        </w:rPr>
        <w:t xml:space="preserve"> </w:t>
      </w:r>
      <w:hyperlink r:id="rId22" w:history="1">
        <w:r w:rsidRPr="00385BB9">
          <w:rPr>
            <w:rStyle w:val="Hyperlink"/>
            <w:rFonts w:ascii="Verdana" w:hAnsi="Verdana"/>
            <w:sz w:val="20"/>
            <w:szCs w:val="20"/>
          </w:rPr>
          <w:t>htt</w:t>
        </w:r>
        <w:r w:rsidRPr="00385BB9">
          <w:rPr>
            <w:rStyle w:val="Hyperlink"/>
            <w:rFonts w:ascii="Verdana" w:hAnsi="Verdana"/>
            <w:sz w:val="20"/>
            <w:szCs w:val="20"/>
          </w:rPr>
          <w:t>p</w:t>
        </w:r>
        <w:r w:rsidRPr="00385BB9">
          <w:rPr>
            <w:rStyle w:val="Hyperlink"/>
            <w:rFonts w:ascii="Verdana" w:hAnsi="Verdana"/>
            <w:sz w:val="20"/>
            <w:szCs w:val="20"/>
          </w:rPr>
          <w:t>s://www.gov.uk/share</w:t>
        </w:r>
        <w:r w:rsidRPr="00385BB9">
          <w:rPr>
            <w:rStyle w:val="Hyperlink"/>
            <w:rFonts w:ascii="Verdana" w:hAnsi="Verdana"/>
            <w:sz w:val="20"/>
            <w:szCs w:val="20"/>
          </w:rPr>
          <w:t>d</w:t>
        </w:r>
        <w:r w:rsidRPr="00385BB9">
          <w:rPr>
            <w:rStyle w:val="Hyperlink"/>
            <w:rFonts w:ascii="Verdana" w:hAnsi="Verdana"/>
            <w:sz w:val="20"/>
            <w:szCs w:val="20"/>
          </w:rPr>
          <w:t>-parental-leave-and-pay/eligibility-for-birth-parents</w:t>
        </w:r>
      </w:hyperlink>
      <w:r w:rsidRPr="009765E0">
        <w:rPr>
          <w:rFonts w:ascii="Verdana" w:hAnsi="Verdana"/>
          <w:sz w:val="20"/>
          <w:szCs w:val="20"/>
        </w:rPr>
        <w:t xml:space="preserve"> </w:t>
      </w:r>
      <w:r>
        <w:rPr>
          <w:rFonts w:ascii="Verdana" w:hAnsi="Verdana"/>
          <w:sz w:val="20"/>
          <w:szCs w:val="20"/>
        </w:rPr>
        <w:t xml:space="preserve">(Accessed: 13 March 2025). </w:t>
      </w:r>
    </w:p>
    <w:p w14:paraId="6AF80F13" w14:textId="21263477" w:rsidR="00E90812" w:rsidRPr="009765E0" w:rsidRDefault="00E90812"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Equality and Human Rights Commission (2021) </w:t>
      </w:r>
      <w:r w:rsidRPr="009765E0">
        <w:rPr>
          <w:rFonts w:ascii="Verdana" w:hAnsi="Verdana"/>
          <w:i/>
          <w:iCs/>
          <w:color w:val="auto"/>
          <w:sz w:val="20"/>
          <w:szCs w:val="20"/>
        </w:rPr>
        <w:t xml:space="preserve">Exceptions </w:t>
      </w:r>
      <w:proofErr w:type="spellStart"/>
      <w:r w:rsidRPr="009765E0">
        <w:rPr>
          <w:rFonts w:ascii="Verdana" w:hAnsi="Verdana"/>
          <w:i/>
          <w:iCs/>
          <w:color w:val="auto"/>
          <w:sz w:val="20"/>
          <w:szCs w:val="20"/>
        </w:rPr>
        <w:t>whee</w:t>
      </w:r>
      <w:proofErr w:type="spellEnd"/>
      <w:r w:rsidRPr="009765E0">
        <w:rPr>
          <w:rFonts w:ascii="Verdana" w:hAnsi="Verdana"/>
          <w:i/>
          <w:iCs/>
          <w:color w:val="auto"/>
          <w:sz w:val="20"/>
          <w:szCs w:val="20"/>
        </w:rPr>
        <w:t xml:space="preserve"> equality law applies differently.</w:t>
      </w:r>
      <w:r w:rsidRPr="009765E0">
        <w:rPr>
          <w:rFonts w:ascii="Verdana" w:hAnsi="Verdana"/>
          <w:color w:val="auto"/>
          <w:sz w:val="20"/>
          <w:szCs w:val="20"/>
        </w:rPr>
        <w:t xml:space="preserve"> Available at: </w:t>
      </w:r>
      <w:hyperlink r:id="rId23" w:history="1">
        <w:r w:rsidRPr="009765E0">
          <w:rPr>
            <w:rStyle w:val="Hyperlink"/>
            <w:rFonts w:ascii="Verdana" w:hAnsi="Verdana"/>
            <w:color w:val="auto"/>
            <w:sz w:val="20"/>
            <w:szCs w:val="20"/>
          </w:rPr>
          <w:t>https://www.equalityhumanrights.com/equality/equality-act-2010/dismissal-redundancy-and-retirement/exceptions-where-equality-law</w:t>
        </w:r>
      </w:hyperlink>
      <w:r w:rsidRPr="009765E0">
        <w:rPr>
          <w:rFonts w:ascii="Verdana" w:hAnsi="Verdana"/>
          <w:color w:val="auto"/>
          <w:sz w:val="20"/>
          <w:szCs w:val="20"/>
        </w:rPr>
        <w:t xml:space="preserve"> </w:t>
      </w:r>
      <w:r w:rsidR="009765E0">
        <w:rPr>
          <w:rFonts w:ascii="Verdana" w:hAnsi="Verdana"/>
          <w:color w:val="auto"/>
          <w:sz w:val="20"/>
          <w:szCs w:val="20"/>
        </w:rPr>
        <w:t>(Accessed:</w:t>
      </w:r>
      <w:r w:rsidRPr="009765E0">
        <w:rPr>
          <w:rFonts w:ascii="Verdana" w:hAnsi="Verdana"/>
          <w:color w:val="auto"/>
          <w:sz w:val="20"/>
          <w:szCs w:val="20"/>
        </w:rPr>
        <w:t xml:space="preserve"> 22 March 2025</w:t>
      </w:r>
      <w:r w:rsidR="009765E0">
        <w:rPr>
          <w:rFonts w:ascii="Verdana" w:hAnsi="Verdana"/>
          <w:color w:val="auto"/>
          <w:sz w:val="20"/>
          <w:szCs w:val="20"/>
        </w:rPr>
        <w:t>)</w:t>
      </w:r>
      <w:r w:rsidRPr="009765E0">
        <w:rPr>
          <w:rFonts w:ascii="Verdana" w:hAnsi="Verdana"/>
          <w:color w:val="auto"/>
          <w:sz w:val="20"/>
          <w:szCs w:val="20"/>
        </w:rPr>
        <w:t>.</w:t>
      </w:r>
    </w:p>
    <w:p w14:paraId="566AED76" w14:textId="2348AE5F" w:rsidR="00121F6E" w:rsidRPr="009765E0" w:rsidRDefault="00121F6E" w:rsidP="00FC1ABB">
      <w:pPr>
        <w:pStyle w:val="Listparag"/>
        <w:spacing w:before="240" w:after="0" w:line="240" w:lineRule="auto"/>
        <w:rPr>
          <w:rFonts w:ascii="Verdana" w:hAnsi="Verdana"/>
          <w:color w:val="auto"/>
          <w:sz w:val="20"/>
          <w:szCs w:val="20"/>
        </w:rPr>
      </w:pPr>
      <w:r w:rsidRPr="009765E0">
        <w:rPr>
          <w:rFonts w:ascii="Verdana" w:hAnsi="Verdana"/>
          <w:color w:val="auto"/>
          <w:sz w:val="20"/>
          <w:szCs w:val="20"/>
        </w:rPr>
        <w:t xml:space="preserve">Equality and Human Rights Commission (2016). </w:t>
      </w:r>
      <w:r w:rsidRPr="009765E0">
        <w:rPr>
          <w:rFonts w:ascii="Verdana" w:hAnsi="Verdana"/>
          <w:i/>
          <w:iCs/>
          <w:color w:val="auto"/>
          <w:sz w:val="20"/>
          <w:szCs w:val="20"/>
        </w:rPr>
        <w:t xml:space="preserve"> Equal pay: Code of Practice. </w:t>
      </w:r>
      <w:r w:rsidRPr="009765E0">
        <w:rPr>
          <w:rFonts w:ascii="Verdana" w:hAnsi="Verdana"/>
          <w:color w:val="auto"/>
          <w:sz w:val="20"/>
          <w:szCs w:val="20"/>
        </w:rPr>
        <w:t xml:space="preserve">Available on: </w:t>
      </w:r>
      <w:hyperlink r:id="rId24" w:history="1">
        <w:r w:rsidRPr="009765E0">
          <w:rPr>
            <w:rStyle w:val="Hyperlink"/>
            <w:rFonts w:ascii="Verdana" w:hAnsi="Verdana"/>
            <w:color w:val="auto"/>
            <w:sz w:val="20"/>
            <w:szCs w:val="20"/>
          </w:rPr>
          <w:t>https://www.equalityhumanrights.com/equality/equality-act-2010/codes-practice/equal-pay-code-practice?return-url=https%3A%2F%2Fwww.equalityhumanrights.com%2Fsearch%3Fkeys%3Dequal%2Bpay%2Bcode</w:t>
        </w:r>
      </w:hyperlink>
      <w:r w:rsidRPr="009765E0">
        <w:rPr>
          <w:rFonts w:ascii="Verdana" w:hAnsi="Verdana"/>
          <w:color w:val="auto"/>
          <w:sz w:val="20"/>
          <w:szCs w:val="20"/>
        </w:rPr>
        <w:t xml:space="preserve"> </w:t>
      </w:r>
      <w:r w:rsidR="009765E0">
        <w:rPr>
          <w:rFonts w:ascii="Verdana" w:hAnsi="Verdana"/>
          <w:color w:val="auto"/>
          <w:sz w:val="20"/>
          <w:szCs w:val="20"/>
        </w:rPr>
        <w:t>(</w:t>
      </w:r>
      <w:r w:rsidRPr="009765E0">
        <w:rPr>
          <w:rFonts w:ascii="Verdana" w:hAnsi="Verdana"/>
          <w:color w:val="auto"/>
          <w:sz w:val="20"/>
          <w:szCs w:val="20"/>
        </w:rPr>
        <w:t>Accessed</w:t>
      </w:r>
      <w:r w:rsidR="00DA6427">
        <w:rPr>
          <w:rFonts w:ascii="Verdana" w:hAnsi="Verdana"/>
          <w:color w:val="auto"/>
          <w:sz w:val="20"/>
          <w:szCs w:val="20"/>
        </w:rPr>
        <w:t xml:space="preserve">: </w:t>
      </w:r>
      <w:r w:rsidRPr="009765E0">
        <w:rPr>
          <w:rFonts w:ascii="Verdana" w:hAnsi="Verdana"/>
          <w:color w:val="auto"/>
          <w:sz w:val="20"/>
          <w:szCs w:val="20"/>
        </w:rPr>
        <w:t>22 March 2025</w:t>
      </w:r>
      <w:r w:rsidR="009765E0">
        <w:rPr>
          <w:rFonts w:ascii="Verdana" w:hAnsi="Verdana"/>
          <w:color w:val="auto"/>
          <w:sz w:val="20"/>
          <w:szCs w:val="20"/>
        </w:rPr>
        <w:t>)</w:t>
      </w:r>
      <w:r w:rsidRPr="009765E0">
        <w:rPr>
          <w:rFonts w:ascii="Verdana" w:hAnsi="Verdana"/>
          <w:color w:val="auto"/>
          <w:sz w:val="20"/>
          <w:szCs w:val="20"/>
        </w:rPr>
        <w:t xml:space="preserve">. </w:t>
      </w:r>
    </w:p>
    <w:p w14:paraId="0836AEA2" w14:textId="6DAAA40F" w:rsidR="00E65B9C" w:rsidRDefault="009765E0" w:rsidP="00FC1ABB">
      <w:pPr>
        <w:spacing w:before="240"/>
        <w:rPr>
          <w:rFonts w:ascii="Verdana" w:hAnsi="Verdana"/>
          <w:sz w:val="20"/>
          <w:szCs w:val="20"/>
        </w:rPr>
      </w:pPr>
      <w:r>
        <w:rPr>
          <w:rFonts w:ascii="Verdana" w:hAnsi="Verdana"/>
          <w:i/>
          <w:iCs/>
          <w:sz w:val="20"/>
          <w:szCs w:val="20"/>
        </w:rPr>
        <w:t>Equality Act 2010</w:t>
      </w:r>
      <w:r>
        <w:rPr>
          <w:rFonts w:ascii="Verdana" w:hAnsi="Verdana"/>
          <w:sz w:val="20"/>
          <w:szCs w:val="20"/>
        </w:rPr>
        <w:t xml:space="preserve">. Available at: </w:t>
      </w:r>
      <w:hyperlink r:id="rId25" w:history="1">
        <w:r w:rsidRPr="00385BB9">
          <w:rPr>
            <w:rStyle w:val="Hyperlink"/>
            <w:rFonts w:ascii="Verdana" w:hAnsi="Verdana"/>
            <w:sz w:val="20"/>
            <w:szCs w:val="20"/>
          </w:rPr>
          <w:t>https:</w:t>
        </w:r>
        <w:r w:rsidRPr="00385BB9">
          <w:rPr>
            <w:rStyle w:val="Hyperlink"/>
            <w:rFonts w:ascii="Verdana" w:hAnsi="Verdana"/>
            <w:sz w:val="20"/>
            <w:szCs w:val="20"/>
          </w:rPr>
          <w:t>/</w:t>
        </w:r>
        <w:r w:rsidRPr="00385BB9">
          <w:rPr>
            <w:rStyle w:val="Hyperlink"/>
            <w:rFonts w:ascii="Verdana" w:hAnsi="Verdana"/>
            <w:sz w:val="20"/>
            <w:szCs w:val="20"/>
          </w:rPr>
          <w:t>/www.legislation.gov.u</w:t>
        </w:r>
        <w:r w:rsidRPr="00385BB9">
          <w:rPr>
            <w:rStyle w:val="Hyperlink"/>
            <w:rFonts w:ascii="Verdana" w:hAnsi="Verdana"/>
            <w:sz w:val="20"/>
            <w:szCs w:val="20"/>
          </w:rPr>
          <w:t>k</w:t>
        </w:r>
        <w:r w:rsidRPr="00385BB9">
          <w:rPr>
            <w:rStyle w:val="Hyperlink"/>
            <w:rFonts w:ascii="Verdana" w:hAnsi="Verdana"/>
            <w:sz w:val="20"/>
            <w:szCs w:val="20"/>
          </w:rPr>
          <w:t>/ukpga/2010/15/contents</w:t>
        </w:r>
      </w:hyperlink>
      <w:r w:rsidR="00E65B9C" w:rsidRPr="009765E0">
        <w:rPr>
          <w:rFonts w:ascii="Verdana" w:hAnsi="Verdana"/>
          <w:sz w:val="20"/>
          <w:szCs w:val="20"/>
        </w:rPr>
        <w:t xml:space="preserve"> </w:t>
      </w:r>
      <w:r>
        <w:rPr>
          <w:rFonts w:ascii="Verdana" w:hAnsi="Verdana"/>
          <w:sz w:val="20"/>
          <w:szCs w:val="20"/>
        </w:rPr>
        <w:t>(</w:t>
      </w:r>
      <w:r w:rsidR="00FE5F0F" w:rsidRPr="009765E0">
        <w:rPr>
          <w:rFonts w:ascii="Verdana" w:hAnsi="Verdana"/>
          <w:sz w:val="20"/>
          <w:szCs w:val="20"/>
        </w:rPr>
        <w:t>Accessed</w:t>
      </w:r>
      <w:r>
        <w:rPr>
          <w:rFonts w:ascii="Verdana" w:hAnsi="Verdana"/>
          <w:sz w:val="20"/>
          <w:szCs w:val="20"/>
        </w:rPr>
        <w:t>:</w:t>
      </w:r>
      <w:r w:rsidR="00FE5F0F" w:rsidRPr="009765E0">
        <w:rPr>
          <w:rFonts w:ascii="Verdana" w:hAnsi="Verdana"/>
          <w:sz w:val="20"/>
          <w:szCs w:val="20"/>
        </w:rPr>
        <w:t xml:space="preserve"> 13 March 2025</w:t>
      </w:r>
      <w:r>
        <w:rPr>
          <w:rFonts w:ascii="Verdana" w:hAnsi="Verdana"/>
          <w:sz w:val="20"/>
          <w:szCs w:val="20"/>
        </w:rPr>
        <w:t>)</w:t>
      </w:r>
      <w:r w:rsidR="00FE5F0F" w:rsidRPr="009765E0">
        <w:rPr>
          <w:rFonts w:ascii="Verdana" w:hAnsi="Verdana"/>
          <w:sz w:val="20"/>
          <w:szCs w:val="20"/>
        </w:rPr>
        <w:t xml:space="preserve">. </w:t>
      </w:r>
    </w:p>
    <w:p w14:paraId="0E325A80" w14:textId="77777777" w:rsidR="006322BC" w:rsidRDefault="00DA6427" w:rsidP="006322BC">
      <w:pPr>
        <w:spacing w:before="240"/>
        <w:rPr>
          <w:rFonts w:ascii="Verdana" w:hAnsi="Verdana"/>
          <w:sz w:val="20"/>
          <w:szCs w:val="20"/>
        </w:rPr>
      </w:pPr>
      <w:r>
        <w:rPr>
          <w:rFonts w:ascii="Verdana" w:hAnsi="Verdana"/>
          <w:i/>
          <w:iCs/>
          <w:sz w:val="20"/>
          <w:szCs w:val="20"/>
        </w:rPr>
        <w:t xml:space="preserve">Equality Act 2010 (Amendment) Regulations 2023. </w:t>
      </w:r>
      <w:r>
        <w:rPr>
          <w:rFonts w:ascii="Verdana" w:hAnsi="Verdana"/>
          <w:sz w:val="20"/>
          <w:szCs w:val="20"/>
        </w:rPr>
        <w:t xml:space="preserve">Available at: </w:t>
      </w:r>
      <w:hyperlink r:id="rId26" w:history="1">
        <w:r w:rsidRPr="00385BB9">
          <w:rPr>
            <w:rStyle w:val="Hyperlink"/>
            <w:rFonts w:ascii="Verdana" w:hAnsi="Verdana"/>
            <w:sz w:val="20"/>
            <w:szCs w:val="20"/>
          </w:rPr>
          <w:t>https://www.legislation.gov.uk/uksi/2023/</w:t>
        </w:r>
        <w:r w:rsidRPr="00385BB9">
          <w:rPr>
            <w:rStyle w:val="Hyperlink"/>
            <w:rFonts w:ascii="Verdana" w:hAnsi="Verdana"/>
            <w:sz w:val="20"/>
            <w:szCs w:val="20"/>
          </w:rPr>
          <w:t>1</w:t>
        </w:r>
        <w:r w:rsidRPr="00385BB9">
          <w:rPr>
            <w:rStyle w:val="Hyperlink"/>
            <w:rFonts w:ascii="Verdana" w:hAnsi="Verdana"/>
            <w:sz w:val="20"/>
            <w:szCs w:val="20"/>
          </w:rPr>
          <w:t>425/regulation/3/made</w:t>
        </w:r>
      </w:hyperlink>
      <w:r w:rsidRPr="009765E0">
        <w:rPr>
          <w:rFonts w:ascii="Verdana" w:hAnsi="Verdana"/>
          <w:sz w:val="20"/>
          <w:szCs w:val="20"/>
        </w:rPr>
        <w:t xml:space="preserve"> </w:t>
      </w:r>
      <w:r>
        <w:rPr>
          <w:rFonts w:ascii="Verdana" w:hAnsi="Verdana"/>
          <w:sz w:val="20"/>
          <w:szCs w:val="20"/>
        </w:rPr>
        <w:t>(</w:t>
      </w:r>
      <w:r w:rsidRPr="009765E0">
        <w:rPr>
          <w:rFonts w:ascii="Verdana" w:hAnsi="Verdana"/>
          <w:sz w:val="20"/>
          <w:szCs w:val="20"/>
        </w:rPr>
        <w:t>Accessed</w:t>
      </w:r>
      <w:r>
        <w:rPr>
          <w:rFonts w:ascii="Verdana" w:hAnsi="Verdana"/>
          <w:sz w:val="20"/>
          <w:szCs w:val="20"/>
        </w:rPr>
        <w:t>:</w:t>
      </w:r>
      <w:r w:rsidRPr="009765E0">
        <w:rPr>
          <w:rFonts w:ascii="Verdana" w:hAnsi="Verdana"/>
          <w:sz w:val="20"/>
          <w:szCs w:val="20"/>
        </w:rPr>
        <w:t xml:space="preserve"> 22 March 2025</w:t>
      </w:r>
      <w:r>
        <w:rPr>
          <w:rFonts w:ascii="Verdana" w:hAnsi="Verdana"/>
          <w:sz w:val="20"/>
          <w:szCs w:val="20"/>
        </w:rPr>
        <w:t>)</w:t>
      </w:r>
      <w:r w:rsidRPr="009765E0">
        <w:rPr>
          <w:rFonts w:ascii="Verdana" w:hAnsi="Verdana"/>
          <w:sz w:val="20"/>
          <w:szCs w:val="20"/>
        </w:rPr>
        <w:t>.</w:t>
      </w:r>
    </w:p>
    <w:p w14:paraId="534C01F6" w14:textId="61DD9F3A" w:rsidR="006322BC" w:rsidRPr="009765E0" w:rsidRDefault="006322BC" w:rsidP="006322BC">
      <w:pPr>
        <w:spacing w:before="240"/>
        <w:rPr>
          <w:rFonts w:ascii="Verdana" w:hAnsi="Verdana"/>
          <w:sz w:val="20"/>
          <w:szCs w:val="20"/>
        </w:rPr>
      </w:pPr>
      <w:r>
        <w:rPr>
          <w:rFonts w:ascii="Verdana" w:hAnsi="Verdana"/>
          <w:sz w:val="20"/>
          <w:szCs w:val="20"/>
        </w:rPr>
        <w:lastRenderedPageBreak/>
        <w:t>‘</w:t>
      </w:r>
      <w:r w:rsidRPr="009765E0">
        <w:rPr>
          <w:rFonts w:ascii="Verdana" w:hAnsi="Verdana"/>
          <w:sz w:val="20"/>
          <w:szCs w:val="20"/>
        </w:rPr>
        <w:t>Holloway v Aura Gas Ltd</w:t>
      </w:r>
      <w:r>
        <w:rPr>
          <w:rFonts w:ascii="Verdana" w:hAnsi="Verdana"/>
          <w:sz w:val="20"/>
          <w:szCs w:val="20"/>
        </w:rPr>
        <w:t>’</w:t>
      </w:r>
      <w:r w:rsidRPr="009765E0">
        <w:rPr>
          <w:rFonts w:ascii="Verdana" w:hAnsi="Verdana"/>
          <w:sz w:val="20"/>
          <w:szCs w:val="20"/>
        </w:rPr>
        <w:t xml:space="preserve"> (2020).</w:t>
      </w:r>
      <w:r>
        <w:rPr>
          <w:rFonts w:ascii="Verdana" w:hAnsi="Verdana"/>
          <w:sz w:val="20"/>
          <w:szCs w:val="20"/>
        </w:rPr>
        <w:t xml:space="preserve"> ET, </w:t>
      </w:r>
      <w:r w:rsidRPr="006322BC">
        <w:rPr>
          <w:rFonts w:ascii="Verdana" w:hAnsi="Verdana"/>
          <w:sz w:val="20"/>
          <w:szCs w:val="20"/>
        </w:rPr>
        <w:t>1405914/2019</w:t>
      </w:r>
      <w:r>
        <w:rPr>
          <w:rFonts w:ascii="Verdana" w:hAnsi="Verdana"/>
          <w:sz w:val="20"/>
          <w:szCs w:val="20"/>
        </w:rPr>
        <w:t>.</w:t>
      </w:r>
      <w:r w:rsidRPr="009765E0">
        <w:rPr>
          <w:rFonts w:ascii="Verdana" w:hAnsi="Verdana"/>
          <w:sz w:val="20"/>
          <w:szCs w:val="20"/>
        </w:rPr>
        <w:t xml:space="preserve"> Available at:  </w:t>
      </w:r>
      <w:hyperlink r:id="rId27" w:history="1">
        <w:r w:rsidRPr="009765E0">
          <w:rPr>
            <w:rStyle w:val="Hyperlink"/>
            <w:rFonts w:ascii="Verdana" w:hAnsi="Verdana"/>
            <w:color w:val="auto"/>
            <w:sz w:val="20"/>
            <w:szCs w:val="20"/>
          </w:rPr>
          <w:t>https://assets.publishing.service.gov.uk/media/5f47855c8fa8f5362b98f666/Mr_T_Holloway_v_Aura_Gas_Ltd_-_1405914.</w:t>
        </w:r>
        <w:r w:rsidRPr="009765E0">
          <w:rPr>
            <w:rStyle w:val="Hyperlink"/>
            <w:rFonts w:ascii="Verdana" w:hAnsi="Verdana"/>
            <w:color w:val="auto"/>
            <w:sz w:val="20"/>
            <w:szCs w:val="20"/>
          </w:rPr>
          <w:t>1</w:t>
        </w:r>
        <w:r w:rsidRPr="009765E0">
          <w:rPr>
            <w:rStyle w:val="Hyperlink"/>
            <w:rFonts w:ascii="Verdana" w:hAnsi="Verdana"/>
            <w:color w:val="auto"/>
            <w:sz w:val="20"/>
            <w:szCs w:val="20"/>
          </w:rPr>
          <w:t>9.pdf</w:t>
        </w:r>
      </w:hyperlink>
      <w:r w:rsidRPr="009765E0">
        <w:rPr>
          <w:rFonts w:ascii="Verdana" w:hAnsi="Verdana"/>
          <w:sz w:val="20"/>
          <w:szCs w:val="20"/>
        </w:rPr>
        <w:t xml:space="preserve"> </w:t>
      </w:r>
      <w:r>
        <w:rPr>
          <w:rFonts w:ascii="Verdana" w:hAnsi="Verdana"/>
          <w:sz w:val="20"/>
          <w:szCs w:val="20"/>
        </w:rPr>
        <w:t>(Accessed:</w:t>
      </w:r>
      <w:r w:rsidRPr="009765E0">
        <w:rPr>
          <w:rFonts w:ascii="Verdana" w:hAnsi="Verdana"/>
          <w:sz w:val="20"/>
          <w:szCs w:val="20"/>
        </w:rPr>
        <w:t xml:space="preserve"> 23 March 2025</w:t>
      </w:r>
      <w:r>
        <w:rPr>
          <w:rFonts w:ascii="Verdana" w:hAnsi="Verdana"/>
          <w:sz w:val="20"/>
          <w:szCs w:val="20"/>
        </w:rPr>
        <w:t>)</w:t>
      </w:r>
      <w:r w:rsidRPr="009765E0">
        <w:rPr>
          <w:rFonts w:ascii="Verdana" w:hAnsi="Verdana"/>
          <w:sz w:val="20"/>
          <w:szCs w:val="20"/>
        </w:rPr>
        <w:t xml:space="preserve">. </w:t>
      </w:r>
    </w:p>
    <w:p w14:paraId="138AEA52" w14:textId="77777777" w:rsidR="006322BC" w:rsidRPr="009765E0" w:rsidRDefault="006322BC" w:rsidP="00DA6427">
      <w:pPr>
        <w:spacing w:before="240"/>
        <w:rPr>
          <w:rFonts w:ascii="Verdana" w:hAnsi="Verdana"/>
          <w:sz w:val="20"/>
          <w:szCs w:val="20"/>
        </w:rPr>
      </w:pPr>
    </w:p>
    <w:p w14:paraId="030AB3A1" w14:textId="7E8B070F" w:rsidR="00E65B9C" w:rsidRPr="009765E0" w:rsidRDefault="00DA6427" w:rsidP="00FC1ABB">
      <w:pPr>
        <w:spacing w:before="240"/>
        <w:rPr>
          <w:rFonts w:ascii="Verdana" w:hAnsi="Verdana"/>
          <w:sz w:val="20"/>
          <w:szCs w:val="20"/>
        </w:rPr>
      </w:pPr>
      <w:r>
        <w:rPr>
          <w:rFonts w:ascii="Verdana" w:hAnsi="Verdana"/>
          <w:sz w:val="20"/>
          <w:szCs w:val="20"/>
        </w:rPr>
        <w:t xml:space="preserve">Pregnant then Screwed (2025) </w:t>
      </w:r>
      <w:r>
        <w:rPr>
          <w:rFonts w:ascii="Verdana" w:hAnsi="Verdana"/>
          <w:i/>
          <w:iCs/>
          <w:sz w:val="20"/>
          <w:szCs w:val="20"/>
        </w:rPr>
        <w:t xml:space="preserve">74,000 women a year lose their jobs for getting pregnant or for taking maternity leave. </w:t>
      </w:r>
      <w:r>
        <w:rPr>
          <w:rFonts w:ascii="Verdana" w:hAnsi="Verdana"/>
          <w:sz w:val="20"/>
          <w:szCs w:val="20"/>
        </w:rPr>
        <w:t xml:space="preserve">Available at: </w:t>
      </w:r>
      <w:hyperlink r:id="rId28" w:history="1">
        <w:r w:rsidRPr="00385BB9">
          <w:rPr>
            <w:rStyle w:val="Hyperlink"/>
            <w:rFonts w:ascii="Verdana" w:hAnsi="Verdana"/>
            <w:sz w:val="20"/>
            <w:szCs w:val="20"/>
          </w:rPr>
          <w:t>https:/</w:t>
        </w:r>
        <w:r w:rsidRPr="00385BB9">
          <w:rPr>
            <w:rStyle w:val="Hyperlink"/>
            <w:rFonts w:ascii="Verdana" w:hAnsi="Verdana"/>
            <w:sz w:val="20"/>
            <w:szCs w:val="20"/>
          </w:rPr>
          <w:t>/</w:t>
        </w:r>
        <w:r w:rsidRPr="00385BB9">
          <w:rPr>
            <w:rStyle w:val="Hyperlink"/>
            <w:rFonts w:ascii="Verdana" w:hAnsi="Verdana"/>
            <w:sz w:val="20"/>
            <w:szCs w:val="20"/>
          </w:rPr>
          <w:t>pregnantthenscrewed.com/74000-women-a-year-lose-their-jobs-for-getting-pregnant-or-for-taking-maternity-leave/</w:t>
        </w:r>
      </w:hyperlink>
      <w:r w:rsidR="00FE5F0F" w:rsidRPr="009765E0">
        <w:rPr>
          <w:rFonts w:ascii="Verdana" w:hAnsi="Verdana"/>
          <w:sz w:val="20"/>
          <w:szCs w:val="20"/>
        </w:rPr>
        <w:t xml:space="preserve"> </w:t>
      </w:r>
      <w:r w:rsidR="009765E0">
        <w:rPr>
          <w:rFonts w:ascii="Verdana" w:hAnsi="Verdana"/>
          <w:sz w:val="20"/>
          <w:szCs w:val="20"/>
        </w:rPr>
        <w:t>(Accessed:</w:t>
      </w:r>
      <w:r w:rsidR="00FE5F0F" w:rsidRPr="009765E0">
        <w:rPr>
          <w:rFonts w:ascii="Verdana" w:hAnsi="Verdana"/>
          <w:sz w:val="20"/>
          <w:szCs w:val="20"/>
        </w:rPr>
        <w:t xml:space="preserve"> 16 March 2025</w:t>
      </w:r>
      <w:r w:rsidR="009765E0">
        <w:rPr>
          <w:rFonts w:ascii="Verdana" w:hAnsi="Verdana"/>
          <w:sz w:val="20"/>
          <w:szCs w:val="20"/>
        </w:rPr>
        <w:t>)</w:t>
      </w:r>
      <w:r w:rsidR="00FE5F0F" w:rsidRPr="009765E0">
        <w:rPr>
          <w:rFonts w:ascii="Verdana" w:hAnsi="Verdana"/>
          <w:sz w:val="20"/>
          <w:szCs w:val="20"/>
        </w:rPr>
        <w:t>.</w:t>
      </w:r>
    </w:p>
    <w:p w14:paraId="3D6E8EE1" w14:textId="2409DB04" w:rsidR="006322BC" w:rsidRPr="009765E0" w:rsidRDefault="006322BC" w:rsidP="00FC1ABB">
      <w:pPr>
        <w:spacing w:before="240"/>
        <w:rPr>
          <w:rFonts w:ascii="Verdana" w:hAnsi="Verdana"/>
          <w:sz w:val="20"/>
          <w:szCs w:val="20"/>
        </w:rPr>
      </w:pPr>
      <w:r>
        <w:rPr>
          <w:rFonts w:ascii="Verdana" w:hAnsi="Verdana"/>
          <w:sz w:val="20"/>
          <w:szCs w:val="20"/>
        </w:rPr>
        <w:t>‘</w:t>
      </w:r>
      <w:r w:rsidRPr="009765E0">
        <w:rPr>
          <w:rFonts w:ascii="Verdana" w:hAnsi="Verdana"/>
          <w:sz w:val="20"/>
          <w:szCs w:val="20"/>
        </w:rPr>
        <w:t>Taylo</w:t>
      </w:r>
      <w:r>
        <w:rPr>
          <w:rFonts w:ascii="Verdana" w:hAnsi="Verdana"/>
          <w:sz w:val="20"/>
          <w:szCs w:val="20"/>
        </w:rPr>
        <w:t>r</w:t>
      </w:r>
      <w:r w:rsidRPr="009765E0">
        <w:rPr>
          <w:rFonts w:ascii="Verdana" w:hAnsi="Verdana"/>
          <w:sz w:val="20"/>
          <w:szCs w:val="20"/>
        </w:rPr>
        <w:t xml:space="preserve"> v Jaguar Land Rover Ltd</w:t>
      </w:r>
      <w:r>
        <w:rPr>
          <w:rFonts w:ascii="Verdana" w:hAnsi="Verdana"/>
          <w:sz w:val="20"/>
          <w:szCs w:val="20"/>
        </w:rPr>
        <w:t>’</w:t>
      </w:r>
      <w:r w:rsidRPr="009765E0">
        <w:rPr>
          <w:rFonts w:ascii="Verdana" w:hAnsi="Verdana"/>
          <w:sz w:val="20"/>
          <w:szCs w:val="20"/>
        </w:rPr>
        <w:t xml:space="preserve"> (2020) </w:t>
      </w:r>
      <w:r>
        <w:rPr>
          <w:rFonts w:ascii="Verdana" w:hAnsi="Verdana"/>
          <w:sz w:val="20"/>
          <w:szCs w:val="20"/>
        </w:rPr>
        <w:t>E</w:t>
      </w:r>
      <w:r>
        <w:rPr>
          <w:rFonts w:ascii="Verdana" w:hAnsi="Verdana"/>
          <w:sz w:val="20"/>
          <w:szCs w:val="20"/>
        </w:rPr>
        <w:t xml:space="preserve">T, </w:t>
      </w:r>
      <w:r w:rsidRPr="006322BC">
        <w:rPr>
          <w:rFonts w:ascii="Verdana" w:hAnsi="Verdana"/>
          <w:sz w:val="20"/>
          <w:szCs w:val="20"/>
        </w:rPr>
        <w:t xml:space="preserve">1304471/2018 </w:t>
      </w:r>
      <w:r w:rsidRPr="009765E0">
        <w:rPr>
          <w:rFonts w:ascii="Verdana" w:hAnsi="Verdana"/>
          <w:sz w:val="20"/>
          <w:szCs w:val="20"/>
        </w:rPr>
        <w:t xml:space="preserve">Available at: </w:t>
      </w:r>
      <w:hyperlink r:id="rId29" w:history="1">
        <w:r w:rsidRPr="009765E0">
          <w:rPr>
            <w:rStyle w:val="Hyperlink"/>
            <w:rFonts w:ascii="Verdana" w:hAnsi="Verdana"/>
            <w:color w:val="auto"/>
            <w:sz w:val="20"/>
            <w:szCs w:val="20"/>
          </w:rPr>
          <w:t>https://oldsquare.co.uk/wp-content/uploads/2020/12/1304471.</w:t>
        </w:r>
        <w:r w:rsidRPr="009765E0">
          <w:rPr>
            <w:rStyle w:val="Hyperlink"/>
            <w:rFonts w:ascii="Verdana" w:hAnsi="Verdana"/>
            <w:color w:val="auto"/>
            <w:sz w:val="20"/>
            <w:szCs w:val="20"/>
          </w:rPr>
          <w:t>1</w:t>
        </w:r>
        <w:r w:rsidRPr="009765E0">
          <w:rPr>
            <w:rStyle w:val="Hyperlink"/>
            <w:rFonts w:ascii="Verdana" w:hAnsi="Verdana"/>
            <w:color w:val="auto"/>
            <w:sz w:val="20"/>
            <w:szCs w:val="20"/>
          </w:rPr>
          <w:t>8-Ms-R-Taylor-v-JLR-Ltd..Final_.-Reasons.261120.pdf</w:t>
        </w:r>
      </w:hyperlink>
      <w:r w:rsidRPr="009765E0">
        <w:rPr>
          <w:rFonts w:ascii="Verdana" w:hAnsi="Verdana"/>
          <w:sz w:val="20"/>
          <w:szCs w:val="20"/>
        </w:rPr>
        <w:t xml:space="preserve"> </w:t>
      </w:r>
      <w:r>
        <w:rPr>
          <w:rFonts w:ascii="Verdana" w:hAnsi="Verdana"/>
          <w:sz w:val="20"/>
          <w:szCs w:val="20"/>
        </w:rPr>
        <w:t>(Accessed:</w:t>
      </w:r>
      <w:r w:rsidRPr="009765E0">
        <w:rPr>
          <w:rFonts w:ascii="Verdana" w:hAnsi="Verdana"/>
          <w:sz w:val="20"/>
          <w:szCs w:val="20"/>
        </w:rPr>
        <w:t xml:space="preserve"> 23 March 2025</w:t>
      </w:r>
      <w:r>
        <w:rPr>
          <w:rFonts w:ascii="Verdana" w:hAnsi="Verdana"/>
          <w:sz w:val="20"/>
          <w:szCs w:val="20"/>
        </w:rPr>
        <w:t>)</w:t>
      </w:r>
      <w:r w:rsidRPr="009765E0">
        <w:rPr>
          <w:rFonts w:ascii="Verdana" w:hAnsi="Verdana"/>
          <w:sz w:val="20"/>
          <w:szCs w:val="20"/>
        </w:rPr>
        <w:t xml:space="preserve">. </w:t>
      </w:r>
    </w:p>
    <w:p w14:paraId="53E40160" w14:textId="5D485330" w:rsidR="00B54456" w:rsidRPr="009765E0" w:rsidRDefault="00B54456" w:rsidP="00FC1ABB">
      <w:pPr>
        <w:spacing w:before="240"/>
        <w:rPr>
          <w:rFonts w:ascii="Verdana" w:hAnsi="Verdana"/>
          <w:sz w:val="20"/>
          <w:szCs w:val="20"/>
        </w:rPr>
      </w:pPr>
      <w:r w:rsidRPr="009765E0">
        <w:rPr>
          <w:rFonts w:ascii="Verdana" w:hAnsi="Verdana"/>
          <w:sz w:val="20"/>
          <w:szCs w:val="20"/>
        </w:rPr>
        <w:t xml:space="preserve">TUC (2017) </w:t>
      </w:r>
      <w:r w:rsidRPr="009765E0">
        <w:rPr>
          <w:rFonts w:ascii="Verdana" w:hAnsi="Verdana"/>
          <w:i/>
          <w:iCs/>
          <w:sz w:val="20"/>
          <w:szCs w:val="20"/>
        </w:rPr>
        <w:t xml:space="preserve">Working time, breaks and holidays – know your rights. </w:t>
      </w:r>
      <w:r w:rsidRPr="009765E0">
        <w:rPr>
          <w:rFonts w:ascii="Verdana" w:hAnsi="Verdana"/>
          <w:sz w:val="20"/>
          <w:szCs w:val="20"/>
        </w:rPr>
        <w:t xml:space="preserve">Available at: </w:t>
      </w:r>
      <w:hyperlink r:id="rId30" w:history="1">
        <w:r w:rsidRPr="009765E0">
          <w:rPr>
            <w:rStyle w:val="Hyperlink"/>
            <w:rFonts w:ascii="Verdana" w:hAnsi="Verdana"/>
            <w:color w:val="auto"/>
            <w:sz w:val="20"/>
            <w:szCs w:val="20"/>
          </w:rPr>
          <w:t>https://www.tuc.org.uk/resource/working-time-breaks-and-holidays-know-your-rights</w:t>
        </w:r>
      </w:hyperlink>
      <w:r w:rsidRPr="009765E0">
        <w:rPr>
          <w:rFonts w:ascii="Verdana" w:hAnsi="Verdana"/>
          <w:sz w:val="20"/>
          <w:szCs w:val="20"/>
        </w:rPr>
        <w:t xml:space="preserve"> </w:t>
      </w:r>
      <w:r w:rsidR="009765E0">
        <w:rPr>
          <w:rFonts w:ascii="Verdana" w:hAnsi="Verdana"/>
          <w:sz w:val="20"/>
          <w:szCs w:val="20"/>
        </w:rPr>
        <w:t>(Accessed:</w:t>
      </w:r>
      <w:r w:rsidRPr="009765E0">
        <w:rPr>
          <w:rFonts w:ascii="Verdana" w:hAnsi="Verdana"/>
          <w:sz w:val="20"/>
          <w:szCs w:val="20"/>
        </w:rPr>
        <w:t xml:space="preserve"> 23 March 2025</w:t>
      </w:r>
      <w:r w:rsidR="009765E0">
        <w:rPr>
          <w:rFonts w:ascii="Verdana" w:hAnsi="Verdana"/>
          <w:sz w:val="20"/>
          <w:szCs w:val="20"/>
        </w:rPr>
        <w:t>)</w:t>
      </w:r>
      <w:r w:rsidRPr="009765E0">
        <w:rPr>
          <w:rFonts w:ascii="Verdana" w:hAnsi="Verdana"/>
          <w:sz w:val="20"/>
          <w:szCs w:val="20"/>
        </w:rPr>
        <w:t xml:space="preserve">.  </w:t>
      </w:r>
    </w:p>
    <w:p w14:paraId="1EDD36A7" w14:textId="77777777" w:rsidR="005B11D6" w:rsidRPr="009765E0" w:rsidRDefault="005B11D6" w:rsidP="00FC1ABB">
      <w:pPr>
        <w:spacing w:before="240"/>
        <w:rPr>
          <w:rFonts w:ascii="Verdana" w:hAnsi="Verdana"/>
          <w:sz w:val="20"/>
          <w:szCs w:val="20"/>
        </w:rPr>
      </w:pPr>
    </w:p>
    <w:p w14:paraId="6C82407A" w14:textId="63D66C3B" w:rsidR="005B11D6" w:rsidRPr="009765E0" w:rsidRDefault="005B11D6" w:rsidP="00FC1ABB">
      <w:pPr>
        <w:spacing w:before="240"/>
        <w:rPr>
          <w:rFonts w:ascii="Verdana" w:hAnsi="Verdana"/>
          <w:sz w:val="20"/>
          <w:szCs w:val="20"/>
        </w:rPr>
      </w:pPr>
      <w:r w:rsidRPr="009765E0">
        <w:rPr>
          <w:rFonts w:ascii="Verdana" w:hAnsi="Verdana"/>
          <w:sz w:val="20"/>
          <w:szCs w:val="20"/>
        </w:rPr>
        <w:t xml:space="preserve">CASELAW </w:t>
      </w:r>
    </w:p>
    <w:sectPr w:rsidR="005B11D6" w:rsidRPr="009765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F26DE"/>
    <w:multiLevelType w:val="hybridMultilevel"/>
    <w:tmpl w:val="47EEF2A8"/>
    <w:lvl w:ilvl="0" w:tplc="B1DCC77A">
      <w:numFmt w:val="bullet"/>
      <w:lvlText w:val="-"/>
      <w:lvlJc w:val="left"/>
      <w:pPr>
        <w:ind w:left="720" w:hanging="36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40388"/>
    <w:multiLevelType w:val="hybridMultilevel"/>
    <w:tmpl w:val="332C8954"/>
    <w:lvl w:ilvl="0" w:tplc="9FCCC708">
      <w:numFmt w:val="bullet"/>
      <w:lvlText w:val="-"/>
      <w:lvlJc w:val="left"/>
      <w:pPr>
        <w:ind w:left="720" w:hanging="360"/>
      </w:pPr>
      <w:rPr>
        <w:rFonts w:ascii="Trebuchet MS" w:eastAsiaTheme="minorHAnsi" w:hAnsi="Trebuchet M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A63049"/>
    <w:multiLevelType w:val="hybridMultilevel"/>
    <w:tmpl w:val="39D07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9A6D40"/>
    <w:multiLevelType w:val="hybridMultilevel"/>
    <w:tmpl w:val="17E2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642217">
    <w:abstractNumId w:val="1"/>
  </w:num>
  <w:num w:numId="2" w16cid:durableId="229773164">
    <w:abstractNumId w:val="0"/>
  </w:num>
  <w:num w:numId="3" w16cid:durableId="960722850">
    <w:abstractNumId w:val="2"/>
  </w:num>
  <w:num w:numId="4" w16cid:durableId="2075229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169"/>
    <w:rsid w:val="000145F9"/>
    <w:rsid w:val="000206EC"/>
    <w:rsid w:val="00030D9D"/>
    <w:rsid w:val="00042F7D"/>
    <w:rsid w:val="00044223"/>
    <w:rsid w:val="0005746D"/>
    <w:rsid w:val="00062254"/>
    <w:rsid w:val="000A0163"/>
    <w:rsid w:val="000A3779"/>
    <w:rsid w:val="000A7BAB"/>
    <w:rsid w:val="000B1933"/>
    <w:rsid w:val="000E39C9"/>
    <w:rsid w:val="001048AF"/>
    <w:rsid w:val="00110B8F"/>
    <w:rsid w:val="00121F6E"/>
    <w:rsid w:val="001261F3"/>
    <w:rsid w:val="00161DBB"/>
    <w:rsid w:val="00167A69"/>
    <w:rsid w:val="00172EC8"/>
    <w:rsid w:val="001964C5"/>
    <w:rsid w:val="001B6984"/>
    <w:rsid w:val="001C71C3"/>
    <w:rsid w:val="001D4A25"/>
    <w:rsid w:val="001F7ECD"/>
    <w:rsid w:val="00266660"/>
    <w:rsid w:val="00266B48"/>
    <w:rsid w:val="002A3023"/>
    <w:rsid w:val="002A43EF"/>
    <w:rsid w:val="002B3E77"/>
    <w:rsid w:val="002E51C1"/>
    <w:rsid w:val="003077B3"/>
    <w:rsid w:val="003109EB"/>
    <w:rsid w:val="00315DC3"/>
    <w:rsid w:val="00323BDB"/>
    <w:rsid w:val="00334903"/>
    <w:rsid w:val="00344F1F"/>
    <w:rsid w:val="00356B01"/>
    <w:rsid w:val="00363923"/>
    <w:rsid w:val="00370CF7"/>
    <w:rsid w:val="003842D6"/>
    <w:rsid w:val="003943A9"/>
    <w:rsid w:val="003B2C9E"/>
    <w:rsid w:val="003B3E20"/>
    <w:rsid w:val="003B56DD"/>
    <w:rsid w:val="003D6FA1"/>
    <w:rsid w:val="003E0227"/>
    <w:rsid w:val="003F7181"/>
    <w:rsid w:val="00402853"/>
    <w:rsid w:val="00403745"/>
    <w:rsid w:val="00450622"/>
    <w:rsid w:val="00453602"/>
    <w:rsid w:val="00462B21"/>
    <w:rsid w:val="0046625A"/>
    <w:rsid w:val="00471BDF"/>
    <w:rsid w:val="004801F8"/>
    <w:rsid w:val="004927F5"/>
    <w:rsid w:val="00501CCF"/>
    <w:rsid w:val="00504215"/>
    <w:rsid w:val="00555A1B"/>
    <w:rsid w:val="005627AC"/>
    <w:rsid w:val="005B0ADB"/>
    <w:rsid w:val="005B11D6"/>
    <w:rsid w:val="005C0CC7"/>
    <w:rsid w:val="005E1953"/>
    <w:rsid w:val="005E5A52"/>
    <w:rsid w:val="005F219A"/>
    <w:rsid w:val="006322BC"/>
    <w:rsid w:val="006565E1"/>
    <w:rsid w:val="00656EA0"/>
    <w:rsid w:val="006703D5"/>
    <w:rsid w:val="00675975"/>
    <w:rsid w:val="00676AC4"/>
    <w:rsid w:val="00677122"/>
    <w:rsid w:val="00692A6A"/>
    <w:rsid w:val="0069406A"/>
    <w:rsid w:val="006965D5"/>
    <w:rsid w:val="006C42DE"/>
    <w:rsid w:val="006D12D5"/>
    <w:rsid w:val="007132E1"/>
    <w:rsid w:val="00716771"/>
    <w:rsid w:val="00721767"/>
    <w:rsid w:val="00745DF8"/>
    <w:rsid w:val="007845B6"/>
    <w:rsid w:val="007B299C"/>
    <w:rsid w:val="007D2169"/>
    <w:rsid w:val="0081191C"/>
    <w:rsid w:val="00831928"/>
    <w:rsid w:val="008408DD"/>
    <w:rsid w:val="00885FCE"/>
    <w:rsid w:val="008C6C4A"/>
    <w:rsid w:val="008F1ED0"/>
    <w:rsid w:val="009056D3"/>
    <w:rsid w:val="00923796"/>
    <w:rsid w:val="0095105E"/>
    <w:rsid w:val="009745DD"/>
    <w:rsid w:val="009765E0"/>
    <w:rsid w:val="009879CA"/>
    <w:rsid w:val="009A4F20"/>
    <w:rsid w:val="009B3821"/>
    <w:rsid w:val="009D6FCF"/>
    <w:rsid w:val="009D7E16"/>
    <w:rsid w:val="00A345EC"/>
    <w:rsid w:val="00A54503"/>
    <w:rsid w:val="00A71304"/>
    <w:rsid w:val="00A86175"/>
    <w:rsid w:val="00A86EC5"/>
    <w:rsid w:val="00A9439D"/>
    <w:rsid w:val="00AB4D32"/>
    <w:rsid w:val="00AC5912"/>
    <w:rsid w:val="00B25EB1"/>
    <w:rsid w:val="00B54456"/>
    <w:rsid w:val="00B9545F"/>
    <w:rsid w:val="00B9675B"/>
    <w:rsid w:val="00BA14B7"/>
    <w:rsid w:val="00BA53FB"/>
    <w:rsid w:val="00BB0C2E"/>
    <w:rsid w:val="00BB1761"/>
    <w:rsid w:val="00BC0230"/>
    <w:rsid w:val="00C1330F"/>
    <w:rsid w:val="00C45BD6"/>
    <w:rsid w:val="00C608AE"/>
    <w:rsid w:val="00C64640"/>
    <w:rsid w:val="00CA0146"/>
    <w:rsid w:val="00CA0BBE"/>
    <w:rsid w:val="00CB3696"/>
    <w:rsid w:val="00CF7A0C"/>
    <w:rsid w:val="00D158EC"/>
    <w:rsid w:val="00D272E3"/>
    <w:rsid w:val="00D44605"/>
    <w:rsid w:val="00D53785"/>
    <w:rsid w:val="00DA36B5"/>
    <w:rsid w:val="00DA6427"/>
    <w:rsid w:val="00DA6518"/>
    <w:rsid w:val="00DB2F7F"/>
    <w:rsid w:val="00DC2E3A"/>
    <w:rsid w:val="00DC645B"/>
    <w:rsid w:val="00E055AC"/>
    <w:rsid w:val="00E171B7"/>
    <w:rsid w:val="00E33B73"/>
    <w:rsid w:val="00E6434C"/>
    <w:rsid w:val="00E6581F"/>
    <w:rsid w:val="00E65B9C"/>
    <w:rsid w:val="00E90812"/>
    <w:rsid w:val="00E910F6"/>
    <w:rsid w:val="00EB1F79"/>
    <w:rsid w:val="00ED25F9"/>
    <w:rsid w:val="00EE0058"/>
    <w:rsid w:val="00EE5170"/>
    <w:rsid w:val="00F24430"/>
    <w:rsid w:val="00F97BF8"/>
    <w:rsid w:val="00FA5B76"/>
    <w:rsid w:val="00FC1ABB"/>
    <w:rsid w:val="00FC7D65"/>
    <w:rsid w:val="00FD37FA"/>
    <w:rsid w:val="00FE5BE4"/>
    <w:rsid w:val="00FE5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262A"/>
  <w15:chartTrackingRefBased/>
  <w15:docId w15:val="{4E380CF5-961F-4433-BE76-FDE6813C9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D2169"/>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7D216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D216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D216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D216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7D216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7D2169"/>
    <w:pPr>
      <w:keepNext/>
      <w:keepLines/>
      <w:spacing w:before="4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7D2169"/>
    <w:pPr>
      <w:keepNext/>
      <w:keepLines/>
      <w:spacing w:before="4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7D2169"/>
    <w:pPr>
      <w:keepNext/>
      <w:keepLines/>
      <w:spacing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7D2169"/>
    <w:pPr>
      <w:keepNext/>
      <w:keepLines/>
      <w:spacing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1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21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21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21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21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21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21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21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2169"/>
    <w:rPr>
      <w:rFonts w:eastAsiaTheme="majorEastAsia" w:cstheme="majorBidi"/>
      <w:color w:val="272727" w:themeColor="text1" w:themeTint="D8"/>
    </w:rPr>
  </w:style>
  <w:style w:type="paragraph" w:styleId="Title">
    <w:name w:val="Title"/>
    <w:basedOn w:val="Normal"/>
    <w:next w:val="Normal"/>
    <w:link w:val="TitleChar"/>
    <w:uiPriority w:val="10"/>
    <w:qFormat/>
    <w:rsid w:val="007D216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D21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216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D21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2169"/>
    <w:pPr>
      <w:spacing w:before="160" w:after="160" w:line="278" w:lineRule="auto"/>
      <w:jc w:val="center"/>
    </w:pPr>
    <w:rPr>
      <w:rFonts w:asciiTheme="minorHAnsi" w:hAnsiTheme="minorHAns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7D2169"/>
    <w:rPr>
      <w:i/>
      <w:iCs/>
      <w:color w:val="404040" w:themeColor="text1" w:themeTint="BF"/>
    </w:rPr>
  </w:style>
  <w:style w:type="paragraph" w:styleId="ListParagraph">
    <w:name w:val="List Paragraph"/>
    <w:basedOn w:val="Normal"/>
    <w:uiPriority w:val="34"/>
    <w:qFormat/>
    <w:rsid w:val="007D2169"/>
    <w:pPr>
      <w:spacing w:after="160" w:line="278" w:lineRule="auto"/>
      <w:ind w:left="720"/>
      <w:contextualSpacing/>
    </w:pPr>
    <w:rPr>
      <w:rFonts w:asciiTheme="minorHAnsi" w:hAnsiTheme="minorHAnsi"/>
      <w:kern w:val="2"/>
      <w:sz w:val="24"/>
      <w14:ligatures w14:val="standardContextual"/>
    </w:rPr>
  </w:style>
  <w:style w:type="character" w:styleId="IntenseEmphasis">
    <w:name w:val="Intense Emphasis"/>
    <w:basedOn w:val="DefaultParagraphFont"/>
    <w:uiPriority w:val="21"/>
    <w:qFormat/>
    <w:rsid w:val="007D2169"/>
    <w:rPr>
      <w:i/>
      <w:iCs/>
      <w:color w:val="0F4761" w:themeColor="accent1" w:themeShade="BF"/>
    </w:rPr>
  </w:style>
  <w:style w:type="paragraph" w:styleId="IntenseQuote">
    <w:name w:val="Intense Quote"/>
    <w:basedOn w:val="Normal"/>
    <w:next w:val="Normal"/>
    <w:link w:val="IntenseQuoteChar"/>
    <w:uiPriority w:val="30"/>
    <w:qFormat/>
    <w:rsid w:val="007D216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7D2169"/>
    <w:rPr>
      <w:i/>
      <w:iCs/>
      <w:color w:val="0F4761" w:themeColor="accent1" w:themeShade="BF"/>
    </w:rPr>
  </w:style>
  <w:style w:type="character" w:styleId="IntenseReference">
    <w:name w:val="Intense Reference"/>
    <w:basedOn w:val="DefaultParagraphFont"/>
    <w:uiPriority w:val="32"/>
    <w:qFormat/>
    <w:rsid w:val="007D2169"/>
    <w:rPr>
      <w:b/>
      <w:bCs/>
      <w:smallCaps/>
      <w:color w:val="0F4761" w:themeColor="accent1" w:themeShade="BF"/>
      <w:spacing w:val="5"/>
    </w:rPr>
  </w:style>
  <w:style w:type="paragraph" w:customStyle="1" w:styleId="Listparag">
    <w:name w:val="List parag"/>
    <w:basedOn w:val="ListParagraph"/>
    <w:link w:val="ListparagChar"/>
    <w:qFormat/>
    <w:rsid w:val="003E0227"/>
    <w:pPr>
      <w:spacing w:after="120" w:line="264" w:lineRule="auto"/>
      <w:ind w:left="0"/>
      <w:contextualSpacing w:val="0"/>
    </w:pPr>
    <w:rPr>
      <w:rFonts w:eastAsia="Times New Roman" w:cstheme="minorHAnsi"/>
      <w:color w:val="000000"/>
      <w:kern w:val="0"/>
      <w:sz w:val="22"/>
      <w:szCs w:val="22"/>
      <w:lang w:eastAsia="en-GB"/>
      <w14:ligatures w14:val="none"/>
    </w:rPr>
  </w:style>
  <w:style w:type="character" w:customStyle="1" w:styleId="ListparagChar">
    <w:name w:val="List parag Char"/>
    <w:basedOn w:val="DefaultParagraphFont"/>
    <w:link w:val="Listparag"/>
    <w:rsid w:val="003E0227"/>
    <w:rPr>
      <w:rFonts w:eastAsia="Times New Roman" w:cstheme="minorHAnsi"/>
      <w:color w:val="000000"/>
      <w:kern w:val="0"/>
      <w:sz w:val="22"/>
      <w:szCs w:val="22"/>
      <w:lang w:eastAsia="en-GB"/>
      <w14:ligatures w14:val="none"/>
    </w:rPr>
  </w:style>
  <w:style w:type="character" w:styleId="CommentReference">
    <w:name w:val="annotation reference"/>
    <w:basedOn w:val="DefaultParagraphFont"/>
    <w:uiPriority w:val="99"/>
    <w:semiHidden/>
    <w:unhideWhenUsed/>
    <w:rsid w:val="009745DD"/>
    <w:rPr>
      <w:sz w:val="16"/>
      <w:szCs w:val="16"/>
    </w:rPr>
  </w:style>
  <w:style w:type="paragraph" w:styleId="CommentText">
    <w:name w:val="annotation text"/>
    <w:basedOn w:val="Normal"/>
    <w:link w:val="CommentTextChar"/>
    <w:uiPriority w:val="99"/>
    <w:unhideWhenUsed/>
    <w:rsid w:val="009745DD"/>
    <w:pPr>
      <w:spacing w:line="240" w:lineRule="auto"/>
    </w:pPr>
    <w:rPr>
      <w:sz w:val="20"/>
      <w:szCs w:val="20"/>
    </w:rPr>
  </w:style>
  <w:style w:type="character" w:customStyle="1" w:styleId="CommentTextChar">
    <w:name w:val="Comment Text Char"/>
    <w:basedOn w:val="DefaultParagraphFont"/>
    <w:link w:val="CommentText"/>
    <w:uiPriority w:val="99"/>
    <w:rsid w:val="009745DD"/>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745DD"/>
    <w:rPr>
      <w:b/>
      <w:bCs/>
    </w:rPr>
  </w:style>
  <w:style w:type="character" w:customStyle="1" w:styleId="CommentSubjectChar">
    <w:name w:val="Comment Subject Char"/>
    <w:basedOn w:val="CommentTextChar"/>
    <w:link w:val="CommentSubject"/>
    <w:uiPriority w:val="99"/>
    <w:semiHidden/>
    <w:rsid w:val="009745DD"/>
    <w:rPr>
      <w:rFonts w:ascii="Arial" w:hAnsi="Arial"/>
      <w:b/>
      <w:bCs/>
      <w:kern w:val="0"/>
      <w:sz w:val="20"/>
      <w:szCs w:val="20"/>
      <w14:ligatures w14:val="none"/>
    </w:rPr>
  </w:style>
  <w:style w:type="character" w:styleId="Hyperlink">
    <w:name w:val="Hyperlink"/>
    <w:basedOn w:val="DefaultParagraphFont"/>
    <w:uiPriority w:val="99"/>
    <w:unhideWhenUsed/>
    <w:rsid w:val="00E65B9C"/>
    <w:rPr>
      <w:color w:val="467886" w:themeColor="hyperlink"/>
      <w:u w:val="single"/>
    </w:rPr>
  </w:style>
  <w:style w:type="character" w:styleId="UnresolvedMention">
    <w:name w:val="Unresolved Mention"/>
    <w:basedOn w:val="DefaultParagraphFont"/>
    <w:uiPriority w:val="99"/>
    <w:semiHidden/>
    <w:unhideWhenUsed/>
    <w:rsid w:val="00E65B9C"/>
    <w:rPr>
      <w:color w:val="605E5C"/>
      <w:shd w:val="clear" w:color="auto" w:fill="E1DFDD"/>
    </w:rPr>
  </w:style>
  <w:style w:type="character" w:styleId="FollowedHyperlink">
    <w:name w:val="FollowedHyperlink"/>
    <w:basedOn w:val="DefaultParagraphFont"/>
    <w:uiPriority w:val="99"/>
    <w:semiHidden/>
    <w:unhideWhenUsed/>
    <w:rsid w:val="003D6F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87915">
      <w:bodyDiv w:val="1"/>
      <w:marLeft w:val="0"/>
      <w:marRight w:val="0"/>
      <w:marTop w:val="0"/>
      <w:marBottom w:val="0"/>
      <w:divBdr>
        <w:top w:val="none" w:sz="0" w:space="0" w:color="auto"/>
        <w:left w:val="none" w:sz="0" w:space="0" w:color="auto"/>
        <w:bottom w:val="none" w:sz="0" w:space="0" w:color="auto"/>
        <w:right w:val="none" w:sz="0" w:space="0" w:color="auto"/>
      </w:divBdr>
    </w:div>
    <w:div w:id="40468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missals/constructive-dismissal" TargetMode="External"/><Relationship Id="rId13" Type="http://schemas.openxmlformats.org/officeDocument/2006/relationships/hyperlink" Target="https://www.cipd.org/uk/knowledge/employment-law/equal-pay/" TargetMode="External"/><Relationship Id="rId18" Type="http://schemas.openxmlformats.org/officeDocument/2006/relationships/hyperlink" Target="https://www.gov.uk/government/publications/calculating-holiday-pay-for-workers-without-fixed-hours-or-pay/calculating-holiday-pay-for-workers-without-fixed-hours-or-pay--2" TargetMode="External"/><Relationship Id="rId26" Type="http://schemas.openxmlformats.org/officeDocument/2006/relationships/hyperlink" Target="https://www.legislation.gov.uk/uksi/2023/1425/regulation/3/made" TargetMode="External"/><Relationship Id="rId3" Type="http://schemas.openxmlformats.org/officeDocument/2006/relationships/settings" Target="settings.xml"/><Relationship Id="rId21" Type="http://schemas.openxmlformats.org/officeDocument/2006/relationships/hyperlink" Target="https://www.gov.uk/redundancy-your-rights/print" TargetMode="External"/><Relationship Id="rId7" Type="http://schemas.openxmlformats.org/officeDocument/2006/relationships/hyperlink" Target="https://www.acas.org.uk/collective-consultation-redundancy" TargetMode="External"/><Relationship Id="rId12" Type="http://schemas.openxmlformats.org/officeDocument/2006/relationships/hyperlink" Target="https://www.cipd.org/uk/knowledge/factsheets/diversity-factsheet/" TargetMode="External"/><Relationship Id="rId17" Type="http://schemas.openxmlformats.org/officeDocument/2006/relationships/hyperlink" Target="https://www.cipd.org/uk/knowledge/guides/tupe-guide/" TargetMode="External"/><Relationship Id="rId25" Type="http://schemas.openxmlformats.org/officeDocument/2006/relationships/hyperlink" Target="https://www.legislation.gov.uk/ukpga/2010/15/contents" TargetMode="External"/><Relationship Id="rId2" Type="http://schemas.openxmlformats.org/officeDocument/2006/relationships/styles" Target="styles.xml"/><Relationship Id="rId16" Type="http://schemas.openxmlformats.org/officeDocument/2006/relationships/hyperlink" Target="https://www.cipd.org/uk/knowledge/employment-law/recruitment/#case-law" TargetMode="External"/><Relationship Id="rId20" Type="http://schemas.openxmlformats.org/officeDocument/2006/relationships/hyperlink" Target="https://www.gov.uk/maximum-weekly-working-hours" TargetMode="External"/><Relationship Id="rId29" Type="http://schemas.openxmlformats.org/officeDocument/2006/relationships/hyperlink" Target="https://oldsquare.co.uk/wp-content/uploads/2020/12/1304471.18-Ms-R-Taylor-v-JLR-Ltd..Final_.-Reasons.261120.pdf" TargetMode="External"/><Relationship Id="rId1" Type="http://schemas.openxmlformats.org/officeDocument/2006/relationships/numbering" Target="numbering.xml"/><Relationship Id="rId6" Type="http://schemas.openxmlformats.org/officeDocument/2006/relationships/hyperlink" Target="https://www.acas.org.uk/acas-code-of-practice-on-flexible-working-requests/html" TargetMode="External"/><Relationship Id="rId11" Type="http://schemas.openxmlformats.org/officeDocument/2006/relationships/hyperlink" Target="https://www.peoplemanagement.co.uk/article/1880255/mother-job-offer-rescinded-asked-childrens-ages-wins-90k-tribunal" TargetMode="External"/><Relationship Id="rId24" Type="http://schemas.openxmlformats.org/officeDocument/2006/relationships/hyperlink" Target="https://www.equalityhumanrights.com/equality/equality-act-2010/codes-practice/equal-pay-code-practice?return-url=https%3A%2F%2Fwww.equalityhumanrights.com%2Fsearch%3Fkeys%3Dequal%2Bpay%2Bcode" TargetMode="External"/><Relationship Id="rId32" Type="http://schemas.openxmlformats.org/officeDocument/2006/relationships/theme" Target="theme/theme1.xml"/><Relationship Id="rId5" Type="http://schemas.openxmlformats.org/officeDocument/2006/relationships/hyperlink" Target="https://www.acas.org.uk/making-a-claim-to-an-employment-tribunal" TargetMode="External"/><Relationship Id="rId15" Type="http://schemas.openxmlformats.org/officeDocument/2006/relationships/hyperlink" Target="https://www.cipd.org/uk/knowledge/guides/inclusive-employers/" TargetMode="External"/><Relationship Id="rId23" Type="http://schemas.openxmlformats.org/officeDocument/2006/relationships/hyperlink" Target="https://www.equalityhumanrights.com/equality/equality-act-2010/dismissal-redundancy-and-retirement/exceptions-where-equality-law" TargetMode="External"/><Relationship Id="rId28" Type="http://schemas.openxmlformats.org/officeDocument/2006/relationships/hyperlink" Target="https://pregnantthenscrewed.com/74000-women-a-year-lose-their-jobs-for-getting-pregnant-or-for-taking-maternity-leave/" TargetMode="External"/><Relationship Id="rId10" Type="http://schemas.openxmlformats.org/officeDocument/2006/relationships/hyperlink" Target="https://www.acas.org.uk/reasonable-adjustments" TargetMode="External"/><Relationship Id="rId19" Type="http://schemas.openxmlformats.org/officeDocument/2006/relationships/hyperlink" Target="https://www.gov.uk/government/publications/simplifying-holiday-entitlement-and-holiday-pay-calculations/holiday-pay-and-entitlement-reforms-from-1-january-202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s.org.uk/irregular-hours-and-part-year-workers/rolled-up-holiday-pay" TargetMode="External"/><Relationship Id="rId14" Type="http://schemas.openxmlformats.org/officeDocument/2006/relationships/hyperlink" Target="https://www.cipd.org/uk/knowledge/factsheets/flexible-working-factsheet/" TargetMode="External"/><Relationship Id="rId22" Type="http://schemas.openxmlformats.org/officeDocument/2006/relationships/hyperlink" Target="https://www.gov.uk/shared-parental-leave-and-pay/eligibility-for-birth-parents" TargetMode="External"/><Relationship Id="rId27" Type="http://schemas.openxmlformats.org/officeDocument/2006/relationships/hyperlink" Target="https://assets.publishing.service.gov.uk/media/5f47855c8fa8f5362b98f666/Mr_T_Holloway_v_Aura_Gas_Ltd_-_1405914.19.pdf" TargetMode="External"/><Relationship Id="rId30" Type="http://schemas.openxmlformats.org/officeDocument/2006/relationships/hyperlink" Target="https://www.tuc.org.uk/resource/working-time-breaks-and-holidays-know-your-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4827</Words>
  <Characters>27515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Thomas - S4C</dc:creator>
  <cp:keywords/>
  <dc:description/>
  <cp:lastModifiedBy>Siriol Thomas - S4C</cp:lastModifiedBy>
  <cp:revision>2</cp:revision>
  <dcterms:created xsi:type="dcterms:W3CDTF">2025-03-24T01:29:00Z</dcterms:created>
  <dcterms:modified xsi:type="dcterms:W3CDTF">2025-03-24T01:29:00Z</dcterms:modified>
</cp:coreProperties>
</file>