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F7356E" w14:textId="5DB300F4" w:rsidR="006066E0" w:rsidRPr="00F5046F" w:rsidRDefault="003E3A34" w:rsidP="00F5046F">
      <w:pPr>
        <w:spacing w:line="240" w:lineRule="auto"/>
        <w:jc w:val="center"/>
        <w:rPr>
          <w:rFonts w:ascii="Arial" w:hAnsi="Arial" w:cs="Arial"/>
          <w:b/>
          <w:color w:val="000000" w:themeColor="text1"/>
          <w:sz w:val="32"/>
        </w:rPr>
      </w:pPr>
      <w:bookmarkStart w:id="0" w:name="_GoBack"/>
      <w:bookmarkEnd w:id="0"/>
      <w:r w:rsidRPr="00F5046F">
        <w:rPr>
          <w:rFonts w:ascii="Arial" w:hAnsi="Arial" w:cs="Arial"/>
          <w:b/>
          <w:noProof/>
          <w:color w:val="000000" w:themeColor="text1"/>
          <w:sz w:val="32"/>
          <w:lang w:val="en-IN" w:eastAsia="en-IN" w:bidi="gu-IN"/>
        </w:rPr>
        <w:drawing>
          <wp:inline distT="0" distB="0" distL="0" distR="0" wp14:anchorId="3738883A" wp14:editId="274CDFCB">
            <wp:extent cx="5776111" cy="2254368"/>
            <wp:effectExtent l="0" t="0" r="2540" b="6350"/>
            <wp:docPr id="1654309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09440" name="Picture 1654309440"/>
                    <pic:cNvPicPr/>
                  </pic:nvPicPr>
                  <pic:blipFill>
                    <a:blip r:embed="rId8">
                      <a:extLst>
                        <a:ext uri="{28A0092B-C50C-407E-A947-70E740481C1C}">
                          <a14:useLocalDpi xmlns:a14="http://schemas.microsoft.com/office/drawing/2010/main" val="0"/>
                        </a:ext>
                      </a:extLst>
                    </a:blip>
                    <a:stretch>
                      <a:fillRect/>
                    </a:stretch>
                  </pic:blipFill>
                  <pic:spPr>
                    <a:xfrm>
                      <a:off x="0" y="0"/>
                      <a:ext cx="5861910" cy="2287855"/>
                    </a:xfrm>
                    <a:prstGeom prst="rect">
                      <a:avLst/>
                    </a:prstGeom>
                  </pic:spPr>
                </pic:pic>
              </a:graphicData>
            </a:graphic>
          </wp:inline>
        </w:drawing>
      </w:r>
    </w:p>
    <w:p w14:paraId="504A19A4" w14:textId="77777777" w:rsidR="006066E0" w:rsidRPr="00F5046F" w:rsidRDefault="006066E0" w:rsidP="00F5046F">
      <w:pPr>
        <w:spacing w:line="240" w:lineRule="auto"/>
        <w:jc w:val="center"/>
        <w:rPr>
          <w:rFonts w:ascii="Arial" w:hAnsi="Arial" w:cs="Arial"/>
          <w:b/>
          <w:color w:val="000000" w:themeColor="text1"/>
          <w:sz w:val="32"/>
        </w:rPr>
      </w:pPr>
    </w:p>
    <w:p w14:paraId="45C68CAF" w14:textId="77777777" w:rsidR="006066E0" w:rsidRPr="00F5046F" w:rsidRDefault="006066E0" w:rsidP="00F5046F">
      <w:pPr>
        <w:spacing w:line="240" w:lineRule="auto"/>
        <w:jc w:val="center"/>
        <w:rPr>
          <w:rFonts w:ascii="Arial" w:hAnsi="Arial" w:cs="Arial"/>
          <w:b/>
          <w:color w:val="000000" w:themeColor="text1"/>
          <w:sz w:val="32"/>
        </w:rPr>
      </w:pPr>
    </w:p>
    <w:p w14:paraId="6D0FE2D3" w14:textId="406AE910" w:rsidR="006066E0" w:rsidRPr="00F5046F" w:rsidRDefault="007D6870" w:rsidP="00F5046F">
      <w:pPr>
        <w:spacing w:line="240" w:lineRule="auto"/>
        <w:jc w:val="center"/>
        <w:rPr>
          <w:rFonts w:ascii="Arial" w:hAnsi="Arial" w:cs="Arial"/>
          <w:b/>
          <w:color w:val="000000" w:themeColor="text1"/>
          <w:sz w:val="32"/>
        </w:rPr>
      </w:pPr>
      <w:r>
        <w:rPr>
          <w:rFonts w:ascii="Arial" w:hAnsi="Arial" w:cs="Arial"/>
          <w:b/>
          <w:color w:val="000000" w:themeColor="text1"/>
          <w:sz w:val="32"/>
        </w:rPr>
        <w:t xml:space="preserve">Programme Name: </w:t>
      </w:r>
      <w:r w:rsidRPr="007D6870">
        <w:rPr>
          <w:rFonts w:ascii="Arial" w:hAnsi="Arial" w:cs="Arial"/>
          <w:b/>
          <w:color w:val="000000" w:themeColor="text1"/>
          <w:sz w:val="32"/>
        </w:rPr>
        <w:t>Master of Business Administration</w:t>
      </w:r>
    </w:p>
    <w:p w14:paraId="157D9CE9" w14:textId="607BDB6F" w:rsidR="006066E0" w:rsidRPr="007D6870" w:rsidRDefault="003E3A34" w:rsidP="007D6870">
      <w:pPr>
        <w:spacing w:line="240" w:lineRule="auto"/>
        <w:jc w:val="center"/>
        <w:rPr>
          <w:rFonts w:ascii="Arial" w:hAnsi="Arial" w:cs="Arial"/>
          <w:b/>
          <w:color w:val="000000" w:themeColor="text1"/>
          <w:sz w:val="32"/>
          <w:lang w:val="en-IN"/>
        </w:rPr>
      </w:pPr>
      <w:r w:rsidRPr="00F5046F">
        <w:rPr>
          <w:rFonts w:ascii="Arial" w:hAnsi="Arial" w:cs="Arial"/>
          <w:b/>
          <w:color w:val="000000" w:themeColor="text1"/>
          <w:sz w:val="32"/>
        </w:rPr>
        <w:t xml:space="preserve">Module Name: </w:t>
      </w:r>
      <w:r w:rsidRPr="00F5046F">
        <w:rPr>
          <w:rFonts w:ascii="Arial" w:hAnsi="Arial" w:cs="Arial"/>
          <w:b/>
          <w:bCs/>
          <w:color w:val="000000" w:themeColor="text1"/>
          <w:sz w:val="32"/>
          <w:lang w:val="en-IN"/>
        </w:rPr>
        <w:t>International Business Concepts</w:t>
      </w:r>
    </w:p>
    <w:p w14:paraId="0EF94B79" w14:textId="5D2FA6D2" w:rsidR="006066E0" w:rsidRPr="00F5046F" w:rsidRDefault="003E3A34" w:rsidP="00F5046F">
      <w:pPr>
        <w:spacing w:line="240" w:lineRule="auto"/>
        <w:jc w:val="center"/>
        <w:rPr>
          <w:rFonts w:ascii="Arial" w:hAnsi="Arial" w:cs="Arial"/>
          <w:b/>
          <w:color w:val="000000" w:themeColor="text1"/>
          <w:sz w:val="32"/>
        </w:rPr>
      </w:pPr>
      <w:r w:rsidRPr="00F5046F">
        <w:rPr>
          <w:rFonts w:ascii="Arial" w:hAnsi="Arial" w:cs="Arial"/>
          <w:b/>
          <w:color w:val="000000" w:themeColor="text1"/>
          <w:sz w:val="32"/>
        </w:rPr>
        <w:t>Module Code: LCMB7034</w:t>
      </w:r>
    </w:p>
    <w:p w14:paraId="0CD1169C" w14:textId="77777777" w:rsidR="006066E0" w:rsidRPr="00F5046F" w:rsidRDefault="006066E0" w:rsidP="00F5046F">
      <w:pPr>
        <w:spacing w:line="240" w:lineRule="auto"/>
        <w:jc w:val="center"/>
        <w:rPr>
          <w:rFonts w:ascii="Arial" w:hAnsi="Arial" w:cs="Arial"/>
          <w:b/>
          <w:color w:val="000000" w:themeColor="text1"/>
          <w:sz w:val="32"/>
        </w:rPr>
      </w:pPr>
    </w:p>
    <w:p w14:paraId="4C5D143F" w14:textId="128269BB" w:rsidR="00BE146B" w:rsidRPr="00F5046F" w:rsidRDefault="007D6870" w:rsidP="00F5046F">
      <w:pPr>
        <w:spacing w:line="240" w:lineRule="auto"/>
        <w:jc w:val="center"/>
        <w:rPr>
          <w:rFonts w:ascii="Arial" w:hAnsi="Arial" w:cs="Arial"/>
          <w:b/>
          <w:color w:val="000000" w:themeColor="text1"/>
          <w:sz w:val="32"/>
        </w:rPr>
      </w:pPr>
      <w:r>
        <w:rPr>
          <w:rFonts w:ascii="Arial" w:hAnsi="Arial" w:cs="Arial"/>
          <w:b/>
          <w:color w:val="000000" w:themeColor="text1"/>
          <w:sz w:val="32"/>
        </w:rPr>
        <w:t xml:space="preserve">Assessment Title: </w:t>
      </w:r>
      <w:r w:rsidR="006066E0" w:rsidRPr="00F5046F">
        <w:rPr>
          <w:rFonts w:ascii="Arial" w:hAnsi="Arial" w:cs="Arial"/>
          <w:b/>
          <w:color w:val="000000" w:themeColor="text1"/>
          <w:sz w:val="32"/>
        </w:rPr>
        <w:t>COSTCO’S POTENTIAL MARKET ENTRY INTO BRAZIL: AN INTERNATIONAL BUSINESS ANALYSIS</w:t>
      </w:r>
    </w:p>
    <w:p w14:paraId="088C7C83" w14:textId="77777777" w:rsidR="00F5046F" w:rsidRPr="00F5046F" w:rsidRDefault="00F5046F" w:rsidP="00F5046F">
      <w:pPr>
        <w:spacing w:line="240" w:lineRule="auto"/>
        <w:jc w:val="center"/>
        <w:rPr>
          <w:rFonts w:ascii="Arial" w:hAnsi="Arial" w:cs="Arial"/>
          <w:b/>
          <w:color w:val="000000" w:themeColor="text1"/>
          <w:sz w:val="32"/>
        </w:rPr>
      </w:pPr>
    </w:p>
    <w:p w14:paraId="36A2AFA0" w14:textId="3423C49F" w:rsidR="00F5046F" w:rsidRDefault="007D6870" w:rsidP="00F5046F">
      <w:pPr>
        <w:spacing w:line="240" w:lineRule="auto"/>
        <w:jc w:val="center"/>
        <w:rPr>
          <w:rFonts w:ascii="Arial" w:hAnsi="Arial" w:cs="Arial"/>
          <w:b/>
          <w:color w:val="000000" w:themeColor="text1"/>
          <w:sz w:val="32"/>
        </w:rPr>
      </w:pPr>
      <w:r>
        <w:rPr>
          <w:rFonts w:ascii="Arial" w:hAnsi="Arial" w:cs="Arial"/>
          <w:b/>
          <w:color w:val="000000" w:themeColor="text1"/>
          <w:sz w:val="32"/>
        </w:rPr>
        <w:t>Student Name</w:t>
      </w:r>
      <w:r w:rsidR="00F5046F" w:rsidRPr="00F5046F">
        <w:rPr>
          <w:rFonts w:ascii="Arial" w:hAnsi="Arial" w:cs="Arial"/>
          <w:b/>
          <w:color w:val="000000" w:themeColor="text1"/>
          <w:sz w:val="32"/>
        </w:rPr>
        <w:t>:</w:t>
      </w:r>
      <w:r>
        <w:rPr>
          <w:rFonts w:ascii="Arial" w:hAnsi="Arial" w:cs="Arial"/>
          <w:b/>
          <w:color w:val="000000" w:themeColor="text1"/>
          <w:sz w:val="32"/>
        </w:rPr>
        <w:t xml:space="preserve"> K</w:t>
      </w:r>
      <w:r w:rsidRPr="007D6870">
        <w:rPr>
          <w:rFonts w:ascii="Arial" w:hAnsi="Arial" w:cs="Arial"/>
          <w:b/>
          <w:color w:val="000000" w:themeColor="text1"/>
          <w:sz w:val="32"/>
        </w:rPr>
        <w:t xml:space="preserve">hatijabibi </w:t>
      </w:r>
      <w:r>
        <w:rPr>
          <w:rFonts w:ascii="Arial" w:hAnsi="Arial" w:cs="Arial"/>
          <w:b/>
          <w:color w:val="000000" w:themeColor="text1"/>
          <w:sz w:val="32"/>
        </w:rPr>
        <w:t>M</w:t>
      </w:r>
      <w:r w:rsidRPr="007D6870">
        <w:rPr>
          <w:rFonts w:ascii="Arial" w:hAnsi="Arial" w:cs="Arial"/>
          <w:b/>
          <w:color w:val="000000" w:themeColor="text1"/>
          <w:sz w:val="32"/>
        </w:rPr>
        <w:t xml:space="preserve">ahebubbhai </w:t>
      </w:r>
      <w:r>
        <w:rPr>
          <w:rFonts w:ascii="Arial" w:hAnsi="Arial" w:cs="Arial"/>
          <w:b/>
          <w:color w:val="000000" w:themeColor="text1"/>
          <w:sz w:val="32"/>
        </w:rPr>
        <w:t>R</w:t>
      </w:r>
      <w:r w:rsidRPr="007D6870">
        <w:rPr>
          <w:rFonts w:ascii="Arial" w:hAnsi="Arial" w:cs="Arial"/>
          <w:b/>
          <w:color w:val="000000" w:themeColor="text1"/>
          <w:sz w:val="32"/>
        </w:rPr>
        <w:t>adhanpuri</w:t>
      </w:r>
    </w:p>
    <w:p w14:paraId="6A4C173A" w14:textId="2C1C1168" w:rsidR="007D6870" w:rsidRPr="00F5046F" w:rsidRDefault="007D6870" w:rsidP="00F5046F">
      <w:pPr>
        <w:spacing w:line="240" w:lineRule="auto"/>
        <w:jc w:val="center"/>
        <w:rPr>
          <w:rFonts w:ascii="Arial" w:hAnsi="Arial" w:cs="Arial"/>
          <w:b/>
          <w:color w:val="000000" w:themeColor="text1"/>
          <w:sz w:val="32"/>
        </w:rPr>
      </w:pPr>
      <w:r>
        <w:rPr>
          <w:rFonts w:ascii="Arial" w:hAnsi="Arial" w:cs="Arial"/>
          <w:b/>
          <w:color w:val="000000" w:themeColor="text1"/>
          <w:sz w:val="32"/>
        </w:rPr>
        <w:t xml:space="preserve">Student ID: </w:t>
      </w:r>
      <w:r w:rsidRPr="007D6870">
        <w:rPr>
          <w:rFonts w:ascii="Arial" w:hAnsi="Arial" w:cs="Arial"/>
          <w:b/>
          <w:color w:val="000000" w:themeColor="text1"/>
          <w:sz w:val="32"/>
        </w:rPr>
        <w:t>2420022</w:t>
      </w:r>
    </w:p>
    <w:p w14:paraId="0DCA5EAE" w14:textId="5833F764" w:rsidR="00F5046F" w:rsidRPr="00F5046F" w:rsidRDefault="00F5046F" w:rsidP="00F5046F">
      <w:pPr>
        <w:spacing w:line="240" w:lineRule="auto"/>
        <w:jc w:val="center"/>
        <w:rPr>
          <w:rFonts w:ascii="Arial" w:hAnsi="Arial" w:cs="Arial"/>
          <w:b/>
          <w:color w:val="000000" w:themeColor="text1"/>
          <w:sz w:val="32"/>
        </w:rPr>
      </w:pPr>
      <w:r w:rsidRPr="00F5046F">
        <w:rPr>
          <w:rFonts w:ascii="Arial" w:hAnsi="Arial" w:cs="Arial"/>
          <w:b/>
          <w:color w:val="000000" w:themeColor="text1"/>
          <w:sz w:val="32"/>
        </w:rPr>
        <w:t xml:space="preserve">Word Count: </w:t>
      </w:r>
      <w:r w:rsidR="00B023E3">
        <w:rPr>
          <w:rFonts w:ascii="Arial" w:hAnsi="Arial" w:cs="Arial"/>
          <w:b/>
          <w:color w:val="000000" w:themeColor="text1"/>
          <w:sz w:val="32"/>
        </w:rPr>
        <w:t>5059</w:t>
      </w:r>
    </w:p>
    <w:p w14:paraId="29DE89DB" w14:textId="77777777" w:rsidR="00BE146B" w:rsidRPr="00F5046F" w:rsidRDefault="00BE146B" w:rsidP="00F5046F">
      <w:pPr>
        <w:spacing w:line="240" w:lineRule="auto"/>
        <w:rPr>
          <w:rFonts w:ascii="Arial" w:hAnsi="Arial" w:cs="Arial"/>
          <w:b/>
          <w:color w:val="000000" w:themeColor="text1"/>
          <w:sz w:val="32"/>
        </w:rPr>
      </w:pPr>
      <w:r w:rsidRPr="00F5046F">
        <w:rPr>
          <w:rFonts w:ascii="Arial" w:hAnsi="Arial" w:cs="Arial"/>
          <w:b/>
          <w:color w:val="000000" w:themeColor="text1"/>
          <w:sz w:val="32"/>
        </w:rPr>
        <w:br w:type="page"/>
      </w:r>
    </w:p>
    <w:sdt>
      <w:sdtPr>
        <w:rPr>
          <w:rFonts w:ascii="Arial" w:eastAsiaTheme="minorHAnsi" w:hAnsi="Arial" w:cs="Arial"/>
          <w:b/>
          <w:color w:val="000000" w:themeColor="text1"/>
          <w:sz w:val="36"/>
          <w:szCs w:val="22"/>
          <w:lang w:val="en-GB"/>
        </w:rPr>
        <w:id w:val="619809692"/>
        <w:docPartObj>
          <w:docPartGallery w:val="Table of Contents"/>
          <w:docPartUnique/>
        </w:docPartObj>
      </w:sdtPr>
      <w:sdtEndPr>
        <w:rPr>
          <w:bCs/>
          <w:noProof/>
          <w:sz w:val="22"/>
        </w:rPr>
      </w:sdtEndPr>
      <w:sdtContent>
        <w:p w14:paraId="595B6FA6" w14:textId="77777777" w:rsidR="00E81760" w:rsidRPr="00F5046F" w:rsidRDefault="00E81760" w:rsidP="00F5046F">
          <w:pPr>
            <w:pStyle w:val="TOCHeading"/>
            <w:spacing w:line="240" w:lineRule="auto"/>
            <w:jc w:val="center"/>
            <w:rPr>
              <w:rFonts w:ascii="Arial" w:hAnsi="Arial" w:cs="Arial"/>
              <w:b/>
              <w:color w:val="000000" w:themeColor="text1"/>
              <w:sz w:val="28"/>
              <w:szCs w:val="24"/>
            </w:rPr>
          </w:pPr>
          <w:r w:rsidRPr="00F5046F">
            <w:rPr>
              <w:rFonts w:ascii="Arial" w:hAnsi="Arial" w:cs="Arial"/>
              <w:b/>
              <w:color w:val="000000" w:themeColor="text1"/>
              <w:sz w:val="28"/>
              <w:szCs w:val="24"/>
            </w:rPr>
            <w:t>Table of Contents</w:t>
          </w:r>
        </w:p>
        <w:p w14:paraId="23D70C06" w14:textId="77777777" w:rsidR="00A67C89" w:rsidRPr="00F5046F" w:rsidRDefault="00E81760" w:rsidP="00F5046F">
          <w:pPr>
            <w:pStyle w:val="TOC1"/>
            <w:tabs>
              <w:tab w:val="right" w:leader="dot" w:pos="9016"/>
            </w:tabs>
            <w:spacing w:line="240" w:lineRule="auto"/>
            <w:jc w:val="both"/>
            <w:rPr>
              <w:rFonts w:ascii="Arial" w:eastAsiaTheme="minorEastAsia" w:hAnsi="Arial" w:cs="Arial"/>
              <w:noProof/>
              <w:color w:val="000000" w:themeColor="text1"/>
              <w:sz w:val="24"/>
              <w:szCs w:val="24"/>
              <w:lang w:val="en-IN" w:eastAsia="en-IN"/>
            </w:rPr>
          </w:pPr>
          <w:r w:rsidRPr="00F5046F">
            <w:rPr>
              <w:rFonts w:ascii="Arial" w:hAnsi="Arial" w:cs="Arial"/>
              <w:color w:val="000000" w:themeColor="text1"/>
              <w:sz w:val="24"/>
              <w:szCs w:val="24"/>
            </w:rPr>
            <w:fldChar w:fldCharType="begin"/>
          </w:r>
          <w:r w:rsidRPr="00F5046F">
            <w:rPr>
              <w:rFonts w:ascii="Arial" w:hAnsi="Arial" w:cs="Arial"/>
              <w:color w:val="000000" w:themeColor="text1"/>
              <w:sz w:val="24"/>
              <w:szCs w:val="24"/>
            </w:rPr>
            <w:instrText xml:space="preserve"> TOC \o "1-3" \h \z \u </w:instrText>
          </w:r>
          <w:r w:rsidRPr="00F5046F">
            <w:rPr>
              <w:rFonts w:ascii="Arial" w:hAnsi="Arial" w:cs="Arial"/>
              <w:color w:val="000000" w:themeColor="text1"/>
              <w:sz w:val="24"/>
              <w:szCs w:val="24"/>
            </w:rPr>
            <w:fldChar w:fldCharType="separate"/>
          </w:r>
          <w:hyperlink w:anchor="_Toc236077337" w:history="1">
            <w:r w:rsidR="00A67C89" w:rsidRPr="00F5046F">
              <w:rPr>
                <w:rStyle w:val="Hyperlink"/>
                <w:rFonts w:ascii="Arial" w:hAnsi="Arial" w:cs="Arial"/>
                <w:noProof/>
                <w:color w:val="000000" w:themeColor="text1"/>
                <w:sz w:val="24"/>
                <w:szCs w:val="24"/>
              </w:rPr>
              <w:t>Section 1: International Market Entry Analysis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_Toc236077337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2</w:t>
            </w:r>
            <w:r w:rsidR="00A67C89" w:rsidRPr="00F5046F">
              <w:rPr>
                <w:rFonts w:ascii="Arial" w:hAnsi="Arial" w:cs="Arial"/>
                <w:noProof/>
                <w:webHidden/>
                <w:color w:val="000000" w:themeColor="text1"/>
                <w:sz w:val="24"/>
                <w:szCs w:val="24"/>
              </w:rPr>
              <w:fldChar w:fldCharType="end"/>
            </w:r>
          </w:hyperlink>
        </w:p>
        <w:p w14:paraId="0BF4F80E" w14:textId="77777777" w:rsidR="00A67C89" w:rsidRPr="00F5046F" w:rsidRDefault="00CC39C9" w:rsidP="00F5046F">
          <w:pPr>
            <w:pStyle w:val="TOC1"/>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38" w:history="1">
            <w:r w:rsidR="00A67C89" w:rsidRPr="00F5046F">
              <w:rPr>
                <w:rStyle w:val="Hyperlink"/>
                <w:rFonts w:ascii="Arial" w:hAnsi="Arial" w:cs="Arial"/>
                <w:noProof/>
                <w:color w:val="000000" w:themeColor="text1"/>
                <w:sz w:val="24"/>
                <w:szCs w:val="24"/>
                <w:lang w:val="en-IN"/>
              </w:rPr>
              <w:t>1. Organisational Classification and Global Strategy</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_Toc236077338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3</w:t>
            </w:r>
            <w:r w:rsidR="00A67C89" w:rsidRPr="00F5046F">
              <w:rPr>
                <w:rFonts w:ascii="Arial" w:hAnsi="Arial" w:cs="Arial"/>
                <w:noProof/>
                <w:webHidden/>
                <w:color w:val="000000" w:themeColor="text1"/>
                <w:sz w:val="24"/>
                <w:szCs w:val="24"/>
              </w:rPr>
              <w:fldChar w:fldCharType="end"/>
            </w:r>
          </w:hyperlink>
        </w:p>
        <w:p w14:paraId="4FDCFB90"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39" w:history="1">
            <w:r w:rsidR="00A67C89" w:rsidRPr="00F5046F">
              <w:rPr>
                <w:rStyle w:val="Hyperlink"/>
                <w:rFonts w:ascii="Arial" w:hAnsi="Arial" w:cs="Arial"/>
                <w:noProof/>
                <w:color w:val="000000" w:themeColor="text1"/>
                <w:sz w:val="24"/>
                <w:szCs w:val="24"/>
              </w:rPr>
              <w:t>1.1 Introduction to Costco and Brazil</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_Toc236077339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3</w:t>
            </w:r>
            <w:r w:rsidR="00A67C89" w:rsidRPr="00F5046F">
              <w:rPr>
                <w:rFonts w:ascii="Arial" w:hAnsi="Arial" w:cs="Arial"/>
                <w:noProof/>
                <w:webHidden/>
                <w:color w:val="000000" w:themeColor="text1"/>
                <w:sz w:val="24"/>
                <w:szCs w:val="24"/>
              </w:rPr>
              <w:fldChar w:fldCharType="end"/>
            </w:r>
          </w:hyperlink>
        </w:p>
        <w:p w14:paraId="6BABB247"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0" w:history="1">
            <w:r w:rsidR="00A67C89" w:rsidRPr="00F5046F">
              <w:rPr>
                <w:rStyle w:val="Hyperlink"/>
                <w:rFonts w:ascii="Arial" w:hAnsi="Arial" w:cs="Arial"/>
                <w:noProof/>
                <w:color w:val="000000" w:themeColor="text1"/>
                <w:sz w:val="24"/>
                <w:szCs w:val="24"/>
              </w:rPr>
              <w:t>1.2 Bartlett and Ghoshal Strategic Classification</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_Toc236077340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3</w:t>
            </w:r>
            <w:r w:rsidR="00A67C89" w:rsidRPr="00F5046F">
              <w:rPr>
                <w:rFonts w:ascii="Arial" w:hAnsi="Arial" w:cs="Arial"/>
                <w:noProof/>
                <w:webHidden/>
                <w:color w:val="000000" w:themeColor="text1"/>
                <w:sz w:val="24"/>
                <w:szCs w:val="24"/>
              </w:rPr>
              <w:fldChar w:fldCharType="end"/>
            </w:r>
          </w:hyperlink>
        </w:p>
        <w:p w14:paraId="34E34E5F"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1" w:history="1">
            <w:r w:rsidR="00A67C89" w:rsidRPr="00F5046F">
              <w:rPr>
                <w:rStyle w:val="Hyperlink"/>
                <w:rFonts w:ascii="Arial" w:hAnsi="Arial" w:cs="Arial"/>
                <w:noProof/>
                <w:color w:val="000000" w:themeColor="text1"/>
                <w:sz w:val="24"/>
                <w:szCs w:val="24"/>
              </w:rPr>
              <w:t>1.3 Costco’s Global Configuration, Competitive Advantage and Value Creation</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_Toc236077341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3</w:t>
            </w:r>
            <w:r w:rsidR="00A67C89" w:rsidRPr="00F5046F">
              <w:rPr>
                <w:rFonts w:ascii="Arial" w:hAnsi="Arial" w:cs="Arial"/>
                <w:noProof/>
                <w:webHidden/>
                <w:color w:val="000000" w:themeColor="text1"/>
                <w:sz w:val="24"/>
                <w:szCs w:val="24"/>
              </w:rPr>
              <w:fldChar w:fldCharType="end"/>
            </w:r>
          </w:hyperlink>
        </w:p>
        <w:p w14:paraId="0F4260AA" w14:textId="77777777" w:rsidR="00A67C89" w:rsidRPr="00F5046F" w:rsidRDefault="00CC39C9" w:rsidP="00F5046F">
          <w:pPr>
            <w:pStyle w:val="TOC1"/>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2" w:history="1">
            <w:r w:rsidR="00A67C89" w:rsidRPr="00F5046F">
              <w:rPr>
                <w:rStyle w:val="Hyperlink"/>
                <w:rFonts w:ascii="Arial" w:hAnsi="Arial" w:cs="Arial"/>
                <w:noProof/>
                <w:color w:val="000000" w:themeColor="text1"/>
                <w:sz w:val="24"/>
                <w:szCs w:val="24"/>
                <w:lang w:val="en-IN"/>
              </w:rPr>
              <w:t>2. Macro-Environmental Appraisal and Market Attractiveness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_Toc236077342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4</w:t>
            </w:r>
            <w:r w:rsidR="00A67C89" w:rsidRPr="00F5046F">
              <w:rPr>
                <w:rFonts w:ascii="Arial" w:hAnsi="Arial" w:cs="Arial"/>
                <w:noProof/>
                <w:webHidden/>
                <w:color w:val="000000" w:themeColor="text1"/>
                <w:sz w:val="24"/>
                <w:szCs w:val="24"/>
              </w:rPr>
              <w:fldChar w:fldCharType="end"/>
            </w:r>
          </w:hyperlink>
        </w:p>
        <w:p w14:paraId="00831E8C"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3" w:history="1">
            <w:r w:rsidR="00A67C89" w:rsidRPr="00F5046F">
              <w:rPr>
                <w:rStyle w:val="Hyperlink"/>
                <w:rFonts w:ascii="Arial" w:hAnsi="Arial" w:cs="Arial"/>
                <w:noProof/>
                <w:color w:val="000000" w:themeColor="text1"/>
                <w:sz w:val="24"/>
                <w:szCs w:val="24"/>
              </w:rPr>
              <w:t>2.1 Porter’s Diamond and Brazilian Retail Competitiveness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_Toc236077343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4</w:t>
            </w:r>
            <w:r w:rsidR="00A67C89" w:rsidRPr="00F5046F">
              <w:rPr>
                <w:rFonts w:ascii="Arial" w:hAnsi="Arial" w:cs="Arial"/>
                <w:noProof/>
                <w:webHidden/>
                <w:color w:val="000000" w:themeColor="text1"/>
                <w:sz w:val="24"/>
                <w:szCs w:val="24"/>
              </w:rPr>
              <w:fldChar w:fldCharType="end"/>
            </w:r>
          </w:hyperlink>
        </w:p>
        <w:p w14:paraId="41378A98"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4" w:history="1">
            <w:r w:rsidR="00A67C89" w:rsidRPr="00F5046F">
              <w:rPr>
                <w:rStyle w:val="Hyperlink"/>
                <w:rFonts w:ascii="Arial" w:hAnsi="Arial" w:cs="Arial"/>
                <w:noProof/>
                <w:color w:val="000000" w:themeColor="text1"/>
                <w:sz w:val="24"/>
                <w:szCs w:val="24"/>
              </w:rPr>
              <w:t>2.2 Government and Policy Environment</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_Toc236077344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4</w:t>
            </w:r>
            <w:r w:rsidR="00A67C89" w:rsidRPr="00F5046F">
              <w:rPr>
                <w:rFonts w:ascii="Arial" w:hAnsi="Arial" w:cs="Arial"/>
                <w:noProof/>
                <w:webHidden/>
                <w:color w:val="000000" w:themeColor="text1"/>
                <w:sz w:val="24"/>
                <w:szCs w:val="24"/>
              </w:rPr>
              <w:fldChar w:fldCharType="end"/>
            </w:r>
          </w:hyperlink>
        </w:p>
        <w:p w14:paraId="0ACCC9BB"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5" w:history="1">
            <w:r w:rsidR="00A67C89" w:rsidRPr="00F5046F">
              <w:rPr>
                <w:rStyle w:val="Hyperlink"/>
                <w:rFonts w:ascii="Arial" w:hAnsi="Arial" w:cs="Arial"/>
                <w:noProof/>
                <w:color w:val="000000" w:themeColor="text1"/>
                <w:sz w:val="24"/>
                <w:szCs w:val="24"/>
              </w:rPr>
              <w:t>2.3 Factor and Demand Conditions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_Toc236077345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5</w:t>
            </w:r>
            <w:r w:rsidR="00A67C89" w:rsidRPr="00F5046F">
              <w:rPr>
                <w:rFonts w:ascii="Arial" w:hAnsi="Arial" w:cs="Arial"/>
                <w:noProof/>
                <w:webHidden/>
                <w:color w:val="000000" w:themeColor="text1"/>
                <w:sz w:val="24"/>
                <w:szCs w:val="24"/>
              </w:rPr>
              <w:fldChar w:fldCharType="end"/>
            </w:r>
          </w:hyperlink>
        </w:p>
        <w:p w14:paraId="6D63C813"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6" w:history="1">
            <w:r w:rsidR="00A67C89" w:rsidRPr="00F5046F">
              <w:rPr>
                <w:rStyle w:val="Hyperlink"/>
                <w:rFonts w:ascii="Arial" w:hAnsi="Arial" w:cs="Arial"/>
                <w:noProof/>
                <w:color w:val="000000" w:themeColor="text1"/>
                <w:sz w:val="24"/>
                <w:szCs w:val="24"/>
              </w:rPr>
              <w:t>2.4 Legal and Regulatory Environment</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_Toc236077346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8</w:t>
            </w:r>
            <w:r w:rsidR="00A67C89" w:rsidRPr="00F5046F">
              <w:rPr>
                <w:rFonts w:ascii="Arial" w:hAnsi="Arial" w:cs="Arial"/>
                <w:noProof/>
                <w:webHidden/>
                <w:color w:val="000000" w:themeColor="text1"/>
                <w:sz w:val="24"/>
                <w:szCs w:val="24"/>
              </w:rPr>
              <w:fldChar w:fldCharType="end"/>
            </w:r>
          </w:hyperlink>
        </w:p>
        <w:p w14:paraId="27FF6323"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7" w:history="1">
            <w:r w:rsidR="00A67C89" w:rsidRPr="00F5046F">
              <w:rPr>
                <w:rStyle w:val="Hyperlink"/>
                <w:rFonts w:ascii="Arial" w:hAnsi="Arial" w:cs="Arial"/>
                <w:noProof/>
                <w:color w:val="000000" w:themeColor="text1"/>
                <w:sz w:val="24"/>
                <w:szCs w:val="24"/>
              </w:rPr>
              <w:t>2.5 Cultural and Social Environment</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_Toc236077347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9</w:t>
            </w:r>
            <w:r w:rsidR="00A67C89" w:rsidRPr="00F5046F">
              <w:rPr>
                <w:rFonts w:ascii="Arial" w:hAnsi="Arial" w:cs="Arial"/>
                <w:noProof/>
                <w:webHidden/>
                <w:color w:val="000000" w:themeColor="text1"/>
                <w:sz w:val="24"/>
                <w:szCs w:val="24"/>
              </w:rPr>
              <w:fldChar w:fldCharType="end"/>
            </w:r>
          </w:hyperlink>
        </w:p>
        <w:p w14:paraId="0B8AEE4A"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8" w:history="1">
            <w:r w:rsidR="00A67C89" w:rsidRPr="00F5046F">
              <w:rPr>
                <w:rStyle w:val="Hyperlink"/>
                <w:rFonts w:ascii="Arial" w:hAnsi="Arial" w:cs="Arial"/>
                <w:noProof/>
                <w:color w:val="000000" w:themeColor="text1"/>
                <w:sz w:val="24"/>
                <w:szCs w:val="24"/>
              </w:rPr>
              <w:t>2.6 Dunning’s Eclectic Paradigm and Market Entry</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_Toc236077348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10</w:t>
            </w:r>
            <w:r w:rsidR="00A67C89" w:rsidRPr="00F5046F">
              <w:rPr>
                <w:rFonts w:ascii="Arial" w:hAnsi="Arial" w:cs="Arial"/>
                <w:noProof/>
                <w:webHidden/>
                <w:color w:val="000000" w:themeColor="text1"/>
                <w:sz w:val="24"/>
                <w:szCs w:val="24"/>
              </w:rPr>
              <w:fldChar w:fldCharType="end"/>
            </w:r>
          </w:hyperlink>
        </w:p>
        <w:p w14:paraId="6BE445AD" w14:textId="77777777" w:rsidR="00A67C89" w:rsidRPr="00F5046F" w:rsidRDefault="00CC39C9" w:rsidP="00F5046F">
          <w:pPr>
            <w:pStyle w:val="TOC3"/>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49" w:history="1">
            <w:r w:rsidR="00A67C89" w:rsidRPr="00F5046F">
              <w:rPr>
                <w:rStyle w:val="Hyperlink"/>
                <w:rFonts w:ascii="Arial" w:hAnsi="Arial" w:cs="Arial"/>
                <w:noProof/>
                <w:color w:val="000000" w:themeColor="text1"/>
                <w:sz w:val="24"/>
                <w:szCs w:val="24"/>
              </w:rPr>
              <w:t>2.6.1 Ownership Advantages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_Toc236077349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10</w:t>
            </w:r>
            <w:r w:rsidR="00A67C89" w:rsidRPr="00F5046F">
              <w:rPr>
                <w:rFonts w:ascii="Arial" w:hAnsi="Arial" w:cs="Arial"/>
                <w:noProof/>
                <w:webHidden/>
                <w:color w:val="000000" w:themeColor="text1"/>
                <w:sz w:val="24"/>
                <w:szCs w:val="24"/>
              </w:rPr>
              <w:fldChar w:fldCharType="end"/>
            </w:r>
          </w:hyperlink>
        </w:p>
        <w:p w14:paraId="2F51F1EA" w14:textId="77777777" w:rsidR="00A67C89" w:rsidRPr="00F5046F" w:rsidRDefault="00CC39C9" w:rsidP="00F5046F">
          <w:pPr>
            <w:pStyle w:val="TOC3"/>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0" w:history="1">
            <w:r w:rsidR="00A67C89" w:rsidRPr="00F5046F">
              <w:rPr>
                <w:rStyle w:val="Hyperlink"/>
                <w:rFonts w:ascii="Arial" w:hAnsi="Arial" w:cs="Arial"/>
                <w:noProof/>
                <w:color w:val="000000" w:themeColor="text1"/>
                <w:sz w:val="24"/>
                <w:szCs w:val="24"/>
              </w:rPr>
              <w:t>2.6.2 Location Advantages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_Toc236077350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10</w:t>
            </w:r>
            <w:r w:rsidR="00A67C89" w:rsidRPr="00F5046F">
              <w:rPr>
                <w:rFonts w:ascii="Arial" w:hAnsi="Arial" w:cs="Arial"/>
                <w:noProof/>
                <w:webHidden/>
                <w:color w:val="000000" w:themeColor="text1"/>
                <w:sz w:val="24"/>
                <w:szCs w:val="24"/>
              </w:rPr>
              <w:fldChar w:fldCharType="end"/>
            </w:r>
          </w:hyperlink>
        </w:p>
        <w:p w14:paraId="75BA5F6B" w14:textId="77777777" w:rsidR="00A67C89" w:rsidRPr="00F5046F" w:rsidRDefault="00CC39C9" w:rsidP="00F5046F">
          <w:pPr>
            <w:pStyle w:val="TOC3"/>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1" w:history="1">
            <w:r w:rsidR="00A67C89" w:rsidRPr="00F5046F">
              <w:rPr>
                <w:rStyle w:val="Hyperlink"/>
                <w:rFonts w:ascii="Arial" w:hAnsi="Arial" w:cs="Arial"/>
                <w:noProof/>
                <w:color w:val="000000" w:themeColor="text1"/>
                <w:sz w:val="24"/>
                <w:szCs w:val="24"/>
              </w:rPr>
              <w:t>2.6.3 Internalisation Advantages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_Toc236077351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11</w:t>
            </w:r>
            <w:r w:rsidR="00A67C89" w:rsidRPr="00F5046F">
              <w:rPr>
                <w:rFonts w:ascii="Arial" w:hAnsi="Arial" w:cs="Arial"/>
                <w:noProof/>
                <w:webHidden/>
                <w:color w:val="000000" w:themeColor="text1"/>
                <w:sz w:val="24"/>
                <w:szCs w:val="24"/>
              </w:rPr>
              <w:fldChar w:fldCharType="end"/>
            </w:r>
          </w:hyperlink>
        </w:p>
        <w:p w14:paraId="09EB7BAB" w14:textId="77777777" w:rsidR="00A67C89" w:rsidRPr="00F5046F" w:rsidRDefault="00CC39C9" w:rsidP="00F5046F">
          <w:pPr>
            <w:pStyle w:val="TOC3"/>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2" w:history="1">
            <w:r w:rsidR="00A67C89" w:rsidRPr="00F5046F">
              <w:rPr>
                <w:rStyle w:val="Hyperlink"/>
                <w:rFonts w:ascii="Arial" w:hAnsi="Arial" w:cs="Arial"/>
                <w:noProof/>
                <w:color w:val="000000" w:themeColor="text1"/>
                <w:sz w:val="24"/>
                <w:szCs w:val="24"/>
              </w:rPr>
              <w:t>2.6.4 Strategic Synthesis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_Toc236077352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11</w:t>
            </w:r>
            <w:r w:rsidR="00A67C89" w:rsidRPr="00F5046F">
              <w:rPr>
                <w:rFonts w:ascii="Arial" w:hAnsi="Arial" w:cs="Arial"/>
                <w:noProof/>
                <w:webHidden/>
                <w:color w:val="000000" w:themeColor="text1"/>
                <w:sz w:val="24"/>
                <w:szCs w:val="24"/>
              </w:rPr>
              <w:fldChar w:fldCharType="end"/>
            </w:r>
          </w:hyperlink>
        </w:p>
        <w:p w14:paraId="29F402E6" w14:textId="77777777" w:rsidR="00A67C89" w:rsidRPr="00F5046F" w:rsidRDefault="00CC39C9" w:rsidP="00F5046F">
          <w:pPr>
            <w:pStyle w:val="TOC1"/>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3" w:history="1">
            <w:r w:rsidR="00A67C89" w:rsidRPr="00F5046F">
              <w:rPr>
                <w:rStyle w:val="Hyperlink"/>
                <w:rFonts w:ascii="Arial" w:hAnsi="Arial" w:cs="Arial"/>
                <w:noProof/>
                <w:color w:val="000000" w:themeColor="text1"/>
                <w:sz w:val="24"/>
                <w:szCs w:val="24"/>
              </w:rPr>
              <w:t>3. Entry Mode Strategy and Strategic Synthesis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_Toc236077353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12</w:t>
            </w:r>
            <w:r w:rsidR="00A67C89" w:rsidRPr="00F5046F">
              <w:rPr>
                <w:rFonts w:ascii="Arial" w:hAnsi="Arial" w:cs="Arial"/>
                <w:noProof/>
                <w:webHidden/>
                <w:color w:val="000000" w:themeColor="text1"/>
                <w:sz w:val="24"/>
                <w:szCs w:val="24"/>
              </w:rPr>
              <w:fldChar w:fldCharType="end"/>
            </w:r>
          </w:hyperlink>
        </w:p>
        <w:p w14:paraId="111FF8BD"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4" w:history="1">
            <w:r w:rsidR="00A67C89" w:rsidRPr="00F5046F">
              <w:rPr>
                <w:rStyle w:val="Hyperlink"/>
                <w:rFonts w:ascii="Arial" w:hAnsi="Arial" w:cs="Arial"/>
                <w:noProof/>
                <w:color w:val="000000" w:themeColor="text1"/>
                <w:sz w:val="24"/>
                <w:szCs w:val="24"/>
              </w:rPr>
              <w:t>3.1 Costco’s Historical International Entry Modes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_Toc236077354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12</w:t>
            </w:r>
            <w:r w:rsidR="00A67C89" w:rsidRPr="00F5046F">
              <w:rPr>
                <w:rFonts w:ascii="Arial" w:hAnsi="Arial" w:cs="Arial"/>
                <w:noProof/>
                <w:webHidden/>
                <w:color w:val="000000" w:themeColor="text1"/>
                <w:sz w:val="24"/>
                <w:szCs w:val="24"/>
              </w:rPr>
              <w:fldChar w:fldCharType="end"/>
            </w:r>
          </w:hyperlink>
        </w:p>
        <w:p w14:paraId="12963392"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5" w:history="1">
            <w:r w:rsidR="00A67C89" w:rsidRPr="00F5046F">
              <w:rPr>
                <w:rStyle w:val="Hyperlink"/>
                <w:rFonts w:ascii="Arial" w:hAnsi="Arial" w:cs="Arial"/>
                <w:noProof/>
                <w:color w:val="000000" w:themeColor="text1"/>
                <w:sz w:val="24"/>
                <w:szCs w:val="24"/>
              </w:rPr>
              <w:t>3.2 Suitability of Costco’s Historical Entry Mode for Brazil</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_Toc236077355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12</w:t>
            </w:r>
            <w:r w:rsidR="00A67C89" w:rsidRPr="00F5046F">
              <w:rPr>
                <w:rFonts w:ascii="Arial" w:hAnsi="Arial" w:cs="Arial"/>
                <w:noProof/>
                <w:webHidden/>
                <w:color w:val="000000" w:themeColor="text1"/>
                <w:sz w:val="24"/>
                <w:szCs w:val="24"/>
              </w:rPr>
              <w:fldChar w:fldCharType="end"/>
            </w:r>
          </w:hyperlink>
        </w:p>
        <w:p w14:paraId="27451167"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6" w:history="1">
            <w:r w:rsidR="00A67C89" w:rsidRPr="00F5046F">
              <w:rPr>
                <w:rStyle w:val="Hyperlink"/>
                <w:rFonts w:ascii="Arial" w:hAnsi="Arial" w:cs="Arial"/>
                <w:noProof/>
                <w:color w:val="000000" w:themeColor="text1"/>
                <w:sz w:val="24"/>
                <w:szCs w:val="24"/>
              </w:rPr>
              <w:t>3.3 Evaluation of Alternative Entry Modes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_Toc236077356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14</w:t>
            </w:r>
            <w:r w:rsidR="00A67C89" w:rsidRPr="00F5046F">
              <w:rPr>
                <w:rFonts w:ascii="Arial" w:hAnsi="Arial" w:cs="Arial"/>
                <w:noProof/>
                <w:webHidden/>
                <w:color w:val="000000" w:themeColor="text1"/>
                <w:sz w:val="24"/>
                <w:szCs w:val="24"/>
              </w:rPr>
              <w:fldChar w:fldCharType="end"/>
            </w:r>
          </w:hyperlink>
        </w:p>
        <w:p w14:paraId="1FB95A16"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7" w:history="1">
            <w:r w:rsidR="00A67C89" w:rsidRPr="00F5046F">
              <w:rPr>
                <w:rStyle w:val="Hyperlink"/>
                <w:rFonts w:ascii="Arial" w:hAnsi="Arial" w:cs="Arial"/>
                <w:noProof/>
                <w:color w:val="000000" w:themeColor="text1"/>
                <w:sz w:val="24"/>
                <w:szCs w:val="24"/>
              </w:rPr>
              <w:t>3.4 Recommended Entry Mode and Strategic Justification</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_Toc236077357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15</w:t>
            </w:r>
            <w:r w:rsidR="00A67C89" w:rsidRPr="00F5046F">
              <w:rPr>
                <w:rFonts w:ascii="Arial" w:hAnsi="Arial" w:cs="Arial"/>
                <w:noProof/>
                <w:webHidden/>
                <w:color w:val="000000" w:themeColor="text1"/>
                <w:sz w:val="24"/>
                <w:szCs w:val="24"/>
              </w:rPr>
              <w:fldChar w:fldCharType="end"/>
            </w:r>
          </w:hyperlink>
        </w:p>
        <w:p w14:paraId="24C1C447"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8" w:history="1">
            <w:r w:rsidR="00A67C89" w:rsidRPr="00F5046F">
              <w:rPr>
                <w:rStyle w:val="Hyperlink"/>
                <w:rFonts w:ascii="Arial" w:hAnsi="Arial" w:cs="Arial"/>
                <w:noProof/>
                <w:color w:val="000000" w:themeColor="text1"/>
                <w:sz w:val="24"/>
                <w:szCs w:val="24"/>
              </w:rPr>
              <w:t>3.5 Conclusion and Final Recommendations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_Toc236077358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15</w:t>
            </w:r>
            <w:r w:rsidR="00A67C89" w:rsidRPr="00F5046F">
              <w:rPr>
                <w:rFonts w:ascii="Arial" w:hAnsi="Arial" w:cs="Arial"/>
                <w:noProof/>
                <w:webHidden/>
                <w:color w:val="000000" w:themeColor="text1"/>
                <w:sz w:val="24"/>
                <w:szCs w:val="24"/>
              </w:rPr>
              <w:fldChar w:fldCharType="end"/>
            </w:r>
          </w:hyperlink>
        </w:p>
        <w:p w14:paraId="389399CE" w14:textId="77777777" w:rsidR="00A67C89" w:rsidRPr="00F5046F" w:rsidRDefault="00CC39C9" w:rsidP="00F5046F">
          <w:pPr>
            <w:pStyle w:val="TOC1"/>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59" w:history="1">
            <w:r w:rsidR="00A67C89" w:rsidRPr="00F5046F">
              <w:rPr>
                <w:rStyle w:val="Hyperlink"/>
                <w:rFonts w:ascii="Arial" w:hAnsi="Arial" w:cs="Arial"/>
                <w:noProof/>
                <w:color w:val="000000" w:themeColor="text1"/>
                <w:sz w:val="24"/>
                <w:szCs w:val="24"/>
              </w:rPr>
              <w:t>Section 2: Reflective Account Using Gibbs’ Reflective Cycle</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_Toc236077359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16</w:t>
            </w:r>
            <w:r w:rsidR="00A67C89" w:rsidRPr="00F5046F">
              <w:rPr>
                <w:rFonts w:ascii="Arial" w:hAnsi="Arial" w:cs="Arial"/>
                <w:noProof/>
                <w:webHidden/>
                <w:color w:val="000000" w:themeColor="text1"/>
                <w:sz w:val="24"/>
                <w:szCs w:val="24"/>
              </w:rPr>
              <w:fldChar w:fldCharType="end"/>
            </w:r>
          </w:hyperlink>
        </w:p>
        <w:p w14:paraId="11804EA7"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0" w:history="1">
            <w:r w:rsidR="00A67C89" w:rsidRPr="00F5046F">
              <w:rPr>
                <w:rStyle w:val="Hyperlink"/>
                <w:rFonts w:ascii="Arial" w:hAnsi="Arial" w:cs="Arial"/>
                <w:noProof/>
                <w:color w:val="000000" w:themeColor="text1"/>
                <w:sz w:val="24"/>
                <w:szCs w:val="24"/>
              </w:rPr>
              <w:t>4.1 Description</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_Toc236077360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16</w:t>
            </w:r>
            <w:r w:rsidR="00A67C89" w:rsidRPr="00F5046F">
              <w:rPr>
                <w:rFonts w:ascii="Arial" w:hAnsi="Arial" w:cs="Arial"/>
                <w:noProof/>
                <w:webHidden/>
                <w:color w:val="000000" w:themeColor="text1"/>
                <w:sz w:val="24"/>
                <w:szCs w:val="24"/>
              </w:rPr>
              <w:fldChar w:fldCharType="end"/>
            </w:r>
          </w:hyperlink>
        </w:p>
        <w:p w14:paraId="025615D8"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1" w:history="1">
            <w:r w:rsidR="00A67C89" w:rsidRPr="00F5046F">
              <w:rPr>
                <w:rStyle w:val="Hyperlink"/>
                <w:rFonts w:ascii="Arial" w:hAnsi="Arial" w:cs="Arial"/>
                <w:noProof/>
                <w:color w:val="000000" w:themeColor="text1"/>
                <w:sz w:val="24"/>
                <w:szCs w:val="24"/>
              </w:rPr>
              <w:t>4.2 Feelings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_Toc236077361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16</w:t>
            </w:r>
            <w:r w:rsidR="00A67C89" w:rsidRPr="00F5046F">
              <w:rPr>
                <w:rFonts w:ascii="Arial" w:hAnsi="Arial" w:cs="Arial"/>
                <w:noProof/>
                <w:webHidden/>
                <w:color w:val="000000" w:themeColor="text1"/>
                <w:sz w:val="24"/>
                <w:szCs w:val="24"/>
              </w:rPr>
              <w:fldChar w:fldCharType="end"/>
            </w:r>
          </w:hyperlink>
        </w:p>
        <w:p w14:paraId="3B90A349"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2" w:history="1">
            <w:r w:rsidR="00A67C89" w:rsidRPr="00F5046F">
              <w:rPr>
                <w:rStyle w:val="Hyperlink"/>
                <w:rFonts w:ascii="Arial" w:hAnsi="Arial" w:cs="Arial"/>
                <w:noProof/>
                <w:color w:val="000000" w:themeColor="text1"/>
                <w:sz w:val="24"/>
                <w:szCs w:val="24"/>
              </w:rPr>
              <w:t>4.3 Evaluation</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_Toc236077362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16</w:t>
            </w:r>
            <w:r w:rsidR="00A67C89" w:rsidRPr="00F5046F">
              <w:rPr>
                <w:rFonts w:ascii="Arial" w:hAnsi="Arial" w:cs="Arial"/>
                <w:noProof/>
                <w:webHidden/>
                <w:color w:val="000000" w:themeColor="text1"/>
                <w:sz w:val="24"/>
                <w:szCs w:val="24"/>
              </w:rPr>
              <w:fldChar w:fldCharType="end"/>
            </w:r>
          </w:hyperlink>
        </w:p>
        <w:p w14:paraId="36D4FA9E"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3" w:history="1">
            <w:r w:rsidR="00A67C89" w:rsidRPr="00F5046F">
              <w:rPr>
                <w:rStyle w:val="Hyperlink"/>
                <w:rFonts w:ascii="Arial" w:hAnsi="Arial" w:cs="Arial"/>
                <w:noProof/>
                <w:color w:val="000000" w:themeColor="text1"/>
                <w:sz w:val="24"/>
                <w:szCs w:val="24"/>
              </w:rPr>
              <w:t>4.4 Analysis</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_Toc236077363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16</w:t>
            </w:r>
            <w:r w:rsidR="00A67C89" w:rsidRPr="00F5046F">
              <w:rPr>
                <w:rFonts w:ascii="Arial" w:hAnsi="Arial" w:cs="Arial"/>
                <w:noProof/>
                <w:webHidden/>
                <w:color w:val="000000" w:themeColor="text1"/>
                <w:sz w:val="24"/>
                <w:szCs w:val="24"/>
              </w:rPr>
              <w:fldChar w:fldCharType="end"/>
            </w:r>
          </w:hyperlink>
        </w:p>
        <w:p w14:paraId="239F5ABD" w14:textId="77777777" w:rsidR="00A67C89" w:rsidRPr="00F5046F" w:rsidRDefault="00CC39C9" w:rsidP="00F5046F">
          <w:pPr>
            <w:pStyle w:val="TOC3"/>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4" w:history="1">
            <w:r w:rsidR="00A67C89" w:rsidRPr="00F5046F">
              <w:rPr>
                <w:rStyle w:val="Hyperlink"/>
                <w:rFonts w:ascii="Arial" w:hAnsi="Arial" w:cs="Arial"/>
                <w:noProof/>
                <w:color w:val="000000" w:themeColor="text1"/>
                <w:sz w:val="24"/>
                <w:szCs w:val="24"/>
              </w:rPr>
              <w:t>4.4.1 Research Judgement and Evidence Quality</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_Toc236077364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16</w:t>
            </w:r>
            <w:r w:rsidR="00A67C89" w:rsidRPr="00F5046F">
              <w:rPr>
                <w:rFonts w:ascii="Arial" w:hAnsi="Arial" w:cs="Arial"/>
                <w:noProof/>
                <w:webHidden/>
                <w:color w:val="000000" w:themeColor="text1"/>
                <w:sz w:val="24"/>
                <w:szCs w:val="24"/>
              </w:rPr>
              <w:fldChar w:fldCharType="end"/>
            </w:r>
          </w:hyperlink>
        </w:p>
        <w:p w14:paraId="3368C83F" w14:textId="77777777" w:rsidR="00A67C89" w:rsidRPr="00F5046F" w:rsidRDefault="00CC39C9" w:rsidP="00F5046F">
          <w:pPr>
            <w:pStyle w:val="TOC3"/>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5" w:history="1">
            <w:r w:rsidR="00A67C89" w:rsidRPr="00F5046F">
              <w:rPr>
                <w:rStyle w:val="Hyperlink"/>
                <w:rFonts w:ascii="Arial" w:hAnsi="Arial" w:cs="Arial"/>
                <w:noProof/>
                <w:color w:val="000000" w:themeColor="text1"/>
                <w:sz w:val="24"/>
                <w:szCs w:val="24"/>
              </w:rPr>
              <w:t>4.4.2 Linking Theory with Strategic Evidence</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_Toc236077365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17</w:t>
            </w:r>
            <w:r w:rsidR="00A67C89" w:rsidRPr="00F5046F">
              <w:rPr>
                <w:rFonts w:ascii="Arial" w:hAnsi="Arial" w:cs="Arial"/>
                <w:noProof/>
                <w:webHidden/>
                <w:color w:val="000000" w:themeColor="text1"/>
                <w:sz w:val="24"/>
                <w:szCs w:val="24"/>
              </w:rPr>
              <w:fldChar w:fldCharType="end"/>
            </w:r>
          </w:hyperlink>
        </w:p>
        <w:p w14:paraId="55D6EC95"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6" w:history="1">
            <w:r w:rsidR="00A67C89" w:rsidRPr="00F5046F">
              <w:rPr>
                <w:rStyle w:val="Hyperlink"/>
                <w:rFonts w:ascii="Arial" w:hAnsi="Arial" w:cs="Arial"/>
                <w:noProof/>
                <w:color w:val="000000" w:themeColor="text1"/>
                <w:sz w:val="24"/>
                <w:szCs w:val="24"/>
              </w:rPr>
              <w:t>4.5 Conclusion</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_Toc236077366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17</w:t>
            </w:r>
            <w:r w:rsidR="00A67C89" w:rsidRPr="00F5046F">
              <w:rPr>
                <w:rFonts w:ascii="Arial" w:hAnsi="Arial" w:cs="Arial"/>
                <w:noProof/>
                <w:webHidden/>
                <w:color w:val="000000" w:themeColor="text1"/>
                <w:sz w:val="24"/>
                <w:szCs w:val="24"/>
              </w:rPr>
              <w:fldChar w:fldCharType="end"/>
            </w:r>
          </w:hyperlink>
        </w:p>
        <w:p w14:paraId="313EE5D9" w14:textId="77777777" w:rsidR="00A67C89" w:rsidRPr="00F5046F" w:rsidRDefault="00CC39C9" w:rsidP="00F5046F">
          <w:pPr>
            <w:pStyle w:val="TOC2"/>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7" w:history="1">
            <w:r w:rsidR="00A67C89" w:rsidRPr="00F5046F">
              <w:rPr>
                <w:rStyle w:val="Hyperlink"/>
                <w:rFonts w:ascii="Arial" w:hAnsi="Arial" w:cs="Arial"/>
                <w:noProof/>
                <w:color w:val="000000" w:themeColor="text1"/>
                <w:sz w:val="24"/>
                <w:szCs w:val="24"/>
              </w:rPr>
              <w:t>4.6 Action Plan</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_Toc236077367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18</w:t>
            </w:r>
            <w:r w:rsidR="00A67C89" w:rsidRPr="00F5046F">
              <w:rPr>
                <w:rFonts w:ascii="Arial" w:hAnsi="Arial" w:cs="Arial"/>
                <w:noProof/>
                <w:webHidden/>
                <w:color w:val="000000" w:themeColor="text1"/>
                <w:sz w:val="24"/>
                <w:szCs w:val="24"/>
              </w:rPr>
              <w:fldChar w:fldCharType="end"/>
            </w:r>
          </w:hyperlink>
        </w:p>
        <w:p w14:paraId="550487E1" w14:textId="77777777" w:rsidR="00A67C89" w:rsidRPr="00F5046F" w:rsidRDefault="00CC39C9" w:rsidP="00F5046F">
          <w:pPr>
            <w:pStyle w:val="TOC1"/>
            <w:tabs>
              <w:tab w:val="right" w:leader="dot" w:pos="9016"/>
            </w:tabs>
            <w:spacing w:line="240" w:lineRule="auto"/>
            <w:jc w:val="both"/>
            <w:rPr>
              <w:rFonts w:ascii="Arial" w:eastAsiaTheme="minorEastAsia" w:hAnsi="Arial" w:cs="Arial"/>
              <w:noProof/>
              <w:color w:val="000000" w:themeColor="text1"/>
              <w:sz w:val="24"/>
              <w:szCs w:val="24"/>
              <w:lang w:val="en-IN" w:eastAsia="en-IN"/>
            </w:rPr>
          </w:pPr>
          <w:hyperlink w:anchor="_Toc236077368" w:history="1">
            <w:r w:rsidR="00A67C89" w:rsidRPr="00F5046F">
              <w:rPr>
                <w:rStyle w:val="Hyperlink"/>
                <w:rFonts w:ascii="Arial" w:hAnsi="Arial" w:cs="Arial"/>
                <w:noProof/>
                <w:color w:val="000000" w:themeColor="text1"/>
                <w:sz w:val="24"/>
                <w:szCs w:val="24"/>
              </w:rPr>
              <w:t>Reference List</w:t>
            </w:r>
            <w:r w:rsidR="00A67C89" w:rsidRPr="00F5046F">
              <w:rPr>
                <w:rFonts w:ascii="Arial" w:hAnsi="Arial" w:cs="Arial"/>
                <w:noProof/>
                <w:webHidden/>
                <w:color w:val="000000" w:themeColor="text1"/>
                <w:sz w:val="24"/>
                <w:szCs w:val="24"/>
              </w:rPr>
              <w:tab/>
            </w:r>
            <w:r w:rsidR="00A67C89" w:rsidRPr="00F5046F">
              <w:rPr>
                <w:rFonts w:ascii="Arial" w:hAnsi="Arial" w:cs="Arial"/>
                <w:noProof/>
                <w:webHidden/>
                <w:color w:val="000000" w:themeColor="text1"/>
                <w:sz w:val="24"/>
                <w:szCs w:val="24"/>
              </w:rPr>
              <w:fldChar w:fldCharType="begin"/>
            </w:r>
            <w:r w:rsidR="00A67C89" w:rsidRPr="00F5046F">
              <w:rPr>
                <w:rFonts w:ascii="Arial" w:hAnsi="Arial" w:cs="Arial"/>
                <w:noProof/>
                <w:webHidden/>
                <w:color w:val="000000" w:themeColor="text1"/>
                <w:sz w:val="24"/>
                <w:szCs w:val="24"/>
              </w:rPr>
              <w:instrText xml:space="preserve"> PAGEREF _Toc236077368 \h </w:instrText>
            </w:r>
            <w:r w:rsidR="00A67C89" w:rsidRPr="00F5046F">
              <w:rPr>
                <w:rFonts w:ascii="Arial" w:hAnsi="Arial" w:cs="Arial"/>
                <w:noProof/>
                <w:webHidden/>
                <w:color w:val="000000" w:themeColor="text1"/>
                <w:sz w:val="24"/>
                <w:szCs w:val="24"/>
              </w:rPr>
            </w:r>
            <w:r w:rsidR="00A67C89" w:rsidRPr="00F5046F">
              <w:rPr>
                <w:rFonts w:ascii="Arial" w:hAnsi="Arial" w:cs="Arial"/>
                <w:noProof/>
                <w:webHidden/>
                <w:color w:val="000000" w:themeColor="text1"/>
                <w:sz w:val="24"/>
                <w:szCs w:val="24"/>
              </w:rPr>
              <w:fldChar w:fldCharType="separate"/>
            </w:r>
            <w:r w:rsidR="00A67C89" w:rsidRPr="00F5046F">
              <w:rPr>
                <w:rFonts w:ascii="Arial" w:hAnsi="Arial" w:cs="Arial"/>
                <w:noProof/>
                <w:webHidden/>
                <w:color w:val="000000" w:themeColor="text1"/>
                <w:sz w:val="24"/>
                <w:szCs w:val="24"/>
              </w:rPr>
              <w:t>19</w:t>
            </w:r>
            <w:r w:rsidR="00A67C89" w:rsidRPr="00F5046F">
              <w:rPr>
                <w:rFonts w:ascii="Arial" w:hAnsi="Arial" w:cs="Arial"/>
                <w:noProof/>
                <w:webHidden/>
                <w:color w:val="000000" w:themeColor="text1"/>
                <w:sz w:val="24"/>
                <w:szCs w:val="24"/>
              </w:rPr>
              <w:fldChar w:fldCharType="end"/>
            </w:r>
          </w:hyperlink>
        </w:p>
        <w:p w14:paraId="29DD989C" w14:textId="77777777" w:rsidR="0055431E" w:rsidRPr="00F5046F" w:rsidRDefault="00E81760" w:rsidP="00F5046F">
          <w:pPr>
            <w:spacing w:line="240" w:lineRule="auto"/>
            <w:jc w:val="both"/>
            <w:rPr>
              <w:rFonts w:ascii="Arial" w:hAnsi="Arial" w:cs="Arial"/>
              <w:b/>
              <w:bCs/>
              <w:noProof/>
              <w:color w:val="000000" w:themeColor="text1"/>
            </w:rPr>
          </w:pPr>
          <w:r w:rsidRPr="00F5046F">
            <w:rPr>
              <w:rFonts w:ascii="Arial" w:hAnsi="Arial" w:cs="Arial"/>
              <w:b/>
              <w:bCs/>
              <w:noProof/>
              <w:color w:val="000000" w:themeColor="text1"/>
              <w:sz w:val="24"/>
              <w:szCs w:val="24"/>
            </w:rPr>
            <w:fldChar w:fldCharType="end"/>
          </w:r>
        </w:p>
      </w:sdtContent>
    </w:sdt>
    <w:bookmarkStart w:id="1" w:name="_Toc236077337" w:displacedByCustomXml="prev"/>
    <w:p w14:paraId="3534524B" w14:textId="77777777" w:rsidR="00A67C89" w:rsidRPr="00F5046F" w:rsidRDefault="00A67C89" w:rsidP="00F5046F">
      <w:pPr>
        <w:spacing w:line="240" w:lineRule="auto"/>
        <w:jc w:val="both"/>
        <w:rPr>
          <w:rFonts w:ascii="Arial" w:hAnsi="Arial" w:cs="Arial"/>
          <w:b/>
          <w:bCs/>
          <w:noProof/>
          <w:color w:val="000000" w:themeColor="text1"/>
        </w:rPr>
      </w:pPr>
      <w:r w:rsidRPr="00F5046F">
        <w:rPr>
          <w:rFonts w:ascii="Arial" w:hAnsi="Arial" w:cs="Arial"/>
          <w:color w:val="000000" w:themeColor="text1"/>
        </w:rPr>
        <w:br w:type="page"/>
      </w:r>
    </w:p>
    <w:p w14:paraId="3345D4DF" w14:textId="77777777" w:rsidR="00BD7C8E" w:rsidRPr="00F5046F" w:rsidRDefault="00BD7C8E" w:rsidP="00F5046F">
      <w:pPr>
        <w:pStyle w:val="Heading1"/>
        <w:rPr>
          <w:rFonts w:ascii="Arial" w:hAnsi="Arial" w:cs="Arial"/>
        </w:rPr>
      </w:pPr>
      <w:r w:rsidRPr="00F5046F">
        <w:rPr>
          <w:rFonts w:ascii="Arial" w:hAnsi="Arial" w:cs="Arial"/>
        </w:rPr>
        <w:lastRenderedPageBreak/>
        <w:t>Section 1: International Market Entry Analysis</w:t>
      </w:r>
      <w:bookmarkEnd w:id="1"/>
    </w:p>
    <w:p w14:paraId="19044FBF" w14:textId="77777777" w:rsidR="00F651B2" w:rsidRPr="00F5046F" w:rsidRDefault="00F651B2" w:rsidP="00F5046F">
      <w:pPr>
        <w:pStyle w:val="Heading1"/>
        <w:rPr>
          <w:rFonts w:ascii="Arial" w:hAnsi="Arial" w:cs="Arial"/>
          <w:lang w:val="en-IN"/>
        </w:rPr>
      </w:pPr>
      <w:bookmarkStart w:id="2" w:name="_Toc236077338"/>
      <w:r w:rsidRPr="00F5046F">
        <w:rPr>
          <w:rFonts w:ascii="Arial" w:hAnsi="Arial" w:cs="Arial"/>
          <w:lang w:val="en-IN"/>
        </w:rPr>
        <w:t>1. Organisational Classification and Global Strategy</w:t>
      </w:r>
      <w:bookmarkEnd w:id="2"/>
    </w:p>
    <w:p w14:paraId="557418F8" w14:textId="77777777" w:rsidR="00F651B2" w:rsidRPr="00F5046F" w:rsidRDefault="00F651B2" w:rsidP="00F5046F">
      <w:pPr>
        <w:pStyle w:val="Heading2"/>
        <w:rPr>
          <w:rFonts w:ascii="Arial" w:hAnsi="Arial" w:cs="Arial"/>
        </w:rPr>
      </w:pPr>
      <w:bookmarkStart w:id="3" w:name="_Toc236077339"/>
      <w:r w:rsidRPr="00F5046F">
        <w:rPr>
          <w:rFonts w:ascii="Arial" w:hAnsi="Arial" w:cs="Arial"/>
        </w:rPr>
        <w:t>1.1 Introduction to Costco and Brazil</w:t>
      </w:r>
      <w:bookmarkEnd w:id="3"/>
    </w:p>
    <w:p w14:paraId="61EEBFFA" w14:textId="77777777" w:rsidR="00F651B2" w:rsidRPr="00F5046F" w:rsidRDefault="0011603B"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Costco is an American warehouse club that relies on a membership-fee-based business model with low profit margins on its merchandise. It reportedly had 914 warehouses, net sales of $269.9 billion and more than $5.3 billion in membership fees as of 2025 (Costco Wholesale Corporation, 2025). Brazil was not part of Costco's footprint at the assessment date, and thus Costco is considered a potential market rather than a foreign operation</w:t>
      </w:r>
      <w:r w:rsidR="00F651B2" w:rsidRPr="00F5046F">
        <w:rPr>
          <w:rFonts w:ascii="Arial" w:hAnsi="Arial" w:cs="Arial"/>
          <w:color w:val="000000" w:themeColor="text1"/>
          <w:sz w:val="24"/>
          <w:lang w:val="en-IN"/>
        </w:rPr>
        <w:t>.</w:t>
      </w:r>
    </w:p>
    <w:p w14:paraId="1F47CA84" w14:textId="77777777" w:rsidR="00F651B2" w:rsidRPr="00F5046F" w:rsidRDefault="00F651B2" w:rsidP="00F5046F">
      <w:pPr>
        <w:pStyle w:val="Heading2"/>
        <w:rPr>
          <w:rFonts w:ascii="Arial" w:hAnsi="Arial" w:cs="Arial"/>
        </w:rPr>
      </w:pPr>
      <w:bookmarkStart w:id="4" w:name="_Toc236077340"/>
      <w:r w:rsidRPr="00F5046F">
        <w:rPr>
          <w:rFonts w:ascii="Arial" w:hAnsi="Arial" w:cs="Arial"/>
        </w:rPr>
        <w:t>1.2 Bartlett and Ghoshal Strategic Classification</w:t>
      </w:r>
      <w:bookmarkEnd w:id="4"/>
    </w:p>
    <w:p w14:paraId="2030E4A0" w14:textId="77777777" w:rsidR="00221F0E" w:rsidRPr="00F5046F" w:rsidRDefault="00221F0E"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Costco can be best described as a “strategy” company, with only limited transnational characteristics, that operates globally. It's common for its international warehouses to have the same membership rules, minimal merchandising, purchasing policies in place and familiar warehouse structures. As political pressures continue to push for resilience and local control, cross-border integration still has a value, argues Contractor (2022). Costco thus passes on a tightly-knitted retail model instead of developing separate national retail concepts.</w:t>
      </w:r>
    </w:p>
    <w:p w14:paraId="0EBF8A39" w14:textId="77777777" w:rsidR="00221F0E" w:rsidRPr="00F5046F" w:rsidRDefault="00221F0E"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But, if it was to be fully normalized throughout the world, it wouldn't match Costco's current international actions. Foreign warehouses modify product assortments, providers, payments, meals services, and a handful of marketing strategies. Teece (2025) shows a connection between multinational advantage and coordinating governance and capabilities that can be reallocated as the circumstances change. Costco also needs to harmonize to the dominant global integration while acting with a carefully bounded local responsiveness across markets.</w:t>
      </w:r>
    </w:p>
    <w:p w14:paraId="652653BE" w14:textId="77777777" w:rsidR="00F651B2" w:rsidRPr="00F5046F" w:rsidRDefault="00221F0E"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Yahoo's multidomestic classification would be a bit too extreme and too little emphasis would be placed on the economies shared by Costco. National managers </w:t>
      </w:r>
      <w:r w:rsidR="003B0F73" w:rsidRPr="00F5046F">
        <w:rPr>
          <w:rFonts w:ascii="Arial" w:hAnsi="Arial" w:cs="Arial"/>
          <w:color w:val="000000" w:themeColor="text1"/>
          <w:sz w:val="24"/>
          <w:lang w:val="en-IN"/>
        </w:rPr>
        <w:t>cannot</w:t>
      </w:r>
      <w:r w:rsidRPr="00F5046F">
        <w:rPr>
          <w:rFonts w:ascii="Arial" w:hAnsi="Arial" w:cs="Arial"/>
          <w:color w:val="000000" w:themeColor="text1"/>
          <w:sz w:val="24"/>
          <w:lang w:val="en-IN"/>
        </w:rPr>
        <w:t xml:space="preserve"> easily reshape the pricing structure, membership criteria, private-label requirements or inventory discipline. According to Foss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(2023), distinctive organisational capabilities must be safeguarded while coordinating complementary partners in order to become ecosystem leaders. It is thus most accurately described as a retailer that is selective and transnational and that is developing a global profile</w:t>
      </w:r>
      <w:r w:rsidR="00F651B2" w:rsidRPr="00F5046F">
        <w:rPr>
          <w:rFonts w:ascii="Arial" w:hAnsi="Arial" w:cs="Arial"/>
          <w:color w:val="000000" w:themeColor="text1"/>
          <w:sz w:val="24"/>
          <w:lang w:val="en-IN"/>
        </w:rPr>
        <w:t>.</w:t>
      </w:r>
    </w:p>
    <w:p w14:paraId="0A679238" w14:textId="77777777" w:rsidR="00F651B2" w:rsidRPr="00F5046F" w:rsidRDefault="00F651B2" w:rsidP="00F5046F">
      <w:pPr>
        <w:pStyle w:val="Heading2"/>
        <w:rPr>
          <w:rFonts w:ascii="Arial" w:hAnsi="Arial" w:cs="Arial"/>
        </w:rPr>
      </w:pPr>
      <w:bookmarkStart w:id="5" w:name="_Toc236077341"/>
      <w:r w:rsidRPr="00F5046F">
        <w:rPr>
          <w:rFonts w:ascii="Arial" w:hAnsi="Arial" w:cs="Arial"/>
        </w:rPr>
        <w:t>1.3 Costco’s Global Configuration, Competitive Advantage and Value Creation</w:t>
      </w:r>
      <w:bookmarkEnd w:id="5"/>
    </w:p>
    <w:p w14:paraId="42611AED" w14:textId="77777777" w:rsidR="00F651B2" w:rsidRPr="00F5046F" w:rsidRDefault="0011603B"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lastRenderedPageBreak/>
        <w:t>Costco's own brand, Kirkland Signature, sets it apart from national manufacturers and other big-box stores. Repeat purchasing and subscription renewals can be achieved through consistency of quality. Product quality improves market positioning, and it even can compensate for the benefits of larger companies, according to recent competitiveness research (Rambe and Khaola, 2023). Value creation would thus rely on credible Brazilian production and not on too much imports</w:t>
      </w:r>
      <w:r w:rsidR="000C332F" w:rsidRPr="00F5046F">
        <w:rPr>
          <w:rFonts w:ascii="Arial" w:hAnsi="Arial" w:cs="Arial"/>
          <w:color w:val="000000" w:themeColor="text1"/>
          <w:sz w:val="24"/>
        </w:rPr>
        <w:t>.</w:t>
      </w:r>
      <w:r w:rsidR="003B0F73" w:rsidRPr="00F5046F">
        <w:rPr>
          <w:rFonts w:ascii="Arial" w:hAnsi="Arial" w:cs="Arial"/>
          <w:color w:val="000000" w:themeColor="text1"/>
          <w:sz w:val="24"/>
          <w:lang w:val="en-IN"/>
        </w:rPr>
        <w:t xml:space="preserve"> </w:t>
      </w:r>
      <w:r w:rsidR="00221F0E" w:rsidRPr="00F5046F">
        <w:rPr>
          <w:rFonts w:ascii="Arial" w:hAnsi="Arial" w:cs="Arial"/>
          <w:color w:val="000000" w:themeColor="text1"/>
          <w:sz w:val="24"/>
          <w:lang w:val="en-IN"/>
        </w:rPr>
        <w:t xml:space="preserve">Kirkland Signature provides Costco with a competitive edge against the big manufacturers, and differentiates itself. Standard quality also transforms private-label transactions into trust, revisitation and increased renewal rates. Digital brand personality is created by a consistent message through the interactions with customers, as demonstrated by Ghorbani </w:t>
      </w:r>
      <w:r w:rsidR="00EF23CA" w:rsidRPr="00F5046F">
        <w:rPr>
          <w:rFonts w:ascii="Arial" w:hAnsi="Arial" w:cs="Arial"/>
          <w:i/>
          <w:color w:val="000000" w:themeColor="text1"/>
          <w:sz w:val="24"/>
          <w:lang w:val="en-IN"/>
        </w:rPr>
        <w:t>et al.</w:t>
      </w:r>
      <w:r w:rsidR="00221F0E" w:rsidRPr="00F5046F">
        <w:rPr>
          <w:rFonts w:ascii="Arial" w:hAnsi="Arial" w:cs="Arial"/>
          <w:color w:val="000000" w:themeColor="text1"/>
          <w:sz w:val="24"/>
          <w:lang w:val="en-IN"/>
        </w:rPr>
        <w:t xml:space="preserve"> (2022). The creation of value would thus hinge on trustworthy local production and not inordinate imports</w:t>
      </w:r>
      <w:r w:rsidR="00F651B2" w:rsidRPr="00F5046F">
        <w:rPr>
          <w:rFonts w:ascii="Arial" w:hAnsi="Arial" w:cs="Arial"/>
          <w:color w:val="000000" w:themeColor="text1"/>
          <w:sz w:val="24"/>
          <w:lang w:val="en-IN"/>
        </w:rPr>
        <w:t>.</w:t>
      </w:r>
    </w:p>
    <w:p w14:paraId="2252D2DC" w14:textId="77777777" w:rsidR="00F651B2" w:rsidRPr="00F5046F" w:rsidRDefault="00F651B2" w:rsidP="00F5046F">
      <w:pPr>
        <w:pStyle w:val="Heading1"/>
        <w:rPr>
          <w:rFonts w:ascii="Arial" w:hAnsi="Arial" w:cs="Arial"/>
          <w:lang w:val="en-IN"/>
        </w:rPr>
      </w:pPr>
      <w:bookmarkStart w:id="6" w:name="_Toc236077342"/>
      <w:r w:rsidRPr="00F5046F">
        <w:rPr>
          <w:rFonts w:ascii="Arial" w:hAnsi="Arial" w:cs="Arial"/>
          <w:lang w:val="en-IN"/>
        </w:rPr>
        <w:t>2. Macro-Environmental Appraisal and Market Attractiveness</w:t>
      </w:r>
      <w:bookmarkEnd w:id="6"/>
    </w:p>
    <w:p w14:paraId="5E7016D0" w14:textId="77777777" w:rsidR="00F651B2" w:rsidRPr="00F5046F" w:rsidRDefault="00F651B2" w:rsidP="00F5046F">
      <w:pPr>
        <w:pStyle w:val="Heading2"/>
        <w:rPr>
          <w:rFonts w:ascii="Arial" w:hAnsi="Arial" w:cs="Arial"/>
        </w:rPr>
      </w:pPr>
      <w:bookmarkStart w:id="7" w:name="_Toc236077343"/>
      <w:r w:rsidRPr="00F5046F">
        <w:rPr>
          <w:rFonts w:ascii="Arial" w:hAnsi="Arial" w:cs="Arial"/>
        </w:rPr>
        <w:t xml:space="preserve">2.1 </w:t>
      </w:r>
      <w:r w:rsidR="00904CA3" w:rsidRPr="00F5046F">
        <w:rPr>
          <w:rFonts w:ascii="Arial" w:hAnsi="Arial" w:cs="Arial"/>
        </w:rPr>
        <w:t>Porter’s Diamond and Brazilian Retail Competitiveness</w:t>
      </w:r>
      <w:bookmarkEnd w:id="7"/>
    </w:p>
    <w:p w14:paraId="0D28220D" w14:textId="77777777" w:rsidR="00F651B2" w:rsidRPr="00F5046F" w:rsidRDefault="0011603B"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In the context of retail, Porter's Diamond assesses retail competitiveness in terms of factor conditions, demand conditions, related and supporting industries, and firm strategy, structure and rivalry (Rambe and Khaola, 2023). The determinants are affected by government and chance. Brazil has a big population (213.4 million) and has metropolitan scale, but lacks in infrastructure and is very costly when it comes to credit, and has competitors. (IBGE, 2025) The framework argues that it's not population alone that's a sign of attractiveness but that conditions can be met to support the Costco subscription model and Kirkland own-brand products</w:t>
      </w:r>
      <w:r w:rsidR="00F651B2" w:rsidRPr="00F5046F">
        <w:rPr>
          <w:rFonts w:ascii="Arial" w:hAnsi="Arial" w:cs="Arial"/>
          <w:color w:val="000000" w:themeColor="text1"/>
          <w:sz w:val="24"/>
          <w:lang w:val="en-IN"/>
        </w:rPr>
        <w:t>.</w:t>
      </w:r>
    </w:p>
    <w:p w14:paraId="57AF0332" w14:textId="77777777" w:rsidR="00F651B2" w:rsidRPr="00F5046F" w:rsidRDefault="00F651B2" w:rsidP="00F5046F">
      <w:pPr>
        <w:pStyle w:val="Heading2"/>
        <w:rPr>
          <w:rFonts w:ascii="Arial" w:hAnsi="Arial" w:cs="Arial"/>
        </w:rPr>
      </w:pPr>
      <w:bookmarkStart w:id="8" w:name="_Toc236077344"/>
      <w:r w:rsidRPr="00F5046F">
        <w:rPr>
          <w:rFonts w:ascii="Arial" w:hAnsi="Arial" w:cs="Arial"/>
        </w:rPr>
        <w:t xml:space="preserve">2.2 </w:t>
      </w:r>
      <w:r w:rsidR="00904CA3" w:rsidRPr="00F5046F">
        <w:rPr>
          <w:rFonts w:ascii="Arial" w:hAnsi="Arial" w:cs="Arial"/>
        </w:rPr>
        <w:t>Government and Policy Environment</w:t>
      </w:r>
      <w:bookmarkEnd w:id="8"/>
    </w:p>
    <w:p w14:paraId="701A7106" w14:textId="77777777" w:rsidR="00F651B2" w:rsidRPr="00F5046F" w:rsidRDefault="00E907B1"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Geopolitical fragmentation and policy uncertainty is mentioned as an investment constraint by UNCTAD (2025). In 2025, the FDI in Brazil continued to be equal to 3.41% of GDP (Reuters, 2026a). It helps market capacity, but if consumption growth is not as fast, taxes can bleed into profits, exposure to currencies can become a drag, and regulatory uncertainty can reduce the returns for Costco; one would need to have the ability to comply with local regulations prior to making investments in property</w:t>
      </w:r>
      <w:r w:rsidR="00221F0E" w:rsidRPr="00F5046F">
        <w:rPr>
          <w:rFonts w:ascii="Arial" w:hAnsi="Arial" w:cs="Arial"/>
          <w:color w:val="000000" w:themeColor="text1"/>
          <w:sz w:val="24"/>
          <w:lang w:val="en-IN"/>
        </w:rPr>
        <w:t>.</w:t>
      </w:r>
    </w:p>
    <w:p w14:paraId="416EE78B" w14:textId="77777777" w:rsidR="00690A2C" w:rsidRPr="00F5046F" w:rsidRDefault="004460F4" w:rsidP="00F5046F">
      <w:pPr>
        <w:spacing w:after="0" w:line="360" w:lineRule="auto"/>
        <w:jc w:val="center"/>
        <w:rPr>
          <w:rFonts w:ascii="Arial" w:hAnsi="Arial" w:cs="Arial"/>
          <w:color w:val="000000" w:themeColor="text1"/>
          <w:sz w:val="24"/>
          <w:lang w:val="en-IN"/>
        </w:rPr>
      </w:pPr>
      <w:r w:rsidRPr="00F5046F">
        <w:rPr>
          <w:rFonts w:ascii="Arial" w:hAnsi="Arial" w:cs="Arial"/>
          <w:noProof/>
          <w:color w:val="000000" w:themeColor="text1"/>
          <w:sz w:val="24"/>
          <w:lang w:val="en-IN" w:eastAsia="en-IN" w:bidi="gu-IN"/>
        </w:rPr>
        <w:lastRenderedPageBreak/>
        <w:drawing>
          <wp:inline distT="0" distB="0" distL="0" distR="0" wp14:anchorId="232A31D4" wp14:editId="6AEA3D75">
            <wp:extent cx="4854361" cy="5494496"/>
            <wp:effectExtent l="19050" t="19050" r="22860"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4361" cy="5494496"/>
                    </a:xfrm>
                    <a:prstGeom prst="rect">
                      <a:avLst/>
                    </a:prstGeom>
                    <a:ln>
                      <a:solidFill>
                        <a:schemeClr val="tx1"/>
                      </a:solidFill>
                    </a:ln>
                  </pic:spPr>
                </pic:pic>
              </a:graphicData>
            </a:graphic>
          </wp:inline>
        </w:drawing>
      </w:r>
    </w:p>
    <w:p w14:paraId="56B59CC8" w14:textId="77777777" w:rsidR="004460F4" w:rsidRPr="00F5046F" w:rsidRDefault="004460F4" w:rsidP="00F5046F">
      <w:pPr>
        <w:spacing w:after="0" w:line="360" w:lineRule="auto"/>
        <w:jc w:val="center"/>
        <w:rPr>
          <w:rFonts w:ascii="Arial" w:hAnsi="Arial" w:cs="Arial"/>
          <w:b/>
          <w:color w:val="000000" w:themeColor="text1"/>
          <w:sz w:val="24"/>
        </w:rPr>
      </w:pPr>
      <w:r w:rsidRPr="00F5046F">
        <w:rPr>
          <w:rFonts w:ascii="Arial" w:hAnsi="Arial" w:cs="Arial"/>
          <w:b/>
          <w:color w:val="000000" w:themeColor="text1"/>
          <w:sz w:val="24"/>
        </w:rPr>
        <w:t>Figure 1. Inflows declined in most developing economies in the top 20 recipients</w:t>
      </w:r>
    </w:p>
    <w:p w14:paraId="104C83F8" w14:textId="77777777" w:rsidR="004460F4" w:rsidRPr="00F5046F" w:rsidRDefault="004460F4" w:rsidP="00F5046F">
      <w:pPr>
        <w:spacing w:after="0" w:line="360" w:lineRule="auto"/>
        <w:jc w:val="center"/>
        <w:rPr>
          <w:rFonts w:ascii="Arial" w:hAnsi="Arial" w:cs="Arial"/>
          <w:color w:val="000000" w:themeColor="text1"/>
          <w:sz w:val="24"/>
          <w:lang w:val="en-IN"/>
        </w:rPr>
      </w:pPr>
      <w:r w:rsidRPr="00F5046F">
        <w:rPr>
          <w:rFonts w:ascii="Arial" w:hAnsi="Arial" w:cs="Arial"/>
          <w:color w:val="000000" w:themeColor="text1"/>
          <w:sz w:val="24"/>
          <w:lang w:val="en-IN"/>
        </w:rPr>
        <w:t>(Source: Unctad, 2025)</w:t>
      </w:r>
    </w:p>
    <w:p w14:paraId="626F765E" w14:textId="77777777" w:rsidR="00F651B2" w:rsidRPr="00F5046F" w:rsidRDefault="00B26BE5"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Brazilian FDI inflows decreased approximately 8% in 2024, which despite being Brazil the largest recipient of FDI in the region, it showed lower investment momentum. At the national scale, therefore, there is no elimination of cyclical investment risk</w:t>
      </w:r>
      <w:r w:rsidR="00665130" w:rsidRPr="00F5046F">
        <w:rPr>
          <w:rFonts w:ascii="Arial" w:hAnsi="Arial" w:cs="Arial"/>
          <w:color w:val="000000" w:themeColor="text1"/>
          <w:sz w:val="24"/>
          <w:lang w:val="en-IN"/>
        </w:rPr>
        <w:t>.</w:t>
      </w:r>
      <w:r w:rsidRPr="00F5046F">
        <w:rPr>
          <w:rFonts w:ascii="Arial" w:hAnsi="Arial" w:cs="Arial"/>
          <w:color w:val="000000" w:themeColor="text1"/>
          <w:sz w:val="24"/>
          <w:lang w:val="en-IN"/>
        </w:rPr>
        <w:t xml:space="preserve"> </w:t>
      </w:r>
      <w:r w:rsidR="00221F0E" w:rsidRPr="00F5046F">
        <w:rPr>
          <w:rFonts w:ascii="Arial" w:hAnsi="Arial" w:cs="Arial"/>
          <w:color w:val="000000" w:themeColor="text1"/>
          <w:sz w:val="24"/>
          <w:lang w:val="en-IN"/>
        </w:rPr>
        <w:t xml:space="preserve">Communication frictions have an impact on the geographical location and the form of cross-border corporate control, as shown by Miricola </w:t>
      </w:r>
      <w:r w:rsidR="00EF23CA" w:rsidRPr="00F5046F">
        <w:rPr>
          <w:rFonts w:ascii="Arial" w:hAnsi="Arial" w:cs="Arial"/>
          <w:i/>
          <w:color w:val="000000" w:themeColor="text1"/>
          <w:sz w:val="24"/>
          <w:lang w:val="en-IN"/>
        </w:rPr>
        <w:t>et al.</w:t>
      </w:r>
      <w:r w:rsidR="00221F0E" w:rsidRPr="00F5046F">
        <w:rPr>
          <w:rFonts w:ascii="Arial" w:hAnsi="Arial" w:cs="Arial"/>
          <w:color w:val="000000" w:themeColor="text1"/>
          <w:sz w:val="24"/>
          <w:lang w:val="en-IN"/>
        </w:rPr>
        <w:t xml:space="preserve"> (2023). Costco should create a locally empowered team of compliance officers reporting directly to the central operational team of the company, Brazil.</w:t>
      </w:r>
      <w:r w:rsidR="00C835F9" w:rsidRPr="00F5046F">
        <w:rPr>
          <w:rFonts w:ascii="Arial" w:hAnsi="Arial" w:cs="Arial"/>
          <w:color w:val="000000" w:themeColor="text1"/>
          <w:sz w:val="24"/>
          <w:lang w:val="en-IN"/>
        </w:rPr>
        <w:t xml:space="preserve"> </w:t>
      </w:r>
      <w:r w:rsidR="00221F0E" w:rsidRPr="00F5046F">
        <w:rPr>
          <w:rFonts w:ascii="Arial" w:hAnsi="Arial" w:cs="Arial"/>
          <w:color w:val="000000" w:themeColor="text1"/>
          <w:sz w:val="24"/>
          <w:lang w:val="en-IN"/>
        </w:rPr>
        <w:t xml:space="preserve">Garcia-Bernardo and Janský (2022) estimate vast profits to be shifted globally and have raised significant attention on the tax structures of multinationals. Costco should </w:t>
      </w:r>
      <w:r w:rsidR="00221F0E" w:rsidRPr="00F5046F">
        <w:rPr>
          <w:rFonts w:ascii="Arial" w:hAnsi="Arial" w:cs="Arial"/>
          <w:color w:val="000000" w:themeColor="text1"/>
          <w:sz w:val="24"/>
          <w:lang w:val="en-IN"/>
        </w:rPr>
        <w:lastRenderedPageBreak/>
        <w:t>have an open transfer pricing, and have substantial purchasing, jobs, inventory and management operations within the country</w:t>
      </w:r>
      <w:r w:rsidR="00F651B2" w:rsidRPr="00F5046F">
        <w:rPr>
          <w:rFonts w:ascii="Arial" w:hAnsi="Arial" w:cs="Arial"/>
          <w:color w:val="000000" w:themeColor="text1"/>
          <w:sz w:val="24"/>
          <w:lang w:val="en-IN"/>
        </w:rPr>
        <w:t>.</w:t>
      </w:r>
    </w:p>
    <w:p w14:paraId="691CD39B" w14:textId="77777777" w:rsidR="00F651B2" w:rsidRPr="00F5046F" w:rsidRDefault="00F651B2" w:rsidP="00F5046F">
      <w:pPr>
        <w:pStyle w:val="Heading2"/>
        <w:rPr>
          <w:rFonts w:ascii="Arial" w:hAnsi="Arial" w:cs="Arial"/>
        </w:rPr>
      </w:pPr>
      <w:bookmarkStart w:id="9" w:name="_Toc236077345"/>
      <w:r w:rsidRPr="00F5046F">
        <w:rPr>
          <w:rFonts w:ascii="Arial" w:hAnsi="Arial" w:cs="Arial"/>
        </w:rPr>
        <w:t xml:space="preserve">2.3 </w:t>
      </w:r>
      <w:r w:rsidR="00904CA3" w:rsidRPr="00F5046F">
        <w:rPr>
          <w:rFonts w:ascii="Arial" w:hAnsi="Arial" w:cs="Arial"/>
        </w:rPr>
        <w:t>Factor and Demand Conditions</w:t>
      </w:r>
      <w:bookmarkEnd w:id="9"/>
    </w:p>
    <w:p w14:paraId="11EECAE3" w14:textId="77777777" w:rsidR="00F651B2" w:rsidRPr="00F5046F" w:rsidRDefault="00904CA3" w:rsidP="00F5046F">
      <w:pPr>
        <w:spacing w:after="0" w:line="360" w:lineRule="auto"/>
        <w:jc w:val="both"/>
        <w:rPr>
          <w:rFonts w:ascii="Arial" w:hAnsi="Arial" w:cs="Arial"/>
          <w:b/>
          <w:bCs/>
          <w:i/>
          <w:color w:val="000000" w:themeColor="text1"/>
          <w:sz w:val="24"/>
          <w:lang w:val="en-IN"/>
        </w:rPr>
      </w:pPr>
      <w:r w:rsidRPr="00F5046F">
        <w:rPr>
          <w:rFonts w:ascii="Arial" w:hAnsi="Arial" w:cs="Arial"/>
          <w:b/>
          <w:bCs/>
          <w:i/>
          <w:color w:val="000000" w:themeColor="text1"/>
          <w:sz w:val="24"/>
        </w:rPr>
        <w:t>Income, Financing and Subscription Viability</w:t>
      </w:r>
    </w:p>
    <w:p w14:paraId="10EA1752" w14:textId="77777777" w:rsidR="000E77E4" w:rsidRPr="00F5046F" w:rsidRDefault="00B26BE5"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GDP grew 2.3% in 2025, but household consumption rose only 1.3% (Reuters, 2026b). The difference of 1.0 percentage points demonstrates that economic growth didn't always filter into demand for consumption; the 15% Selic rate slowed credit-sensitive membership spending and warehouse investment</w:t>
      </w:r>
      <w:r w:rsidR="00221F0E" w:rsidRPr="00F5046F">
        <w:rPr>
          <w:rFonts w:ascii="Arial" w:hAnsi="Arial" w:cs="Arial"/>
          <w:color w:val="000000" w:themeColor="text1"/>
          <w:sz w:val="24"/>
        </w:rPr>
        <w:t>.</w:t>
      </w:r>
    </w:p>
    <w:p w14:paraId="7F8D68BF" w14:textId="77777777" w:rsidR="000E77E4" w:rsidRPr="00F5046F" w:rsidRDefault="000E77E4" w:rsidP="00F5046F">
      <w:pPr>
        <w:spacing w:after="0" w:line="360" w:lineRule="auto"/>
        <w:jc w:val="center"/>
        <w:rPr>
          <w:rFonts w:ascii="Arial" w:hAnsi="Arial" w:cs="Arial"/>
          <w:color w:val="000000" w:themeColor="text1"/>
          <w:sz w:val="24"/>
          <w:lang w:val="en-IN"/>
        </w:rPr>
      </w:pPr>
      <w:r w:rsidRPr="00F5046F">
        <w:rPr>
          <w:rFonts w:ascii="Arial" w:hAnsi="Arial" w:cs="Arial"/>
          <w:noProof/>
          <w:color w:val="000000" w:themeColor="text1"/>
          <w:sz w:val="24"/>
          <w:lang w:val="en-IN" w:eastAsia="en-IN" w:bidi="gu-IN"/>
        </w:rPr>
        <w:drawing>
          <wp:inline distT="0" distB="0" distL="0" distR="0" wp14:anchorId="0B8943B8" wp14:editId="106B2CC9">
            <wp:extent cx="5311140" cy="2185417"/>
            <wp:effectExtent l="19050" t="19050" r="22860" b="247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13743" cy="2186488"/>
                    </a:xfrm>
                    <a:prstGeom prst="rect">
                      <a:avLst/>
                    </a:prstGeom>
                    <a:ln>
                      <a:solidFill>
                        <a:schemeClr val="tx1"/>
                      </a:solidFill>
                    </a:ln>
                  </pic:spPr>
                </pic:pic>
              </a:graphicData>
            </a:graphic>
          </wp:inline>
        </w:drawing>
      </w:r>
    </w:p>
    <w:p w14:paraId="6EF85DEC" w14:textId="77777777" w:rsidR="000E77E4" w:rsidRPr="00F5046F" w:rsidRDefault="000E77E4" w:rsidP="00F5046F">
      <w:pPr>
        <w:spacing w:after="0" w:line="360" w:lineRule="auto"/>
        <w:jc w:val="center"/>
        <w:rPr>
          <w:rFonts w:ascii="Arial" w:hAnsi="Arial" w:cs="Arial"/>
          <w:b/>
          <w:color w:val="000000" w:themeColor="text1"/>
          <w:sz w:val="24"/>
        </w:rPr>
      </w:pPr>
      <w:r w:rsidRPr="00F5046F">
        <w:rPr>
          <w:rFonts w:ascii="Arial" w:hAnsi="Arial" w:cs="Arial"/>
          <w:b/>
          <w:color w:val="000000" w:themeColor="text1"/>
          <w:sz w:val="24"/>
        </w:rPr>
        <w:t xml:space="preserve">Figure 2. Headline and core inflation have declined </w:t>
      </w:r>
    </w:p>
    <w:p w14:paraId="49380E36" w14:textId="77777777" w:rsidR="000E77E4" w:rsidRPr="00F5046F" w:rsidRDefault="000E77E4" w:rsidP="00F5046F">
      <w:pPr>
        <w:spacing w:after="0" w:line="360" w:lineRule="auto"/>
        <w:jc w:val="center"/>
        <w:rPr>
          <w:rFonts w:ascii="Arial" w:hAnsi="Arial" w:cs="Arial"/>
          <w:color w:val="000000" w:themeColor="text1"/>
          <w:sz w:val="24"/>
          <w:lang w:val="en-IN"/>
        </w:rPr>
      </w:pPr>
      <w:r w:rsidRPr="00F5046F">
        <w:rPr>
          <w:rFonts w:ascii="Arial" w:hAnsi="Arial" w:cs="Arial"/>
          <w:color w:val="000000" w:themeColor="text1"/>
          <w:sz w:val="24"/>
          <w:lang w:val="en-IN"/>
        </w:rPr>
        <w:t>(Source: Oecd, 2023)</w:t>
      </w:r>
    </w:p>
    <w:p w14:paraId="0686019E" w14:textId="77777777" w:rsidR="00F71C4F" w:rsidRPr="00F5046F" w:rsidRDefault="00B26BE5"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The inflation peak in 2022 led to a drop in price pressure, while financing was still tight. Disinflation thus only partially strengthens Costco's cost environment as demand remains low thanks to high interest rates. As long as the savings are bigger than the membership fee, Costco's model is viable. Addressable segment is also compromised by inequality; Productivity and infrastructure are constraining Greater São Paulo as a better defense pilot than to expand nationwide (World Bank, 2025)</w:t>
      </w:r>
      <w:r w:rsidR="0011603B" w:rsidRPr="00F5046F">
        <w:rPr>
          <w:rFonts w:ascii="Arial" w:hAnsi="Arial" w:cs="Arial"/>
          <w:color w:val="000000" w:themeColor="text1"/>
          <w:sz w:val="24"/>
        </w:rPr>
        <w:t>.</w:t>
      </w:r>
    </w:p>
    <w:p w14:paraId="5DF8AF43" w14:textId="77777777" w:rsidR="00F651B2" w:rsidRPr="00F5046F" w:rsidRDefault="00F71C4F"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Pix can help streamline the process of transactions, facilitate easier renewal of membership, easier refunds and easier payments for suppliers. It had some 178 million users and handled some $7 trillion in transactions in the year leading up to the date of the Associated Press report (2026). Brazilians, however, also want installment credit for such things as appliances and other high ticket items. As with any new program, Costco should have the card and financing structures in place under close control, and coupled with pix acceptance</w:t>
      </w:r>
      <w:r w:rsidR="00F651B2" w:rsidRPr="00F5046F">
        <w:rPr>
          <w:rFonts w:ascii="Arial" w:hAnsi="Arial" w:cs="Arial"/>
          <w:color w:val="000000" w:themeColor="text1"/>
          <w:sz w:val="24"/>
          <w:lang w:val="en-IN"/>
        </w:rPr>
        <w:t>.</w:t>
      </w:r>
    </w:p>
    <w:p w14:paraId="28688544" w14:textId="77777777" w:rsidR="00F651B2" w:rsidRPr="00F5046F" w:rsidRDefault="00904CA3" w:rsidP="00F5046F">
      <w:pPr>
        <w:spacing w:after="0" w:line="360" w:lineRule="auto"/>
        <w:jc w:val="both"/>
        <w:rPr>
          <w:rFonts w:ascii="Arial" w:hAnsi="Arial" w:cs="Arial"/>
          <w:b/>
          <w:bCs/>
          <w:i/>
          <w:color w:val="000000" w:themeColor="text1"/>
          <w:sz w:val="24"/>
          <w:lang w:val="en-IN"/>
        </w:rPr>
      </w:pPr>
      <w:r w:rsidRPr="00F5046F">
        <w:rPr>
          <w:rFonts w:ascii="Arial" w:hAnsi="Arial" w:cs="Arial"/>
          <w:b/>
          <w:bCs/>
          <w:i/>
          <w:color w:val="000000" w:themeColor="text1"/>
          <w:sz w:val="24"/>
        </w:rPr>
        <w:t>Rivalry, Supporting Industries and Logistics</w:t>
      </w:r>
    </w:p>
    <w:p w14:paraId="4CCD5912" w14:textId="77777777" w:rsidR="00150E50" w:rsidRPr="00F5046F" w:rsidRDefault="00B26BE5"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lastRenderedPageBreak/>
        <w:t>To achieve omnichannel behaviour, Portuguese information, member services, click and collect, and selective delivery are needed (Halibas, 2023). In the event of a change in the exchange rate or supply, the former would increase both import and inventory costs while the latter would decrease exposure. But fast localisation can destroy Kirkland quality; Costco localise only categories that pass audited cost, traceability, reliability and quality walls. Gross sales of Sam's Club are approximately 1/5 of Carrefour Brasil's, which means it has a membership format demand, but also weakens Costco's first-mover's advantage (Reuters, 2025). Costco will need to be better on cost and quality per unit than the incumbents – not just on novelty</w:t>
      </w:r>
      <w:r w:rsidR="0011603B" w:rsidRPr="00F5046F">
        <w:rPr>
          <w:rFonts w:ascii="Arial" w:hAnsi="Arial" w:cs="Arial"/>
          <w:color w:val="000000" w:themeColor="text1"/>
          <w:sz w:val="24"/>
          <w:lang w:val="en-IN"/>
        </w:rPr>
        <w:t>.</w:t>
      </w:r>
    </w:p>
    <w:p w14:paraId="7CDED96F" w14:textId="77777777" w:rsidR="00150E50" w:rsidRPr="00F5046F" w:rsidRDefault="00150E50" w:rsidP="00F5046F">
      <w:pPr>
        <w:spacing w:after="0" w:line="360" w:lineRule="auto"/>
        <w:jc w:val="center"/>
        <w:rPr>
          <w:rFonts w:ascii="Arial" w:hAnsi="Arial" w:cs="Arial"/>
          <w:color w:val="000000" w:themeColor="text1"/>
          <w:sz w:val="24"/>
          <w:lang w:val="en-IN"/>
        </w:rPr>
      </w:pPr>
      <w:r w:rsidRPr="00F5046F">
        <w:rPr>
          <w:rFonts w:ascii="Arial" w:hAnsi="Arial" w:cs="Arial"/>
          <w:noProof/>
          <w:color w:val="000000" w:themeColor="text1"/>
          <w:sz w:val="24"/>
          <w:lang w:val="en-IN" w:eastAsia="en-IN" w:bidi="gu-IN"/>
        </w:rPr>
        <w:drawing>
          <wp:inline distT="0" distB="0" distL="0" distR="0" wp14:anchorId="58CF2552" wp14:editId="20A38171">
            <wp:extent cx="4587638" cy="5692633"/>
            <wp:effectExtent l="19050" t="19050" r="22860"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87638" cy="5692633"/>
                    </a:xfrm>
                    <a:prstGeom prst="rect">
                      <a:avLst/>
                    </a:prstGeom>
                    <a:ln>
                      <a:solidFill>
                        <a:schemeClr val="tx1"/>
                      </a:solidFill>
                    </a:ln>
                  </pic:spPr>
                </pic:pic>
              </a:graphicData>
            </a:graphic>
          </wp:inline>
        </w:drawing>
      </w:r>
    </w:p>
    <w:p w14:paraId="0C48659F" w14:textId="77777777" w:rsidR="00150E50" w:rsidRPr="00F5046F" w:rsidRDefault="00150E50" w:rsidP="00F5046F">
      <w:pPr>
        <w:spacing w:after="0" w:line="360" w:lineRule="auto"/>
        <w:jc w:val="center"/>
        <w:rPr>
          <w:rFonts w:ascii="Arial" w:hAnsi="Arial" w:cs="Arial"/>
          <w:b/>
          <w:color w:val="000000" w:themeColor="text1"/>
          <w:sz w:val="24"/>
        </w:rPr>
      </w:pPr>
      <w:r w:rsidRPr="00F5046F">
        <w:rPr>
          <w:rFonts w:ascii="Arial" w:hAnsi="Arial" w:cs="Arial"/>
          <w:b/>
          <w:color w:val="000000" w:themeColor="text1"/>
          <w:sz w:val="24"/>
          <w:lang w:val="en-IN"/>
        </w:rPr>
        <w:t xml:space="preserve">Figure 3: </w:t>
      </w:r>
      <w:r w:rsidRPr="00F5046F">
        <w:rPr>
          <w:rFonts w:ascii="Arial" w:hAnsi="Arial" w:cs="Arial"/>
          <w:b/>
          <w:color w:val="000000" w:themeColor="text1"/>
          <w:sz w:val="24"/>
        </w:rPr>
        <w:t xml:space="preserve">Quality of land transportation infrastructure is low in international comparison </w:t>
      </w:r>
    </w:p>
    <w:p w14:paraId="506F469F" w14:textId="77777777" w:rsidR="00150E50" w:rsidRPr="00F5046F" w:rsidRDefault="00150E50" w:rsidP="00F5046F">
      <w:pPr>
        <w:spacing w:after="0" w:line="360" w:lineRule="auto"/>
        <w:jc w:val="center"/>
        <w:rPr>
          <w:rFonts w:ascii="Arial" w:hAnsi="Arial" w:cs="Arial"/>
          <w:color w:val="000000" w:themeColor="text1"/>
          <w:sz w:val="24"/>
          <w:lang w:val="en-IN"/>
        </w:rPr>
      </w:pPr>
      <w:r w:rsidRPr="00F5046F">
        <w:rPr>
          <w:rFonts w:ascii="Arial" w:hAnsi="Arial" w:cs="Arial"/>
          <w:color w:val="000000" w:themeColor="text1"/>
          <w:sz w:val="24"/>
          <w:lang w:val="en-IN"/>
        </w:rPr>
        <w:lastRenderedPageBreak/>
        <w:t xml:space="preserve">(Source: </w:t>
      </w:r>
      <w:r w:rsidR="00C7718D" w:rsidRPr="00F5046F">
        <w:rPr>
          <w:rFonts w:ascii="Arial" w:hAnsi="Arial" w:cs="Arial"/>
          <w:color w:val="000000" w:themeColor="text1"/>
          <w:sz w:val="24"/>
          <w:lang w:val="en-IN"/>
        </w:rPr>
        <w:t>O</w:t>
      </w:r>
      <w:r w:rsidRPr="00F5046F">
        <w:rPr>
          <w:rFonts w:ascii="Arial" w:hAnsi="Arial" w:cs="Arial"/>
          <w:color w:val="000000" w:themeColor="text1"/>
          <w:sz w:val="24"/>
          <w:lang w:val="en-IN"/>
        </w:rPr>
        <w:t>ecd, 2023)</w:t>
      </w:r>
    </w:p>
    <w:p w14:paraId="57F53500" w14:textId="77777777" w:rsidR="00F651B2" w:rsidRPr="00F5046F" w:rsidRDefault="00F71C4F"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A cluster of warehouses, in the south east, would thus be more suitable in terms of utilisation and learning</w:t>
      </w:r>
      <w:r w:rsidR="00F651B2" w:rsidRPr="00F5046F">
        <w:rPr>
          <w:rFonts w:ascii="Arial" w:hAnsi="Arial" w:cs="Arial"/>
          <w:color w:val="000000" w:themeColor="text1"/>
          <w:sz w:val="24"/>
          <w:lang w:val="en-IN"/>
        </w:rPr>
        <w:t>.</w:t>
      </w:r>
    </w:p>
    <w:p w14:paraId="74FF28C6" w14:textId="77777777" w:rsidR="00F651B2" w:rsidRPr="00F5046F" w:rsidRDefault="00F651B2" w:rsidP="00F5046F">
      <w:pPr>
        <w:pStyle w:val="Heading2"/>
        <w:rPr>
          <w:rFonts w:ascii="Arial" w:hAnsi="Arial" w:cs="Arial"/>
        </w:rPr>
      </w:pPr>
      <w:bookmarkStart w:id="10" w:name="_Toc236077346"/>
      <w:r w:rsidRPr="00F5046F">
        <w:rPr>
          <w:rFonts w:ascii="Arial" w:hAnsi="Arial" w:cs="Arial"/>
        </w:rPr>
        <w:t>2.4 Legal and Regulatory Environment</w:t>
      </w:r>
      <w:bookmarkEnd w:id="10"/>
    </w:p>
    <w:p w14:paraId="7BCC23B8" w14:textId="77777777" w:rsidR="00F651B2" w:rsidRPr="00F5046F" w:rsidRDefault="00F651B2" w:rsidP="00F5046F">
      <w:pPr>
        <w:spacing w:after="0" w:line="360" w:lineRule="auto"/>
        <w:jc w:val="both"/>
        <w:rPr>
          <w:rFonts w:ascii="Arial" w:hAnsi="Arial" w:cs="Arial"/>
          <w:b/>
          <w:bCs/>
          <w:i/>
          <w:color w:val="000000" w:themeColor="text1"/>
          <w:sz w:val="24"/>
          <w:lang w:val="en-IN"/>
        </w:rPr>
      </w:pPr>
      <w:r w:rsidRPr="00F5046F">
        <w:rPr>
          <w:rFonts w:ascii="Arial" w:hAnsi="Arial" w:cs="Arial"/>
          <w:b/>
          <w:bCs/>
          <w:i/>
          <w:color w:val="000000" w:themeColor="text1"/>
          <w:sz w:val="24"/>
          <w:lang w:val="en-IN"/>
        </w:rPr>
        <w:t>Consumption Tax Reform and Corporate Taxation</w:t>
      </w:r>
    </w:p>
    <w:p w14:paraId="61834A58" w14:textId="77777777" w:rsidR="003B0F73"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Brazil's historical consumption-tax system had established high burdens due to the overlapping of the federal, state and municipal consumption taxes. The Complementary Law 214 introduced CBS, IBS and Selective Tax, which will start being implemented in 2026 (Brazilian Ministry of Finance, 2025). The changeover will take place until 2033, merging old commitments with new reporting obligations in the interim. Prior to opening stores in Brazil, Costco will need to develop flexible systems for invoicing and product classification.</w:t>
      </w:r>
      <w:r w:rsidR="003B0F73" w:rsidRPr="00F5046F">
        <w:rPr>
          <w:rFonts w:ascii="Arial" w:hAnsi="Arial" w:cs="Arial"/>
          <w:color w:val="000000" w:themeColor="text1"/>
          <w:sz w:val="24"/>
          <w:lang w:val="en-IN"/>
        </w:rPr>
        <w:t xml:space="preserve"> </w:t>
      </w:r>
    </w:p>
    <w:p w14:paraId="04C7FF98"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The reform of the consumption tax also shifts burdens over time, and between various product categories and household groups. Siqueira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(2024) conclude that exemptions, reduced rates, and cashback schemes have significant distributional impacts. If there were to be any classification error at Costco, it could prove to be especially detrimental since the margins are so thin. Therefore, it is important that tax experts have an impact on the choices of assortment, procurement, design of systems and pricing.</w:t>
      </w:r>
    </w:p>
    <w:p w14:paraId="07A513BC" w14:textId="77777777" w:rsidR="00F651B2"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Customs valuation, transfer pricing, withholding tax, and international remittances are areas of customs structuring that need attention. In a recent paper, Ferrari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(2022) show that tax changes impact both real investment decisions and accounting choices of profit allocation. The Brazilian subsidiary should not be a mere artificial booking location, but have significant operating activities. Short-term tax minimization should not be a top priority in Brazil, even in the context of defensible value creation</w:t>
      </w:r>
      <w:r w:rsidR="00F651B2" w:rsidRPr="00F5046F">
        <w:rPr>
          <w:rFonts w:ascii="Arial" w:hAnsi="Arial" w:cs="Arial"/>
          <w:color w:val="000000" w:themeColor="text1"/>
          <w:sz w:val="24"/>
          <w:lang w:val="en-IN"/>
        </w:rPr>
        <w:t>.</w:t>
      </w:r>
    </w:p>
    <w:p w14:paraId="62F2B889" w14:textId="77777777" w:rsidR="00F651B2" w:rsidRPr="00F5046F" w:rsidRDefault="00F651B2" w:rsidP="00F5046F">
      <w:pPr>
        <w:spacing w:after="0" w:line="360" w:lineRule="auto"/>
        <w:jc w:val="both"/>
        <w:rPr>
          <w:rFonts w:ascii="Arial" w:hAnsi="Arial" w:cs="Arial"/>
          <w:b/>
          <w:bCs/>
          <w:i/>
          <w:color w:val="000000" w:themeColor="text1"/>
          <w:sz w:val="24"/>
          <w:lang w:val="en-IN"/>
        </w:rPr>
      </w:pPr>
      <w:r w:rsidRPr="00F5046F">
        <w:rPr>
          <w:rFonts w:ascii="Arial" w:hAnsi="Arial" w:cs="Arial"/>
          <w:b/>
          <w:bCs/>
          <w:i/>
          <w:color w:val="000000" w:themeColor="text1"/>
          <w:sz w:val="24"/>
          <w:lang w:val="en-IN"/>
        </w:rPr>
        <w:t>Consumer, Data and Operational Regulation</w:t>
      </w:r>
    </w:p>
    <w:p w14:paraId="149E442D"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According to Brazilian consumer law, the correct pricing, accurate information in Portuguese, product safety, complaint procedure and effective remedies are required. Membership conditions should make provisions for the renewal, cancellation, guarantees, data uses and any restrictions on promotion. According to Nagy and Hajdu (2022), two major factors that impact the acceptance of digital retail are perceived usefulness and trust. In the case of the Brazilian members, therefore, conditions will be more important than application features.</w:t>
      </w:r>
    </w:p>
    <w:p w14:paraId="16AA351D"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lastRenderedPageBreak/>
        <w:t>Costco would gather details such as identification, payment, household, transaction and behavioural data via their membership structure. The Brazilian National Data Protection Authority (Brazilian Data Protection Law), 2024, sets out the duties for processing, security expectations, data rights and regulatory responsibilities for Brazil. Compliance involves purpose limitations, retention restrictions, incident response and good service provider supervision. Before the members join, privacy governance needs to be planned in the Brazilian subsidiary.</w:t>
      </w:r>
    </w:p>
    <w:p w14:paraId="1AC446F2"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Open-finance services can prove to be convenient, but also create privacy and security issues for customers. According to Grassi (2024), a high level of trust and perceived customer benefits is crucial to willingness to share financial information. Costco could leverage payment information to predict, prevent fraud, enhance its service and even manage its renewals. Too much profiling would break the trust and make Costco more vulnerable to regulation of its membership program.</w:t>
      </w:r>
    </w:p>
    <w:p w14:paraId="76E2683C" w14:textId="77777777" w:rsidR="00F651B2"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Construction approvals, environmental controls, waste systems, traffic planning and workplace safety systems are also required for large warehouses. Labour rules/union relationships could impact on scheduling, compensation, benefits, and flexibility of the workforce. The legal complexity justifies stage clustering as managers can enhance compliance practices prior to broader expansion. If complete ownership would not eliminate reliance on Brazilian lawyers, engineers, contractors and public officials</w:t>
      </w:r>
      <w:r w:rsidR="00F651B2" w:rsidRPr="00F5046F">
        <w:rPr>
          <w:rFonts w:ascii="Arial" w:hAnsi="Arial" w:cs="Arial"/>
          <w:color w:val="000000" w:themeColor="text1"/>
          <w:sz w:val="24"/>
          <w:lang w:val="en-IN"/>
        </w:rPr>
        <w:t>.</w:t>
      </w:r>
    </w:p>
    <w:p w14:paraId="66C5BA15" w14:textId="77777777" w:rsidR="00F651B2" w:rsidRPr="00F5046F" w:rsidRDefault="00F651B2" w:rsidP="00F5046F">
      <w:pPr>
        <w:pStyle w:val="Heading2"/>
        <w:rPr>
          <w:rFonts w:ascii="Arial" w:hAnsi="Arial" w:cs="Arial"/>
        </w:rPr>
      </w:pPr>
      <w:bookmarkStart w:id="11" w:name="_Toc236077347"/>
      <w:r w:rsidRPr="00F5046F">
        <w:rPr>
          <w:rFonts w:ascii="Arial" w:hAnsi="Arial" w:cs="Arial"/>
        </w:rPr>
        <w:t>2.5 Cultural and Social Environment</w:t>
      </w:r>
      <w:bookmarkEnd w:id="11"/>
    </w:p>
    <w:p w14:paraId="4A80B43C"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Costco's customer-education challenge is minimized, since Brazilian consumers are already familiar with the membership retail model, as it exists in Sam's Club. But knowing the company doesn't mean that it will give the customer a second year as a member. According to Pan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(2024), three factors affect the effectiveness of influencers: credibility, content and platform conditions, and audience relationships. Costco should prove to be cost-saving in Brazil, not through the lure of celebrities.</w:t>
      </w:r>
    </w:p>
    <w:p w14:paraId="468F3E42"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Bulk packages are good for small businesses and larger households, but may not be an ideal option for small space and frequent shopping. The reduction in perceived risk may be achieved using transparent unit prices, product sampling, trial access and selected local package sizes. Sustainability messages can be strengthened when they relate global issues to customers' local identity (Salnikova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2022). The importance of operability is compromised by uncontrolled assortment growth and thus adaptation needs to be selective.</w:t>
      </w:r>
    </w:p>
    <w:p w14:paraId="0054495D"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lastRenderedPageBreak/>
        <w:t xml:space="preserve">The key points of membership economics, private label quality and guarantees, and product comparisons should be presented in a locally meaningful way in Portuguese communication. Social media influencer marketing is now more professional, strategic, and commercially complex, across platforms (Joshi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2023). Costco should employ creators to describe the unit pricing and how to navigate the Costco correctly. Communication performance should be measured over time using conversion, renewal and basket value.</w:t>
      </w:r>
    </w:p>
    <w:p w14:paraId="3C8F3107" w14:textId="77777777" w:rsidR="00F651B2"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It is important that cultural analysis not rely on the assumption of a single consumer segment in Brazil. There are significant variations in the cuisine, climate, family structure, income and shopping habits between regions within the country. Credible local brand meanings could be reinforced by consistent experiences across stores, apps, service and advertising. National stereotypes are not as reliable as metropolitan research and ongoing feedback from members.</w:t>
      </w:r>
    </w:p>
    <w:p w14:paraId="5C58B4E1" w14:textId="77777777" w:rsidR="00F651B2" w:rsidRPr="00F5046F" w:rsidRDefault="00F651B2" w:rsidP="00F5046F">
      <w:pPr>
        <w:pStyle w:val="Heading2"/>
        <w:rPr>
          <w:rFonts w:ascii="Arial" w:hAnsi="Arial" w:cs="Arial"/>
        </w:rPr>
      </w:pPr>
      <w:bookmarkStart w:id="12" w:name="_Toc236077348"/>
      <w:r w:rsidRPr="00F5046F">
        <w:rPr>
          <w:rFonts w:ascii="Arial" w:hAnsi="Arial" w:cs="Arial"/>
        </w:rPr>
        <w:t>2.6 Dunning’s Eclectic Paradigm and Market Entry</w:t>
      </w:r>
      <w:bookmarkEnd w:id="12"/>
    </w:p>
    <w:p w14:paraId="52201413" w14:textId="77777777" w:rsidR="00F651B2"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The Dunning's paradigm focuses on the possibility of joint complementary effects between ownership, location, and internalisation advantages and FDI. The dimensions must complement each other as a failure in one part can lead to failure of the entire commercial system. Costco's market entry is warranted if the value of their controlled Brazilian operations exceeds that of exporting and/or licensing. The framework thus provides for an expansion of the commitment on a conditional basis, not automatic, in Brazil</w:t>
      </w:r>
      <w:r w:rsidR="00F651B2" w:rsidRPr="00F5046F">
        <w:rPr>
          <w:rFonts w:ascii="Arial" w:hAnsi="Arial" w:cs="Arial"/>
          <w:color w:val="000000" w:themeColor="text1"/>
          <w:sz w:val="24"/>
          <w:lang w:val="en-IN"/>
        </w:rPr>
        <w:t>.</w:t>
      </w:r>
    </w:p>
    <w:p w14:paraId="33AEEBCE" w14:textId="77777777" w:rsidR="00F651B2" w:rsidRPr="00F5046F" w:rsidRDefault="00F651B2" w:rsidP="00F5046F">
      <w:pPr>
        <w:pStyle w:val="Heading3"/>
        <w:rPr>
          <w:rFonts w:ascii="Arial" w:hAnsi="Arial" w:cs="Arial"/>
        </w:rPr>
      </w:pPr>
      <w:bookmarkStart w:id="13" w:name="_Toc236077349"/>
      <w:r w:rsidRPr="00F5046F">
        <w:rPr>
          <w:rFonts w:ascii="Arial" w:hAnsi="Arial" w:cs="Arial"/>
        </w:rPr>
        <w:t>2.6.1 Ownership Advantages</w:t>
      </w:r>
      <w:bookmarkEnd w:id="13"/>
    </w:p>
    <w:p w14:paraId="5898FB93" w14:textId="036870A3" w:rsidR="00FF7216" w:rsidRPr="00F5046F" w:rsidRDefault="000179C4"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Costco's ownership is created by its ability to buy at scale, membership economics, its Kirkland signature brand, its operational systems, its guarantees to customers, and its analytical skills. Retail analytics enhance demand forecasting, inventory management, fraud prevention, and seamless customer service across all channels (Adulyasak </w:t>
      </w:r>
      <w:r w:rsidRPr="00F5046F">
        <w:rPr>
          <w:rFonts w:ascii="Arial" w:hAnsi="Arial" w:cs="Arial"/>
          <w:i/>
          <w:iCs/>
          <w:color w:val="000000" w:themeColor="text1"/>
          <w:sz w:val="24"/>
          <w:lang w:val="en-IN"/>
        </w:rPr>
        <w:t>et al.</w:t>
      </w:r>
      <w:r w:rsidRPr="00F5046F">
        <w:rPr>
          <w:rFonts w:ascii="Arial" w:hAnsi="Arial" w:cs="Arial"/>
          <w:color w:val="000000" w:themeColor="text1"/>
          <w:sz w:val="24"/>
          <w:lang w:val="en-IN"/>
        </w:rPr>
        <w:t xml:space="preserve"> 2024). American data, however, isn’t quite a reliable predictor of preferences, taxes, or local demand in Brazil. Over a period of years, Costco would have ownership advantages as it gained local information.</w:t>
      </w:r>
    </w:p>
    <w:p w14:paraId="7FF82A03" w14:textId="77777777" w:rsidR="00F651B2"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The capability of private label also needs to be translated into believable benefits for Brazilian customers. According to Martinez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(2024), retail food choices are multidimensional, including the interplay of price, nutrition, and environmental impacts, among countries. Costco should look for suppliers in their local area, based on their cost, quality, traceability, resilience and sustainability. The use of sampling, </w:t>
      </w:r>
      <w:r w:rsidRPr="00F5046F">
        <w:rPr>
          <w:rFonts w:ascii="Arial" w:hAnsi="Arial" w:cs="Arial"/>
          <w:color w:val="000000" w:themeColor="text1"/>
          <w:sz w:val="24"/>
          <w:lang w:val="en-IN"/>
        </w:rPr>
        <w:lastRenderedPageBreak/>
        <w:t>guarantees and visible certification would help mitigate uncertainty about new Kirkland products</w:t>
      </w:r>
      <w:r w:rsidR="00F651B2" w:rsidRPr="00F5046F">
        <w:rPr>
          <w:rFonts w:ascii="Arial" w:hAnsi="Arial" w:cs="Arial"/>
          <w:color w:val="000000" w:themeColor="text1"/>
          <w:sz w:val="24"/>
          <w:lang w:val="en-IN"/>
        </w:rPr>
        <w:t>.</w:t>
      </w:r>
    </w:p>
    <w:p w14:paraId="6E70BFB4" w14:textId="77777777" w:rsidR="00F651B2" w:rsidRPr="00F5046F" w:rsidRDefault="00F651B2" w:rsidP="00F5046F">
      <w:pPr>
        <w:pStyle w:val="Heading3"/>
        <w:rPr>
          <w:rFonts w:ascii="Arial" w:hAnsi="Arial" w:cs="Arial"/>
        </w:rPr>
      </w:pPr>
      <w:bookmarkStart w:id="14" w:name="_Toc236077350"/>
      <w:r w:rsidRPr="00F5046F">
        <w:rPr>
          <w:rFonts w:ascii="Arial" w:hAnsi="Arial" w:cs="Arial"/>
        </w:rPr>
        <w:t>2.6.2 Location Advantages</w:t>
      </w:r>
      <w:bookmarkEnd w:id="14"/>
    </w:p>
    <w:p w14:paraId="76775DF0"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Brazil's advantages include location, with a high degree of metropolitan density, agricultural capacity, industrial suppliers and an advanced system of instant payments. Greater São Paulo is the hub of buying power, logistics services, business customers and potential private-label producers. Mobile payments can lead to higher amount of purchase and willingness to pay than cash payments (Jiang, 2022). These benefits make a south eastern entrance by Costco more attractive than a nationwide rollout.</w:t>
      </w:r>
    </w:p>
    <w:p w14:paraId="5C5BC2A3" w14:textId="77777777" w:rsidR="00F651B2" w:rsidRPr="00F5046F" w:rsidRDefault="00B26BE5"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Brazilian food production could cut import dependency, enhance freshness, affordability and political legitimacy. Local sourcing can only add value, however, if the suppliers are always able to meet Costco's quality, traceability and delivery requirements; supplier development would be required before the speedy expansion</w:t>
      </w:r>
      <w:r w:rsidR="00FF7216" w:rsidRPr="00F5046F">
        <w:rPr>
          <w:rFonts w:ascii="Arial" w:hAnsi="Arial" w:cs="Arial"/>
          <w:color w:val="000000" w:themeColor="text1"/>
          <w:sz w:val="24"/>
          <w:lang w:val="en-IN"/>
        </w:rPr>
        <w:t>.</w:t>
      </w:r>
    </w:p>
    <w:p w14:paraId="4746CA32" w14:textId="77777777" w:rsidR="00F651B2"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The importance of location disadvantages is still significant due to credit costs, taxes, logistics, inequality and rivalry that raise required returns. Membership clubs confirm demand but also have brands, suppliers, sites and a knowledge of customers. Costco must have a high number of customers near each of its Brazilian stores before putting a lot of money into them. Brazil is promising in certain metro areas for first steps, but not throughout the country</w:t>
      </w:r>
      <w:r w:rsidR="00F651B2" w:rsidRPr="00F5046F">
        <w:rPr>
          <w:rFonts w:ascii="Arial" w:hAnsi="Arial" w:cs="Arial"/>
          <w:color w:val="000000" w:themeColor="text1"/>
          <w:sz w:val="24"/>
          <w:lang w:val="en-IN"/>
        </w:rPr>
        <w:t>.</w:t>
      </w:r>
    </w:p>
    <w:p w14:paraId="01C7B7FC" w14:textId="77777777" w:rsidR="00F651B2" w:rsidRPr="00F5046F" w:rsidRDefault="00F651B2" w:rsidP="00F5046F">
      <w:pPr>
        <w:pStyle w:val="Heading3"/>
        <w:rPr>
          <w:rFonts w:ascii="Arial" w:hAnsi="Arial" w:cs="Arial"/>
        </w:rPr>
      </w:pPr>
      <w:bookmarkStart w:id="15" w:name="_Toc236077351"/>
      <w:r w:rsidRPr="00F5046F">
        <w:rPr>
          <w:rFonts w:ascii="Arial" w:hAnsi="Arial" w:cs="Arial"/>
        </w:rPr>
        <w:t>2.6.3 Internalisation Advantages</w:t>
      </w:r>
      <w:bookmarkEnd w:id="15"/>
    </w:p>
    <w:p w14:paraId="65E9ED86" w14:textId="77777777" w:rsidR="000125DF"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The internalised benefits are in favour of direct control as Costco engages all these aspects of pricing, procurement, membership, quality, data and employee routines, in a strong linkage. Licensing may grow at a rapid pace, but there may be increased markups, reduced guarantees or customer information may be misused by partners. Dezem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(2024) demonstrate that a well-designed governance model can enable firms to integrate internal and external innovation.</w:t>
      </w:r>
    </w:p>
    <w:p w14:paraId="5A4A299D"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Costco should standardise basic retail functions and specialise in supporting activities in Brazil.</w:t>
      </w:r>
    </w:p>
    <w:p w14:paraId="6A2B4725"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Brazil's providers could help with Pix integration, cyber security, construction, delivery and implementing regulation. Costco should keep membership structure, private brand requirements, pricing power, purchasing power and customer data. Selective outsourcing would tap into local knowledge but not give up the operational </w:t>
      </w:r>
      <w:r w:rsidRPr="00F5046F">
        <w:rPr>
          <w:rFonts w:ascii="Arial" w:hAnsi="Arial" w:cs="Arial"/>
          <w:color w:val="000000" w:themeColor="text1"/>
          <w:sz w:val="24"/>
          <w:lang w:val="en-IN"/>
        </w:rPr>
        <w:lastRenderedPageBreak/>
        <w:t>system that gives Costco its edge. Control and partnership can thus coexist, not be mutually exclusive.</w:t>
      </w:r>
    </w:p>
    <w:p w14:paraId="195551DA" w14:textId="77777777" w:rsidR="00F651B2"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A 100% subsidiary also brings about exposure to capital costs, slower deployment and liability for regulatory mistakes. Costco needs to create a small cluster of stores in Greater São Paulo and assess the economics of renewal before expanding. This graduated strategy keeps control and offers flexibility in the face of economic and regulatory uncertainties. In general, the best learning/risk/strategic fit is provided by phased internalisation</w:t>
      </w:r>
      <w:r w:rsidR="00F651B2" w:rsidRPr="00F5046F">
        <w:rPr>
          <w:rFonts w:ascii="Arial" w:hAnsi="Arial" w:cs="Arial"/>
          <w:color w:val="000000" w:themeColor="text1"/>
          <w:sz w:val="24"/>
          <w:lang w:val="en-IN"/>
        </w:rPr>
        <w:t>.</w:t>
      </w:r>
    </w:p>
    <w:p w14:paraId="7931D1E3" w14:textId="77777777" w:rsidR="00F651B2" w:rsidRPr="00F5046F" w:rsidRDefault="00F651B2" w:rsidP="00F5046F">
      <w:pPr>
        <w:pStyle w:val="Heading3"/>
        <w:rPr>
          <w:rFonts w:ascii="Arial" w:hAnsi="Arial" w:cs="Arial"/>
        </w:rPr>
      </w:pPr>
      <w:bookmarkStart w:id="16" w:name="_Toc236077352"/>
      <w:r w:rsidRPr="00F5046F">
        <w:rPr>
          <w:rFonts w:ascii="Arial" w:hAnsi="Arial" w:cs="Arial"/>
        </w:rPr>
        <w:t>2.6.4 Strategic Synthesis</w:t>
      </w:r>
      <w:bookmarkEnd w:id="16"/>
    </w:p>
    <w:p w14:paraId="074DEC6D"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Costco's transferable capabilities and Brazil's valuable metropolitan resources of demand and supply both contribute to entry being supported by the OLI assessment. However, location disadvantages might be rapidly diminished by the cost of financing, the complexity of taxation, unreliable logistics or inappropriate mix decisions. Internalisation should then ensure that Costco's membership structure isn't undermined by the creation of excessive control over all the supporting activities. The best method is through pilot warehouses that are fully owned, local sourcing partnerships, Portuguese digital services and independently verified compliance systems.</w:t>
      </w:r>
    </w:p>
    <w:p w14:paraId="5373C7EB" w14:textId="77777777" w:rsidR="00FF7216" w:rsidRPr="00F5046F" w:rsidRDefault="00FF721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The starting cluster is the most defensible in Greater São Paulo due to the low level of demand density and low level of infrastructure. Additional expansion should be based on the renewal rates, basket economics, supplier performance, regulatory stability and distribution costs. The evaluation for a pilot should consider the profitability of the warehouse, renewal of customers, supplier quality, regulatory compliance, and community acceptance. Management should monitor their exposure to currency, reliance on supplies, employee retention, and reliability of their supplies across the pilot cluster.</w:t>
      </w:r>
    </w:p>
    <w:p w14:paraId="1BC976AA" w14:textId="77777777" w:rsidR="00276C75" w:rsidRPr="00F5046F" w:rsidRDefault="007F204E"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 xml:space="preserve">There is a stronger case for entry at a metropolitan level than at a national level. In 2025, Brazil grew by 2.3% GDP, but household-consumption grew just 1.3% (Reuters, 2026b), suggesting that growth was not matched by corresponding growth in household consumption, retail sales. This is important to Costco because the economics of its membership are based on the renewal value and the "basket size" of its members, not on the number of members. Meanwhile, the Selic rate also stayed at 15%, boosting the cost of financing for households and warehouse investment, so that the break-even point for each pilot site rose as well. Despite </w:t>
      </w:r>
      <w:r w:rsidRPr="00F5046F">
        <w:rPr>
          <w:rFonts w:ascii="Arial" w:hAnsi="Arial" w:cs="Arial"/>
          <w:color w:val="000000" w:themeColor="text1"/>
          <w:sz w:val="24"/>
        </w:rPr>
        <w:lastRenderedPageBreak/>
        <w:t>macroeconomic tensions, however, Brazil is still appealing to foreign investors, as FDI flows in 2025 still equated to 3.41% of GDP (Reuters, 2026a). But this shouldn't be seen as an indication that Costco will have a profitable unit business model. In fact, evidence that infrastructure is weak and the assessment by OECD (2023) on productivity and inclusion constraints suggests that logistics efficiency, local sourcing and catchment quality will be determinant for the possibility of converting demand to profitable membership, as assessed by the World Bank (2025). In that case, Costco should consider Greater São Paulo as a controlled experiment: expansion should only take place if there is stability in the renewal rates, contribution margins and reliability and compliance from suppliers across trading periods. This changes the abstract decision gates into tangible ones, instead of the irreversible national commitment.</w:t>
      </w:r>
    </w:p>
    <w:p w14:paraId="1ADA07A4" w14:textId="05CDC341" w:rsidR="00BD7C8E" w:rsidRPr="00F5046F" w:rsidRDefault="000179C4"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Keep pauses when members are signing up not for a matter of value and repeat purchases but rather for curiosity. There has to be trust and discipline or else it can get messy and complex, and best to keep the Costco low-cost claim. Entering via patient investment, local expertise and continuous learning is successful. Brazil exhibits a high strategic value; however, a good sequence is necessary to maintain the creation of value.</w:t>
      </w:r>
    </w:p>
    <w:p w14:paraId="3963D4AD" w14:textId="77777777" w:rsidR="00BD7C8E" w:rsidRPr="00F5046F" w:rsidRDefault="00BD7C8E" w:rsidP="00F5046F">
      <w:pPr>
        <w:pStyle w:val="Heading1"/>
        <w:rPr>
          <w:rFonts w:ascii="Arial" w:hAnsi="Arial" w:cs="Arial"/>
        </w:rPr>
      </w:pPr>
      <w:bookmarkStart w:id="17" w:name="_Toc236077353"/>
      <w:r w:rsidRPr="00F5046F">
        <w:rPr>
          <w:rFonts w:ascii="Arial" w:hAnsi="Arial" w:cs="Arial"/>
        </w:rPr>
        <w:t>3. Entry Mode Strategy and Strategic Synthesis</w:t>
      </w:r>
      <w:bookmarkEnd w:id="17"/>
    </w:p>
    <w:p w14:paraId="45E2D03B" w14:textId="77777777" w:rsidR="005772DB" w:rsidRPr="00F5046F" w:rsidRDefault="005772DB" w:rsidP="00F5046F">
      <w:pPr>
        <w:pStyle w:val="Heading2"/>
        <w:rPr>
          <w:rFonts w:ascii="Arial" w:hAnsi="Arial" w:cs="Arial"/>
        </w:rPr>
      </w:pPr>
      <w:bookmarkStart w:id="18" w:name="_Toc236077354"/>
      <w:r w:rsidRPr="00F5046F">
        <w:rPr>
          <w:rFonts w:ascii="Arial" w:hAnsi="Arial" w:cs="Arial"/>
        </w:rPr>
        <w:t>3.1 Costco’s Historical International Entry Modes</w:t>
      </w:r>
      <w:bookmarkEnd w:id="18"/>
    </w:p>
    <w:p w14:paraId="295B4A0A" w14:textId="77777777" w:rsidR="005772DB" w:rsidRPr="00F5046F" w:rsidRDefault="005C1360"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 xml:space="preserve">Antecedents and performance effects of entry-mode selection and establishment vary (Wan </w:t>
      </w:r>
      <w:r w:rsidR="00EF23CA" w:rsidRPr="00F5046F">
        <w:rPr>
          <w:rFonts w:ascii="Arial" w:hAnsi="Arial" w:cs="Arial"/>
          <w:i/>
          <w:color w:val="000000" w:themeColor="text1"/>
          <w:sz w:val="24"/>
        </w:rPr>
        <w:t>et al.</w:t>
      </w:r>
      <w:r w:rsidRPr="00F5046F">
        <w:rPr>
          <w:rFonts w:ascii="Arial" w:hAnsi="Arial" w:cs="Arial"/>
          <w:color w:val="000000" w:themeColor="text1"/>
          <w:sz w:val="24"/>
        </w:rPr>
        <w:t xml:space="preserve"> 2023). Costco has thus used fully owned investment and some joint ventures for expansion where the initial uncertainty has been mitigated by local knowledge and existing relationships. Such a pattern does not mean one fixed formula for internationalisation but rather an adaptive approach is controlled. In 2012, Costco bought out its partner's remaining stake in Mexico, which cost around US$760.4 million (Costco Wholesale Corporation, 2012). In 2022, Costco acquired the other 45% stake in the Taiwan joint-venture for $1.05 billion (Costco Wholesale Corporation, 2022). Partnerships can be used as a way to facilitate a transition instead of a total replacement. As of September 2024, Costco had 890 stores all over the world, including forty in Mexico and fourteen in Taiwan (Costco Wholesale Corporation, 2024). It appears that as conditions and business objectives shift, companies can turn to wholly owned subsidiaries (Petersen and Benito, 2024). The </w:t>
      </w:r>
      <w:r w:rsidRPr="00F5046F">
        <w:rPr>
          <w:rFonts w:ascii="Arial" w:hAnsi="Arial" w:cs="Arial"/>
          <w:color w:val="000000" w:themeColor="text1"/>
          <w:sz w:val="24"/>
        </w:rPr>
        <w:lastRenderedPageBreak/>
        <w:t>gradual learning approach and increased ownership, therefore, is supported by Costco's history as the business model is locally proven.</w:t>
      </w:r>
    </w:p>
    <w:p w14:paraId="2E343CF9" w14:textId="77777777" w:rsidR="005772DB" w:rsidRPr="00F5046F" w:rsidRDefault="005772DB" w:rsidP="00F5046F">
      <w:pPr>
        <w:pStyle w:val="Heading2"/>
        <w:rPr>
          <w:rFonts w:ascii="Arial" w:hAnsi="Arial" w:cs="Arial"/>
        </w:rPr>
      </w:pPr>
      <w:bookmarkStart w:id="19" w:name="_Toc236077355"/>
      <w:r w:rsidRPr="00F5046F">
        <w:rPr>
          <w:rFonts w:ascii="Arial" w:hAnsi="Arial" w:cs="Arial"/>
        </w:rPr>
        <w:t>3.2 Suitability of Costco’s Historical Entry Mode for Brazil</w:t>
      </w:r>
      <w:bookmarkEnd w:id="19"/>
    </w:p>
    <w:p w14:paraId="2513E00B" w14:textId="77777777" w:rsidR="00FD5173" w:rsidRPr="00F5046F" w:rsidRDefault="00B26BE5"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Brazil allows for general foreign retail ownership (U.S. Department of State, 2025), which means Costco will retain control over membership, procurement, private label standards and customer information. However, returns are by no means given by legal entry: returns can vary depending on the host environment (Donnelly et al. 2024), and institutional distance does not necessarily predispose to a choice of legal ownership (Moreira da Silva et al. 2024). The IMF projected 2.3% growth and 5.2% year-end inflation for 2025 (IMF, 2025). There is no need to kill ownership because of financing pressure – financing can come under pressure while growth is moderate but don't be afraid to phase in the ownership around the unit economics</w:t>
      </w:r>
      <w:r w:rsidR="00702046" w:rsidRPr="00F5046F">
        <w:rPr>
          <w:rFonts w:ascii="Arial" w:hAnsi="Arial" w:cs="Arial"/>
          <w:color w:val="000000" w:themeColor="text1"/>
          <w:sz w:val="24"/>
        </w:rPr>
        <w:t>.</w:t>
      </w:r>
    </w:p>
    <w:p w14:paraId="0686D9B2" w14:textId="77777777" w:rsidR="00FD5173" w:rsidRPr="00F5046F" w:rsidRDefault="003F60CB" w:rsidP="00F5046F">
      <w:pPr>
        <w:spacing w:after="0" w:line="360" w:lineRule="auto"/>
        <w:jc w:val="center"/>
        <w:rPr>
          <w:rFonts w:ascii="Arial" w:hAnsi="Arial" w:cs="Arial"/>
          <w:color w:val="000000" w:themeColor="text1"/>
          <w:sz w:val="24"/>
          <w:lang w:val="en-IN"/>
        </w:rPr>
      </w:pPr>
      <w:r w:rsidRPr="00F5046F">
        <w:rPr>
          <w:rFonts w:ascii="Arial" w:hAnsi="Arial" w:cs="Arial"/>
          <w:noProof/>
          <w:color w:val="000000" w:themeColor="text1"/>
          <w:sz w:val="24"/>
          <w:lang w:val="en-IN" w:eastAsia="en-IN" w:bidi="gu-IN"/>
        </w:rPr>
        <w:drawing>
          <wp:inline distT="0" distB="0" distL="0" distR="0" wp14:anchorId="33294CBF" wp14:editId="4609A65C">
            <wp:extent cx="5731510" cy="4803775"/>
            <wp:effectExtent l="19050" t="19050" r="21590" b="15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803775"/>
                    </a:xfrm>
                    <a:prstGeom prst="rect">
                      <a:avLst/>
                    </a:prstGeom>
                    <a:ln>
                      <a:solidFill>
                        <a:schemeClr val="tx1"/>
                      </a:solidFill>
                    </a:ln>
                  </pic:spPr>
                </pic:pic>
              </a:graphicData>
            </a:graphic>
          </wp:inline>
        </w:drawing>
      </w:r>
    </w:p>
    <w:p w14:paraId="7E5A3104" w14:textId="77777777" w:rsidR="003F60CB" w:rsidRPr="00F5046F" w:rsidRDefault="003F60CB" w:rsidP="00F5046F">
      <w:pPr>
        <w:spacing w:after="0" w:line="360" w:lineRule="auto"/>
        <w:jc w:val="center"/>
        <w:rPr>
          <w:rFonts w:ascii="Arial" w:hAnsi="Arial" w:cs="Arial"/>
          <w:b/>
          <w:color w:val="000000" w:themeColor="text1"/>
          <w:sz w:val="24"/>
        </w:rPr>
      </w:pPr>
      <w:r w:rsidRPr="00F5046F">
        <w:rPr>
          <w:rFonts w:ascii="Arial" w:hAnsi="Arial" w:cs="Arial"/>
          <w:b/>
          <w:color w:val="000000" w:themeColor="text1"/>
          <w:sz w:val="24"/>
          <w:lang w:val="en-IN"/>
        </w:rPr>
        <w:t xml:space="preserve">Figure 4: </w:t>
      </w:r>
      <w:r w:rsidRPr="00F5046F">
        <w:rPr>
          <w:rFonts w:ascii="Arial" w:hAnsi="Arial" w:cs="Arial"/>
          <w:b/>
          <w:color w:val="000000" w:themeColor="text1"/>
          <w:sz w:val="24"/>
        </w:rPr>
        <w:t>Real GDP Growth and Output Gap</w:t>
      </w:r>
    </w:p>
    <w:p w14:paraId="65175EDC" w14:textId="77777777" w:rsidR="003F60CB" w:rsidRPr="00F5046F" w:rsidRDefault="003F60CB" w:rsidP="00F5046F">
      <w:pPr>
        <w:spacing w:after="0" w:line="360" w:lineRule="auto"/>
        <w:jc w:val="center"/>
        <w:rPr>
          <w:rFonts w:ascii="Arial" w:hAnsi="Arial" w:cs="Arial"/>
          <w:color w:val="000000" w:themeColor="text1"/>
          <w:sz w:val="24"/>
          <w:lang w:val="en-IN"/>
        </w:rPr>
      </w:pPr>
      <w:r w:rsidRPr="00F5046F">
        <w:rPr>
          <w:rFonts w:ascii="Arial" w:hAnsi="Arial" w:cs="Arial"/>
          <w:color w:val="000000" w:themeColor="text1"/>
          <w:sz w:val="24"/>
          <w:lang w:val="en-IN"/>
        </w:rPr>
        <w:t>(Source: Imf, 2025)</w:t>
      </w:r>
    </w:p>
    <w:p w14:paraId="4C9F1A3A" w14:textId="77777777" w:rsidR="005772DB"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lastRenderedPageBreak/>
        <w:t xml:space="preserve">In the </w:t>
      </w:r>
      <w:r w:rsidR="001E4404" w:rsidRPr="00F5046F">
        <w:rPr>
          <w:rFonts w:ascii="Arial" w:hAnsi="Arial" w:cs="Arial"/>
          <w:color w:val="000000" w:themeColor="text1"/>
          <w:sz w:val="24"/>
        </w:rPr>
        <w:t>meantime</w:t>
      </w:r>
      <w:r w:rsidRPr="00F5046F">
        <w:rPr>
          <w:rFonts w:ascii="Arial" w:hAnsi="Arial" w:cs="Arial"/>
          <w:color w:val="000000" w:themeColor="text1"/>
          <w:sz w:val="24"/>
        </w:rPr>
        <w:t>, control is still an important factor to consider, but only commit to control after it is evident that Brazilian unit economics are becoming apparent. This would ensure strategic flexibility, and also minimise the risk of irreversible investment during the early learning phase in the market</w:t>
      </w:r>
      <w:r w:rsidR="005772DB" w:rsidRPr="00F5046F">
        <w:rPr>
          <w:rFonts w:ascii="Arial" w:hAnsi="Arial" w:cs="Arial"/>
          <w:color w:val="000000" w:themeColor="text1"/>
          <w:sz w:val="24"/>
          <w:lang w:val="en-IN"/>
        </w:rPr>
        <w:t>.</w:t>
      </w:r>
    </w:p>
    <w:p w14:paraId="0EBE0A06" w14:textId="77777777" w:rsidR="005772DB" w:rsidRPr="00F5046F" w:rsidRDefault="005772DB" w:rsidP="00F5046F">
      <w:pPr>
        <w:pStyle w:val="Heading2"/>
        <w:rPr>
          <w:rFonts w:ascii="Arial" w:hAnsi="Arial" w:cs="Arial"/>
        </w:rPr>
      </w:pPr>
      <w:bookmarkStart w:id="20" w:name="_Toc236077356"/>
      <w:r w:rsidRPr="00F5046F">
        <w:rPr>
          <w:rFonts w:ascii="Arial" w:hAnsi="Arial" w:cs="Arial"/>
        </w:rPr>
        <w:t>3.3 Evaluation of Alternative Entry Modes</w:t>
      </w:r>
      <w:bookmarkEnd w:id="20"/>
    </w:p>
    <w:p w14:paraId="2B9351B0" w14:textId="77777777" w:rsidR="00702046"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A joint venture can give Costco experience in local terrain, networks, contacts with the government and suppliers, and quicker learning curve for the organization. Firms tend to prefer organizational growth strategies based on organic growth, acquisitions or collaboration depending on the characteristics of the market and on their experience in these strategies (Ego and Pidun, 2025). But there might be conflicts over pricing discipline, assortment restrictions, employee benefits, and when to invest.</w:t>
      </w:r>
    </w:p>
    <w:p w14:paraId="4DB187AE" w14:textId="77777777" w:rsidR="00702046"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The uncertainty regarding institutions and the knowledge transferred from the headquarter to the acquired operations is still an issue in cross-border acquisition ownership decisions (Chan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2024). However, if it were to buy an established store in Brazil, Costco would be faced with the problems of incompatible formats, legacy systems, too many products and a challenge to the Brazilian culture. Inherited routine could then create a value destroying acquisition speed in light of Costco's highly-standardised warehouse economics.</w:t>
      </w:r>
    </w:p>
    <w:p w14:paraId="2EAF07A3" w14:textId="77777777" w:rsidR="005772DB"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Under conditions of high market uncertainty, alternative modes of internationalization can be used to maintain flexibility (Real-options research, Trigeorgis and Miller, 2025). However, Costco's membership depends on the seamless pricing, buying, warranties, stock, data systems, and Kirkland quality. This contractual expansion would, therefore, be flexible, a system that Costco has to protect.</w:t>
      </w:r>
    </w:p>
    <w:p w14:paraId="0BC4C180" w14:textId="77777777" w:rsidR="00460911" w:rsidRPr="00F5046F" w:rsidRDefault="00460911" w:rsidP="00F5046F">
      <w:pPr>
        <w:spacing w:after="0" w:line="360" w:lineRule="auto"/>
        <w:jc w:val="center"/>
        <w:rPr>
          <w:rFonts w:ascii="Arial" w:hAnsi="Arial" w:cs="Arial"/>
          <w:color w:val="000000" w:themeColor="text1"/>
          <w:sz w:val="24"/>
          <w:lang w:val="en-IN"/>
        </w:rPr>
      </w:pPr>
      <w:r w:rsidRPr="00F5046F">
        <w:rPr>
          <w:rFonts w:ascii="Arial" w:hAnsi="Arial" w:cs="Arial"/>
          <w:noProof/>
          <w:color w:val="000000" w:themeColor="text1"/>
          <w:sz w:val="24"/>
          <w:lang w:val="en-IN" w:eastAsia="en-IN" w:bidi="gu-IN"/>
        </w:rPr>
        <w:lastRenderedPageBreak/>
        <w:drawing>
          <wp:inline distT="0" distB="0" distL="0" distR="0" wp14:anchorId="7C390CDC" wp14:editId="0B087920">
            <wp:extent cx="5731510" cy="3131820"/>
            <wp:effectExtent l="19050" t="19050" r="2159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31820"/>
                    </a:xfrm>
                    <a:prstGeom prst="rect">
                      <a:avLst/>
                    </a:prstGeom>
                    <a:ln>
                      <a:solidFill>
                        <a:schemeClr val="tx1"/>
                      </a:solidFill>
                    </a:ln>
                  </pic:spPr>
                </pic:pic>
              </a:graphicData>
            </a:graphic>
          </wp:inline>
        </w:drawing>
      </w:r>
    </w:p>
    <w:p w14:paraId="163FF157" w14:textId="77777777" w:rsidR="00460911" w:rsidRPr="00F5046F" w:rsidRDefault="00460911" w:rsidP="00F5046F">
      <w:pPr>
        <w:spacing w:after="0" w:line="360" w:lineRule="auto"/>
        <w:jc w:val="center"/>
        <w:rPr>
          <w:rFonts w:ascii="Arial" w:hAnsi="Arial" w:cs="Arial"/>
          <w:b/>
          <w:color w:val="000000" w:themeColor="text1"/>
          <w:sz w:val="24"/>
        </w:rPr>
      </w:pPr>
      <w:r w:rsidRPr="00F5046F">
        <w:rPr>
          <w:rFonts w:ascii="Arial" w:hAnsi="Arial" w:cs="Arial"/>
          <w:b/>
          <w:color w:val="000000" w:themeColor="text1"/>
          <w:sz w:val="24"/>
          <w:lang w:val="en-IN"/>
        </w:rPr>
        <w:t xml:space="preserve">Figure 5: </w:t>
      </w:r>
      <w:r w:rsidR="005D7CF5" w:rsidRPr="00F5046F">
        <w:rPr>
          <w:rFonts w:ascii="Arial" w:hAnsi="Arial" w:cs="Arial"/>
          <w:b/>
          <w:color w:val="000000" w:themeColor="text1"/>
          <w:sz w:val="24"/>
        </w:rPr>
        <w:t xml:space="preserve">Direct investment liabilities – net inflows </w:t>
      </w:r>
    </w:p>
    <w:p w14:paraId="2E1A6608" w14:textId="77777777" w:rsidR="005D7CF5" w:rsidRPr="00F5046F" w:rsidRDefault="005D7CF5" w:rsidP="00F5046F">
      <w:pPr>
        <w:spacing w:after="0" w:line="360" w:lineRule="auto"/>
        <w:jc w:val="center"/>
        <w:rPr>
          <w:rFonts w:ascii="Arial" w:hAnsi="Arial" w:cs="Arial"/>
          <w:color w:val="000000" w:themeColor="text1"/>
          <w:sz w:val="24"/>
          <w:lang w:val="en-IN"/>
        </w:rPr>
      </w:pPr>
      <w:r w:rsidRPr="00F5046F">
        <w:rPr>
          <w:rFonts w:ascii="Arial" w:hAnsi="Arial" w:cs="Arial"/>
          <w:color w:val="000000" w:themeColor="text1"/>
          <w:sz w:val="24"/>
          <w:lang w:val="en-IN"/>
        </w:rPr>
        <w:t>(Source: Bcb.gov.br, 2024)</w:t>
      </w:r>
    </w:p>
    <w:p w14:paraId="45C90910" w14:textId="77777777" w:rsidR="005772DB" w:rsidRPr="00F5046F" w:rsidRDefault="00B26BE5"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Direct-investment liabilities increased by 18.0% to $74.1 billion, or a 0.54 percentage point of GDP in 2024 from 2.86% in 2023. It's the power of the capacity of Brazil, and not a particular mode of entry. The investment recovery in 2024 is a function of market capacity and not the decision by Costco to ownership. Entry mode still needs to be proven based on the control requirements and operating fit and/or pilot economics</w:t>
      </w:r>
      <w:r w:rsidR="00702046" w:rsidRPr="00F5046F">
        <w:rPr>
          <w:rFonts w:ascii="Arial" w:hAnsi="Arial" w:cs="Arial"/>
          <w:color w:val="000000" w:themeColor="text1"/>
          <w:sz w:val="24"/>
        </w:rPr>
        <w:t>.</w:t>
      </w:r>
    </w:p>
    <w:p w14:paraId="4C6D8194" w14:textId="77777777" w:rsidR="005772DB" w:rsidRPr="00F5046F" w:rsidRDefault="005772DB" w:rsidP="00F5046F">
      <w:pPr>
        <w:pStyle w:val="Heading2"/>
        <w:rPr>
          <w:rFonts w:ascii="Arial" w:hAnsi="Arial" w:cs="Arial"/>
        </w:rPr>
      </w:pPr>
      <w:bookmarkStart w:id="21" w:name="_Toc236077357"/>
      <w:r w:rsidRPr="00F5046F">
        <w:rPr>
          <w:rFonts w:ascii="Arial" w:hAnsi="Arial" w:cs="Arial"/>
        </w:rPr>
        <w:t>3.4 Recommended Entry Mode and Strategic Justification</w:t>
      </w:r>
      <w:bookmarkEnd w:id="21"/>
    </w:p>
    <w:p w14:paraId="2010F1A5" w14:textId="77777777" w:rsidR="00702046" w:rsidRPr="00F5046F" w:rsidRDefault="00B26BE5"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A Greater São Paulo greenfield subsidiary will ensure Costco's key routines remain intact, and minimise initial geographical exposure. Internationalisation is an iterative process (Domínguez Romero et al. 2024): local experts should assist in all aspects of a property, tax, payment, compliance, recruitment and suppliers decisions, but not in core retail decisions</w:t>
      </w:r>
      <w:r w:rsidR="00702046" w:rsidRPr="00F5046F">
        <w:rPr>
          <w:rFonts w:ascii="Arial" w:hAnsi="Arial" w:cs="Arial"/>
          <w:color w:val="000000" w:themeColor="text1"/>
          <w:sz w:val="24"/>
          <w:lang w:val="en-IN"/>
        </w:rPr>
        <w:t>.</w:t>
      </w:r>
    </w:p>
    <w:p w14:paraId="4513097A" w14:textId="77777777" w:rsidR="005772DB"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The management will need to make two pilot warehouses stable to reach the goals of positive operating contribution, good supplier reliability and clean compliance performance. These should be based on a number of trading periods – not one successful opening – before they are defined. Then expanding would be based on proven economics and the project would be redesigned, delayed or withdrawn if it didn't meet expectations</w:t>
      </w:r>
      <w:r w:rsidR="005772DB" w:rsidRPr="00F5046F">
        <w:rPr>
          <w:rFonts w:ascii="Arial" w:hAnsi="Arial" w:cs="Arial"/>
          <w:color w:val="000000" w:themeColor="text1"/>
          <w:sz w:val="24"/>
          <w:lang w:val="en-IN"/>
        </w:rPr>
        <w:t>.</w:t>
      </w:r>
    </w:p>
    <w:p w14:paraId="065F728D" w14:textId="77777777" w:rsidR="005772DB" w:rsidRPr="00F5046F" w:rsidRDefault="005772DB" w:rsidP="00F5046F">
      <w:pPr>
        <w:pStyle w:val="Heading2"/>
        <w:rPr>
          <w:rFonts w:ascii="Arial" w:hAnsi="Arial" w:cs="Arial"/>
        </w:rPr>
      </w:pPr>
      <w:bookmarkStart w:id="22" w:name="_Toc236077358"/>
      <w:r w:rsidRPr="00F5046F">
        <w:rPr>
          <w:rFonts w:ascii="Arial" w:hAnsi="Arial" w:cs="Arial"/>
        </w:rPr>
        <w:t>3.5 Conclusion and Final Recommendations</w:t>
      </w:r>
      <w:bookmarkEnd w:id="22"/>
    </w:p>
    <w:p w14:paraId="16BA4DE9" w14:textId="77777777" w:rsidR="00BD7C8E"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lastRenderedPageBreak/>
        <w:t>History at Costco has proven that controlled operations are well suited to its integrated membership, procurement, pricing, and private-label business model. Brazil provides a significant demand in the metropolitan areas, a capacity of suppliers, a digital payment system and a legal environment for fully-owned retail stores. But, if there is macroeconomic volatility, institutional complexity, a lot of competition, and regional diversity, it is unnecessarily risky to expand the nation rapidly. It is thus highly recommended that Costco create a fully-owned Greater São Paulo pilot cluster with the support of well-chosen service partners in the country. Relying on verified renewal economic returns and supplier performance, compliance quality and resilient operating returns should be used as sources for further warehouses</w:t>
      </w:r>
      <w:r w:rsidR="005772DB" w:rsidRPr="00F5046F">
        <w:rPr>
          <w:rFonts w:ascii="Arial" w:hAnsi="Arial" w:cs="Arial"/>
          <w:color w:val="000000" w:themeColor="text1"/>
          <w:sz w:val="24"/>
          <w:lang w:val="en-IN"/>
        </w:rPr>
        <w:t>.</w:t>
      </w:r>
    </w:p>
    <w:p w14:paraId="044BB073" w14:textId="77777777" w:rsidR="00406594" w:rsidRPr="00F5046F" w:rsidRDefault="00406594" w:rsidP="00F5046F">
      <w:pPr>
        <w:spacing w:line="360" w:lineRule="auto"/>
        <w:rPr>
          <w:rFonts w:ascii="Arial" w:hAnsi="Arial" w:cs="Arial"/>
          <w:b/>
          <w:color w:val="000000" w:themeColor="text1"/>
          <w:sz w:val="28"/>
        </w:rPr>
      </w:pPr>
      <w:r w:rsidRPr="00F5046F">
        <w:rPr>
          <w:rFonts w:ascii="Arial" w:hAnsi="Arial" w:cs="Arial"/>
          <w:b/>
          <w:color w:val="000000" w:themeColor="text1"/>
          <w:sz w:val="28"/>
        </w:rPr>
        <w:br w:type="page"/>
      </w:r>
    </w:p>
    <w:p w14:paraId="66BCE638" w14:textId="77777777" w:rsidR="00BD7C8E" w:rsidRPr="00F5046F" w:rsidRDefault="00BD7C8E" w:rsidP="00F5046F">
      <w:pPr>
        <w:pStyle w:val="Heading1"/>
        <w:rPr>
          <w:rFonts w:ascii="Arial" w:hAnsi="Arial" w:cs="Arial"/>
        </w:rPr>
      </w:pPr>
      <w:bookmarkStart w:id="23" w:name="_Toc236077359"/>
      <w:r w:rsidRPr="00F5046F">
        <w:rPr>
          <w:rFonts w:ascii="Arial" w:hAnsi="Arial" w:cs="Arial"/>
        </w:rPr>
        <w:lastRenderedPageBreak/>
        <w:t>Section 2: Reflective Account Using Gibbs’ Reflective Cycle</w:t>
      </w:r>
      <w:bookmarkEnd w:id="23"/>
    </w:p>
    <w:p w14:paraId="77D8E641" w14:textId="77777777" w:rsidR="005772DB" w:rsidRPr="00F5046F" w:rsidRDefault="005772DB" w:rsidP="00F5046F">
      <w:pPr>
        <w:pStyle w:val="Heading2"/>
        <w:rPr>
          <w:rFonts w:ascii="Arial" w:hAnsi="Arial" w:cs="Arial"/>
        </w:rPr>
      </w:pPr>
      <w:bookmarkStart w:id="24" w:name="_Toc236077360"/>
      <w:r w:rsidRPr="00F5046F">
        <w:rPr>
          <w:rFonts w:ascii="Arial" w:hAnsi="Arial" w:cs="Arial"/>
        </w:rPr>
        <w:t>4.1 Description</w:t>
      </w:r>
      <w:bookmarkEnd w:id="24"/>
    </w:p>
    <w:p w14:paraId="57064BBD" w14:textId="77777777" w:rsidR="005772DB"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The presentation of this evaluation was the result of a process of dividing the business problem into the area of company strategy, conditions in the country of entry, a theoretical analysis, and a recommendation on the choice of entry mode. The first time was when I started Costco's international presence and determined that Brazil didn't have a formal presence at the time of this assessment. I then gathered the company filings, government information, reports from international organisations, and recent, peer-reviewed research, and then compared the usefulness and reliability of each. Students' investigations of complex problems require structuring research skills, interpreting evidence and applying methods, which are highlighted in research-skills literature (Vázquez-Villegas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2023).</w:t>
      </w:r>
      <w:r w:rsidR="00C835F9" w:rsidRPr="00F5046F">
        <w:rPr>
          <w:rFonts w:ascii="Arial" w:hAnsi="Arial" w:cs="Arial"/>
          <w:color w:val="000000" w:themeColor="text1"/>
          <w:sz w:val="24"/>
          <w:lang w:val="en-IN"/>
        </w:rPr>
        <w:t xml:space="preserve"> </w:t>
      </w:r>
      <w:r w:rsidRPr="00F5046F">
        <w:rPr>
          <w:rFonts w:ascii="Arial" w:hAnsi="Arial" w:cs="Arial"/>
          <w:color w:val="000000" w:themeColor="text1"/>
          <w:sz w:val="24"/>
          <w:lang w:val="en-IN"/>
        </w:rPr>
        <w:t>I then referred to the concepts of Bartlett &amp; Ghoshal, OLI, institutional arguments and entry mode in my analysis of the evidence</w:t>
      </w:r>
      <w:r w:rsidR="005772DB" w:rsidRPr="00F5046F">
        <w:rPr>
          <w:rFonts w:ascii="Arial" w:hAnsi="Arial" w:cs="Arial"/>
          <w:color w:val="000000" w:themeColor="text1"/>
          <w:sz w:val="24"/>
          <w:lang w:val="en-IN"/>
        </w:rPr>
        <w:t>.</w:t>
      </w:r>
    </w:p>
    <w:p w14:paraId="279482BB" w14:textId="77777777" w:rsidR="005772DB" w:rsidRPr="00F5046F" w:rsidRDefault="005772DB" w:rsidP="00F5046F">
      <w:pPr>
        <w:pStyle w:val="Heading2"/>
        <w:rPr>
          <w:rFonts w:ascii="Arial" w:hAnsi="Arial" w:cs="Arial"/>
        </w:rPr>
      </w:pPr>
      <w:bookmarkStart w:id="25" w:name="_Toc236077361"/>
      <w:r w:rsidRPr="00F5046F">
        <w:rPr>
          <w:rFonts w:ascii="Arial" w:hAnsi="Arial" w:cs="Arial"/>
        </w:rPr>
        <w:t>4.2 Feelings</w:t>
      </w:r>
      <w:bookmarkEnd w:id="25"/>
    </w:p>
    <w:p w14:paraId="0767F716" w14:textId="77777777" w:rsidR="005772DB"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Initially, I thought Brazil was big enough to make Costco's expansion easier to defend. This trust was undermined by economic, regulatory, competitive and cultural issues which brought significant conflicts to the surface of the apparent market opportunity. When reflection is linked to meaningful evaluation, critical reflection activities can enhance learner self-confidence and involvement in learning (Awidi and Klutsey, 2025). I got used to uncertainty when I started to accept other definitive conclusions when I wasn't always looking for one to back up mine</w:t>
      </w:r>
      <w:r w:rsidR="005772DB" w:rsidRPr="00F5046F">
        <w:rPr>
          <w:rFonts w:ascii="Arial" w:hAnsi="Arial" w:cs="Arial"/>
          <w:color w:val="000000" w:themeColor="text1"/>
          <w:sz w:val="24"/>
          <w:lang w:val="en-IN"/>
        </w:rPr>
        <w:t>.</w:t>
      </w:r>
    </w:p>
    <w:p w14:paraId="3A7EAE7B" w14:textId="77777777" w:rsidR="005772DB" w:rsidRPr="00F5046F" w:rsidRDefault="005772DB" w:rsidP="00F5046F">
      <w:pPr>
        <w:pStyle w:val="Heading2"/>
        <w:rPr>
          <w:rFonts w:ascii="Arial" w:hAnsi="Arial" w:cs="Arial"/>
        </w:rPr>
      </w:pPr>
      <w:bookmarkStart w:id="26" w:name="_Toc236077362"/>
      <w:r w:rsidRPr="00F5046F">
        <w:rPr>
          <w:rFonts w:ascii="Arial" w:hAnsi="Arial" w:cs="Arial"/>
        </w:rPr>
        <w:t>4.3 Evaluation</w:t>
      </w:r>
      <w:bookmarkEnd w:id="26"/>
    </w:p>
    <w:p w14:paraId="28F873F6" w14:textId="77777777" w:rsidR="005772DB"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I think the best part of my process was the selection of sources since I took the time to make sure that it was recent academic research and authoritative institutional evidence. Source-evaluation research reveals that thoughtful lateral checking can enhance the ability to identify misinformation while avoiding widespread distrust of information (Goodsett and Gagich, 2025).</w:t>
      </w:r>
      <w:r w:rsidR="00C835F9" w:rsidRPr="00F5046F">
        <w:rPr>
          <w:rFonts w:ascii="Arial" w:hAnsi="Arial" w:cs="Arial"/>
          <w:color w:val="000000" w:themeColor="text1"/>
          <w:sz w:val="24"/>
          <w:lang w:val="en-IN"/>
        </w:rPr>
        <w:t xml:space="preserve"> </w:t>
      </w:r>
      <w:r w:rsidRPr="00F5046F">
        <w:rPr>
          <w:rFonts w:ascii="Arial" w:hAnsi="Arial" w:cs="Arial"/>
          <w:color w:val="000000" w:themeColor="text1"/>
          <w:sz w:val="24"/>
          <w:lang w:val="en-IN"/>
        </w:rPr>
        <w:t>The lack of evidence of the future membership economics, local renewal behaviour, and the profitability of the Costco warehouses in Brazil, was a weak aspect. Evaluation, inference, explanation and self-regulation are not academic tasks but are linked in critical thinking research (Song and Cai, 2024). I therefore separated what was observed from what was proposed as thresholds for management and did not make forecasts a fact.</w:t>
      </w:r>
    </w:p>
    <w:p w14:paraId="5E855E96" w14:textId="77777777" w:rsidR="005772DB" w:rsidRPr="00F5046F" w:rsidRDefault="005772DB" w:rsidP="00F5046F">
      <w:pPr>
        <w:pStyle w:val="Heading2"/>
        <w:rPr>
          <w:rFonts w:ascii="Arial" w:hAnsi="Arial" w:cs="Arial"/>
        </w:rPr>
      </w:pPr>
      <w:bookmarkStart w:id="27" w:name="_Toc236077363"/>
      <w:r w:rsidRPr="00F5046F">
        <w:rPr>
          <w:rFonts w:ascii="Arial" w:hAnsi="Arial" w:cs="Arial"/>
        </w:rPr>
        <w:lastRenderedPageBreak/>
        <w:t>4.4 Analysis</w:t>
      </w:r>
      <w:bookmarkEnd w:id="27"/>
    </w:p>
    <w:p w14:paraId="3D8A7F80" w14:textId="77777777" w:rsidR="005772DB" w:rsidRPr="00F5046F" w:rsidRDefault="005772DB" w:rsidP="00F5046F">
      <w:pPr>
        <w:pStyle w:val="Heading3"/>
        <w:rPr>
          <w:rFonts w:ascii="Arial" w:hAnsi="Arial" w:cs="Arial"/>
        </w:rPr>
      </w:pPr>
      <w:bookmarkStart w:id="28" w:name="_Toc236077364"/>
      <w:r w:rsidRPr="00F5046F">
        <w:rPr>
          <w:rFonts w:ascii="Arial" w:hAnsi="Arial" w:cs="Arial"/>
        </w:rPr>
        <w:t>4.4.1 Research Judgement and Evidence Quality</w:t>
      </w:r>
      <w:bookmarkEnd w:id="28"/>
    </w:p>
    <w:p w14:paraId="054A37A2" w14:textId="77777777" w:rsidR="00702046"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In the field of research, the Gibbs framework has shown the ability to link experience, evaluation, analysis, conclusions and future action (Ocampo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2025). I've given Brazil too much credit for its population, retail size and familiarity with shopping at warehouse stores. Subsequent experience revealed that the apparent benefits could turn out to be significantly diminished by the financing costs, logistics, taxes, institutional differences, and incumbent competition.</w:t>
      </w:r>
    </w:p>
    <w:p w14:paraId="0B44E512" w14:textId="77777777" w:rsidR="005772DB" w:rsidRPr="00F5046F" w:rsidRDefault="00702046"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I also found out that there are times when credible sources will disagree with each other, as they will have different answers to different questions that they were asked and have different time periods. The studies on SRL provide evidence that reflection is related to goal setting, strategy adjustment, self-efficacy and future-oriented improvement (Arvatz </w:t>
      </w:r>
      <w:r w:rsidR="00EF23CA" w:rsidRPr="00F5046F">
        <w:rPr>
          <w:rFonts w:ascii="Arial" w:hAnsi="Arial" w:cs="Arial"/>
          <w:i/>
          <w:color w:val="000000" w:themeColor="text1"/>
          <w:sz w:val="24"/>
          <w:lang w:val="en-IN"/>
        </w:rPr>
        <w:t>et al.</w:t>
      </w:r>
      <w:r w:rsidRPr="00F5046F">
        <w:rPr>
          <w:rFonts w:ascii="Arial" w:hAnsi="Arial" w:cs="Arial"/>
          <w:color w:val="000000" w:themeColor="text1"/>
          <w:sz w:val="24"/>
          <w:lang w:val="en-IN"/>
        </w:rPr>
        <w:t xml:space="preserve"> 2025). To answer each question rather than simply choosing the one that's easiest, I made comparisons on the bases of scope, methodology, publication date and institution purpose</w:t>
      </w:r>
      <w:r w:rsidR="005772DB" w:rsidRPr="00F5046F">
        <w:rPr>
          <w:rFonts w:ascii="Arial" w:hAnsi="Arial" w:cs="Arial"/>
          <w:color w:val="000000" w:themeColor="text1"/>
          <w:sz w:val="24"/>
          <w:lang w:val="en-IN"/>
        </w:rPr>
        <w:t>.</w:t>
      </w:r>
    </w:p>
    <w:p w14:paraId="6D14A540" w14:textId="77777777" w:rsidR="005772DB" w:rsidRPr="00F5046F" w:rsidRDefault="005772DB" w:rsidP="00F5046F">
      <w:pPr>
        <w:pStyle w:val="Heading3"/>
        <w:rPr>
          <w:rFonts w:ascii="Arial" w:hAnsi="Arial" w:cs="Arial"/>
        </w:rPr>
      </w:pPr>
      <w:bookmarkStart w:id="29" w:name="_Toc236077365"/>
      <w:r w:rsidRPr="00F5046F">
        <w:rPr>
          <w:rFonts w:ascii="Arial" w:hAnsi="Arial" w:cs="Arial"/>
        </w:rPr>
        <w:t>4.4.2 Linking Theory with Strategic Evidence</w:t>
      </w:r>
      <w:bookmarkEnd w:id="29"/>
    </w:p>
    <w:p w14:paraId="4C146D8D" w14:textId="77777777" w:rsidR="009D5EA9" w:rsidRPr="00F5046F" w:rsidRDefault="009D5EA9"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The initial application of several frameworks was a risk of repetition as similar political, economic and organisational conditions might be described by several different frameworks. To overcome this I created a specific purpose of analysis for each of the frameworks and linked ideas between sections. Competitiveness was discussed using Porter's Diamond, investment logic was tested using OLI and the control, flexibility, resource commitment and learning requirements were compared in the entry-mode theory. This dissociation was used to assist the theory in making decisions, not for the sake of being a pretty academic theory.</w:t>
      </w:r>
    </w:p>
    <w:p w14:paraId="46BBAA3E" w14:textId="77777777" w:rsidR="009D5EA9" w:rsidRPr="00F5046F" w:rsidRDefault="009D5EA9"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Other evidence of the entry mode also found that more ownership is not necessarily perceived as safer and/or more strategic. The ownership outcomes faced by firms are not simply the result of the host-country characteristics, their organizational capabilities and establishment choices. So I said I was going to try this one on Costco's history of being in control instead of doing the same to mimic what they were doing. The border between that and the critical, strategic synthesis of work shifted from description to description.</w:t>
      </w:r>
    </w:p>
    <w:p w14:paraId="287ED535" w14:textId="77777777" w:rsidR="005772DB" w:rsidRPr="00F5046F" w:rsidRDefault="009D5EA9"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 xml:space="preserve">Finally, it's based on comparison, not on loyalty to past actions of Costco. The consequences of the wrong market assumption were less with a wholly owned pilot, and it provided more control than partnership. So the exercise reoriented my thinking </w:t>
      </w:r>
      <w:r w:rsidRPr="00F5046F">
        <w:rPr>
          <w:rFonts w:ascii="Arial" w:hAnsi="Arial" w:cs="Arial"/>
          <w:color w:val="000000" w:themeColor="text1"/>
          <w:sz w:val="24"/>
          <w:lang w:val="en-IN"/>
        </w:rPr>
        <w:lastRenderedPageBreak/>
        <w:t>about international strategy from picking an ideal model to working with a number of competing hazards. When key commercial data is not available prior to market entry, strong recommendations must be kept conditionals</w:t>
      </w:r>
      <w:r w:rsidR="005772DB" w:rsidRPr="00F5046F">
        <w:rPr>
          <w:rFonts w:ascii="Arial" w:hAnsi="Arial" w:cs="Arial"/>
          <w:color w:val="000000" w:themeColor="text1"/>
          <w:sz w:val="24"/>
          <w:lang w:val="en-IN"/>
        </w:rPr>
        <w:t>.</w:t>
      </w:r>
    </w:p>
    <w:p w14:paraId="24C60D13" w14:textId="77777777" w:rsidR="005772DB" w:rsidRPr="00F5046F" w:rsidRDefault="005772DB" w:rsidP="00F5046F">
      <w:pPr>
        <w:pStyle w:val="Heading2"/>
        <w:rPr>
          <w:rFonts w:ascii="Arial" w:hAnsi="Arial" w:cs="Arial"/>
        </w:rPr>
      </w:pPr>
      <w:bookmarkStart w:id="30" w:name="_Toc236077366"/>
      <w:r w:rsidRPr="00F5046F">
        <w:rPr>
          <w:rFonts w:ascii="Arial" w:hAnsi="Arial" w:cs="Arial"/>
        </w:rPr>
        <w:t>4.5 Conclusion</w:t>
      </w:r>
      <w:bookmarkEnd w:id="30"/>
    </w:p>
    <w:p w14:paraId="5CF05BEE" w14:textId="77777777" w:rsidR="005772DB" w:rsidRPr="00F5046F" w:rsidRDefault="009D5EA9"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rPr>
        <w:t>This evaluation helped me to synthesize international-business theory, public evidence and a pragmatic decision-making process in a single coherent argument. I learnt that there is a need to not keep market attractiveness apart from implementation cost, institutional constraints or transferable capability of the firm. I also realised that it is important to point out contradictions rather than present evidence to justify a pre-conceived idea of a conclusion. My final recommendation grew stronger as I embraced the unknown and planned my entry to measure learning</w:t>
      </w:r>
      <w:r w:rsidR="005772DB" w:rsidRPr="00F5046F">
        <w:rPr>
          <w:rFonts w:ascii="Arial" w:hAnsi="Arial" w:cs="Arial"/>
          <w:color w:val="000000" w:themeColor="text1"/>
          <w:sz w:val="24"/>
          <w:lang w:val="en-IN"/>
        </w:rPr>
        <w:t>.</w:t>
      </w:r>
    </w:p>
    <w:p w14:paraId="0C03A4FD" w14:textId="77777777" w:rsidR="005772DB" w:rsidRPr="00F5046F" w:rsidRDefault="005772DB" w:rsidP="00F5046F">
      <w:pPr>
        <w:pStyle w:val="Heading2"/>
        <w:rPr>
          <w:rFonts w:ascii="Arial" w:hAnsi="Arial" w:cs="Arial"/>
        </w:rPr>
      </w:pPr>
      <w:bookmarkStart w:id="31" w:name="_Toc236077367"/>
      <w:r w:rsidRPr="00F5046F">
        <w:rPr>
          <w:rFonts w:ascii="Arial" w:hAnsi="Arial" w:cs="Arial"/>
        </w:rPr>
        <w:t>4.6 Action Plan</w:t>
      </w:r>
      <w:bookmarkEnd w:id="31"/>
    </w:p>
    <w:p w14:paraId="02DD2421" w14:textId="77777777" w:rsidR="009D5EA9" w:rsidRPr="00F5046F" w:rsidRDefault="009D5EA9"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I will develop a source matrix and then draft a source-based assessment for future international business assessments and classify the sources by authority, date, method, purpose and limitation. I will note alternative findings next to the strategic question to ensure that conflicting evidence is considered prior to the writing of a conclusion. I will also differentiate between facts, theory and assumptions in my managerial role throughout the research process by means of separate notes.</w:t>
      </w:r>
    </w:p>
    <w:p w14:paraId="78BFAB86" w14:textId="77777777" w:rsidR="00BD7C8E" w:rsidRPr="00F5046F" w:rsidRDefault="009D5EA9" w:rsidP="00F5046F">
      <w:pPr>
        <w:spacing w:after="0" w:line="360" w:lineRule="auto"/>
        <w:jc w:val="both"/>
        <w:rPr>
          <w:rFonts w:ascii="Arial" w:hAnsi="Arial" w:cs="Arial"/>
          <w:color w:val="000000" w:themeColor="text1"/>
          <w:sz w:val="24"/>
          <w:lang w:val="en-IN"/>
        </w:rPr>
      </w:pPr>
      <w:r w:rsidRPr="00F5046F">
        <w:rPr>
          <w:rFonts w:ascii="Arial" w:hAnsi="Arial" w:cs="Arial"/>
          <w:color w:val="000000" w:themeColor="text1"/>
          <w:sz w:val="24"/>
          <w:lang w:val="en-IN"/>
        </w:rPr>
        <w:t>I will make word allocation plans ahead of time and allocate time for comparison, critique, synthesis and practical recommendations. I will check each paragraph to see if it conveys meaning, constraints, options and implications, or just information. Lastly, I will consider again my starting point at the end of each of the major frameworks and record any evidence that has altered my starting point. I will also keep evidence log to indicate why each source is supporting a particular judgement. This repetitive review should result in more analytical, concise, clear, and useful future work</w:t>
      </w:r>
      <w:r w:rsidR="005772DB" w:rsidRPr="00F5046F">
        <w:rPr>
          <w:rFonts w:ascii="Arial" w:hAnsi="Arial" w:cs="Arial"/>
          <w:color w:val="000000" w:themeColor="text1"/>
          <w:sz w:val="24"/>
          <w:lang w:val="en-IN"/>
        </w:rPr>
        <w:t>.</w:t>
      </w:r>
    </w:p>
    <w:p w14:paraId="6C2433F5" w14:textId="77777777" w:rsidR="00BD7C8E" w:rsidRPr="00F5046F" w:rsidRDefault="00BD7C8E" w:rsidP="00F5046F">
      <w:pPr>
        <w:spacing w:line="240" w:lineRule="auto"/>
        <w:rPr>
          <w:rFonts w:ascii="Arial" w:hAnsi="Arial" w:cs="Arial"/>
          <w:color w:val="000000" w:themeColor="text1"/>
          <w:sz w:val="24"/>
        </w:rPr>
      </w:pPr>
      <w:r w:rsidRPr="00F5046F">
        <w:rPr>
          <w:rFonts w:ascii="Arial" w:hAnsi="Arial" w:cs="Arial"/>
          <w:color w:val="000000" w:themeColor="text1"/>
          <w:sz w:val="24"/>
        </w:rPr>
        <w:br w:type="page"/>
      </w:r>
    </w:p>
    <w:p w14:paraId="43EA2D92" w14:textId="77777777" w:rsidR="008B632A" w:rsidRPr="00F5046F" w:rsidRDefault="00BD7C8E" w:rsidP="0062670B">
      <w:pPr>
        <w:pStyle w:val="Heading1"/>
        <w:spacing w:after="240" w:line="240" w:lineRule="auto"/>
        <w:rPr>
          <w:rFonts w:ascii="Arial" w:hAnsi="Arial" w:cs="Arial"/>
        </w:rPr>
      </w:pPr>
      <w:bookmarkStart w:id="32" w:name="_Toc236077368"/>
      <w:r w:rsidRPr="00F5046F">
        <w:rPr>
          <w:rFonts w:ascii="Arial" w:hAnsi="Arial" w:cs="Arial"/>
        </w:rPr>
        <w:lastRenderedPageBreak/>
        <w:t>Reference List</w:t>
      </w:r>
      <w:bookmarkEnd w:id="32"/>
    </w:p>
    <w:p w14:paraId="4A641F80"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Adulyasak, Y., Cohen, M.C., Khern-am-nuai, W. and Krause, M. (2024) ‘Retail analytics in the new normal: the influence of artificial intelligence and the COVID-19 pandemic’, </w:t>
      </w:r>
      <w:r w:rsidRPr="00AE0274">
        <w:rPr>
          <w:rFonts w:ascii="Arial" w:hAnsi="Arial" w:cs="Arial"/>
          <w:i/>
          <w:iCs/>
          <w:color w:val="000000" w:themeColor="text1"/>
          <w:sz w:val="24"/>
          <w:lang w:val="en-IN"/>
        </w:rPr>
        <w:t>IEEE Engineering Management Review</w:t>
      </w:r>
      <w:r w:rsidRPr="00AE0274">
        <w:rPr>
          <w:rFonts w:ascii="Arial" w:hAnsi="Arial" w:cs="Arial"/>
          <w:color w:val="000000" w:themeColor="text1"/>
          <w:sz w:val="24"/>
          <w:lang w:val="en-IN"/>
        </w:rPr>
        <w:t xml:space="preserve">, 52(1), pp. 268–280. Available at: </w:t>
      </w:r>
      <w:hyperlink r:id="rId14" w:tgtFrame="_new" w:history="1">
        <w:r w:rsidRPr="00AE0274">
          <w:rPr>
            <w:rStyle w:val="Hyperlink"/>
            <w:rFonts w:ascii="Arial" w:hAnsi="Arial" w:cs="Arial"/>
            <w:sz w:val="24"/>
            <w:lang w:val="en-IN"/>
          </w:rPr>
          <w:t>https://arxiv.org/abs/2312.00046</w:t>
        </w:r>
      </w:hyperlink>
      <w:r w:rsidRPr="00AE0274">
        <w:rPr>
          <w:rFonts w:ascii="Arial" w:hAnsi="Arial" w:cs="Arial"/>
          <w:color w:val="000000" w:themeColor="text1"/>
          <w:sz w:val="24"/>
          <w:lang w:val="en-IN"/>
        </w:rPr>
        <w:t xml:space="preserve"> (Accessed: 9 August 2026).</w:t>
      </w:r>
    </w:p>
    <w:p w14:paraId="7E19523B"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Arvatz, A., Peretz, R. and Dori, Y.J. (2025) ‘Self-regulated learning and reflection: a tool for teachers and students’, </w:t>
      </w:r>
      <w:r w:rsidRPr="00AE0274">
        <w:rPr>
          <w:rFonts w:ascii="Arial" w:hAnsi="Arial" w:cs="Arial"/>
          <w:i/>
          <w:iCs/>
          <w:color w:val="000000" w:themeColor="text1"/>
          <w:sz w:val="24"/>
          <w:lang w:val="en-IN"/>
        </w:rPr>
        <w:t>Metacognition and Learning</w:t>
      </w:r>
      <w:r w:rsidRPr="00AE0274">
        <w:rPr>
          <w:rFonts w:ascii="Arial" w:hAnsi="Arial" w:cs="Arial"/>
          <w:color w:val="000000" w:themeColor="text1"/>
          <w:sz w:val="24"/>
          <w:lang w:val="en-IN"/>
        </w:rPr>
        <w:t xml:space="preserve">, 20, article 15. Available at: </w:t>
      </w:r>
      <w:hyperlink r:id="rId15" w:tgtFrame="_new" w:history="1">
        <w:r w:rsidRPr="00AE0274">
          <w:rPr>
            <w:rStyle w:val="Hyperlink"/>
            <w:rFonts w:ascii="Arial" w:hAnsi="Arial" w:cs="Arial"/>
            <w:sz w:val="24"/>
            <w:lang w:val="en-IN"/>
          </w:rPr>
          <w:t>https://doi.org/10.1007/s11409-025-09415-3</w:t>
        </w:r>
      </w:hyperlink>
    </w:p>
    <w:p w14:paraId="2C748E62"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Associated Press (2026) ‘Brazil’s beloved instant payment system faces scrutiny from the Trump administration’, </w:t>
      </w:r>
      <w:r w:rsidRPr="00AE0274">
        <w:rPr>
          <w:rFonts w:ascii="Arial" w:hAnsi="Arial" w:cs="Arial"/>
          <w:i/>
          <w:iCs/>
          <w:color w:val="000000" w:themeColor="text1"/>
          <w:sz w:val="24"/>
          <w:lang w:val="en-IN"/>
        </w:rPr>
        <w:t>AP News</w:t>
      </w:r>
      <w:r w:rsidRPr="00AE0274">
        <w:rPr>
          <w:rFonts w:ascii="Arial" w:hAnsi="Arial" w:cs="Arial"/>
          <w:color w:val="000000" w:themeColor="text1"/>
          <w:sz w:val="24"/>
          <w:lang w:val="en-IN"/>
        </w:rPr>
        <w:t>, 13 May. Available at: https://apnews.com/article/fd04428f309a2b329964a3050111e3ec (Accessed: 9 August 2026).</w:t>
      </w:r>
    </w:p>
    <w:p w14:paraId="0E86FD47"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Awidi, I.T. and Klutsey, J.Q. (2025) ‘Using online critical reflection to enhance students’ confidence, motivation, and engagement in higher education’, </w:t>
      </w:r>
      <w:r w:rsidRPr="00AE0274">
        <w:rPr>
          <w:rFonts w:ascii="Arial" w:hAnsi="Arial" w:cs="Arial"/>
          <w:i/>
          <w:iCs/>
          <w:color w:val="000000" w:themeColor="text1"/>
          <w:sz w:val="24"/>
          <w:lang w:val="en-IN"/>
        </w:rPr>
        <w:t>Technology, Knowledge and Learning</w:t>
      </w:r>
      <w:r w:rsidRPr="00AE0274">
        <w:rPr>
          <w:rFonts w:ascii="Arial" w:hAnsi="Arial" w:cs="Arial"/>
          <w:color w:val="000000" w:themeColor="text1"/>
          <w:sz w:val="24"/>
          <w:lang w:val="en-IN"/>
        </w:rPr>
        <w:t xml:space="preserve">, 30, pp. 1499–1534. Available at: </w:t>
      </w:r>
      <w:hyperlink r:id="rId16" w:tgtFrame="_new" w:history="1">
        <w:r w:rsidRPr="00AE0274">
          <w:rPr>
            <w:rStyle w:val="Hyperlink"/>
            <w:rFonts w:ascii="Arial" w:hAnsi="Arial" w:cs="Arial"/>
            <w:sz w:val="24"/>
            <w:lang w:val="en-IN"/>
          </w:rPr>
          <w:t>https://doi.org/10.1007/s10758-024-09751-4</w:t>
        </w:r>
      </w:hyperlink>
    </w:p>
    <w:p w14:paraId="6BAF3EB1"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Banco Central do Brasil (2025) </w:t>
      </w:r>
      <w:r w:rsidRPr="00AE0274">
        <w:rPr>
          <w:rFonts w:ascii="Arial" w:hAnsi="Arial" w:cs="Arial"/>
          <w:i/>
          <w:iCs/>
          <w:color w:val="000000" w:themeColor="text1"/>
          <w:sz w:val="24"/>
          <w:lang w:val="en-IN"/>
        </w:rPr>
        <w:t>Direct investment report 2025: base year 2024</w:t>
      </w:r>
      <w:r w:rsidRPr="00AE0274">
        <w:rPr>
          <w:rFonts w:ascii="Arial" w:hAnsi="Arial" w:cs="Arial"/>
          <w:color w:val="000000" w:themeColor="text1"/>
          <w:sz w:val="24"/>
          <w:lang w:val="en-IN"/>
        </w:rPr>
        <w:t xml:space="preserve">. Available at: </w:t>
      </w:r>
      <w:hyperlink r:id="rId17" w:tgtFrame="_new" w:history="1">
        <w:r w:rsidRPr="00AE0274">
          <w:rPr>
            <w:rStyle w:val="Hyperlink"/>
            <w:rFonts w:ascii="Arial" w:hAnsi="Arial" w:cs="Arial"/>
            <w:sz w:val="24"/>
            <w:lang w:val="en-IN"/>
          </w:rPr>
          <w:t>https://www.bcb.gov.br/content/publications/directinvestmentreport/2024/DIR_2025.pdf</w:t>
        </w:r>
      </w:hyperlink>
      <w:r w:rsidRPr="00AE0274">
        <w:rPr>
          <w:rFonts w:ascii="Arial" w:hAnsi="Arial" w:cs="Arial"/>
          <w:color w:val="000000" w:themeColor="text1"/>
          <w:sz w:val="24"/>
          <w:lang w:val="en-IN"/>
        </w:rPr>
        <w:t xml:space="preserve"> (Accessed: 9 August 2026).</w:t>
      </w:r>
    </w:p>
    <w:p w14:paraId="3D050B74"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Banco Central do Brasil (2026) </w:t>
      </w:r>
      <w:r w:rsidRPr="00AE0274">
        <w:rPr>
          <w:rFonts w:ascii="Arial" w:hAnsi="Arial" w:cs="Arial"/>
          <w:i/>
          <w:iCs/>
          <w:color w:val="000000" w:themeColor="text1"/>
          <w:sz w:val="24"/>
          <w:lang w:val="en-IN"/>
        </w:rPr>
        <w:t>Direct investment report – December 2025</w:t>
      </w:r>
      <w:r w:rsidRPr="00AE0274">
        <w:rPr>
          <w:rFonts w:ascii="Arial" w:hAnsi="Arial" w:cs="Arial"/>
          <w:color w:val="000000" w:themeColor="text1"/>
          <w:sz w:val="24"/>
          <w:lang w:val="en-IN"/>
        </w:rPr>
        <w:t xml:space="preserve">. Available at: </w:t>
      </w:r>
      <w:hyperlink r:id="rId18" w:tgtFrame="_new" w:history="1">
        <w:r w:rsidRPr="00AE0274">
          <w:rPr>
            <w:rStyle w:val="Hyperlink"/>
            <w:rFonts w:ascii="Arial" w:hAnsi="Arial" w:cs="Arial"/>
            <w:sz w:val="24"/>
            <w:lang w:val="en-IN"/>
          </w:rPr>
          <w:t>https://www.bcb.gov.br/en/publications/directinvestmentreport</w:t>
        </w:r>
      </w:hyperlink>
      <w:r w:rsidRPr="00AE0274">
        <w:rPr>
          <w:rFonts w:ascii="Arial" w:hAnsi="Arial" w:cs="Arial"/>
          <w:color w:val="000000" w:themeColor="text1"/>
          <w:sz w:val="24"/>
          <w:lang w:val="en-IN"/>
        </w:rPr>
        <w:t xml:space="preserve"> (Accessed: 9 August 2026).</w:t>
      </w:r>
    </w:p>
    <w:p w14:paraId="0595446D"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Brazilian Ministry of Finance (2025) </w:t>
      </w:r>
      <w:r w:rsidRPr="00AE0274">
        <w:rPr>
          <w:rFonts w:ascii="Arial" w:hAnsi="Arial" w:cs="Arial"/>
          <w:i/>
          <w:iCs/>
          <w:color w:val="000000" w:themeColor="text1"/>
          <w:sz w:val="24"/>
          <w:lang w:val="en-IN"/>
        </w:rPr>
        <w:t>Reforma Tributária do Consumo</w:t>
      </w:r>
      <w:r w:rsidRPr="00AE0274">
        <w:rPr>
          <w:rFonts w:ascii="Arial" w:hAnsi="Arial" w:cs="Arial"/>
          <w:color w:val="000000" w:themeColor="text1"/>
          <w:sz w:val="24"/>
          <w:lang w:val="en-IN"/>
        </w:rPr>
        <w:t xml:space="preserve">. Available at: </w:t>
      </w:r>
      <w:hyperlink r:id="rId19" w:tgtFrame="_new" w:history="1">
        <w:r w:rsidRPr="00AE0274">
          <w:rPr>
            <w:rStyle w:val="Hyperlink"/>
            <w:rFonts w:ascii="Arial" w:hAnsi="Arial" w:cs="Arial"/>
            <w:sz w:val="24"/>
            <w:lang w:val="en-IN"/>
          </w:rPr>
          <w:t>https://www.gov.br/fazenda/pt-br/acesso-a-informacao/acoes-e-programas/reforma-tributaria</w:t>
        </w:r>
      </w:hyperlink>
      <w:r w:rsidRPr="00AE0274">
        <w:rPr>
          <w:rFonts w:ascii="Arial" w:hAnsi="Arial" w:cs="Arial"/>
          <w:color w:val="000000" w:themeColor="text1"/>
          <w:sz w:val="24"/>
          <w:lang w:val="en-IN"/>
        </w:rPr>
        <w:t xml:space="preserve"> (Accessed: 9 August 2026).</w:t>
      </w:r>
    </w:p>
    <w:p w14:paraId="4A6EB08F"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Brazilian National Data Protection Authority (2024) </w:t>
      </w:r>
      <w:r w:rsidRPr="00AE0274">
        <w:rPr>
          <w:rFonts w:ascii="Arial" w:hAnsi="Arial" w:cs="Arial"/>
          <w:i/>
          <w:iCs/>
          <w:color w:val="000000" w:themeColor="text1"/>
          <w:sz w:val="24"/>
          <w:lang w:val="en-IN"/>
        </w:rPr>
        <w:t>Brazilian General Data Protection Law</w:t>
      </w:r>
      <w:r w:rsidRPr="00AE0274">
        <w:rPr>
          <w:rFonts w:ascii="Arial" w:hAnsi="Arial" w:cs="Arial"/>
          <w:color w:val="000000" w:themeColor="text1"/>
          <w:sz w:val="24"/>
          <w:lang w:val="en-IN"/>
        </w:rPr>
        <w:t xml:space="preserve">. Available at: </w:t>
      </w:r>
      <w:hyperlink r:id="rId20" w:tgtFrame="_new" w:history="1">
        <w:r w:rsidRPr="00AE0274">
          <w:rPr>
            <w:rStyle w:val="Hyperlink"/>
            <w:rFonts w:ascii="Arial" w:hAnsi="Arial" w:cs="Arial"/>
            <w:sz w:val="24"/>
            <w:lang w:val="en-IN"/>
          </w:rPr>
          <w:t>https://www.gov.br/anpd/pt-br/centrais-de-conteudo/outros-documentos-e-publicacoes-institucionais/lgpd-en-lei-no-13-709-capa.pdf</w:t>
        </w:r>
      </w:hyperlink>
      <w:r w:rsidRPr="00AE0274">
        <w:rPr>
          <w:rFonts w:ascii="Arial" w:hAnsi="Arial" w:cs="Arial"/>
          <w:color w:val="000000" w:themeColor="text1"/>
          <w:sz w:val="24"/>
          <w:lang w:val="en-IN"/>
        </w:rPr>
        <w:t xml:space="preserve"> (Accessed: 9 August 2026).</w:t>
      </w:r>
    </w:p>
    <w:p w14:paraId="1378492D"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lastRenderedPageBreak/>
        <w:t xml:space="preserve">Chan, C.M., Shi, L. and Yi, J. (2024) ‘Home country’s economic and political institutions: firms’ ownership decisions in cross-border acquisitions’, </w:t>
      </w:r>
      <w:r w:rsidRPr="00AE0274">
        <w:rPr>
          <w:rFonts w:ascii="Arial" w:hAnsi="Arial" w:cs="Arial"/>
          <w:i/>
          <w:iCs/>
          <w:color w:val="000000" w:themeColor="text1"/>
          <w:sz w:val="24"/>
          <w:lang w:val="en-IN"/>
        </w:rPr>
        <w:t>Journal of International Business Studies</w:t>
      </w:r>
      <w:r w:rsidRPr="00AE0274">
        <w:rPr>
          <w:rFonts w:ascii="Arial" w:hAnsi="Arial" w:cs="Arial"/>
          <w:color w:val="000000" w:themeColor="text1"/>
          <w:sz w:val="24"/>
          <w:lang w:val="en-IN"/>
        </w:rPr>
        <w:t xml:space="preserve">, 55, pp. 1020–1037. Available at: </w:t>
      </w:r>
      <w:hyperlink r:id="rId21" w:tgtFrame="_new" w:history="1">
        <w:r w:rsidRPr="00AE0274">
          <w:rPr>
            <w:rStyle w:val="Hyperlink"/>
            <w:rFonts w:ascii="Arial" w:hAnsi="Arial" w:cs="Arial"/>
            <w:sz w:val="24"/>
            <w:lang w:val="en-IN"/>
          </w:rPr>
          <w:t>https://doi.org/10.1057/s41267-024-00714-6</w:t>
        </w:r>
      </w:hyperlink>
    </w:p>
    <w:p w14:paraId="089BF40E"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Contractor, F.J. (2022) ‘The world economy will need even more globalization in the post-pandemic 2021 decade’, </w:t>
      </w:r>
      <w:r w:rsidRPr="00AE0274">
        <w:rPr>
          <w:rFonts w:ascii="Arial" w:hAnsi="Arial" w:cs="Arial"/>
          <w:i/>
          <w:iCs/>
          <w:color w:val="000000" w:themeColor="text1"/>
          <w:sz w:val="24"/>
          <w:lang w:val="en-IN"/>
        </w:rPr>
        <w:t>Journal of International Business Studies</w:t>
      </w:r>
      <w:r w:rsidRPr="00AE0274">
        <w:rPr>
          <w:rFonts w:ascii="Arial" w:hAnsi="Arial" w:cs="Arial"/>
          <w:color w:val="000000" w:themeColor="text1"/>
          <w:sz w:val="24"/>
          <w:lang w:val="en-IN"/>
        </w:rPr>
        <w:t xml:space="preserve">, 53, pp. 156–171. Available at: </w:t>
      </w:r>
      <w:hyperlink r:id="rId22" w:tgtFrame="_new" w:history="1">
        <w:r w:rsidRPr="00AE0274">
          <w:rPr>
            <w:rStyle w:val="Hyperlink"/>
            <w:rFonts w:ascii="Arial" w:hAnsi="Arial" w:cs="Arial"/>
            <w:sz w:val="24"/>
            <w:lang w:val="en-IN"/>
          </w:rPr>
          <w:t>https://link.springer.com/article/10.1057/s41267-020-00394-y</w:t>
        </w:r>
      </w:hyperlink>
      <w:r w:rsidRPr="00AE0274">
        <w:rPr>
          <w:rFonts w:ascii="Arial" w:hAnsi="Arial" w:cs="Arial"/>
          <w:color w:val="000000" w:themeColor="text1"/>
          <w:sz w:val="24"/>
          <w:lang w:val="en-IN"/>
        </w:rPr>
        <w:t xml:space="preserve"> (Accessed: 9 August 2026).</w:t>
      </w:r>
    </w:p>
    <w:p w14:paraId="61EE731C"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Costco Wholesale Corporation (2012) </w:t>
      </w:r>
      <w:r w:rsidRPr="00AE0274">
        <w:rPr>
          <w:rFonts w:ascii="Arial" w:hAnsi="Arial" w:cs="Arial"/>
          <w:i/>
          <w:iCs/>
          <w:color w:val="000000" w:themeColor="text1"/>
          <w:sz w:val="24"/>
          <w:lang w:val="en-IN"/>
        </w:rPr>
        <w:t>Costco Wholesale Corporation and Controladora Comercial Mexicana agree to transaction concerning Costco de Mexico</w:t>
      </w:r>
      <w:r w:rsidRPr="00AE0274">
        <w:rPr>
          <w:rFonts w:ascii="Arial" w:hAnsi="Arial" w:cs="Arial"/>
          <w:color w:val="000000" w:themeColor="text1"/>
          <w:sz w:val="24"/>
          <w:lang w:val="en-IN"/>
        </w:rPr>
        <w:t xml:space="preserve">, 14 June. Available at: </w:t>
      </w:r>
      <w:hyperlink r:id="rId23" w:tgtFrame="_new" w:history="1">
        <w:r w:rsidRPr="00AE0274">
          <w:rPr>
            <w:rStyle w:val="Hyperlink"/>
            <w:rFonts w:ascii="Arial" w:hAnsi="Arial" w:cs="Arial"/>
            <w:sz w:val="24"/>
            <w:lang w:val="en-IN"/>
          </w:rPr>
          <w:t>https://investor.costco.com/news/news-details/2012/Costco-Wholesale-Corporation-and-Controladora-Comercial-Mexicana-Agree-to-Transaction-Concerning-Costco-de-Mexico-06-14-2012/default.aspx</w:t>
        </w:r>
      </w:hyperlink>
      <w:r w:rsidRPr="00AE0274">
        <w:rPr>
          <w:rFonts w:ascii="Arial" w:hAnsi="Arial" w:cs="Arial"/>
          <w:color w:val="000000" w:themeColor="text1"/>
          <w:sz w:val="24"/>
          <w:lang w:val="en-IN"/>
        </w:rPr>
        <w:t xml:space="preserve"> (Accessed: 9 August 2026).</w:t>
      </w:r>
    </w:p>
    <w:p w14:paraId="13C2D197"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Costco Wholesale Corporation (2022) </w:t>
      </w:r>
      <w:r w:rsidRPr="00AE0274">
        <w:rPr>
          <w:rFonts w:ascii="Arial" w:hAnsi="Arial" w:cs="Arial"/>
          <w:i/>
          <w:iCs/>
          <w:color w:val="000000" w:themeColor="text1"/>
          <w:sz w:val="24"/>
          <w:lang w:val="en-IN"/>
        </w:rPr>
        <w:t>Costco Wholesale Corporation acquires minority interest in Costco-Taiwan</w:t>
      </w:r>
      <w:r w:rsidRPr="00AE0274">
        <w:rPr>
          <w:rFonts w:ascii="Arial" w:hAnsi="Arial" w:cs="Arial"/>
          <w:color w:val="000000" w:themeColor="text1"/>
          <w:sz w:val="24"/>
          <w:lang w:val="en-IN"/>
        </w:rPr>
        <w:t xml:space="preserve">, 30 June. Available at: </w:t>
      </w:r>
      <w:hyperlink r:id="rId24" w:tgtFrame="_new" w:history="1">
        <w:r w:rsidRPr="00AE0274">
          <w:rPr>
            <w:rStyle w:val="Hyperlink"/>
            <w:rFonts w:ascii="Arial" w:hAnsi="Arial" w:cs="Arial"/>
            <w:sz w:val="24"/>
            <w:lang w:val="en-IN"/>
          </w:rPr>
          <w:t>https://investor.costco.com/news/news-details/2022/Costco-Wholesale-Corporation-Acquires-Minority-Interest-in-Costco-Taiwan-06-30-2022/default.aspx</w:t>
        </w:r>
      </w:hyperlink>
      <w:r w:rsidRPr="00AE0274">
        <w:rPr>
          <w:rFonts w:ascii="Arial" w:hAnsi="Arial" w:cs="Arial"/>
          <w:color w:val="000000" w:themeColor="text1"/>
          <w:sz w:val="24"/>
          <w:lang w:val="en-IN"/>
        </w:rPr>
        <w:t xml:space="preserve"> (Accessed: 9 August 2026).</w:t>
      </w:r>
    </w:p>
    <w:p w14:paraId="33EF4E38"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Costco Wholesale Corporation (2024) </w:t>
      </w:r>
      <w:r w:rsidRPr="00AE0274">
        <w:rPr>
          <w:rFonts w:ascii="Arial" w:hAnsi="Arial" w:cs="Arial"/>
          <w:i/>
          <w:iCs/>
          <w:color w:val="000000" w:themeColor="text1"/>
          <w:sz w:val="24"/>
          <w:lang w:val="en-IN"/>
        </w:rPr>
        <w:t>Form 10-K for the fiscal year ended 1 September 2024</w:t>
      </w:r>
      <w:r w:rsidRPr="00AE0274">
        <w:rPr>
          <w:rFonts w:ascii="Arial" w:hAnsi="Arial" w:cs="Arial"/>
          <w:color w:val="000000" w:themeColor="text1"/>
          <w:sz w:val="24"/>
          <w:lang w:val="en-IN"/>
        </w:rPr>
        <w:t xml:space="preserve">. Available at: </w:t>
      </w:r>
      <w:hyperlink r:id="rId25" w:tgtFrame="_new" w:history="1">
        <w:r w:rsidRPr="00AE0274">
          <w:rPr>
            <w:rStyle w:val="Hyperlink"/>
            <w:rFonts w:ascii="Arial" w:hAnsi="Arial" w:cs="Arial"/>
            <w:sz w:val="24"/>
            <w:lang w:val="en-IN"/>
          </w:rPr>
          <w:t>https://www.sec.gov/Archives/edgar/data/909832/000090983224000049/cost-20240901.htm</w:t>
        </w:r>
      </w:hyperlink>
      <w:r w:rsidRPr="00AE0274">
        <w:rPr>
          <w:rFonts w:ascii="Arial" w:hAnsi="Arial" w:cs="Arial"/>
          <w:color w:val="000000" w:themeColor="text1"/>
          <w:sz w:val="24"/>
          <w:lang w:val="en-IN"/>
        </w:rPr>
        <w:t xml:space="preserve"> (Accessed: 9 August 2026).</w:t>
      </w:r>
    </w:p>
    <w:p w14:paraId="7E98954E"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Costco Wholesale Corporation (2025) </w:t>
      </w:r>
      <w:r w:rsidRPr="00AE0274">
        <w:rPr>
          <w:rFonts w:ascii="Arial" w:hAnsi="Arial" w:cs="Arial"/>
          <w:i/>
          <w:iCs/>
          <w:color w:val="000000" w:themeColor="text1"/>
          <w:sz w:val="24"/>
          <w:lang w:val="en-IN"/>
        </w:rPr>
        <w:t>Annual report 2025, Form 10-K</w:t>
      </w:r>
      <w:r w:rsidRPr="00AE0274">
        <w:rPr>
          <w:rFonts w:ascii="Arial" w:hAnsi="Arial" w:cs="Arial"/>
          <w:color w:val="000000" w:themeColor="text1"/>
          <w:sz w:val="24"/>
          <w:lang w:val="en-IN"/>
        </w:rPr>
        <w:t>. Available at: https://www.sec.gov/ix?doc=/Archives/edgar/data/909832/000090983225000101/cost-20250831.htm (Accessed: 9 August 2026).</w:t>
      </w:r>
    </w:p>
    <w:p w14:paraId="3EA4BECE"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Dezem, V., Sachan, S., Macedo, M. and Longaray, A.A. (2024) ‘Optimal data-driven strategy for in-house and outsourced technological innovations by open banking APIs’, </w:t>
      </w:r>
      <w:r w:rsidRPr="00AE0274">
        <w:rPr>
          <w:rFonts w:ascii="Arial" w:hAnsi="Arial" w:cs="Arial"/>
          <w:i/>
          <w:iCs/>
          <w:color w:val="000000" w:themeColor="text1"/>
          <w:sz w:val="24"/>
          <w:lang w:val="en-IN"/>
        </w:rPr>
        <w:t>Future Business Journal</w:t>
      </w:r>
      <w:r w:rsidRPr="00AE0274">
        <w:rPr>
          <w:rFonts w:ascii="Arial" w:hAnsi="Arial" w:cs="Arial"/>
          <w:color w:val="000000" w:themeColor="text1"/>
          <w:sz w:val="24"/>
          <w:lang w:val="en-IN"/>
        </w:rPr>
        <w:t>. Available at: https://link.springer.com/search?query=Optimal+data-driven+strategy+for+in-</w:t>
      </w:r>
      <w:r w:rsidRPr="00AE0274">
        <w:rPr>
          <w:rFonts w:ascii="Arial" w:hAnsi="Arial" w:cs="Arial"/>
          <w:color w:val="000000" w:themeColor="text1"/>
          <w:sz w:val="24"/>
          <w:lang w:val="en-IN"/>
        </w:rPr>
        <w:lastRenderedPageBreak/>
        <w:t>house+and+outsourced+technological+innovations+by+open+banking+APIs (Accessed: 9 August 2026).</w:t>
      </w:r>
    </w:p>
    <w:p w14:paraId="5138CD36"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Domínguez Romero, E., Durst, S. and Navarro Garcia, A. (2024) ‘Rethinking internationalization processes: toward a circular framework’, </w:t>
      </w:r>
      <w:r w:rsidRPr="00AE0274">
        <w:rPr>
          <w:rFonts w:ascii="Arial" w:hAnsi="Arial" w:cs="Arial"/>
          <w:i/>
          <w:iCs/>
          <w:color w:val="000000" w:themeColor="text1"/>
          <w:sz w:val="24"/>
          <w:lang w:val="en-IN"/>
        </w:rPr>
        <w:t>Review of Managerial Science</w:t>
      </w:r>
      <w:r w:rsidRPr="00AE0274">
        <w:rPr>
          <w:rFonts w:ascii="Arial" w:hAnsi="Arial" w:cs="Arial"/>
          <w:color w:val="000000" w:themeColor="text1"/>
          <w:sz w:val="24"/>
          <w:lang w:val="en-IN"/>
        </w:rPr>
        <w:t xml:space="preserve">, 18, pp. 3363–3394. Available at: </w:t>
      </w:r>
      <w:hyperlink r:id="rId26" w:tgtFrame="_new" w:history="1">
        <w:r w:rsidRPr="00AE0274">
          <w:rPr>
            <w:rStyle w:val="Hyperlink"/>
            <w:rFonts w:ascii="Arial" w:hAnsi="Arial" w:cs="Arial"/>
            <w:sz w:val="24"/>
            <w:lang w:val="en-IN"/>
          </w:rPr>
          <w:t>https://doi.org/10.1007/s11846-023-00719-9</w:t>
        </w:r>
      </w:hyperlink>
    </w:p>
    <w:p w14:paraId="0B256B6F"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Donnelly, R., Purkayastha, S., Manolova, T.S. and Edelman, L.F. (2024) ‘Institutional distance, slack resources, and foreign market entry’, </w:t>
      </w:r>
      <w:r w:rsidRPr="00AE0274">
        <w:rPr>
          <w:rFonts w:ascii="Arial" w:hAnsi="Arial" w:cs="Arial"/>
          <w:i/>
          <w:iCs/>
          <w:color w:val="000000" w:themeColor="text1"/>
          <w:sz w:val="24"/>
          <w:lang w:val="en-IN"/>
        </w:rPr>
        <w:t>Journal of International Business Studies</w:t>
      </w:r>
      <w:r w:rsidRPr="00AE0274">
        <w:rPr>
          <w:rFonts w:ascii="Arial" w:hAnsi="Arial" w:cs="Arial"/>
          <w:color w:val="000000" w:themeColor="text1"/>
          <w:sz w:val="24"/>
          <w:lang w:val="en-IN"/>
        </w:rPr>
        <w:t xml:space="preserve">, 55, pp. 194–211. Available at: </w:t>
      </w:r>
      <w:hyperlink r:id="rId27" w:tgtFrame="_new" w:history="1">
        <w:r w:rsidRPr="00AE0274">
          <w:rPr>
            <w:rStyle w:val="Hyperlink"/>
            <w:rFonts w:ascii="Arial" w:hAnsi="Arial" w:cs="Arial"/>
            <w:sz w:val="24"/>
            <w:lang w:val="en-IN"/>
          </w:rPr>
          <w:t>https://doi.org/10.1057/s41267-023-00647-6</w:t>
        </w:r>
      </w:hyperlink>
    </w:p>
    <w:p w14:paraId="35973A7F"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Ego, P. and Pidun, U. (2025) ‘Roles of market characteristics and experience in ventures’ international growth mode choice: a conjoint experiment’, </w:t>
      </w:r>
      <w:r w:rsidRPr="00AE0274">
        <w:rPr>
          <w:rFonts w:ascii="Arial" w:hAnsi="Arial" w:cs="Arial"/>
          <w:i/>
          <w:iCs/>
          <w:color w:val="000000" w:themeColor="text1"/>
          <w:sz w:val="24"/>
          <w:lang w:val="en-IN"/>
        </w:rPr>
        <w:t>Management International Review</w:t>
      </w:r>
      <w:r w:rsidRPr="00AE0274">
        <w:rPr>
          <w:rFonts w:ascii="Arial" w:hAnsi="Arial" w:cs="Arial"/>
          <w:color w:val="000000" w:themeColor="text1"/>
          <w:sz w:val="24"/>
          <w:lang w:val="en-IN"/>
        </w:rPr>
        <w:t xml:space="preserve">, 65, pp. 329–357. Available at: </w:t>
      </w:r>
      <w:hyperlink r:id="rId28" w:tgtFrame="_new" w:history="1">
        <w:r w:rsidRPr="00AE0274">
          <w:rPr>
            <w:rStyle w:val="Hyperlink"/>
            <w:rFonts w:ascii="Arial" w:hAnsi="Arial" w:cs="Arial"/>
            <w:sz w:val="24"/>
            <w:lang w:val="en-IN"/>
          </w:rPr>
          <w:t>https://doi.org/10.1007/s11575-024-00566-0</w:t>
        </w:r>
      </w:hyperlink>
    </w:p>
    <w:p w14:paraId="05ABE452"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Ferrari, A., Laffitte, S., Parenti, M. and Toubal, F. (2022) ‘Profit shifting and international tax reforms’. Open-access academic manuscript. Available at: </w:t>
      </w:r>
      <w:hyperlink r:id="rId29" w:tgtFrame="_new" w:history="1">
        <w:r w:rsidRPr="00AE0274">
          <w:rPr>
            <w:rStyle w:val="Hyperlink"/>
            <w:rFonts w:ascii="Arial" w:hAnsi="Arial" w:cs="Arial"/>
            <w:sz w:val="24"/>
            <w:lang w:val="en-IN"/>
          </w:rPr>
          <w:t>https://arxiv.org/abs/2211.04388</w:t>
        </w:r>
      </w:hyperlink>
      <w:r w:rsidRPr="00AE0274">
        <w:rPr>
          <w:rFonts w:ascii="Arial" w:hAnsi="Arial" w:cs="Arial"/>
          <w:color w:val="000000" w:themeColor="text1"/>
          <w:sz w:val="24"/>
          <w:lang w:val="en-IN"/>
        </w:rPr>
        <w:t xml:space="preserve"> (Accessed: 9 August 2026).</w:t>
      </w:r>
    </w:p>
    <w:p w14:paraId="2E62CA86"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Foss, N.J., Schmidt, J. and Teece, D.J. (2023) ‘Ecosystem leadership as a dynamic capability’, </w:t>
      </w:r>
      <w:r w:rsidRPr="00AE0274">
        <w:rPr>
          <w:rFonts w:ascii="Arial" w:hAnsi="Arial" w:cs="Arial"/>
          <w:i/>
          <w:iCs/>
          <w:color w:val="000000" w:themeColor="text1"/>
          <w:sz w:val="24"/>
          <w:lang w:val="en-IN"/>
        </w:rPr>
        <w:t>Long Range Planning</w:t>
      </w:r>
      <w:r w:rsidRPr="00AE0274">
        <w:rPr>
          <w:rFonts w:ascii="Arial" w:hAnsi="Arial" w:cs="Arial"/>
          <w:color w:val="000000" w:themeColor="text1"/>
          <w:sz w:val="24"/>
          <w:lang w:val="en-IN"/>
        </w:rPr>
        <w:t xml:space="preserve">, 56(1), article 102270. Available at: </w:t>
      </w:r>
      <w:hyperlink r:id="rId30" w:tgtFrame="_new" w:history="1">
        <w:r w:rsidRPr="00AE0274">
          <w:rPr>
            <w:rStyle w:val="Hyperlink"/>
            <w:rFonts w:ascii="Arial" w:hAnsi="Arial" w:cs="Arial"/>
            <w:sz w:val="24"/>
            <w:lang w:val="en-IN"/>
          </w:rPr>
          <w:t>https://doi.org/10.1016/j.lrp.2022.102270</w:t>
        </w:r>
      </w:hyperlink>
    </w:p>
    <w:p w14:paraId="1F003B04"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Garcia-Bernardo, J. and Janský, P. (2022) ‘Profit shifting of multinational corporations worldwide’. Open-access academic manuscript. Available at: </w:t>
      </w:r>
      <w:hyperlink r:id="rId31" w:tgtFrame="_new" w:history="1">
        <w:r w:rsidRPr="00AE0274">
          <w:rPr>
            <w:rStyle w:val="Hyperlink"/>
            <w:rFonts w:ascii="Arial" w:hAnsi="Arial" w:cs="Arial"/>
            <w:sz w:val="24"/>
            <w:lang w:val="en-IN"/>
          </w:rPr>
          <w:t>https://arxiv.org/abs/2201.08444</w:t>
        </w:r>
      </w:hyperlink>
      <w:r w:rsidRPr="00AE0274">
        <w:rPr>
          <w:rFonts w:ascii="Arial" w:hAnsi="Arial" w:cs="Arial"/>
          <w:color w:val="000000" w:themeColor="text1"/>
          <w:sz w:val="24"/>
          <w:lang w:val="en-IN"/>
        </w:rPr>
        <w:t xml:space="preserve"> (Accessed: 9 August 2026).</w:t>
      </w:r>
    </w:p>
    <w:p w14:paraId="66E4D51A"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Ghorbani, M., Karampela, M. and Tonner, A. (2022) ‘Consumers’ brand personality perceptions in a digital world: a systematic literature review and research agenda’, </w:t>
      </w:r>
      <w:r w:rsidRPr="00AE0274">
        <w:rPr>
          <w:rFonts w:ascii="Arial" w:hAnsi="Arial" w:cs="Arial"/>
          <w:i/>
          <w:iCs/>
          <w:color w:val="000000" w:themeColor="text1"/>
          <w:sz w:val="24"/>
          <w:lang w:val="en-IN"/>
        </w:rPr>
        <w:t>International Journal of Consumer Studies</w:t>
      </w:r>
      <w:r w:rsidRPr="00AE0274">
        <w:rPr>
          <w:rFonts w:ascii="Arial" w:hAnsi="Arial" w:cs="Arial"/>
          <w:color w:val="000000" w:themeColor="text1"/>
          <w:sz w:val="24"/>
          <w:lang w:val="en-IN"/>
        </w:rPr>
        <w:t>. Available at: https://onlinelibrary.wiley.com/action/doSearch?AllField=Consumers%27+brand+personality+perceptions+in+a+digital+world (Accessed: 9 August 2026).</w:t>
      </w:r>
    </w:p>
    <w:p w14:paraId="73D03FAD"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lastRenderedPageBreak/>
        <w:t xml:space="preserve">Goodsett, M. and Gagich, M. (2025) ‘From cynicism to trust: strategies for teaching students source evaluation skills’, </w:t>
      </w:r>
      <w:r w:rsidRPr="00AE0274">
        <w:rPr>
          <w:rFonts w:ascii="Arial" w:hAnsi="Arial" w:cs="Arial"/>
          <w:i/>
          <w:iCs/>
          <w:color w:val="000000" w:themeColor="text1"/>
          <w:sz w:val="24"/>
          <w:lang w:val="en-IN"/>
        </w:rPr>
        <w:t>Communications in Information Literacy</w:t>
      </w:r>
      <w:r w:rsidRPr="00AE0274">
        <w:rPr>
          <w:rFonts w:ascii="Arial" w:hAnsi="Arial" w:cs="Arial"/>
          <w:color w:val="000000" w:themeColor="text1"/>
          <w:sz w:val="24"/>
          <w:lang w:val="en-IN"/>
        </w:rPr>
        <w:t xml:space="preserve">, 19(1), pp. 69–92. Available at: </w:t>
      </w:r>
      <w:hyperlink r:id="rId32" w:tgtFrame="_new" w:history="1">
        <w:r w:rsidRPr="00AE0274">
          <w:rPr>
            <w:rStyle w:val="Hyperlink"/>
            <w:rFonts w:ascii="Arial" w:hAnsi="Arial" w:cs="Arial"/>
            <w:sz w:val="24"/>
            <w:lang w:val="en-IN"/>
          </w:rPr>
          <w:t>https://doi.org/10.15760/comminfolit.2025.19.1.5</w:t>
        </w:r>
      </w:hyperlink>
    </w:p>
    <w:p w14:paraId="1727CC02"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Grassi, L. (2024) ‘In a world of open finance, are customers willing to share data? An analysis of the data-driven insurance business’, </w:t>
      </w:r>
      <w:r w:rsidRPr="00AE0274">
        <w:rPr>
          <w:rFonts w:ascii="Arial" w:hAnsi="Arial" w:cs="Arial"/>
          <w:i/>
          <w:iCs/>
          <w:color w:val="000000" w:themeColor="text1"/>
          <w:sz w:val="24"/>
          <w:lang w:val="en-IN"/>
        </w:rPr>
        <w:t>Eurasian Business Review</w:t>
      </w:r>
      <w:r w:rsidRPr="00AE0274">
        <w:rPr>
          <w:rFonts w:ascii="Arial" w:hAnsi="Arial" w:cs="Arial"/>
          <w:color w:val="000000" w:themeColor="text1"/>
          <w:sz w:val="24"/>
          <w:lang w:val="en-IN"/>
        </w:rPr>
        <w:t>. Available at: https://link.springer.com/search?query=In+a+world+of+Open+Finance+are+customers+willing+to+share+data (Accessed: 9 August 2026).</w:t>
      </w:r>
    </w:p>
    <w:p w14:paraId="6CCA1B73"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Halibas, A.S. (2023) ‘Developing trends in showrooming, webrooming, and omnichannel shopping behaviors: performance analysis, conceptual mapping, and future directions’, </w:t>
      </w:r>
      <w:r w:rsidRPr="00AE0274">
        <w:rPr>
          <w:rFonts w:ascii="Arial" w:hAnsi="Arial" w:cs="Arial"/>
          <w:i/>
          <w:iCs/>
          <w:color w:val="000000" w:themeColor="text1"/>
          <w:sz w:val="24"/>
          <w:lang w:val="en-IN"/>
        </w:rPr>
        <w:t>Journal of Consumer Behaviour</w:t>
      </w:r>
      <w:r w:rsidRPr="00AE0274">
        <w:rPr>
          <w:rFonts w:ascii="Arial" w:hAnsi="Arial" w:cs="Arial"/>
          <w:color w:val="000000" w:themeColor="text1"/>
          <w:sz w:val="24"/>
          <w:lang w:val="en-IN"/>
        </w:rPr>
        <w:t>. Available at: https://onlinelibrary.wiley.com/action/doSearch?AllField=Developing+trends+in+showrooming+webrooming+and+omnichannel+shopping+behaviors (Accessed: 9 August 2026).</w:t>
      </w:r>
    </w:p>
    <w:p w14:paraId="208C09DC"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IBGE (2025) </w:t>
      </w:r>
      <w:r w:rsidRPr="00AE0274">
        <w:rPr>
          <w:rFonts w:ascii="Arial" w:hAnsi="Arial" w:cs="Arial"/>
          <w:i/>
          <w:iCs/>
          <w:color w:val="000000" w:themeColor="text1"/>
          <w:sz w:val="24"/>
          <w:lang w:val="en-IN"/>
        </w:rPr>
        <w:t>Brazil has an estimated population of 213.4 million inhabitants in 2025</w:t>
      </w:r>
      <w:r w:rsidRPr="00AE0274">
        <w:rPr>
          <w:rFonts w:ascii="Arial" w:hAnsi="Arial" w:cs="Arial"/>
          <w:color w:val="000000" w:themeColor="text1"/>
          <w:sz w:val="24"/>
          <w:lang w:val="en-IN"/>
        </w:rPr>
        <w:t>. Available at: https://agenciadenoticias.ibge.gov.br/en/agencia-news/2184-news-agency/news/44676-brazil-has-an-estimated-population-of-213-4-million-inhabitants-in-2025 (Accessed: 9 August 2026).</w:t>
      </w:r>
    </w:p>
    <w:p w14:paraId="3762F2CC"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International Monetary Fund (2025) </w:t>
      </w:r>
      <w:r w:rsidRPr="00AE0274">
        <w:rPr>
          <w:rFonts w:ascii="Arial" w:hAnsi="Arial" w:cs="Arial"/>
          <w:i/>
          <w:iCs/>
          <w:color w:val="000000" w:themeColor="text1"/>
          <w:sz w:val="24"/>
          <w:lang w:val="en-IN"/>
        </w:rPr>
        <w:t>Brazil: 2025 Article IV consultation—press release; staff report; and statement by the Executive Director for Brazil</w:t>
      </w:r>
      <w:r w:rsidRPr="00AE0274">
        <w:rPr>
          <w:rFonts w:ascii="Arial" w:hAnsi="Arial" w:cs="Arial"/>
          <w:color w:val="000000" w:themeColor="text1"/>
          <w:sz w:val="24"/>
          <w:lang w:val="en-IN"/>
        </w:rPr>
        <w:t>. IMF Country Report No. 25/194. Available at: https://doi.org/10.5089/9798229017602.002</w:t>
      </w:r>
    </w:p>
    <w:p w14:paraId="6A094696"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Ivanov, D. (2023) ‘Two views of supply chain resilience’, </w:t>
      </w:r>
      <w:r w:rsidRPr="00AE0274">
        <w:rPr>
          <w:rFonts w:ascii="Arial" w:hAnsi="Arial" w:cs="Arial"/>
          <w:i/>
          <w:iCs/>
          <w:color w:val="000000" w:themeColor="text1"/>
          <w:sz w:val="24"/>
          <w:lang w:val="en-IN"/>
        </w:rPr>
        <w:t>International Journal of Production Research</w:t>
      </w:r>
      <w:r w:rsidRPr="00AE0274">
        <w:rPr>
          <w:rFonts w:ascii="Arial" w:hAnsi="Arial" w:cs="Arial"/>
          <w:color w:val="000000" w:themeColor="text1"/>
          <w:sz w:val="24"/>
          <w:lang w:val="en-IN"/>
        </w:rPr>
        <w:t>. Available at: https://www.tandfonline.com/action/doSearch?AllField=Two+views+of+supply+chain+resilience (Accessed: 9 August 2026).</w:t>
      </w:r>
    </w:p>
    <w:p w14:paraId="00E5D777"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Jiang, Y. (2022) ‘The influence of payment method: do consumers pay more with mobile payment?’. Open-access academic manuscript. Available at: </w:t>
      </w:r>
      <w:hyperlink r:id="rId33" w:tgtFrame="_new" w:history="1">
        <w:r w:rsidRPr="00AE0274">
          <w:rPr>
            <w:rStyle w:val="Hyperlink"/>
            <w:rFonts w:ascii="Arial" w:hAnsi="Arial" w:cs="Arial"/>
            <w:sz w:val="24"/>
            <w:lang w:val="en-IN"/>
          </w:rPr>
          <w:t>https://arxiv.org/abs/2210.14631</w:t>
        </w:r>
      </w:hyperlink>
      <w:r w:rsidRPr="00AE0274">
        <w:rPr>
          <w:rFonts w:ascii="Arial" w:hAnsi="Arial" w:cs="Arial"/>
          <w:color w:val="000000" w:themeColor="text1"/>
          <w:sz w:val="24"/>
          <w:lang w:val="en-IN"/>
        </w:rPr>
        <w:t xml:space="preserve"> (Accessed: 9 August 2026).</w:t>
      </w:r>
    </w:p>
    <w:p w14:paraId="0C87A416"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Joshi, Y., Lim, W.M., Jagani, K. and Kumar, S. (2023) ‘Social media influencer marketing: foundations, trends, and ways forward’, </w:t>
      </w:r>
      <w:r w:rsidRPr="00AE0274">
        <w:rPr>
          <w:rFonts w:ascii="Arial" w:hAnsi="Arial" w:cs="Arial"/>
          <w:i/>
          <w:iCs/>
          <w:color w:val="000000" w:themeColor="text1"/>
          <w:sz w:val="24"/>
          <w:lang w:val="en-IN"/>
        </w:rPr>
        <w:t>Electronic Commerce Research</w:t>
      </w:r>
      <w:r w:rsidRPr="00AE0274">
        <w:rPr>
          <w:rFonts w:ascii="Arial" w:hAnsi="Arial" w:cs="Arial"/>
          <w:color w:val="000000" w:themeColor="text1"/>
          <w:sz w:val="24"/>
          <w:lang w:val="en-IN"/>
        </w:rPr>
        <w:t xml:space="preserve">. Available at: </w:t>
      </w:r>
      <w:r w:rsidRPr="00AE0274">
        <w:rPr>
          <w:rFonts w:ascii="Arial" w:hAnsi="Arial" w:cs="Arial"/>
          <w:color w:val="000000" w:themeColor="text1"/>
          <w:sz w:val="24"/>
          <w:lang w:val="en-IN"/>
        </w:rPr>
        <w:lastRenderedPageBreak/>
        <w:t>https://link.springer.com/search?query=Social+media+influencer+marketing+foundations+trends+and+ways+forward (Accessed: 9 August 2026).</w:t>
      </w:r>
    </w:p>
    <w:p w14:paraId="4AAE87C8"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LaBelle, J. and Santacreu, A.M. (2022) ‘Global supply chain pressures and U.S. inflation’, </w:t>
      </w:r>
      <w:r w:rsidRPr="00AE0274">
        <w:rPr>
          <w:rFonts w:ascii="Arial" w:hAnsi="Arial" w:cs="Arial"/>
          <w:i/>
          <w:iCs/>
          <w:color w:val="000000" w:themeColor="text1"/>
          <w:sz w:val="24"/>
          <w:lang w:val="en-IN"/>
        </w:rPr>
        <w:t>Federal Reserve Bank of St. Louis Review</w:t>
      </w:r>
      <w:r w:rsidRPr="00AE0274">
        <w:rPr>
          <w:rFonts w:ascii="Arial" w:hAnsi="Arial" w:cs="Arial"/>
          <w:color w:val="000000" w:themeColor="text1"/>
          <w:sz w:val="24"/>
          <w:lang w:val="en-IN"/>
        </w:rPr>
        <w:t>, 104(2), pp. 108–127. Available at: https://doi.org/10.20955/r.104.108-127</w:t>
      </w:r>
    </w:p>
    <w:p w14:paraId="249BD3F2"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Martinez, E.M., Blackstone, N.T., Wilde, P.E., Herforth, A.W. and Masters, W.A. (2024) ‘Environmental impacts, nutritional profiles, and retail prices of commonly sold retail food items in 181 countries: an observational study’. Open-access academic manuscript. Available at: </w:t>
      </w:r>
      <w:hyperlink r:id="rId34" w:tgtFrame="_new" w:history="1">
        <w:r w:rsidRPr="00AE0274">
          <w:rPr>
            <w:rStyle w:val="Hyperlink"/>
            <w:rFonts w:ascii="Arial" w:hAnsi="Arial" w:cs="Arial"/>
            <w:sz w:val="24"/>
            <w:lang w:val="en-IN"/>
          </w:rPr>
          <w:t>https://arxiv.org/abs/2401.13159</w:t>
        </w:r>
      </w:hyperlink>
      <w:r w:rsidRPr="00AE0274">
        <w:rPr>
          <w:rFonts w:ascii="Arial" w:hAnsi="Arial" w:cs="Arial"/>
          <w:color w:val="000000" w:themeColor="text1"/>
          <w:sz w:val="24"/>
          <w:lang w:val="en-IN"/>
        </w:rPr>
        <w:t xml:space="preserve"> (Accessed: 9 August 2026).</w:t>
      </w:r>
    </w:p>
    <w:p w14:paraId="091EA344"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Miricola, S., Rungi, A. and Santoni, G. (2023) ‘Ownership chains in multinational enterprises’. Open-access academic manuscript. Available at: </w:t>
      </w:r>
      <w:hyperlink r:id="rId35" w:tgtFrame="_new" w:history="1">
        <w:r w:rsidRPr="00AE0274">
          <w:rPr>
            <w:rStyle w:val="Hyperlink"/>
            <w:rFonts w:ascii="Arial" w:hAnsi="Arial" w:cs="Arial"/>
            <w:sz w:val="24"/>
            <w:lang w:val="en-IN"/>
          </w:rPr>
          <w:t>https://arxiv.org/abs/2305.12857</w:t>
        </w:r>
      </w:hyperlink>
      <w:r w:rsidRPr="00AE0274">
        <w:rPr>
          <w:rFonts w:ascii="Arial" w:hAnsi="Arial" w:cs="Arial"/>
          <w:color w:val="000000" w:themeColor="text1"/>
          <w:sz w:val="24"/>
          <w:lang w:val="en-IN"/>
        </w:rPr>
        <w:t xml:space="preserve"> (Accessed: 9 August 2026).</w:t>
      </w:r>
    </w:p>
    <w:p w14:paraId="776A0B97"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Moreira da Silva, F., Ogasavara, M.H. and Pereira, R. (2024) ‘Institutional distances and equity-based entry modes: a systematic literature review’, </w:t>
      </w:r>
      <w:r w:rsidRPr="00AE0274">
        <w:rPr>
          <w:rFonts w:ascii="Arial" w:hAnsi="Arial" w:cs="Arial"/>
          <w:i/>
          <w:iCs/>
          <w:color w:val="000000" w:themeColor="text1"/>
          <w:sz w:val="24"/>
          <w:lang w:val="en-IN"/>
        </w:rPr>
        <w:t>Management Review Quarterly</w:t>
      </w:r>
      <w:r w:rsidRPr="00AE0274">
        <w:rPr>
          <w:rFonts w:ascii="Arial" w:hAnsi="Arial" w:cs="Arial"/>
          <w:color w:val="000000" w:themeColor="text1"/>
          <w:sz w:val="24"/>
          <w:lang w:val="en-IN"/>
        </w:rPr>
        <w:t xml:space="preserve">, 74, pp. 1723–1790. Available at: </w:t>
      </w:r>
      <w:hyperlink r:id="rId36" w:tgtFrame="_new" w:history="1">
        <w:r w:rsidRPr="00AE0274">
          <w:rPr>
            <w:rStyle w:val="Hyperlink"/>
            <w:rFonts w:ascii="Arial" w:hAnsi="Arial" w:cs="Arial"/>
            <w:sz w:val="24"/>
            <w:lang w:val="en-IN"/>
          </w:rPr>
          <w:t>https://doi.org/10.1007/s11301-023-00346-4</w:t>
        </w:r>
      </w:hyperlink>
    </w:p>
    <w:p w14:paraId="3A4BA049"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Nagy, S. and Hajdu, N. (2022) ‘Consumer acceptance of the use of artificial intelligence in online shopping: evidence from Hungary’. Open-access academic article. Available at: </w:t>
      </w:r>
      <w:hyperlink r:id="rId37" w:tgtFrame="_new" w:history="1">
        <w:r w:rsidRPr="00AE0274">
          <w:rPr>
            <w:rStyle w:val="Hyperlink"/>
            <w:rFonts w:ascii="Arial" w:hAnsi="Arial" w:cs="Arial"/>
            <w:sz w:val="24"/>
            <w:lang w:val="en-IN"/>
          </w:rPr>
          <w:t>https://arxiv.org/abs/2301.01277</w:t>
        </w:r>
      </w:hyperlink>
      <w:r w:rsidRPr="00AE0274">
        <w:rPr>
          <w:rFonts w:ascii="Arial" w:hAnsi="Arial" w:cs="Arial"/>
          <w:color w:val="000000" w:themeColor="text1"/>
          <w:sz w:val="24"/>
          <w:lang w:val="en-IN"/>
        </w:rPr>
        <w:t xml:space="preserve"> (Accessed: 9 August 2026).</w:t>
      </w:r>
    </w:p>
    <w:p w14:paraId="0250D0E3"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Ocampo, F.A., McIntyre, B.G., Massey, D. and Saunders, R. (2025) ‘Nursing student reflections on a research internship: a reflective discussion following the Gibbs’ reflective cycle’, </w:t>
      </w:r>
      <w:r w:rsidRPr="00AE0274">
        <w:rPr>
          <w:rFonts w:ascii="Arial" w:hAnsi="Arial" w:cs="Arial"/>
          <w:i/>
          <w:iCs/>
          <w:color w:val="000000" w:themeColor="text1"/>
          <w:sz w:val="24"/>
          <w:lang w:val="en-IN"/>
        </w:rPr>
        <w:t>Nurse Education Today</w:t>
      </w:r>
      <w:r w:rsidRPr="00AE0274">
        <w:rPr>
          <w:rFonts w:ascii="Arial" w:hAnsi="Arial" w:cs="Arial"/>
          <w:color w:val="000000" w:themeColor="text1"/>
          <w:sz w:val="24"/>
          <w:lang w:val="en-IN"/>
        </w:rPr>
        <w:t xml:space="preserve">, 145, article 106481. Available at: </w:t>
      </w:r>
      <w:hyperlink r:id="rId38" w:tgtFrame="_new" w:history="1">
        <w:r w:rsidRPr="00AE0274">
          <w:rPr>
            <w:rStyle w:val="Hyperlink"/>
            <w:rFonts w:ascii="Arial" w:hAnsi="Arial" w:cs="Arial"/>
            <w:sz w:val="24"/>
            <w:lang w:val="en-IN"/>
          </w:rPr>
          <w:t>https://doi.org/10.1016/j.nedt.2024.106481</w:t>
        </w:r>
      </w:hyperlink>
    </w:p>
    <w:p w14:paraId="716A4910"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Organisation for Economic Co-operation and Development [OECD] (2023) </w:t>
      </w:r>
      <w:r w:rsidRPr="00AE0274">
        <w:rPr>
          <w:rFonts w:ascii="Arial" w:hAnsi="Arial" w:cs="Arial"/>
          <w:i/>
          <w:iCs/>
          <w:color w:val="000000" w:themeColor="text1"/>
          <w:sz w:val="24"/>
          <w:lang w:val="en-IN"/>
        </w:rPr>
        <w:t>OECD economic surveys: Brazil 2023</w:t>
      </w:r>
      <w:r w:rsidRPr="00AE0274">
        <w:rPr>
          <w:rFonts w:ascii="Arial" w:hAnsi="Arial" w:cs="Arial"/>
          <w:color w:val="000000" w:themeColor="text1"/>
          <w:sz w:val="24"/>
          <w:lang w:val="en-IN"/>
        </w:rPr>
        <w:t xml:space="preserve">. Available at: </w:t>
      </w:r>
      <w:hyperlink r:id="rId39" w:tgtFrame="_new" w:history="1">
        <w:r w:rsidRPr="00AE0274">
          <w:rPr>
            <w:rStyle w:val="Hyperlink"/>
            <w:rFonts w:ascii="Arial" w:hAnsi="Arial" w:cs="Arial"/>
            <w:sz w:val="24"/>
            <w:lang w:val="en-IN"/>
          </w:rPr>
          <w:t>https://www.oecd.org/content/dam/oecd/en/publications/reports/2023/12/oecd-economic-surveys-brazil-2023_7de8b505/a2d6acac-en.pdf</w:t>
        </w:r>
      </w:hyperlink>
      <w:r w:rsidRPr="00AE0274">
        <w:rPr>
          <w:rFonts w:ascii="Arial" w:hAnsi="Arial" w:cs="Arial"/>
          <w:color w:val="000000" w:themeColor="text1"/>
          <w:sz w:val="24"/>
          <w:lang w:val="en-IN"/>
        </w:rPr>
        <w:t xml:space="preserve"> (Accessed: 9 August 2026).</w:t>
      </w:r>
    </w:p>
    <w:p w14:paraId="1581D84A"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lastRenderedPageBreak/>
        <w:t xml:space="preserve">Pan, M., Blut, M., Ghiassaleh, A. and Lee, Z.W.Y. (2024) ‘Influencer marketing effectiveness: a meta-analytic review’, </w:t>
      </w:r>
      <w:r w:rsidRPr="00AE0274">
        <w:rPr>
          <w:rFonts w:ascii="Arial" w:hAnsi="Arial" w:cs="Arial"/>
          <w:i/>
          <w:iCs/>
          <w:color w:val="000000" w:themeColor="text1"/>
          <w:sz w:val="24"/>
          <w:lang w:val="en-IN"/>
        </w:rPr>
        <w:t>Journal of the Academy of Marketing Science</w:t>
      </w:r>
      <w:r w:rsidRPr="00AE0274">
        <w:rPr>
          <w:rFonts w:ascii="Arial" w:hAnsi="Arial" w:cs="Arial"/>
          <w:color w:val="000000" w:themeColor="text1"/>
          <w:sz w:val="24"/>
          <w:lang w:val="en-IN"/>
        </w:rPr>
        <w:t>. Available at: https://link.springer.com/search?query=Influencer+marketing+effectiveness+a+meta-analytic+review (Accessed: 9 August 2026).</w:t>
      </w:r>
    </w:p>
    <w:p w14:paraId="31534176"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Petersen, B. and Benito, G.R.G. (2024) ‘Making switches: key strategic decisions when moving from a local, independent operator to a wholly owned subsidiary’, </w:t>
      </w:r>
      <w:r w:rsidRPr="00AE0274">
        <w:rPr>
          <w:rFonts w:ascii="Arial" w:hAnsi="Arial" w:cs="Arial"/>
          <w:i/>
          <w:iCs/>
          <w:color w:val="000000" w:themeColor="text1"/>
          <w:sz w:val="24"/>
          <w:lang w:val="en-IN"/>
        </w:rPr>
        <w:t>Thunderbird International Business Review</w:t>
      </w:r>
      <w:r w:rsidRPr="00AE0274">
        <w:rPr>
          <w:rFonts w:ascii="Arial" w:hAnsi="Arial" w:cs="Arial"/>
          <w:color w:val="000000" w:themeColor="text1"/>
          <w:sz w:val="24"/>
          <w:lang w:val="en-IN"/>
        </w:rPr>
        <w:t>, 66(6), pp. 643–653. Available at: https://doi.org/10.1002/tie.22405</w:t>
      </w:r>
    </w:p>
    <w:p w14:paraId="620316A5"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Reuters (2025) ‘Shareholders approve Carrefour bid to take Brazil unit private’, </w:t>
      </w:r>
      <w:r w:rsidRPr="00AE0274">
        <w:rPr>
          <w:rFonts w:ascii="Arial" w:hAnsi="Arial" w:cs="Arial"/>
          <w:i/>
          <w:iCs/>
          <w:color w:val="000000" w:themeColor="text1"/>
          <w:sz w:val="24"/>
          <w:lang w:val="en-IN"/>
        </w:rPr>
        <w:t>Reuters</w:t>
      </w:r>
      <w:r w:rsidRPr="00AE0274">
        <w:rPr>
          <w:rFonts w:ascii="Arial" w:hAnsi="Arial" w:cs="Arial"/>
          <w:color w:val="000000" w:themeColor="text1"/>
          <w:sz w:val="24"/>
          <w:lang w:val="en-IN"/>
        </w:rPr>
        <w:t xml:space="preserve">, 25 April. Available at: </w:t>
      </w:r>
      <w:hyperlink r:id="rId40" w:tgtFrame="_new" w:history="1">
        <w:r w:rsidRPr="00AE0274">
          <w:rPr>
            <w:rStyle w:val="Hyperlink"/>
            <w:rFonts w:ascii="Arial" w:hAnsi="Arial" w:cs="Arial"/>
            <w:sz w:val="24"/>
            <w:lang w:val="en-IN"/>
          </w:rPr>
          <w:t>https://www.reuters.com/business/retail-consumer/shareholders-approve-carrefour-bid-take-brazil-unit-private-2025-04-25/</w:t>
        </w:r>
      </w:hyperlink>
      <w:r w:rsidRPr="00AE0274">
        <w:rPr>
          <w:rFonts w:ascii="Arial" w:hAnsi="Arial" w:cs="Arial"/>
          <w:color w:val="000000" w:themeColor="text1"/>
          <w:sz w:val="24"/>
          <w:lang w:val="en-IN"/>
        </w:rPr>
        <w:t xml:space="preserve"> (Accessed: 9 August 2026).</w:t>
      </w:r>
    </w:p>
    <w:p w14:paraId="2B889C6C"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Reuters (2026a) ‘Brazil current account deficit ends 2025 steady, covered by FDI’, </w:t>
      </w:r>
      <w:r w:rsidRPr="00AE0274">
        <w:rPr>
          <w:rFonts w:ascii="Arial" w:hAnsi="Arial" w:cs="Arial"/>
          <w:i/>
          <w:iCs/>
          <w:color w:val="000000" w:themeColor="text1"/>
          <w:sz w:val="24"/>
          <w:lang w:val="en-IN"/>
        </w:rPr>
        <w:t>Reuters</w:t>
      </w:r>
      <w:r w:rsidRPr="00AE0274">
        <w:rPr>
          <w:rFonts w:ascii="Arial" w:hAnsi="Arial" w:cs="Arial"/>
          <w:color w:val="000000" w:themeColor="text1"/>
          <w:sz w:val="24"/>
          <w:lang w:val="en-IN"/>
        </w:rPr>
        <w:t xml:space="preserve">, 26 January. Available at: </w:t>
      </w:r>
      <w:hyperlink r:id="rId41" w:tgtFrame="_new" w:history="1">
        <w:r w:rsidRPr="00AE0274">
          <w:rPr>
            <w:rStyle w:val="Hyperlink"/>
            <w:rFonts w:ascii="Arial" w:hAnsi="Arial" w:cs="Arial"/>
            <w:sz w:val="24"/>
            <w:lang w:val="en-IN"/>
          </w:rPr>
          <w:t>https://www.reuters.com/world/americas/brazil-current-account-deficit-ends-2025-steady-covered-by-fdi-2026-01-26/</w:t>
        </w:r>
      </w:hyperlink>
      <w:r w:rsidRPr="00AE0274">
        <w:rPr>
          <w:rFonts w:ascii="Arial" w:hAnsi="Arial" w:cs="Arial"/>
          <w:color w:val="000000" w:themeColor="text1"/>
          <w:sz w:val="24"/>
          <w:lang w:val="en-IN"/>
        </w:rPr>
        <w:t xml:space="preserve"> (Accessed: 9 August 2026).</w:t>
      </w:r>
    </w:p>
    <w:p w14:paraId="32E5A4F7"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Reuters (2026b) ‘Brazil’s economy cooled in 2025 under weight of high interest rates’, </w:t>
      </w:r>
      <w:r w:rsidRPr="00AE0274">
        <w:rPr>
          <w:rFonts w:ascii="Arial" w:hAnsi="Arial" w:cs="Arial"/>
          <w:i/>
          <w:iCs/>
          <w:color w:val="000000" w:themeColor="text1"/>
          <w:sz w:val="24"/>
          <w:lang w:val="en-IN"/>
        </w:rPr>
        <w:t>Reuters</w:t>
      </w:r>
      <w:r w:rsidRPr="00AE0274">
        <w:rPr>
          <w:rFonts w:ascii="Arial" w:hAnsi="Arial" w:cs="Arial"/>
          <w:color w:val="000000" w:themeColor="text1"/>
          <w:sz w:val="24"/>
          <w:lang w:val="en-IN"/>
        </w:rPr>
        <w:t xml:space="preserve">, 3 March. Available at: </w:t>
      </w:r>
      <w:hyperlink r:id="rId42" w:tgtFrame="_new" w:history="1">
        <w:r w:rsidRPr="00AE0274">
          <w:rPr>
            <w:rStyle w:val="Hyperlink"/>
            <w:rFonts w:ascii="Arial" w:hAnsi="Arial" w:cs="Arial"/>
            <w:sz w:val="24"/>
            <w:lang w:val="en-IN"/>
          </w:rPr>
          <w:t>https://www.reuters.com/world/americas/brazils-economy-grows-23-2025-2026-03-03/</w:t>
        </w:r>
      </w:hyperlink>
      <w:r w:rsidRPr="00AE0274">
        <w:rPr>
          <w:rFonts w:ascii="Arial" w:hAnsi="Arial" w:cs="Arial"/>
          <w:color w:val="000000" w:themeColor="text1"/>
          <w:sz w:val="24"/>
          <w:lang w:val="en-IN"/>
        </w:rPr>
        <w:t xml:space="preserve"> (Accessed: 9 August 2026).</w:t>
      </w:r>
    </w:p>
    <w:p w14:paraId="2EF66761"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Salnikova, E., Strizhakova, Y. and Coulter, R.A. (2022) ‘Engaging consumers with environmental sustainability initiatives: consumer global-local identity and global brand messaging’, </w:t>
      </w:r>
      <w:r w:rsidRPr="00AE0274">
        <w:rPr>
          <w:rFonts w:ascii="Arial" w:hAnsi="Arial" w:cs="Arial"/>
          <w:i/>
          <w:iCs/>
          <w:color w:val="000000" w:themeColor="text1"/>
          <w:sz w:val="24"/>
          <w:lang w:val="en-IN"/>
        </w:rPr>
        <w:t>Journal of Marketing Research</w:t>
      </w:r>
      <w:r w:rsidRPr="00AE0274">
        <w:rPr>
          <w:rFonts w:ascii="Arial" w:hAnsi="Arial" w:cs="Arial"/>
          <w:color w:val="000000" w:themeColor="text1"/>
          <w:sz w:val="24"/>
          <w:lang w:val="en-IN"/>
        </w:rPr>
        <w:t>. Available at: https://journals.sagepub.com/action/doSearch?AllField=Engaging+consumers+with+environmental+sustainability+initiatives (Accessed: 9 August 2026).</w:t>
      </w:r>
    </w:p>
    <w:p w14:paraId="3DE8D14D"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Siqueira, R.B., Nogueira, J.R.B. and Luna, C.F. (2024) ‘Impacto redistributivo da reforma da tributação do consumo no Brasil: simulações baseadas no PLP 68/2024’. Open-access academic manuscript. Available at: </w:t>
      </w:r>
      <w:hyperlink r:id="rId43" w:tgtFrame="_new" w:history="1">
        <w:r w:rsidRPr="00AE0274">
          <w:rPr>
            <w:rStyle w:val="Hyperlink"/>
            <w:rFonts w:ascii="Arial" w:hAnsi="Arial" w:cs="Arial"/>
            <w:sz w:val="24"/>
            <w:lang w:val="en-IN"/>
          </w:rPr>
          <w:t>https://arxiv.org/abs/2411.12110</w:t>
        </w:r>
      </w:hyperlink>
      <w:r w:rsidRPr="00AE0274">
        <w:rPr>
          <w:rFonts w:ascii="Arial" w:hAnsi="Arial" w:cs="Arial"/>
          <w:color w:val="000000" w:themeColor="text1"/>
          <w:sz w:val="24"/>
          <w:lang w:val="en-IN"/>
        </w:rPr>
        <w:t xml:space="preserve"> (Accessed: 9 August 2026).</w:t>
      </w:r>
    </w:p>
    <w:p w14:paraId="27B24161"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lastRenderedPageBreak/>
        <w:t xml:space="preserve">Song, H. and Cai, L. (2024) ‘Interactive learning environment as a source of critical thinking skills for college students’, </w:t>
      </w:r>
      <w:r w:rsidRPr="00AE0274">
        <w:rPr>
          <w:rFonts w:ascii="Arial" w:hAnsi="Arial" w:cs="Arial"/>
          <w:i/>
          <w:iCs/>
          <w:color w:val="000000" w:themeColor="text1"/>
          <w:sz w:val="24"/>
          <w:lang w:val="en-IN"/>
        </w:rPr>
        <w:t>BMC Medical Education</w:t>
      </w:r>
      <w:r w:rsidRPr="00AE0274">
        <w:rPr>
          <w:rFonts w:ascii="Arial" w:hAnsi="Arial" w:cs="Arial"/>
          <w:color w:val="000000" w:themeColor="text1"/>
          <w:sz w:val="24"/>
          <w:lang w:val="en-IN"/>
        </w:rPr>
        <w:t xml:space="preserve">, 24, article 270. Available at: </w:t>
      </w:r>
      <w:hyperlink r:id="rId44" w:tgtFrame="_new" w:history="1">
        <w:r w:rsidRPr="00AE0274">
          <w:rPr>
            <w:rStyle w:val="Hyperlink"/>
            <w:rFonts w:ascii="Arial" w:hAnsi="Arial" w:cs="Arial"/>
            <w:sz w:val="24"/>
            <w:lang w:val="en-IN"/>
          </w:rPr>
          <w:t>https://doi.org/10.1186/s12909-024-05247-y</w:t>
        </w:r>
      </w:hyperlink>
    </w:p>
    <w:p w14:paraId="7C82E7DF"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Teece, D.J. (2025) ‘The multinational enterprise, capabilities, and digitalization: governance and growth with world disorder’, </w:t>
      </w:r>
      <w:r w:rsidRPr="00AE0274">
        <w:rPr>
          <w:rFonts w:ascii="Arial" w:hAnsi="Arial" w:cs="Arial"/>
          <w:i/>
          <w:iCs/>
          <w:color w:val="000000" w:themeColor="text1"/>
          <w:sz w:val="24"/>
          <w:lang w:val="en-IN"/>
        </w:rPr>
        <w:t>Journal of International Business Studies</w:t>
      </w:r>
      <w:r w:rsidRPr="00AE0274">
        <w:rPr>
          <w:rFonts w:ascii="Arial" w:hAnsi="Arial" w:cs="Arial"/>
          <w:color w:val="000000" w:themeColor="text1"/>
          <w:sz w:val="24"/>
          <w:lang w:val="en-IN"/>
        </w:rPr>
        <w:t>, 56(1). Available at: https://link.springer.com/search?query=The+multinational+enterprise+capabilities+and+digitalization (Accessed: 9 August 2026).</w:t>
      </w:r>
    </w:p>
    <w:p w14:paraId="45065AB6"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Trigeorgis, L. and Miller, S.R. (2025) ‘Real option portfolios and the theory of the multinational enterprise: understanding modes of international involvement in the digital economy’, </w:t>
      </w:r>
      <w:r w:rsidRPr="00AE0274">
        <w:rPr>
          <w:rFonts w:ascii="Arial" w:hAnsi="Arial" w:cs="Arial"/>
          <w:i/>
          <w:iCs/>
          <w:color w:val="000000" w:themeColor="text1"/>
          <w:sz w:val="24"/>
          <w:lang w:val="en-IN"/>
        </w:rPr>
        <w:t>Journal of International Business Studies</w:t>
      </w:r>
      <w:r w:rsidRPr="00AE0274">
        <w:rPr>
          <w:rFonts w:ascii="Arial" w:hAnsi="Arial" w:cs="Arial"/>
          <w:color w:val="000000" w:themeColor="text1"/>
          <w:sz w:val="24"/>
          <w:lang w:val="en-IN"/>
        </w:rPr>
        <w:t>. Available at: https://doi.org/10.1057/s41267-025-00806-x</w:t>
      </w:r>
    </w:p>
    <w:p w14:paraId="1FD2C5F8"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U.S. Department of State (2025) </w:t>
      </w:r>
      <w:r w:rsidRPr="00AE0274">
        <w:rPr>
          <w:rFonts w:ascii="Arial" w:hAnsi="Arial" w:cs="Arial"/>
          <w:i/>
          <w:iCs/>
          <w:color w:val="000000" w:themeColor="text1"/>
          <w:sz w:val="24"/>
          <w:lang w:val="en-IN"/>
        </w:rPr>
        <w:t>Brazil – investment climate statement</w:t>
      </w:r>
      <w:r w:rsidRPr="00AE0274">
        <w:rPr>
          <w:rFonts w:ascii="Arial" w:hAnsi="Arial" w:cs="Arial"/>
          <w:color w:val="000000" w:themeColor="text1"/>
          <w:sz w:val="24"/>
          <w:lang w:val="en-IN"/>
        </w:rPr>
        <w:t xml:space="preserve">. Available at: </w:t>
      </w:r>
      <w:hyperlink r:id="rId45" w:tgtFrame="_new" w:history="1">
        <w:r w:rsidRPr="00AE0274">
          <w:rPr>
            <w:rStyle w:val="Hyperlink"/>
            <w:rFonts w:ascii="Arial" w:hAnsi="Arial" w:cs="Arial"/>
            <w:sz w:val="24"/>
            <w:lang w:val="en-IN"/>
          </w:rPr>
          <w:t>https://www.trade.gov/country-commercial-guides/brazil-investment-climate-statement</w:t>
        </w:r>
      </w:hyperlink>
      <w:r w:rsidRPr="00AE0274">
        <w:rPr>
          <w:rFonts w:ascii="Arial" w:hAnsi="Arial" w:cs="Arial"/>
          <w:color w:val="000000" w:themeColor="text1"/>
          <w:sz w:val="24"/>
          <w:lang w:val="en-IN"/>
        </w:rPr>
        <w:t xml:space="preserve"> (Accessed: 9 August 2026).</w:t>
      </w:r>
    </w:p>
    <w:p w14:paraId="74018A5D"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United Nations Conference on Trade and Development [UNCTAD] (2025a) </w:t>
      </w:r>
      <w:r w:rsidRPr="00AE0274">
        <w:rPr>
          <w:rFonts w:ascii="Arial" w:hAnsi="Arial" w:cs="Arial"/>
          <w:i/>
          <w:iCs/>
          <w:color w:val="000000" w:themeColor="text1"/>
          <w:sz w:val="24"/>
          <w:lang w:val="en-IN"/>
        </w:rPr>
        <w:t>World investment report 2025</w:t>
      </w:r>
      <w:r w:rsidRPr="00AE0274">
        <w:rPr>
          <w:rFonts w:ascii="Arial" w:hAnsi="Arial" w:cs="Arial"/>
          <w:color w:val="000000" w:themeColor="text1"/>
          <w:sz w:val="24"/>
          <w:lang w:val="en-IN"/>
        </w:rPr>
        <w:t xml:space="preserve">. Available at: </w:t>
      </w:r>
      <w:hyperlink r:id="rId46" w:tgtFrame="_new" w:history="1">
        <w:r w:rsidRPr="00AE0274">
          <w:rPr>
            <w:rStyle w:val="Hyperlink"/>
            <w:rFonts w:ascii="Arial" w:hAnsi="Arial" w:cs="Arial"/>
            <w:sz w:val="24"/>
            <w:lang w:val="en-IN"/>
          </w:rPr>
          <w:t>https://unctad.org/publication/world-investment-report-2025</w:t>
        </w:r>
      </w:hyperlink>
      <w:r w:rsidRPr="00AE0274">
        <w:rPr>
          <w:rFonts w:ascii="Arial" w:hAnsi="Arial" w:cs="Arial"/>
          <w:color w:val="000000" w:themeColor="text1"/>
          <w:sz w:val="24"/>
          <w:lang w:val="en-IN"/>
        </w:rPr>
        <w:t xml:space="preserve"> (Accessed: 9 August 2026).</w:t>
      </w:r>
    </w:p>
    <w:p w14:paraId="7A2618BA"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United Nations Conference on Trade and Development [UNCTAD] (2025b) </w:t>
      </w:r>
      <w:r w:rsidRPr="00AE0274">
        <w:rPr>
          <w:rFonts w:ascii="Arial" w:hAnsi="Arial" w:cs="Arial"/>
          <w:i/>
          <w:iCs/>
          <w:color w:val="000000" w:themeColor="text1"/>
          <w:sz w:val="24"/>
          <w:lang w:val="en-IN"/>
        </w:rPr>
        <w:t>World investment report 2025: Chapter I—international investment trends</w:t>
      </w:r>
      <w:r w:rsidRPr="00AE0274">
        <w:rPr>
          <w:rFonts w:ascii="Arial" w:hAnsi="Arial" w:cs="Arial"/>
          <w:color w:val="000000" w:themeColor="text1"/>
          <w:sz w:val="24"/>
          <w:lang w:val="en-IN"/>
        </w:rPr>
        <w:t xml:space="preserve">. Available at: </w:t>
      </w:r>
      <w:hyperlink r:id="rId47" w:tgtFrame="_new" w:history="1">
        <w:r w:rsidRPr="00AE0274">
          <w:rPr>
            <w:rStyle w:val="Hyperlink"/>
            <w:rFonts w:ascii="Arial" w:hAnsi="Arial" w:cs="Arial"/>
            <w:sz w:val="24"/>
            <w:lang w:val="en-IN"/>
          </w:rPr>
          <w:t>https://unctad.org/system/files/official-document/wir2025_ch01_en.pdf</w:t>
        </w:r>
      </w:hyperlink>
      <w:r w:rsidRPr="00AE0274">
        <w:rPr>
          <w:rFonts w:ascii="Arial" w:hAnsi="Arial" w:cs="Arial"/>
          <w:color w:val="000000" w:themeColor="text1"/>
          <w:sz w:val="24"/>
          <w:lang w:val="en-IN"/>
        </w:rPr>
        <w:t xml:space="preserve"> (Accessed: 9 August 2026).</w:t>
      </w:r>
    </w:p>
    <w:p w14:paraId="228F9D05"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Vázquez-Villegas, P., Mejía-Manzano, L.A., Sánchez-Rangel, J.C. and Membrillo-Hernández, J. (2023) ‘Scientific method’s application contexts for the development and evaluation of research skills in higher-education learners’, </w:t>
      </w:r>
      <w:r w:rsidRPr="00AE0274">
        <w:rPr>
          <w:rFonts w:ascii="Arial" w:hAnsi="Arial" w:cs="Arial"/>
          <w:i/>
          <w:iCs/>
          <w:color w:val="000000" w:themeColor="text1"/>
          <w:sz w:val="24"/>
          <w:lang w:val="en-IN"/>
        </w:rPr>
        <w:t>Education Sciences</w:t>
      </w:r>
      <w:r w:rsidRPr="00AE0274">
        <w:rPr>
          <w:rFonts w:ascii="Arial" w:hAnsi="Arial" w:cs="Arial"/>
          <w:color w:val="000000" w:themeColor="text1"/>
          <w:sz w:val="24"/>
          <w:lang w:val="en-IN"/>
        </w:rPr>
        <w:t>, 13(1), article 62. Available at: https://doi.org/10.3390/educsci13010062</w:t>
      </w:r>
    </w:p>
    <w:p w14:paraId="7A878F9F" w14:textId="77777777" w:rsidR="00AE0274" w:rsidRPr="00AE0274" w:rsidRDefault="00AE0274" w:rsidP="00AE0274">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t xml:space="preserve">Wan, C., Sousa, C.M.P., Lengler, J. and Tan, Q. (2023) ‘Entry mode choice: a meta-analysis of antecedents and outcomes’, </w:t>
      </w:r>
      <w:r w:rsidRPr="00AE0274">
        <w:rPr>
          <w:rFonts w:ascii="Arial" w:hAnsi="Arial" w:cs="Arial"/>
          <w:i/>
          <w:iCs/>
          <w:color w:val="000000" w:themeColor="text1"/>
          <w:sz w:val="24"/>
          <w:lang w:val="en-IN"/>
        </w:rPr>
        <w:t>Management International Review</w:t>
      </w:r>
      <w:r w:rsidRPr="00AE0274">
        <w:rPr>
          <w:rFonts w:ascii="Arial" w:hAnsi="Arial" w:cs="Arial"/>
          <w:color w:val="000000" w:themeColor="text1"/>
          <w:sz w:val="24"/>
          <w:lang w:val="en-IN"/>
        </w:rPr>
        <w:t xml:space="preserve">, 63, pp. 193–246. Available at: </w:t>
      </w:r>
      <w:hyperlink r:id="rId48" w:tgtFrame="_new" w:history="1">
        <w:r w:rsidRPr="00AE0274">
          <w:rPr>
            <w:rStyle w:val="Hyperlink"/>
            <w:rFonts w:ascii="Arial" w:hAnsi="Arial" w:cs="Arial"/>
            <w:sz w:val="24"/>
            <w:lang w:val="en-IN"/>
          </w:rPr>
          <w:t>https://doi.org/10.1007/s11575-022-00499-6</w:t>
        </w:r>
      </w:hyperlink>
    </w:p>
    <w:p w14:paraId="421CD8B7" w14:textId="1286ABD9" w:rsidR="00046143" w:rsidRPr="0062670B" w:rsidRDefault="00AE0274" w:rsidP="0062670B">
      <w:pPr>
        <w:spacing w:line="360" w:lineRule="auto"/>
        <w:jc w:val="both"/>
        <w:rPr>
          <w:rFonts w:ascii="Arial" w:hAnsi="Arial" w:cs="Arial"/>
          <w:color w:val="000000" w:themeColor="text1"/>
          <w:sz w:val="24"/>
          <w:lang w:val="en-IN"/>
        </w:rPr>
      </w:pPr>
      <w:r w:rsidRPr="00AE0274">
        <w:rPr>
          <w:rFonts w:ascii="Arial" w:hAnsi="Arial" w:cs="Arial"/>
          <w:color w:val="000000" w:themeColor="text1"/>
          <w:sz w:val="24"/>
          <w:lang w:val="en-IN"/>
        </w:rPr>
        <w:lastRenderedPageBreak/>
        <w:t xml:space="preserve">World Bank (2025) </w:t>
      </w:r>
      <w:r w:rsidRPr="00AE0274">
        <w:rPr>
          <w:rFonts w:ascii="Arial" w:hAnsi="Arial" w:cs="Arial"/>
          <w:i/>
          <w:iCs/>
          <w:color w:val="000000" w:themeColor="text1"/>
          <w:sz w:val="24"/>
          <w:lang w:val="en-IN"/>
        </w:rPr>
        <w:t>The World Bank in Brazil: overview</w:t>
      </w:r>
      <w:r w:rsidRPr="00AE0274">
        <w:rPr>
          <w:rFonts w:ascii="Arial" w:hAnsi="Arial" w:cs="Arial"/>
          <w:color w:val="000000" w:themeColor="text1"/>
          <w:sz w:val="24"/>
          <w:lang w:val="en-IN"/>
        </w:rPr>
        <w:t xml:space="preserve">. Available at: </w:t>
      </w:r>
      <w:hyperlink r:id="rId49" w:tgtFrame="_new" w:history="1">
        <w:r w:rsidRPr="00AE0274">
          <w:rPr>
            <w:rStyle w:val="Hyperlink"/>
            <w:rFonts w:ascii="Arial" w:hAnsi="Arial" w:cs="Arial"/>
            <w:sz w:val="24"/>
            <w:lang w:val="en-IN"/>
          </w:rPr>
          <w:t>https://www.worldbank.org/en/country/brazil/overview</w:t>
        </w:r>
      </w:hyperlink>
      <w:r w:rsidRPr="00AE0274">
        <w:rPr>
          <w:rFonts w:ascii="Arial" w:hAnsi="Arial" w:cs="Arial"/>
          <w:color w:val="000000" w:themeColor="text1"/>
          <w:sz w:val="24"/>
          <w:lang w:val="en-IN"/>
        </w:rPr>
        <w:t xml:space="preserve"> (Accessed: 9 August 2026).</w:t>
      </w:r>
    </w:p>
    <w:p w14:paraId="67B2C297" w14:textId="77777777" w:rsidR="00966232" w:rsidRPr="00F5046F" w:rsidRDefault="00966232" w:rsidP="00F5046F">
      <w:pPr>
        <w:spacing w:line="240" w:lineRule="auto"/>
        <w:jc w:val="both"/>
        <w:rPr>
          <w:rFonts w:ascii="Arial" w:hAnsi="Arial" w:cs="Arial"/>
          <w:color w:val="000000" w:themeColor="text1"/>
          <w:sz w:val="24"/>
          <w:lang w:val="en-IN"/>
        </w:rPr>
      </w:pPr>
    </w:p>
    <w:p w14:paraId="4FDFFA17" w14:textId="77777777" w:rsidR="008B3CA6" w:rsidRPr="00F5046F" w:rsidRDefault="008B3CA6" w:rsidP="00F5046F">
      <w:pPr>
        <w:spacing w:line="240" w:lineRule="auto"/>
        <w:jc w:val="both"/>
        <w:rPr>
          <w:rFonts w:ascii="Arial" w:hAnsi="Arial" w:cs="Arial"/>
          <w:color w:val="000000" w:themeColor="text1"/>
          <w:sz w:val="24"/>
        </w:rPr>
      </w:pPr>
    </w:p>
    <w:sectPr w:rsidR="008B3CA6" w:rsidRPr="00F5046F" w:rsidSect="00BD7C8E">
      <w:footerReference w:type="default" r:id="rId5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4AAB64" w14:textId="77777777" w:rsidR="00CC39C9" w:rsidRDefault="00CC39C9" w:rsidP="00BD7C8E">
      <w:pPr>
        <w:spacing w:after="0" w:line="240" w:lineRule="auto"/>
      </w:pPr>
      <w:r>
        <w:separator/>
      </w:r>
    </w:p>
  </w:endnote>
  <w:endnote w:type="continuationSeparator" w:id="0">
    <w:p w14:paraId="24A0602C" w14:textId="77777777" w:rsidR="00CC39C9" w:rsidRDefault="00CC39C9" w:rsidP="00BD7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0"/>
        <w:szCs w:val="20"/>
      </w:rPr>
      <w:id w:val="-193856971"/>
      <w:docPartObj>
        <w:docPartGallery w:val="Page Numbers (Bottom of Page)"/>
        <w:docPartUnique/>
      </w:docPartObj>
    </w:sdtPr>
    <w:sdtEndPr>
      <w:rPr>
        <w:noProof/>
      </w:rPr>
    </w:sdtEndPr>
    <w:sdtContent>
      <w:p w14:paraId="42E78628" w14:textId="77777777" w:rsidR="003B0F73" w:rsidRPr="00BD7C8E" w:rsidRDefault="003B0F73">
        <w:pPr>
          <w:pStyle w:val="Footer"/>
          <w:jc w:val="right"/>
          <w:rPr>
            <w:rFonts w:ascii="Times New Roman" w:hAnsi="Times New Roman" w:cs="Times New Roman"/>
            <w:sz w:val="20"/>
            <w:szCs w:val="20"/>
          </w:rPr>
        </w:pPr>
        <w:r w:rsidRPr="00BD7C8E">
          <w:rPr>
            <w:rFonts w:ascii="Times New Roman" w:hAnsi="Times New Roman" w:cs="Times New Roman"/>
            <w:sz w:val="20"/>
            <w:szCs w:val="20"/>
          </w:rPr>
          <w:fldChar w:fldCharType="begin"/>
        </w:r>
        <w:r w:rsidRPr="00BD7C8E">
          <w:rPr>
            <w:rFonts w:ascii="Times New Roman" w:hAnsi="Times New Roman" w:cs="Times New Roman"/>
            <w:sz w:val="20"/>
            <w:szCs w:val="20"/>
          </w:rPr>
          <w:instrText xml:space="preserve"> PAGE   \* MERGEFORMAT </w:instrText>
        </w:r>
        <w:r w:rsidRPr="00BD7C8E">
          <w:rPr>
            <w:rFonts w:ascii="Times New Roman" w:hAnsi="Times New Roman" w:cs="Times New Roman"/>
            <w:sz w:val="20"/>
            <w:szCs w:val="20"/>
          </w:rPr>
          <w:fldChar w:fldCharType="separate"/>
        </w:r>
        <w:r w:rsidR="00803A1C">
          <w:rPr>
            <w:rFonts w:ascii="Times New Roman" w:hAnsi="Times New Roman" w:cs="Times New Roman"/>
            <w:noProof/>
            <w:sz w:val="20"/>
            <w:szCs w:val="20"/>
          </w:rPr>
          <w:t>1</w:t>
        </w:r>
        <w:r w:rsidRPr="00BD7C8E">
          <w:rPr>
            <w:rFonts w:ascii="Times New Roman" w:hAnsi="Times New Roman" w:cs="Times New Roman"/>
            <w:noProof/>
            <w:sz w:val="20"/>
            <w:szCs w:val="20"/>
          </w:rPr>
          <w:fldChar w:fldCharType="end"/>
        </w:r>
      </w:p>
    </w:sdtContent>
  </w:sdt>
  <w:p w14:paraId="47128FD0" w14:textId="77777777" w:rsidR="003B0F73" w:rsidRPr="00BD7C8E" w:rsidRDefault="003B0F7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01F1CC" w14:textId="77777777" w:rsidR="00CC39C9" w:rsidRDefault="00CC39C9" w:rsidP="00BD7C8E">
      <w:pPr>
        <w:spacing w:after="0" w:line="240" w:lineRule="auto"/>
      </w:pPr>
      <w:r>
        <w:separator/>
      </w:r>
    </w:p>
  </w:footnote>
  <w:footnote w:type="continuationSeparator" w:id="0">
    <w:p w14:paraId="3797EA23" w14:textId="77777777" w:rsidR="00CC39C9" w:rsidRDefault="00CC39C9" w:rsidP="00BD7C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2EB2"/>
    <w:rsid w:val="000125DF"/>
    <w:rsid w:val="000179C4"/>
    <w:rsid w:val="00046143"/>
    <w:rsid w:val="000C332F"/>
    <w:rsid w:val="000E77E4"/>
    <w:rsid w:val="00113D3C"/>
    <w:rsid w:val="0011603B"/>
    <w:rsid w:val="00150E50"/>
    <w:rsid w:val="001B15C4"/>
    <w:rsid w:val="001E4404"/>
    <w:rsid w:val="00221F0E"/>
    <w:rsid w:val="00276C75"/>
    <w:rsid w:val="002F620F"/>
    <w:rsid w:val="0035497B"/>
    <w:rsid w:val="0035591A"/>
    <w:rsid w:val="003B0F73"/>
    <w:rsid w:val="003E3A34"/>
    <w:rsid w:val="003F60CB"/>
    <w:rsid w:val="00406594"/>
    <w:rsid w:val="00413545"/>
    <w:rsid w:val="00424A21"/>
    <w:rsid w:val="004460F4"/>
    <w:rsid w:val="0045393F"/>
    <w:rsid w:val="00460911"/>
    <w:rsid w:val="0055431E"/>
    <w:rsid w:val="005772DB"/>
    <w:rsid w:val="005B56B8"/>
    <w:rsid w:val="005C1360"/>
    <w:rsid w:val="005D7CF5"/>
    <w:rsid w:val="006066E0"/>
    <w:rsid w:val="0062670B"/>
    <w:rsid w:val="0064514B"/>
    <w:rsid w:val="00654D5E"/>
    <w:rsid w:val="006600FB"/>
    <w:rsid w:val="006614E0"/>
    <w:rsid w:val="00665130"/>
    <w:rsid w:val="00690A2C"/>
    <w:rsid w:val="006D4144"/>
    <w:rsid w:val="00702046"/>
    <w:rsid w:val="007C55B3"/>
    <w:rsid w:val="007D6870"/>
    <w:rsid w:val="007F204E"/>
    <w:rsid w:val="00803A1C"/>
    <w:rsid w:val="00827C63"/>
    <w:rsid w:val="008B3CA6"/>
    <w:rsid w:val="008B632A"/>
    <w:rsid w:val="008C3198"/>
    <w:rsid w:val="008D3EAC"/>
    <w:rsid w:val="00904CA3"/>
    <w:rsid w:val="00966232"/>
    <w:rsid w:val="009D5EA9"/>
    <w:rsid w:val="009F2EB2"/>
    <w:rsid w:val="00A67C89"/>
    <w:rsid w:val="00AC143F"/>
    <w:rsid w:val="00AD33F0"/>
    <w:rsid w:val="00AE0274"/>
    <w:rsid w:val="00B023E3"/>
    <w:rsid w:val="00B06C5A"/>
    <w:rsid w:val="00B26BE5"/>
    <w:rsid w:val="00B540FF"/>
    <w:rsid w:val="00B77325"/>
    <w:rsid w:val="00B94C9B"/>
    <w:rsid w:val="00BC0FB7"/>
    <w:rsid w:val="00BD7C8E"/>
    <w:rsid w:val="00BE146B"/>
    <w:rsid w:val="00C1170A"/>
    <w:rsid w:val="00C27B45"/>
    <w:rsid w:val="00C7718D"/>
    <w:rsid w:val="00C835F9"/>
    <w:rsid w:val="00CC39C9"/>
    <w:rsid w:val="00DC5AED"/>
    <w:rsid w:val="00E81760"/>
    <w:rsid w:val="00E907B1"/>
    <w:rsid w:val="00EB4571"/>
    <w:rsid w:val="00EE2770"/>
    <w:rsid w:val="00EF23CA"/>
    <w:rsid w:val="00F5046F"/>
    <w:rsid w:val="00F651B2"/>
    <w:rsid w:val="00F71C4F"/>
    <w:rsid w:val="00FD5173"/>
    <w:rsid w:val="00FF721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E3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E4404"/>
    <w:pPr>
      <w:spacing w:after="0" w:line="360" w:lineRule="auto"/>
      <w:jc w:val="both"/>
      <w:outlineLvl w:val="0"/>
    </w:pPr>
    <w:rPr>
      <w:rFonts w:ascii="Times New Roman" w:hAnsi="Times New Roman" w:cs="Times New Roman"/>
      <w:b/>
      <w:color w:val="000000" w:themeColor="text1"/>
      <w:sz w:val="28"/>
    </w:rPr>
  </w:style>
  <w:style w:type="paragraph" w:styleId="Heading2">
    <w:name w:val="heading 2"/>
    <w:basedOn w:val="Normal"/>
    <w:next w:val="Normal"/>
    <w:link w:val="Heading2Char"/>
    <w:uiPriority w:val="9"/>
    <w:unhideWhenUsed/>
    <w:qFormat/>
    <w:rsid w:val="001E4404"/>
    <w:pPr>
      <w:spacing w:after="0" w:line="360" w:lineRule="auto"/>
      <w:jc w:val="both"/>
      <w:outlineLvl w:val="1"/>
    </w:pPr>
    <w:rPr>
      <w:rFonts w:ascii="Times New Roman" w:hAnsi="Times New Roman" w:cs="Times New Roman"/>
      <w:b/>
      <w:bCs/>
      <w:color w:val="000000" w:themeColor="text1"/>
      <w:sz w:val="24"/>
      <w:lang w:val="en-IN"/>
    </w:rPr>
  </w:style>
  <w:style w:type="paragraph" w:styleId="Heading3">
    <w:name w:val="heading 3"/>
    <w:basedOn w:val="Normal"/>
    <w:next w:val="Normal"/>
    <w:link w:val="Heading3Char"/>
    <w:uiPriority w:val="9"/>
    <w:unhideWhenUsed/>
    <w:qFormat/>
    <w:rsid w:val="001E4404"/>
    <w:pPr>
      <w:spacing w:after="0" w:line="360" w:lineRule="auto"/>
      <w:jc w:val="both"/>
      <w:outlineLvl w:val="2"/>
    </w:pPr>
    <w:rPr>
      <w:rFonts w:ascii="Times New Roman" w:hAnsi="Times New Roman" w:cs="Times New Roman"/>
      <w:b/>
      <w:bCs/>
      <w:color w:val="000000" w:themeColor="text1"/>
      <w:sz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7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C8E"/>
    <w:rPr>
      <w:lang w:val="en-GB"/>
    </w:rPr>
  </w:style>
  <w:style w:type="paragraph" w:styleId="Footer">
    <w:name w:val="footer"/>
    <w:basedOn w:val="Normal"/>
    <w:link w:val="FooterChar"/>
    <w:uiPriority w:val="99"/>
    <w:unhideWhenUsed/>
    <w:rsid w:val="00BD7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C8E"/>
    <w:rPr>
      <w:lang w:val="en-GB"/>
    </w:rPr>
  </w:style>
  <w:style w:type="character" w:styleId="Hyperlink">
    <w:name w:val="Hyperlink"/>
    <w:basedOn w:val="DefaultParagraphFont"/>
    <w:uiPriority w:val="99"/>
    <w:unhideWhenUsed/>
    <w:rsid w:val="008B3CA6"/>
    <w:rPr>
      <w:color w:val="0563C1" w:themeColor="hyperlink"/>
      <w:u w:val="single"/>
    </w:rPr>
  </w:style>
  <w:style w:type="character" w:customStyle="1" w:styleId="UnresolvedMention">
    <w:name w:val="Unresolved Mention"/>
    <w:basedOn w:val="DefaultParagraphFont"/>
    <w:uiPriority w:val="99"/>
    <w:semiHidden/>
    <w:unhideWhenUsed/>
    <w:rsid w:val="008B3CA6"/>
    <w:rPr>
      <w:color w:val="605E5C"/>
      <w:shd w:val="clear" w:color="auto" w:fill="E1DFDD"/>
    </w:rPr>
  </w:style>
  <w:style w:type="character" w:customStyle="1" w:styleId="Heading2Char">
    <w:name w:val="Heading 2 Char"/>
    <w:basedOn w:val="DefaultParagraphFont"/>
    <w:link w:val="Heading2"/>
    <w:uiPriority w:val="9"/>
    <w:rsid w:val="001E4404"/>
    <w:rPr>
      <w:rFonts w:ascii="Times New Roman" w:hAnsi="Times New Roman" w:cs="Times New Roman"/>
      <w:b/>
      <w:bCs/>
      <w:color w:val="000000" w:themeColor="text1"/>
      <w:sz w:val="24"/>
    </w:rPr>
  </w:style>
  <w:style w:type="character" w:customStyle="1" w:styleId="Heading3Char">
    <w:name w:val="Heading 3 Char"/>
    <w:basedOn w:val="DefaultParagraphFont"/>
    <w:link w:val="Heading3"/>
    <w:uiPriority w:val="9"/>
    <w:rsid w:val="001E4404"/>
    <w:rPr>
      <w:rFonts w:ascii="Times New Roman" w:hAnsi="Times New Roman" w:cs="Times New Roman"/>
      <w:b/>
      <w:bCs/>
      <w:color w:val="000000" w:themeColor="text1"/>
      <w:sz w:val="24"/>
    </w:rPr>
  </w:style>
  <w:style w:type="character" w:customStyle="1" w:styleId="Heading1Char">
    <w:name w:val="Heading 1 Char"/>
    <w:basedOn w:val="DefaultParagraphFont"/>
    <w:link w:val="Heading1"/>
    <w:uiPriority w:val="9"/>
    <w:rsid w:val="001E4404"/>
    <w:rPr>
      <w:rFonts w:ascii="Times New Roman" w:hAnsi="Times New Roman" w:cs="Times New Roman"/>
      <w:b/>
      <w:color w:val="000000" w:themeColor="text1"/>
      <w:sz w:val="28"/>
      <w:lang w:val="en-GB"/>
    </w:rPr>
  </w:style>
  <w:style w:type="paragraph" w:styleId="TOCHeading">
    <w:name w:val="TOC Heading"/>
    <w:basedOn w:val="Heading1"/>
    <w:next w:val="Normal"/>
    <w:uiPriority w:val="39"/>
    <w:unhideWhenUsed/>
    <w:qFormat/>
    <w:rsid w:val="00E81760"/>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81760"/>
    <w:pPr>
      <w:spacing w:after="100"/>
    </w:pPr>
  </w:style>
  <w:style w:type="paragraph" w:styleId="TOC2">
    <w:name w:val="toc 2"/>
    <w:basedOn w:val="Normal"/>
    <w:next w:val="Normal"/>
    <w:autoRedefine/>
    <w:uiPriority w:val="39"/>
    <w:unhideWhenUsed/>
    <w:rsid w:val="00E81760"/>
    <w:pPr>
      <w:spacing w:after="100"/>
      <w:ind w:left="220"/>
    </w:pPr>
  </w:style>
  <w:style w:type="paragraph" w:styleId="TOC3">
    <w:name w:val="toc 3"/>
    <w:basedOn w:val="Normal"/>
    <w:next w:val="Normal"/>
    <w:autoRedefine/>
    <w:uiPriority w:val="39"/>
    <w:unhideWhenUsed/>
    <w:rsid w:val="00E81760"/>
    <w:pPr>
      <w:spacing w:after="100"/>
      <w:ind w:left="440"/>
    </w:pPr>
  </w:style>
  <w:style w:type="paragraph" w:styleId="BalloonText">
    <w:name w:val="Balloon Text"/>
    <w:basedOn w:val="Normal"/>
    <w:link w:val="BalloonTextChar"/>
    <w:uiPriority w:val="99"/>
    <w:semiHidden/>
    <w:unhideWhenUsed/>
    <w:rsid w:val="00803A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A1C"/>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E4404"/>
    <w:pPr>
      <w:spacing w:after="0" w:line="360" w:lineRule="auto"/>
      <w:jc w:val="both"/>
      <w:outlineLvl w:val="0"/>
    </w:pPr>
    <w:rPr>
      <w:rFonts w:ascii="Times New Roman" w:hAnsi="Times New Roman" w:cs="Times New Roman"/>
      <w:b/>
      <w:color w:val="000000" w:themeColor="text1"/>
      <w:sz w:val="28"/>
    </w:rPr>
  </w:style>
  <w:style w:type="paragraph" w:styleId="Heading2">
    <w:name w:val="heading 2"/>
    <w:basedOn w:val="Normal"/>
    <w:next w:val="Normal"/>
    <w:link w:val="Heading2Char"/>
    <w:uiPriority w:val="9"/>
    <w:unhideWhenUsed/>
    <w:qFormat/>
    <w:rsid w:val="001E4404"/>
    <w:pPr>
      <w:spacing w:after="0" w:line="360" w:lineRule="auto"/>
      <w:jc w:val="both"/>
      <w:outlineLvl w:val="1"/>
    </w:pPr>
    <w:rPr>
      <w:rFonts w:ascii="Times New Roman" w:hAnsi="Times New Roman" w:cs="Times New Roman"/>
      <w:b/>
      <w:bCs/>
      <w:color w:val="000000" w:themeColor="text1"/>
      <w:sz w:val="24"/>
      <w:lang w:val="en-IN"/>
    </w:rPr>
  </w:style>
  <w:style w:type="paragraph" w:styleId="Heading3">
    <w:name w:val="heading 3"/>
    <w:basedOn w:val="Normal"/>
    <w:next w:val="Normal"/>
    <w:link w:val="Heading3Char"/>
    <w:uiPriority w:val="9"/>
    <w:unhideWhenUsed/>
    <w:qFormat/>
    <w:rsid w:val="001E4404"/>
    <w:pPr>
      <w:spacing w:after="0" w:line="360" w:lineRule="auto"/>
      <w:jc w:val="both"/>
      <w:outlineLvl w:val="2"/>
    </w:pPr>
    <w:rPr>
      <w:rFonts w:ascii="Times New Roman" w:hAnsi="Times New Roman" w:cs="Times New Roman"/>
      <w:b/>
      <w:bCs/>
      <w:color w:val="000000" w:themeColor="text1"/>
      <w:sz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7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C8E"/>
    <w:rPr>
      <w:lang w:val="en-GB"/>
    </w:rPr>
  </w:style>
  <w:style w:type="paragraph" w:styleId="Footer">
    <w:name w:val="footer"/>
    <w:basedOn w:val="Normal"/>
    <w:link w:val="FooterChar"/>
    <w:uiPriority w:val="99"/>
    <w:unhideWhenUsed/>
    <w:rsid w:val="00BD7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C8E"/>
    <w:rPr>
      <w:lang w:val="en-GB"/>
    </w:rPr>
  </w:style>
  <w:style w:type="character" w:styleId="Hyperlink">
    <w:name w:val="Hyperlink"/>
    <w:basedOn w:val="DefaultParagraphFont"/>
    <w:uiPriority w:val="99"/>
    <w:unhideWhenUsed/>
    <w:rsid w:val="008B3CA6"/>
    <w:rPr>
      <w:color w:val="0563C1" w:themeColor="hyperlink"/>
      <w:u w:val="single"/>
    </w:rPr>
  </w:style>
  <w:style w:type="character" w:customStyle="1" w:styleId="UnresolvedMention">
    <w:name w:val="Unresolved Mention"/>
    <w:basedOn w:val="DefaultParagraphFont"/>
    <w:uiPriority w:val="99"/>
    <w:semiHidden/>
    <w:unhideWhenUsed/>
    <w:rsid w:val="008B3CA6"/>
    <w:rPr>
      <w:color w:val="605E5C"/>
      <w:shd w:val="clear" w:color="auto" w:fill="E1DFDD"/>
    </w:rPr>
  </w:style>
  <w:style w:type="character" w:customStyle="1" w:styleId="Heading2Char">
    <w:name w:val="Heading 2 Char"/>
    <w:basedOn w:val="DefaultParagraphFont"/>
    <w:link w:val="Heading2"/>
    <w:uiPriority w:val="9"/>
    <w:rsid w:val="001E4404"/>
    <w:rPr>
      <w:rFonts w:ascii="Times New Roman" w:hAnsi="Times New Roman" w:cs="Times New Roman"/>
      <w:b/>
      <w:bCs/>
      <w:color w:val="000000" w:themeColor="text1"/>
      <w:sz w:val="24"/>
    </w:rPr>
  </w:style>
  <w:style w:type="character" w:customStyle="1" w:styleId="Heading3Char">
    <w:name w:val="Heading 3 Char"/>
    <w:basedOn w:val="DefaultParagraphFont"/>
    <w:link w:val="Heading3"/>
    <w:uiPriority w:val="9"/>
    <w:rsid w:val="001E4404"/>
    <w:rPr>
      <w:rFonts w:ascii="Times New Roman" w:hAnsi="Times New Roman" w:cs="Times New Roman"/>
      <w:b/>
      <w:bCs/>
      <w:color w:val="000000" w:themeColor="text1"/>
      <w:sz w:val="24"/>
    </w:rPr>
  </w:style>
  <w:style w:type="character" w:customStyle="1" w:styleId="Heading1Char">
    <w:name w:val="Heading 1 Char"/>
    <w:basedOn w:val="DefaultParagraphFont"/>
    <w:link w:val="Heading1"/>
    <w:uiPriority w:val="9"/>
    <w:rsid w:val="001E4404"/>
    <w:rPr>
      <w:rFonts w:ascii="Times New Roman" w:hAnsi="Times New Roman" w:cs="Times New Roman"/>
      <w:b/>
      <w:color w:val="000000" w:themeColor="text1"/>
      <w:sz w:val="28"/>
      <w:lang w:val="en-GB"/>
    </w:rPr>
  </w:style>
  <w:style w:type="paragraph" w:styleId="TOCHeading">
    <w:name w:val="TOC Heading"/>
    <w:basedOn w:val="Heading1"/>
    <w:next w:val="Normal"/>
    <w:uiPriority w:val="39"/>
    <w:unhideWhenUsed/>
    <w:qFormat/>
    <w:rsid w:val="00E81760"/>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81760"/>
    <w:pPr>
      <w:spacing w:after="100"/>
    </w:pPr>
  </w:style>
  <w:style w:type="paragraph" w:styleId="TOC2">
    <w:name w:val="toc 2"/>
    <w:basedOn w:val="Normal"/>
    <w:next w:val="Normal"/>
    <w:autoRedefine/>
    <w:uiPriority w:val="39"/>
    <w:unhideWhenUsed/>
    <w:rsid w:val="00E81760"/>
    <w:pPr>
      <w:spacing w:after="100"/>
      <w:ind w:left="220"/>
    </w:pPr>
  </w:style>
  <w:style w:type="paragraph" w:styleId="TOC3">
    <w:name w:val="toc 3"/>
    <w:basedOn w:val="Normal"/>
    <w:next w:val="Normal"/>
    <w:autoRedefine/>
    <w:uiPriority w:val="39"/>
    <w:unhideWhenUsed/>
    <w:rsid w:val="00E81760"/>
    <w:pPr>
      <w:spacing w:after="100"/>
      <w:ind w:left="440"/>
    </w:pPr>
  </w:style>
  <w:style w:type="paragraph" w:styleId="BalloonText">
    <w:name w:val="Balloon Text"/>
    <w:basedOn w:val="Normal"/>
    <w:link w:val="BalloonTextChar"/>
    <w:uiPriority w:val="99"/>
    <w:semiHidden/>
    <w:unhideWhenUsed/>
    <w:rsid w:val="00803A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A1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25826">
      <w:bodyDiv w:val="1"/>
      <w:marLeft w:val="0"/>
      <w:marRight w:val="0"/>
      <w:marTop w:val="0"/>
      <w:marBottom w:val="0"/>
      <w:divBdr>
        <w:top w:val="none" w:sz="0" w:space="0" w:color="auto"/>
        <w:left w:val="none" w:sz="0" w:space="0" w:color="auto"/>
        <w:bottom w:val="none" w:sz="0" w:space="0" w:color="auto"/>
        <w:right w:val="none" w:sz="0" w:space="0" w:color="auto"/>
      </w:divBdr>
    </w:div>
    <w:div w:id="8919923">
      <w:bodyDiv w:val="1"/>
      <w:marLeft w:val="0"/>
      <w:marRight w:val="0"/>
      <w:marTop w:val="0"/>
      <w:marBottom w:val="0"/>
      <w:divBdr>
        <w:top w:val="none" w:sz="0" w:space="0" w:color="auto"/>
        <w:left w:val="none" w:sz="0" w:space="0" w:color="auto"/>
        <w:bottom w:val="none" w:sz="0" w:space="0" w:color="auto"/>
        <w:right w:val="none" w:sz="0" w:space="0" w:color="auto"/>
      </w:divBdr>
    </w:div>
    <w:div w:id="515121737">
      <w:bodyDiv w:val="1"/>
      <w:marLeft w:val="0"/>
      <w:marRight w:val="0"/>
      <w:marTop w:val="0"/>
      <w:marBottom w:val="0"/>
      <w:divBdr>
        <w:top w:val="none" w:sz="0" w:space="0" w:color="auto"/>
        <w:left w:val="none" w:sz="0" w:space="0" w:color="auto"/>
        <w:bottom w:val="none" w:sz="0" w:space="0" w:color="auto"/>
        <w:right w:val="none" w:sz="0" w:space="0" w:color="auto"/>
      </w:divBdr>
    </w:div>
    <w:div w:id="601299232">
      <w:bodyDiv w:val="1"/>
      <w:marLeft w:val="0"/>
      <w:marRight w:val="0"/>
      <w:marTop w:val="0"/>
      <w:marBottom w:val="0"/>
      <w:divBdr>
        <w:top w:val="none" w:sz="0" w:space="0" w:color="auto"/>
        <w:left w:val="none" w:sz="0" w:space="0" w:color="auto"/>
        <w:bottom w:val="none" w:sz="0" w:space="0" w:color="auto"/>
        <w:right w:val="none" w:sz="0" w:space="0" w:color="auto"/>
      </w:divBdr>
    </w:div>
    <w:div w:id="621309835">
      <w:bodyDiv w:val="1"/>
      <w:marLeft w:val="0"/>
      <w:marRight w:val="0"/>
      <w:marTop w:val="0"/>
      <w:marBottom w:val="0"/>
      <w:divBdr>
        <w:top w:val="none" w:sz="0" w:space="0" w:color="auto"/>
        <w:left w:val="none" w:sz="0" w:space="0" w:color="auto"/>
        <w:bottom w:val="none" w:sz="0" w:space="0" w:color="auto"/>
        <w:right w:val="none" w:sz="0" w:space="0" w:color="auto"/>
      </w:divBdr>
    </w:div>
    <w:div w:id="819735036">
      <w:bodyDiv w:val="1"/>
      <w:marLeft w:val="0"/>
      <w:marRight w:val="0"/>
      <w:marTop w:val="0"/>
      <w:marBottom w:val="0"/>
      <w:divBdr>
        <w:top w:val="none" w:sz="0" w:space="0" w:color="auto"/>
        <w:left w:val="none" w:sz="0" w:space="0" w:color="auto"/>
        <w:bottom w:val="none" w:sz="0" w:space="0" w:color="auto"/>
        <w:right w:val="none" w:sz="0" w:space="0" w:color="auto"/>
      </w:divBdr>
    </w:div>
    <w:div w:id="853307601">
      <w:bodyDiv w:val="1"/>
      <w:marLeft w:val="0"/>
      <w:marRight w:val="0"/>
      <w:marTop w:val="0"/>
      <w:marBottom w:val="0"/>
      <w:divBdr>
        <w:top w:val="none" w:sz="0" w:space="0" w:color="auto"/>
        <w:left w:val="none" w:sz="0" w:space="0" w:color="auto"/>
        <w:bottom w:val="none" w:sz="0" w:space="0" w:color="auto"/>
        <w:right w:val="none" w:sz="0" w:space="0" w:color="auto"/>
      </w:divBdr>
    </w:div>
    <w:div w:id="1468861840">
      <w:bodyDiv w:val="1"/>
      <w:marLeft w:val="0"/>
      <w:marRight w:val="0"/>
      <w:marTop w:val="0"/>
      <w:marBottom w:val="0"/>
      <w:divBdr>
        <w:top w:val="none" w:sz="0" w:space="0" w:color="auto"/>
        <w:left w:val="none" w:sz="0" w:space="0" w:color="auto"/>
        <w:bottom w:val="none" w:sz="0" w:space="0" w:color="auto"/>
        <w:right w:val="none" w:sz="0" w:space="0" w:color="auto"/>
      </w:divBdr>
    </w:div>
    <w:div w:id="1523088646">
      <w:bodyDiv w:val="1"/>
      <w:marLeft w:val="0"/>
      <w:marRight w:val="0"/>
      <w:marTop w:val="0"/>
      <w:marBottom w:val="0"/>
      <w:divBdr>
        <w:top w:val="none" w:sz="0" w:space="0" w:color="auto"/>
        <w:left w:val="none" w:sz="0" w:space="0" w:color="auto"/>
        <w:bottom w:val="none" w:sz="0" w:space="0" w:color="auto"/>
        <w:right w:val="none" w:sz="0" w:space="0" w:color="auto"/>
      </w:divBdr>
    </w:div>
    <w:div w:id="1560942374">
      <w:bodyDiv w:val="1"/>
      <w:marLeft w:val="0"/>
      <w:marRight w:val="0"/>
      <w:marTop w:val="0"/>
      <w:marBottom w:val="0"/>
      <w:divBdr>
        <w:top w:val="none" w:sz="0" w:space="0" w:color="auto"/>
        <w:left w:val="none" w:sz="0" w:space="0" w:color="auto"/>
        <w:bottom w:val="none" w:sz="0" w:space="0" w:color="auto"/>
        <w:right w:val="none" w:sz="0" w:space="0" w:color="auto"/>
      </w:divBdr>
      <w:divsChild>
        <w:div w:id="992370540">
          <w:marLeft w:val="0"/>
          <w:marRight w:val="0"/>
          <w:marTop w:val="0"/>
          <w:marBottom w:val="0"/>
          <w:divBdr>
            <w:top w:val="none" w:sz="0" w:space="0" w:color="auto"/>
            <w:left w:val="none" w:sz="0" w:space="0" w:color="auto"/>
            <w:bottom w:val="none" w:sz="0" w:space="0" w:color="auto"/>
            <w:right w:val="none" w:sz="0" w:space="0" w:color="auto"/>
          </w:divBdr>
          <w:divsChild>
            <w:div w:id="2136024799">
              <w:marLeft w:val="0"/>
              <w:marRight w:val="0"/>
              <w:marTop w:val="0"/>
              <w:marBottom w:val="0"/>
              <w:divBdr>
                <w:top w:val="none" w:sz="0" w:space="0" w:color="auto"/>
                <w:left w:val="none" w:sz="0" w:space="0" w:color="auto"/>
                <w:bottom w:val="none" w:sz="0" w:space="0" w:color="auto"/>
                <w:right w:val="none" w:sz="0" w:space="0" w:color="auto"/>
              </w:divBdr>
              <w:divsChild>
                <w:div w:id="767310902">
                  <w:marLeft w:val="0"/>
                  <w:marRight w:val="0"/>
                  <w:marTop w:val="0"/>
                  <w:marBottom w:val="0"/>
                  <w:divBdr>
                    <w:top w:val="none" w:sz="0" w:space="0" w:color="auto"/>
                    <w:left w:val="none" w:sz="0" w:space="0" w:color="auto"/>
                    <w:bottom w:val="none" w:sz="0" w:space="0" w:color="auto"/>
                    <w:right w:val="none" w:sz="0" w:space="0" w:color="auto"/>
                  </w:divBdr>
                  <w:divsChild>
                    <w:div w:id="1168063233">
                      <w:marLeft w:val="0"/>
                      <w:marRight w:val="0"/>
                      <w:marTop w:val="0"/>
                      <w:marBottom w:val="0"/>
                      <w:divBdr>
                        <w:top w:val="none" w:sz="0" w:space="0" w:color="auto"/>
                        <w:left w:val="none" w:sz="0" w:space="0" w:color="auto"/>
                        <w:bottom w:val="none" w:sz="0" w:space="0" w:color="auto"/>
                        <w:right w:val="none" w:sz="0" w:space="0" w:color="auto"/>
                      </w:divBdr>
                      <w:divsChild>
                        <w:div w:id="1944419255">
                          <w:marLeft w:val="0"/>
                          <w:marRight w:val="0"/>
                          <w:marTop w:val="0"/>
                          <w:marBottom w:val="0"/>
                          <w:divBdr>
                            <w:top w:val="none" w:sz="0" w:space="0" w:color="auto"/>
                            <w:left w:val="none" w:sz="0" w:space="0" w:color="auto"/>
                            <w:bottom w:val="none" w:sz="0" w:space="0" w:color="auto"/>
                            <w:right w:val="none" w:sz="0" w:space="0" w:color="auto"/>
                          </w:divBdr>
                          <w:divsChild>
                            <w:div w:id="124353194">
                              <w:marLeft w:val="0"/>
                              <w:marRight w:val="0"/>
                              <w:marTop w:val="0"/>
                              <w:marBottom w:val="0"/>
                              <w:divBdr>
                                <w:top w:val="none" w:sz="0" w:space="0" w:color="auto"/>
                                <w:left w:val="none" w:sz="0" w:space="0" w:color="auto"/>
                                <w:bottom w:val="none" w:sz="0" w:space="0" w:color="auto"/>
                                <w:right w:val="none" w:sz="0" w:space="0" w:color="auto"/>
                              </w:divBdr>
                              <w:divsChild>
                                <w:div w:id="1753119446">
                                  <w:marLeft w:val="0"/>
                                  <w:marRight w:val="0"/>
                                  <w:marTop w:val="0"/>
                                  <w:marBottom w:val="0"/>
                                  <w:divBdr>
                                    <w:top w:val="none" w:sz="0" w:space="0" w:color="auto"/>
                                    <w:left w:val="none" w:sz="0" w:space="0" w:color="auto"/>
                                    <w:bottom w:val="none" w:sz="0" w:space="0" w:color="auto"/>
                                    <w:right w:val="none" w:sz="0" w:space="0" w:color="auto"/>
                                  </w:divBdr>
                                  <w:divsChild>
                                    <w:div w:id="12983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7614195">
      <w:bodyDiv w:val="1"/>
      <w:marLeft w:val="0"/>
      <w:marRight w:val="0"/>
      <w:marTop w:val="0"/>
      <w:marBottom w:val="0"/>
      <w:divBdr>
        <w:top w:val="none" w:sz="0" w:space="0" w:color="auto"/>
        <w:left w:val="none" w:sz="0" w:space="0" w:color="auto"/>
        <w:bottom w:val="none" w:sz="0" w:space="0" w:color="auto"/>
        <w:right w:val="none" w:sz="0" w:space="0" w:color="auto"/>
      </w:divBdr>
    </w:div>
    <w:div w:id="1647859681">
      <w:bodyDiv w:val="1"/>
      <w:marLeft w:val="0"/>
      <w:marRight w:val="0"/>
      <w:marTop w:val="0"/>
      <w:marBottom w:val="0"/>
      <w:divBdr>
        <w:top w:val="none" w:sz="0" w:space="0" w:color="auto"/>
        <w:left w:val="none" w:sz="0" w:space="0" w:color="auto"/>
        <w:bottom w:val="none" w:sz="0" w:space="0" w:color="auto"/>
        <w:right w:val="none" w:sz="0" w:space="0" w:color="auto"/>
      </w:divBdr>
    </w:div>
    <w:div w:id="1829904148">
      <w:bodyDiv w:val="1"/>
      <w:marLeft w:val="0"/>
      <w:marRight w:val="0"/>
      <w:marTop w:val="0"/>
      <w:marBottom w:val="0"/>
      <w:divBdr>
        <w:top w:val="none" w:sz="0" w:space="0" w:color="auto"/>
        <w:left w:val="none" w:sz="0" w:space="0" w:color="auto"/>
        <w:bottom w:val="none" w:sz="0" w:space="0" w:color="auto"/>
        <w:right w:val="none" w:sz="0" w:space="0" w:color="auto"/>
      </w:divBdr>
    </w:div>
    <w:div w:id="1834756096">
      <w:bodyDiv w:val="1"/>
      <w:marLeft w:val="0"/>
      <w:marRight w:val="0"/>
      <w:marTop w:val="0"/>
      <w:marBottom w:val="0"/>
      <w:divBdr>
        <w:top w:val="none" w:sz="0" w:space="0" w:color="auto"/>
        <w:left w:val="none" w:sz="0" w:space="0" w:color="auto"/>
        <w:bottom w:val="none" w:sz="0" w:space="0" w:color="auto"/>
        <w:right w:val="none" w:sz="0" w:space="0" w:color="auto"/>
      </w:divBdr>
    </w:div>
    <w:div w:id="1841891699">
      <w:bodyDiv w:val="1"/>
      <w:marLeft w:val="0"/>
      <w:marRight w:val="0"/>
      <w:marTop w:val="0"/>
      <w:marBottom w:val="0"/>
      <w:divBdr>
        <w:top w:val="none" w:sz="0" w:space="0" w:color="auto"/>
        <w:left w:val="none" w:sz="0" w:space="0" w:color="auto"/>
        <w:bottom w:val="none" w:sz="0" w:space="0" w:color="auto"/>
        <w:right w:val="none" w:sz="0" w:space="0" w:color="auto"/>
      </w:divBdr>
    </w:div>
    <w:div w:id="1891111173">
      <w:bodyDiv w:val="1"/>
      <w:marLeft w:val="0"/>
      <w:marRight w:val="0"/>
      <w:marTop w:val="0"/>
      <w:marBottom w:val="0"/>
      <w:divBdr>
        <w:top w:val="none" w:sz="0" w:space="0" w:color="auto"/>
        <w:left w:val="none" w:sz="0" w:space="0" w:color="auto"/>
        <w:bottom w:val="none" w:sz="0" w:space="0" w:color="auto"/>
        <w:right w:val="none" w:sz="0" w:space="0" w:color="auto"/>
      </w:divBdr>
    </w:div>
    <w:div w:id="1951354492">
      <w:bodyDiv w:val="1"/>
      <w:marLeft w:val="0"/>
      <w:marRight w:val="0"/>
      <w:marTop w:val="0"/>
      <w:marBottom w:val="0"/>
      <w:divBdr>
        <w:top w:val="none" w:sz="0" w:space="0" w:color="auto"/>
        <w:left w:val="none" w:sz="0" w:space="0" w:color="auto"/>
        <w:bottom w:val="none" w:sz="0" w:space="0" w:color="auto"/>
        <w:right w:val="none" w:sz="0" w:space="0" w:color="auto"/>
      </w:divBdr>
    </w:div>
    <w:div w:id="2059013982">
      <w:bodyDiv w:val="1"/>
      <w:marLeft w:val="0"/>
      <w:marRight w:val="0"/>
      <w:marTop w:val="0"/>
      <w:marBottom w:val="0"/>
      <w:divBdr>
        <w:top w:val="none" w:sz="0" w:space="0" w:color="auto"/>
        <w:left w:val="none" w:sz="0" w:space="0" w:color="auto"/>
        <w:bottom w:val="none" w:sz="0" w:space="0" w:color="auto"/>
        <w:right w:val="none" w:sz="0" w:space="0" w:color="auto"/>
      </w:divBdr>
      <w:divsChild>
        <w:div w:id="211428164">
          <w:marLeft w:val="0"/>
          <w:marRight w:val="0"/>
          <w:marTop w:val="0"/>
          <w:marBottom w:val="0"/>
          <w:divBdr>
            <w:top w:val="none" w:sz="0" w:space="0" w:color="auto"/>
            <w:left w:val="none" w:sz="0" w:space="0" w:color="auto"/>
            <w:bottom w:val="none" w:sz="0" w:space="0" w:color="auto"/>
            <w:right w:val="none" w:sz="0" w:space="0" w:color="auto"/>
          </w:divBdr>
          <w:divsChild>
            <w:div w:id="350104419">
              <w:marLeft w:val="0"/>
              <w:marRight w:val="0"/>
              <w:marTop w:val="0"/>
              <w:marBottom w:val="0"/>
              <w:divBdr>
                <w:top w:val="none" w:sz="0" w:space="0" w:color="auto"/>
                <w:left w:val="none" w:sz="0" w:space="0" w:color="auto"/>
                <w:bottom w:val="none" w:sz="0" w:space="0" w:color="auto"/>
                <w:right w:val="none" w:sz="0" w:space="0" w:color="auto"/>
              </w:divBdr>
              <w:divsChild>
                <w:div w:id="1946110134">
                  <w:marLeft w:val="0"/>
                  <w:marRight w:val="0"/>
                  <w:marTop w:val="0"/>
                  <w:marBottom w:val="0"/>
                  <w:divBdr>
                    <w:top w:val="none" w:sz="0" w:space="0" w:color="auto"/>
                    <w:left w:val="none" w:sz="0" w:space="0" w:color="auto"/>
                    <w:bottom w:val="none" w:sz="0" w:space="0" w:color="auto"/>
                    <w:right w:val="none" w:sz="0" w:space="0" w:color="auto"/>
                  </w:divBdr>
                  <w:divsChild>
                    <w:div w:id="1005287362">
                      <w:marLeft w:val="0"/>
                      <w:marRight w:val="0"/>
                      <w:marTop w:val="0"/>
                      <w:marBottom w:val="0"/>
                      <w:divBdr>
                        <w:top w:val="none" w:sz="0" w:space="0" w:color="auto"/>
                        <w:left w:val="none" w:sz="0" w:space="0" w:color="auto"/>
                        <w:bottom w:val="none" w:sz="0" w:space="0" w:color="auto"/>
                        <w:right w:val="none" w:sz="0" w:space="0" w:color="auto"/>
                      </w:divBdr>
                      <w:divsChild>
                        <w:div w:id="1511216172">
                          <w:marLeft w:val="0"/>
                          <w:marRight w:val="0"/>
                          <w:marTop w:val="0"/>
                          <w:marBottom w:val="0"/>
                          <w:divBdr>
                            <w:top w:val="none" w:sz="0" w:space="0" w:color="auto"/>
                            <w:left w:val="none" w:sz="0" w:space="0" w:color="auto"/>
                            <w:bottom w:val="none" w:sz="0" w:space="0" w:color="auto"/>
                            <w:right w:val="none" w:sz="0" w:space="0" w:color="auto"/>
                          </w:divBdr>
                          <w:divsChild>
                            <w:div w:id="1486164165">
                              <w:marLeft w:val="0"/>
                              <w:marRight w:val="0"/>
                              <w:marTop w:val="0"/>
                              <w:marBottom w:val="0"/>
                              <w:divBdr>
                                <w:top w:val="none" w:sz="0" w:space="0" w:color="auto"/>
                                <w:left w:val="none" w:sz="0" w:space="0" w:color="auto"/>
                                <w:bottom w:val="none" w:sz="0" w:space="0" w:color="auto"/>
                                <w:right w:val="none" w:sz="0" w:space="0" w:color="auto"/>
                              </w:divBdr>
                              <w:divsChild>
                                <w:div w:id="835651233">
                                  <w:marLeft w:val="0"/>
                                  <w:marRight w:val="0"/>
                                  <w:marTop w:val="0"/>
                                  <w:marBottom w:val="0"/>
                                  <w:divBdr>
                                    <w:top w:val="none" w:sz="0" w:space="0" w:color="auto"/>
                                    <w:left w:val="none" w:sz="0" w:space="0" w:color="auto"/>
                                    <w:bottom w:val="none" w:sz="0" w:space="0" w:color="auto"/>
                                    <w:right w:val="none" w:sz="0" w:space="0" w:color="auto"/>
                                  </w:divBdr>
                                  <w:divsChild>
                                    <w:div w:id="78573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823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cb.gov.br/en/publications/directinvestmentreport" TargetMode="External"/><Relationship Id="rId26" Type="http://schemas.openxmlformats.org/officeDocument/2006/relationships/hyperlink" Target="https://doi.org/10.1007/s11846-023-00719-9" TargetMode="External"/><Relationship Id="rId39" Type="http://schemas.openxmlformats.org/officeDocument/2006/relationships/hyperlink" Target="https://www.oecd.org/content/dam/oecd/en/publications/reports/2023/12/oecd-economic-surveys-brazil-2023_7de8b505/a2d6acac-en.pdf" TargetMode="External"/><Relationship Id="rId3" Type="http://schemas.microsoft.com/office/2007/relationships/stylesWithEffects" Target="stylesWithEffects.xml"/><Relationship Id="rId21" Type="http://schemas.openxmlformats.org/officeDocument/2006/relationships/hyperlink" Target="https://doi.org/10.1057/s41267-024-00714-6" TargetMode="External"/><Relationship Id="rId34" Type="http://schemas.openxmlformats.org/officeDocument/2006/relationships/hyperlink" Target="https://arxiv.org/abs/2401.13159" TargetMode="External"/><Relationship Id="rId42" Type="http://schemas.openxmlformats.org/officeDocument/2006/relationships/hyperlink" Target="https://www.reuters.com/world/americas/brazils-economy-grows-23-2025-2026-03-03/" TargetMode="External"/><Relationship Id="rId47" Type="http://schemas.openxmlformats.org/officeDocument/2006/relationships/hyperlink" Target="https://unctad.org/system/files/official-document/wir2025_ch01_en.pdf"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cb.gov.br/content/publications/directinvestmentreport/2024/DIR_2025.pdf" TargetMode="External"/><Relationship Id="rId25" Type="http://schemas.openxmlformats.org/officeDocument/2006/relationships/hyperlink" Target="https://www.sec.gov/Archives/edgar/data/909832/000090983224000049/cost-20240901.htm" TargetMode="External"/><Relationship Id="rId33" Type="http://schemas.openxmlformats.org/officeDocument/2006/relationships/hyperlink" Target="https://arxiv.org/abs/2210.14631" TargetMode="External"/><Relationship Id="rId38" Type="http://schemas.openxmlformats.org/officeDocument/2006/relationships/hyperlink" Target="https://doi.org/10.1016/j.nedt.2024.106481" TargetMode="External"/><Relationship Id="rId46" Type="http://schemas.openxmlformats.org/officeDocument/2006/relationships/hyperlink" Target="https://unctad.org/publication/world-investment-report-2025" TargetMode="External"/><Relationship Id="rId2" Type="http://schemas.openxmlformats.org/officeDocument/2006/relationships/styles" Target="styles.xml"/><Relationship Id="rId16" Type="http://schemas.openxmlformats.org/officeDocument/2006/relationships/hyperlink" Target="https://doi.org/10.1007/s10758-024-09751-4" TargetMode="External"/><Relationship Id="rId20" Type="http://schemas.openxmlformats.org/officeDocument/2006/relationships/hyperlink" Target="https://www.gov.br/anpd/pt-br/centrais-de-conteudo/outros-documentos-e-publicacoes-institucionais/lgpd-en-lei-no-13-709-capa.pdf" TargetMode="External"/><Relationship Id="rId29" Type="http://schemas.openxmlformats.org/officeDocument/2006/relationships/hyperlink" Target="https://arxiv.org/abs/2211.04388" TargetMode="External"/><Relationship Id="rId41" Type="http://schemas.openxmlformats.org/officeDocument/2006/relationships/hyperlink" Target="https://www.reuters.com/world/americas/brazil-current-account-deficit-ends-2025-steady-covered-by-fdi-2026-01-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vestor.costco.com/news/news-details/2022/Costco-Wholesale-Corporation-Acquires-Minority-Interest-in-Costco-Taiwan-06-30-2022/default.aspx" TargetMode="External"/><Relationship Id="rId32" Type="http://schemas.openxmlformats.org/officeDocument/2006/relationships/hyperlink" Target="https://doi.org/10.15760/comminfolit.2025.19.1.5" TargetMode="External"/><Relationship Id="rId37" Type="http://schemas.openxmlformats.org/officeDocument/2006/relationships/hyperlink" Target="https://arxiv.org/abs/2301.01277" TargetMode="External"/><Relationship Id="rId40" Type="http://schemas.openxmlformats.org/officeDocument/2006/relationships/hyperlink" Target="https://www.reuters.com/business/retail-consumer/shareholders-approve-carrefour-bid-take-brazil-unit-private-2025-04-25/" TargetMode="External"/><Relationship Id="rId45" Type="http://schemas.openxmlformats.org/officeDocument/2006/relationships/hyperlink" Target="https://www.trade.gov/country-commercial-guides/brazil-investment-climate-statement" TargetMode="External"/><Relationship Id="rId5" Type="http://schemas.openxmlformats.org/officeDocument/2006/relationships/webSettings" Target="webSettings.xml"/><Relationship Id="rId15" Type="http://schemas.openxmlformats.org/officeDocument/2006/relationships/hyperlink" Target="https://doi.org/10.1007/s11409-025-09415-3" TargetMode="External"/><Relationship Id="rId23" Type="http://schemas.openxmlformats.org/officeDocument/2006/relationships/hyperlink" Target="https://investor.costco.com/news/news-details/2012/Costco-Wholesale-Corporation-and-Controladora-Comercial-Mexicana-Agree-to-Transaction-Concerning-Costco-de-Mexico-06-14-2012/default.aspx" TargetMode="External"/><Relationship Id="rId28" Type="http://schemas.openxmlformats.org/officeDocument/2006/relationships/hyperlink" Target="https://doi.org/10.1007/s11575-024-00566-0" TargetMode="External"/><Relationship Id="rId36" Type="http://schemas.openxmlformats.org/officeDocument/2006/relationships/hyperlink" Target="https://doi.org/10.1007/s11301-023-00346-4" TargetMode="External"/><Relationship Id="rId49" Type="http://schemas.openxmlformats.org/officeDocument/2006/relationships/hyperlink" Target="https://www.worldbank.org/en/country/brazil/overview" TargetMode="External"/><Relationship Id="rId10" Type="http://schemas.openxmlformats.org/officeDocument/2006/relationships/image" Target="media/image3.png"/><Relationship Id="rId19" Type="http://schemas.openxmlformats.org/officeDocument/2006/relationships/hyperlink" Target="https://www.gov.br/fazenda/pt-br/acesso-a-informacao/acoes-e-programas/reforma-tributaria" TargetMode="External"/><Relationship Id="rId31" Type="http://schemas.openxmlformats.org/officeDocument/2006/relationships/hyperlink" Target="https://arxiv.org/abs/2201.08444" TargetMode="External"/><Relationship Id="rId44" Type="http://schemas.openxmlformats.org/officeDocument/2006/relationships/hyperlink" Target="https://doi.org/10.1186/s12909-024-05247-y"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rxiv.org/abs/2312.00046" TargetMode="External"/><Relationship Id="rId22" Type="http://schemas.openxmlformats.org/officeDocument/2006/relationships/hyperlink" Target="https://link.springer.com/article/10.1057/s41267-020-00394-y" TargetMode="External"/><Relationship Id="rId27" Type="http://schemas.openxmlformats.org/officeDocument/2006/relationships/hyperlink" Target="https://doi.org/10.1057/s41267-023-00647-6" TargetMode="External"/><Relationship Id="rId30" Type="http://schemas.openxmlformats.org/officeDocument/2006/relationships/hyperlink" Target="https://doi.org/10.1016/j.lrp.2022.102270" TargetMode="External"/><Relationship Id="rId35" Type="http://schemas.openxmlformats.org/officeDocument/2006/relationships/hyperlink" Target="https://arxiv.org/abs/2305.12857" TargetMode="External"/><Relationship Id="rId43" Type="http://schemas.openxmlformats.org/officeDocument/2006/relationships/hyperlink" Target="https://arxiv.org/abs/2411.12110" TargetMode="External"/><Relationship Id="rId48" Type="http://schemas.openxmlformats.org/officeDocument/2006/relationships/hyperlink" Target="https://doi.org/10.1007/s11575-022-00499-6" TargetMode="External"/><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1208DAD-99A4-4E43-924B-722929B1A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8278</Words>
  <Characters>47187</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55355</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2026-08-10T16:51:00Z</dcterms:created>
  <dcterms:modified xsi:type="dcterms:W3CDTF">2026-08-10T16:51:00Z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2026-08-09T10:52:15Z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4c6a69f3-ec67-44f4-90bd-030b5c8b34e2</vt:lpwstr>
  </property>
  <property fmtid="{D5CDD505-2E9C-101B-9397-08002B2CF9AE}" pid="7" name="MSIP_Label_defa4170-0d19-0005-0004-bc88714345d2_ActionId">
    <vt:lpwstr>54a9fad0-d1fc-413a-9296-c2c52418fb5c</vt:lpwstr>
  </property>
  <property fmtid="{D5CDD505-2E9C-101B-9397-08002B2CF9AE}" pid="8" name="MSIP_Label_defa4170-0d19-0005-0004-bc88714345d2_ContentBits">
    <vt:lpwstr>0</vt:lpwstr>
  </property>
  <property fmtid="{D5CDD505-2E9C-101B-9397-08002B2CF9AE}" pid="9" name="MSIP_Label_defa4170-0d19-0005-0004-bc88714345d2_Tag">
    <vt:lpwstr>50, 3, 0, 1</vt:lpwstr>
  </property>
</Properties>
</file>