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66470A" wp14:paraId="2D6AFB84" wp14:textId="090E62BB">
      <w:pPr>
        <w:pStyle w:val="Title"/>
        <w:pBdr>
          <w:bottom w:val="single" w:color="4F81BD" w:sz="8" w:space="4"/>
        </w:pBdr>
        <w:spacing w:before="0" w:beforeAutospacing="off" w:after="300" w:afterAutospacing="off" w:line="360" w:lineRule="auto"/>
        <w:jc w:val="both"/>
        <w:rPr>
          <w:rFonts w:ascii="Arial" w:hAnsi="Arial" w:eastAsia="Arial" w:cs="Arial"/>
          <w:noProof w:val="0"/>
          <w:color w:val="17365D"/>
          <w:sz w:val="22"/>
          <w:szCs w:val="22"/>
          <w:lang w:val="en-US"/>
        </w:rPr>
      </w:pPr>
      <w:r w:rsidRPr="3666470A" w:rsidR="68FFA2FA">
        <w:rPr>
          <w:rFonts w:ascii="Arial" w:hAnsi="Arial" w:eastAsia="Arial" w:cs="Arial"/>
          <w:noProof w:val="0"/>
          <w:color w:val="17365D"/>
          <w:sz w:val="22"/>
          <w:szCs w:val="22"/>
          <w:lang w:val="en-US"/>
        </w:rPr>
        <w:t>Person-</w:t>
      </w:r>
      <w:r w:rsidRPr="3666470A" w:rsidR="68FFA2FA">
        <w:rPr>
          <w:rFonts w:ascii="Arial" w:hAnsi="Arial" w:eastAsia="Arial" w:cs="Arial"/>
          <w:noProof w:val="0"/>
          <w:color w:val="17365D"/>
          <w:sz w:val="22"/>
          <w:szCs w:val="22"/>
          <w:lang w:val="en-US"/>
        </w:rPr>
        <w:t>Centred</w:t>
      </w:r>
      <w:r w:rsidRPr="3666470A" w:rsidR="68FFA2FA">
        <w:rPr>
          <w:rFonts w:ascii="Arial" w:hAnsi="Arial" w:eastAsia="Arial" w:cs="Arial"/>
          <w:noProof w:val="0"/>
          <w:color w:val="17365D"/>
          <w:sz w:val="22"/>
          <w:szCs w:val="22"/>
          <w:lang w:val="en-US"/>
        </w:rPr>
        <w:t xml:space="preserve"> Care and Partnership Working Report</w:t>
      </w:r>
    </w:p>
    <w:p xmlns:wp14="http://schemas.microsoft.com/office/word/2010/wordml" w:rsidP="3666470A" wp14:paraId="13035703" wp14:textId="4D57DABE">
      <w:pPr>
        <w:spacing w:before="0" w:beforeAutospacing="off" w:after="200" w:afterAutospacing="off" w:line="360" w:lineRule="auto"/>
        <w:jc w:val="both"/>
        <w:rPr>
          <w:rFonts w:ascii="Arial" w:hAnsi="Arial" w:eastAsia="Arial" w:cs="Arial"/>
          <w:b w:val="1"/>
          <w:bCs w:val="1"/>
          <w:noProof w:val="0"/>
          <w:sz w:val="22"/>
          <w:szCs w:val="22"/>
          <w:lang w:val="en-US"/>
        </w:rPr>
      </w:pPr>
      <w:r w:rsidRPr="3666470A" w:rsidR="68FFA2FA">
        <w:rPr>
          <w:rFonts w:ascii="Arial" w:hAnsi="Arial" w:eastAsia="Arial" w:cs="Arial"/>
          <w:b w:val="1"/>
          <w:bCs w:val="1"/>
          <w:noProof w:val="0"/>
          <w:sz w:val="22"/>
          <w:szCs w:val="22"/>
          <w:lang w:val="en-US"/>
        </w:rPr>
        <w:t>University of Wales Trinity Saint David</w:t>
      </w:r>
    </w:p>
    <w:p xmlns:wp14="http://schemas.microsoft.com/office/word/2010/wordml" w:rsidP="3666470A" wp14:paraId="2E43C18F" wp14:textId="58F50AC0">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52FA9453" wp14:textId="0E166E28">
      <w:pPr>
        <w:spacing w:before="0" w:beforeAutospacing="off" w:after="200" w:afterAutospacing="off" w:line="360" w:lineRule="auto"/>
        <w:jc w:val="both"/>
        <w:rPr>
          <w:rFonts w:ascii="Arial" w:hAnsi="Arial" w:eastAsia="Arial" w:cs="Arial"/>
          <w:noProof w:val="0"/>
          <w:sz w:val="22"/>
          <w:szCs w:val="22"/>
          <w:lang w:val="en-US"/>
        </w:rPr>
      </w:pPr>
      <w:r w:rsidRPr="3666470A" w:rsidR="2E2F7F8E">
        <w:rPr>
          <w:rFonts w:ascii="Arial" w:hAnsi="Arial" w:eastAsia="Arial" w:cs="Arial"/>
          <w:noProof w:val="0"/>
          <w:sz w:val="22"/>
          <w:szCs w:val="22"/>
          <w:lang w:val="en-US"/>
        </w:rPr>
        <w:t>Name: PRISCILLA OPPONG</w:t>
      </w:r>
    </w:p>
    <w:p xmlns:wp14="http://schemas.microsoft.com/office/word/2010/wordml" w:rsidP="3666470A" wp14:paraId="791C07A7" wp14:textId="63960CE0">
      <w:pPr>
        <w:spacing w:before="0" w:beforeAutospacing="off" w:after="200" w:afterAutospacing="off" w:line="360" w:lineRule="auto"/>
        <w:jc w:val="both"/>
        <w:rPr>
          <w:rFonts w:ascii="Arial" w:hAnsi="Arial" w:eastAsia="Arial" w:cs="Arial"/>
          <w:noProof w:val="0"/>
          <w:sz w:val="22"/>
          <w:szCs w:val="22"/>
          <w:lang w:val="en-US"/>
        </w:rPr>
      </w:pPr>
      <w:r w:rsidRPr="3666470A" w:rsidR="2E2F7F8E">
        <w:rPr>
          <w:rFonts w:ascii="Arial" w:hAnsi="Arial" w:eastAsia="Arial" w:cs="Arial"/>
          <w:noProof w:val="0"/>
          <w:sz w:val="22"/>
          <w:szCs w:val="22"/>
          <w:lang w:val="en-US"/>
        </w:rPr>
        <w:t>Student Number: 2332573</w:t>
      </w:r>
    </w:p>
    <w:p xmlns:wp14="http://schemas.microsoft.com/office/word/2010/wordml" w:rsidP="3666470A" wp14:paraId="214F6523" wp14:textId="6002150C">
      <w:pPr>
        <w:spacing w:before="0" w:beforeAutospacing="off" w:after="200" w:afterAutospacing="off" w:line="360" w:lineRule="auto"/>
        <w:jc w:val="both"/>
        <w:rPr>
          <w:rFonts w:ascii="Arial" w:hAnsi="Arial" w:eastAsia="Arial" w:cs="Arial"/>
          <w:noProof w:val="0"/>
          <w:sz w:val="22"/>
          <w:szCs w:val="22"/>
          <w:lang w:val="en-US"/>
        </w:rPr>
      </w:pPr>
      <w:r w:rsidRPr="3666470A" w:rsidR="2E2F7F8E">
        <w:rPr>
          <w:rFonts w:ascii="Arial" w:hAnsi="Arial" w:eastAsia="Arial" w:cs="Arial"/>
          <w:noProof w:val="0"/>
          <w:sz w:val="22"/>
          <w:szCs w:val="22"/>
          <w:lang w:val="en-US"/>
        </w:rPr>
        <w:t>Module Code: BMHP5016</w:t>
      </w:r>
    </w:p>
    <w:p xmlns:wp14="http://schemas.microsoft.com/office/word/2010/wordml" w:rsidP="3666470A" wp14:paraId="15B4E26C" wp14:textId="7BE0A990">
      <w:pPr>
        <w:pStyle w:val="Normal"/>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Assignment Title: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and Partnership Working Report</w:t>
      </w:r>
    </w:p>
    <w:p xmlns:wp14="http://schemas.microsoft.com/office/word/2010/wordml" w:rsidP="3666470A" wp14:paraId="2C3F8450" wp14:textId="6EEA796B">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Lecturer’s Name: </w:t>
      </w:r>
    </w:p>
    <w:p xmlns:wp14="http://schemas.microsoft.com/office/word/2010/wordml" w:rsidP="3666470A" wp14:paraId="0C19D989" wp14:textId="1F8F600F">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Word Count: 1913 Words</w:t>
      </w:r>
    </w:p>
    <w:p xmlns:wp14="http://schemas.microsoft.com/office/word/2010/wordml" w:rsidP="3666470A" wp14:paraId="5C7B5F88" wp14:textId="6DEFB9FF">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0AD872AF" wp14:textId="3138B20E">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610B0033" wp14:textId="7B3CB420">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2AFF19D5" wp14:textId="7D59BFAF">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69CA1D01" wp14:textId="212D70BE">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0818090C" wp14:textId="447F3FEC">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01B8515F" wp14:textId="341338A6">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6FFDF0AB" wp14:textId="36020E3E">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34A52AB7" wp14:textId="48C80B69">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5328E505" wp14:textId="44326D1F">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67CCBCEC" wp14:textId="4AE05576">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236677B8" wp14:textId="45E2D62E">
      <w:pPr>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13254E6D" wp14:textId="043680A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66470A" w:rsidR="4F9FE8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66470A" w:rsidR="16C55B8E">
        <w:rPr>
          <w:rFonts w:ascii="Arial" w:hAnsi="Arial" w:eastAsia="Arial" w:cs="Arial"/>
          <w:b w:val="1"/>
          <w:bCs w:val="1"/>
          <w:i w:val="0"/>
          <w:iCs w:val="0"/>
          <w:caps w:val="0"/>
          <w:smallCaps w:val="0"/>
          <w:noProof w:val="0"/>
          <w:color w:val="000000" w:themeColor="text1" w:themeTint="FF" w:themeShade="FF"/>
          <w:sz w:val="24"/>
          <w:szCs w:val="24"/>
          <w:lang w:val="en-US"/>
        </w:rPr>
        <w:t>Contents Page</w:t>
      </w:r>
    </w:p>
    <w:p xmlns:wp14="http://schemas.microsoft.com/office/word/2010/wordml" w:rsidP="3666470A" wp14:paraId="18FD5029" wp14:textId="395A533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66470A" w:rsidR="16C55B8E">
        <w:rPr>
          <w:rFonts w:ascii="Arial" w:hAnsi="Arial" w:eastAsia="Arial" w:cs="Arial"/>
          <w:b w:val="0"/>
          <w:bCs w:val="0"/>
          <w:i w:val="0"/>
          <w:iCs w:val="0"/>
          <w:caps w:val="0"/>
          <w:smallCaps w:val="0"/>
          <w:noProof w:val="0"/>
          <w:color w:val="000000" w:themeColor="text1" w:themeTint="FF" w:themeShade="FF"/>
          <w:sz w:val="24"/>
          <w:szCs w:val="24"/>
          <w:lang w:val="en-US"/>
        </w:rPr>
        <w:t xml:space="preserve"> Abstract </w:t>
      </w:r>
    </w:p>
    <w:p xmlns:wp14="http://schemas.microsoft.com/office/word/2010/wordml" w:rsidP="3666470A" wp14:paraId="6AB851BF" wp14:textId="2367605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66470A" wp14:paraId="4D533FCA" wp14:textId="1FA0B54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66470A" w:rsidR="16C55B8E">
        <w:rPr>
          <w:rFonts w:ascii="Arial" w:hAnsi="Arial" w:eastAsia="Arial" w:cs="Arial"/>
          <w:b w:val="0"/>
          <w:bCs w:val="0"/>
          <w:i w:val="0"/>
          <w:iCs w:val="0"/>
          <w:caps w:val="0"/>
          <w:smallCaps w:val="0"/>
          <w:noProof w:val="0"/>
          <w:color w:val="000000" w:themeColor="text1" w:themeTint="FF" w:themeShade="FF"/>
          <w:sz w:val="24"/>
          <w:szCs w:val="24"/>
          <w:lang w:val="en-US"/>
        </w:rPr>
        <w:t xml:space="preserve">1. Introduction </w:t>
      </w:r>
    </w:p>
    <w:p xmlns:wp14="http://schemas.microsoft.com/office/word/2010/wordml" w:rsidP="3666470A" wp14:paraId="361A0CD7" wp14:textId="692B24B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66470A" wp14:paraId="2D6BF7E7" wp14:textId="2E4DF2F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666470A" w:rsidR="16C55B8E">
        <w:rPr>
          <w:rFonts w:ascii="Arial" w:hAnsi="Arial" w:eastAsia="Arial" w:cs="Arial"/>
          <w:b w:val="0"/>
          <w:bCs w:val="0"/>
          <w:i w:val="0"/>
          <w:iCs w:val="0"/>
          <w:caps w:val="0"/>
          <w:smallCaps w:val="0"/>
          <w:noProof w:val="0"/>
          <w:color w:val="000000" w:themeColor="text1" w:themeTint="FF" w:themeShade="FF"/>
          <w:sz w:val="24"/>
          <w:szCs w:val="24"/>
          <w:lang w:val="en-US"/>
        </w:rPr>
        <w:t xml:space="preserve">2. </w:t>
      </w:r>
      <w:r w:rsidRPr="3666470A" w:rsidR="0E66E4C7">
        <w:rPr>
          <w:rFonts w:ascii="Arial" w:hAnsi="Arial" w:eastAsia="Arial" w:cs="Arial"/>
          <w:b w:val="0"/>
          <w:bCs w:val="0"/>
          <w:i w:val="0"/>
          <w:iCs w:val="0"/>
          <w:caps w:val="0"/>
          <w:smallCaps w:val="0"/>
          <w:noProof w:val="0"/>
          <w:color w:val="000000" w:themeColor="text1" w:themeTint="FF" w:themeShade="FF"/>
          <w:sz w:val="24"/>
          <w:szCs w:val="24"/>
          <w:lang w:val="en-US"/>
        </w:rPr>
        <w:t>Definition</w:t>
      </w:r>
      <w:r w:rsidRPr="3666470A" w:rsidR="0E66E4C7">
        <w:rPr>
          <w:rFonts w:ascii="Arial" w:hAnsi="Arial" w:eastAsia="Arial" w:cs="Arial"/>
          <w:b w:val="0"/>
          <w:bCs w:val="0"/>
          <w:i w:val="0"/>
          <w:iCs w:val="0"/>
          <w:caps w:val="0"/>
          <w:smallCaps w:val="0"/>
          <w:noProof w:val="0"/>
          <w:color w:val="000000" w:themeColor="text1" w:themeTint="FF" w:themeShade="FF"/>
          <w:sz w:val="24"/>
          <w:szCs w:val="24"/>
          <w:lang w:val="en-US"/>
        </w:rPr>
        <w:t xml:space="preserve"> of PCC</w:t>
      </w:r>
    </w:p>
    <w:p xmlns:wp14="http://schemas.microsoft.com/office/word/2010/wordml" w:rsidP="3666470A" wp14:paraId="03BA4302" wp14:textId="0C2CC18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66470A" wp14:paraId="55C17407" wp14:textId="37524AB3">
      <w:pPr>
        <w:pStyle w:val="Normal"/>
        <w:spacing w:line="360" w:lineRule="auto"/>
        <w:jc w:val="both"/>
        <w:rPr>
          <w:rFonts w:ascii="Arial" w:hAnsi="Arial" w:eastAsia="Arial" w:cs="Arial"/>
          <w:b w:val="1"/>
          <w:bCs w:val="1"/>
          <w:noProof w:val="0"/>
          <w:color w:val="365F91"/>
          <w:sz w:val="22"/>
          <w:szCs w:val="22"/>
          <w:lang w:val="en-US"/>
        </w:rPr>
      </w:pPr>
      <w:r w:rsidRPr="3666470A" w:rsidR="16C55B8E">
        <w:rPr>
          <w:rFonts w:ascii="Arial" w:hAnsi="Arial" w:eastAsia="Arial" w:cs="Arial"/>
          <w:b w:val="0"/>
          <w:bCs w:val="0"/>
          <w:i w:val="0"/>
          <w:iCs w:val="0"/>
          <w:caps w:val="0"/>
          <w:smallCaps w:val="0"/>
          <w:noProof w:val="0"/>
          <w:color w:val="000000" w:themeColor="text1" w:themeTint="FF" w:themeShade="FF"/>
          <w:sz w:val="24"/>
          <w:szCs w:val="24"/>
          <w:lang w:val="en-US"/>
        </w:rPr>
        <w:t xml:space="preserve">3. </w:t>
      </w:r>
      <w:r w:rsidRPr="3666470A" w:rsidR="2500AB2E">
        <w:rPr>
          <w:rFonts w:ascii="Arial" w:hAnsi="Arial" w:eastAsia="Arial" w:cs="Arial"/>
          <w:b w:val="0"/>
          <w:bCs w:val="0"/>
          <w:noProof w:val="0"/>
          <w:color w:val="000000" w:themeColor="text1" w:themeTint="FF" w:themeShade="FF"/>
          <w:sz w:val="22"/>
          <w:szCs w:val="22"/>
          <w:lang w:val="en-US"/>
        </w:rPr>
        <w:t>Relevant Theories</w:t>
      </w:r>
    </w:p>
    <w:p xmlns:wp14="http://schemas.microsoft.com/office/word/2010/wordml" w:rsidP="3666470A" wp14:paraId="3A60FF99" wp14:textId="04AF2605">
      <w:pPr>
        <w:pStyle w:val="Normal"/>
        <w:spacing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3666470A" wp14:paraId="6E626622" wp14:textId="3D2190AB">
      <w:pPr>
        <w:pStyle w:val="Normal"/>
        <w:spacing w:line="360" w:lineRule="auto"/>
        <w:jc w:val="both"/>
        <w:rPr>
          <w:rFonts w:ascii="Arial" w:hAnsi="Arial" w:eastAsia="Arial" w:cs="Arial"/>
          <w:b w:val="1"/>
          <w:bCs w:val="1"/>
          <w:noProof w:val="0"/>
          <w:color w:val="365F91"/>
          <w:sz w:val="22"/>
          <w:szCs w:val="22"/>
          <w:lang w:val="en-US"/>
        </w:rPr>
      </w:pPr>
      <w:r w:rsidRPr="3666470A" w:rsidR="16C55B8E">
        <w:rPr>
          <w:rFonts w:ascii="Arial" w:hAnsi="Arial" w:eastAsia="Arial" w:cs="Arial"/>
          <w:b w:val="0"/>
          <w:bCs w:val="0"/>
          <w:i w:val="0"/>
          <w:iCs w:val="0"/>
          <w:caps w:val="0"/>
          <w:smallCaps w:val="0"/>
          <w:noProof w:val="0"/>
          <w:color w:val="000000" w:themeColor="text1" w:themeTint="FF" w:themeShade="FF"/>
          <w:sz w:val="24"/>
          <w:szCs w:val="24"/>
          <w:lang w:val="en-US"/>
        </w:rPr>
        <w:t>4.</w:t>
      </w:r>
      <w:r w:rsidRPr="3666470A" w:rsidR="16C55B8E">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3666470A" w:rsidR="2FC37249">
        <w:rPr>
          <w:rFonts w:ascii="Arial" w:hAnsi="Arial" w:eastAsia="Arial" w:cs="Arial"/>
          <w:b w:val="0"/>
          <w:bCs w:val="0"/>
          <w:noProof w:val="0"/>
          <w:color w:val="000000" w:themeColor="text1" w:themeTint="FF" w:themeShade="FF"/>
          <w:sz w:val="22"/>
          <w:szCs w:val="22"/>
          <w:lang w:val="en-US"/>
        </w:rPr>
        <w:t>Ethical Fundamentals</w:t>
      </w:r>
    </w:p>
    <w:p xmlns:wp14="http://schemas.microsoft.com/office/word/2010/wordml" w:rsidP="3666470A" wp14:paraId="27BF0D88" wp14:textId="15B89A2F">
      <w:pPr>
        <w:pStyle w:val="Normal"/>
        <w:spacing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3666470A" wp14:paraId="2A08570C" wp14:textId="71F0A057">
      <w:pPr>
        <w:pStyle w:val="Normal"/>
        <w:spacing w:line="360" w:lineRule="auto"/>
        <w:jc w:val="both"/>
        <w:rPr>
          <w:rFonts w:ascii="Arial" w:hAnsi="Arial" w:eastAsia="Arial" w:cs="Arial"/>
          <w:b w:val="1"/>
          <w:bCs w:val="1"/>
          <w:noProof w:val="0"/>
          <w:color w:val="365F91"/>
          <w:sz w:val="22"/>
          <w:szCs w:val="22"/>
          <w:lang w:val="en-US"/>
        </w:rPr>
      </w:pPr>
      <w:r w:rsidRPr="3666470A" w:rsidR="16C55B8E">
        <w:rPr>
          <w:rFonts w:ascii="Arial" w:hAnsi="Arial" w:eastAsia="Arial" w:cs="Arial"/>
          <w:b w:val="0"/>
          <w:bCs w:val="0"/>
          <w:i w:val="0"/>
          <w:iCs w:val="0"/>
          <w:caps w:val="0"/>
          <w:smallCaps w:val="0"/>
          <w:noProof w:val="0"/>
          <w:color w:val="000000" w:themeColor="text1" w:themeTint="FF" w:themeShade="FF"/>
          <w:sz w:val="24"/>
          <w:szCs w:val="24"/>
          <w:lang w:val="en-US"/>
        </w:rPr>
        <w:t xml:space="preserve">5. </w:t>
      </w:r>
      <w:r w:rsidRPr="3666470A" w:rsidR="65D77712">
        <w:rPr>
          <w:rFonts w:ascii="Arial" w:hAnsi="Arial" w:eastAsia="Arial" w:cs="Arial"/>
          <w:b w:val="0"/>
          <w:bCs w:val="0"/>
          <w:noProof w:val="0"/>
          <w:color w:val="000000" w:themeColor="text1" w:themeTint="FF" w:themeShade="FF"/>
          <w:sz w:val="22"/>
          <w:szCs w:val="22"/>
          <w:lang w:val="en-US"/>
        </w:rPr>
        <w:t>Evaluation of Partnership Working</w:t>
      </w:r>
    </w:p>
    <w:p xmlns:wp14="http://schemas.microsoft.com/office/word/2010/wordml" w:rsidP="3666470A" wp14:paraId="01201172" wp14:textId="5423BEE2">
      <w:pPr>
        <w:pStyle w:val="Normal"/>
        <w:spacing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3666470A" wp14:paraId="11CA659C" wp14:textId="66CBB5C9">
      <w:pPr>
        <w:pStyle w:val="Normal"/>
        <w:spacing w:line="360" w:lineRule="auto"/>
        <w:jc w:val="both"/>
        <w:rPr>
          <w:rFonts w:ascii="Arial" w:hAnsi="Arial" w:eastAsia="Arial" w:cs="Arial"/>
          <w:b w:val="1"/>
          <w:bCs w:val="1"/>
          <w:noProof w:val="0"/>
          <w:color w:val="365F91"/>
          <w:sz w:val="22"/>
          <w:szCs w:val="22"/>
          <w:lang w:val="en-US"/>
        </w:rPr>
      </w:pPr>
      <w:r w:rsidRPr="3666470A" w:rsidR="65D77712">
        <w:rPr>
          <w:rFonts w:ascii="Arial" w:hAnsi="Arial" w:eastAsia="Arial" w:cs="Arial"/>
          <w:b w:val="0"/>
          <w:bCs w:val="0"/>
          <w:noProof w:val="0"/>
          <w:color w:val="000000" w:themeColor="text1" w:themeTint="FF" w:themeShade="FF"/>
          <w:sz w:val="22"/>
          <w:szCs w:val="22"/>
          <w:lang w:val="en-US"/>
        </w:rPr>
        <w:t>6</w:t>
      </w:r>
      <w:r w:rsidRPr="3666470A" w:rsidR="65D77712">
        <w:rPr>
          <w:rFonts w:ascii="Arial" w:hAnsi="Arial" w:eastAsia="Arial" w:cs="Arial"/>
          <w:b w:val="0"/>
          <w:bCs w:val="0"/>
          <w:noProof w:val="0"/>
          <w:color w:val="000000" w:themeColor="text1" w:themeTint="FF" w:themeShade="FF"/>
          <w:sz w:val="22"/>
          <w:szCs w:val="22"/>
          <w:lang w:val="en-US"/>
        </w:rPr>
        <w:t xml:space="preserve">. </w:t>
      </w:r>
      <w:r w:rsidRPr="3666470A" w:rsidR="65D77712">
        <w:rPr>
          <w:rFonts w:ascii="Arial" w:hAnsi="Arial" w:eastAsia="Arial" w:cs="Arial"/>
          <w:b w:val="0"/>
          <w:bCs w:val="0"/>
          <w:noProof w:val="0"/>
          <w:color w:val="000000" w:themeColor="text1" w:themeTint="FF" w:themeShade="FF"/>
          <w:sz w:val="22"/>
          <w:szCs w:val="22"/>
          <w:lang w:val="en-US"/>
        </w:rPr>
        <w:t>Policy and Legislation</w:t>
      </w:r>
    </w:p>
    <w:p xmlns:wp14="http://schemas.microsoft.com/office/word/2010/wordml" w:rsidP="3666470A" wp14:paraId="7247AAB1" wp14:textId="3A1BD33F">
      <w:pPr>
        <w:pStyle w:val="Normal"/>
        <w:spacing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3666470A" wp14:paraId="79F0A663" wp14:textId="26B9E1C7">
      <w:pPr>
        <w:pStyle w:val="Normal"/>
        <w:spacing w:line="360" w:lineRule="auto"/>
        <w:jc w:val="both"/>
        <w:rPr>
          <w:rFonts w:ascii="Arial" w:hAnsi="Arial" w:eastAsia="Arial" w:cs="Arial"/>
          <w:b w:val="1"/>
          <w:bCs w:val="1"/>
          <w:noProof w:val="0"/>
          <w:color w:val="365F91"/>
          <w:sz w:val="22"/>
          <w:szCs w:val="22"/>
          <w:lang w:val="en-US"/>
        </w:rPr>
      </w:pPr>
      <w:r w:rsidRPr="3666470A" w:rsidR="3F641A4D">
        <w:rPr>
          <w:rFonts w:ascii="Arial" w:hAnsi="Arial" w:eastAsia="Arial" w:cs="Arial"/>
          <w:b w:val="0"/>
          <w:bCs w:val="0"/>
          <w:noProof w:val="0"/>
          <w:color w:val="000000" w:themeColor="text1" w:themeTint="FF" w:themeShade="FF"/>
          <w:sz w:val="22"/>
          <w:szCs w:val="22"/>
          <w:lang w:val="en-US"/>
        </w:rPr>
        <w:t xml:space="preserve">7. </w:t>
      </w:r>
      <w:r w:rsidRPr="3666470A" w:rsidR="3753BE8F">
        <w:rPr>
          <w:rFonts w:ascii="Arial" w:hAnsi="Arial" w:eastAsia="Arial" w:cs="Arial"/>
          <w:b w:val="0"/>
          <w:bCs w:val="0"/>
          <w:noProof w:val="0"/>
          <w:color w:val="000000" w:themeColor="text1" w:themeTint="FF" w:themeShade="FF"/>
          <w:sz w:val="22"/>
          <w:szCs w:val="22"/>
          <w:lang w:val="en-US"/>
        </w:rPr>
        <w:t>Recommendations</w:t>
      </w:r>
    </w:p>
    <w:p xmlns:wp14="http://schemas.microsoft.com/office/word/2010/wordml" w:rsidP="3666470A" wp14:paraId="5F1B04D0" wp14:textId="36B8D817">
      <w:pPr>
        <w:pStyle w:val="Normal"/>
        <w:spacing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3666470A" wp14:paraId="4077F744" wp14:textId="743B9D7C">
      <w:pPr>
        <w:pStyle w:val="Normal"/>
        <w:spacing w:line="360" w:lineRule="auto"/>
        <w:jc w:val="both"/>
        <w:rPr>
          <w:rFonts w:ascii="Arial" w:hAnsi="Arial" w:eastAsia="Arial" w:cs="Arial"/>
          <w:b w:val="1"/>
          <w:bCs w:val="1"/>
          <w:noProof w:val="0"/>
          <w:color w:val="365F91"/>
          <w:sz w:val="22"/>
          <w:szCs w:val="22"/>
          <w:lang w:val="en-US"/>
        </w:rPr>
      </w:pPr>
      <w:r w:rsidRPr="3666470A" w:rsidR="3753BE8F">
        <w:rPr>
          <w:rFonts w:ascii="Arial" w:hAnsi="Arial" w:eastAsia="Arial" w:cs="Arial"/>
          <w:b w:val="0"/>
          <w:bCs w:val="0"/>
          <w:noProof w:val="0"/>
          <w:color w:val="000000" w:themeColor="text1" w:themeTint="FF" w:themeShade="FF"/>
          <w:sz w:val="22"/>
          <w:szCs w:val="22"/>
          <w:lang w:val="en-US"/>
        </w:rPr>
        <w:t xml:space="preserve">8. </w:t>
      </w:r>
      <w:r w:rsidRPr="3666470A" w:rsidR="3753BE8F">
        <w:rPr>
          <w:rFonts w:ascii="Arial" w:hAnsi="Arial" w:eastAsia="Arial" w:cs="Arial"/>
          <w:b w:val="0"/>
          <w:bCs w:val="0"/>
          <w:noProof w:val="0"/>
          <w:color w:val="000000" w:themeColor="text1" w:themeTint="FF" w:themeShade="FF"/>
          <w:sz w:val="22"/>
          <w:szCs w:val="22"/>
          <w:lang w:val="en-US"/>
        </w:rPr>
        <w:t>Conclusion</w:t>
      </w:r>
    </w:p>
    <w:p xmlns:wp14="http://schemas.microsoft.com/office/word/2010/wordml" w:rsidP="3666470A" wp14:paraId="0AB33BC0" wp14:textId="3CC1D1AA">
      <w:pPr>
        <w:pStyle w:val="Normal"/>
        <w:spacing w:before="480" w:beforeAutospacing="off" w:after="0" w:afterAutospacing="off" w:line="360" w:lineRule="auto"/>
        <w:jc w:val="both"/>
        <w:rPr>
          <w:rFonts w:ascii="Arial" w:hAnsi="Arial" w:eastAsia="Arial" w:cs="Arial"/>
          <w:b w:val="1"/>
          <w:bCs w:val="1"/>
          <w:noProof w:val="0"/>
          <w:color w:val="365F91"/>
          <w:sz w:val="22"/>
          <w:szCs w:val="22"/>
          <w:lang w:val="en-US"/>
        </w:rPr>
      </w:pPr>
      <w:r w:rsidRPr="3666470A" w:rsidR="3753BE8F">
        <w:rPr>
          <w:rFonts w:ascii="Arial" w:hAnsi="Arial" w:eastAsia="Arial" w:cs="Arial"/>
          <w:b w:val="0"/>
          <w:bCs w:val="0"/>
          <w:noProof w:val="0"/>
          <w:color w:val="000000" w:themeColor="text1" w:themeTint="FF" w:themeShade="FF"/>
          <w:sz w:val="22"/>
          <w:szCs w:val="22"/>
          <w:lang w:val="en-US"/>
        </w:rPr>
        <w:t xml:space="preserve">9. </w:t>
      </w:r>
      <w:r w:rsidRPr="3666470A" w:rsidR="6C1764FB">
        <w:rPr>
          <w:rFonts w:ascii="Arial" w:hAnsi="Arial" w:eastAsia="Arial" w:cs="Arial"/>
          <w:b w:val="0"/>
          <w:bCs w:val="0"/>
          <w:noProof w:val="0"/>
          <w:color w:val="000000" w:themeColor="text1" w:themeTint="FF" w:themeShade="FF"/>
          <w:sz w:val="22"/>
          <w:szCs w:val="22"/>
          <w:lang w:val="en-US"/>
        </w:rPr>
        <w:t>Reference List</w:t>
      </w:r>
    </w:p>
    <w:p xmlns:wp14="http://schemas.microsoft.com/office/word/2010/wordml" w:rsidP="3666470A" wp14:paraId="3573A0D7" wp14:textId="21027C1A">
      <w:pPr>
        <w:pStyle w:val="Normal"/>
        <w:spacing w:line="360" w:lineRule="auto"/>
        <w:jc w:val="both"/>
        <w:rPr>
          <w:rFonts w:ascii="Arial" w:hAnsi="Arial" w:eastAsia="Arial" w:cs="Arial"/>
          <w:b w:val="0"/>
          <w:bCs w:val="0"/>
          <w:noProof w:val="0"/>
          <w:color w:val="000000" w:themeColor="text1" w:themeTint="FF" w:themeShade="FF"/>
          <w:sz w:val="22"/>
          <w:szCs w:val="22"/>
          <w:lang w:val="en-US"/>
        </w:rPr>
      </w:pPr>
    </w:p>
    <w:p xmlns:wp14="http://schemas.microsoft.com/office/word/2010/wordml" w:rsidP="3666470A" wp14:paraId="7CAF699C" wp14:textId="36E002E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666470A" wp14:paraId="234A9F03" wp14:textId="41E7904E">
      <w:pPr>
        <w:pStyle w:val="Normal"/>
        <w:spacing w:before="0" w:beforeAutospacing="off" w:after="200" w:afterAutospacing="off" w:line="360" w:lineRule="auto"/>
        <w:jc w:val="both"/>
        <w:rPr>
          <w:rFonts w:ascii="Arial" w:hAnsi="Arial" w:eastAsia="Arial" w:cs="Arial"/>
          <w:noProof w:val="0"/>
          <w:sz w:val="22"/>
          <w:szCs w:val="22"/>
          <w:lang w:val="en-US"/>
        </w:rPr>
      </w:pPr>
    </w:p>
    <w:p xmlns:wp14="http://schemas.microsoft.com/office/word/2010/wordml" w:rsidP="3666470A" wp14:paraId="4B21B89F" wp14:textId="4D85F495">
      <w:pPr>
        <w:pStyle w:val="Heading1"/>
        <w:spacing w:before="0" w:beforeAutospacing="off" w:after="20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Abstract</w:t>
      </w:r>
    </w:p>
    <w:p xmlns:wp14="http://schemas.microsoft.com/office/word/2010/wordml" w:rsidP="3666470A" wp14:paraId="0B174E7E" wp14:textId="3CAFF4C1">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This report critically explores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(PCC) and Partnership Working (PW) within UK community mental health services. It examines how PCC and PW promote dignity, autonomy, and holistic wellbeing through collaborative, ethical, and inclusive care. Theoretical foundations including Bronfenbrenner’s Ecological Model and the Social Model of Health are </w:t>
      </w:r>
      <w:r w:rsidRPr="3666470A" w:rsidR="68FFA2FA">
        <w:rPr>
          <w:rFonts w:ascii="Arial" w:hAnsi="Arial" w:eastAsia="Arial" w:cs="Arial"/>
          <w:noProof w:val="0"/>
          <w:sz w:val="22"/>
          <w:szCs w:val="22"/>
          <w:lang w:val="en-US"/>
        </w:rPr>
        <w:t>analysed</w:t>
      </w:r>
      <w:r w:rsidRPr="3666470A" w:rsidR="68FFA2FA">
        <w:rPr>
          <w:rFonts w:ascii="Arial" w:hAnsi="Arial" w:eastAsia="Arial" w:cs="Arial"/>
          <w:noProof w:val="0"/>
          <w:sz w:val="22"/>
          <w:szCs w:val="22"/>
          <w:lang w:val="en-US"/>
        </w:rPr>
        <w:t xml:space="preserve">, linking them to PCC and PW practice. Ethical principles of autonomy, beneficence, non-maleficence, and justice are discussed. The report also evaluates UK legislation such as the Care Act 2014, Equality Act 2010, and Health and Care Act 2022, </w:t>
      </w:r>
      <w:r w:rsidRPr="3666470A" w:rsidR="68FFA2FA">
        <w:rPr>
          <w:rFonts w:ascii="Arial" w:hAnsi="Arial" w:eastAsia="Arial" w:cs="Arial"/>
          <w:noProof w:val="0"/>
          <w:sz w:val="22"/>
          <w:szCs w:val="22"/>
          <w:lang w:val="en-US"/>
        </w:rPr>
        <w:t>identifying</w:t>
      </w:r>
      <w:r w:rsidRPr="3666470A" w:rsidR="68FFA2FA">
        <w:rPr>
          <w:rFonts w:ascii="Arial" w:hAnsi="Arial" w:eastAsia="Arial" w:cs="Arial"/>
          <w:noProof w:val="0"/>
          <w:sz w:val="22"/>
          <w:szCs w:val="22"/>
          <w:lang w:val="en-US"/>
        </w:rPr>
        <w:t xml:space="preserve"> barriers and offering evidence-based recommendations for enhancing integrated,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mental health care.</w:t>
      </w:r>
    </w:p>
    <w:p xmlns:wp14="http://schemas.microsoft.com/office/word/2010/wordml" w:rsidP="3666470A" wp14:paraId="69DCFB58" wp14:textId="29D20ECE">
      <w:pPr>
        <w:pStyle w:val="Heading1"/>
        <w:numPr>
          <w:ilvl w:val="0"/>
          <w:numId w:val="1"/>
        </w:numPr>
        <w:spacing w:before="0" w:beforeAutospacing="off" w:after="0" w:afterAutospacing="off" w:line="360" w:lineRule="auto"/>
        <w:ind w:left="720" w:right="0" w:hanging="360"/>
        <w:jc w:val="both"/>
        <w:rPr>
          <w:rFonts w:ascii="Arial" w:hAnsi="Arial" w:eastAsia="Arial" w:cs="Arial"/>
          <w:noProof w:val="0"/>
          <w:color w:val="365F91"/>
          <w:sz w:val="22"/>
          <w:szCs w:val="22"/>
          <w:lang w:val="en-US"/>
        </w:rPr>
      </w:pPr>
      <w:r w:rsidRPr="3666470A" w:rsidR="68FFA2FA">
        <w:rPr>
          <w:rFonts w:ascii="Arial" w:hAnsi="Arial" w:eastAsia="Arial" w:cs="Arial"/>
          <w:noProof w:val="0"/>
          <w:color w:val="365F91"/>
          <w:sz w:val="22"/>
          <w:szCs w:val="22"/>
          <w:lang w:val="en-US"/>
        </w:rPr>
        <w:t>Introduction</w:t>
      </w:r>
    </w:p>
    <w:p xmlns:wp14="http://schemas.microsoft.com/office/word/2010/wordml" w:rsidP="3666470A" wp14:paraId="2A204BE4" wp14:textId="78DC55D8">
      <w:pPr>
        <w:spacing w:after="160" w:line="360" w:lineRule="auto"/>
        <w:jc w:val="both"/>
        <w:rPr>
          <w:rFonts w:ascii="Arial" w:hAnsi="Arial" w:eastAsia="Arial" w:cs="Arial"/>
          <w:noProof w:val="0"/>
          <w:sz w:val="22"/>
          <w:szCs w:val="22"/>
          <w:lang w:val="en-US"/>
        </w:rPr>
      </w:pPr>
      <w:r w:rsidRPr="3666470A" w:rsidR="2B81E46E">
        <w:rPr>
          <w:rFonts w:ascii="Arial" w:hAnsi="Arial" w:eastAsia="Arial" w:cs="Arial"/>
          <w:b w:val="0"/>
          <w:bCs w:val="0"/>
          <w:i w:val="0"/>
          <w:iCs w:val="0"/>
          <w:caps w:val="0"/>
          <w:smallCaps w:val="0"/>
          <w:noProof w:val="0"/>
          <w:color w:val="000000" w:themeColor="text1" w:themeTint="FF" w:themeShade="FF"/>
          <w:sz w:val="22"/>
          <w:szCs w:val="22"/>
          <w:lang w:val="en-GB"/>
        </w:rPr>
        <w:t>Person-Centred Care (PCC) and Partnership Working (PW) are central principles in modern health and social care, promoting collaborative, respectful, and holistic approaches to meeting individual needs</w:t>
      </w:r>
      <w:r w:rsidRPr="3666470A" w:rsidR="2B81E4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66470A" w:rsidR="68FFA2FA">
        <w:rPr>
          <w:rFonts w:ascii="Arial" w:hAnsi="Arial" w:eastAsia="Arial" w:cs="Arial"/>
          <w:noProof w:val="0"/>
          <w:sz w:val="22"/>
          <w:szCs w:val="22"/>
          <w:lang w:val="en-US"/>
        </w:rPr>
        <w:t xml:space="preserve">PCC </w:t>
      </w:r>
      <w:r w:rsidRPr="3666470A" w:rsidR="68FFA2FA">
        <w:rPr>
          <w:rFonts w:ascii="Arial" w:hAnsi="Arial" w:eastAsia="Arial" w:cs="Arial"/>
          <w:noProof w:val="0"/>
          <w:sz w:val="22"/>
          <w:szCs w:val="22"/>
          <w:lang w:val="en-US"/>
        </w:rPr>
        <w:t>emphasises</w:t>
      </w:r>
      <w:r w:rsidRPr="3666470A" w:rsidR="68FFA2FA">
        <w:rPr>
          <w:rFonts w:ascii="Arial" w:hAnsi="Arial" w:eastAsia="Arial" w:cs="Arial"/>
          <w:noProof w:val="0"/>
          <w:sz w:val="22"/>
          <w:szCs w:val="22"/>
          <w:lang w:val="en-US"/>
        </w:rPr>
        <w:t xml:space="preserve"> treating people with dignity, respecting their preferences, and involving them actively in care decisions. Partnership working complements this by encouraging collaboration among healthcare professionals, service users, carers, and external agencies to achieve shared goals and improved outcomes. Together, these approaches underpin the quality standards expected across UK health and social care services. </w:t>
      </w:r>
    </w:p>
    <w:p xmlns:wp14="http://schemas.microsoft.com/office/word/2010/wordml" w:rsidP="3666470A" wp14:paraId="2510FA54" wp14:textId="3EB20859">
      <w:pPr>
        <w:spacing w:after="160"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The purpose of this report is to critically explore the principles, theoretical foundations, and ethical considerations of PCC and PW, with a particular focus on their application within community mental health services.</w:t>
      </w:r>
      <w:r w:rsidRPr="3666470A" w:rsidR="68FFA2FA">
        <w:rPr>
          <w:rFonts w:ascii="Arial" w:hAnsi="Arial" w:eastAsia="Arial" w:cs="Arial"/>
          <w:noProof w:val="0"/>
          <w:sz w:val="22"/>
          <w:szCs w:val="22"/>
          <w:lang w:val="en-US"/>
        </w:rPr>
        <w:t xml:space="preserve"> This setting is chosen because it requires complex interprofessional collaboration and continuous engagement with service users experiencing varied mental health conditions. </w:t>
      </w:r>
    </w:p>
    <w:p xmlns:wp14="http://schemas.microsoft.com/office/word/2010/wordml" w:rsidP="3666470A" wp14:paraId="5414F20E" wp14:textId="729664C0">
      <w:pPr>
        <w:pStyle w:val="Normal"/>
        <w:spacing w:before="0" w:beforeAutospacing="off" w:after="0" w:afterAutospacing="off" w:line="360" w:lineRule="auto"/>
        <w:ind w:left="0" w:right="0" w:hanging="0"/>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The report examines how PCC and PW enhance service delivery, patient satisfaction, and recovery while </w:t>
      </w:r>
      <w:r w:rsidRPr="3666470A" w:rsidR="68FFA2FA">
        <w:rPr>
          <w:rFonts w:ascii="Arial" w:hAnsi="Arial" w:eastAsia="Arial" w:cs="Arial"/>
          <w:noProof w:val="0"/>
          <w:sz w:val="22"/>
          <w:szCs w:val="22"/>
          <w:lang w:val="en-US"/>
        </w:rPr>
        <w:t>identifying</w:t>
      </w:r>
      <w:r w:rsidRPr="3666470A" w:rsidR="68FFA2FA">
        <w:rPr>
          <w:rFonts w:ascii="Arial" w:hAnsi="Arial" w:eastAsia="Arial" w:cs="Arial"/>
          <w:noProof w:val="0"/>
          <w:sz w:val="22"/>
          <w:szCs w:val="22"/>
          <w:lang w:val="en-US"/>
        </w:rPr>
        <w:t xml:space="preserve"> barriers such as communication breakdowns and resource limitations. Each section will address key aspects of the topic. It begins with definitions and theoretical underpinnings of PCC, followed by an analysis of ethical fundamentals and partnership approaches. The influence of UK policies and legislation is then explored to understand their impact on practice. The report concludes with evidence-based recommendations aimed at strengthening PCC and PW within community mental health settings, promoting effective, inclusive, and compassionate care.</w:t>
      </w:r>
    </w:p>
    <w:p xmlns:wp14="http://schemas.microsoft.com/office/word/2010/wordml" w:rsidP="3666470A" wp14:paraId="0B6759DD" wp14:textId="5C4668B5">
      <w:pPr>
        <w:pStyle w:val="Normal"/>
        <w:spacing w:before="0" w:beforeAutospacing="off" w:after="0" w:afterAutospacing="off" w:line="360" w:lineRule="auto"/>
        <w:ind w:left="0" w:right="0" w:hanging="0"/>
        <w:jc w:val="both"/>
        <w:rPr>
          <w:rFonts w:ascii="Arial" w:hAnsi="Arial" w:eastAsia="Arial" w:cs="Arial"/>
          <w:noProof w:val="0"/>
          <w:sz w:val="22"/>
          <w:szCs w:val="22"/>
          <w:lang w:val="en-US"/>
        </w:rPr>
      </w:pPr>
    </w:p>
    <w:p xmlns:wp14="http://schemas.microsoft.com/office/word/2010/wordml" w:rsidP="3666470A" wp14:paraId="01D92EF5" wp14:textId="69C57B9D">
      <w:pPr>
        <w:spacing w:before="0" w:beforeAutospacing="off" w:after="20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2. Definition of Person-</w:t>
      </w:r>
      <w:r w:rsidRPr="3666470A" w:rsidR="68FFA2FA">
        <w:rPr>
          <w:rFonts w:ascii="Arial" w:hAnsi="Arial" w:eastAsia="Arial" w:cs="Arial"/>
          <w:b w:val="1"/>
          <w:bCs w:val="1"/>
          <w:noProof w:val="0"/>
          <w:color w:val="365F91"/>
          <w:sz w:val="22"/>
          <w:szCs w:val="22"/>
          <w:lang w:val="en-US"/>
        </w:rPr>
        <w:t>Centred</w:t>
      </w:r>
      <w:r w:rsidRPr="3666470A" w:rsidR="68FFA2FA">
        <w:rPr>
          <w:rFonts w:ascii="Arial" w:hAnsi="Arial" w:eastAsia="Arial" w:cs="Arial"/>
          <w:b w:val="1"/>
          <w:bCs w:val="1"/>
          <w:noProof w:val="0"/>
          <w:color w:val="365F91"/>
          <w:sz w:val="22"/>
          <w:szCs w:val="22"/>
          <w:lang w:val="en-US"/>
        </w:rPr>
        <w:t xml:space="preserve"> Care</w:t>
      </w:r>
    </w:p>
    <w:p xmlns:wp14="http://schemas.microsoft.com/office/word/2010/wordml" w:rsidP="3666470A" wp14:paraId="2E3F8D41" wp14:textId="2DEB43B5">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(PCC) is </w:t>
      </w:r>
      <w:r w:rsidRPr="3666470A" w:rsidR="68FFA2FA">
        <w:rPr>
          <w:rFonts w:ascii="Arial" w:hAnsi="Arial" w:eastAsia="Arial" w:cs="Arial"/>
          <w:noProof w:val="0"/>
          <w:sz w:val="22"/>
          <w:szCs w:val="22"/>
          <w:lang w:val="en-US"/>
        </w:rPr>
        <w:t>a holistic approach</w:t>
      </w:r>
      <w:r w:rsidRPr="3666470A" w:rsidR="68FFA2FA">
        <w:rPr>
          <w:rFonts w:ascii="Arial" w:hAnsi="Arial" w:eastAsia="Arial" w:cs="Arial"/>
          <w:noProof w:val="0"/>
          <w:sz w:val="22"/>
          <w:szCs w:val="22"/>
          <w:lang w:val="en-US"/>
        </w:rPr>
        <w:t xml:space="preserve"> that places individuals at the </w:t>
      </w:r>
      <w:r w:rsidRPr="3666470A" w:rsidR="68FFA2FA">
        <w:rPr>
          <w:rFonts w:ascii="Arial" w:hAnsi="Arial" w:eastAsia="Arial" w:cs="Arial"/>
          <w:noProof w:val="0"/>
          <w:sz w:val="22"/>
          <w:szCs w:val="22"/>
          <w:lang w:val="en-US"/>
        </w:rPr>
        <w:t>centre</w:t>
      </w:r>
      <w:r w:rsidRPr="3666470A" w:rsidR="68FFA2FA">
        <w:rPr>
          <w:rFonts w:ascii="Arial" w:hAnsi="Arial" w:eastAsia="Arial" w:cs="Arial"/>
          <w:noProof w:val="0"/>
          <w:sz w:val="22"/>
          <w:szCs w:val="22"/>
          <w:lang w:val="en-US"/>
        </w:rPr>
        <w:t xml:space="preserve"> of all care decisions, </w:t>
      </w:r>
      <w:r w:rsidRPr="3666470A" w:rsidR="68FFA2FA">
        <w:rPr>
          <w:rFonts w:ascii="Arial" w:hAnsi="Arial" w:eastAsia="Arial" w:cs="Arial"/>
          <w:noProof w:val="0"/>
          <w:sz w:val="22"/>
          <w:szCs w:val="22"/>
          <w:lang w:val="en-US"/>
        </w:rPr>
        <w:t>recognising</w:t>
      </w:r>
      <w:r w:rsidRPr="3666470A" w:rsidR="68FFA2FA">
        <w:rPr>
          <w:rFonts w:ascii="Arial" w:hAnsi="Arial" w:eastAsia="Arial" w:cs="Arial"/>
          <w:noProof w:val="0"/>
          <w:sz w:val="22"/>
          <w:szCs w:val="22"/>
          <w:lang w:val="en-US"/>
        </w:rPr>
        <w:t xml:space="preserve"> them as active partners rather than passive recipients (McCormack &amp; McCance, 2017). It aligns with recovery-oriented practice, </w:t>
      </w:r>
      <w:r w:rsidRPr="3666470A" w:rsidR="68FFA2FA">
        <w:rPr>
          <w:rFonts w:ascii="Arial" w:hAnsi="Arial" w:eastAsia="Arial" w:cs="Arial"/>
          <w:noProof w:val="0"/>
          <w:sz w:val="22"/>
          <w:szCs w:val="22"/>
          <w:lang w:val="en-US"/>
        </w:rPr>
        <w:t>emphasising</w:t>
      </w:r>
      <w:r w:rsidRPr="3666470A" w:rsidR="68FFA2FA">
        <w:rPr>
          <w:rFonts w:ascii="Arial" w:hAnsi="Arial" w:eastAsia="Arial" w:cs="Arial"/>
          <w:noProof w:val="0"/>
          <w:sz w:val="22"/>
          <w:szCs w:val="22"/>
          <w:lang w:val="en-US"/>
        </w:rPr>
        <w:t xml:space="preserve"> empowerment, autonomy, and meaningful participation in health and wellbeing (NHS England, 2023). PCC improves patient satisfaction, treatment adherence, and health outcomes (Slade, 2017). In mental health, it fosters trust, reduces stigma, and encourages service user engagement (Thompson et al., 2021). Implementing PCC requires flexibility, cultural competence, and effective communication to address complex and diverse needs, though challenges such as high caseloads, limited resources, and </w:t>
      </w:r>
      <w:r w:rsidRPr="3666470A" w:rsidR="68FFA2FA">
        <w:rPr>
          <w:rFonts w:ascii="Arial" w:hAnsi="Arial" w:eastAsia="Arial" w:cs="Arial"/>
          <w:noProof w:val="0"/>
          <w:sz w:val="22"/>
          <w:szCs w:val="22"/>
          <w:lang w:val="en-US"/>
        </w:rPr>
        <w:t>organisational</w:t>
      </w:r>
      <w:r w:rsidRPr="3666470A" w:rsidR="68FFA2FA">
        <w:rPr>
          <w:rFonts w:ascii="Arial" w:hAnsi="Arial" w:eastAsia="Arial" w:cs="Arial"/>
          <w:noProof w:val="0"/>
          <w:sz w:val="22"/>
          <w:szCs w:val="22"/>
          <w:lang w:val="en-US"/>
        </w:rPr>
        <w:t xml:space="preserve"> priorities can hinder practice (Care Quality Commission, 2020; The King’s Fund, 2022; Glasby &amp; Dickinson, 2022).</w:t>
      </w:r>
    </w:p>
    <w:p xmlns:wp14="http://schemas.microsoft.com/office/word/2010/wordml" w:rsidP="3666470A" wp14:paraId="56502117" wp14:textId="1C45E85E">
      <w:pPr>
        <w:pStyle w:val="Heading1"/>
        <w:spacing w:before="480" w:beforeAutospacing="off" w:after="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3. Relevant Theories</w:t>
      </w:r>
    </w:p>
    <w:p xmlns:wp14="http://schemas.microsoft.com/office/word/2010/wordml" w:rsidP="3666470A" wp14:paraId="0CB33D0F" wp14:textId="166C90C7">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This section analyses Bronfenbrenner’s Ecological Model and the Social Model of Health as frameworks for PCC and PW.</w:t>
      </w:r>
    </w:p>
    <w:p xmlns:wp14="http://schemas.microsoft.com/office/word/2010/wordml" w:rsidP="3666470A" wp14:paraId="73E1B76F" wp14:textId="677B9B07">
      <w:pPr>
        <w:pStyle w:val="Heading2"/>
        <w:spacing w:before="200" w:beforeAutospacing="off" w:after="0" w:afterAutospacing="off" w:line="360" w:lineRule="auto"/>
        <w:jc w:val="both"/>
        <w:rPr>
          <w:rFonts w:ascii="Arial" w:hAnsi="Arial" w:eastAsia="Arial" w:cs="Arial"/>
          <w:b w:val="1"/>
          <w:bCs w:val="1"/>
          <w:noProof w:val="0"/>
          <w:color w:val="4F81BD"/>
          <w:sz w:val="22"/>
          <w:szCs w:val="22"/>
          <w:lang w:val="en-US"/>
        </w:rPr>
      </w:pPr>
      <w:r w:rsidRPr="3666470A" w:rsidR="68FFA2FA">
        <w:rPr>
          <w:rFonts w:ascii="Arial" w:hAnsi="Arial" w:eastAsia="Arial" w:cs="Arial"/>
          <w:b w:val="1"/>
          <w:bCs w:val="1"/>
          <w:noProof w:val="0"/>
          <w:color w:val="4F81BD"/>
          <w:sz w:val="22"/>
          <w:szCs w:val="22"/>
          <w:lang w:val="en-US"/>
        </w:rPr>
        <w:t xml:space="preserve"> Bronfenbrenner’s Ecological Model</w:t>
      </w:r>
    </w:p>
    <w:p xmlns:wp14="http://schemas.microsoft.com/office/word/2010/wordml" w:rsidP="3666470A" wp14:paraId="06A3177E" wp14:textId="037BF8D7">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Bronfenbrenner’s model posits that human development occurs within nested systems microsystem, mesosystem, </w:t>
      </w:r>
      <w:r w:rsidRPr="3666470A" w:rsidR="68FFA2FA">
        <w:rPr>
          <w:rFonts w:ascii="Arial" w:hAnsi="Arial" w:eastAsia="Arial" w:cs="Arial"/>
          <w:noProof w:val="0"/>
          <w:sz w:val="22"/>
          <w:szCs w:val="22"/>
          <w:lang w:val="en-US"/>
        </w:rPr>
        <w:t>exosystem</w:t>
      </w:r>
      <w:r w:rsidRPr="3666470A" w:rsidR="68FFA2FA">
        <w:rPr>
          <w:rFonts w:ascii="Arial" w:hAnsi="Arial" w:eastAsia="Arial" w:cs="Arial"/>
          <w:noProof w:val="0"/>
          <w:sz w:val="22"/>
          <w:szCs w:val="22"/>
          <w:lang w:val="en-US"/>
        </w:rPr>
        <w:t xml:space="preserve">, macrosystem, and chronosystem that interact to shape experiences (Bronfenbrenner, 1979; Bronfenbrenner &amp; Morris, 2006). In community mental health, this perspective </w:t>
      </w:r>
      <w:r w:rsidRPr="3666470A" w:rsidR="68FFA2FA">
        <w:rPr>
          <w:rFonts w:ascii="Arial" w:hAnsi="Arial" w:eastAsia="Arial" w:cs="Arial"/>
          <w:noProof w:val="0"/>
          <w:sz w:val="22"/>
          <w:szCs w:val="22"/>
          <w:lang w:val="en-US"/>
        </w:rPr>
        <w:t>emphasises</w:t>
      </w:r>
      <w:r w:rsidRPr="3666470A" w:rsidR="68FFA2FA">
        <w:rPr>
          <w:rFonts w:ascii="Arial" w:hAnsi="Arial" w:eastAsia="Arial" w:cs="Arial"/>
          <w:noProof w:val="0"/>
          <w:sz w:val="22"/>
          <w:szCs w:val="22"/>
          <w:lang w:val="en-US"/>
        </w:rPr>
        <w:t xml:space="preserve"> that mental health is influenced not only by individual factors but also by family, community resources, </w:t>
      </w:r>
      <w:r w:rsidRPr="3666470A" w:rsidR="68FFA2FA">
        <w:rPr>
          <w:rFonts w:ascii="Arial" w:hAnsi="Arial" w:eastAsia="Arial" w:cs="Arial"/>
          <w:noProof w:val="0"/>
          <w:sz w:val="22"/>
          <w:szCs w:val="22"/>
          <w:lang w:val="en-US"/>
        </w:rPr>
        <w:t>organisational</w:t>
      </w:r>
      <w:r w:rsidRPr="3666470A" w:rsidR="68FFA2FA">
        <w:rPr>
          <w:rFonts w:ascii="Arial" w:hAnsi="Arial" w:eastAsia="Arial" w:cs="Arial"/>
          <w:noProof w:val="0"/>
          <w:sz w:val="22"/>
          <w:szCs w:val="22"/>
          <w:lang w:val="en-US"/>
        </w:rPr>
        <w:t xml:space="preserve"> contexts, societal norms, and historical forces (Spencer et al., 2016). Applying this to PCC, interventions must consider the person’s ecological reality, integrating housing, employment, and social support into care planning (McCormack &amp; McCance, 2017; </w:t>
      </w:r>
      <w:r w:rsidRPr="3666470A" w:rsidR="68FFA2FA">
        <w:rPr>
          <w:rFonts w:ascii="Arial" w:hAnsi="Arial" w:eastAsia="Arial" w:cs="Arial"/>
          <w:noProof w:val="0"/>
          <w:sz w:val="22"/>
          <w:szCs w:val="22"/>
          <w:lang w:val="en-US"/>
        </w:rPr>
        <w:t>Kitwood</w:t>
      </w:r>
      <w:r w:rsidRPr="3666470A" w:rsidR="68FFA2FA">
        <w:rPr>
          <w:rFonts w:ascii="Arial" w:hAnsi="Arial" w:eastAsia="Arial" w:cs="Arial"/>
          <w:noProof w:val="0"/>
          <w:sz w:val="22"/>
          <w:szCs w:val="22"/>
          <w:lang w:val="en-US"/>
        </w:rPr>
        <w:t xml:space="preserve">, 1997). The mesosystem aligns directly with partnership working, requiring coordination between family, healthcare, and community </w:t>
      </w:r>
      <w:r w:rsidRPr="3666470A" w:rsidR="68FFA2FA">
        <w:rPr>
          <w:rFonts w:ascii="Arial" w:hAnsi="Arial" w:eastAsia="Arial" w:cs="Arial"/>
          <w:noProof w:val="0"/>
          <w:sz w:val="22"/>
          <w:szCs w:val="22"/>
          <w:lang w:val="en-US"/>
        </w:rPr>
        <w:t>organisations</w:t>
      </w:r>
      <w:r w:rsidRPr="3666470A" w:rsidR="68FFA2FA">
        <w:rPr>
          <w:rFonts w:ascii="Arial" w:hAnsi="Arial" w:eastAsia="Arial" w:cs="Arial"/>
          <w:noProof w:val="0"/>
          <w:sz w:val="22"/>
          <w:szCs w:val="22"/>
          <w:lang w:val="en-US"/>
        </w:rPr>
        <w:t xml:space="preserve"> (Glasby &amp; Dickinson, 2022; Larkin et al., 2019). Barriers such as fragmented systems, conflicting priorities, and macrosystem values can impede PCC, </w:t>
      </w:r>
      <w:r w:rsidRPr="3666470A" w:rsidR="68FFA2FA">
        <w:rPr>
          <w:rFonts w:ascii="Arial" w:hAnsi="Arial" w:eastAsia="Arial" w:cs="Arial"/>
          <w:noProof w:val="0"/>
          <w:sz w:val="22"/>
          <w:szCs w:val="22"/>
          <w:lang w:val="en-US"/>
        </w:rPr>
        <w:t>indicating</w:t>
      </w:r>
      <w:r w:rsidRPr="3666470A" w:rsidR="68FFA2FA">
        <w:rPr>
          <w:rFonts w:ascii="Arial" w:hAnsi="Arial" w:eastAsia="Arial" w:cs="Arial"/>
          <w:noProof w:val="0"/>
          <w:sz w:val="22"/>
          <w:szCs w:val="22"/>
          <w:lang w:val="en-US"/>
        </w:rPr>
        <w:t xml:space="preserve"> the need for </w:t>
      </w:r>
      <w:r w:rsidRPr="3666470A" w:rsidR="68FFA2FA">
        <w:rPr>
          <w:rFonts w:ascii="Arial" w:hAnsi="Arial" w:eastAsia="Arial" w:cs="Arial"/>
          <w:noProof w:val="0"/>
          <w:sz w:val="22"/>
          <w:szCs w:val="22"/>
          <w:lang w:val="en-US"/>
        </w:rPr>
        <w:t>organisational</w:t>
      </w:r>
      <w:r w:rsidRPr="3666470A" w:rsidR="68FFA2FA">
        <w:rPr>
          <w:rFonts w:ascii="Arial" w:hAnsi="Arial" w:eastAsia="Arial" w:cs="Arial"/>
          <w:noProof w:val="0"/>
          <w:sz w:val="22"/>
          <w:szCs w:val="22"/>
          <w:lang w:val="en-US"/>
        </w:rPr>
        <w:t xml:space="preserve"> redesign, governance, and policy advocacy (Hudson, 2021; Rogers, 1951; Skills for Care, 2022).</w:t>
      </w:r>
    </w:p>
    <w:p xmlns:wp14="http://schemas.microsoft.com/office/word/2010/wordml" w:rsidP="3666470A" wp14:paraId="52825365" wp14:textId="4452D1B5">
      <w:pPr>
        <w:pStyle w:val="Heading2"/>
        <w:spacing w:before="200" w:beforeAutospacing="off" w:after="0" w:afterAutospacing="off" w:line="360" w:lineRule="auto"/>
        <w:jc w:val="both"/>
        <w:rPr>
          <w:rFonts w:ascii="Arial" w:hAnsi="Arial" w:eastAsia="Arial" w:cs="Arial"/>
          <w:b w:val="1"/>
          <w:bCs w:val="1"/>
          <w:noProof w:val="0"/>
          <w:color w:val="4F81BD"/>
          <w:sz w:val="22"/>
          <w:szCs w:val="22"/>
          <w:lang w:val="en-US"/>
        </w:rPr>
      </w:pPr>
      <w:r w:rsidRPr="3666470A" w:rsidR="68FFA2FA">
        <w:rPr>
          <w:rFonts w:ascii="Arial" w:hAnsi="Arial" w:eastAsia="Arial" w:cs="Arial"/>
          <w:b w:val="1"/>
          <w:bCs w:val="1"/>
          <w:noProof w:val="0"/>
          <w:color w:val="4F81BD"/>
          <w:sz w:val="22"/>
          <w:szCs w:val="22"/>
          <w:lang w:val="en-US"/>
        </w:rPr>
        <w:t xml:space="preserve"> Social Model of Health</w:t>
      </w:r>
    </w:p>
    <w:p xmlns:wp14="http://schemas.microsoft.com/office/word/2010/wordml" w:rsidP="3666470A" wp14:paraId="3C3F6FE6" wp14:textId="641E435B">
      <w:pPr>
        <w:spacing w:before="0" w:beforeAutospacing="off" w:after="200" w:afterAutospacing="off" w:line="360" w:lineRule="auto"/>
        <w:jc w:val="both"/>
        <w:rPr>
          <w:rFonts w:ascii="Arial" w:hAnsi="Arial" w:eastAsia="Arial" w:cs="Arial"/>
          <w:noProof w:val="0"/>
          <w:sz w:val="22"/>
          <w:szCs w:val="22"/>
          <w:lang w:val="en-US"/>
        </w:rPr>
      </w:pPr>
      <w:r w:rsidRPr="65C4E3DD" w:rsidR="68FFA2FA">
        <w:rPr>
          <w:rFonts w:ascii="Arial" w:hAnsi="Arial" w:eastAsia="Arial" w:cs="Arial"/>
          <w:noProof w:val="0"/>
          <w:sz w:val="22"/>
          <w:szCs w:val="22"/>
          <w:lang w:val="en-US"/>
        </w:rPr>
        <w:t xml:space="preserve">The Social Model of Health focuses on social, economic, and environmental determinants that influence health outcomes, </w:t>
      </w:r>
      <w:bookmarkStart w:name="_Int_oOOVn96E" w:id="2076362508"/>
      <w:r w:rsidRPr="65C4E3DD" w:rsidR="68FFA2FA">
        <w:rPr>
          <w:rFonts w:ascii="Arial" w:hAnsi="Arial" w:eastAsia="Arial" w:cs="Arial"/>
          <w:noProof w:val="0"/>
          <w:sz w:val="22"/>
          <w:szCs w:val="22"/>
          <w:lang w:val="en-US"/>
        </w:rPr>
        <w:t>contrasting</w:t>
      </w:r>
      <w:bookmarkEnd w:id="2076362508"/>
      <w:r w:rsidRPr="65C4E3DD" w:rsidR="68FFA2FA">
        <w:rPr>
          <w:rFonts w:ascii="Arial" w:hAnsi="Arial" w:eastAsia="Arial" w:cs="Arial"/>
          <w:noProof w:val="0"/>
          <w:sz w:val="22"/>
          <w:szCs w:val="22"/>
          <w:lang w:val="en-US"/>
        </w:rPr>
        <w:t xml:space="preserve"> the Medical Model (Dahlgren &amp; Whitehead, 1991; Marmot, 2010). In mental health, social determinants such as poverty, housing, education, trauma, and stigma are central targets for intervention (Whiteford &amp; Manderson, 2000; Bambra et al., 2015; WHO, 2013). This model supports PCC by expanding interventions to include structural advocacy, access to welfare, housing, and anti-stigma initiatives (NHS England, 2023; Glasby &amp; Dickinson, 2022; Banks, 2020). It </w:t>
      </w:r>
      <w:r w:rsidRPr="65C4E3DD" w:rsidR="68FFA2FA">
        <w:rPr>
          <w:rFonts w:ascii="Arial" w:hAnsi="Arial" w:eastAsia="Arial" w:cs="Arial"/>
          <w:noProof w:val="0"/>
          <w:sz w:val="22"/>
          <w:szCs w:val="22"/>
          <w:lang w:val="en-US"/>
        </w:rPr>
        <w:t>operationalises</w:t>
      </w:r>
      <w:r w:rsidRPr="65C4E3DD" w:rsidR="68FFA2FA">
        <w:rPr>
          <w:rFonts w:ascii="Arial" w:hAnsi="Arial" w:eastAsia="Arial" w:cs="Arial"/>
          <w:noProof w:val="0"/>
          <w:sz w:val="22"/>
          <w:szCs w:val="22"/>
          <w:lang w:val="en-US"/>
        </w:rPr>
        <w:t xml:space="preserve"> justice ethically and requires cross-sector partnership working across health, housing, employment, and education to address social determinants (Hudson, 2021; NHS Confederation, 2023).</w:t>
      </w:r>
    </w:p>
    <w:p xmlns:wp14="http://schemas.microsoft.com/office/word/2010/wordml" w:rsidP="3666470A" wp14:paraId="1031C590" wp14:textId="6E20EFB3">
      <w:pPr>
        <w:pStyle w:val="Heading2"/>
        <w:spacing w:before="200" w:beforeAutospacing="off" w:after="0" w:afterAutospacing="off" w:line="360" w:lineRule="auto"/>
        <w:jc w:val="both"/>
        <w:rPr>
          <w:rFonts w:ascii="Arial" w:hAnsi="Arial" w:eastAsia="Arial" w:cs="Arial"/>
          <w:b w:val="1"/>
          <w:bCs w:val="1"/>
          <w:noProof w:val="0"/>
          <w:color w:val="4F81BD"/>
          <w:sz w:val="22"/>
          <w:szCs w:val="22"/>
          <w:lang w:val="en-US"/>
        </w:rPr>
      </w:pPr>
      <w:r w:rsidRPr="3666470A" w:rsidR="68FFA2FA">
        <w:rPr>
          <w:rFonts w:ascii="Arial" w:hAnsi="Arial" w:eastAsia="Arial" w:cs="Arial"/>
          <w:b w:val="1"/>
          <w:bCs w:val="1"/>
          <w:noProof w:val="0"/>
          <w:color w:val="4F81BD"/>
          <w:sz w:val="22"/>
          <w:szCs w:val="22"/>
          <w:lang w:val="en-US"/>
        </w:rPr>
        <w:t xml:space="preserve"> Synergies and Implications</w:t>
      </w:r>
    </w:p>
    <w:p xmlns:wp14="http://schemas.microsoft.com/office/word/2010/wordml" w:rsidP="3666470A" wp14:paraId="4445C5A1" wp14:textId="4A2D9961">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Bronfenbrenner’s ecological model provides the multilevel framework while the Social Model specifies the structural determinants within these levels. Together, they guide PCC and PW, ensuring interventions address relational micro-dynamics and structural social determinants (McCormack &amp; McCance, 2017; The King’s Fund, 2022). Integrated care plans include shared decision-making (microsystem), coordinated housing support (</w:t>
      </w:r>
      <w:r w:rsidRPr="3666470A" w:rsidR="68FFA2FA">
        <w:rPr>
          <w:rFonts w:ascii="Arial" w:hAnsi="Arial" w:eastAsia="Arial" w:cs="Arial"/>
          <w:noProof w:val="0"/>
          <w:sz w:val="22"/>
          <w:szCs w:val="22"/>
          <w:lang w:val="en-US"/>
        </w:rPr>
        <w:t>exosystem</w:t>
      </w:r>
      <w:r w:rsidRPr="3666470A" w:rsidR="68FFA2FA">
        <w:rPr>
          <w:rFonts w:ascii="Arial" w:hAnsi="Arial" w:eastAsia="Arial" w:cs="Arial"/>
          <w:noProof w:val="0"/>
          <w:sz w:val="22"/>
          <w:szCs w:val="22"/>
          <w:lang w:val="en-US"/>
        </w:rPr>
        <w:t xml:space="preserve">), employment coaching (mesosystem), and anti-stigma community </w:t>
      </w:r>
      <w:r w:rsidRPr="3666470A" w:rsidR="68FFA2FA">
        <w:rPr>
          <w:rFonts w:ascii="Arial" w:hAnsi="Arial" w:eastAsia="Arial" w:cs="Arial"/>
          <w:noProof w:val="0"/>
          <w:sz w:val="22"/>
          <w:szCs w:val="22"/>
          <w:lang w:val="en-US"/>
        </w:rPr>
        <w:t>programmes</w:t>
      </w:r>
      <w:r w:rsidRPr="3666470A" w:rsidR="68FFA2FA">
        <w:rPr>
          <w:rFonts w:ascii="Arial" w:hAnsi="Arial" w:eastAsia="Arial" w:cs="Arial"/>
          <w:noProof w:val="0"/>
          <w:sz w:val="22"/>
          <w:szCs w:val="22"/>
          <w:lang w:val="en-US"/>
        </w:rPr>
        <w:t xml:space="preserve"> (macrosystem). Implementation requires interoperable records, co-production governance, workforce training, and policies </w:t>
      </w:r>
      <w:r w:rsidRPr="3666470A" w:rsidR="68FFA2FA">
        <w:rPr>
          <w:rFonts w:ascii="Arial" w:hAnsi="Arial" w:eastAsia="Arial" w:cs="Arial"/>
          <w:noProof w:val="0"/>
          <w:sz w:val="22"/>
          <w:szCs w:val="22"/>
          <w:lang w:val="en-US"/>
        </w:rPr>
        <w:t>incentivising</w:t>
      </w:r>
      <w:r w:rsidRPr="3666470A" w:rsidR="68FFA2FA">
        <w:rPr>
          <w:rFonts w:ascii="Arial" w:hAnsi="Arial" w:eastAsia="Arial" w:cs="Arial"/>
          <w:noProof w:val="0"/>
          <w:sz w:val="22"/>
          <w:szCs w:val="22"/>
          <w:lang w:val="en-US"/>
        </w:rPr>
        <w:t xml:space="preserve"> cross-sector collaboration (Skills for Care, 2022; NHS Digital, 2023).</w:t>
      </w:r>
    </w:p>
    <w:p xmlns:wp14="http://schemas.microsoft.com/office/word/2010/wordml" w:rsidP="3666470A" wp14:paraId="72F77917" wp14:textId="0C3B80B7">
      <w:pPr>
        <w:pStyle w:val="Heading1"/>
        <w:spacing w:before="480" w:beforeAutospacing="off" w:after="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4. Ethical Fundamentals</w:t>
      </w:r>
    </w:p>
    <w:p xmlns:wp14="http://schemas.microsoft.com/office/word/2010/wordml" w:rsidP="3666470A" wp14:paraId="725ADEA1" wp14:textId="69D8EABB">
      <w:pPr>
        <w:spacing w:before="0" w:beforeAutospacing="off" w:after="200" w:afterAutospacing="off" w:line="360" w:lineRule="auto"/>
        <w:jc w:val="both"/>
        <w:rPr>
          <w:rFonts w:ascii="Arial" w:hAnsi="Arial" w:eastAsia="Arial" w:cs="Arial"/>
          <w:noProof w:val="0"/>
          <w:sz w:val="22"/>
          <w:szCs w:val="22"/>
          <w:lang w:val="en-US"/>
        </w:rPr>
      </w:pPr>
      <w:r w:rsidRPr="65C4E3DD" w:rsidR="68FFA2FA">
        <w:rPr>
          <w:rFonts w:ascii="Arial" w:hAnsi="Arial" w:eastAsia="Arial" w:cs="Arial"/>
          <w:noProof w:val="0"/>
          <w:sz w:val="22"/>
          <w:szCs w:val="22"/>
          <w:lang w:val="en-US"/>
        </w:rPr>
        <w:t xml:space="preserve">Ethical principles underpin PCC and PW, guiding decisions that respect individual rights and wellbeing. Key principles include autonomy, beneficence, non-maleficence, and justice (Beauchamp &amp; Childress, 2019). Autonomy supports informed decision-making and active service user involvement. Beneficence and non-maleficence </w:t>
      </w:r>
      <w:r w:rsidRPr="65C4E3DD" w:rsidR="68FFA2FA">
        <w:rPr>
          <w:rFonts w:ascii="Arial" w:hAnsi="Arial" w:eastAsia="Arial" w:cs="Arial"/>
          <w:noProof w:val="0"/>
          <w:sz w:val="22"/>
          <w:szCs w:val="22"/>
          <w:lang w:val="en-US"/>
        </w:rPr>
        <w:t>emphasise</w:t>
      </w:r>
      <w:r w:rsidRPr="65C4E3DD" w:rsidR="68FFA2FA">
        <w:rPr>
          <w:rFonts w:ascii="Arial" w:hAnsi="Arial" w:eastAsia="Arial" w:cs="Arial"/>
          <w:noProof w:val="0"/>
          <w:sz w:val="22"/>
          <w:szCs w:val="22"/>
          <w:lang w:val="en-US"/>
        </w:rPr>
        <w:t xml:space="preserve"> promoting wellbeing and avoiding harm. Justice ensures </w:t>
      </w:r>
      <w:r w:rsidRPr="65C4E3DD" w:rsidR="68FFA2FA">
        <w:rPr>
          <w:rFonts w:ascii="Arial" w:hAnsi="Arial" w:eastAsia="Arial" w:cs="Arial"/>
          <w:noProof w:val="0"/>
          <w:sz w:val="22"/>
          <w:szCs w:val="22"/>
          <w:lang w:val="en-US"/>
        </w:rPr>
        <w:t>equitable</w:t>
      </w:r>
      <w:r w:rsidRPr="65C4E3DD" w:rsidR="68FFA2FA">
        <w:rPr>
          <w:rFonts w:ascii="Arial" w:hAnsi="Arial" w:eastAsia="Arial" w:cs="Arial"/>
          <w:noProof w:val="0"/>
          <w:sz w:val="22"/>
          <w:szCs w:val="22"/>
          <w:lang w:val="en-US"/>
        </w:rPr>
        <w:t xml:space="preserve"> access regardless of background, disability, or socioeconomic status (Equality Act 2010; British Institute of Human Rights, 2022). Partnership working strengthens ethics through shared decision-making, balancing autonomy with safeguarding </w:t>
      </w:r>
      <w:r w:rsidRPr="65C4E3DD" w:rsidR="28CE0DB8">
        <w:rPr>
          <w:rFonts w:ascii="Arial" w:hAnsi="Arial" w:eastAsia="Arial" w:cs="Arial"/>
          <w:noProof w:val="0"/>
          <w:sz w:val="22"/>
          <w:szCs w:val="22"/>
          <w:lang w:val="en-US"/>
        </w:rPr>
        <w:t>duties,</w:t>
      </w:r>
      <w:r w:rsidRPr="65C4E3DD" w:rsidR="68FFA2FA">
        <w:rPr>
          <w:rFonts w:ascii="Arial" w:hAnsi="Arial" w:eastAsia="Arial" w:cs="Arial"/>
          <w:noProof w:val="0"/>
          <w:sz w:val="22"/>
          <w:szCs w:val="22"/>
          <w:lang w:val="en-US"/>
        </w:rPr>
        <w:t xml:space="preserve"> and ensuring fairness across multi-agency teams (Banks, 2020).</w:t>
      </w:r>
    </w:p>
    <w:p xmlns:wp14="http://schemas.microsoft.com/office/word/2010/wordml" w:rsidP="3666470A" wp14:paraId="42535300" wp14:textId="57997F47">
      <w:pPr>
        <w:pStyle w:val="Heading1"/>
        <w:spacing w:before="480" w:beforeAutospacing="off" w:after="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5. Evaluation of Partnership Working</w:t>
      </w:r>
    </w:p>
    <w:p xmlns:wp14="http://schemas.microsoft.com/office/word/2010/wordml" w:rsidP="3666470A" wp14:paraId="0E540560" wp14:textId="135C00AE">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Partnership Working (PW) involves collaboration between professionals, service users, carers, and </w:t>
      </w:r>
      <w:r w:rsidRPr="3666470A" w:rsidR="68FFA2FA">
        <w:rPr>
          <w:rFonts w:ascii="Arial" w:hAnsi="Arial" w:eastAsia="Arial" w:cs="Arial"/>
          <w:noProof w:val="0"/>
          <w:sz w:val="22"/>
          <w:szCs w:val="22"/>
          <w:lang w:val="en-US"/>
        </w:rPr>
        <w:t>organisations</w:t>
      </w:r>
      <w:r w:rsidRPr="3666470A" w:rsidR="68FFA2FA">
        <w:rPr>
          <w:rFonts w:ascii="Arial" w:hAnsi="Arial" w:eastAsia="Arial" w:cs="Arial"/>
          <w:noProof w:val="0"/>
          <w:sz w:val="22"/>
          <w:szCs w:val="22"/>
          <w:lang w:val="en-US"/>
        </w:rPr>
        <w:t xml:space="preserve"> to deliver seamless,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(Glasby &amp; Dickinson, 2022). Integrated Care Systems (ICSs) under the Health and Care Act 2022 exemplify structured PW, coordinating mental health, social care, and community support (NHS England, 2023). PW enhances service integration, reduces duplication, and addresses clinical and social determinants. Challenges include communication breakdowns, conflicting professional values, </w:t>
      </w:r>
      <w:r w:rsidRPr="3666470A" w:rsidR="68FFA2FA">
        <w:rPr>
          <w:rFonts w:ascii="Arial" w:hAnsi="Arial" w:eastAsia="Arial" w:cs="Arial"/>
          <w:noProof w:val="0"/>
          <w:sz w:val="22"/>
          <w:szCs w:val="22"/>
          <w:lang w:val="en-US"/>
        </w:rPr>
        <w:t>organisational</w:t>
      </w:r>
      <w:r w:rsidRPr="3666470A" w:rsidR="68FFA2FA">
        <w:rPr>
          <w:rFonts w:ascii="Arial" w:hAnsi="Arial" w:eastAsia="Arial" w:cs="Arial"/>
          <w:noProof w:val="0"/>
          <w:sz w:val="22"/>
          <w:szCs w:val="22"/>
          <w:lang w:val="en-US"/>
        </w:rPr>
        <w:t xml:space="preserve"> silos, and power imbalances (Hudson, 2021; Larkin et al., 2019).</w:t>
      </w:r>
    </w:p>
    <w:p xmlns:wp14="http://schemas.microsoft.com/office/word/2010/wordml" w:rsidP="3666470A" wp14:paraId="49B82EE5" wp14:textId="065903CD">
      <w:pPr>
        <w:pStyle w:val="Heading1"/>
        <w:spacing w:before="480" w:beforeAutospacing="off" w:after="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6. Policy and Legislation</w:t>
      </w:r>
    </w:p>
    <w:p xmlns:wp14="http://schemas.microsoft.com/office/word/2010/wordml" w:rsidP="3666470A" wp14:paraId="54D186CE" wp14:textId="1D7765AF">
      <w:pPr>
        <w:spacing w:before="0" w:beforeAutospacing="off" w:after="200" w:afterAutospacing="off" w:line="360" w:lineRule="auto"/>
        <w:jc w:val="both"/>
        <w:rPr>
          <w:rFonts w:ascii="Arial" w:hAnsi="Arial" w:eastAsia="Arial" w:cs="Arial"/>
          <w:noProof w:val="0"/>
          <w:sz w:val="22"/>
          <w:szCs w:val="22"/>
          <w:lang w:val="en-US"/>
        </w:rPr>
      </w:pPr>
      <w:r w:rsidRPr="65C4E3DD" w:rsidR="68FFA2FA">
        <w:rPr>
          <w:rFonts w:ascii="Arial" w:hAnsi="Arial" w:eastAsia="Arial" w:cs="Arial"/>
          <w:noProof w:val="0"/>
          <w:sz w:val="22"/>
          <w:szCs w:val="22"/>
          <w:lang w:val="en-US"/>
        </w:rPr>
        <w:t xml:space="preserve">Legislation provides frameworks for PCC and PW. The Health and Care Act 2022 </w:t>
      </w:r>
      <w:bookmarkStart w:name="_Int_YjOpC0BB" w:id="1883257058"/>
      <w:r w:rsidRPr="65C4E3DD" w:rsidR="68FFA2FA">
        <w:rPr>
          <w:rFonts w:ascii="Arial" w:hAnsi="Arial" w:eastAsia="Arial" w:cs="Arial"/>
          <w:noProof w:val="0"/>
          <w:sz w:val="22"/>
          <w:szCs w:val="22"/>
          <w:lang w:val="en-US"/>
        </w:rPr>
        <w:t>promotes</w:t>
      </w:r>
      <w:bookmarkEnd w:id="1883257058"/>
      <w:r w:rsidRPr="65C4E3DD" w:rsidR="68FFA2FA">
        <w:rPr>
          <w:rFonts w:ascii="Arial" w:hAnsi="Arial" w:eastAsia="Arial" w:cs="Arial"/>
          <w:noProof w:val="0"/>
          <w:sz w:val="22"/>
          <w:szCs w:val="22"/>
          <w:lang w:val="en-US"/>
        </w:rPr>
        <w:t xml:space="preserve"> ICSs and cross-sector collaboration (NHS England, 2023). The Care Act 2014 </w:t>
      </w:r>
      <w:r w:rsidRPr="65C4E3DD" w:rsidR="68FFA2FA">
        <w:rPr>
          <w:rFonts w:ascii="Arial" w:hAnsi="Arial" w:eastAsia="Arial" w:cs="Arial"/>
          <w:noProof w:val="0"/>
          <w:sz w:val="22"/>
          <w:szCs w:val="22"/>
          <w:lang w:val="en-US"/>
        </w:rPr>
        <w:t>emphasises</w:t>
      </w:r>
      <w:r w:rsidRPr="65C4E3DD" w:rsidR="68FFA2FA">
        <w:rPr>
          <w:rFonts w:ascii="Arial" w:hAnsi="Arial" w:eastAsia="Arial" w:cs="Arial"/>
          <w:noProof w:val="0"/>
          <w:sz w:val="22"/>
          <w:szCs w:val="22"/>
          <w:lang w:val="en-US"/>
        </w:rPr>
        <w:t xml:space="preserve"> wellbeing, </w:t>
      </w:r>
      <w:r w:rsidRPr="65C4E3DD" w:rsidR="68FFA2FA">
        <w:rPr>
          <w:rFonts w:ascii="Arial" w:hAnsi="Arial" w:eastAsia="Arial" w:cs="Arial"/>
          <w:noProof w:val="0"/>
          <w:sz w:val="22"/>
          <w:szCs w:val="22"/>
          <w:lang w:val="en-US"/>
        </w:rPr>
        <w:t>personalisation</w:t>
      </w:r>
      <w:r w:rsidRPr="65C4E3DD" w:rsidR="68FFA2FA">
        <w:rPr>
          <w:rFonts w:ascii="Arial" w:hAnsi="Arial" w:eastAsia="Arial" w:cs="Arial"/>
          <w:noProof w:val="0"/>
          <w:sz w:val="22"/>
          <w:szCs w:val="22"/>
          <w:lang w:val="en-US"/>
        </w:rPr>
        <w:t xml:space="preserve">, and cooperation between agencies (Department of Health and Social Care, 2014). The Health and Social Care Act 2012 </w:t>
      </w:r>
      <w:r w:rsidRPr="65C4E3DD" w:rsidR="52BDDB52">
        <w:rPr>
          <w:rFonts w:ascii="Arial" w:hAnsi="Arial" w:eastAsia="Arial" w:cs="Arial"/>
          <w:noProof w:val="0"/>
          <w:sz w:val="22"/>
          <w:szCs w:val="22"/>
          <w:lang w:val="en-US"/>
        </w:rPr>
        <w:t>embed</w:t>
      </w:r>
      <w:r w:rsidRPr="65C4E3DD" w:rsidR="68FFA2FA">
        <w:rPr>
          <w:rFonts w:ascii="Arial" w:hAnsi="Arial" w:eastAsia="Arial" w:cs="Arial"/>
          <w:noProof w:val="0"/>
          <w:sz w:val="22"/>
          <w:szCs w:val="22"/>
          <w:lang w:val="en-US"/>
        </w:rPr>
        <w:t xml:space="preserve"> patient choice. The Equality Act 2010 prohibits discrimination, and the Human Rights Act 1998 safeguards autonomy and dignity (British Institute of Human Rights, 2022). Policy implementation can be hindered by resource limitations, regional variation, and </w:t>
      </w:r>
      <w:r w:rsidRPr="65C4E3DD" w:rsidR="68FFA2FA">
        <w:rPr>
          <w:rFonts w:ascii="Arial" w:hAnsi="Arial" w:eastAsia="Arial" w:cs="Arial"/>
          <w:noProof w:val="0"/>
          <w:sz w:val="22"/>
          <w:szCs w:val="22"/>
          <w:lang w:val="en-US"/>
        </w:rPr>
        <w:t>organisational</w:t>
      </w:r>
      <w:r w:rsidRPr="65C4E3DD" w:rsidR="68FFA2FA">
        <w:rPr>
          <w:rFonts w:ascii="Arial" w:hAnsi="Arial" w:eastAsia="Arial" w:cs="Arial"/>
          <w:noProof w:val="0"/>
          <w:sz w:val="22"/>
          <w:szCs w:val="22"/>
          <w:lang w:val="en-US"/>
        </w:rPr>
        <w:t xml:space="preserve"> constraints (The King’s Fund, 2022).</w:t>
      </w:r>
    </w:p>
    <w:p xmlns:wp14="http://schemas.microsoft.com/office/word/2010/wordml" w:rsidP="3666470A" wp14:paraId="3D586728" wp14:textId="0EBD3CF3">
      <w:pPr>
        <w:pStyle w:val="Heading1"/>
        <w:spacing w:before="480" w:beforeAutospacing="off" w:after="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7. Recommendations</w:t>
      </w:r>
    </w:p>
    <w:p xmlns:wp14="http://schemas.microsoft.com/office/word/2010/wordml" w:rsidP="3666470A" wp14:paraId="5404AA2D" wp14:textId="056964C2">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Although the implementation of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(PCC) and Partnership Working (PW) has made </w:t>
      </w:r>
      <w:r w:rsidRPr="3666470A" w:rsidR="68FFA2FA">
        <w:rPr>
          <w:rFonts w:ascii="Arial" w:hAnsi="Arial" w:eastAsia="Arial" w:cs="Arial"/>
          <w:noProof w:val="0"/>
          <w:sz w:val="22"/>
          <w:szCs w:val="22"/>
          <w:lang w:val="en-US"/>
        </w:rPr>
        <w:t>significant progress</w:t>
      </w:r>
      <w:r w:rsidRPr="3666470A" w:rsidR="68FFA2FA">
        <w:rPr>
          <w:rFonts w:ascii="Arial" w:hAnsi="Arial" w:eastAsia="Arial" w:cs="Arial"/>
          <w:noProof w:val="0"/>
          <w:sz w:val="22"/>
          <w:szCs w:val="22"/>
          <w:lang w:val="en-US"/>
        </w:rPr>
        <w:t xml:space="preserve"> in UK health and social care, several gaps </w:t>
      </w:r>
      <w:r w:rsidRPr="3666470A" w:rsidR="68FFA2FA">
        <w:rPr>
          <w:rFonts w:ascii="Arial" w:hAnsi="Arial" w:eastAsia="Arial" w:cs="Arial"/>
          <w:noProof w:val="0"/>
          <w:sz w:val="22"/>
          <w:szCs w:val="22"/>
          <w:lang w:val="en-US"/>
        </w:rPr>
        <w:t>remain</w:t>
      </w:r>
      <w:r w:rsidRPr="3666470A" w:rsidR="68FFA2FA">
        <w:rPr>
          <w:rFonts w:ascii="Arial" w:hAnsi="Arial" w:eastAsia="Arial" w:cs="Arial"/>
          <w:noProof w:val="0"/>
          <w:sz w:val="22"/>
          <w:szCs w:val="22"/>
          <w:lang w:val="en-US"/>
        </w:rPr>
        <w:t xml:space="preserve"> in achieving truly integrated, </w:t>
      </w:r>
      <w:r w:rsidRPr="3666470A" w:rsidR="68FFA2FA">
        <w:rPr>
          <w:rFonts w:ascii="Arial" w:hAnsi="Arial" w:eastAsia="Arial" w:cs="Arial"/>
          <w:noProof w:val="0"/>
          <w:sz w:val="22"/>
          <w:szCs w:val="22"/>
          <w:lang w:val="en-US"/>
        </w:rPr>
        <w:t>equitable</w:t>
      </w:r>
      <w:r w:rsidRPr="3666470A" w:rsidR="68FFA2FA">
        <w:rPr>
          <w:rFonts w:ascii="Arial" w:hAnsi="Arial" w:eastAsia="Arial" w:cs="Arial"/>
          <w:noProof w:val="0"/>
          <w:sz w:val="22"/>
          <w:szCs w:val="22"/>
          <w:lang w:val="en-US"/>
        </w:rPr>
        <w:t>, and sustainable services. The following recommendations address these challenges within community mental health settings, with emphasis on policy, training, collaboration, and technology.</w:t>
      </w:r>
    </w:p>
    <w:p xmlns:wp14="http://schemas.microsoft.com/office/word/2010/wordml" w:rsidP="3666470A" wp14:paraId="7AD1986D" wp14:textId="2DE7C6F9">
      <w:pPr>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3666470A" wp14:paraId="4F27F2EE" wp14:textId="3E5EC1E9">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1. Strengthening Interprofessional Collaboration and Communication</w:t>
      </w:r>
    </w:p>
    <w:p xmlns:wp14="http://schemas.microsoft.com/office/word/2010/wordml" w:rsidP="3666470A" wp14:paraId="7F4C91B9" wp14:textId="37BCA9F3">
      <w:pPr>
        <w:spacing w:before="240" w:beforeAutospacing="off" w:after="240" w:afterAutospacing="off" w:line="360" w:lineRule="auto"/>
        <w:jc w:val="both"/>
        <w:rPr>
          <w:rFonts w:ascii="Arial" w:hAnsi="Arial" w:eastAsia="Arial" w:cs="Arial"/>
          <w:noProof w:val="0"/>
          <w:sz w:val="22"/>
          <w:szCs w:val="22"/>
          <w:lang w:val="en-US"/>
        </w:rPr>
      </w:pPr>
      <w:r w:rsidRPr="65C4E3DD" w:rsidR="68FFA2FA">
        <w:rPr>
          <w:rFonts w:ascii="Arial" w:hAnsi="Arial" w:eastAsia="Arial" w:cs="Arial"/>
          <w:noProof w:val="0"/>
          <w:sz w:val="22"/>
          <w:szCs w:val="22"/>
          <w:lang w:val="en-US"/>
        </w:rPr>
        <w:t xml:space="preserve">Effective </w:t>
      </w:r>
      <w:r w:rsidRPr="65C4E3DD" w:rsidR="68FFA2FA">
        <w:rPr>
          <w:rFonts w:ascii="Arial" w:hAnsi="Arial" w:eastAsia="Arial" w:cs="Arial"/>
          <w:noProof w:val="0"/>
          <w:sz w:val="22"/>
          <w:szCs w:val="22"/>
          <w:lang w:val="en-US"/>
        </w:rPr>
        <w:t>partnership working</w:t>
      </w:r>
      <w:r w:rsidRPr="65C4E3DD" w:rsidR="68FFA2FA">
        <w:rPr>
          <w:rFonts w:ascii="Arial" w:hAnsi="Arial" w:eastAsia="Arial" w:cs="Arial"/>
          <w:noProof w:val="0"/>
          <w:sz w:val="22"/>
          <w:szCs w:val="22"/>
          <w:lang w:val="en-US"/>
        </w:rPr>
        <w:t xml:space="preserve"> requires strong interprofessional relationships built on trust, mutual respect, and shared accountability. Mental health professionals often </w:t>
      </w:r>
      <w:r w:rsidRPr="65C4E3DD" w:rsidR="68FFA2FA">
        <w:rPr>
          <w:rFonts w:ascii="Arial" w:hAnsi="Arial" w:eastAsia="Arial" w:cs="Arial"/>
          <w:noProof w:val="0"/>
          <w:sz w:val="22"/>
          <w:szCs w:val="22"/>
          <w:lang w:val="en-US"/>
        </w:rPr>
        <w:t>operate</w:t>
      </w:r>
      <w:r w:rsidRPr="65C4E3DD" w:rsidR="68FFA2FA">
        <w:rPr>
          <w:rFonts w:ascii="Arial" w:hAnsi="Arial" w:eastAsia="Arial" w:cs="Arial"/>
          <w:noProof w:val="0"/>
          <w:sz w:val="22"/>
          <w:szCs w:val="22"/>
          <w:lang w:val="en-US"/>
        </w:rPr>
        <w:t xml:space="preserve"> within siloed systems, leading to fragmented care (Hudson, 2021). </w:t>
      </w:r>
      <w:r w:rsidRPr="65C4E3DD" w:rsidR="68FFA2FA">
        <w:rPr>
          <w:rFonts w:ascii="Arial" w:hAnsi="Arial" w:eastAsia="Arial" w:cs="Arial"/>
          <w:noProof w:val="0"/>
          <w:sz w:val="22"/>
          <w:szCs w:val="22"/>
          <w:lang w:val="en-US"/>
        </w:rPr>
        <w:t>Organisations</w:t>
      </w:r>
      <w:r w:rsidRPr="65C4E3DD" w:rsidR="68FFA2FA">
        <w:rPr>
          <w:rFonts w:ascii="Arial" w:hAnsi="Arial" w:eastAsia="Arial" w:cs="Arial"/>
          <w:noProof w:val="0"/>
          <w:sz w:val="22"/>
          <w:szCs w:val="22"/>
          <w:lang w:val="en-US"/>
        </w:rPr>
        <w:t xml:space="preserve"> should implement structured interprofessional training, such as joint case reviews and shared supervision sessions, to improve understanding of roles and communication processes. The use of integrated care </w:t>
      </w:r>
      <w:r w:rsidRPr="65C4E3DD" w:rsidR="762070C7">
        <w:rPr>
          <w:rFonts w:ascii="Arial" w:hAnsi="Arial" w:eastAsia="Arial" w:cs="Arial"/>
          <w:noProof w:val="0"/>
          <w:sz w:val="22"/>
          <w:szCs w:val="22"/>
          <w:lang w:val="en-US"/>
        </w:rPr>
        <w:t>records</w:t>
      </w:r>
      <w:r w:rsidRPr="65C4E3DD" w:rsidR="68FFA2FA">
        <w:rPr>
          <w:rFonts w:ascii="Arial" w:hAnsi="Arial" w:eastAsia="Arial" w:cs="Arial"/>
          <w:noProof w:val="0"/>
          <w:sz w:val="22"/>
          <w:szCs w:val="22"/>
          <w:lang w:val="en-US"/>
        </w:rPr>
        <w:t xml:space="preserve"> accessible across </w:t>
      </w:r>
      <w:r w:rsidRPr="65C4E3DD" w:rsidR="684895A9">
        <w:rPr>
          <w:rFonts w:ascii="Arial" w:hAnsi="Arial" w:eastAsia="Arial" w:cs="Arial"/>
          <w:noProof w:val="0"/>
          <w:sz w:val="22"/>
          <w:szCs w:val="22"/>
          <w:lang w:val="en-US"/>
        </w:rPr>
        <w:t>agencies</w:t>
      </w:r>
      <w:r w:rsidRPr="65C4E3DD" w:rsidR="68FFA2FA">
        <w:rPr>
          <w:rFonts w:ascii="Arial" w:hAnsi="Arial" w:eastAsia="Arial" w:cs="Arial"/>
          <w:noProof w:val="0"/>
          <w:sz w:val="22"/>
          <w:szCs w:val="22"/>
          <w:lang w:val="en-US"/>
        </w:rPr>
        <w:t xml:space="preserve"> can further enhance collaboration and ensure continuity of care.</w:t>
      </w:r>
    </w:p>
    <w:p xmlns:wp14="http://schemas.microsoft.com/office/word/2010/wordml" w:rsidP="3666470A" wp14:paraId="07591A9A" wp14:textId="29DF907D">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2. Investing in Workforce Training and Development</w:t>
      </w:r>
    </w:p>
    <w:p xmlns:wp14="http://schemas.microsoft.com/office/word/2010/wordml" w:rsidP="3666470A" wp14:paraId="022B44ED" wp14:textId="5142F743">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A well-trained workforce is essential for sustaining PCC and PW. Continuous professional development (CPD) should </w:t>
      </w:r>
      <w:r w:rsidRPr="3666470A" w:rsidR="68FFA2FA">
        <w:rPr>
          <w:rFonts w:ascii="Arial" w:hAnsi="Arial" w:eastAsia="Arial" w:cs="Arial"/>
          <w:noProof w:val="0"/>
          <w:sz w:val="22"/>
          <w:szCs w:val="22"/>
          <w:lang w:val="en-US"/>
        </w:rPr>
        <w:t>prioritise</w:t>
      </w:r>
      <w:r w:rsidRPr="3666470A" w:rsidR="68FFA2FA">
        <w:rPr>
          <w:rFonts w:ascii="Arial" w:hAnsi="Arial" w:eastAsia="Arial" w:cs="Arial"/>
          <w:noProof w:val="0"/>
          <w:sz w:val="22"/>
          <w:szCs w:val="22"/>
          <w:lang w:val="en-US"/>
        </w:rPr>
        <w:t xml:space="preserve"> skills in communication, empathy, shared decision-making, and ethical reasoning (Skills for Care, 2022). Embedding PCC and partnership competencies into induction and ongoing training ensures that all </w:t>
      </w:r>
      <w:r w:rsidRPr="3666470A" w:rsidR="506D2DEC">
        <w:rPr>
          <w:rFonts w:ascii="Arial" w:hAnsi="Arial" w:eastAsia="Arial" w:cs="Arial"/>
          <w:noProof w:val="0"/>
          <w:sz w:val="22"/>
          <w:szCs w:val="22"/>
          <w:lang w:val="en-US"/>
        </w:rPr>
        <w:t>staff,</w:t>
      </w:r>
      <w:r w:rsidRPr="3666470A" w:rsidR="68FFA2FA">
        <w:rPr>
          <w:rFonts w:ascii="Arial" w:hAnsi="Arial" w:eastAsia="Arial" w:cs="Arial"/>
          <w:noProof w:val="0"/>
          <w:sz w:val="22"/>
          <w:szCs w:val="22"/>
          <w:lang w:val="en-US"/>
        </w:rPr>
        <w:t xml:space="preserve"> from psychiatrists to support </w:t>
      </w:r>
      <w:r w:rsidRPr="3666470A" w:rsidR="68FFA2FA">
        <w:rPr>
          <w:rFonts w:ascii="Arial" w:hAnsi="Arial" w:eastAsia="Arial" w:cs="Arial"/>
          <w:noProof w:val="0"/>
          <w:sz w:val="22"/>
          <w:szCs w:val="22"/>
          <w:lang w:val="en-US"/>
        </w:rPr>
        <w:t>workers</w:t>
      </w:r>
      <w:r w:rsidRPr="3666470A" w:rsidR="68FFA2FA">
        <w:rPr>
          <w:rFonts w:ascii="Arial" w:hAnsi="Arial" w:eastAsia="Arial" w:cs="Arial"/>
          <w:noProof w:val="0"/>
          <w:sz w:val="22"/>
          <w:szCs w:val="22"/>
          <w:lang w:val="en-US"/>
        </w:rPr>
        <w:t xml:space="preserve"> adopt a consistent, </w:t>
      </w:r>
      <w:r w:rsidRPr="3666470A" w:rsidR="68FFA2FA">
        <w:rPr>
          <w:rFonts w:ascii="Arial" w:hAnsi="Arial" w:eastAsia="Arial" w:cs="Arial"/>
          <w:noProof w:val="0"/>
          <w:sz w:val="22"/>
          <w:szCs w:val="22"/>
          <w:lang w:val="en-US"/>
        </w:rPr>
        <w:t>values</w:t>
      </w:r>
      <w:r w:rsidRPr="3666470A" w:rsidR="68FFA2FA">
        <w:rPr>
          <w:rFonts w:ascii="Arial" w:hAnsi="Arial" w:eastAsia="Arial" w:cs="Arial"/>
          <w:noProof w:val="0"/>
          <w:sz w:val="22"/>
          <w:szCs w:val="22"/>
          <w:lang w:val="en-US"/>
        </w:rPr>
        <w:t xml:space="preserve">-based approach. Leadership </w:t>
      </w:r>
      <w:r w:rsidRPr="3666470A" w:rsidR="68FFA2FA">
        <w:rPr>
          <w:rFonts w:ascii="Arial" w:hAnsi="Arial" w:eastAsia="Arial" w:cs="Arial"/>
          <w:noProof w:val="0"/>
          <w:sz w:val="22"/>
          <w:szCs w:val="22"/>
          <w:lang w:val="en-US"/>
        </w:rPr>
        <w:t>programmes</w:t>
      </w:r>
      <w:r w:rsidRPr="3666470A" w:rsidR="68FFA2FA">
        <w:rPr>
          <w:rFonts w:ascii="Arial" w:hAnsi="Arial" w:eastAsia="Arial" w:cs="Arial"/>
          <w:noProof w:val="0"/>
          <w:sz w:val="22"/>
          <w:szCs w:val="22"/>
          <w:lang w:val="en-US"/>
        </w:rPr>
        <w:t xml:space="preserve"> focusing on collaborative practice and service co-production should also be expanded across community mental health teams.</w:t>
      </w:r>
    </w:p>
    <w:p xmlns:wp14="http://schemas.microsoft.com/office/word/2010/wordml" w:rsidP="3666470A" wp14:paraId="79C84AB3" wp14:textId="5D224F27">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3. </w:t>
      </w:r>
      <w:r w:rsidRPr="3666470A" w:rsidR="68FFA2FA">
        <w:rPr>
          <w:rFonts w:ascii="Arial" w:hAnsi="Arial" w:eastAsia="Arial" w:cs="Arial"/>
          <w:noProof w:val="0"/>
          <w:sz w:val="22"/>
          <w:szCs w:val="22"/>
          <w:lang w:val="en-US"/>
        </w:rPr>
        <w:t>Leveraging</w:t>
      </w:r>
      <w:r w:rsidRPr="3666470A" w:rsidR="68FFA2FA">
        <w:rPr>
          <w:rFonts w:ascii="Arial" w:hAnsi="Arial" w:eastAsia="Arial" w:cs="Arial"/>
          <w:noProof w:val="0"/>
          <w:sz w:val="22"/>
          <w:szCs w:val="22"/>
          <w:lang w:val="en-US"/>
        </w:rPr>
        <w:t xml:space="preserve"> Digital Technology for Integrated Care</w:t>
      </w:r>
    </w:p>
    <w:p xmlns:wp14="http://schemas.microsoft.com/office/word/2010/wordml" w:rsidP="3666470A" wp14:paraId="7124D1FC" wp14:textId="5F79E094">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Digital innovation offers opportunities to bridge gaps between agencies and enhance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delivery. Secure electronic health records and digital care plans can </w:t>
      </w:r>
      <w:r w:rsidRPr="3666470A" w:rsidR="68FFA2FA">
        <w:rPr>
          <w:rFonts w:ascii="Arial" w:hAnsi="Arial" w:eastAsia="Arial" w:cs="Arial"/>
          <w:noProof w:val="0"/>
          <w:sz w:val="22"/>
          <w:szCs w:val="22"/>
          <w:lang w:val="en-US"/>
        </w:rPr>
        <w:t>facilitate</w:t>
      </w:r>
      <w:r w:rsidRPr="3666470A" w:rsidR="68FFA2FA">
        <w:rPr>
          <w:rFonts w:ascii="Arial" w:hAnsi="Arial" w:eastAsia="Arial" w:cs="Arial"/>
          <w:noProof w:val="0"/>
          <w:sz w:val="22"/>
          <w:szCs w:val="22"/>
          <w:lang w:val="en-US"/>
        </w:rPr>
        <w:t xml:space="preserve"> information sharing, reduce duplication, and empower service users to access and contribute to their own care data (NHS Digital, 2023). Additionally, virtual consultations and online peer-support networks can improve accessibility for individuals facing mobility, stigma, or geographical barriers. However, investment must ensure digital inclusion, particularly for individuals with low digital literacy or limited access to technology.</w:t>
      </w:r>
    </w:p>
    <w:p xmlns:wp14="http://schemas.microsoft.com/office/word/2010/wordml" w:rsidP="3666470A" wp14:paraId="2A52063C" wp14:textId="7B7A8C99">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4. Enhancing Service User and Carer Involvement</w:t>
      </w:r>
    </w:p>
    <w:p xmlns:wp14="http://schemas.microsoft.com/office/word/2010/wordml" w:rsidP="3666470A" wp14:paraId="754585B8" wp14:textId="0A10990E">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True PCC requires meaningful engagement of service users and carers in care planning, service design, and evaluation. Co-production models where individuals with lived experience collaborate as equal partners can inform policies and interventions that reflect real-world needs (The King's Fund, 2022). Mental health </w:t>
      </w:r>
      <w:r w:rsidRPr="3666470A" w:rsidR="68FFA2FA">
        <w:rPr>
          <w:rFonts w:ascii="Arial" w:hAnsi="Arial" w:eastAsia="Arial" w:cs="Arial"/>
          <w:noProof w:val="0"/>
          <w:sz w:val="22"/>
          <w:szCs w:val="22"/>
          <w:lang w:val="en-US"/>
        </w:rPr>
        <w:t>organisations</w:t>
      </w:r>
      <w:r w:rsidRPr="3666470A" w:rsidR="68FFA2FA">
        <w:rPr>
          <w:rFonts w:ascii="Arial" w:hAnsi="Arial" w:eastAsia="Arial" w:cs="Arial"/>
          <w:noProof w:val="0"/>
          <w:sz w:val="22"/>
          <w:szCs w:val="22"/>
          <w:lang w:val="en-US"/>
        </w:rPr>
        <w:t xml:space="preserve"> should </w:t>
      </w:r>
      <w:r w:rsidRPr="3666470A" w:rsidR="68FFA2FA">
        <w:rPr>
          <w:rFonts w:ascii="Arial" w:hAnsi="Arial" w:eastAsia="Arial" w:cs="Arial"/>
          <w:noProof w:val="0"/>
          <w:sz w:val="22"/>
          <w:szCs w:val="22"/>
          <w:lang w:val="en-US"/>
        </w:rPr>
        <w:t>establish</w:t>
      </w:r>
      <w:r w:rsidRPr="3666470A" w:rsidR="68FFA2FA">
        <w:rPr>
          <w:rFonts w:ascii="Arial" w:hAnsi="Arial" w:eastAsia="Arial" w:cs="Arial"/>
          <w:noProof w:val="0"/>
          <w:sz w:val="22"/>
          <w:szCs w:val="22"/>
          <w:lang w:val="en-US"/>
        </w:rPr>
        <w:t xml:space="preserve"> structured mechanisms for regular feedback, service user councils, and carer advisory panels to influence decision-making.</w:t>
      </w:r>
    </w:p>
    <w:p xmlns:wp14="http://schemas.microsoft.com/office/word/2010/wordml" w:rsidP="3666470A" wp14:paraId="1BC6BC85" wp14:textId="5E0604B3">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5. Policy Alignment and Systemic Support</w:t>
      </w:r>
    </w:p>
    <w:p xmlns:wp14="http://schemas.microsoft.com/office/word/2010/wordml" w:rsidP="3666470A" wp14:paraId="09B028D6" wp14:textId="60AE8336">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To sustain effective PCC and PW, policy frameworks should </w:t>
      </w:r>
      <w:r w:rsidRPr="3666470A" w:rsidR="68FFA2FA">
        <w:rPr>
          <w:rFonts w:ascii="Arial" w:hAnsi="Arial" w:eastAsia="Arial" w:cs="Arial"/>
          <w:noProof w:val="0"/>
          <w:sz w:val="22"/>
          <w:szCs w:val="22"/>
          <w:lang w:val="en-US"/>
        </w:rPr>
        <w:t>prioritise</w:t>
      </w:r>
      <w:r w:rsidRPr="3666470A" w:rsidR="68FFA2FA">
        <w:rPr>
          <w:rFonts w:ascii="Arial" w:hAnsi="Arial" w:eastAsia="Arial" w:cs="Arial"/>
          <w:noProof w:val="0"/>
          <w:sz w:val="22"/>
          <w:szCs w:val="22"/>
          <w:lang w:val="en-US"/>
        </w:rPr>
        <w:t xml:space="preserve"> long-term investment, workforce retention, and </w:t>
      </w:r>
      <w:r w:rsidRPr="3666470A" w:rsidR="68FFA2FA">
        <w:rPr>
          <w:rFonts w:ascii="Arial" w:hAnsi="Arial" w:eastAsia="Arial" w:cs="Arial"/>
          <w:noProof w:val="0"/>
          <w:sz w:val="22"/>
          <w:szCs w:val="22"/>
          <w:lang w:val="en-US"/>
        </w:rPr>
        <w:t>equitable</w:t>
      </w:r>
      <w:r w:rsidRPr="3666470A" w:rsidR="68FFA2FA">
        <w:rPr>
          <w:rFonts w:ascii="Arial" w:hAnsi="Arial" w:eastAsia="Arial" w:cs="Arial"/>
          <w:noProof w:val="0"/>
          <w:sz w:val="22"/>
          <w:szCs w:val="22"/>
          <w:lang w:val="en-US"/>
        </w:rPr>
        <w:t xml:space="preserve"> funding across regions. Policymakers should also address bureaucratic barriers that restrict innovation and local flexibility. Strengthening the accountability mechanisms within Integrated Care Systems (ICSs) can ensure consistent implementation of partnership principles at all levels. Evidence-based practice guidelines should continue to evolve to reflect current social, economic, and technological realities.</w:t>
      </w:r>
    </w:p>
    <w:p xmlns:wp14="http://schemas.microsoft.com/office/word/2010/wordml" w:rsidP="3666470A" wp14:paraId="330B1C42" wp14:textId="1E438EDC">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6. Addressing Resource and Equity Gaps</w:t>
      </w:r>
    </w:p>
    <w:p xmlns:wp14="http://schemas.microsoft.com/office/word/2010/wordml" w:rsidP="3666470A" wp14:paraId="2F7571AC" wp14:textId="2B29C8D2">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Resource disparities </w:t>
      </w:r>
      <w:r w:rsidRPr="3666470A" w:rsidR="68FFA2FA">
        <w:rPr>
          <w:rFonts w:ascii="Arial" w:hAnsi="Arial" w:eastAsia="Arial" w:cs="Arial"/>
          <w:noProof w:val="0"/>
          <w:sz w:val="22"/>
          <w:szCs w:val="22"/>
          <w:lang w:val="en-US"/>
        </w:rPr>
        <w:t>remain</w:t>
      </w:r>
      <w:r w:rsidRPr="3666470A" w:rsidR="68FFA2FA">
        <w:rPr>
          <w:rFonts w:ascii="Arial" w:hAnsi="Arial" w:eastAsia="Arial" w:cs="Arial"/>
          <w:noProof w:val="0"/>
          <w:sz w:val="22"/>
          <w:szCs w:val="22"/>
          <w:lang w:val="en-US"/>
        </w:rPr>
        <w:t xml:space="preserve"> a persistent challenge in mental health services. To achieve </w:t>
      </w:r>
      <w:r w:rsidRPr="3666470A" w:rsidR="68FFA2FA">
        <w:rPr>
          <w:rFonts w:ascii="Arial" w:hAnsi="Arial" w:eastAsia="Arial" w:cs="Arial"/>
          <w:noProof w:val="0"/>
          <w:sz w:val="22"/>
          <w:szCs w:val="22"/>
          <w:lang w:val="en-US"/>
        </w:rPr>
        <w:t>equitable</w:t>
      </w:r>
      <w:r w:rsidRPr="3666470A" w:rsidR="68FFA2FA">
        <w:rPr>
          <w:rFonts w:ascii="Arial" w:hAnsi="Arial" w:eastAsia="Arial" w:cs="Arial"/>
          <w:noProof w:val="0"/>
          <w:sz w:val="22"/>
          <w:szCs w:val="22"/>
          <w:lang w:val="en-US"/>
        </w:rPr>
        <w:t xml:space="preserve"> PCC, funding models must </w:t>
      </w:r>
      <w:r w:rsidRPr="3666470A" w:rsidR="68FFA2FA">
        <w:rPr>
          <w:rFonts w:ascii="Arial" w:hAnsi="Arial" w:eastAsia="Arial" w:cs="Arial"/>
          <w:noProof w:val="0"/>
          <w:sz w:val="22"/>
          <w:szCs w:val="22"/>
          <w:lang w:val="en-US"/>
        </w:rPr>
        <w:t>recognise</w:t>
      </w:r>
      <w:r w:rsidRPr="3666470A" w:rsidR="68FFA2FA">
        <w:rPr>
          <w:rFonts w:ascii="Arial" w:hAnsi="Arial" w:eastAsia="Arial" w:cs="Arial"/>
          <w:noProof w:val="0"/>
          <w:sz w:val="22"/>
          <w:szCs w:val="22"/>
          <w:lang w:val="en-US"/>
        </w:rPr>
        <w:t xml:space="preserve"> local population needs and social determinants of health. Increased investment in community-based mental health services, housing support, and social inclusion initiatives will help reduce pressure on acute care systems and support early intervention.</w:t>
      </w:r>
    </w:p>
    <w:p xmlns:wp14="http://schemas.microsoft.com/office/word/2010/wordml" w:rsidP="3666470A" wp14:paraId="706FFC50" wp14:textId="74C8BE2A">
      <w:pPr>
        <w:spacing w:before="240" w:beforeAutospacing="off" w:after="24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noProof w:val="0"/>
          <w:sz w:val="22"/>
          <w:szCs w:val="22"/>
          <w:lang w:val="en-US"/>
        </w:rPr>
        <w:t>In conclusion, achieving sustainable PCC and PW in community mental health services requires a whole-</w:t>
      </w:r>
      <w:r w:rsidRPr="3666470A" w:rsidR="68FFA2FA">
        <w:rPr>
          <w:rFonts w:ascii="Arial" w:hAnsi="Arial" w:eastAsia="Arial" w:cs="Arial"/>
          <w:noProof w:val="0"/>
          <w:sz w:val="22"/>
          <w:szCs w:val="22"/>
          <w:lang w:val="en-US"/>
        </w:rPr>
        <w:t>systems</w:t>
      </w:r>
      <w:r w:rsidRPr="3666470A" w:rsidR="68FFA2FA">
        <w:rPr>
          <w:rFonts w:ascii="Arial" w:hAnsi="Arial" w:eastAsia="Arial" w:cs="Arial"/>
          <w:noProof w:val="0"/>
          <w:sz w:val="22"/>
          <w:szCs w:val="22"/>
          <w:lang w:val="en-US"/>
        </w:rPr>
        <w:t xml:space="preserve"> approach that combines strong leadership, interprofessional education, digital transformation, and genuine service user involvement. While barriers such as resource constraints and cultural resistance persist, a coordinated strategy rooted in shared values and continuous improvement can enable the delivery of compassionate,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and collaborative care across the UK.</w:t>
      </w:r>
      <w:r w:rsidRPr="3666470A" w:rsidR="68FFA2FA">
        <w:rPr>
          <w:rFonts w:ascii="Arial" w:hAnsi="Arial" w:eastAsia="Arial" w:cs="Arial"/>
          <w:b w:val="1"/>
          <w:bCs w:val="1"/>
          <w:noProof w:val="0"/>
          <w:color w:val="365F91"/>
          <w:sz w:val="22"/>
          <w:szCs w:val="22"/>
          <w:lang w:val="en-US"/>
        </w:rPr>
        <w:t xml:space="preserve"> </w:t>
      </w:r>
    </w:p>
    <w:p xmlns:wp14="http://schemas.microsoft.com/office/word/2010/wordml" w:rsidP="3666470A" wp14:paraId="3F5E9FA4" wp14:textId="1A97E9CD">
      <w:pPr>
        <w:pStyle w:val="Heading1"/>
        <w:spacing w:before="480" w:beforeAutospacing="off" w:after="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8. Conclusion</w:t>
      </w:r>
    </w:p>
    <w:p xmlns:wp14="http://schemas.microsoft.com/office/word/2010/wordml" w:rsidP="3666470A" wp14:paraId="2EBAF9BE" wp14:textId="5E6D6C45">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This report has explored the significance of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(PCC) and Partnership Working (PW) in promoting effective, compassionate, and </w:t>
      </w:r>
      <w:r w:rsidRPr="3666470A" w:rsidR="68FFA2FA">
        <w:rPr>
          <w:rFonts w:ascii="Arial" w:hAnsi="Arial" w:eastAsia="Arial" w:cs="Arial"/>
          <w:noProof w:val="0"/>
          <w:sz w:val="22"/>
          <w:szCs w:val="22"/>
          <w:lang w:val="en-US"/>
        </w:rPr>
        <w:t>equitable</w:t>
      </w:r>
      <w:r w:rsidRPr="3666470A" w:rsidR="68FFA2FA">
        <w:rPr>
          <w:rFonts w:ascii="Arial" w:hAnsi="Arial" w:eastAsia="Arial" w:cs="Arial"/>
          <w:noProof w:val="0"/>
          <w:sz w:val="22"/>
          <w:szCs w:val="22"/>
          <w:lang w:val="en-US"/>
        </w:rPr>
        <w:t xml:space="preserve"> care within community mental health services. PCC is grounded in respect </w:t>
      </w:r>
      <w:r w:rsidRPr="3666470A" w:rsidR="68FFA2FA">
        <w:rPr>
          <w:rFonts w:ascii="Arial" w:hAnsi="Arial" w:eastAsia="Arial" w:cs="Arial"/>
          <w:noProof w:val="0"/>
          <w:sz w:val="22"/>
          <w:szCs w:val="22"/>
          <w:lang w:val="en-US"/>
        </w:rPr>
        <w:t>for</w:t>
      </w:r>
      <w:r w:rsidRPr="3666470A" w:rsidR="68FFA2FA">
        <w:rPr>
          <w:rFonts w:ascii="Arial" w:hAnsi="Arial" w:eastAsia="Arial" w:cs="Arial"/>
          <w:noProof w:val="0"/>
          <w:sz w:val="22"/>
          <w:szCs w:val="22"/>
          <w:lang w:val="en-US"/>
        </w:rPr>
        <w:t xml:space="preserve"> individual values, needs, and preferences, while PW ensures that health and social care professionals collaborate effectively to deliver holistic and seamless support. Together, these principles enhance service quality, patient satisfaction, and long-term recovery outcomes.</w:t>
      </w:r>
    </w:p>
    <w:p xmlns:wp14="http://schemas.microsoft.com/office/word/2010/wordml" w:rsidP="3666470A" wp14:paraId="27D8125C" wp14:textId="07AE6BDE">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The report highlighted how theoretical perspectives such as Carl Rogers' humanistic theory and </w:t>
      </w:r>
      <w:r w:rsidRPr="3666470A" w:rsidR="68FFA2FA">
        <w:rPr>
          <w:rFonts w:ascii="Arial" w:hAnsi="Arial" w:eastAsia="Arial" w:cs="Arial"/>
          <w:noProof w:val="0"/>
          <w:sz w:val="22"/>
          <w:szCs w:val="22"/>
          <w:lang w:val="en-US"/>
        </w:rPr>
        <w:t>Kitwood's</w:t>
      </w:r>
      <w:r w:rsidRPr="3666470A" w:rsidR="68FFA2FA">
        <w:rPr>
          <w:rFonts w:ascii="Arial" w:hAnsi="Arial" w:eastAsia="Arial" w:cs="Arial"/>
          <w:noProof w:val="0"/>
          <w:sz w:val="22"/>
          <w:szCs w:val="22"/>
          <w:lang w:val="en-US"/>
        </w:rPr>
        <w:t xml:space="preserve"> personhood model underpin PCC by promoting empathy, autonomy, and dignity. Ethical principles, including autonomy, beneficence, non-maleficence, and justice, provide further moral grounding for ensuring that care is respectful, fair, and empowering. However, challenges such as limited resources, workforce pressures, and </w:t>
      </w:r>
      <w:r w:rsidRPr="3666470A" w:rsidR="68FFA2FA">
        <w:rPr>
          <w:rFonts w:ascii="Arial" w:hAnsi="Arial" w:eastAsia="Arial" w:cs="Arial"/>
          <w:noProof w:val="0"/>
          <w:sz w:val="22"/>
          <w:szCs w:val="22"/>
          <w:lang w:val="en-US"/>
        </w:rPr>
        <w:t>organisational</w:t>
      </w:r>
      <w:r w:rsidRPr="3666470A" w:rsidR="68FFA2FA">
        <w:rPr>
          <w:rFonts w:ascii="Arial" w:hAnsi="Arial" w:eastAsia="Arial" w:cs="Arial"/>
          <w:noProof w:val="0"/>
          <w:sz w:val="22"/>
          <w:szCs w:val="22"/>
          <w:lang w:val="en-US"/>
        </w:rPr>
        <w:t xml:space="preserve"> silos continue to impede consistent implementation across services.</w:t>
      </w:r>
    </w:p>
    <w:p xmlns:wp14="http://schemas.microsoft.com/office/word/2010/wordml" w:rsidP="3666470A" wp14:paraId="793E92A2" wp14:textId="2321521B">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Evaluation of PW </w:t>
      </w:r>
      <w:r w:rsidRPr="3666470A" w:rsidR="68FFA2FA">
        <w:rPr>
          <w:rFonts w:ascii="Arial" w:hAnsi="Arial" w:eastAsia="Arial" w:cs="Arial"/>
          <w:noProof w:val="0"/>
          <w:sz w:val="22"/>
          <w:szCs w:val="22"/>
          <w:lang w:val="en-US"/>
        </w:rPr>
        <w:t>demonstrated</w:t>
      </w:r>
      <w:r w:rsidRPr="3666470A" w:rsidR="68FFA2FA">
        <w:rPr>
          <w:rFonts w:ascii="Arial" w:hAnsi="Arial" w:eastAsia="Arial" w:cs="Arial"/>
          <w:noProof w:val="0"/>
          <w:sz w:val="22"/>
          <w:szCs w:val="22"/>
          <w:lang w:val="en-US"/>
        </w:rPr>
        <w:t xml:space="preserve"> that integrated and collaborative approaches, such as through the establishment of Integrated Care Systems (ICSs), lead to improved service coordination and population health outcomes. Nevertheless, barriers including communication breakdowns, professional hierarchies, and policy misalignment persist. Legislative frameworks particularly the Health and Care Act 2022, Care Act 2014, and Equality Act 2010 offer strong foundations for inclusive </w:t>
      </w:r>
      <w:r w:rsidRPr="3666470A" w:rsidR="4ECF29EC">
        <w:rPr>
          <w:rFonts w:ascii="Arial" w:hAnsi="Arial" w:eastAsia="Arial" w:cs="Arial"/>
          <w:noProof w:val="0"/>
          <w:sz w:val="22"/>
          <w:szCs w:val="22"/>
          <w:lang w:val="en-US"/>
        </w:rPr>
        <w:t>practice</w:t>
      </w:r>
      <w:r w:rsidRPr="3666470A" w:rsidR="3D5E73ED">
        <w:rPr>
          <w:rFonts w:ascii="Arial" w:hAnsi="Arial" w:eastAsia="Arial" w:cs="Arial"/>
          <w:noProof w:val="0"/>
          <w:sz w:val="22"/>
          <w:szCs w:val="22"/>
          <w:lang w:val="en-US"/>
        </w:rPr>
        <w:t xml:space="preserve">. </w:t>
      </w:r>
    </w:p>
    <w:p xmlns:wp14="http://schemas.microsoft.com/office/word/2010/wordml" w:rsidP="3666470A" wp14:paraId="1CEA3EA2" wp14:textId="0BFC6DC7">
      <w:pPr>
        <w:spacing w:before="240" w:beforeAutospacing="off" w:after="24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The recommendations outlined in this report </w:t>
      </w:r>
      <w:r w:rsidRPr="3666470A" w:rsidR="68FFA2FA">
        <w:rPr>
          <w:rFonts w:ascii="Arial" w:hAnsi="Arial" w:eastAsia="Arial" w:cs="Arial"/>
          <w:noProof w:val="0"/>
          <w:sz w:val="22"/>
          <w:szCs w:val="22"/>
          <w:lang w:val="en-US"/>
        </w:rPr>
        <w:t>emphasised</w:t>
      </w:r>
      <w:r w:rsidRPr="3666470A" w:rsidR="68FFA2FA">
        <w:rPr>
          <w:rFonts w:ascii="Arial" w:hAnsi="Arial" w:eastAsia="Arial" w:cs="Arial"/>
          <w:noProof w:val="0"/>
          <w:sz w:val="22"/>
          <w:szCs w:val="22"/>
          <w:lang w:val="en-US"/>
        </w:rPr>
        <w:t xml:space="preserve"> the importance of investing in workforce development, </w:t>
      </w:r>
      <w:r w:rsidRPr="3666470A" w:rsidR="68FFA2FA">
        <w:rPr>
          <w:rFonts w:ascii="Arial" w:hAnsi="Arial" w:eastAsia="Arial" w:cs="Arial"/>
          <w:noProof w:val="0"/>
          <w:sz w:val="22"/>
          <w:szCs w:val="22"/>
          <w:lang w:val="en-US"/>
        </w:rPr>
        <w:t>leveraging</w:t>
      </w:r>
      <w:r w:rsidRPr="3666470A" w:rsidR="68FFA2FA">
        <w:rPr>
          <w:rFonts w:ascii="Arial" w:hAnsi="Arial" w:eastAsia="Arial" w:cs="Arial"/>
          <w:noProof w:val="0"/>
          <w:sz w:val="22"/>
          <w:szCs w:val="22"/>
          <w:lang w:val="en-US"/>
        </w:rPr>
        <w:t xml:space="preserve"> digital technologies, and strengthening service user involvement. A sustainable culture of PCC and PW depends on continued policy support, adequate funding, and shared professional accountability.</w:t>
      </w:r>
    </w:p>
    <w:p xmlns:wp14="http://schemas.microsoft.com/office/word/2010/wordml" w:rsidP="3666470A" wp14:paraId="6C58A3ED" wp14:textId="1C6F6953">
      <w:pPr>
        <w:spacing w:before="240" w:beforeAutospacing="off" w:after="240" w:afterAutospacing="off" w:line="360" w:lineRule="auto"/>
        <w:jc w:val="both"/>
        <w:rPr>
          <w:rFonts w:ascii="Arial" w:hAnsi="Arial" w:eastAsia="Arial" w:cs="Arial"/>
          <w:noProof w:val="0"/>
          <w:sz w:val="22"/>
          <w:szCs w:val="22"/>
          <w:lang w:val="en-US"/>
        </w:rPr>
      </w:pPr>
      <w:r w:rsidRPr="65C4E3DD" w:rsidR="68FFA2FA">
        <w:rPr>
          <w:rFonts w:ascii="Arial" w:hAnsi="Arial" w:eastAsia="Arial" w:cs="Arial"/>
          <w:noProof w:val="0"/>
          <w:sz w:val="22"/>
          <w:szCs w:val="22"/>
          <w:lang w:val="en-US"/>
        </w:rPr>
        <w:t>In conclusion, embedding person-</w:t>
      </w:r>
      <w:r w:rsidRPr="65C4E3DD" w:rsidR="68FFA2FA">
        <w:rPr>
          <w:rFonts w:ascii="Arial" w:hAnsi="Arial" w:eastAsia="Arial" w:cs="Arial"/>
          <w:noProof w:val="0"/>
          <w:sz w:val="22"/>
          <w:szCs w:val="22"/>
          <w:lang w:val="en-US"/>
        </w:rPr>
        <w:t>centred</w:t>
      </w:r>
      <w:r w:rsidRPr="65C4E3DD" w:rsidR="68FFA2FA">
        <w:rPr>
          <w:rFonts w:ascii="Arial" w:hAnsi="Arial" w:eastAsia="Arial" w:cs="Arial"/>
          <w:noProof w:val="0"/>
          <w:sz w:val="22"/>
          <w:szCs w:val="22"/>
          <w:lang w:val="en-US"/>
        </w:rPr>
        <w:t xml:space="preserve"> and partnership-based approaches within community mental health services is essential for creating responsive, </w:t>
      </w:r>
      <w:r w:rsidRPr="65C4E3DD" w:rsidR="68FFA2FA">
        <w:rPr>
          <w:rFonts w:ascii="Arial" w:hAnsi="Arial" w:eastAsia="Arial" w:cs="Arial"/>
          <w:noProof w:val="0"/>
          <w:sz w:val="22"/>
          <w:szCs w:val="22"/>
          <w:lang w:val="en-US"/>
        </w:rPr>
        <w:t>equitable</w:t>
      </w:r>
      <w:r w:rsidRPr="65C4E3DD" w:rsidR="68FFA2FA">
        <w:rPr>
          <w:rFonts w:ascii="Arial" w:hAnsi="Arial" w:eastAsia="Arial" w:cs="Arial"/>
          <w:noProof w:val="0"/>
          <w:sz w:val="22"/>
          <w:szCs w:val="22"/>
          <w:lang w:val="en-US"/>
        </w:rPr>
        <w:t>, and compassionate systems of care. By aligning ethical practice, effective communication, and policy commitment, the UK can continue advancing toward a truly integrated model that places individuals and their communities at the heart of care delivery.</w:t>
      </w:r>
    </w:p>
    <w:p w:rsidR="65C4E3DD" w:rsidP="65C4E3DD" w:rsidRDefault="65C4E3DD" w14:paraId="3FEBD7F8" w14:textId="3B0EF9F2">
      <w:pPr>
        <w:spacing w:before="240" w:beforeAutospacing="off" w:after="240" w:afterAutospacing="off" w:line="360" w:lineRule="auto"/>
        <w:jc w:val="both"/>
        <w:rPr>
          <w:rFonts w:ascii="Arial" w:hAnsi="Arial" w:eastAsia="Arial" w:cs="Arial"/>
          <w:noProof w:val="0"/>
          <w:sz w:val="22"/>
          <w:szCs w:val="22"/>
          <w:lang w:val="en-US"/>
        </w:rPr>
      </w:pPr>
    </w:p>
    <w:p w:rsidR="65C4E3DD" w:rsidP="65C4E3DD" w:rsidRDefault="65C4E3DD" w14:paraId="010A8F3F" w14:textId="243FA57B">
      <w:pPr>
        <w:spacing w:before="240" w:beforeAutospacing="off" w:after="240" w:afterAutospacing="off" w:line="360" w:lineRule="auto"/>
        <w:jc w:val="both"/>
        <w:rPr>
          <w:rFonts w:ascii="Arial" w:hAnsi="Arial" w:eastAsia="Arial" w:cs="Arial"/>
          <w:noProof w:val="0"/>
          <w:sz w:val="22"/>
          <w:szCs w:val="22"/>
          <w:lang w:val="en-US"/>
        </w:rPr>
      </w:pPr>
    </w:p>
    <w:p w:rsidR="65C4E3DD" w:rsidP="65C4E3DD" w:rsidRDefault="65C4E3DD" w14:paraId="7822D513" w14:textId="408D349F">
      <w:pPr>
        <w:spacing w:before="240" w:beforeAutospacing="off" w:after="240" w:afterAutospacing="off" w:line="360" w:lineRule="auto"/>
        <w:jc w:val="both"/>
        <w:rPr>
          <w:rFonts w:ascii="Arial" w:hAnsi="Arial" w:eastAsia="Arial" w:cs="Arial"/>
          <w:noProof w:val="0"/>
          <w:sz w:val="22"/>
          <w:szCs w:val="22"/>
          <w:lang w:val="en-US"/>
        </w:rPr>
      </w:pPr>
    </w:p>
    <w:p w:rsidR="65C4E3DD" w:rsidP="65C4E3DD" w:rsidRDefault="65C4E3DD" w14:paraId="75E98F36" w14:textId="0D02F1EB">
      <w:pPr>
        <w:spacing w:before="240" w:beforeAutospacing="off" w:after="240" w:afterAutospacing="off" w:line="360" w:lineRule="auto"/>
        <w:jc w:val="both"/>
        <w:rPr>
          <w:rFonts w:ascii="Arial" w:hAnsi="Arial" w:eastAsia="Arial" w:cs="Arial"/>
          <w:noProof w:val="0"/>
          <w:sz w:val="22"/>
          <w:szCs w:val="22"/>
          <w:lang w:val="en-US"/>
        </w:rPr>
      </w:pPr>
    </w:p>
    <w:p w:rsidR="65C4E3DD" w:rsidP="65C4E3DD" w:rsidRDefault="65C4E3DD" w14:paraId="1E2100F6" w14:textId="652B2B5F">
      <w:pPr>
        <w:spacing w:before="240" w:beforeAutospacing="off" w:after="240" w:afterAutospacing="off" w:line="360" w:lineRule="auto"/>
        <w:jc w:val="both"/>
        <w:rPr>
          <w:rFonts w:ascii="Arial" w:hAnsi="Arial" w:eastAsia="Arial" w:cs="Arial"/>
          <w:noProof w:val="0"/>
          <w:sz w:val="22"/>
          <w:szCs w:val="22"/>
          <w:lang w:val="en-US"/>
        </w:rPr>
      </w:pPr>
    </w:p>
    <w:p w:rsidR="65C4E3DD" w:rsidP="65C4E3DD" w:rsidRDefault="65C4E3DD" w14:paraId="158C11B5" w14:textId="2F23F2CF">
      <w:pPr>
        <w:spacing w:before="240" w:beforeAutospacing="off" w:after="240" w:afterAutospacing="off" w:line="360" w:lineRule="auto"/>
        <w:jc w:val="both"/>
        <w:rPr>
          <w:rFonts w:ascii="Arial" w:hAnsi="Arial" w:eastAsia="Arial" w:cs="Arial"/>
          <w:noProof w:val="0"/>
          <w:sz w:val="22"/>
          <w:szCs w:val="22"/>
          <w:lang w:val="en-US"/>
        </w:rPr>
      </w:pPr>
    </w:p>
    <w:p w:rsidR="65C4E3DD" w:rsidP="65C4E3DD" w:rsidRDefault="65C4E3DD" w14:paraId="09EBC8B8" w14:textId="04E5DD88">
      <w:pPr>
        <w:spacing w:before="240" w:beforeAutospacing="off" w:after="240" w:afterAutospacing="off" w:line="360" w:lineRule="auto"/>
        <w:jc w:val="both"/>
        <w:rPr>
          <w:rFonts w:ascii="Arial" w:hAnsi="Arial" w:eastAsia="Arial" w:cs="Arial"/>
          <w:noProof w:val="0"/>
          <w:sz w:val="22"/>
          <w:szCs w:val="22"/>
          <w:lang w:val="en-US"/>
        </w:rPr>
      </w:pPr>
    </w:p>
    <w:p w:rsidR="65C4E3DD" w:rsidP="65C4E3DD" w:rsidRDefault="65C4E3DD" w14:paraId="3395B284" w14:textId="4CCBBA24">
      <w:pPr>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3666470A" wp14:paraId="170BF94C" wp14:textId="2464A593">
      <w:pPr>
        <w:pStyle w:val="Heading1"/>
        <w:spacing w:before="240" w:beforeAutospacing="off" w:after="240" w:afterAutospacing="off" w:line="360" w:lineRule="auto"/>
        <w:jc w:val="both"/>
        <w:rPr>
          <w:rFonts w:ascii="Arial" w:hAnsi="Arial" w:eastAsia="Arial" w:cs="Arial"/>
          <w:b w:val="1"/>
          <w:bCs w:val="1"/>
          <w:noProof w:val="0"/>
          <w:color w:val="365F91"/>
          <w:sz w:val="22"/>
          <w:szCs w:val="22"/>
          <w:lang w:val="en-US"/>
        </w:rPr>
      </w:pPr>
      <w:r w:rsidRPr="3666470A" w:rsidR="68FFA2FA">
        <w:rPr>
          <w:rFonts w:ascii="Arial" w:hAnsi="Arial" w:eastAsia="Arial" w:cs="Arial"/>
          <w:b w:val="1"/>
          <w:bCs w:val="1"/>
          <w:noProof w:val="0"/>
          <w:color w:val="365F91"/>
          <w:sz w:val="22"/>
          <w:szCs w:val="22"/>
          <w:lang w:val="en-US"/>
        </w:rPr>
        <w:t>Reference List</w:t>
      </w:r>
    </w:p>
    <w:p xmlns:wp14="http://schemas.microsoft.com/office/word/2010/wordml" w:rsidP="3666470A" wp14:paraId="13D98CEE" wp14:textId="40E885E2">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Beauchamp, T.L. and Childress, J.F. (2019) Principles of biomedical ethics. 8th </w:t>
      </w:r>
      <w:r w:rsidRPr="3666470A" w:rsidR="68FFA2FA">
        <w:rPr>
          <w:rFonts w:ascii="Arial" w:hAnsi="Arial" w:eastAsia="Arial" w:cs="Arial"/>
          <w:noProof w:val="0"/>
          <w:sz w:val="22"/>
          <w:szCs w:val="22"/>
          <w:lang w:val="en-US"/>
        </w:rPr>
        <w:t>edn</w:t>
      </w:r>
      <w:r w:rsidRPr="3666470A" w:rsidR="68FFA2FA">
        <w:rPr>
          <w:rFonts w:ascii="Arial" w:hAnsi="Arial" w:eastAsia="Arial" w:cs="Arial"/>
          <w:noProof w:val="0"/>
          <w:sz w:val="22"/>
          <w:szCs w:val="22"/>
          <w:lang w:val="en-US"/>
        </w:rPr>
        <w:t>. New York: Oxford University Press.</w:t>
      </w:r>
    </w:p>
    <w:p xmlns:wp14="http://schemas.microsoft.com/office/word/2010/wordml" w:rsidP="3666470A" wp14:paraId="6F6A6A92" wp14:textId="159EDD47">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Banks, S. (2020) Ethics and values in social work. 5th </w:t>
      </w:r>
      <w:r w:rsidRPr="3666470A" w:rsidR="68FFA2FA">
        <w:rPr>
          <w:rFonts w:ascii="Arial" w:hAnsi="Arial" w:eastAsia="Arial" w:cs="Arial"/>
          <w:noProof w:val="0"/>
          <w:sz w:val="22"/>
          <w:szCs w:val="22"/>
          <w:lang w:val="en-US"/>
        </w:rPr>
        <w:t>edn</w:t>
      </w:r>
      <w:r w:rsidRPr="3666470A" w:rsidR="68FFA2FA">
        <w:rPr>
          <w:rFonts w:ascii="Arial" w:hAnsi="Arial" w:eastAsia="Arial" w:cs="Arial"/>
          <w:noProof w:val="0"/>
          <w:sz w:val="22"/>
          <w:szCs w:val="22"/>
          <w:lang w:val="en-US"/>
        </w:rPr>
        <w:t>. London: Red Globe Press.</w:t>
      </w:r>
    </w:p>
    <w:p xmlns:wp14="http://schemas.microsoft.com/office/word/2010/wordml" w:rsidP="3666470A" wp14:paraId="5CA6032C" wp14:textId="0F332BA6">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Bambra, C., Gibson, M., Sowden, A., Wright, K., Whitehead, M. and Petticrew, M. (2015) ‘Welfare state retrenchment and health inequalities: a synthesis of evidence’, Public Health, 129(1), pp. 1–10.</w:t>
      </w:r>
    </w:p>
    <w:p xmlns:wp14="http://schemas.microsoft.com/office/word/2010/wordml" w:rsidP="3666470A" wp14:paraId="66087084" wp14:textId="28868909">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British Institute of Human Rights (2022) Human rights in healthcare: A framework for local action. London: BIHR.</w:t>
      </w:r>
    </w:p>
    <w:p xmlns:wp14="http://schemas.microsoft.com/office/word/2010/wordml" w:rsidP="3666470A" wp14:paraId="3689B761" wp14:textId="29672D8F">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Bronfenbrenner, U. (1979)</w:t>
      </w:r>
      <w:r w:rsidRPr="3666470A" w:rsidR="68FFA2FA">
        <w:rPr>
          <w:rFonts w:ascii="Arial" w:hAnsi="Arial" w:eastAsia="Arial" w:cs="Arial"/>
          <w:noProof w:val="0"/>
          <w:sz w:val="22"/>
          <w:szCs w:val="22"/>
          <w:lang w:val="en-US"/>
        </w:rPr>
        <w:t xml:space="preserve"> The</w:t>
      </w:r>
      <w:r w:rsidRPr="3666470A" w:rsidR="68FFA2FA">
        <w:rPr>
          <w:rFonts w:ascii="Arial" w:hAnsi="Arial" w:eastAsia="Arial" w:cs="Arial"/>
          <w:noProof w:val="0"/>
          <w:sz w:val="22"/>
          <w:szCs w:val="22"/>
          <w:lang w:val="en-US"/>
        </w:rPr>
        <w:t xml:space="preserve"> ecology of human development: Experiments by nature and design. Cambridge, MA: Harvard University Press.</w:t>
      </w:r>
    </w:p>
    <w:p xmlns:wp14="http://schemas.microsoft.com/office/word/2010/wordml" w:rsidP="3666470A" wp14:paraId="42DCC487" wp14:textId="73F1BCA2">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Bronfenbrenner, </w:t>
      </w:r>
      <w:r w:rsidRPr="3666470A" w:rsidR="68FFA2FA">
        <w:rPr>
          <w:rFonts w:ascii="Arial" w:hAnsi="Arial" w:eastAsia="Arial" w:cs="Arial"/>
          <w:noProof w:val="0"/>
          <w:sz w:val="22"/>
          <w:szCs w:val="22"/>
          <w:lang w:val="en-US"/>
        </w:rPr>
        <w:t>U.</w:t>
      </w:r>
      <w:r w:rsidRPr="3666470A" w:rsidR="68FFA2FA">
        <w:rPr>
          <w:rFonts w:ascii="Arial" w:hAnsi="Arial" w:eastAsia="Arial" w:cs="Arial"/>
          <w:noProof w:val="0"/>
          <w:sz w:val="22"/>
          <w:szCs w:val="22"/>
          <w:lang w:val="en-US"/>
        </w:rPr>
        <w:t xml:space="preserve"> and Morris, P.A. (2006) ‘The bioecological model of human development’, in Lerner, R.M. (ed.) Handbook of child psychology. 6th </w:t>
      </w:r>
      <w:r w:rsidRPr="3666470A" w:rsidR="68FFA2FA">
        <w:rPr>
          <w:rFonts w:ascii="Arial" w:hAnsi="Arial" w:eastAsia="Arial" w:cs="Arial"/>
          <w:noProof w:val="0"/>
          <w:sz w:val="22"/>
          <w:szCs w:val="22"/>
          <w:lang w:val="en-US"/>
        </w:rPr>
        <w:t>edn</w:t>
      </w:r>
      <w:r w:rsidRPr="3666470A" w:rsidR="68FFA2FA">
        <w:rPr>
          <w:rFonts w:ascii="Arial" w:hAnsi="Arial" w:eastAsia="Arial" w:cs="Arial"/>
          <w:noProof w:val="0"/>
          <w:sz w:val="22"/>
          <w:szCs w:val="22"/>
          <w:lang w:val="en-US"/>
        </w:rPr>
        <w:t>. Hoboken, NJ: Wiley, pp. 793–828.</w:t>
      </w:r>
    </w:p>
    <w:p xmlns:wp14="http://schemas.microsoft.com/office/word/2010/wordml" w:rsidP="3666470A" wp14:paraId="2953FDCE" wp14:textId="78E2633A">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Care Quality Commission (2020) Promoting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care in mental health services. London: CQC.</w:t>
      </w:r>
    </w:p>
    <w:p xmlns:wp14="http://schemas.microsoft.com/office/word/2010/wordml" w:rsidP="3666470A" wp14:paraId="6AAD5269" wp14:textId="0F3C02CD">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Dahlgren, </w:t>
      </w:r>
      <w:r w:rsidRPr="3666470A" w:rsidR="68FFA2FA">
        <w:rPr>
          <w:rFonts w:ascii="Arial" w:hAnsi="Arial" w:eastAsia="Arial" w:cs="Arial"/>
          <w:noProof w:val="0"/>
          <w:sz w:val="22"/>
          <w:szCs w:val="22"/>
          <w:lang w:val="en-US"/>
        </w:rPr>
        <w:t>G.</w:t>
      </w:r>
      <w:r w:rsidRPr="3666470A" w:rsidR="68FFA2FA">
        <w:rPr>
          <w:rFonts w:ascii="Arial" w:hAnsi="Arial" w:eastAsia="Arial" w:cs="Arial"/>
          <w:noProof w:val="0"/>
          <w:sz w:val="22"/>
          <w:szCs w:val="22"/>
          <w:lang w:val="en-US"/>
        </w:rPr>
        <w:t xml:space="preserve"> and Whitehead, M. (1991) ‘Policies and strategies to promote social equity in health’, Institute for Future Studies. Stockholm: Department of Social Medicine.</w:t>
      </w:r>
    </w:p>
    <w:p xmlns:wp14="http://schemas.microsoft.com/office/word/2010/wordml" w:rsidP="3666470A" wp14:paraId="768C0A01" wp14:textId="615C5A60">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Glasby, J. and Dickinson, H. (2022) Partnership working in health and social care: What is integrated care and how can we deliver it? 3rd </w:t>
      </w:r>
      <w:r w:rsidRPr="3666470A" w:rsidR="68FFA2FA">
        <w:rPr>
          <w:rFonts w:ascii="Arial" w:hAnsi="Arial" w:eastAsia="Arial" w:cs="Arial"/>
          <w:noProof w:val="0"/>
          <w:sz w:val="22"/>
          <w:szCs w:val="22"/>
          <w:lang w:val="en-US"/>
        </w:rPr>
        <w:t>edn</w:t>
      </w:r>
      <w:r w:rsidRPr="3666470A" w:rsidR="68FFA2FA">
        <w:rPr>
          <w:rFonts w:ascii="Arial" w:hAnsi="Arial" w:eastAsia="Arial" w:cs="Arial"/>
          <w:noProof w:val="0"/>
          <w:sz w:val="22"/>
          <w:szCs w:val="22"/>
          <w:lang w:val="en-US"/>
        </w:rPr>
        <w:t>. Bristol: Policy Press.</w:t>
      </w:r>
    </w:p>
    <w:p xmlns:wp14="http://schemas.microsoft.com/office/word/2010/wordml" w:rsidP="3666470A" wp14:paraId="788CC484" wp14:textId="12221945">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Hudson, B. (2021) ‘Collaboration and integration in public services: A </w:t>
      </w:r>
      <w:r w:rsidRPr="3666470A" w:rsidR="68FFA2FA">
        <w:rPr>
          <w:rFonts w:ascii="Arial" w:hAnsi="Arial" w:eastAsia="Arial" w:cs="Arial"/>
          <w:noProof w:val="0"/>
          <w:sz w:val="22"/>
          <w:szCs w:val="22"/>
          <w:lang w:val="en-US"/>
        </w:rPr>
        <w:t>critical analysis</w:t>
      </w:r>
      <w:r w:rsidRPr="3666470A" w:rsidR="68FFA2FA">
        <w:rPr>
          <w:rFonts w:ascii="Arial" w:hAnsi="Arial" w:eastAsia="Arial" w:cs="Arial"/>
          <w:noProof w:val="0"/>
          <w:sz w:val="22"/>
          <w:szCs w:val="22"/>
          <w:lang w:val="en-US"/>
        </w:rPr>
        <w:t>’, Journal of Integrated Care, 29(3), pp. 211–225.</w:t>
      </w:r>
    </w:p>
    <w:p xmlns:wp14="http://schemas.microsoft.com/office/word/2010/wordml" w:rsidP="3666470A" wp14:paraId="4BF56F9D" wp14:textId="297EB227">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Kitwood</w:t>
      </w:r>
      <w:r w:rsidRPr="3666470A" w:rsidR="68FFA2FA">
        <w:rPr>
          <w:rFonts w:ascii="Arial" w:hAnsi="Arial" w:eastAsia="Arial" w:cs="Arial"/>
          <w:noProof w:val="0"/>
          <w:sz w:val="22"/>
          <w:szCs w:val="22"/>
          <w:lang w:val="en-US"/>
        </w:rPr>
        <w:t>, T. (1997) Dementia reconsidered: The person comes first. Buckingham: Open University Press.</w:t>
      </w:r>
    </w:p>
    <w:p xmlns:wp14="http://schemas.microsoft.com/office/word/2010/wordml" w:rsidP="3666470A" wp14:paraId="1063698D" wp14:textId="20ED46E6">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 xml:space="preserve">Larkin, M., Boden, </w:t>
      </w:r>
      <w:r w:rsidRPr="3666470A" w:rsidR="68FFA2FA">
        <w:rPr>
          <w:rFonts w:ascii="Arial" w:hAnsi="Arial" w:eastAsia="Arial" w:cs="Arial"/>
          <w:noProof w:val="0"/>
          <w:sz w:val="22"/>
          <w:szCs w:val="22"/>
          <w:lang w:val="en-US"/>
        </w:rPr>
        <w:t>Z.</w:t>
      </w:r>
      <w:r w:rsidRPr="3666470A" w:rsidR="68FFA2FA">
        <w:rPr>
          <w:rFonts w:ascii="Arial" w:hAnsi="Arial" w:eastAsia="Arial" w:cs="Arial"/>
          <w:noProof w:val="0"/>
          <w:sz w:val="22"/>
          <w:szCs w:val="22"/>
          <w:lang w:val="en-US"/>
        </w:rPr>
        <w:t xml:space="preserve"> and Newton, E. (2019) ‘Collaborative practice in community mental health: Balancing professional authority and service user empowerment’, Health &amp; Social Care in the Community, 27(6), pp. 1479–1488.</w:t>
      </w:r>
    </w:p>
    <w:p xmlns:wp14="http://schemas.microsoft.com/office/word/2010/wordml" w:rsidP="3666470A" wp14:paraId="2DAE114E" wp14:textId="66539AF0">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Marmot, M. (2010)</w:t>
      </w:r>
      <w:r w:rsidRPr="3666470A" w:rsidR="68FFA2FA">
        <w:rPr>
          <w:rFonts w:ascii="Arial" w:hAnsi="Arial" w:eastAsia="Arial" w:cs="Arial"/>
          <w:noProof w:val="0"/>
          <w:sz w:val="22"/>
          <w:szCs w:val="22"/>
          <w:lang w:val="en-US"/>
        </w:rPr>
        <w:t xml:space="preserve"> Fair</w:t>
      </w:r>
      <w:r w:rsidRPr="3666470A" w:rsidR="68FFA2FA">
        <w:rPr>
          <w:rFonts w:ascii="Arial" w:hAnsi="Arial" w:eastAsia="Arial" w:cs="Arial"/>
          <w:noProof w:val="0"/>
          <w:sz w:val="22"/>
          <w:szCs w:val="22"/>
          <w:lang w:val="en-US"/>
        </w:rPr>
        <w:t xml:space="preserve"> society, healthy lives (The Marmot Review). London: University College London.</w:t>
      </w:r>
    </w:p>
    <w:p xmlns:wp14="http://schemas.microsoft.com/office/word/2010/wordml" w:rsidP="3666470A" wp14:paraId="35A0C875" wp14:textId="133B794B">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McCormack, B. and McCance, T. (2017)</w:t>
      </w:r>
      <w:r w:rsidRPr="3666470A" w:rsidR="68FFA2FA">
        <w:rPr>
          <w:rFonts w:ascii="Arial" w:hAnsi="Arial" w:eastAsia="Arial" w:cs="Arial"/>
          <w:noProof w:val="0"/>
          <w:sz w:val="22"/>
          <w:szCs w:val="22"/>
          <w:lang w:val="en-US"/>
        </w:rPr>
        <w:t xml:space="preserve"> Person</w:t>
      </w:r>
      <w:r w:rsidRPr="3666470A" w:rsidR="68FFA2FA">
        <w:rPr>
          <w:rFonts w:ascii="Arial" w:hAnsi="Arial" w:eastAsia="Arial" w:cs="Arial"/>
          <w:noProof w:val="0"/>
          <w:sz w:val="22"/>
          <w:szCs w:val="22"/>
          <w:lang w:val="en-US"/>
        </w:rPr>
        <w:t>-</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practice in nursing and health care: Theory and practice. 2nd </w:t>
      </w:r>
      <w:r w:rsidRPr="3666470A" w:rsidR="68FFA2FA">
        <w:rPr>
          <w:rFonts w:ascii="Arial" w:hAnsi="Arial" w:eastAsia="Arial" w:cs="Arial"/>
          <w:noProof w:val="0"/>
          <w:sz w:val="22"/>
          <w:szCs w:val="22"/>
          <w:lang w:val="en-US"/>
        </w:rPr>
        <w:t>edn</w:t>
      </w:r>
      <w:r w:rsidRPr="3666470A" w:rsidR="68FFA2FA">
        <w:rPr>
          <w:rFonts w:ascii="Arial" w:hAnsi="Arial" w:eastAsia="Arial" w:cs="Arial"/>
          <w:noProof w:val="0"/>
          <w:sz w:val="22"/>
          <w:szCs w:val="22"/>
          <w:lang w:val="en-US"/>
        </w:rPr>
        <w:t>. Chichester: Wiley.</w:t>
      </w:r>
    </w:p>
    <w:p xmlns:wp14="http://schemas.microsoft.com/office/word/2010/wordml" w:rsidP="3666470A" wp14:paraId="08C144CE" wp14:textId="2FD4EDA4">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NHS Confederation (2023) Building effective partnerships in Integrated Care Systems. London: NHS Confederation.</w:t>
      </w:r>
    </w:p>
    <w:p xmlns:wp14="http://schemas.microsoft.com/office/word/2010/wordml" w:rsidP="3666470A" wp14:paraId="685F0976" wp14:textId="78BE6B6E">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NHS Digital (2023) Digital transformation in health and social care. Leeds: NHS Digital.</w:t>
      </w:r>
    </w:p>
    <w:p xmlns:wp14="http://schemas.microsoft.com/office/word/2010/wordml" w:rsidP="3666470A" wp14:paraId="4E0F7233" wp14:textId="2FDB31ED">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NHS England (2023) Integrated Care Systems: Guidance and accountability framework. London: NHS England.</w:t>
      </w:r>
    </w:p>
    <w:p xmlns:wp14="http://schemas.microsoft.com/office/word/2010/wordml" w:rsidP="3666470A" wp14:paraId="62A88AE5" wp14:textId="43AA1095">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Skills for Care (2022) Developing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skills in social care: Workforce development framework. Leeds: Skills for Care.</w:t>
      </w:r>
    </w:p>
    <w:p xmlns:wp14="http://schemas.microsoft.com/office/word/2010/wordml" w:rsidP="3666470A" wp14:paraId="16F5D778" wp14:textId="2119F0B5">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Slade, M. (2017) Implementing shared decision making in mental health practice. London: Guilford.</w:t>
      </w:r>
    </w:p>
    <w:p xmlns:wp14="http://schemas.microsoft.com/office/word/2010/wordml" w:rsidP="3666470A" wp14:paraId="06A7D5A2" wp14:textId="1579FC37">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The King’s Fund (2022) Delivering person-</w:t>
      </w:r>
      <w:r w:rsidRPr="3666470A" w:rsidR="68FFA2FA">
        <w:rPr>
          <w:rFonts w:ascii="Arial" w:hAnsi="Arial" w:eastAsia="Arial" w:cs="Arial"/>
          <w:noProof w:val="0"/>
          <w:sz w:val="22"/>
          <w:szCs w:val="22"/>
          <w:lang w:val="en-US"/>
        </w:rPr>
        <w:t>centred</w:t>
      </w:r>
      <w:r w:rsidRPr="3666470A" w:rsidR="68FFA2FA">
        <w:rPr>
          <w:rFonts w:ascii="Arial" w:hAnsi="Arial" w:eastAsia="Arial" w:cs="Arial"/>
          <w:noProof w:val="0"/>
          <w:sz w:val="22"/>
          <w:szCs w:val="22"/>
          <w:lang w:val="en-US"/>
        </w:rPr>
        <w:t xml:space="preserve"> and integrated care: Lessons from good practice. London: The King’s Fund.</w:t>
      </w:r>
    </w:p>
    <w:p xmlns:wp14="http://schemas.microsoft.com/office/word/2010/wordml" w:rsidP="3666470A" wp14:paraId="4B090FE5" wp14:textId="2DCC183E">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Thompson, E., McCunn, E. and Smith, J. (2021) ‘Shared decision-making in community mental health’, Journal of Mental Health Practice, 24(2), pp. 85–94.</w:t>
      </w:r>
    </w:p>
    <w:p xmlns:wp14="http://schemas.microsoft.com/office/word/2010/wordml" w:rsidP="3666470A" wp14:paraId="68659127" wp14:textId="79106CBD">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Whiteford, L. and Manderson, L. (2000) ‘Cultural pluralism and models of health’, Social Science &amp; Medicine, 51(6), pp. 843–848.</w:t>
      </w:r>
    </w:p>
    <w:p xmlns:wp14="http://schemas.microsoft.com/office/word/2010/wordml" w:rsidP="3666470A" wp14:paraId="2A8209BA" wp14:textId="64FFE46A">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World Health Organization (2013) Mental health action plan 2013–2020. Geneva: WHO.</w:t>
      </w:r>
    </w:p>
    <w:p xmlns:wp14="http://schemas.microsoft.com/office/word/2010/wordml" w:rsidP="3666470A" wp14:paraId="593F90D9" wp14:textId="70D37372">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Health and Care Act 2022 (2022) c. 31. London: HMSO.</w:t>
      </w:r>
    </w:p>
    <w:p xmlns:wp14="http://schemas.microsoft.com/office/word/2010/wordml" w:rsidP="3666470A" wp14:paraId="2B57120F" wp14:textId="54C1F159">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Equality Act 2010 (2010) c. 15. London: HMSO.</w:t>
      </w:r>
    </w:p>
    <w:p xmlns:wp14="http://schemas.microsoft.com/office/word/2010/wordml" w:rsidP="3666470A" wp14:paraId="4C967629" wp14:textId="55A210DB">
      <w:pPr>
        <w:spacing w:before="0" w:beforeAutospacing="off" w:after="200" w:afterAutospacing="off" w:line="360" w:lineRule="auto"/>
        <w:jc w:val="both"/>
        <w:rPr>
          <w:rFonts w:ascii="Arial" w:hAnsi="Arial" w:eastAsia="Arial" w:cs="Arial"/>
          <w:noProof w:val="0"/>
          <w:sz w:val="22"/>
          <w:szCs w:val="22"/>
          <w:lang w:val="en-US"/>
        </w:rPr>
      </w:pPr>
      <w:r w:rsidRPr="3666470A" w:rsidR="68FFA2FA">
        <w:rPr>
          <w:rFonts w:ascii="Arial" w:hAnsi="Arial" w:eastAsia="Arial" w:cs="Arial"/>
          <w:noProof w:val="0"/>
          <w:sz w:val="22"/>
          <w:szCs w:val="22"/>
          <w:lang w:val="en-US"/>
        </w:rPr>
        <w:t>Department of Health and Social Care (2014) Care Act 2014: Statutory guidance for implementation. London: DHSC.</w:t>
      </w:r>
    </w:p>
    <w:p xmlns:wp14="http://schemas.microsoft.com/office/word/2010/wordml" w:rsidP="65C4E3DD" wp14:paraId="2C078E63" wp14:textId="05E38E14">
      <w:pPr>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766de7b6176a4a12"/>
      <w:footerReference w:type="default" r:id="Ra9b14c18f00d43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666470A" w:rsidTr="3666470A" w14:paraId="1B03CE63">
      <w:trPr>
        <w:trHeight w:val="300"/>
      </w:trPr>
      <w:tc>
        <w:tcPr>
          <w:tcW w:w="3120" w:type="dxa"/>
          <w:tcMar/>
        </w:tcPr>
        <w:p w:rsidR="3666470A" w:rsidP="3666470A" w:rsidRDefault="3666470A" w14:paraId="14560ED7" w14:textId="3F80B162">
          <w:pPr>
            <w:pStyle w:val="Header"/>
            <w:bidi w:val="0"/>
            <w:ind w:left="-115"/>
            <w:jc w:val="left"/>
          </w:pPr>
        </w:p>
      </w:tc>
      <w:tc>
        <w:tcPr>
          <w:tcW w:w="3120" w:type="dxa"/>
          <w:tcMar/>
        </w:tcPr>
        <w:p w:rsidR="3666470A" w:rsidP="3666470A" w:rsidRDefault="3666470A" w14:paraId="4B71F35C" w14:textId="56A7A6A9">
          <w:pPr>
            <w:pStyle w:val="Header"/>
            <w:bidi w:val="0"/>
            <w:jc w:val="center"/>
          </w:pPr>
          <w:r>
            <w:fldChar w:fldCharType="begin"/>
          </w:r>
          <w:r>
            <w:instrText xml:space="preserve">PAGE</w:instrText>
          </w:r>
          <w:r>
            <w:fldChar w:fldCharType="separate"/>
          </w:r>
          <w:r>
            <w:fldChar w:fldCharType="end"/>
          </w:r>
        </w:p>
      </w:tc>
      <w:tc>
        <w:tcPr>
          <w:tcW w:w="3120" w:type="dxa"/>
          <w:tcMar/>
        </w:tcPr>
        <w:p w:rsidR="3666470A" w:rsidP="3666470A" w:rsidRDefault="3666470A" w14:paraId="01A03A03" w14:textId="55E76D74">
          <w:pPr>
            <w:pStyle w:val="Header"/>
            <w:bidi w:val="0"/>
            <w:ind w:right="-115"/>
            <w:jc w:val="right"/>
          </w:pPr>
        </w:p>
      </w:tc>
    </w:tr>
  </w:tbl>
  <w:p w:rsidR="3666470A" w:rsidP="3666470A" w:rsidRDefault="3666470A" w14:paraId="6224C62A" w14:textId="5E9DB1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666470A" w:rsidTr="3666470A" w14:paraId="522A4403">
      <w:trPr>
        <w:trHeight w:val="300"/>
      </w:trPr>
      <w:tc>
        <w:tcPr>
          <w:tcW w:w="3120" w:type="dxa"/>
          <w:tcMar/>
        </w:tcPr>
        <w:p w:rsidR="3666470A" w:rsidP="3666470A" w:rsidRDefault="3666470A" w14:paraId="5AE7FFAF" w14:textId="675A98DF">
          <w:pPr>
            <w:pStyle w:val="Header"/>
            <w:bidi w:val="0"/>
            <w:ind w:left="-115"/>
            <w:jc w:val="left"/>
          </w:pPr>
        </w:p>
      </w:tc>
      <w:tc>
        <w:tcPr>
          <w:tcW w:w="3120" w:type="dxa"/>
          <w:tcMar/>
        </w:tcPr>
        <w:p w:rsidR="3666470A" w:rsidP="3666470A" w:rsidRDefault="3666470A" w14:paraId="03C35AB1" w14:textId="389E060F">
          <w:pPr>
            <w:pStyle w:val="Header"/>
            <w:bidi w:val="0"/>
            <w:jc w:val="center"/>
          </w:pPr>
        </w:p>
      </w:tc>
      <w:tc>
        <w:tcPr>
          <w:tcW w:w="3120" w:type="dxa"/>
          <w:tcMar/>
        </w:tcPr>
        <w:p w:rsidR="3666470A" w:rsidP="3666470A" w:rsidRDefault="3666470A" w14:paraId="6B6CDF5F" w14:textId="66ED8EE4">
          <w:pPr>
            <w:pStyle w:val="Header"/>
            <w:bidi w:val="0"/>
            <w:ind w:right="-115"/>
            <w:jc w:val="right"/>
          </w:pPr>
        </w:p>
      </w:tc>
    </w:tr>
  </w:tbl>
  <w:p w:rsidR="3666470A" w:rsidP="3666470A" w:rsidRDefault="3666470A" w14:paraId="36BA8470" w14:textId="4E45353F">
    <w:pPr>
      <w:pStyle w:val="Header"/>
      <w:bidi w:val="0"/>
    </w:pPr>
  </w:p>
</w:hdr>
</file>

<file path=word/intelligence2.xml><?xml version="1.0" encoding="utf-8"?>
<int2:intelligence xmlns:int2="http://schemas.microsoft.com/office/intelligence/2020/intelligence">
  <int2:observations>
    <int2:textHash int2:hashCode="CuDKvTu3GArj+k" int2:id="JHOdywRm">
      <int2:state int2:type="spell" int2:value="Rejected"/>
    </int2:textHash>
    <int2:textHash int2:hashCode="HYmXZP6hIGcpkR" int2:id="67GX4wqT">
      <int2:state int2:type="spell" int2:value="Rejected"/>
    </int2:textHash>
    <int2:textHash int2:hashCode="GBJ/gSRiauC5L0" int2:id="albcNhnM">
      <int2:state int2:type="spell" int2:value="Rejected"/>
    </int2:textHash>
    <int2:textHash int2:hashCode="K9X7Xd4L2h5wl4" int2:id="a7k79Ch6">
      <int2:state int2:type="spell" int2:value="Rejected"/>
    </int2:textHash>
    <int2:textHash int2:hashCode="IknMeE5XC/atct" int2:id="cUTPv3Lg">
      <int2:state int2:type="spell" int2:value="Rejected"/>
    </int2:textHash>
    <int2:textHash int2:hashCode="Qm95T/jiAUw1Vj" int2:id="TZjkQaKh">
      <int2:state int2:type="spell" int2:value="Rejected"/>
    </int2:textHash>
    <int2:textHash int2:hashCode="OrtZNwJC/JiGrS" int2:id="Arv9kYj9">
      <int2:state int2:type="spell" int2:value="Rejected"/>
    </int2:textHash>
    <int2:textHash int2:hashCode="kByidkXaRxGvMx" int2:id="eyzdgtx7">
      <int2:state int2:type="spell" int2:value="Rejected"/>
    </int2:textHash>
    <int2:textHash int2:hashCode="aG+z44WpgrTp0l" int2:id="rPRKQlNp">
      <int2:state int2:type="spell" int2:value="Rejected"/>
    </int2:textHash>
    <int2:textHash int2:hashCode="OiruTVC2kgzi5a" int2:id="7OqTZ4p2">
      <int2:state int2:type="spell" int2:value="Rejected"/>
    </int2:textHash>
    <int2:textHash int2:hashCode="kv4UVae7TQCfC0" int2:id="LOVVhved">
      <int2:state int2:type="spell" int2:value="Rejected"/>
    </int2:textHash>
    <int2:textHash int2:hashCode="8+wXkcCV+G/AIk" int2:id="y3ulJuE4">
      <int2:state int2:type="spell" int2:value="Rejected"/>
    </int2:textHash>
    <int2:textHash int2:hashCode="nRSox3TdiEm2GZ" int2:id="GXvpzWtW">
      <int2:state int2:type="spell" int2:value="Rejected"/>
    </int2:textHash>
    <int2:textHash int2:hashCode="NT12h6See3qwhk" int2:id="Oh6KW8W6">
      <int2:state int2:type="spell" int2:value="Rejected"/>
    </int2:textHash>
    <int2:textHash int2:hashCode="Dji+abMBs/wxDx" int2:id="fgjAKarT">
      <int2:state int2:type="spell" int2:value="Rejected"/>
    </int2:textHash>
    <int2:textHash int2:hashCode="wtKSqYmrO8qHMS" int2:id="i4vSRI4w">
      <int2:state int2:type="spell" int2:value="Rejected"/>
    </int2:textHash>
    <int2:bookmark int2:bookmarkName="_Int_YjOpC0BB" int2:invalidationBookmarkName="" int2:hashCode="7K5cEUTflE3CUV" int2:id="IYVQCYdu">
      <int2:state int2:type="gram" int2:value="Rejected"/>
    </int2:bookmark>
    <int2:bookmark int2:bookmarkName="_Int_oOOVn96E" int2:invalidationBookmarkName="" int2:hashCode="nmi/qeL4YWRSBQ" int2:id="ofQ5ucW6">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fb66b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7B37F"/>
    <w:rsid w:val="02083E6C"/>
    <w:rsid w:val="02295674"/>
    <w:rsid w:val="028B0089"/>
    <w:rsid w:val="02B87B26"/>
    <w:rsid w:val="03C6328E"/>
    <w:rsid w:val="097FEF89"/>
    <w:rsid w:val="0B3A19FE"/>
    <w:rsid w:val="0D89F20B"/>
    <w:rsid w:val="0E66E4C7"/>
    <w:rsid w:val="10DBAC07"/>
    <w:rsid w:val="133AF5CD"/>
    <w:rsid w:val="16A0D6B3"/>
    <w:rsid w:val="16C55B8E"/>
    <w:rsid w:val="1769AA6F"/>
    <w:rsid w:val="184FBCE7"/>
    <w:rsid w:val="185AA1C0"/>
    <w:rsid w:val="19AF322A"/>
    <w:rsid w:val="1C7FA13B"/>
    <w:rsid w:val="21074677"/>
    <w:rsid w:val="228B3E93"/>
    <w:rsid w:val="24011CAD"/>
    <w:rsid w:val="2500AB2E"/>
    <w:rsid w:val="25647E87"/>
    <w:rsid w:val="27A7FF0A"/>
    <w:rsid w:val="28CE0DB8"/>
    <w:rsid w:val="2A3AB41B"/>
    <w:rsid w:val="2B81E46E"/>
    <w:rsid w:val="2C687A0E"/>
    <w:rsid w:val="2E2F7F8E"/>
    <w:rsid w:val="2FC37249"/>
    <w:rsid w:val="33598327"/>
    <w:rsid w:val="336D9DB4"/>
    <w:rsid w:val="3666470A"/>
    <w:rsid w:val="368194F6"/>
    <w:rsid w:val="3753BE8F"/>
    <w:rsid w:val="38801B48"/>
    <w:rsid w:val="3AF6A54B"/>
    <w:rsid w:val="3D5E73ED"/>
    <w:rsid w:val="3EF20DCE"/>
    <w:rsid w:val="3F641A4D"/>
    <w:rsid w:val="3FF0A805"/>
    <w:rsid w:val="44CC93D6"/>
    <w:rsid w:val="4963E225"/>
    <w:rsid w:val="4AE4CCE6"/>
    <w:rsid w:val="4BB138ED"/>
    <w:rsid w:val="4BC3911E"/>
    <w:rsid w:val="4DE7C9E5"/>
    <w:rsid w:val="4ECF29EC"/>
    <w:rsid w:val="4F9FE836"/>
    <w:rsid w:val="506D2DEC"/>
    <w:rsid w:val="507B71CB"/>
    <w:rsid w:val="52068AC2"/>
    <w:rsid w:val="52BDDB52"/>
    <w:rsid w:val="52F8AC17"/>
    <w:rsid w:val="54DA577B"/>
    <w:rsid w:val="54E8B8A3"/>
    <w:rsid w:val="5822B1AB"/>
    <w:rsid w:val="59B848B7"/>
    <w:rsid w:val="5C77E405"/>
    <w:rsid w:val="5E93BF6C"/>
    <w:rsid w:val="5ED053BA"/>
    <w:rsid w:val="5FBF07EE"/>
    <w:rsid w:val="659152B7"/>
    <w:rsid w:val="65C4E3DD"/>
    <w:rsid w:val="65D77712"/>
    <w:rsid w:val="67FBFDA2"/>
    <w:rsid w:val="684895A9"/>
    <w:rsid w:val="68FFA2FA"/>
    <w:rsid w:val="6A4457F4"/>
    <w:rsid w:val="6B340CC9"/>
    <w:rsid w:val="6C1764FB"/>
    <w:rsid w:val="6D4E6187"/>
    <w:rsid w:val="6EF38C99"/>
    <w:rsid w:val="721ECC86"/>
    <w:rsid w:val="735EA7C9"/>
    <w:rsid w:val="742084E2"/>
    <w:rsid w:val="74E7B37F"/>
    <w:rsid w:val="757F801A"/>
    <w:rsid w:val="75A34C9E"/>
    <w:rsid w:val="762070C7"/>
    <w:rsid w:val="768F7B39"/>
    <w:rsid w:val="7788D015"/>
    <w:rsid w:val="79177C60"/>
    <w:rsid w:val="793B607B"/>
    <w:rsid w:val="79E6BA57"/>
    <w:rsid w:val="7A760A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50638"/>
  <w15:chartTrackingRefBased/>
  <w15:docId w15:val="{63FD894B-184C-4E19-A5DA-9F6FC4F6EC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3666470A"/>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3666470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666470A"/>
    <w:pPr>
      <w:spacing/>
      <w:ind w:left="720"/>
      <w:contextualSpacing/>
    </w:pPr>
  </w:style>
  <w:style w:type="paragraph" w:styleId="Heading2">
    <w:uiPriority w:val="9"/>
    <w:name w:val="heading 2"/>
    <w:basedOn w:val="Normal"/>
    <w:next w:val="Normal"/>
    <w:unhideWhenUsed/>
    <w:qFormat/>
    <w:rsid w:val="3666470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3666470A"/>
    <w:pPr>
      <w:tabs>
        <w:tab w:val="center" w:leader="none" w:pos="4680"/>
        <w:tab w:val="right" w:leader="none" w:pos="9360"/>
      </w:tabs>
      <w:spacing w:after="0" w:line="240" w:lineRule="auto"/>
    </w:pPr>
  </w:style>
  <w:style w:type="paragraph" w:styleId="Footer">
    <w:uiPriority w:val="99"/>
    <w:name w:val="footer"/>
    <w:basedOn w:val="Normal"/>
    <w:unhideWhenUsed/>
    <w:rsid w:val="3666470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66de7b6176a4a12" /><Relationship Type="http://schemas.openxmlformats.org/officeDocument/2006/relationships/footer" Target="footer.xml" Id="Ra9b14c18f00d43d8" /><Relationship Type="http://schemas.microsoft.com/office/2020/10/relationships/intelligence" Target="intelligence2.xml" Id="R1967bb4f4be34a28" /><Relationship Type="http://schemas.openxmlformats.org/officeDocument/2006/relationships/numbering" Target="numbering.xml" Id="R04fb84e9f4a94e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2025-11-09T10:23:31.1043846Z</dcterms:created>
  <dcterms:modified xsi:type="dcterms:W3CDTF">2025-11-14T09:37:26.3367304Z</dcterms:modified>
  <dc:creator>Priscilla Oppong (2332573)</dc:creator>
  <lastModifiedBy>Priscilla Oppong (2332573)</lastModifiedBy>
</coreProperties>
</file>