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justify"/>
        <w:jc w:val="center"/>
      </w:pPr>
    </w:p>
    <w:p>
      <w:pPr>
        <w:pStyle w:val="justify"/>
      </w:pPr>
    </w:p>
    <w:p>
      <w:pPr>
        <w:pStyle w:val="justify"/>
        <w:jc w:val="center"/>
      </w:pPr>
    </w:p>
    <w:p>
      <w:pPr>
        <w:pStyle w:val="justify"/>
        <w:jc w:val="center"/>
      </w:pPr>
    </w:p>
    <w:p>
      <w:pPr>
        <w:pStyle w:val="justify"/>
        <w:jc w:val="center"/>
      </w:pPr>
    </w:p>
    <w:p>
      <w:pPr>
        <w:pStyle w:val="justify"/>
        <w:jc w:val="center"/>
      </w:pPr>
    </w:p>
    <w:p>
      <w:pPr>
        <w:pStyle w:val="justify"/>
        <w:jc w:val="center"/>
      </w:pPr>
    </w:p>
    <w:p>
      <w:pPr>
        <w:pStyle w:val="justify"/>
        <w:rPr>
          <w:sz w:val="34"/>
          <w:szCs w:val="34"/>
        </w:rPr>
      </w:pPr>
      <w:r>
        <w:rPr>
          <w:sz w:val="34"/>
          <w:szCs w:val="34"/>
          <w:rtl w:val="0"/>
          <w:lang w:val="en-US"/>
        </w:rPr>
        <w:t>"Ptolemy II's Hellenistic Egypt, its relationship with the Seleukid dynasty and Egypt's internal and external policies result</w:t>
      </w:r>
      <w:r>
        <w:rPr>
          <w:sz w:val="34"/>
          <w:szCs w:val="34"/>
          <w:rtl w:val="0"/>
          <w:lang w:val="en-US"/>
        </w:rPr>
        <w:t>ing</w:t>
      </w:r>
      <w:r>
        <w:rPr>
          <w:sz w:val="34"/>
          <w:szCs w:val="34"/>
          <w:rtl w:val="0"/>
          <w:lang w:val="en-US"/>
        </w:rPr>
        <w:t xml:space="preserve"> from this relationship</w:t>
      </w:r>
      <w:r>
        <w:rPr>
          <w:sz w:val="34"/>
          <w:szCs w:val="34"/>
          <w:rtl w:val="0"/>
          <w:lang w:val="en-US"/>
        </w:rPr>
        <w:t>”</w:t>
      </w:r>
    </w:p>
    <w:p>
      <w:pPr>
        <w:pStyle w:val="justify"/>
        <w:jc w:val="center"/>
        <w:rPr>
          <w:sz w:val="32"/>
          <w:szCs w:val="32"/>
        </w:rPr>
      </w:pPr>
    </w:p>
    <w:p>
      <w:pPr>
        <w:pStyle w:val="Default"/>
        <w:bidi w:val="0"/>
        <w:spacing w:after="240"/>
        <w:ind w:left="0" w:right="0" w:firstLine="0"/>
        <w:jc w:val="center"/>
        <w:rPr>
          <w:rFonts w:ascii="Palatino" w:cs="Palatino" w:hAnsi="Palatino" w:eastAsia="Palatino"/>
          <w:sz w:val="26"/>
          <w:szCs w:val="26"/>
          <w:rtl w:val="0"/>
        </w:rPr>
      </w:pPr>
      <w:r>
        <w:rPr>
          <w:rFonts w:ascii="Palatino" w:hAnsi="Palatino" w:hint="default"/>
          <w:sz w:val="26"/>
          <w:szCs w:val="26"/>
          <w:rtl w:val="0"/>
        </w:rPr>
        <w:t>‘</w:t>
      </w:r>
      <w:r>
        <w:rPr>
          <w:rFonts w:ascii="Palatino" w:hAnsi="Palatino"/>
          <w:sz w:val="26"/>
          <w:szCs w:val="26"/>
          <w:rtl w:val="0"/>
        </w:rPr>
        <w:t xml:space="preserve">A </w:t>
      </w:r>
      <w:r>
        <w:rPr>
          <w:rFonts w:ascii="Palatino" w:hAnsi="Palatino"/>
          <w:sz w:val="26"/>
          <w:szCs w:val="26"/>
          <w:rtl w:val="0"/>
          <w:lang w:val="en-US"/>
        </w:rPr>
        <w:t>dissertation</w:t>
      </w:r>
      <w:r>
        <w:rPr>
          <w:rFonts w:ascii="Palatino" w:hAnsi="Palatino"/>
          <w:sz w:val="26"/>
          <w:szCs w:val="26"/>
          <w:rtl w:val="0"/>
          <w:lang w:val="en-US"/>
        </w:rPr>
        <w:t xml:space="preserve"> submitted to the University of Wales Trinity Saint David in fulfilment of the requirements for the </w:t>
      </w:r>
      <w:r>
        <w:rPr>
          <w:rFonts w:ascii="Palatino" w:hAnsi="Palatino"/>
          <w:sz w:val="26"/>
          <w:szCs w:val="26"/>
          <w:rtl w:val="0"/>
          <w:lang w:val="en-US"/>
        </w:rPr>
        <w:t xml:space="preserve">Masters </w:t>
      </w:r>
      <w:r>
        <w:rPr>
          <w:rFonts w:ascii="Palatino" w:hAnsi="Palatino"/>
          <w:sz w:val="26"/>
          <w:szCs w:val="26"/>
          <w:rtl w:val="0"/>
          <w:lang w:val="en-US"/>
        </w:rPr>
        <w:t xml:space="preserve">degree </w:t>
      </w:r>
      <w:r>
        <w:rPr>
          <w:rFonts w:ascii="Palatino" w:hAnsi="Palatino"/>
          <w:sz w:val="26"/>
          <w:szCs w:val="26"/>
          <w:rtl w:val="0"/>
          <w:lang w:val="en-US"/>
        </w:rPr>
        <w:t>in Ancient History</w:t>
      </w:r>
      <w:r>
        <w:rPr>
          <w:rFonts w:ascii="Palatino" w:hAnsi="Palatino" w:hint="default"/>
          <w:sz w:val="26"/>
          <w:szCs w:val="26"/>
          <w:rtl w:val="0"/>
          <w:lang w:val="fr-FR"/>
        </w:rPr>
        <w:t xml:space="preserve">’ </w:t>
      </w:r>
    </w:p>
    <w:p>
      <w:pPr>
        <w:pStyle w:val="justify"/>
        <w:jc w:val="center"/>
        <w:rPr>
          <w:sz w:val="30"/>
          <w:szCs w:val="30"/>
        </w:rPr>
      </w:pPr>
    </w:p>
    <w:p>
      <w:pPr>
        <w:pStyle w:val="justify"/>
        <w:jc w:val="center"/>
        <w:rPr>
          <w:sz w:val="34"/>
          <w:szCs w:val="34"/>
        </w:rPr>
      </w:pPr>
      <w:r>
        <w:rPr>
          <w:sz w:val="34"/>
          <w:szCs w:val="34"/>
          <w:rtl w:val="0"/>
          <w:lang w:val="en-US"/>
        </w:rPr>
        <w:t>2019</w:t>
      </w:r>
    </w:p>
    <w:p>
      <w:pPr>
        <w:pStyle w:val="justify"/>
        <w:jc w:val="center"/>
        <w:rPr>
          <w:sz w:val="30"/>
          <w:szCs w:val="30"/>
        </w:rPr>
      </w:pPr>
    </w:p>
    <w:p>
      <w:pPr>
        <w:pStyle w:val="justify"/>
        <w:jc w:val="center"/>
        <w:rPr>
          <w:sz w:val="30"/>
          <w:szCs w:val="30"/>
        </w:rPr>
      </w:pPr>
    </w:p>
    <w:p>
      <w:pPr>
        <w:pStyle w:val="justify"/>
        <w:rPr>
          <w:sz w:val="34"/>
          <w:szCs w:val="34"/>
        </w:rPr>
      </w:pPr>
      <w:r>
        <w:rPr>
          <w:sz w:val="34"/>
          <w:szCs w:val="34"/>
          <w:rtl w:val="0"/>
          <w:lang w:val="en-US"/>
        </w:rPr>
        <w:t>Javier Girona Martinez</w:t>
      </w:r>
    </w:p>
    <w:p>
      <w:pPr>
        <w:pStyle w:val="justify"/>
        <w:jc w:val="center"/>
        <w:rPr>
          <w:sz w:val="30"/>
          <w:szCs w:val="30"/>
        </w:rPr>
      </w:pPr>
    </w:p>
    <w:p>
      <w:pPr>
        <w:pStyle w:val="justify"/>
        <w:jc w:val="both"/>
      </w:pPr>
    </w:p>
    <w:p>
      <w:pPr>
        <w:pStyle w:val="justify"/>
        <w:jc w:val="both"/>
      </w:pPr>
    </w:p>
    <w:p>
      <w:pPr>
        <w:pStyle w:val="justify"/>
        <w:jc w:val="both"/>
      </w:pPr>
    </w:p>
    <w:p>
      <w:pPr>
        <w:pStyle w:val="justify"/>
        <w:jc w:val="both"/>
      </w:pPr>
    </w:p>
    <w:p>
      <w:pPr>
        <w:pStyle w:val="justify"/>
        <w:jc w:val="both"/>
      </w:pPr>
    </w:p>
    <w:p>
      <w:pPr>
        <w:pStyle w:val="justify"/>
        <w:jc w:val="both"/>
      </w:pPr>
    </w:p>
    <w:p>
      <w:pPr>
        <w:pStyle w:val="justify"/>
        <w:jc w:val="both"/>
      </w:pPr>
    </w:p>
    <w:p>
      <w:pPr>
        <w:pStyle w:val="justify"/>
        <w:jc w:val="both"/>
      </w:pPr>
    </w:p>
    <w:p>
      <w:pPr>
        <w:pStyle w:val="justify"/>
        <w:jc w:val="both"/>
      </w:pPr>
    </w:p>
    <w:p>
      <w:pPr>
        <w:pStyle w:val="justify"/>
        <w:jc w:val="both"/>
      </w:pPr>
    </w:p>
    <w:p>
      <w:pPr>
        <w:pStyle w:val="justify"/>
        <w:jc w:val="both"/>
      </w:pPr>
    </w:p>
    <w:p>
      <w:pPr>
        <w:pStyle w:val="justify"/>
        <w:jc w:val="both"/>
      </w:pPr>
    </w:p>
    <w:p>
      <w:pPr>
        <w:pStyle w:val="justify"/>
        <w:jc w:val="both"/>
      </w:pPr>
    </w:p>
    <w:p>
      <w:pPr>
        <w:pStyle w:val="justify"/>
        <w:jc w:val="both"/>
      </w:pPr>
    </w:p>
    <w:p>
      <w:pPr>
        <w:pStyle w:val="Body A"/>
        <w:spacing w:line="240" w:lineRule="auto"/>
        <w:jc w:val="center"/>
        <w:rPr>
          <w:rFonts w:ascii="Times New Roman" w:cs="Times New Roman" w:hAnsi="Times New Roman" w:eastAsia="Times New Roman"/>
          <w:sz w:val="32"/>
          <w:szCs w:val="32"/>
          <w:u w:val="single"/>
        </w:rPr>
      </w:pPr>
    </w:p>
    <w:p>
      <w:pPr>
        <w:pStyle w:val="Body A"/>
        <w:spacing w:line="240" w:lineRule="auto"/>
        <w:jc w:val="center"/>
        <w:rPr>
          <w:rFonts w:ascii="Times New Roman" w:cs="Times New Roman" w:hAnsi="Times New Roman" w:eastAsia="Times New Roman"/>
          <w:sz w:val="32"/>
          <w:szCs w:val="32"/>
          <w:u w:val="single"/>
        </w:rPr>
      </w:pPr>
    </w:p>
    <w:p>
      <w:pPr>
        <w:pStyle w:val="Body A"/>
        <w:spacing w:line="240" w:lineRule="auto"/>
        <w:jc w:val="center"/>
        <w:rPr>
          <w:rFonts w:ascii="Times New Roman" w:cs="Times New Roman" w:hAnsi="Times New Roman" w:eastAsia="Times New Roman"/>
          <w:sz w:val="32"/>
          <w:szCs w:val="32"/>
          <w:u w:val="single"/>
        </w:rPr>
      </w:pPr>
    </w:p>
    <w:p>
      <w:pPr>
        <w:pStyle w:val="Body A"/>
        <w:spacing w:line="240" w:lineRule="auto"/>
        <w:jc w:val="center"/>
        <w:rPr>
          <w:rFonts w:ascii="Times New Roman" w:cs="Times New Roman" w:hAnsi="Times New Roman" w:eastAsia="Times New Roman"/>
          <w:sz w:val="32"/>
          <w:szCs w:val="32"/>
          <w:u w:val="single"/>
        </w:rPr>
      </w:pPr>
      <w:r>
        <w:rPr>
          <w:rFonts w:ascii="Times New Roman" w:hAnsi="Times New Roman"/>
          <w:sz w:val="32"/>
          <w:szCs w:val="32"/>
          <w:u w:val="single"/>
          <w:rtl w:val="0"/>
          <w:lang w:val="en-US"/>
        </w:rPr>
        <w:t>Contents</w:t>
      </w:r>
    </w:p>
    <w:p>
      <w:pPr>
        <w:pStyle w:val="Body A"/>
        <w:spacing w:line="240" w:lineRule="auto"/>
        <w:jc w:val="center"/>
        <w:rPr>
          <w:rFonts w:ascii="Times New Roman" w:cs="Times New Roman" w:hAnsi="Times New Roman" w:eastAsia="Times New Roman"/>
          <w:sz w:val="32"/>
          <w:szCs w:val="32"/>
        </w:rPr>
      </w:pPr>
    </w:p>
    <w:p>
      <w:pPr>
        <w:pStyle w:val="Body A"/>
        <w:numPr>
          <w:ilvl w:val="0"/>
          <w:numId w:val="2"/>
        </w:numPr>
        <w:spacing w:line="240" w:lineRule="auto"/>
        <w:rPr>
          <w:rFonts w:ascii="Times New Roman" w:cs="Times New Roman" w:hAnsi="Times New Roman" w:eastAsia="Times New Roman"/>
          <w:sz w:val="24"/>
          <w:szCs w:val="24"/>
          <w:lang w:val="en-US"/>
        </w:rPr>
      </w:pPr>
      <w:r>
        <w:rPr>
          <w:rFonts w:ascii="Times New Roman" w:hAnsi="Times New Roman"/>
          <w:sz w:val="24"/>
          <w:szCs w:val="24"/>
          <w:rtl w:val="0"/>
          <w:lang w:val="en-US"/>
        </w:rPr>
        <w:t>Abstract.</w:t>
      </w:r>
    </w:p>
    <w:p>
      <w:pPr>
        <w:pStyle w:val="Body A"/>
        <w:spacing w:line="240" w:lineRule="auto"/>
        <w:jc w:val="center"/>
        <w:rPr>
          <w:rFonts w:ascii="Times New Roman" w:cs="Times New Roman" w:hAnsi="Times New Roman" w:eastAsia="Times New Roman"/>
          <w:sz w:val="24"/>
          <w:szCs w:val="24"/>
        </w:rPr>
      </w:pPr>
    </w:p>
    <w:p>
      <w:pPr>
        <w:pStyle w:val="Body A"/>
        <w:numPr>
          <w:ilvl w:val="0"/>
          <w:numId w:val="2"/>
        </w:numPr>
        <w:spacing w:line="240" w:lineRule="auto"/>
        <w:rPr>
          <w:rFonts w:ascii="Times New Roman" w:cs="Times New Roman" w:hAnsi="Times New Roman" w:eastAsia="Times New Roman"/>
          <w:sz w:val="24"/>
          <w:szCs w:val="24"/>
          <w:lang w:val="en-US"/>
        </w:rPr>
      </w:pPr>
      <w:r>
        <w:rPr>
          <w:rFonts w:ascii="Times New Roman" w:hAnsi="Times New Roman"/>
          <w:sz w:val="24"/>
          <w:szCs w:val="24"/>
          <w:rtl w:val="0"/>
          <w:lang w:val="en-US"/>
        </w:rPr>
        <w:t>Main Essay.</w:t>
      </w:r>
    </w:p>
    <w:p>
      <w:pPr>
        <w:pStyle w:val="Body A"/>
        <w:spacing w:line="240" w:lineRule="auto"/>
        <w:jc w:val="center"/>
        <w:rPr>
          <w:rFonts w:ascii="Times New Roman" w:cs="Times New Roman" w:hAnsi="Times New Roman" w:eastAsia="Times New Roman"/>
          <w:sz w:val="24"/>
          <w:szCs w:val="24"/>
        </w:rPr>
      </w:pPr>
    </w:p>
    <w:p>
      <w:pPr>
        <w:pStyle w:val="Body A"/>
        <w:numPr>
          <w:ilvl w:val="0"/>
          <w:numId w:val="2"/>
        </w:numPr>
        <w:spacing w:line="240" w:lineRule="auto"/>
        <w:rPr>
          <w:rFonts w:ascii="Times New Roman" w:cs="Times New Roman" w:hAnsi="Times New Roman" w:eastAsia="Times New Roman"/>
          <w:sz w:val="24"/>
          <w:szCs w:val="24"/>
          <w:lang w:val="en-US"/>
        </w:rPr>
      </w:pPr>
      <w:r>
        <w:rPr>
          <w:rFonts w:ascii="Times New Roman" w:hAnsi="Times New Roman"/>
          <w:sz w:val="24"/>
          <w:szCs w:val="24"/>
          <w:rtl w:val="0"/>
          <w:lang w:val="en-US"/>
        </w:rPr>
        <w:t>Bibliography.</w:t>
      </w:r>
    </w:p>
    <w:p>
      <w:pPr>
        <w:pStyle w:val="Body A"/>
        <w:spacing w:line="240" w:lineRule="auto"/>
        <w:jc w:val="center"/>
        <w:rPr>
          <w:rFonts w:ascii="Times New Roman" w:cs="Times New Roman" w:hAnsi="Times New Roman" w:eastAsia="Times New Roman"/>
          <w:sz w:val="32"/>
          <w:szCs w:val="32"/>
          <w:u w:val="single"/>
        </w:rPr>
      </w:pPr>
    </w:p>
    <w:p>
      <w:pPr>
        <w:pStyle w:val="Body A"/>
        <w:spacing w:line="240" w:lineRule="auto"/>
        <w:jc w:val="center"/>
        <w:rPr>
          <w:rFonts w:ascii="Times New Roman" w:cs="Times New Roman" w:hAnsi="Times New Roman" w:eastAsia="Times New Roman"/>
          <w:sz w:val="32"/>
          <w:szCs w:val="32"/>
          <w:u w:val="single"/>
        </w:rPr>
      </w:pPr>
    </w:p>
    <w:p>
      <w:pPr>
        <w:pStyle w:val="Body A"/>
        <w:spacing w:line="240" w:lineRule="auto"/>
        <w:jc w:val="center"/>
        <w:rPr>
          <w:rFonts w:ascii="Times New Roman" w:cs="Times New Roman" w:hAnsi="Times New Roman" w:eastAsia="Times New Roman"/>
          <w:sz w:val="32"/>
          <w:szCs w:val="32"/>
          <w:u w:val="single"/>
        </w:rPr>
      </w:pPr>
    </w:p>
    <w:p>
      <w:pPr>
        <w:pStyle w:val="Body A"/>
        <w:spacing w:line="240" w:lineRule="auto"/>
        <w:jc w:val="center"/>
        <w:rPr>
          <w:rFonts w:ascii="Times New Roman" w:cs="Times New Roman" w:hAnsi="Times New Roman" w:eastAsia="Times New Roman"/>
          <w:sz w:val="32"/>
          <w:szCs w:val="32"/>
          <w:u w:val="single"/>
        </w:rPr>
      </w:pPr>
    </w:p>
    <w:p>
      <w:pPr>
        <w:pStyle w:val="Body A"/>
        <w:spacing w:line="240" w:lineRule="auto"/>
        <w:jc w:val="center"/>
        <w:rPr>
          <w:rFonts w:ascii="Times New Roman" w:cs="Times New Roman" w:hAnsi="Times New Roman" w:eastAsia="Times New Roman"/>
          <w:sz w:val="32"/>
          <w:szCs w:val="32"/>
          <w:u w:val="single"/>
        </w:rPr>
      </w:pPr>
    </w:p>
    <w:p>
      <w:pPr>
        <w:pStyle w:val="Body A"/>
        <w:spacing w:line="240" w:lineRule="auto"/>
        <w:jc w:val="center"/>
        <w:rPr>
          <w:rFonts w:ascii="Times New Roman" w:cs="Times New Roman" w:hAnsi="Times New Roman" w:eastAsia="Times New Roman"/>
          <w:sz w:val="32"/>
          <w:szCs w:val="32"/>
          <w:u w:val="single"/>
        </w:rPr>
      </w:pPr>
    </w:p>
    <w:p>
      <w:pPr>
        <w:pStyle w:val="Body A"/>
        <w:spacing w:line="240" w:lineRule="auto"/>
        <w:jc w:val="center"/>
        <w:rPr>
          <w:rFonts w:ascii="Times New Roman" w:cs="Times New Roman" w:hAnsi="Times New Roman" w:eastAsia="Times New Roman"/>
          <w:sz w:val="32"/>
          <w:szCs w:val="32"/>
          <w:u w:val="single"/>
        </w:rPr>
      </w:pPr>
    </w:p>
    <w:p>
      <w:pPr>
        <w:pStyle w:val="Body A"/>
        <w:spacing w:line="240" w:lineRule="auto"/>
        <w:jc w:val="center"/>
        <w:rPr>
          <w:rFonts w:ascii="Times New Roman" w:cs="Times New Roman" w:hAnsi="Times New Roman" w:eastAsia="Times New Roman"/>
          <w:sz w:val="32"/>
          <w:szCs w:val="32"/>
          <w:u w:val="single"/>
        </w:rPr>
      </w:pPr>
    </w:p>
    <w:p>
      <w:pPr>
        <w:pStyle w:val="Body A"/>
        <w:spacing w:line="240" w:lineRule="auto"/>
        <w:jc w:val="center"/>
        <w:rPr>
          <w:rFonts w:ascii="Times New Roman" w:cs="Times New Roman" w:hAnsi="Times New Roman" w:eastAsia="Times New Roman"/>
          <w:sz w:val="32"/>
          <w:szCs w:val="32"/>
          <w:u w:val="single"/>
        </w:rPr>
      </w:pPr>
    </w:p>
    <w:p>
      <w:pPr>
        <w:pStyle w:val="Body A"/>
        <w:spacing w:line="240" w:lineRule="auto"/>
        <w:jc w:val="center"/>
        <w:rPr>
          <w:rFonts w:ascii="Times New Roman" w:cs="Times New Roman" w:hAnsi="Times New Roman" w:eastAsia="Times New Roman"/>
          <w:sz w:val="32"/>
          <w:szCs w:val="32"/>
          <w:u w:val="single"/>
        </w:rPr>
      </w:pPr>
    </w:p>
    <w:p>
      <w:pPr>
        <w:pStyle w:val="Body A"/>
        <w:spacing w:line="240" w:lineRule="auto"/>
        <w:jc w:val="center"/>
        <w:rPr>
          <w:rFonts w:ascii="Times New Roman" w:cs="Times New Roman" w:hAnsi="Times New Roman" w:eastAsia="Times New Roman"/>
          <w:sz w:val="32"/>
          <w:szCs w:val="32"/>
          <w:u w:val="single"/>
        </w:rPr>
      </w:pPr>
    </w:p>
    <w:p>
      <w:pPr>
        <w:pStyle w:val="Body A"/>
        <w:spacing w:line="240" w:lineRule="auto"/>
        <w:jc w:val="center"/>
        <w:rPr>
          <w:rFonts w:ascii="Times New Roman" w:cs="Times New Roman" w:hAnsi="Times New Roman" w:eastAsia="Times New Roman"/>
          <w:sz w:val="32"/>
          <w:szCs w:val="32"/>
          <w:u w:val="single"/>
        </w:rPr>
      </w:pPr>
    </w:p>
    <w:p>
      <w:pPr>
        <w:pStyle w:val="Body A"/>
        <w:spacing w:line="240" w:lineRule="auto"/>
        <w:jc w:val="center"/>
        <w:rPr>
          <w:rFonts w:ascii="Times New Roman" w:cs="Times New Roman" w:hAnsi="Times New Roman" w:eastAsia="Times New Roman"/>
          <w:sz w:val="32"/>
          <w:szCs w:val="32"/>
          <w:u w:val="single"/>
        </w:rPr>
      </w:pPr>
    </w:p>
    <w:p>
      <w:pPr>
        <w:pStyle w:val="Body A"/>
        <w:spacing w:line="240" w:lineRule="auto"/>
        <w:jc w:val="center"/>
        <w:rPr>
          <w:rFonts w:ascii="Times New Roman" w:cs="Times New Roman" w:hAnsi="Times New Roman" w:eastAsia="Times New Roman"/>
          <w:sz w:val="32"/>
          <w:szCs w:val="32"/>
          <w:u w:val="single"/>
        </w:rPr>
      </w:pPr>
    </w:p>
    <w:p>
      <w:pPr>
        <w:pStyle w:val="Body A"/>
        <w:spacing w:line="240" w:lineRule="auto"/>
        <w:jc w:val="center"/>
        <w:rPr>
          <w:rFonts w:ascii="Times New Roman" w:cs="Times New Roman" w:hAnsi="Times New Roman" w:eastAsia="Times New Roman"/>
          <w:sz w:val="32"/>
          <w:szCs w:val="32"/>
          <w:u w:val="single"/>
        </w:rPr>
      </w:pPr>
    </w:p>
    <w:p>
      <w:pPr>
        <w:pStyle w:val="Body A"/>
        <w:spacing w:line="240" w:lineRule="auto"/>
        <w:jc w:val="center"/>
        <w:rPr>
          <w:rFonts w:ascii="Times New Roman" w:cs="Times New Roman" w:hAnsi="Times New Roman" w:eastAsia="Times New Roman"/>
          <w:sz w:val="32"/>
          <w:szCs w:val="32"/>
          <w:u w:val="single"/>
        </w:rPr>
      </w:pPr>
    </w:p>
    <w:p>
      <w:pPr>
        <w:pStyle w:val="Body A"/>
        <w:spacing w:line="240" w:lineRule="auto"/>
        <w:jc w:val="center"/>
        <w:rPr>
          <w:rFonts w:ascii="Times New Roman" w:cs="Times New Roman" w:hAnsi="Times New Roman" w:eastAsia="Times New Roman"/>
          <w:sz w:val="32"/>
          <w:szCs w:val="32"/>
          <w:u w:val="single"/>
        </w:rPr>
      </w:pPr>
      <w:r>
        <w:rPr>
          <w:rFonts w:ascii="Times New Roman" w:hAnsi="Times New Roman"/>
          <w:sz w:val="32"/>
          <w:szCs w:val="32"/>
          <w:u w:val="single"/>
          <w:rtl w:val="0"/>
          <w:lang w:val="en-US"/>
        </w:rPr>
        <w:t xml:space="preserve">A. </w:t>
      </w:r>
      <w:r>
        <w:rPr>
          <w:rFonts w:ascii="Times New Roman" w:hAnsi="Times New Roman"/>
          <w:sz w:val="32"/>
          <w:szCs w:val="32"/>
          <w:u w:val="single"/>
          <w:rtl w:val="0"/>
          <w:lang w:val="en-US"/>
        </w:rPr>
        <w:t>Abstract</w:t>
      </w:r>
    </w:p>
    <w:p>
      <w:pPr>
        <w:pStyle w:val="Body A"/>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Some scholars </w:t>
      </w:r>
      <w:r>
        <w:rPr>
          <w:rFonts w:ascii="Times New Roman" w:hAnsi="Times New Roman"/>
          <w:sz w:val="24"/>
          <w:szCs w:val="24"/>
          <w:rtl w:val="0"/>
          <w:lang w:val="en-US"/>
        </w:rPr>
        <w:t xml:space="preserve">believe </w:t>
      </w:r>
      <w:r>
        <w:rPr>
          <w:rFonts w:ascii="Times New Roman" w:hAnsi="Times New Roman"/>
          <w:sz w:val="24"/>
          <w:szCs w:val="24"/>
          <w:rtl w:val="0"/>
          <w:lang w:val="en-US"/>
        </w:rPr>
        <w:t xml:space="preserve">Ptolemy II </w:t>
      </w:r>
      <w:r>
        <w:rPr>
          <w:rFonts w:ascii="Times New Roman" w:hAnsi="Times New Roman"/>
          <w:sz w:val="24"/>
          <w:szCs w:val="24"/>
          <w:rtl w:val="0"/>
          <w:lang w:val="en-US"/>
        </w:rPr>
        <w:t xml:space="preserve">Philadelphus </w:t>
      </w:r>
      <w:r>
        <w:rPr>
          <w:rFonts w:ascii="Times New Roman" w:hAnsi="Times New Roman"/>
          <w:sz w:val="24"/>
          <w:szCs w:val="24"/>
          <w:rtl w:val="0"/>
          <w:lang w:val="en-US"/>
        </w:rPr>
        <w:t xml:space="preserve">was a </w:t>
      </w:r>
      <w:r>
        <w:rPr>
          <w:rFonts w:ascii="Times New Roman" w:hAnsi="Times New Roman"/>
          <w:sz w:val="24"/>
          <w:szCs w:val="24"/>
          <w:rtl w:val="0"/>
          <w:lang w:val="en-US"/>
        </w:rPr>
        <w:t>leader</w:t>
      </w:r>
      <w:r>
        <w:rPr>
          <w:rFonts w:ascii="Times New Roman" w:hAnsi="Times New Roman"/>
          <w:sz w:val="24"/>
          <w:szCs w:val="24"/>
          <w:rtl w:val="0"/>
          <w:lang w:val="en-US"/>
        </w:rPr>
        <w:t xml:space="preserve"> </w:t>
      </w:r>
      <w:r>
        <w:rPr>
          <w:rFonts w:ascii="Times New Roman" w:hAnsi="Times New Roman"/>
          <w:sz w:val="24"/>
          <w:szCs w:val="24"/>
          <w:rtl w:val="0"/>
          <w:lang w:val="en-US"/>
        </w:rPr>
        <w:t>relying on</w:t>
      </w:r>
      <w:r>
        <w:rPr>
          <w:rFonts w:ascii="Times New Roman" w:hAnsi="Times New Roman"/>
          <w:sz w:val="24"/>
          <w:szCs w:val="24"/>
          <w:rtl w:val="0"/>
          <w:lang w:val="en-US"/>
        </w:rPr>
        <w:t xml:space="preserve"> diplomacy </w:t>
      </w:r>
      <w:r>
        <w:rPr>
          <w:rFonts w:ascii="Times New Roman" w:hAnsi="Times New Roman"/>
          <w:sz w:val="24"/>
          <w:szCs w:val="24"/>
          <w:rtl w:val="0"/>
          <w:lang w:val="en-US"/>
        </w:rPr>
        <w:t>rather than</w:t>
      </w:r>
      <w:r>
        <w:rPr>
          <w:rFonts w:ascii="Times New Roman" w:hAnsi="Times New Roman"/>
          <w:sz w:val="24"/>
          <w:szCs w:val="24"/>
          <w:rtl w:val="0"/>
          <w:lang w:val="en-US"/>
        </w:rPr>
        <w:t xml:space="preserve"> </w:t>
      </w:r>
      <w:r>
        <w:rPr>
          <w:rFonts w:ascii="Times New Roman" w:hAnsi="Times New Roman"/>
          <w:sz w:val="24"/>
          <w:szCs w:val="24"/>
          <w:rtl w:val="0"/>
          <w:lang w:val="en-US"/>
        </w:rPr>
        <w:t>war</w:t>
      </w:r>
      <w:r>
        <w:rPr>
          <w:rFonts w:ascii="Times New Roman" w:hAnsi="Times New Roman"/>
          <w:sz w:val="24"/>
          <w:szCs w:val="24"/>
          <w:rtl w:val="0"/>
          <w:lang w:val="en-US"/>
        </w:rPr>
        <w:t xml:space="preserve"> to relate with Egypt</w:t>
      </w:r>
      <w:r>
        <w:rPr>
          <w:rFonts w:ascii="Times New Roman" w:hAnsi="Times New Roman" w:hint="default"/>
          <w:sz w:val="24"/>
          <w:szCs w:val="24"/>
          <w:rtl w:val="0"/>
          <w:lang w:val="en-US"/>
        </w:rPr>
        <w:t>’</w:t>
      </w:r>
      <w:r>
        <w:rPr>
          <w:rFonts w:ascii="Times New Roman" w:hAnsi="Times New Roman"/>
          <w:sz w:val="24"/>
          <w:szCs w:val="24"/>
          <w:rtl w:val="0"/>
          <w:lang w:val="en-US"/>
        </w:rPr>
        <w:t>s</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neighbours and </w:t>
      </w:r>
      <w:r>
        <w:rPr>
          <w:rFonts w:ascii="Times New Roman" w:hAnsi="Times New Roman"/>
          <w:sz w:val="24"/>
          <w:szCs w:val="24"/>
          <w:rtl w:val="0"/>
          <w:lang w:val="en-US"/>
        </w:rPr>
        <w:t xml:space="preserve">competitors. </w:t>
      </w:r>
      <w:r>
        <w:rPr>
          <w:rFonts w:ascii="Times New Roman" w:hAnsi="Times New Roman"/>
          <w:sz w:val="24"/>
          <w:szCs w:val="24"/>
          <w:rtl w:val="0"/>
          <w:lang w:val="en-US"/>
        </w:rPr>
        <w:t>D</w:t>
      </w:r>
      <w:r>
        <w:rPr>
          <w:rFonts w:ascii="Times New Roman" w:hAnsi="Times New Roman"/>
          <w:sz w:val="24"/>
          <w:szCs w:val="24"/>
          <w:rtl w:val="0"/>
          <w:lang w:val="en-US"/>
        </w:rPr>
        <w:t>uring his reign</w:t>
      </w:r>
      <w:r>
        <w:rPr>
          <w:rFonts w:ascii="Times New Roman" w:hAnsi="Times New Roman"/>
          <w:sz w:val="24"/>
          <w:szCs w:val="24"/>
          <w:rtl w:val="0"/>
          <w:lang w:val="en-US"/>
        </w:rPr>
        <w:t xml:space="preserve"> though</w:t>
      </w:r>
      <w:r>
        <w:rPr>
          <w:rFonts w:ascii="Times New Roman" w:hAnsi="Times New Roman"/>
          <w:sz w:val="24"/>
          <w:szCs w:val="24"/>
          <w:rtl w:val="0"/>
          <w:lang w:val="en-US"/>
        </w:rPr>
        <w:t xml:space="preserve"> Ptolemy </w:t>
      </w:r>
      <w:r>
        <w:rPr>
          <w:rFonts w:ascii="Times New Roman" w:hAnsi="Times New Roman"/>
          <w:sz w:val="24"/>
          <w:szCs w:val="24"/>
          <w:rtl w:val="0"/>
          <w:lang w:val="en-US"/>
        </w:rPr>
        <w:t>II</w:t>
      </w:r>
      <w:r>
        <w:rPr>
          <w:rFonts w:ascii="Times New Roman" w:hAnsi="Times New Roman"/>
          <w:sz w:val="24"/>
          <w:szCs w:val="24"/>
          <w:rtl w:val="0"/>
          <w:lang w:val="en-US"/>
        </w:rPr>
        <w:t xml:space="preserve"> was involved </w:t>
      </w:r>
      <w:r>
        <w:rPr>
          <w:rFonts w:ascii="Times New Roman" w:hAnsi="Times New Roman"/>
          <w:sz w:val="24"/>
          <w:szCs w:val="24"/>
          <w:rtl w:val="0"/>
          <w:lang w:val="en-US"/>
        </w:rPr>
        <w:t>i</w:t>
      </w:r>
      <w:r>
        <w:rPr>
          <w:rFonts w:ascii="Times New Roman" w:hAnsi="Times New Roman"/>
          <w:sz w:val="24"/>
          <w:szCs w:val="24"/>
          <w:rtl w:val="0"/>
          <w:lang w:val="en-US"/>
        </w:rPr>
        <w:t>n a number of conflicts</w:t>
      </w:r>
      <w:r>
        <w:rPr>
          <w:rFonts w:ascii="Times New Roman" w:hAnsi="Times New Roman"/>
          <w:sz w:val="24"/>
          <w:szCs w:val="24"/>
          <w:rtl w:val="0"/>
          <w:lang w:val="en-US"/>
        </w:rPr>
        <w:t xml:space="preserve"> </w:t>
      </w:r>
      <w:r>
        <w:rPr>
          <w:rFonts w:ascii="Times New Roman" w:hAnsi="Times New Roman"/>
          <w:sz w:val="24"/>
          <w:szCs w:val="24"/>
          <w:rtl w:val="0"/>
          <w:lang w:val="en-US"/>
        </w:rPr>
        <w:t>confront</w:t>
      </w:r>
      <w:r>
        <w:rPr>
          <w:rFonts w:ascii="Times New Roman" w:hAnsi="Times New Roman"/>
          <w:sz w:val="24"/>
          <w:szCs w:val="24"/>
          <w:rtl w:val="0"/>
          <w:lang w:val="en-US"/>
        </w:rPr>
        <w:t>ing</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his eastern neighbours, </w:t>
      </w:r>
      <w:r>
        <w:rPr>
          <w:rFonts w:ascii="Times New Roman" w:hAnsi="Times New Roman"/>
          <w:sz w:val="24"/>
          <w:szCs w:val="24"/>
          <w:rtl w:val="0"/>
          <w:lang w:val="en-US"/>
        </w:rPr>
        <w:t>the Seleukids</w:t>
      </w:r>
      <w:r>
        <w:rPr>
          <w:rFonts w:ascii="Times New Roman" w:hAnsi="Times New Roman"/>
          <w:sz w:val="24"/>
          <w:szCs w:val="24"/>
          <w:rtl w:val="0"/>
          <w:lang w:val="en-US"/>
        </w:rPr>
        <w:t>, especially</w:t>
      </w:r>
      <w:r>
        <w:rPr>
          <w:rFonts w:ascii="Times New Roman" w:hAnsi="Times New Roman"/>
          <w:sz w:val="24"/>
          <w:szCs w:val="24"/>
          <w:rtl w:val="0"/>
          <w:lang w:val="en-US"/>
        </w:rPr>
        <w:t xml:space="preserve"> over the control of Koile Syria. </w:t>
      </w:r>
      <w:r>
        <w:rPr>
          <w:rFonts w:ascii="Times New Roman" w:hAnsi="Times New Roman"/>
          <w:sz w:val="24"/>
          <w:szCs w:val="24"/>
          <w:rtl w:val="0"/>
          <w:lang w:val="en-US"/>
        </w:rPr>
        <w:t>Due</w:t>
      </w:r>
      <w:r>
        <w:rPr>
          <w:rFonts w:ascii="Times New Roman" w:hAnsi="Times New Roman"/>
          <w:sz w:val="24"/>
          <w:szCs w:val="24"/>
          <w:rtl w:val="0"/>
          <w:lang w:val="en-US"/>
        </w:rPr>
        <w:t xml:space="preserve"> </w:t>
      </w:r>
      <w:r>
        <w:rPr>
          <w:rFonts w:ascii="Times New Roman" w:hAnsi="Times New Roman"/>
          <w:sz w:val="24"/>
          <w:szCs w:val="24"/>
          <w:rtl w:val="0"/>
          <w:lang w:val="en-US"/>
        </w:rPr>
        <w:t>to</w:t>
      </w:r>
      <w:r>
        <w:rPr>
          <w:rFonts w:ascii="Times New Roman" w:hAnsi="Times New Roman"/>
          <w:sz w:val="24"/>
          <w:szCs w:val="24"/>
          <w:rtl w:val="0"/>
          <w:lang w:val="en-US"/>
        </w:rPr>
        <w:t xml:space="preserve"> </w:t>
      </w:r>
      <w:r>
        <w:rPr>
          <w:rFonts w:ascii="Times New Roman" w:hAnsi="Times New Roman"/>
          <w:sz w:val="24"/>
          <w:szCs w:val="24"/>
          <w:rtl w:val="0"/>
          <w:lang w:val="en-US"/>
        </w:rPr>
        <w:t>these conflicts, Philadelphus</w:t>
      </w:r>
      <w:r>
        <w:rPr>
          <w:rFonts w:ascii="Times New Roman" w:hAnsi="Times New Roman" w:hint="default"/>
          <w:sz w:val="24"/>
          <w:szCs w:val="24"/>
          <w:rtl w:val="0"/>
          <w:lang w:val="en-US"/>
        </w:rPr>
        <w:t>’</w:t>
      </w:r>
      <w:r>
        <w:rPr>
          <w:rFonts w:ascii="Times New Roman" w:hAnsi="Times New Roman"/>
          <w:sz w:val="24"/>
          <w:szCs w:val="24"/>
          <w:rtl w:val="0"/>
          <w:lang w:val="en-US"/>
        </w:rPr>
        <w:t xml:space="preserve"> </w:t>
      </w:r>
      <w:r>
        <w:rPr>
          <w:rFonts w:ascii="Times New Roman" w:hAnsi="Times New Roman"/>
          <w:sz w:val="24"/>
          <w:szCs w:val="24"/>
          <w:rtl w:val="0"/>
          <w:lang w:val="en-US"/>
        </w:rPr>
        <w:t>religious, military, foreign and internal economical and political policies were much influenced.</w:t>
      </w:r>
    </w:p>
    <w:p>
      <w:pPr>
        <w:pStyle w:val="Body A"/>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Ptolemaic Egypt under Ptolemy II Philadelphus was a </w:t>
      </w:r>
      <w:r>
        <w:rPr>
          <w:rFonts w:ascii="Times New Roman" w:hAnsi="Times New Roman"/>
          <w:sz w:val="24"/>
          <w:szCs w:val="24"/>
          <w:rtl w:val="0"/>
          <w:lang w:val="en-US"/>
        </w:rPr>
        <w:t>period</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of </w:t>
      </w:r>
      <w:r>
        <w:rPr>
          <w:rFonts w:ascii="Times New Roman" w:hAnsi="Times New Roman"/>
          <w:sz w:val="24"/>
          <w:szCs w:val="24"/>
          <w:rtl w:val="0"/>
          <w:lang w:val="en-US"/>
        </w:rPr>
        <w:t>war, trade</w:t>
      </w:r>
      <w:r>
        <w:rPr>
          <w:rFonts w:ascii="Times New Roman" w:hAnsi="Times New Roman"/>
          <w:sz w:val="24"/>
          <w:szCs w:val="24"/>
          <w:rtl w:val="0"/>
          <w:lang w:val="en-US"/>
        </w:rPr>
        <w:t xml:space="preserve">, </w:t>
      </w:r>
      <w:r>
        <w:rPr>
          <w:rFonts w:ascii="Times New Roman" w:hAnsi="Times New Roman"/>
          <w:sz w:val="24"/>
          <w:szCs w:val="24"/>
          <w:rtl w:val="0"/>
          <w:lang w:val="en-US"/>
        </w:rPr>
        <w:t>diplomatic relations</w:t>
      </w:r>
      <w:r>
        <w:rPr>
          <w:rFonts w:ascii="Times New Roman" w:hAnsi="Times New Roman"/>
          <w:sz w:val="24"/>
          <w:szCs w:val="24"/>
          <w:rtl w:val="0"/>
          <w:lang w:val="en-US"/>
        </w:rPr>
        <w:t>, new dynastic religious beliefs and great internal and external achievements</w:t>
      </w:r>
      <w:r>
        <w:rPr>
          <w:rFonts w:ascii="Times New Roman" w:hAnsi="Times New Roman"/>
          <w:sz w:val="24"/>
          <w:szCs w:val="24"/>
          <w:rtl w:val="0"/>
          <w:lang w:val="en-US"/>
        </w:rPr>
        <w:t xml:space="preserve">. </w:t>
      </w:r>
      <w:r>
        <w:rPr>
          <w:rFonts w:ascii="Times New Roman" w:hAnsi="Times New Roman"/>
          <w:sz w:val="24"/>
          <w:szCs w:val="24"/>
          <w:rtl w:val="0"/>
          <w:lang w:val="en-US"/>
        </w:rPr>
        <w:t>Some of Philadelphus</w:t>
      </w:r>
      <w:r>
        <w:rPr>
          <w:rFonts w:ascii="Times New Roman" w:hAnsi="Times New Roman" w:hint="default"/>
          <w:sz w:val="24"/>
          <w:szCs w:val="24"/>
          <w:rtl w:val="0"/>
          <w:lang w:val="en-US"/>
        </w:rPr>
        <w:t xml:space="preserve">’ </w:t>
      </w:r>
      <w:r>
        <w:rPr>
          <w:rFonts w:ascii="Times New Roman" w:hAnsi="Times New Roman"/>
          <w:sz w:val="24"/>
          <w:szCs w:val="24"/>
          <w:rtl w:val="0"/>
          <w:lang w:val="en-US"/>
        </w:rPr>
        <w:t>main focusses were the control over parts of</w:t>
      </w:r>
      <w:r>
        <w:rPr>
          <w:rFonts w:ascii="Times New Roman" w:hAnsi="Times New Roman"/>
          <w:sz w:val="24"/>
          <w:szCs w:val="24"/>
          <w:rtl w:val="0"/>
          <w:lang w:val="en-US"/>
        </w:rPr>
        <w:t xml:space="preserve"> the Mediterranean, </w:t>
      </w:r>
      <w:r>
        <w:rPr>
          <w:rFonts w:ascii="Times New Roman" w:hAnsi="Times New Roman"/>
          <w:sz w:val="24"/>
          <w:szCs w:val="24"/>
          <w:rtl w:val="0"/>
          <w:lang w:val="en-US"/>
        </w:rPr>
        <w:t>the Aegean, n</w:t>
      </w:r>
      <w:r>
        <w:rPr>
          <w:rFonts w:ascii="Times New Roman" w:hAnsi="Times New Roman"/>
          <w:sz w:val="24"/>
          <w:szCs w:val="24"/>
          <w:rtl w:val="0"/>
          <w:lang w:val="en-US"/>
        </w:rPr>
        <w:t>orth</w:t>
      </w:r>
      <w:r>
        <w:rPr>
          <w:rFonts w:ascii="Times New Roman" w:hAnsi="Times New Roman"/>
          <w:sz w:val="24"/>
          <w:szCs w:val="24"/>
          <w:rtl w:val="0"/>
          <w:lang w:val="en-US"/>
        </w:rPr>
        <w:t>-east</w:t>
      </w:r>
      <w:r>
        <w:rPr>
          <w:rFonts w:ascii="Times New Roman" w:hAnsi="Times New Roman"/>
          <w:sz w:val="24"/>
          <w:szCs w:val="24"/>
          <w:rtl w:val="0"/>
          <w:lang w:val="en-US"/>
        </w:rPr>
        <w:t xml:space="preserve"> Africa and west Asia. </w:t>
      </w:r>
      <w:r>
        <w:rPr>
          <w:rFonts w:ascii="Times New Roman" w:hAnsi="Times New Roman"/>
          <w:sz w:val="24"/>
          <w:szCs w:val="24"/>
          <w:rtl w:val="0"/>
          <w:lang w:val="en-US"/>
        </w:rPr>
        <w:t>All these conquests, together with some of the political, military and religious relationships that Philadelphus built during his reign, aimed at securing Egypt</w:t>
      </w:r>
      <w:r>
        <w:rPr>
          <w:rFonts w:ascii="Times New Roman" w:hAnsi="Times New Roman" w:hint="default"/>
          <w:sz w:val="24"/>
          <w:szCs w:val="24"/>
          <w:rtl w:val="0"/>
          <w:lang w:val="en-US"/>
        </w:rPr>
        <w:t>’</w:t>
      </w:r>
      <w:r>
        <w:rPr>
          <w:rFonts w:ascii="Times New Roman" w:hAnsi="Times New Roman"/>
          <w:sz w:val="24"/>
          <w:szCs w:val="24"/>
          <w:rtl w:val="0"/>
          <w:lang w:val="en-US"/>
        </w:rPr>
        <w:t>s borders and therefore also its survival in a time of great convulsions.</w:t>
      </w:r>
    </w:p>
    <w:p>
      <w:pPr>
        <w:pStyle w:val="Body A"/>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The First and Second Syrian wars not only led Ptolemies policies, but also influenced some of Egypt</w:t>
      </w:r>
      <w:r>
        <w:rPr>
          <w:rFonts w:ascii="Times New Roman" w:hAnsi="Times New Roman" w:hint="default"/>
          <w:sz w:val="24"/>
          <w:szCs w:val="24"/>
          <w:rtl w:val="0"/>
          <w:lang w:val="en-US"/>
        </w:rPr>
        <w:t>’</w:t>
      </w:r>
      <w:r>
        <w:rPr>
          <w:rFonts w:ascii="Times New Roman" w:hAnsi="Times New Roman"/>
          <w:sz w:val="24"/>
          <w:szCs w:val="24"/>
          <w:rtl w:val="0"/>
          <w:lang w:val="en-US"/>
        </w:rPr>
        <w:t>s breath taking initiatives, such as the exploration of Nubia for gold, the aim of controlling trade routes in Arabia or an extraordinary war-elephants hunting enterprise in North-east Africa</w:t>
      </w:r>
      <w:r>
        <w:rPr>
          <w:rFonts w:ascii="Times New Roman" w:hAnsi="Times New Roman"/>
          <w:sz w:val="24"/>
          <w:szCs w:val="24"/>
          <w:rtl w:val="0"/>
          <w:lang w:val="en-US"/>
        </w:rPr>
        <w:t xml:space="preserve">. </w:t>
      </w:r>
      <w:r>
        <w:rPr>
          <w:rFonts w:ascii="Times New Roman" w:hAnsi="Times New Roman"/>
          <w:sz w:val="24"/>
          <w:szCs w:val="24"/>
          <w:rtl w:val="0"/>
          <w:lang w:val="en-US"/>
        </w:rPr>
        <w:t>Ptolemy</w:t>
      </w:r>
      <w:r>
        <w:rPr>
          <w:rFonts w:ascii="Times New Roman" w:hAnsi="Times New Roman" w:hint="default"/>
          <w:sz w:val="24"/>
          <w:szCs w:val="24"/>
          <w:rtl w:val="0"/>
          <w:lang w:val="en-US"/>
        </w:rPr>
        <w:t>’</w:t>
      </w:r>
      <w:r>
        <w:rPr>
          <w:rFonts w:ascii="Times New Roman" w:hAnsi="Times New Roman"/>
          <w:sz w:val="24"/>
          <w:szCs w:val="24"/>
          <w:rtl w:val="0"/>
          <w:lang w:val="en-US"/>
        </w:rPr>
        <w:t>s</w:t>
      </w:r>
      <w:r>
        <w:rPr>
          <w:rFonts w:ascii="Times New Roman" w:hAnsi="Times New Roman"/>
          <w:sz w:val="24"/>
          <w:szCs w:val="24"/>
          <w:rtl w:val="0"/>
          <w:lang w:val="en-US"/>
        </w:rPr>
        <w:t xml:space="preserve"> relations</w:t>
      </w:r>
      <w:r>
        <w:rPr>
          <w:rFonts w:ascii="Times New Roman" w:hAnsi="Times New Roman"/>
          <w:sz w:val="24"/>
          <w:szCs w:val="24"/>
          <w:rtl w:val="0"/>
          <w:lang w:val="en-US"/>
        </w:rPr>
        <w:t>hips</w:t>
      </w:r>
      <w:r>
        <w:rPr>
          <w:rFonts w:ascii="Times New Roman" w:hAnsi="Times New Roman"/>
          <w:sz w:val="24"/>
          <w:szCs w:val="24"/>
          <w:rtl w:val="0"/>
          <w:lang w:val="en-US"/>
        </w:rPr>
        <w:t xml:space="preserve"> with Pyrrhus of Epirus</w:t>
      </w:r>
      <w:r>
        <w:rPr>
          <w:rFonts w:ascii="Times New Roman" w:hAnsi="Times New Roman"/>
          <w:sz w:val="24"/>
          <w:szCs w:val="24"/>
          <w:rtl w:val="0"/>
          <w:lang w:val="en-US"/>
        </w:rPr>
        <w:t>, the Kushite kingdom or</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Magas of </w:t>
      </w:r>
      <w:r>
        <w:rPr>
          <w:rFonts w:ascii="Times New Roman" w:hAnsi="Times New Roman"/>
          <w:sz w:val="24"/>
          <w:szCs w:val="24"/>
          <w:rtl w:val="0"/>
          <w:lang w:val="en-US"/>
        </w:rPr>
        <w:t>Cyrene</w:t>
      </w:r>
      <w:r>
        <w:rPr>
          <w:rFonts w:ascii="Times New Roman" w:hAnsi="Times New Roman"/>
          <w:sz w:val="24"/>
          <w:szCs w:val="24"/>
          <w:rtl w:val="0"/>
          <w:lang w:val="en-US"/>
        </w:rPr>
        <w:t>, just to give but few examples, were also partly driven by the position of the Seleukids on Egypt</w:t>
      </w:r>
      <w:r>
        <w:rPr>
          <w:rFonts w:ascii="Times New Roman" w:hAnsi="Times New Roman" w:hint="default"/>
          <w:sz w:val="24"/>
          <w:szCs w:val="24"/>
          <w:rtl w:val="0"/>
          <w:lang w:val="en-US"/>
        </w:rPr>
        <w:t>’</w:t>
      </w:r>
      <w:r>
        <w:rPr>
          <w:rFonts w:ascii="Times New Roman" w:hAnsi="Times New Roman"/>
          <w:sz w:val="24"/>
          <w:szCs w:val="24"/>
          <w:rtl w:val="0"/>
          <w:lang w:val="en-US"/>
        </w:rPr>
        <w:t xml:space="preserve">s eastern border. </w:t>
      </w:r>
    </w:p>
    <w:p>
      <w:pPr>
        <w:pStyle w:val="Body A"/>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Supported by his sister and wife Arsinoe II, </w:t>
      </w:r>
      <w:r>
        <w:rPr>
          <w:rFonts w:ascii="Times New Roman" w:hAnsi="Times New Roman"/>
          <w:sz w:val="24"/>
          <w:szCs w:val="24"/>
          <w:rtl w:val="0"/>
          <w:lang w:val="en-US"/>
        </w:rPr>
        <w:t xml:space="preserve">Ptolemy II </w:t>
      </w:r>
      <w:r>
        <w:rPr>
          <w:rFonts w:ascii="Times New Roman" w:hAnsi="Times New Roman"/>
          <w:sz w:val="24"/>
          <w:szCs w:val="24"/>
          <w:rtl w:val="0"/>
          <w:lang w:val="en-US"/>
        </w:rPr>
        <w:t xml:space="preserve">was involved in </w:t>
      </w:r>
      <w:r>
        <w:rPr>
          <w:rFonts w:ascii="Times New Roman" w:hAnsi="Times New Roman"/>
          <w:sz w:val="24"/>
          <w:szCs w:val="24"/>
          <w:rtl w:val="0"/>
          <w:lang w:val="en-US"/>
        </w:rPr>
        <w:t xml:space="preserve">the control of the sea and the navigation routes in the </w:t>
      </w:r>
      <w:r>
        <w:rPr>
          <w:rFonts w:ascii="Times New Roman" w:hAnsi="Times New Roman"/>
          <w:sz w:val="24"/>
          <w:szCs w:val="24"/>
          <w:rtl w:val="0"/>
          <w:lang w:val="en-US"/>
        </w:rPr>
        <w:t>Mediterranean and the Aegean</w:t>
      </w:r>
      <w:r>
        <w:rPr>
          <w:rFonts w:ascii="Times New Roman" w:hAnsi="Times New Roman"/>
          <w:sz w:val="24"/>
          <w:szCs w:val="24"/>
          <w:rtl w:val="0"/>
          <w:lang w:val="en-US"/>
        </w:rPr>
        <w:t xml:space="preserve">, always having in mind his dangerous foes, </w:t>
      </w:r>
      <w:r>
        <w:rPr>
          <w:rFonts w:ascii="Times New Roman" w:hAnsi="Times New Roman"/>
          <w:sz w:val="24"/>
          <w:szCs w:val="24"/>
          <w:rtl w:val="0"/>
          <w:lang w:val="en-US"/>
        </w:rPr>
        <w:t>the Seleukids.</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In this research, the relations between Ptolemaic Egypt and </w:t>
      </w:r>
      <w:r>
        <w:rPr>
          <w:rFonts w:ascii="Times New Roman" w:hAnsi="Times New Roman"/>
          <w:sz w:val="24"/>
          <w:szCs w:val="24"/>
          <w:rtl w:val="0"/>
          <w:lang w:val="en-US"/>
        </w:rPr>
        <w:t>his</w:t>
      </w:r>
      <w:r>
        <w:rPr>
          <w:rFonts w:ascii="Times New Roman" w:hAnsi="Times New Roman"/>
          <w:sz w:val="24"/>
          <w:szCs w:val="24"/>
          <w:rtl w:val="0"/>
          <w:lang w:val="en-US"/>
        </w:rPr>
        <w:t xml:space="preserve"> neighbour</w:t>
      </w:r>
      <w:r>
        <w:rPr>
          <w:rFonts w:ascii="Times New Roman" w:hAnsi="Times New Roman"/>
          <w:sz w:val="24"/>
          <w:szCs w:val="24"/>
          <w:rtl w:val="0"/>
          <w:lang w:val="en-US"/>
        </w:rPr>
        <w:t>s</w:t>
      </w:r>
      <w:r>
        <w:rPr>
          <w:rFonts w:ascii="Times New Roman" w:hAnsi="Times New Roman"/>
          <w:sz w:val="24"/>
          <w:szCs w:val="24"/>
          <w:rtl w:val="0"/>
          <w:lang w:val="en-US"/>
        </w:rPr>
        <w:t xml:space="preserve"> </w:t>
      </w:r>
      <w:r>
        <w:rPr>
          <w:rFonts w:ascii="Times New Roman" w:hAnsi="Times New Roman"/>
          <w:sz w:val="24"/>
          <w:szCs w:val="24"/>
          <w:rtl w:val="0"/>
          <w:lang w:val="en-US"/>
        </w:rPr>
        <w:t>will be looked at, focussing especially on Philadelphus</w:t>
      </w:r>
      <w:r>
        <w:rPr>
          <w:rFonts w:ascii="Times New Roman" w:hAnsi="Times New Roman" w:hint="default"/>
          <w:sz w:val="24"/>
          <w:szCs w:val="24"/>
          <w:rtl w:val="0"/>
          <w:lang w:val="en-US"/>
        </w:rPr>
        <w:t xml:space="preserve">’ </w:t>
      </w:r>
      <w:r>
        <w:rPr>
          <w:rFonts w:ascii="Times New Roman" w:hAnsi="Times New Roman"/>
          <w:sz w:val="24"/>
          <w:szCs w:val="24"/>
          <w:rtl w:val="0"/>
          <w:lang w:val="en-US"/>
        </w:rPr>
        <w:t>relationship with Antiochus I and II and the consequences of these relationships for Egypt</w:t>
      </w:r>
      <w:r>
        <w:rPr>
          <w:rFonts w:ascii="Times New Roman" w:hAnsi="Times New Roman" w:hint="default"/>
          <w:sz w:val="24"/>
          <w:szCs w:val="24"/>
          <w:rtl w:val="0"/>
          <w:lang w:val="en-US"/>
        </w:rPr>
        <w:t>’</w:t>
      </w:r>
      <w:r>
        <w:rPr>
          <w:rFonts w:ascii="Times New Roman" w:hAnsi="Times New Roman"/>
          <w:sz w:val="24"/>
          <w:szCs w:val="24"/>
          <w:rtl w:val="0"/>
          <w:lang w:val="en-US"/>
        </w:rPr>
        <w:t xml:space="preserve">s internal and external affairs. </w:t>
      </w:r>
    </w:p>
    <w:p>
      <w:pPr>
        <w:pStyle w:val="justify"/>
        <w:rPr>
          <w:sz w:val="32"/>
          <w:szCs w:val="32"/>
          <w:u w:val="single"/>
        </w:rPr>
      </w:pPr>
    </w:p>
    <w:p>
      <w:pPr>
        <w:pStyle w:val="justify"/>
        <w:rPr>
          <w:sz w:val="32"/>
          <w:szCs w:val="32"/>
          <w:u w:val="single"/>
        </w:rPr>
      </w:pPr>
    </w:p>
    <w:p>
      <w:pPr>
        <w:pStyle w:val="justify"/>
        <w:rPr>
          <w:sz w:val="32"/>
          <w:szCs w:val="32"/>
          <w:u w:val="single"/>
        </w:rPr>
      </w:pPr>
    </w:p>
    <w:p>
      <w:pPr>
        <w:pStyle w:val="justify"/>
        <w:rPr>
          <w:sz w:val="32"/>
          <w:szCs w:val="32"/>
          <w:u w:val="single"/>
        </w:rPr>
      </w:pPr>
    </w:p>
    <w:p>
      <w:pPr>
        <w:pStyle w:val="justify"/>
        <w:spacing w:line="360" w:lineRule="auto"/>
        <w:rPr>
          <w:sz w:val="32"/>
          <w:szCs w:val="32"/>
          <w:u w:val="single"/>
        </w:rPr>
      </w:pPr>
      <w:r>
        <w:rPr>
          <w:sz w:val="32"/>
          <w:szCs w:val="32"/>
          <w:u w:val="single"/>
          <w:rtl w:val="0"/>
          <w:lang w:val="en-US"/>
        </w:rPr>
        <w:t>B. Main Essay</w:t>
      </w:r>
    </w:p>
    <w:p>
      <w:pPr>
        <w:pStyle w:val="justify"/>
        <w:spacing w:line="360" w:lineRule="auto"/>
        <w:jc w:val="both"/>
      </w:pPr>
    </w:p>
    <w:p>
      <w:pPr>
        <w:pStyle w:val="justify"/>
        <w:spacing w:line="360" w:lineRule="auto"/>
        <w:jc w:val="both"/>
      </w:pPr>
      <w:r>
        <w:rPr>
          <w:rtl w:val="0"/>
          <w:lang w:val="en-US"/>
        </w:rPr>
        <w:t>Ptolemy II Philadelphus was an excellent diplomat. Some believe he had mixed results in the military ventures he met, claiming he compensated for any losses in the battle field by arranging strategic marriages. In fact, he rarely led battles during his reign, instead, leaving their lead to his admirals and generals. There seems to have been only one expedition to the Nile in which Ptolemy appears as the lead. He was definitely an excellent administrator, with trade being another of Egypt</w:t>
      </w:r>
      <w:r>
        <w:rPr>
          <w:rtl w:val="0"/>
          <w:lang w:val="en-US"/>
        </w:rPr>
        <w:t>’</w:t>
      </w:r>
      <w:r>
        <w:rPr>
          <w:rtl w:val="0"/>
          <w:lang w:val="en-US"/>
        </w:rPr>
        <w:t>s pillars during his reign. He also extended his Hellenizing projects into Palestine, transforming ancient Semitic centres into Greek cities, such as the rebuild of Rabbah as Philadelphia or Akko as Ptolemais.</w:t>
      </w:r>
      <w:r>
        <w:rPr>
          <w:vertAlign w:val="superscript"/>
          <w:lang w:val="en-US"/>
        </w:rPr>
        <w:footnoteReference w:id="1"/>
      </w:r>
      <w:r>
        <w:rPr>
          <w:rtl w:val="0"/>
          <w:lang w:val="en-US"/>
        </w:rPr>
        <w:t xml:space="preserve"> We find different opinions about his skills though. </w:t>
      </w:r>
      <w:r>
        <w:rPr>
          <w:rtl w:val="0"/>
          <w:lang w:val="en-US"/>
        </w:rPr>
        <w:t>According to Theocritus, Ptolemy II was a wonderful lover, able to have empathy and to please his wife and concubines. This same author claimed Philadelphus to be a multifaceted leader, able to love, to show kindness, a generous leader showing an interest for culture, an army pay master, a tough warrior and a war leader</w:t>
      </w:r>
      <w:r>
        <w:rPr>
          <w:vertAlign w:val="superscript"/>
        </w:rPr>
        <w:footnoteReference w:id="2"/>
      </w:r>
      <w:r>
        <w:rPr>
          <w:rtl w:val="0"/>
          <w:lang w:val="en-US"/>
        </w:rPr>
        <w:t>. By looking at his relationship with the house of the Seleukids we might have a better idea about this character.</w:t>
      </w:r>
    </w:p>
    <w:p>
      <w:pPr>
        <w:pStyle w:val="justify"/>
        <w:spacing w:line="360" w:lineRule="auto"/>
        <w:jc w:val="both"/>
      </w:pPr>
    </w:p>
    <w:p>
      <w:pPr>
        <w:pStyle w:val="justify"/>
        <w:spacing w:line="360" w:lineRule="auto"/>
        <w:jc w:val="both"/>
      </w:pPr>
      <w:r>
        <w:rPr>
          <w:rtl w:val="0"/>
          <w:lang w:val="en-US"/>
        </w:rPr>
        <w:t>We cannot detach Ptolemy II</w:t>
      </w:r>
      <w:r>
        <w:rPr>
          <w:rtl w:val="0"/>
          <w:lang w:val="en-US"/>
        </w:rPr>
        <w:t>’</w:t>
      </w:r>
      <w:r>
        <w:rPr>
          <w:rtl w:val="0"/>
          <w:lang w:val="en-US"/>
        </w:rPr>
        <w:t>s foreign policy with the developments at home. Any attempt to explain the developments Eastwards to Seleukid territory, Westwards to Cyrene, south to Nubia or south-east to the area where elephant hunting occurred and which supported Ptolemies battles against its neighbours</w:t>
      </w:r>
      <w:r>
        <w:rPr>
          <w:vertAlign w:val="superscript"/>
        </w:rPr>
        <w:footnoteReference w:id="3"/>
      </w:r>
      <w:r>
        <w:rPr>
          <w:rtl w:val="0"/>
          <w:lang w:val="en-US"/>
        </w:rPr>
        <w:t>, must take into consideration the economic reforms implemented by the Ptolemies in Egypt, which helped fund all its foreign policy. In Theocritus we find Thyonikos advising Aischinas that Philadelphus was the best pay master for free man. Indeed, the Encomium of Ptolemy II states that troops were of great importa</w:t>
      </w:r>
      <w:r>
        <w:rPr>
          <w:rtl w:val="0"/>
          <w:lang w:val="en-US"/>
        </w:rPr>
        <w:t xml:space="preserve">nce to Philadelphus, who was in conflict with the Seleukids not just for Koile Syria but perhaps for </w:t>
      </w:r>
      <w:r>
        <w:rPr>
          <w:rtl w:val="0"/>
          <w:lang w:val="en-US"/>
        </w:rPr>
        <w:t>Antiochus I and II</w:t>
      </w:r>
      <w:r>
        <w:rPr>
          <w:rtl w:val="0"/>
          <w:lang w:val="en-US"/>
        </w:rPr>
        <w:t>’</w:t>
      </w:r>
      <w:r>
        <w:rPr>
          <w:rtl w:val="0"/>
          <w:lang w:val="en-US"/>
        </w:rPr>
        <w:t>s wider kingdom. Conflicts involved some conquests on the Aegean Islands for the maritime control and for the defence of their territory. All of this definitely put some strain on Egypt</w:t>
      </w:r>
      <w:r>
        <w:rPr>
          <w:rtl w:val="0"/>
          <w:lang w:val="en-US"/>
        </w:rPr>
        <w:t>’</w:t>
      </w:r>
      <w:r>
        <w:rPr>
          <w:rtl w:val="0"/>
          <w:lang w:val="en-US"/>
        </w:rPr>
        <w:t>s internal resources</w:t>
      </w:r>
      <w:r>
        <w:rPr>
          <w:vertAlign w:val="superscript"/>
        </w:rPr>
        <w:footnoteReference w:id="4"/>
      </w:r>
      <w:r>
        <w:rPr>
          <w:rtl w:val="0"/>
          <w:lang w:val="en-US"/>
        </w:rPr>
        <w:t xml:space="preserve">. The introduction of taxes to the salt or </w:t>
      </w:r>
      <w:r>
        <w:rPr>
          <w:i w:val="1"/>
          <w:iCs w:val="1"/>
          <w:rtl w:val="0"/>
          <w:lang w:val="en-US"/>
        </w:rPr>
        <w:t>halike</w:t>
      </w:r>
      <w:r>
        <w:rPr>
          <w:rtl w:val="0"/>
          <w:lang w:val="en-US"/>
        </w:rPr>
        <w:t>, t</w:t>
      </w:r>
      <w:r>
        <w:rPr>
          <w:rtl w:val="0"/>
          <w:lang w:val="en-US"/>
        </w:rPr>
        <w:t>he application of the census in the levy of personal taxes</w:t>
      </w:r>
      <w:r>
        <w:rPr>
          <w:rtl w:val="0"/>
          <w:lang w:val="en-US"/>
        </w:rPr>
        <w:t xml:space="preserve">, </w:t>
      </w:r>
      <w:r>
        <w:rPr>
          <w:rtl w:val="0"/>
          <w:lang w:val="en-US"/>
        </w:rPr>
        <w:t>the land survey in the levy of grain and other forms of natural produce</w:t>
      </w:r>
      <w:r>
        <w:rPr>
          <w:rtl w:val="0"/>
          <w:lang w:val="en-US"/>
        </w:rPr>
        <w:t>,</w:t>
      </w:r>
      <w:r>
        <w:rPr>
          <w:rtl w:val="0"/>
          <w:lang w:val="en-US"/>
        </w:rPr>
        <w:t xml:space="preserve"> resulted in </w:t>
      </w:r>
      <w:r>
        <w:rPr>
          <w:rtl w:val="0"/>
          <w:lang w:val="en-US"/>
        </w:rPr>
        <w:t>an important source of revenue for the kingdom</w:t>
      </w:r>
      <w:r>
        <w:rPr>
          <w:vertAlign w:val="superscript"/>
        </w:rPr>
        <w:footnoteReference w:id="5"/>
      </w:r>
      <w:r>
        <w:rPr>
          <w:rtl w:val="0"/>
          <w:lang w:val="en-US"/>
        </w:rPr>
        <w:t>. The kingdom, in turn would transfer part of the power to collect and control those taxes from the temples to the state, increasing the state</w:t>
      </w:r>
      <w:r>
        <w:rPr>
          <w:rtl w:val="0"/>
          <w:lang w:val="en-US"/>
        </w:rPr>
        <w:t>’</w:t>
      </w:r>
      <w:r>
        <w:rPr>
          <w:rtl w:val="0"/>
          <w:lang w:val="en-US"/>
        </w:rPr>
        <w:t>s collecting capacity and the distribution of wealth</w:t>
      </w:r>
      <w:r>
        <w:rPr>
          <w:rtl w:val="0"/>
          <w:lang w:val="en-US"/>
        </w:rPr>
        <w:t>.</w:t>
      </w:r>
    </w:p>
    <w:p>
      <w:pPr>
        <w:pStyle w:val="justify"/>
        <w:spacing w:line="360" w:lineRule="auto"/>
        <w:jc w:val="both"/>
      </w:pPr>
    </w:p>
    <w:p>
      <w:pPr>
        <w:pStyle w:val="justify"/>
        <w:spacing w:line="360" w:lineRule="auto"/>
        <w:jc w:val="both"/>
      </w:pPr>
      <w:r>
        <w:rPr>
          <w:rtl w:val="0"/>
          <w:lang w:val="en-US"/>
        </w:rPr>
        <w:t>Ptolemy</w:t>
      </w:r>
      <w:r>
        <w:rPr>
          <w:rtl w:val="0"/>
          <w:lang w:val="en-US"/>
        </w:rPr>
        <w:t>’</w:t>
      </w:r>
      <w:r>
        <w:rPr>
          <w:rtl w:val="0"/>
          <w:lang w:val="en-US"/>
        </w:rPr>
        <w:t>s ambitions of being a major naval power in the Aegean and of taking control of strategic neighbour areas, made it difficult for the dynasty to be in peace during Ptolemy II</w:t>
      </w:r>
      <w:r>
        <w:rPr>
          <w:rtl w:val="0"/>
          <w:lang w:val="en-US"/>
        </w:rPr>
        <w:t>’</w:t>
      </w:r>
      <w:r>
        <w:rPr>
          <w:rtl w:val="0"/>
          <w:lang w:val="en-US"/>
        </w:rPr>
        <w:t>s reign. The difficulty of this task might have been accentuated by the character of Arsinoe II, Ptolemy</w:t>
      </w:r>
      <w:r>
        <w:rPr>
          <w:rtl w:val="0"/>
          <w:lang w:val="en-US"/>
        </w:rPr>
        <w:t>’</w:t>
      </w:r>
      <w:r>
        <w:rPr>
          <w:rtl w:val="0"/>
          <w:lang w:val="en-US"/>
        </w:rPr>
        <w:t xml:space="preserve">s full sister and wife, who not only had been responsible for the murdering of </w:t>
      </w:r>
      <w:r>
        <w:rPr>
          <w:rtl w:val="0"/>
          <w:lang w:val="en-US"/>
        </w:rPr>
        <w:t>Agathocles</w:t>
      </w:r>
      <w:r>
        <w:rPr>
          <w:rtl w:val="0"/>
          <w:lang w:val="en-US"/>
        </w:rPr>
        <w:t xml:space="preserve"> in Macedonia, but had also conspired against Berenice, Ptolemy II</w:t>
      </w:r>
      <w:r>
        <w:rPr>
          <w:rtl w:val="0"/>
          <w:lang w:val="en-US"/>
        </w:rPr>
        <w:t>’</w:t>
      </w:r>
      <w:r>
        <w:rPr>
          <w:rtl w:val="0"/>
          <w:lang w:val="en-US"/>
        </w:rPr>
        <w:t>s first wife, who had born three children to him, by accusing her of attempting of murder against her husband</w:t>
      </w:r>
      <w:r>
        <w:rPr>
          <w:vertAlign w:val="superscript"/>
        </w:rPr>
        <w:footnoteReference w:id="6"/>
      </w:r>
      <w:r>
        <w:rPr>
          <w:rtl w:val="0"/>
          <w:lang w:val="en-US"/>
        </w:rPr>
        <w:t>. Arsinoe first married Lysimachus of Macedon, giving him three children. Then she married Lysimachus</w:t>
      </w:r>
      <w:r>
        <w:rPr>
          <w:rtl w:val="0"/>
          <w:lang w:val="en-US"/>
        </w:rPr>
        <w:t xml:space="preserve">’ </w:t>
      </w:r>
      <w:r>
        <w:rPr>
          <w:rtl w:val="0"/>
          <w:lang w:val="en-US"/>
        </w:rPr>
        <w:t>son, Ptolemy Ceraunus, after the latter killed two of her children and threatened her own life</w:t>
      </w:r>
      <w:r>
        <w:rPr>
          <w:vertAlign w:val="superscript"/>
        </w:rPr>
        <w:footnoteReference w:id="7"/>
      </w:r>
      <w:r>
        <w:rPr>
          <w:rtl w:val="0"/>
          <w:lang w:val="en-US"/>
        </w:rPr>
        <w:t>. It was though after Ceraunus death, that Arsinoe II came back to Egypt. After the disappearance of Berenice, Arsinoe and Ptolemy married. A marriage that wasn</w:t>
      </w:r>
      <w:r>
        <w:rPr>
          <w:rtl w:val="0"/>
          <w:lang w:val="en-US"/>
        </w:rPr>
        <w:t>’</w:t>
      </w:r>
      <w:r>
        <w:rPr>
          <w:rtl w:val="0"/>
          <w:lang w:val="en-US"/>
        </w:rPr>
        <w:t>t common in Greece, but it was in Egypt. Both were seen as gods, so Ptolemy used the marriage between Zeus and Hera, sibling deities, to obtain acceptance over their brother-sister marriage</w:t>
      </w:r>
      <w:r>
        <w:rPr>
          <w:vertAlign w:val="superscript"/>
        </w:rPr>
        <w:footnoteReference w:id="8"/>
      </w:r>
      <w:r>
        <w:rPr>
          <w:rtl w:val="0"/>
          <w:lang w:val="en-US"/>
        </w:rPr>
        <w:t>. This type of marriage might not have been the first one to occur though. Antiochus I earlier married his half-sister, at around 280 BC. This was a custom in the Argeads dynasty and also within the local Achaemenid dynasty, which the Seleukids were seen as direct successors</w:t>
      </w:r>
      <w:r>
        <w:rPr>
          <w:vertAlign w:val="superscript"/>
        </w:rPr>
        <w:footnoteReference w:id="9"/>
      </w:r>
      <w:r>
        <w:rPr>
          <w:rtl w:val="0"/>
          <w:lang w:val="en-US"/>
        </w:rPr>
        <w:t xml:space="preserve">. </w:t>
      </w:r>
    </w:p>
    <w:p>
      <w:pPr>
        <w:pStyle w:val="justify"/>
        <w:spacing w:line="360" w:lineRule="auto"/>
        <w:jc w:val="both"/>
      </w:pPr>
    </w:p>
    <w:p>
      <w:pPr>
        <w:pStyle w:val="justify"/>
        <w:spacing w:line="360" w:lineRule="auto"/>
        <w:jc w:val="both"/>
      </w:pPr>
      <w:r>
        <w:rPr>
          <w:rtl w:val="0"/>
          <w:lang w:val="en-US"/>
        </w:rPr>
        <w:t>As mentioned above, Philadelphus</w:t>
      </w:r>
      <w:r>
        <w:rPr>
          <w:rtl w:val="0"/>
          <w:lang w:val="en-US"/>
        </w:rPr>
        <w:t xml:space="preserve">’ </w:t>
      </w:r>
      <w:r>
        <w:rPr>
          <w:rtl w:val="0"/>
          <w:lang w:val="en-US"/>
        </w:rPr>
        <w:t>foreign policy involved war and mainly against two houses,  the house of Antigonos Gonatas and the house of the Seleukids. The reason for this constant conflict with the latter related in part to a defensive position towards Koile Syria, which was the border between both houses. It was also related to the economics involving the timber, found in Phoenicia and Cyprus. This type of wood was essential for shipbuilding, as it was copper, found in Cyprus and used for coinage. However, these areas were already Ptolemies</w:t>
      </w:r>
      <w:r>
        <w:rPr>
          <w:rtl w:val="0"/>
          <w:lang w:val="en-US"/>
        </w:rPr>
        <w:t xml:space="preserve">’ </w:t>
      </w:r>
      <w:r>
        <w:rPr>
          <w:rtl w:val="0"/>
          <w:lang w:val="en-US"/>
        </w:rPr>
        <w:t xml:space="preserve">when Philadelphus accessed the throne. The oriental and Indian trade, the great overland routes, primarily passing along Tyre and Ephesus, or the control over the Indian sea, connecting with the </w:t>
      </w:r>
      <w:r>
        <w:rPr>
          <w:rtl w:val="0"/>
          <w:lang w:val="en-US"/>
        </w:rPr>
        <w:t>Indian region</w:t>
      </w:r>
      <w:r>
        <w:rPr>
          <w:rtl w:val="0"/>
          <w:lang w:val="en-US"/>
        </w:rPr>
        <w:t xml:space="preserve"> and the wider Asian continent, might have also been some of his interests. Tarn W. W. believed the ambition to obtain profit for his empire was the main reason for his aggressions and foreign policy towards the Seleukid empire</w:t>
      </w:r>
      <w:r>
        <w:rPr>
          <w:vertAlign w:val="superscript"/>
        </w:rPr>
        <w:footnoteReference w:id="10"/>
      </w:r>
      <w:r>
        <w:rPr>
          <w:rtl w:val="0"/>
          <w:lang w:val="en-US"/>
        </w:rPr>
        <w:t>. The friendship and tights between the Seleukids and Antigonids were another reason for Ptolemies foreign policy. As an example of this friendship we find the usage of elephants by the Antigonids in the Chremonidean war, in a battle in which Antigonids</w:t>
      </w:r>
      <w:r>
        <w:rPr>
          <w:rtl w:val="0"/>
          <w:lang w:val="en-US"/>
        </w:rPr>
        <w:t xml:space="preserve">’ </w:t>
      </w:r>
      <w:r>
        <w:rPr>
          <w:rtl w:val="0"/>
          <w:lang w:val="en-US"/>
        </w:rPr>
        <w:t>elephants encountered pigs on fire set up by the Megarians. These elephants suggest Seleukid support</w:t>
      </w:r>
      <w:r>
        <w:rPr>
          <w:vertAlign w:val="superscript"/>
        </w:rPr>
        <w:footnoteReference w:id="11"/>
      </w:r>
      <w:r>
        <w:rPr>
          <w:rtl w:val="0"/>
          <w:lang w:val="en-US"/>
        </w:rPr>
        <w:t xml:space="preserve">. </w:t>
      </w:r>
    </w:p>
    <w:p>
      <w:pPr>
        <w:pStyle w:val="justify"/>
        <w:spacing w:line="360" w:lineRule="auto"/>
        <w:jc w:val="both"/>
      </w:pPr>
    </w:p>
    <w:p>
      <w:pPr>
        <w:pStyle w:val="justify"/>
        <w:spacing w:line="360" w:lineRule="auto"/>
        <w:jc w:val="both"/>
      </w:pPr>
      <w:r>
        <w:rPr>
          <w:rtl w:val="0"/>
          <w:lang w:val="en-US"/>
        </w:rPr>
        <w:t>The beginnings of Ptolemy II</w:t>
      </w:r>
      <w:r>
        <w:rPr>
          <w:rtl w:val="0"/>
          <w:lang w:val="en-US"/>
        </w:rPr>
        <w:t>’</w:t>
      </w:r>
      <w:r>
        <w:rPr>
          <w:rtl w:val="0"/>
          <w:lang w:val="en-US"/>
        </w:rPr>
        <w:t>s reign involved an unpleasant intrigue resulting in external violence. Ptolemy I chose as his designated successor a son by his latest wife, Berenice. The heir became Ptolemy II Philadelphus, appointed joint king with his father in 285 or 284 BC. This designation turned into a court crisis though, with the expulsion of an earlier wife named Eurydice, and a good deal of family ill-feeling</w:t>
      </w:r>
      <w:r>
        <w:rPr>
          <w:vertAlign w:val="superscript"/>
        </w:rPr>
        <w:footnoteReference w:id="12"/>
      </w:r>
      <w:r>
        <w:rPr>
          <w:rtl w:val="0"/>
          <w:lang w:val="en-US"/>
        </w:rPr>
        <w:t>. Those expelled went to Lysimachus court, contributing to the latter</w:t>
      </w:r>
      <w:r>
        <w:rPr>
          <w:rtl w:val="0"/>
          <w:lang w:val="en-US"/>
        </w:rPr>
        <w:t>’</w:t>
      </w:r>
      <w:r>
        <w:rPr>
          <w:rtl w:val="0"/>
          <w:lang w:val="en-US"/>
        </w:rPr>
        <w:t xml:space="preserve">s court crisis and </w:t>
      </w:r>
      <w:r>
        <w:rPr>
          <w:rtl w:val="0"/>
          <w:lang w:val="en-US"/>
        </w:rPr>
        <w:t>result</w:t>
      </w:r>
      <w:r>
        <w:rPr>
          <w:rtl w:val="0"/>
          <w:lang w:val="en-US"/>
        </w:rPr>
        <w:t>ing</w:t>
      </w:r>
      <w:r>
        <w:rPr>
          <w:rtl w:val="0"/>
          <w:lang w:val="en-US"/>
        </w:rPr>
        <w:t xml:space="preserve"> in the execution of Agathokles</w:t>
      </w:r>
      <w:r>
        <w:rPr>
          <w:rtl w:val="0"/>
          <w:lang w:val="en-US"/>
        </w:rPr>
        <w:t>. Arsinoe II, daughter of the repudiated Eurydice, married Lysimachus. This marriage brought the matter of succession to the forefront, being Arsinoe</w:t>
      </w:r>
      <w:r>
        <w:rPr>
          <w:rtl w:val="0"/>
          <w:lang w:val="en-US"/>
        </w:rPr>
        <w:t>’</w:t>
      </w:r>
      <w:r>
        <w:rPr>
          <w:rtl w:val="0"/>
          <w:lang w:val="en-US"/>
        </w:rPr>
        <w:t xml:space="preserve">s son a future candidate. </w:t>
      </w:r>
      <w:r>
        <w:rPr>
          <w:rtl w:val="0"/>
          <w:lang w:val="en-US"/>
        </w:rPr>
        <w:t>Agathokles</w:t>
      </w:r>
      <w:r>
        <w:rPr>
          <w:rtl w:val="0"/>
          <w:lang w:val="en-US"/>
        </w:rPr>
        <w:t xml:space="preserve"> wife flew to the Seleukids kingdom, where Ptolemy II</w:t>
      </w:r>
      <w:r>
        <w:rPr>
          <w:rtl w:val="0"/>
          <w:lang w:val="en-US"/>
        </w:rPr>
        <w:t>’</w:t>
      </w:r>
      <w:r>
        <w:rPr>
          <w:rtl w:val="0"/>
          <w:lang w:val="en-US"/>
        </w:rPr>
        <w:t>s brother, Ptolemy Ceraunus, also stayed. The result for Lysimachus was an erosion of his lead. Moreover, a direct effect of all of this was a widespread crisis into all three kingdoms: Egypt, Asia Minor and the Seleukid kingdom. Ptolemy II found that Magas, who governed Cyrenaica, wouldn't accept Philadelphus</w:t>
      </w:r>
      <w:r>
        <w:rPr>
          <w:rtl w:val="0"/>
          <w:lang w:val="en-US"/>
        </w:rPr>
        <w:t>’</w:t>
      </w:r>
      <w:r>
        <w:rPr>
          <w:rtl w:val="0"/>
          <w:lang w:val="en-US"/>
        </w:rPr>
        <w:t>s leadership and started acting with much more autonomy, but not fully independent from Egypt</w:t>
      </w:r>
      <w:r>
        <w:rPr>
          <w:vertAlign w:val="superscript"/>
        </w:rPr>
        <w:footnoteReference w:id="13"/>
      </w:r>
      <w:r>
        <w:rPr>
          <w:rtl w:val="0"/>
          <w:lang w:val="en-US"/>
        </w:rPr>
        <w:t xml:space="preserve">. In Asia Minor, Seleukus took advantage of Lysimachus position of weakness, by invading the area in 282 BC. Lysimachus was defeated in the battle of </w:t>
      </w:r>
      <w:r>
        <w:rPr>
          <w:rtl w:val="0"/>
          <w:lang w:val="en-US"/>
        </w:rPr>
        <w:t>Koroupedion and died.</w:t>
      </w:r>
      <w:r>
        <w:rPr>
          <w:rtl w:val="0"/>
          <w:lang w:val="en-US"/>
        </w:rPr>
        <w:t xml:space="preserve"> In the Seleukid empire, the events precipitated onto Seleukus I murdering. </w:t>
      </w:r>
    </w:p>
    <w:p>
      <w:pPr>
        <w:pStyle w:val="justify"/>
        <w:spacing w:line="360" w:lineRule="auto"/>
        <w:jc w:val="both"/>
      </w:pPr>
    </w:p>
    <w:p>
      <w:pPr>
        <w:pStyle w:val="justify"/>
        <w:spacing w:line="360" w:lineRule="auto"/>
        <w:jc w:val="both"/>
      </w:pPr>
      <w:r>
        <w:rPr>
          <w:rtl w:val="0"/>
          <w:lang w:val="en-US"/>
        </w:rPr>
        <w:t>This period is considered as a kind of cold war between the houses of the Ptolemies and the Seleukids. During this time, both kingdoms devoted much attention to internal development. Both kingdoms encouraged immigration by Greek citizens to their conquered areas, reconstructing cities, focussing in internal government and conciliating native inhabitants. All of these strategies aimed either at defending themselves or at preparing for attacking the opponent. It does not seem though that the aim was to reconquer Alexander</w:t>
      </w:r>
      <w:r>
        <w:rPr>
          <w:rtl w:val="0"/>
          <w:lang w:val="en-US"/>
        </w:rPr>
        <w:t>’</w:t>
      </w:r>
      <w:r>
        <w:rPr>
          <w:rtl w:val="0"/>
          <w:lang w:val="en-US"/>
        </w:rPr>
        <w:t>s territories, but to maintain their borders, being Syria key at defending them</w:t>
      </w:r>
      <w:r>
        <w:rPr>
          <w:vertAlign w:val="superscript"/>
        </w:rPr>
        <w:footnoteReference w:id="14"/>
      </w:r>
      <w:r>
        <w:rPr>
          <w:rtl w:val="0"/>
          <w:lang w:val="en-US"/>
        </w:rPr>
        <w:t>. It seems Antiochus I had some trouble in holding together his father</w:t>
      </w:r>
      <w:r>
        <w:rPr>
          <w:rtl w:val="0"/>
          <w:lang w:val="en-US"/>
        </w:rPr>
        <w:t>’</w:t>
      </w:r>
      <w:r>
        <w:rPr>
          <w:rtl w:val="0"/>
          <w:lang w:val="en-US"/>
        </w:rPr>
        <w:t>s kingdom, using violence to maintain it, while Ptolemy II had got grab of his father</w:t>
      </w:r>
      <w:r>
        <w:rPr>
          <w:rtl w:val="0"/>
          <w:lang w:val="en-US"/>
        </w:rPr>
        <w:t>’</w:t>
      </w:r>
      <w:r>
        <w:rPr>
          <w:rtl w:val="0"/>
          <w:lang w:val="en-US"/>
        </w:rPr>
        <w:t xml:space="preserve">s territories, perhaps being on a defensive mood. </w:t>
      </w:r>
      <w:r>
        <w:rPr>
          <w:rtl w:val="0"/>
          <w:lang w:val="en-US"/>
        </w:rPr>
        <w:t xml:space="preserve">Nevertheless, there appeared to be a great stimulus for the development of hostility between both houses since their establishment. </w:t>
      </w:r>
    </w:p>
    <w:p>
      <w:pPr>
        <w:pStyle w:val="justify"/>
        <w:spacing w:line="360" w:lineRule="auto"/>
        <w:jc w:val="both"/>
      </w:pPr>
    </w:p>
    <w:p>
      <w:pPr>
        <w:pStyle w:val="justify"/>
        <w:spacing w:line="360" w:lineRule="auto"/>
        <w:jc w:val="both"/>
      </w:pPr>
      <w:r>
        <w:rPr>
          <w:rtl w:val="0"/>
          <w:lang w:val="en-US"/>
        </w:rPr>
        <w:t xml:space="preserve">One of the results was a rapid development </w:t>
      </w:r>
      <w:r>
        <w:rPr>
          <w:rtl w:val="0"/>
          <w:lang w:val="en-US"/>
        </w:rPr>
        <w:t>in</w:t>
      </w:r>
      <w:r>
        <w:rPr>
          <w:rtl w:val="0"/>
          <w:lang w:val="en-US"/>
        </w:rPr>
        <w:t xml:space="preserve"> Syria</w:t>
      </w:r>
      <w:r>
        <w:rPr>
          <w:rtl w:val="0"/>
          <w:lang w:val="en-US"/>
        </w:rPr>
        <w:t>, especially in the North, region controlled by the Seleukids</w:t>
      </w:r>
      <w:r>
        <w:rPr>
          <w:rtl w:val="0"/>
          <w:lang w:val="en-US"/>
        </w:rPr>
        <w:t xml:space="preserve">. </w:t>
      </w:r>
      <w:r>
        <w:rPr>
          <w:rtl w:val="0"/>
          <w:lang w:val="en-US"/>
        </w:rPr>
        <w:t>In that area there were brand new built towns, not older than 20 years. Those cities had been populated not just by Syrians from the country side, but also by Greeks and peoples from various origins: contingents from Cyprus, Athens and Macedon arriving to Antioch, citizens from the dismantled Antigoneia</w:t>
      </w:r>
      <w:r>
        <w:rPr>
          <w:vertAlign w:val="superscript"/>
        </w:rPr>
        <w:footnoteReference w:id="15"/>
      </w:r>
      <w:r>
        <w:rPr>
          <w:rtl w:val="0"/>
          <w:lang w:val="en-US"/>
        </w:rPr>
        <w:t xml:space="preserve">. </w:t>
      </w:r>
      <w:r>
        <w:rPr>
          <w:rtl w:val="0"/>
          <w:lang w:val="en-US"/>
        </w:rPr>
        <w:t xml:space="preserve">Local authorities governed all the new cities. There were no signs of lords, neither dynasts, such as in Asia Minor. </w:t>
      </w:r>
      <w:r>
        <w:rPr>
          <w:rtl w:val="0"/>
          <w:lang w:val="en-US"/>
        </w:rPr>
        <w:t>This meant an area under construction, implying also populations having no sense of nation or sense of belonging to the land they inhabited</w:t>
      </w:r>
      <w:r>
        <w:rPr>
          <w:vertAlign w:val="superscript"/>
        </w:rPr>
        <w:footnoteReference w:id="16"/>
      </w:r>
      <w:r>
        <w:rPr>
          <w:rtl w:val="0"/>
          <w:lang w:val="en-US"/>
        </w:rPr>
        <w:t xml:space="preserve">. It seems then that real power laid with the king as the commander of the garrisons established in the area, not relying heavily on its citizenship. </w:t>
      </w:r>
    </w:p>
    <w:p>
      <w:pPr>
        <w:pStyle w:val="justify"/>
        <w:spacing w:line="360" w:lineRule="auto"/>
        <w:jc w:val="both"/>
      </w:pPr>
    </w:p>
    <w:p>
      <w:pPr>
        <w:pStyle w:val="justify"/>
        <w:spacing w:line="360" w:lineRule="auto"/>
        <w:jc w:val="both"/>
      </w:pPr>
      <w:r>
        <w:rPr>
          <w:rtl w:val="0"/>
          <w:lang w:val="en-US"/>
        </w:rPr>
        <w:t xml:space="preserve">Koile Syria was an area where geographical and social divisions made its control difficult, with a population recalcitrant to a harmonious grasp of the whole area. Previously, the Babylonians, Egyptians, Assyrians and Persians had tried conquering them, always finding few and weak cities, but a strong citizenship will: Tyre, </w:t>
      </w:r>
      <w:r>
        <w:rPr>
          <w:rtl w:val="0"/>
          <w:lang w:val="en-US"/>
        </w:rPr>
        <w:t>Ga</w:t>
      </w:r>
      <w:r>
        <w:rPr>
          <w:rtl w:val="0"/>
          <w:lang w:val="en-US"/>
        </w:rPr>
        <w:t>z</w:t>
      </w:r>
      <w:r>
        <w:rPr>
          <w:rtl w:val="0"/>
          <w:lang w:val="en-US"/>
        </w:rPr>
        <w:t>a, Arados, Hierapolis, Samaria</w:t>
      </w:r>
      <w:r>
        <w:rPr>
          <w:rtl w:val="0"/>
          <w:lang w:val="en-US"/>
        </w:rPr>
        <w:t>, are examples of this rebellious spirit against power</w:t>
      </w:r>
      <w:r>
        <w:rPr>
          <w:vertAlign w:val="superscript"/>
        </w:rPr>
        <w:footnoteReference w:id="17"/>
      </w:r>
      <w:r>
        <w:rPr>
          <w:rtl w:val="0"/>
          <w:lang w:val="en-US"/>
        </w:rPr>
        <w:t>. The land itself wasn</w:t>
      </w:r>
      <w:r>
        <w:rPr>
          <w:rtl w:val="0"/>
          <w:lang w:val="en-US"/>
        </w:rPr>
        <w:t>’</w:t>
      </w:r>
      <w:r>
        <w:rPr>
          <w:rtl w:val="0"/>
          <w:lang w:val="en-US"/>
        </w:rPr>
        <w:t>t rich and populous enough, but it was surrounded by rich areas, such as Asia Minor, Babylonia or Egypt</w:t>
      </w:r>
      <w:r>
        <w:rPr>
          <w:vertAlign w:val="superscript"/>
        </w:rPr>
        <w:footnoteReference w:id="18"/>
      </w:r>
      <w:r>
        <w:rPr>
          <w:rtl w:val="0"/>
          <w:lang w:val="en-US"/>
        </w:rPr>
        <w:t>. Nonetheless, the acquisition of Syria and the control over places such as Cyrenaica or Cyprus, aimed at providing a defence for Egypt</w:t>
      </w:r>
      <w:r>
        <w:rPr>
          <w:vertAlign w:val="superscript"/>
        </w:rPr>
        <w:footnoteReference w:id="19"/>
      </w:r>
      <w:r>
        <w:rPr>
          <w:rtl w:val="0"/>
          <w:lang w:val="en-US"/>
        </w:rPr>
        <w:t>, being the former key to Egypt</w:t>
      </w:r>
      <w:r>
        <w:rPr>
          <w:rtl w:val="0"/>
          <w:lang w:val="en-US"/>
        </w:rPr>
        <w:t>’</w:t>
      </w:r>
      <w:r>
        <w:rPr>
          <w:rtl w:val="0"/>
          <w:lang w:val="en-US"/>
        </w:rPr>
        <w:t xml:space="preserve">s safety. Syria became after the </w:t>
      </w:r>
      <w:r>
        <w:rPr>
          <w:rtl w:val="0"/>
          <w:lang w:val="en-US"/>
        </w:rPr>
        <w:t xml:space="preserve">Diadochoi </w:t>
      </w:r>
      <w:r>
        <w:rPr>
          <w:rtl w:val="0"/>
          <w:lang w:val="en-US"/>
        </w:rPr>
        <w:t>wars a helpless victim land of two alien nations, the Ptolemies and the Seleukids. It was in here where conflict built up during the times of Ptolemy I and Seleukus I, continuing with Ptolemy II and Antiochus I. This conflict might be seen as the continuation of the struggle for power between Babylonia and Egypt</w:t>
      </w:r>
      <w:r>
        <w:rPr>
          <w:vertAlign w:val="superscript"/>
        </w:rPr>
        <w:footnoteReference w:id="20"/>
      </w:r>
      <w:r>
        <w:rPr>
          <w:rtl w:val="0"/>
          <w:lang w:val="en-US"/>
        </w:rPr>
        <w:t xml:space="preserve">. </w:t>
      </w:r>
    </w:p>
    <w:p>
      <w:pPr>
        <w:pStyle w:val="justify"/>
        <w:spacing w:line="360" w:lineRule="auto"/>
        <w:jc w:val="both"/>
      </w:pPr>
    </w:p>
    <w:p>
      <w:pPr>
        <w:pStyle w:val="justify"/>
        <w:spacing w:line="360" w:lineRule="auto"/>
        <w:jc w:val="both"/>
      </w:pPr>
      <w:r>
        <w:rPr>
          <w:rtl w:val="0"/>
          <w:lang w:val="en-US"/>
        </w:rPr>
        <w:t>The Ilion decree alludes at a period of confusion in the area after Seleukos I death, with native rebels raising in Syria and Antiochus I having to bring one of his generals named Patrokles to Asia Minor, so that in the meantime either himself or a representative of his could go to North Syria. It was during this time that Ptolemy II fastened control over coastal cities such as</w:t>
      </w:r>
      <w:r>
        <w:rPr>
          <w:rtl w:val="0"/>
          <w:lang w:val="en-US"/>
        </w:rPr>
        <w:t xml:space="preserve"> Korakesion in Pamphylia</w:t>
      </w:r>
      <w:r>
        <w:rPr>
          <w:rtl w:val="0"/>
          <w:lang w:val="en-US"/>
        </w:rPr>
        <w:t>,</w:t>
      </w:r>
      <w:r>
        <w:rPr>
          <w:rtl w:val="0"/>
          <w:lang w:val="en-US"/>
        </w:rPr>
        <w:t xml:space="preserve"> Phaselis in </w:t>
      </w:r>
      <w:r>
        <w:rPr>
          <w:rtl w:val="0"/>
          <w:lang w:val="en-US"/>
        </w:rPr>
        <w:t>Lycia</w:t>
      </w:r>
      <w:r>
        <w:rPr>
          <w:rtl w:val="0"/>
          <w:lang w:val="en-US"/>
        </w:rPr>
        <w:t xml:space="preserve">, </w:t>
      </w:r>
      <w:r>
        <w:rPr>
          <w:rtl w:val="0"/>
          <w:lang w:val="en-US"/>
        </w:rPr>
        <w:t>or</w:t>
      </w:r>
      <w:r>
        <w:rPr>
          <w:rtl w:val="0"/>
          <w:lang w:val="en-US"/>
        </w:rPr>
        <w:t xml:space="preserve"> several </w:t>
      </w:r>
      <w:r>
        <w:rPr>
          <w:rtl w:val="0"/>
          <w:lang w:val="en-US"/>
        </w:rPr>
        <w:t xml:space="preserve">others </w:t>
      </w:r>
      <w:r>
        <w:rPr>
          <w:rtl w:val="0"/>
          <w:lang w:val="en-US"/>
        </w:rPr>
        <w:t xml:space="preserve">in </w:t>
      </w:r>
      <w:r>
        <w:rPr>
          <w:rtl w:val="0"/>
          <w:lang w:val="en-US"/>
        </w:rPr>
        <w:t xml:space="preserve">Caria, an area already under his control. </w:t>
      </w:r>
      <w:r>
        <w:rPr>
          <w:rtl w:val="0"/>
          <w:lang w:val="en-US"/>
        </w:rPr>
        <w:t>According to the Zeno papyri, Palestine was also a dependency of Egypt at the time and had extensive trade connections, supplying olive oil, slaves and livestock to Egypt. Ptolemaic rule was noticed in the Ammonite country, where various towns in the area adopted Egyptian names such as Philotera, Ptolemais, which seemed to have been the capital during these times, two Arsinoes and one Berenice</w:t>
      </w:r>
      <w:r>
        <w:rPr>
          <w:vertAlign w:val="superscript"/>
        </w:rPr>
        <w:footnoteReference w:id="21"/>
      </w:r>
      <w:r>
        <w:rPr>
          <w:rtl w:val="0"/>
          <w:lang w:val="en-US"/>
        </w:rPr>
        <w:t>.</w:t>
      </w:r>
    </w:p>
    <w:p>
      <w:pPr>
        <w:pStyle w:val="justify"/>
        <w:spacing w:line="360" w:lineRule="auto"/>
        <w:jc w:val="both"/>
      </w:pPr>
    </w:p>
    <w:p>
      <w:pPr>
        <w:pStyle w:val="justify"/>
        <w:spacing w:line="360" w:lineRule="auto"/>
        <w:jc w:val="both"/>
      </w:pPr>
      <w:r>
        <w:rPr>
          <w:rtl w:val="0"/>
          <w:lang w:val="en-US"/>
        </w:rPr>
        <w:t>The Ilion decree and the mentioned context implies that after the founding King Seleukus I died, there was a gap in power in the area, at least spiritually. Some of the cities might have expected more of a different government, republican perhaps. Some</w:t>
      </w:r>
      <w:r>
        <w:rPr>
          <w:rtl w:val="0"/>
          <w:lang w:val="en-US"/>
        </w:rPr>
        <w:t xml:space="preserve"> </w:t>
      </w:r>
      <w:r>
        <w:rPr>
          <w:rtl w:val="0"/>
          <w:lang w:val="en-US"/>
        </w:rPr>
        <w:t>might have been anti-monarchical, citizens from Athens for example. The arrival of the new Antiochus king or a representative of his to the area, might have found populations against Seleukids rule. Some rebels might have attempted to challenge the new leadership</w:t>
      </w:r>
      <w:r>
        <w:rPr>
          <w:vertAlign w:val="superscript"/>
        </w:rPr>
        <w:footnoteReference w:id="22"/>
      </w:r>
      <w:r>
        <w:rPr>
          <w:rtl w:val="0"/>
          <w:lang w:val="en-US"/>
        </w:rPr>
        <w:t>. It has even been suggested that Ptolemy II was involved supporting those rebels. What it appears to be true is that Philadelphus took advantage of this situation in cities south and west of Asia Minor, either by strengthening</w:t>
      </w:r>
      <w:r>
        <w:rPr>
          <w:rtl w:val="0"/>
          <w:lang w:val="en-US"/>
        </w:rPr>
        <w:t xml:space="preserve"> </w:t>
      </w:r>
      <w:r>
        <w:rPr>
          <w:rtl w:val="0"/>
          <w:lang w:val="en-US"/>
        </w:rPr>
        <w:t xml:space="preserve">his government in places such as </w:t>
      </w:r>
      <w:r>
        <w:rPr>
          <w:rtl w:val="0"/>
          <w:lang w:val="en-US"/>
        </w:rPr>
        <w:t>Korakesion in Pamphyli</w:t>
      </w:r>
      <w:r>
        <w:rPr>
          <w:rtl w:val="0"/>
          <w:lang w:val="en-US"/>
        </w:rPr>
        <w:t xml:space="preserve">a, </w:t>
      </w:r>
      <w:r>
        <w:rPr>
          <w:rtl w:val="0"/>
          <w:lang w:val="en-US"/>
        </w:rPr>
        <w:t xml:space="preserve">Phaselis in </w:t>
      </w:r>
      <w:r>
        <w:rPr>
          <w:rtl w:val="0"/>
          <w:lang w:val="en-US"/>
        </w:rPr>
        <w:t>Lycia</w:t>
      </w:r>
      <w:r>
        <w:rPr>
          <w:rtl w:val="0"/>
          <w:lang w:val="en-US"/>
        </w:rPr>
        <w:t xml:space="preserve"> </w:t>
      </w:r>
      <w:r>
        <w:rPr>
          <w:rtl w:val="0"/>
          <w:lang w:val="en-US"/>
        </w:rPr>
        <w:t>or</w:t>
      </w:r>
      <w:r>
        <w:rPr>
          <w:rtl w:val="0"/>
          <w:lang w:val="en-US"/>
        </w:rPr>
        <w:t xml:space="preserve"> several </w:t>
      </w:r>
      <w:r>
        <w:rPr>
          <w:rtl w:val="0"/>
          <w:lang w:val="en-US"/>
        </w:rPr>
        <w:t xml:space="preserve">cities </w:t>
      </w:r>
      <w:r>
        <w:rPr>
          <w:rtl w:val="0"/>
          <w:lang w:val="en-US"/>
        </w:rPr>
        <w:t xml:space="preserve">in </w:t>
      </w:r>
      <w:r>
        <w:rPr>
          <w:rtl w:val="0"/>
          <w:lang w:val="en-US"/>
        </w:rPr>
        <w:t>Caria</w:t>
      </w:r>
      <w:r>
        <w:rPr>
          <w:rtl w:val="0"/>
          <w:lang w:val="en-US"/>
        </w:rPr>
        <w:t xml:space="preserve">, or </w:t>
      </w:r>
      <w:r>
        <w:rPr>
          <w:rtl w:val="0"/>
          <w:lang w:val="en-US"/>
        </w:rPr>
        <w:t>by taking control over cities that were under</w:t>
      </w:r>
      <w:r>
        <w:rPr>
          <w:rtl w:val="0"/>
          <w:lang w:val="en-US"/>
        </w:rPr>
        <w:t xml:space="preserve"> </w:t>
      </w:r>
      <w:r>
        <w:rPr>
          <w:rtl w:val="0"/>
          <w:lang w:val="en-US"/>
        </w:rPr>
        <w:t>no</w:t>
      </w:r>
      <w:r>
        <w:rPr>
          <w:rtl w:val="0"/>
          <w:lang w:val="en-US"/>
        </w:rPr>
        <w:t xml:space="preserve"> control</w:t>
      </w:r>
      <w:r>
        <w:rPr>
          <w:rtl w:val="0"/>
          <w:lang w:val="en-US"/>
        </w:rPr>
        <w:t>. Nevertheless, Ptolemy</w:t>
      </w:r>
      <w:r>
        <w:rPr>
          <w:rtl w:val="0"/>
          <w:lang w:val="en-US"/>
        </w:rPr>
        <w:t>’</w:t>
      </w:r>
      <w:r>
        <w:rPr>
          <w:rtl w:val="0"/>
          <w:lang w:val="en-US"/>
        </w:rPr>
        <w:t>s activities by sea do not imply encountering Antiochus, so the Syrian rebellion might have had no connection whatsoever with the Ptolemies</w:t>
      </w:r>
      <w:r>
        <w:rPr>
          <w:vertAlign w:val="superscript"/>
        </w:rPr>
        <w:footnoteReference w:id="23"/>
      </w:r>
      <w:r>
        <w:rPr>
          <w:rtl w:val="0"/>
          <w:lang w:val="en-US"/>
        </w:rPr>
        <w:t>.</w:t>
      </w:r>
    </w:p>
    <w:p>
      <w:pPr>
        <w:pStyle w:val="justify"/>
        <w:spacing w:line="360" w:lineRule="auto"/>
        <w:jc w:val="both"/>
      </w:pPr>
    </w:p>
    <w:p>
      <w:pPr>
        <w:pStyle w:val="justify"/>
        <w:spacing w:line="360" w:lineRule="auto"/>
        <w:jc w:val="both"/>
      </w:pPr>
      <w:r>
        <w:rPr>
          <w:rtl w:val="0"/>
          <w:lang w:val="en-US"/>
        </w:rPr>
        <w:t xml:space="preserve">Syria then proved to be of vital importance for Egypt and its </w:t>
      </w:r>
      <w:r>
        <w:rPr>
          <w:rtl w:val="0"/>
          <w:lang w:val="en-US"/>
        </w:rPr>
        <w:t xml:space="preserve">geostrategic </w:t>
      </w:r>
      <w:r>
        <w:rPr>
          <w:rtl w:val="0"/>
          <w:lang w:val="en-US"/>
        </w:rPr>
        <w:t xml:space="preserve">position turned it into the focus of conflict between both houses. Due to this struggle, cities </w:t>
      </w:r>
      <w:r>
        <w:rPr>
          <w:rtl w:val="0"/>
          <w:lang w:val="en-US"/>
        </w:rPr>
        <w:t>such as Tyre, Ga</w:t>
      </w:r>
      <w:r>
        <w:rPr>
          <w:rtl w:val="0"/>
          <w:lang w:val="en-US"/>
        </w:rPr>
        <w:t>z</w:t>
      </w:r>
      <w:r>
        <w:rPr>
          <w:rtl w:val="0"/>
          <w:lang w:val="en-US"/>
        </w:rPr>
        <w:t>a and earlier Sidon</w:t>
      </w:r>
      <w:r>
        <w:rPr>
          <w:rtl w:val="0"/>
          <w:lang w:val="en-US"/>
        </w:rPr>
        <w:t xml:space="preserve"> were rebuilt. Palestinian cities</w:t>
      </w:r>
      <w:r>
        <w:rPr>
          <w:rtl w:val="0"/>
          <w:lang w:val="en-US"/>
        </w:rPr>
        <w:t xml:space="preserve">’ </w:t>
      </w:r>
      <w:r>
        <w:rPr>
          <w:rtl w:val="0"/>
          <w:lang w:val="en-US"/>
        </w:rPr>
        <w:t xml:space="preserve">walls were remade. </w:t>
      </w:r>
      <w:r>
        <w:rPr>
          <w:rtl w:val="0"/>
          <w:lang w:val="en-US"/>
        </w:rPr>
        <w:t xml:space="preserve">The Ptolemaic province was a modestly urbanised land with few towns and a couple of cities, such as </w:t>
      </w:r>
      <w:r>
        <w:rPr>
          <w:rtl w:val="0"/>
          <w:lang w:val="en-US"/>
        </w:rPr>
        <w:t xml:space="preserve">Gaza and Ake </w:t>
      </w:r>
      <w:r>
        <w:rPr>
          <w:rtl w:val="0"/>
          <w:lang w:val="en-US"/>
        </w:rPr>
        <w:t>on the South coast, few other cities in Phoenicia and some other market centres in the interior of the province, such as Samaria and Jerusalem, which were not of the size of Damascus, but of considerable size</w:t>
      </w:r>
      <w:r>
        <w:rPr>
          <w:rtl w:val="0"/>
          <w:lang w:val="en-US"/>
        </w:rPr>
        <w:t xml:space="preserve">. Other towns were Byblos and Tripolis. It is assumed that Ptolemy governed towns towards the East to the dessert, including Damascus, but there is no evidence of this during the reign of Ptolemy I. Other towns in the East that the Ptolemies commanded were </w:t>
      </w:r>
      <w:r>
        <w:rPr>
          <w:rtl w:val="0"/>
          <w:lang w:val="en-US"/>
        </w:rPr>
        <w:t>Abila, Pella, two Gadaras, Gerasa, Rabbat</w:t>
      </w:r>
      <w:r>
        <w:rPr>
          <w:rtl w:val="0"/>
          <w:lang w:val="en-US"/>
        </w:rPr>
        <w:t>,</w:t>
      </w:r>
      <w:r>
        <w:rPr>
          <w:rtl w:val="0"/>
          <w:lang w:val="en-US"/>
        </w:rPr>
        <w:t xml:space="preserve"> Amana</w:t>
      </w:r>
      <w:r>
        <w:rPr>
          <w:rtl w:val="0"/>
          <w:lang w:val="en-US"/>
        </w:rPr>
        <w:t xml:space="preserve"> and</w:t>
      </w:r>
      <w:r>
        <w:rPr>
          <w:rtl w:val="0"/>
          <w:lang w:val="en-US"/>
        </w:rPr>
        <w:t xml:space="preserve"> Hesbon</w:t>
      </w:r>
      <w:r>
        <w:rPr>
          <w:rtl w:val="0"/>
          <w:lang w:val="en-US"/>
        </w:rPr>
        <w:t>. Petra and the Nabateans wouldn't have submitted themselves to the house of Ptolemies and most probably the Nabateans had control over the dessert routes. It seems though that the Ptolemies exercised their control mostly over the coast area, from Gaza northwards, via the Via Maris, the Way of the Sea to the Fews Hills, connecting Phoenicia with Egypt. Strategically, the route from Gaza along the Palestinian coast and into the Bekaa Valley was a primordial route to be hold for defending Egypt from attack. Phoenicia was important for Ptolemy</w:t>
      </w:r>
      <w:r>
        <w:rPr>
          <w:rtl w:val="0"/>
          <w:lang w:val="en-US"/>
        </w:rPr>
        <w:t>’</w:t>
      </w:r>
      <w:r>
        <w:rPr>
          <w:rtl w:val="0"/>
          <w:lang w:val="en-US"/>
        </w:rPr>
        <w:t>s naval fleet building. It was a source for wood which the boats were built from</w:t>
      </w:r>
      <w:r>
        <w:rPr>
          <w:vertAlign w:val="superscript"/>
        </w:rPr>
        <w:footnoteReference w:id="24"/>
      </w:r>
      <w:r>
        <w:rPr>
          <w:rtl w:val="0"/>
          <w:lang w:val="en-US"/>
        </w:rPr>
        <w:t xml:space="preserve">. </w:t>
      </w:r>
      <w:r>
        <w:rPr>
          <w:rtl w:val="0"/>
          <w:lang w:val="en-US"/>
        </w:rPr>
        <w:t>Some of the navy</w:t>
      </w:r>
      <w:r>
        <w:rPr>
          <w:rtl w:val="0"/>
          <w:lang w:val="en-US"/>
        </w:rPr>
        <w:t>’</w:t>
      </w:r>
      <w:r>
        <w:rPr>
          <w:rtl w:val="0"/>
          <w:lang w:val="en-US"/>
        </w:rPr>
        <w:t xml:space="preserve">s main captains were Phoenicians, such as the case of Pyrgoteles. </w:t>
      </w:r>
      <w:r>
        <w:rPr>
          <w:rtl w:val="0"/>
          <w:lang w:val="en-US"/>
        </w:rPr>
        <w:t>The source of these materials and human skills might have also been behind Ptolemy</w:t>
      </w:r>
      <w:r>
        <w:rPr>
          <w:rtl w:val="0"/>
          <w:lang w:val="en-US"/>
        </w:rPr>
        <w:t>’</w:t>
      </w:r>
      <w:r>
        <w:rPr>
          <w:rtl w:val="0"/>
          <w:lang w:val="en-US"/>
        </w:rPr>
        <w:t>s interest in Syria. South Syria was therefore richer than the North, largely more settled and organised</w:t>
      </w:r>
      <w:r>
        <w:rPr>
          <w:vertAlign w:val="superscript"/>
        </w:rPr>
        <w:footnoteReference w:id="25"/>
      </w:r>
      <w:r>
        <w:rPr>
          <w:rtl w:val="0"/>
          <w:lang w:val="en-US"/>
        </w:rPr>
        <w:t>. Seleukus I though worked on building towns, with large-scale migrations from Macedonia and Greece being encouraged and aiming at populating the North</w:t>
      </w:r>
      <w:r>
        <w:rPr>
          <w:vertAlign w:val="superscript"/>
        </w:rPr>
        <w:footnoteReference w:id="26"/>
      </w:r>
      <w:r>
        <w:rPr>
          <w:rtl w:val="0"/>
          <w:lang w:val="en-US"/>
        </w:rPr>
        <w:t xml:space="preserve">. </w:t>
      </w:r>
    </w:p>
    <w:p>
      <w:pPr>
        <w:pStyle w:val="justify"/>
        <w:spacing w:line="360" w:lineRule="auto"/>
        <w:jc w:val="both"/>
      </w:pPr>
    </w:p>
    <w:p>
      <w:pPr>
        <w:pStyle w:val="justify"/>
        <w:spacing w:line="360" w:lineRule="auto"/>
        <w:jc w:val="both"/>
      </w:pPr>
      <w:r>
        <w:rPr>
          <w:rtl w:val="0"/>
          <w:lang w:val="en-US"/>
        </w:rPr>
        <w:t>The Ptolemies proclaimed their victories against the Seleukids as the ancient Egyptians  and Greeks did, presenting the non-ending fulfilment of traditional resentment, the conflict against Persia. This publicity boasted legitimacy and popularity within their region and in neighbour areas. For instance, boasted on a stele of Pithom, we find Ptolemy II restoring during the First Syrian War Egyptian statues. In the context of their struggle against the Seleukids, the Ptolemies grasped the benefits they could draw from the ideological and political demands of Egypt, by for example emphasising the return of Egyptian sacred statues to Egypt</w:t>
      </w:r>
      <w:r>
        <w:rPr>
          <w:vertAlign w:val="superscript"/>
        </w:rPr>
        <w:footnoteReference w:id="27"/>
      </w:r>
      <w:r>
        <w:rPr>
          <w:rtl w:val="0"/>
          <w:lang w:val="en-US"/>
        </w:rPr>
        <w:t xml:space="preserve">. </w:t>
      </w:r>
      <w:r>
        <w:rPr>
          <w:rtl w:val="0"/>
          <w:lang w:val="en-US"/>
        </w:rPr>
        <w:t xml:space="preserve">Women parading in the </w:t>
      </w:r>
      <w:r>
        <w:rPr>
          <w:i w:val="1"/>
          <w:iCs w:val="1"/>
          <w:rtl w:val="0"/>
          <w:lang w:val="en-US"/>
        </w:rPr>
        <w:t>P</w:t>
      </w:r>
      <w:r>
        <w:rPr>
          <w:i w:val="1"/>
          <w:iCs w:val="1"/>
          <w:rtl w:val="0"/>
          <w:lang w:val="en-US"/>
        </w:rPr>
        <w:t>omp</w:t>
      </w:r>
      <w:r>
        <w:rPr>
          <w:i w:val="1"/>
          <w:iCs w:val="1"/>
          <w:rtl w:val="0"/>
          <w:lang w:val="en-US"/>
        </w:rPr>
        <w:t>ê</w:t>
      </w:r>
      <w:r>
        <w:rPr>
          <w:rtl w:val="0"/>
          <w:lang w:val="en-US"/>
        </w:rPr>
        <w:t xml:space="preserve"> appeared as being liberated from Persian domination</w:t>
      </w:r>
      <w:r>
        <w:rPr>
          <w:vertAlign w:val="superscript"/>
        </w:rPr>
        <w:footnoteReference w:id="28"/>
      </w:r>
      <w:r>
        <w:rPr>
          <w:rtl w:val="0"/>
          <w:lang w:val="en-US"/>
        </w:rPr>
        <w:t xml:space="preserve">. </w:t>
      </w:r>
      <w:r>
        <w:rPr>
          <w:rtl w:val="0"/>
          <w:lang w:val="en-US"/>
        </w:rPr>
        <w:t xml:space="preserve">Philadelphus power resided on this sense of Greekness and at the same time of inclusion with Ancient Egypt, projecting an image of identity, which neighbour areas could identify with. Ptolemy </w:t>
      </w:r>
      <w:r>
        <w:rPr>
          <w:rtl w:val="0"/>
          <w:lang w:val="en-US"/>
        </w:rPr>
        <w:t xml:space="preserve">played </w:t>
      </w:r>
      <w:r>
        <w:rPr>
          <w:rtl w:val="0"/>
          <w:lang w:val="en-US"/>
        </w:rPr>
        <w:t xml:space="preserve">a big </w:t>
      </w:r>
      <w:r>
        <w:rPr>
          <w:rtl w:val="0"/>
          <w:lang w:val="en-US"/>
        </w:rPr>
        <w:t xml:space="preserve">role in introducing the </w:t>
      </w:r>
      <w:r>
        <w:rPr>
          <w:rtl w:val="0"/>
          <w:lang w:val="en-US"/>
        </w:rPr>
        <w:t>R</w:t>
      </w:r>
      <w:r>
        <w:rPr>
          <w:rtl w:val="0"/>
          <w:lang w:val="en-US"/>
        </w:rPr>
        <w:t>uler</w:t>
      </w:r>
      <w:r>
        <w:rPr>
          <w:rtl w:val="0"/>
          <w:lang w:val="en-US"/>
        </w:rPr>
        <w:t>-</w:t>
      </w:r>
      <w:r>
        <w:rPr>
          <w:rtl w:val="0"/>
          <w:lang w:val="en-US"/>
        </w:rPr>
        <w:t>cult as a foreign policy measure.</w:t>
      </w:r>
      <w:r>
        <w:rPr>
          <w:rtl w:val="0"/>
          <w:lang w:val="en-US"/>
        </w:rPr>
        <w:t xml:space="preserve"> He was provably responsible for bringing the name of Soter, saviour, appointed to his father. He supported the cult of Arsinoe II as protector of sailors and </w:t>
      </w:r>
      <w:r>
        <w:rPr>
          <w:rtl w:val="0"/>
          <w:lang w:val="en-US"/>
        </w:rPr>
        <w:t>guarantor of the monarchy</w:t>
      </w:r>
      <w:r>
        <w:rPr>
          <w:rtl w:val="0"/>
          <w:lang w:val="en-US"/>
        </w:rPr>
        <w:t>’</w:t>
      </w:r>
      <w:r>
        <w:rPr>
          <w:rtl w:val="0"/>
          <w:lang w:val="en-US"/>
        </w:rPr>
        <w:t>s prosperity</w:t>
      </w:r>
      <w:r>
        <w:rPr>
          <w:rtl w:val="0"/>
          <w:lang w:val="en-US"/>
        </w:rPr>
        <w:t>. The Queen was depicted as goddess of prosperity, projecting this image of richness throughout the Greek world</w:t>
      </w:r>
      <w:r>
        <w:rPr>
          <w:vertAlign w:val="superscript"/>
        </w:rPr>
        <w:footnoteReference w:id="29"/>
      </w:r>
      <w:r>
        <w:rPr>
          <w:rtl w:val="0"/>
          <w:lang w:val="en-US"/>
        </w:rPr>
        <w:t xml:space="preserve">. He also implemented festivals, such as the </w:t>
      </w:r>
      <w:r>
        <w:rPr>
          <w:i w:val="1"/>
          <w:iCs w:val="1"/>
          <w:rtl w:val="0"/>
          <w:lang w:val="en-US"/>
        </w:rPr>
        <w:t>Ptolemaia</w:t>
      </w:r>
      <w:r>
        <w:rPr>
          <w:rtl w:val="0"/>
          <w:lang w:val="en-US"/>
        </w:rPr>
        <w:t xml:space="preserve">, </w:t>
      </w:r>
      <w:r>
        <w:rPr>
          <w:rtl w:val="0"/>
          <w:lang w:val="en-US"/>
        </w:rPr>
        <w:t xml:space="preserve">as vehicles of dynastic </w:t>
      </w:r>
      <w:r>
        <w:rPr>
          <w:rtl w:val="0"/>
          <w:lang w:val="en-US"/>
        </w:rPr>
        <w:t xml:space="preserve">ideology and </w:t>
      </w:r>
      <w:r>
        <w:rPr>
          <w:rtl w:val="0"/>
          <w:lang w:val="en-US"/>
        </w:rPr>
        <w:t xml:space="preserve">propaganda and </w:t>
      </w:r>
      <w:r>
        <w:rPr>
          <w:rtl w:val="0"/>
          <w:lang w:val="en-US"/>
        </w:rPr>
        <w:t xml:space="preserve">as </w:t>
      </w:r>
      <w:r>
        <w:rPr>
          <w:rtl w:val="0"/>
          <w:lang w:val="en-US"/>
        </w:rPr>
        <w:t xml:space="preserve">a means to popularise </w:t>
      </w:r>
      <w:r>
        <w:rPr>
          <w:rtl w:val="0"/>
          <w:lang w:val="en-US"/>
        </w:rPr>
        <w:t xml:space="preserve">dynastic divine </w:t>
      </w:r>
      <w:r>
        <w:rPr>
          <w:rtl w:val="0"/>
          <w:lang w:val="en-US"/>
        </w:rPr>
        <w:t>cult</w:t>
      </w:r>
      <w:r>
        <w:rPr>
          <w:rtl w:val="0"/>
          <w:lang w:val="en-US"/>
        </w:rPr>
        <w:t>s</w:t>
      </w:r>
      <w:r>
        <w:rPr>
          <w:rtl w:val="0"/>
          <w:lang w:val="en-US"/>
        </w:rPr>
        <w:t xml:space="preserve">. </w:t>
      </w:r>
      <w:r>
        <w:rPr>
          <w:rtl w:val="0"/>
          <w:lang w:val="en-US"/>
        </w:rPr>
        <w:t xml:space="preserve">He propagated those cults internally and externally, receiving support from some Aegean Islands and Greek poleis wanting to have some sort of relation with the Lagids, so to benefit from its trade, protection and therefore for survival. </w:t>
      </w:r>
    </w:p>
    <w:p>
      <w:pPr>
        <w:pStyle w:val="justify"/>
        <w:spacing w:line="360" w:lineRule="auto"/>
        <w:jc w:val="both"/>
      </w:pPr>
    </w:p>
    <w:p>
      <w:pPr>
        <w:pStyle w:val="justify"/>
        <w:spacing w:line="360" w:lineRule="auto"/>
        <w:jc w:val="both"/>
        <w:rPr/>
      </w:pPr>
      <w:r>
        <w:rPr>
          <w:rtl w:val="0"/>
          <w:lang w:val="en-US"/>
        </w:rPr>
        <w:t>The development of notions of legitimacy for government in the Hellenistic world was though complicated due to difficulties such as leaders having to project their right to govern in conquered areas, or due to the intervention of foreign powers into each other</w:t>
      </w:r>
      <w:r>
        <w:rPr>
          <w:rtl w:val="0"/>
          <w:lang w:val="en-US"/>
        </w:rPr>
        <w:t>’</w:t>
      </w:r>
      <w:r>
        <w:rPr>
          <w:rtl w:val="0"/>
          <w:lang w:val="en-US"/>
        </w:rPr>
        <w:t xml:space="preserve">s politics, especially the intervention of the Antigonids, </w:t>
      </w:r>
      <w:r>
        <w:rPr>
          <w:rtl w:val="0"/>
          <w:lang w:val="en-US"/>
        </w:rPr>
        <w:t>Ptolemies and Seleukids. Each house attempted to</w:t>
      </w:r>
      <w:r>
        <w:rPr>
          <w:rtl w:val="0"/>
          <w:lang w:val="en-US"/>
        </w:rPr>
        <w:t xml:space="preserve"> connect themselves to their Macedonian </w:t>
      </w:r>
      <w:r>
        <w:rPr>
          <w:rtl w:val="0"/>
          <w:lang w:val="en-US"/>
        </w:rPr>
        <w:t xml:space="preserve">and Greek </w:t>
      </w:r>
      <w:r>
        <w:rPr>
          <w:rtl w:val="0"/>
          <w:lang w:val="en-US"/>
        </w:rPr>
        <w:t>ancestors, to divinities such as Zeus or Apollo</w:t>
      </w:r>
      <w:r>
        <w:rPr>
          <w:rtl w:val="0"/>
          <w:lang w:val="en-US"/>
        </w:rPr>
        <w:t>, to support their legitimacy to reign</w:t>
      </w:r>
      <w:r>
        <w:rPr>
          <w:rtl w:val="0"/>
          <w:lang w:val="en-US"/>
        </w:rPr>
        <w:t>. As an example, Seleu</w:t>
      </w:r>
      <w:r>
        <w:rPr>
          <w:rtl w:val="0"/>
          <w:lang w:val="en-US"/>
        </w:rPr>
        <w:t>k</w:t>
      </w:r>
      <w:r>
        <w:rPr>
          <w:rtl w:val="0"/>
          <w:lang w:val="en-US"/>
        </w:rPr>
        <w:t xml:space="preserve">us I, who connected himself to the Argeads and attempted to link his wife Apama to the Persians. </w:t>
      </w:r>
      <w:r>
        <w:rPr>
          <w:rtl w:val="0"/>
          <w:lang w:val="en-US"/>
        </w:rPr>
        <w:t>Due to</w:t>
      </w:r>
      <w:r>
        <w:rPr>
          <w:rtl w:val="0"/>
          <w:lang w:val="en-US"/>
        </w:rPr>
        <w:t xml:space="preserve"> this marriage they built two cities, Seleucia and Apamea, facing each other across the Euphrates at Zeugma. </w:t>
      </w:r>
    </w:p>
    <w:p>
      <w:pPr>
        <w:pStyle w:val="justify"/>
        <w:spacing w:line="360" w:lineRule="auto"/>
        <w:jc w:val="both"/>
        <w:rPr/>
      </w:pPr>
    </w:p>
    <w:p>
      <w:pPr>
        <w:pStyle w:val="justify"/>
        <w:spacing w:line="360" w:lineRule="auto"/>
        <w:jc w:val="both"/>
        <w:rPr>
          <w:color w:val="000000"/>
        </w:rPr>
      </w:pPr>
      <w:r>
        <w:rPr>
          <w:rtl w:val="0"/>
          <w:lang w:val="en-US"/>
        </w:rPr>
        <w:t xml:space="preserve">Theocritus in his </w:t>
      </w:r>
      <w:r>
        <w:rPr>
          <w:rtl w:val="0"/>
          <w:lang w:val="en-US"/>
        </w:rPr>
        <w:t>Idyll 14</w:t>
      </w:r>
      <w:r>
        <w:rPr>
          <w:rtl w:val="0"/>
          <w:lang w:val="en-US"/>
        </w:rPr>
        <w:t>, mentions that the difference between Ptolemy II and Ptolemy I was that the former bounded his power on the representation and extent of the realm of authority, so his control went beyond, by creating means to link individuals from both inside and outside Egypt to his family and to himself</w:t>
      </w:r>
      <w:r>
        <w:rPr>
          <w:vertAlign w:val="superscript"/>
        </w:rPr>
        <w:footnoteReference w:id="30"/>
      </w:r>
      <w:r>
        <w:rPr>
          <w:rtl w:val="0"/>
          <w:lang w:val="en-US"/>
        </w:rPr>
        <w:t xml:space="preserve">. He gave a dynastic dimension to his kingdom, using channels typical of Hellenism such as art and religion. </w:t>
      </w:r>
      <w:r>
        <w:rPr>
          <w:rtl w:val="0"/>
          <w:lang w:val="en-US"/>
        </w:rPr>
        <w:t>Divine cults started with Alexandria</w:t>
      </w:r>
      <w:r>
        <w:rPr>
          <w:rtl w:val="0"/>
          <w:lang w:val="en-US"/>
        </w:rPr>
        <w:t>’</w:t>
      </w:r>
      <w:r>
        <w:rPr>
          <w:rtl w:val="0"/>
          <w:lang w:val="en-US"/>
        </w:rPr>
        <w:t>s cult of Alexander the Great, followed by Ptolemy II</w:t>
      </w:r>
      <w:r>
        <w:rPr>
          <w:rtl w:val="0"/>
          <w:lang w:val="en-US"/>
        </w:rPr>
        <w:t>’</w:t>
      </w:r>
      <w:r>
        <w:rPr>
          <w:rtl w:val="0"/>
          <w:lang w:val="en-US"/>
        </w:rPr>
        <w:t>s implementation of his father and mother cult, foll</w:t>
      </w:r>
      <w:r>
        <w:rPr>
          <w:rtl w:val="0"/>
          <w:lang w:val="en-US"/>
        </w:rPr>
        <w:t>owed by the cult of Arsinoe II and of himself as the sister and brother loving siblings. The Aegean Islands occupied an important and strategic place for the Hellenistic states and to have control over them was essential for Egypt</w:t>
      </w:r>
      <w:r>
        <w:rPr>
          <w:rtl w:val="0"/>
          <w:lang w:val="en-US"/>
        </w:rPr>
        <w:t>’</w:t>
      </w:r>
      <w:r>
        <w:rPr>
          <w:rtl w:val="0"/>
          <w:lang w:val="en-US"/>
        </w:rPr>
        <w:t>s protection. The cults around Arsinoe II aimed at securing Egypt</w:t>
      </w:r>
      <w:r>
        <w:rPr>
          <w:rtl w:val="0"/>
          <w:lang w:val="en-US"/>
        </w:rPr>
        <w:t>’</w:t>
      </w:r>
      <w:r>
        <w:rPr>
          <w:rtl w:val="0"/>
          <w:lang w:val="en-US"/>
        </w:rPr>
        <w:t>s borders and at protecting its land against Ptolemy</w:t>
      </w:r>
      <w:r>
        <w:rPr>
          <w:rtl w:val="0"/>
          <w:lang w:val="en-US"/>
        </w:rPr>
        <w:t>’</w:t>
      </w:r>
      <w:r>
        <w:rPr>
          <w:rtl w:val="0"/>
          <w:lang w:val="en-US"/>
        </w:rPr>
        <w:t xml:space="preserve">s ferocious enemies. Some of the Aegean Islands introduced festivals and cults to Arsinoe II, such as the </w:t>
      </w:r>
      <w:r>
        <w:rPr>
          <w:i w:val="1"/>
          <w:iCs w:val="1"/>
          <w:color w:val="000000"/>
          <w:rtl w:val="0"/>
          <w:lang w:val="en-US"/>
        </w:rPr>
        <w:t>Philadelpheia</w:t>
      </w:r>
      <w:r>
        <w:rPr>
          <w:color w:val="000000"/>
          <w:rtl w:val="0"/>
          <w:lang w:val="en-US"/>
        </w:rPr>
        <w:t xml:space="preserve"> festival, </w:t>
      </w:r>
      <w:r>
        <w:rPr>
          <w:color w:val="000000"/>
          <w:rtl w:val="0"/>
          <w:lang w:val="en-US"/>
        </w:rPr>
        <w:t xml:space="preserve">devoted </w:t>
      </w:r>
      <w:r>
        <w:rPr>
          <w:color w:val="000000"/>
          <w:rtl w:val="0"/>
          <w:lang w:val="en-US"/>
        </w:rPr>
        <w:t>also to</w:t>
      </w:r>
      <w:r>
        <w:rPr>
          <w:color w:val="000000"/>
          <w:rtl w:val="0"/>
          <w:lang w:val="en-US"/>
        </w:rPr>
        <w:t xml:space="preserve"> Apollo, Artemis, and Leto. </w:t>
      </w:r>
      <w:r>
        <w:rPr>
          <w:color w:val="000000"/>
          <w:rtl w:val="0"/>
          <w:lang w:val="en-US"/>
        </w:rPr>
        <w:t>A</w:t>
      </w:r>
      <w:r>
        <w:rPr>
          <w:color w:val="000000"/>
          <w:rtl w:val="0"/>
          <w:lang w:val="en-US"/>
        </w:rPr>
        <w:t xml:space="preserve"> </w:t>
      </w:r>
      <w:r>
        <w:rPr>
          <w:color w:val="000000"/>
          <w:rtl w:val="0"/>
          <w:lang w:val="en-US"/>
        </w:rPr>
        <w:t xml:space="preserve">temple named </w:t>
      </w:r>
      <w:r>
        <w:rPr>
          <w:i w:val="1"/>
          <w:iCs w:val="1"/>
          <w:color w:val="000000"/>
          <w:rtl w:val="0"/>
          <w:lang w:val="en-US"/>
        </w:rPr>
        <w:t>Philadelpheion</w:t>
      </w:r>
      <w:r>
        <w:rPr>
          <w:color w:val="000000"/>
          <w:rtl w:val="0"/>
          <w:lang w:val="en-US"/>
        </w:rPr>
        <w:t xml:space="preserve"> was </w:t>
      </w:r>
      <w:r>
        <w:rPr>
          <w:color w:val="000000"/>
          <w:rtl w:val="0"/>
          <w:lang w:val="en-US"/>
        </w:rPr>
        <w:t xml:space="preserve">also </w:t>
      </w:r>
      <w:r>
        <w:rPr>
          <w:color w:val="000000"/>
          <w:rtl w:val="0"/>
          <w:lang w:val="en-US"/>
        </w:rPr>
        <w:t>erected</w:t>
      </w:r>
      <w:r>
        <w:rPr>
          <w:color w:val="000000"/>
          <w:rtl w:val="0"/>
          <w:lang w:val="en-US"/>
        </w:rPr>
        <w:t xml:space="preserve">. </w:t>
      </w:r>
      <w:r>
        <w:rPr>
          <w:color w:val="000000"/>
          <w:rtl w:val="0"/>
          <w:lang w:val="en-US"/>
        </w:rPr>
        <w:t xml:space="preserve">The festival of </w:t>
      </w:r>
      <w:r>
        <w:rPr>
          <w:i w:val="1"/>
          <w:iCs w:val="1"/>
          <w:color w:val="000000"/>
          <w:rtl w:val="0"/>
          <w:lang w:val="en-US"/>
        </w:rPr>
        <w:t>Arsinoeia</w:t>
      </w:r>
      <w:r>
        <w:rPr>
          <w:color w:val="000000"/>
          <w:rtl w:val="0"/>
          <w:lang w:val="en-US"/>
        </w:rPr>
        <w:t xml:space="preserve"> was </w:t>
      </w:r>
      <w:r>
        <w:rPr>
          <w:color w:val="000000"/>
          <w:rtl w:val="0"/>
          <w:lang w:val="en-US"/>
        </w:rPr>
        <w:t>introduced at</w:t>
      </w:r>
      <w:r>
        <w:rPr>
          <w:color w:val="000000"/>
          <w:rtl w:val="0"/>
          <w:lang w:val="en-US"/>
        </w:rPr>
        <w:t xml:space="preserve"> Thera</w:t>
      </w:r>
      <w:r>
        <w:rPr>
          <w:color w:val="000000"/>
          <w:rtl w:val="0"/>
          <w:lang w:val="en-US"/>
        </w:rPr>
        <w:t>. Beautiful carved s</w:t>
      </w:r>
      <w:r>
        <w:rPr>
          <w:color w:val="000000"/>
          <w:rtl w:val="0"/>
          <w:lang w:val="en-US"/>
        </w:rPr>
        <w:t>labs with inscriptions</w:t>
      </w:r>
      <w:r>
        <w:rPr>
          <w:color w:val="000000"/>
          <w:rtl w:val="0"/>
          <w:lang w:val="en-US"/>
        </w:rPr>
        <w:t xml:space="preserve"> </w:t>
      </w:r>
      <w:r>
        <w:rPr>
          <w:color w:val="000000"/>
          <w:rtl w:val="0"/>
          <w:lang w:val="en-US"/>
        </w:rPr>
        <w:t xml:space="preserve">and fragments of altars </w:t>
      </w:r>
      <w:r>
        <w:rPr>
          <w:color w:val="000000"/>
          <w:rtl w:val="0"/>
          <w:lang w:val="en-US"/>
        </w:rPr>
        <w:t xml:space="preserve">were </w:t>
      </w:r>
      <w:r>
        <w:rPr>
          <w:color w:val="000000"/>
          <w:rtl w:val="0"/>
          <w:lang w:val="en-US"/>
        </w:rPr>
        <w:t>devoted t</w:t>
      </w:r>
      <w:r>
        <w:rPr>
          <w:color w:val="000000"/>
          <w:rtl w:val="0"/>
          <w:lang w:val="en-US"/>
        </w:rPr>
        <w:t>o Arsinoe</w:t>
      </w:r>
      <w:r>
        <w:rPr>
          <w:color w:val="000000"/>
          <w:rtl w:val="0"/>
          <w:lang w:val="en-US"/>
        </w:rPr>
        <w:t xml:space="preserve"> </w:t>
      </w:r>
      <w:r>
        <w:rPr>
          <w:color w:val="000000"/>
          <w:rtl w:val="0"/>
          <w:lang w:val="en-US"/>
        </w:rPr>
        <w:t>at</w:t>
      </w:r>
      <w:r>
        <w:rPr>
          <w:color w:val="000000"/>
          <w:rtl w:val="0"/>
          <w:lang w:val="en-US"/>
        </w:rPr>
        <w:t xml:space="preserve"> Delos and </w:t>
      </w:r>
      <w:r>
        <w:rPr>
          <w:color w:val="000000"/>
          <w:rtl w:val="0"/>
          <w:lang w:val="en-US"/>
        </w:rPr>
        <w:t xml:space="preserve">at </w:t>
      </w:r>
      <w:r>
        <w:rPr>
          <w:color w:val="000000"/>
          <w:rtl w:val="0"/>
          <w:lang w:val="en-US"/>
        </w:rPr>
        <w:t xml:space="preserve">Thera, as well as </w:t>
      </w:r>
      <w:r>
        <w:rPr>
          <w:color w:val="000000"/>
          <w:rtl w:val="0"/>
          <w:lang w:val="en-US"/>
        </w:rPr>
        <w:t xml:space="preserve">in </w:t>
      </w:r>
      <w:r>
        <w:rPr>
          <w:color w:val="000000"/>
          <w:rtl w:val="0"/>
          <w:lang w:val="en-US"/>
        </w:rPr>
        <w:t>Amorgos, Lesbos, and Paro</w:t>
      </w:r>
      <w:r>
        <w:rPr>
          <w:color w:val="000000"/>
          <w:rtl w:val="0"/>
          <w:lang w:val="en-US"/>
        </w:rPr>
        <w:t>s. Another</w:t>
      </w:r>
      <w:r>
        <w:rPr>
          <w:color w:val="000000"/>
          <w:rtl w:val="0"/>
          <w:lang w:val="en-US"/>
        </w:rPr>
        <w:t xml:space="preserve"> cult of Arsinoe was introduced on the island of Kos</w:t>
      </w:r>
      <w:r>
        <w:rPr>
          <w:color w:val="000000"/>
          <w:rtl w:val="0"/>
          <w:lang w:val="en-US"/>
        </w:rPr>
        <w:t>. A</w:t>
      </w:r>
      <w:r>
        <w:rPr>
          <w:color w:val="000000"/>
          <w:rtl w:val="0"/>
          <w:lang w:val="en-US"/>
        </w:rPr>
        <w:t xml:space="preserve"> cult of Arsinoe Philadelphos</w:t>
      </w:r>
      <w:r>
        <w:rPr>
          <w:color w:val="000000"/>
          <w:rtl w:val="0"/>
          <w:lang w:val="en-US"/>
        </w:rPr>
        <w:t xml:space="preserve"> is </w:t>
      </w:r>
      <w:r>
        <w:rPr>
          <w:color w:val="000000"/>
          <w:rtl w:val="0"/>
          <w:lang w:val="en-US"/>
        </w:rPr>
        <w:t>attested in Cyprus, which was the main centre of the cult of Aphrodite</w:t>
      </w:r>
      <w:r>
        <w:rPr>
          <w:color w:val="000000"/>
          <w:rtl w:val="0"/>
          <w:lang w:val="en-US"/>
        </w:rPr>
        <w:t>. All these cultic festivals in the Aegean were surely not just supported by the Ptolemies but encouraged by the Islands themselves. Foundations and re-foundations of settlements in ports supported the Egyptian policy of having control of the Asian coast in the Aegean and the navigation routes</w:t>
      </w:r>
      <w:r>
        <w:rPr>
          <w:color w:val="000000"/>
          <w:vertAlign w:val="superscript"/>
        </w:rPr>
        <w:footnoteReference w:id="31"/>
      </w:r>
      <w:r>
        <w:rPr>
          <w:color w:val="000000"/>
          <w:rtl w:val="0"/>
          <w:lang w:val="en-US"/>
        </w:rPr>
        <w:t xml:space="preserve"> in the Aegean and the Mediterranean, being trade and the protection from Egypt</w:t>
      </w:r>
      <w:r>
        <w:rPr>
          <w:color w:val="000000"/>
          <w:rtl w:val="0"/>
          <w:lang w:val="en-US"/>
        </w:rPr>
        <w:t>’</w:t>
      </w:r>
      <w:r>
        <w:rPr>
          <w:color w:val="000000"/>
          <w:rtl w:val="0"/>
          <w:lang w:val="en-US"/>
        </w:rPr>
        <w:t>s foes main reasons for those foundations.</w:t>
      </w:r>
    </w:p>
    <w:p>
      <w:pPr>
        <w:pStyle w:val="justify"/>
        <w:spacing w:line="360" w:lineRule="auto"/>
        <w:jc w:val="both"/>
        <w:rPr>
          <w:color w:val="000000"/>
        </w:rPr>
      </w:pPr>
    </w:p>
    <w:p>
      <w:pPr>
        <w:pStyle w:val="justify"/>
        <w:spacing w:line="360" w:lineRule="auto"/>
        <w:jc w:val="both"/>
      </w:pPr>
      <w:r>
        <w:rPr>
          <w:rtl w:val="0"/>
          <w:lang w:val="en-US"/>
        </w:rPr>
        <w:t xml:space="preserve">Another characteristic of the reigns of the Ptolemies and the Seleukids was dyarchism. Royal dyarchy cases though are found not just in the houses of the Ptolemies and the Seleukids, but also in the houses of the </w:t>
      </w:r>
      <w:r>
        <w:rPr>
          <w:rtl w:val="0"/>
          <w:lang w:val="en-US"/>
        </w:rPr>
        <w:t>Attalid</w:t>
      </w:r>
      <w:r>
        <w:rPr>
          <w:rtl w:val="0"/>
          <w:lang w:val="en-US"/>
        </w:rPr>
        <w:t>s</w:t>
      </w:r>
      <w:r>
        <w:rPr>
          <w:rtl w:val="0"/>
          <w:lang w:val="en-US"/>
        </w:rPr>
        <w:t xml:space="preserve">, </w:t>
      </w:r>
      <w:r>
        <w:rPr>
          <w:rtl w:val="0"/>
          <w:lang w:val="en-US"/>
        </w:rPr>
        <w:t xml:space="preserve">the </w:t>
      </w:r>
      <w:r>
        <w:rPr>
          <w:rtl w:val="0"/>
          <w:lang w:val="en-US"/>
        </w:rPr>
        <w:t>Antigonid</w:t>
      </w:r>
      <w:r>
        <w:rPr>
          <w:rtl w:val="0"/>
          <w:lang w:val="en-US"/>
        </w:rPr>
        <w:t>s</w:t>
      </w:r>
      <w:r>
        <w:rPr>
          <w:rtl w:val="0"/>
          <w:lang w:val="en-US"/>
        </w:rPr>
        <w:t xml:space="preserve">, and </w:t>
      </w:r>
      <w:r>
        <w:rPr>
          <w:rtl w:val="0"/>
          <w:lang w:val="en-US"/>
        </w:rPr>
        <w:t>other Graeco-Bactrian</w:t>
      </w:r>
      <w:r>
        <w:rPr>
          <w:rtl w:val="0"/>
          <w:lang w:val="en-US"/>
        </w:rPr>
        <w:t xml:space="preserve"> states</w:t>
      </w:r>
      <w:r>
        <w:rPr>
          <w:vertAlign w:val="superscript"/>
        </w:rPr>
        <w:footnoteReference w:id="32"/>
      </w:r>
      <w:r>
        <w:rPr>
          <w:rtl w:val="0"/>
          <w:lang w:val="en-US"/>
        </w:rPr>
        <w:t>. The culture of father-son dyarchy appeared when Seleukus I decided to co-reign with his own son Antiochus I. This dyarchy was part of Nikator</w:t>
      </w:r>
      <w:r>
        <w:rPr>
          <w:rtl w:val="0"/>
          <w:lang w:val="en-US"/>
        </w:rPr>
        <w:t>’</w:t>
      </w:r>
      <w:r>
        <w:rPr>
          <w:rtl w:val="0"/>
          <w:lang w:val="en-US"/>
        </w:rPr>
        <w:t>s attempt to avert an amphimetric dispute</w:t>
      </w:r>
      <w:r>
        <w:rPr>
          <w:vertAlign w:val="superscript"/>
        </w:rPr>
        <w:footnoteReference w:id="33"/>
      </w:r>
      <w:r>
        <w:rPr>
          <w:rtl w:val="0"/>
          <w:lang w:val="en-US"/>
        </w:rPr>
        <w:t>. Dyarchism though might have started even earlier, when Antigonos and Demetrius became co-kings in Macedon in 306 BC</w:t>
      </w:r>
      <w:r>
        <w:rPr>
          <w:vertAlign w:val="superscript"/>
        </w:rPr>
        <w:footnoteReference w:id="34"/>
      </w:r>
      <w:r>
        <w:rPr>
          <w:rtl w:val="0"/>
          <w:lang w:val="en-US"/>
        </w:rPr>
        <w:t>. Dyarchism was often successful, especially when the two co-kings were father and son. It turned though into conflicts when kingships were occupied by men in a different relationship to each other</w:t>
      </w:r>
      <w:r>
        <w:rPr>
          <w:vertAlign w:val="superscript"/>
        </w:rPr>
        <w:footnoteReference w:id="35"/>
      </w:r>
      <w:r>
        <w:rPr>
          <w:rtl w:val="0"/>
          <w:lang w:val="en-US"/>
        </w:rPr>
        <w:t>. It was a solution Antiochus I supported and applied to avoid future losses such as the Seleukids had when his father Nikator died, when they struggled against the Galatians, in Pergamon and against the Norther league, or when Ptolemy II, taking advantage of the disorder, took Miletus and produced Seleukid</w:t>
      </w:r>
      <w:r>
        <w:rPr>
          <w:rtl w:val="0"/>
          <w:lang w:val="en-US"/>
        </w:rPr>
        <w:t>’</w:t>
      </w:r>
      <w:r>
        <w:rPr>
          <w:rtl w:val="0"/>
          <w:lang w:val="en-US"/>
        </w:rPr>
        <w:t>s territorial setbacks in Cilicia, Lycia, Pamphylia and Caria</w:t>
      </w:r>
      <w:r>
        <w:rPr>
          <w:vertAlign w:val="superscript"/>
        </w:rPr>
        <w:footnoteReference w:id="36"/>
      </w:r>
      <w:r>
        <w:rPr>
          <w:rtl w:val="0"/>
          <w:lang w:val="en-US"/>
        </w:rPr>
        <w:t xml:space="preserve">. Diarchysm was used by the house of Ptolemies, firstly implemented by Ptolemy I and son. As the Seleukids, who experienced failure with dyarchism,  the next co-kingship between Ptolemy II and his nephew ended in fiasco. The rebellious joint king named </w:t>
      </w:r>
      <w:r>
        <w:rPr>
          <w:rtl w:val="0"/>
          <w:lang w:val="en-US"/>
        </w:rPr>
        <w:t xml:space="preserve">Ptolemy </w:t>
      </w:r>
      <w:r>
        <w:rPr>
          <w:rtl w:val="0"/>
          <w:lang w:val="en-US"/>
        </w:rPr>
        <w:t>‘</w:t>
      </w:r>
      <w:r>
        <w:rPr>
          <w:rtl w:val="0"/>
          <w:lang w:val="en-US"/>
        </w:rPr>
        <w:t>the Son</w:t>
      </w:r>
      <w:r>
        <w:rPr>
          <w:rtl w:val="0"/>
          <w:lang w:val="en-US"/>
        </w:rPr>
        <w:t>’</w:t>
      </w:r>
      <w:r>
        <w:rPr>
          <w:rtl w:val="0"/>
          <w:lang w:val="en-US"/>
        </w:rPr>
        <w:t xml:space="preserve"> tried governing on his own</w:t>
      </w:r>
      <w:r>
        <w:rPr>
          <w:vertAlign w:val="superscript"/>
        </w:rPr>
        <w:footnoteReference w:id="37"/>
      </w:r>
      <w:r>
        <w:rPr>
          <w:rtl w:val="0"/>
          <w:lang w:val="en-US"/>
        </w:rPr>
        <w:t xml:space="preserve">. It seems then the system of dyarchism with time turned into disaster </w:t>
      </w:r>
      <w:r>
        <w:rPr>
          <w:rtl w:val="0"/>
          <w:lang w:val="en-US"/>
        </w:rPr>
        <w:t>in the Hellenistic world</w:t>
      </w:r>
      <w:r>
        <w:rPr>
          <w:vertAlign w:val="superscript"/>
        </w:rPr>
        <w:footnoteReference w:id="38"/>
      </w:r>
      <w:r>
        <w:rPr>
          <w:rtl w:val="0"/>
          <w:lang w:val="en-US"/>
        </w:rPr>
        <w:t>.</w:t>
      </w:r>
    </w:p>
    <w:p>
      <w:pPr>
        <w:pStyle w:val="justify"/>
        <w:spacing w:line="360" w:lineRule="auto"/>
        <w:jc w:val="both"/>
      </w:pPr>
    </w:p>
    <w:p>
      <w:pPr>
        <w:pStyle w:val="justify"/>
        <w:spacing w:line="360" w:lineRule="auto"/>
        <w:jc w:val="both"/>
      </w:pPr>
      <w:r>
        <w:rPr>
          <w:rtl w:val="0"/>
          <w:lang w:val="en-US"/>
        </w:rPr>
        <w:t>In Asia Minor important events developed in relation to this struggle between the Ptolemies and the Seleukids. The Seleukids established there after Seleukus I crossed the Taurus to confront his old enemy Lysimachus, whom Seleukus defeated in early 281 BC. Ho</w:t>
      </w:r>
      <w:r>
        <w:rPr>
          <w:rtl w:val="0"/>
          <w:lang w:val="en-US"/>
        </w:rPr>
        <w:t>wever, after Seleukus I crossed to Lysimacheia, he was assa</w:t>
      </w:r>
      <w:r>
        <w:rPr>
          <w:rtl w:val="0"/>
          <w:lang w:val="en-US"/>
        </w:rPr>
        <w:t>ssinated by Ptolemy Ceraunus</w:t>
      </w:r>
      <w:r>
        <w:rPr>
          <w:vertAlign w:val="superscript"/>
        </w:rPr>
        <w:footnoteReference w:id="39"/>
      </w:r>
      <w:r>
        <w:rPr>
          <w:rtl w:val="0"/>
          <w:lang w:val="en-US"/>
        </w:rPr>
        <w:t>, taking the latter some of Seleukid</w:t>
      </w:r>
      <w:r>
        <w:rPr>
          <w:rtl w:val="0"/>
          <w:lang w:val="en-US"/>
        </w:rPr>
        <w:t>’</w:t>
      </w:r>
      <w:r>
        <w:rPr>
          <w:rtl w:val="0"/>
          <w:lang w:val="en-US"/>
        </w:rPr>
        <w:t>s troops to Macedon. At the same time, trouble for Antiochus I happened in Syria, where chaos after Seleukus I</w:t>
      </w:r>
      <w:r>
        <w:rPr>
          <w:rtl w:val="0"/>
          <w:lang w:val="en-US"/>
        </w:rPr>
        <w:t>’</w:t>
      </w:r>
      <w:r>
        <w:rPr>
          <w:rtl w:val="0"/>
          <w:lang w:val="en-US"/>
        </w:rPr>
        <w:t>s death and a provable war of succession provoked a rebellion at the same time that Ptolemy II obtained access to Samos and Miletus, in about 280 BC</w:t>
      </w:r>
      <w:r>
        <w:rPr>
          <w:vertAlign w:val="superscript"/>
        </w:rPr>
        <w:footnoteReference w:id="40"/>
      </w:r>
      <w:r>
        <w:rPr>
          <w:rtl w:val="0"/>
          <w:lang w:val="en-US"/>
        </w:rPr>
        <w:t>. Despite troubles in Syria after his father</w:t>
      </w:r>
      <w:r>
        <w:rPr>
          <w:rtl w:val="0"/>
          <w:lang w:val="en-US"/>
        </w:rPr>
        <w:t>’</w:t>
      </w:r>
      <w:r>
        <w:rPr>
          <w:rtl w:val="0"/>
          <w:lang w:val="en-US"/>
        </w:rPr>
        <w:t>s murdering, Antiochus remained there, getting the support from one of his generals named Patroclus. The latter was though murdered in Bithynia and Antiochus I responded by organising an army against the Bithynians. Once there, he encountered many enemies, such as the Northern league (Cios, Byzantium, Chalcedon, Heraclea and Teos) in alliance with Antigonos Gonatas, who also claimed the Macedonian throne. The Northern League perhaps received support by Ptolemy II during this conflict.</w:t>
      </w:r>
    </w:p>
    <w:p>
      <w:pPr>
        <w:pStyle w:val="justify"/>
        <w:spacing w:line="360" w:lineRule="auto"/>
        <w:jc w:val="both"/>
      </w:pPr>
    </w:p>
    <w:p>
      <w:pPr>
        <w:pStyle w:val="justify"/>
        <w:spacing w:line="360" w:lineRule="auto"/>
        <w:jc w:val="both"/>
      </w:pPr>
      <w:r>
        <w:rPr>
          <w:rtl w:val="0"/>
          <w:lang w:val="en-US"/>
        </w:rPr>
        <w:t>So</w:t>
      </w:r>
      <w:r>
        <w:rPr>
          <w:rtl w:val="0"/>
          <w:lang w:val="en-US"/>
        </w:rPr>
        <w:t xml:space="preserve"> matters were much unsettled during these times considered of cold war between the house of Ptolemies and the house of Seleukids. I</w:t>
      </w:r>
      <w:r>
        <w:rPr>
          <w:rtl w:val="0"/>
          <w:lang w:val="en-US"/>
        </w:rPr>
        <w:t xml:space="preserve">n order to obtain some advantage, one of the disputants to the throne of Bithynia, Nikomedes, contacted one of the Galatian bands, organised for them to cross to Asia Minor and allowed them to settle there. Another band of Gauls tricked their way across the Hellespont and crossed also to Asia Minor. Once settled in Asia Minor, the Galatians started looting and plundering city lands, belonging in many cases to Antiochus I. It is believed that around 20,000 of them crossed the Hellespont, </w:t>
      </w:r>
      <w:r>
        <w:rPr>
          <w:rtl w:val="0"/>
          <w:lang w:val="en-US"/>
        </w:rPr>
        <w:t>spread</w:t>
      </w:r>
      <w:r>
        <w:rPr>
          <w:rtl w:val="0"/>
          <w:lang w:val="en-US"/>
        </w:rPr>
        <w:t>ing</w:t>
      </w:r>
      <w:r>
        <w:rPr>
          <w:rtl w:val="0"/>
          <w:lang w:val="en-US"/>
        </w:rPr>
        <w:t xml:space="preserve"> terror in Mysia, Lydia and Bithynia</w:t>
      </w:r>
      <w:r>
        <w:rPr>
          <w:rtl w:val="0"/>
          <w:lang w:val="en-US"/>
        </w:rPr>
        <w:t>. Because of this, Antiochus abandoned the succession war in Bithynia and concentrated on the conflict against the Gauls</w:t>
      </w:r>
      <w:r>
        <w:rPr>
          <w:vertAlign w:val="superscript"/>
        </w:rPr>
        <w:footnoteReference w:id="41"/>
      </w:r>
      <w:r>
        <w:rPr>
          <w:rtl w:val="0"/>
          <w:lang w:val="en-US"/>
        </w:rPr>
        <w:t>. Nikomedes proved unable to contain the Gauls and it seems that Antiochus I was unable to confront them either, maybe because his focus was on suppressing revolts in Syria. The arrival of the Galatians though definitely disrupted Antiochus I, who had struggled pacifying Asia Minor since his father</w:t>
      </w:r>
      <w:r>
        <w:rPr>
          <w:rtl w:val="0"/>
          <w:lang w:val="en-US"/>
        </w:rPr>
        <w:t>’</w:t>
      </w:r>
      <w:r>
        <w:rPr>
          <w:rtl w:val="0"/>
          <w:lang w:val="en-US"/>
        </w:rPr>
        <w:t>s death. Several cities including Pergamon seemed though to have resisted the Celts for over two years</w:t>
      </w:r>
      <w:r>
        <w:rPr>
          <w:vertAlign w:val="superscript"/>
        </w:rPr>
        <w:footnoteReference w:id="42"/>
      </w:r>
      <w:r>
        <w:rPr>
          <w:rtl w:val="0"/>
          <w:lang w:val="en-US"/>
        </w:rPr>
        <w:t>.</w:t>
      </w:r>
    </w:p>
    <w:p>
      <w:pPr>
        <w:pStyle w:val="justify"/>
        <w:spacing w:line="360" w:lineRule="auto"/>
        <w:jc w:val="both"/>
      </w:pPr>
    </w:p>
    <w:p>
      <w:pPr>
        <w:pStyle w:val="justify"/>
        <w:spacing w:line="360" w:lineRule="auto"/>
        <w:jc w:val="both"/>
      </w:pPr>
      <w:r>
        <w:rPr>
          <w:rtl w:val="0"/>
          <w:lang w:val="en-US"/>
        </w:rPr>
        <w:t>In order to claim supremacy in Northern Asia Minor, Antiochus needed to deal with the Gauls. He firstly supported Ilium, in around 278 BC and then Cyzicus in either 276 - 275 BC or perhaps in 278 - 277 BC. It is attested that the Seleukid didn</w:t>
      </w:r>
      <w:r>
        <w:rPr>
          <w:rtl w:val="0"/>
          <w:lang w:val="en-US"/>
        </w:rPr>
        <w:t>’</w:t>
      </w:r>
      <w:r>
        <w:rPr>
          <w:rtl w:val="0"/>
          <w:lang w:val="en-US"/>
        </w:rPr>
        <w:t xml:space="preserve">t support some of the poleis in </w:t>
      </w:r>
      <w:r>
        <w:rPr>
          <w:rtl w:val="0"/>
          <w:lang w:val="en-US"/>
        </w:rPr>
        <w:t>Aeolis</w:t>
      </w:r>
      <w:r>
        <w:rPr>
          <w:rtl w:val="0"/>
          <w:lang w:val="en-US"/>
        </w:rPr>
        <w:t xml:space="preserve"> </w:t>
      </w:r>
      <w:r>
        <w:rPr>
          <w:rtl w:val="0"/>
          <w:lang w:val="en-US"/>
        </w:rPr>
        <w:t>and</w:t>
      </w:r>
      <w:r>
        <w:rPr>
          <w:rtl w:val="0"/>
          <w:lang w:val="en-US"/>
        </w:rPr>
        <w:t xml:space="preserve"> in </w:t>
      </w:r>
      <w:r>
        <w:rPr>
          <w:rtl w:val="0"/>
          <w:lang w:val="en-US"/>
        </w:rPr>
        <w:t>Ionia</w:t>
      </w:r>
      <w:r>
        <w:rPr>
          <w:rtl w:val="0"/>
          <w:lang w:val="en-US"/>
        </w:rPr>
        <w:t xml:space="preserve">: </w:t>
      </w:r>
      <w:r>
        <w:rPr>
          <w:rtl w:val="0"/>
          <w:lang w:val="en-US"/>
        </w:rPr>
        <w:t>Thyateira  (275 BC), Erythrae (270s BC), Ephesus, Priene, Miletus</w:t>
      </w:r>
      <w:r>
        <w:rPr>
          <w:rtl w:val="0"/>
          <w:lang w:val="en-US"/>
        </w:rPr>
        <w:t xml:space="preserve"> </w:t>
      </w:r>
      <w:r>
        <w:rPr>
          <w:rtl w:val="0"/>
          <w:lang w:val="en-US"/>
        </w:rPr>
        <w:t>and</w:t>
      </w:r>
      <w:r>
        <w:rPr>
          <w:rtl w:val="0"/>
          <w:lang w:val="es-ES_tradnl"/>
        </w:rPr>
        <w:t xml:space="preserve"> </w:t>
      </w:r>
      <w:r>
        <w:rPr>
          <w:rtl w:val="0"/>
          <w:lang w:val="en-US"/>
        </w:rPr>
        <w:t>Didyma (277</w:t>
      </w:r>
      <w:r>
        <w:rPr>
          <w:rtl w:val="0"/>
          <w:lang w:val="en-US"/>
        </w:rPr>
        <w:t xml:space="preserve"> - 2</w:t>
      </w:r>
      <w:r>
        <w:rPr>
          <w:rtl w:val="0"/>
          <w:lang w:val="en-US"/>
        </w:rPr>
        <w:t>76 BC)</w:t>
      </w:r>
      <w:r>
        <w:rPr>
          <w:rtl w:val="0"/>
          <w:lang w:val="en-US"/>
        </w:rPr>
        <w:t>,</w:t>
      </w:r>
      <w:r>
        <w:rPr>
          <w:rtl w:val="0"/>
          <w:lang w:val="en-US"/>
        </w:rPr>
        <w:t xml:space="preserve"> are </w:t>
      </w:r>
      <w:r>
        <w:rPr>
          <w:rtl w:val="0"/>
          <w:lang w:val="en-US"/>
        </w:rPr>
        <w:t>believed</w:t>
      </w:r>
      <w:r>
        <w:rPr>
          <w:rtl w:val="0"/>
          <w:lang w:val="en-US"/>
        </w:rPr>
        <w:t xml:space="preserve"> to</w:t>
      </w:r>
      <w:r>
        <w:rPr>
          <w:rtl w:val="0"/>
          <w:lang w:val="en-US"/>
        </w:rPr>
        <w:t xml:space="preserve"> </w:t>
      </w:r>
      <w:r>
        <w:rPr>
          <w:rtl w:val="0"/>
          <w:lang w:val="en-US"/>
        </w:rPr>
        <w:t>have suffered</w:t>
      </w:r>
      <w:r>
        <w:rPr>
          <w:rtl w:val="0"/>
          <w:lang w:val="en-US"/>
        </w:rPr>
        <w:t xml:space="preserve"> </w:t>
      </w:r>
      <w:r>
        <w:rPr>
          <w:rtl w:val="0"/>
          <w:lang w:val="en-US"/>
        </w:rPr>
        <w:t>from Galatian</w:t>
      </w:r>
      <w:r>
        <w:rPr>
          <w:rtl w:val="0"/>
          <w:lang w:val="en-US"/>
        </w:rPr>
        <w:t>’</w:t>
      </w:r>
      <w:r>
        <w:rPr>
          <w:rtl w:val="0"/>
          <w:lang w:val="en-US"/>
        </w:rPr>
        <w:t xml:space="preserve">s </w:t>
      </w:r>
      <w:r>
        <w:rPr>
          <w:rtl w:val="0"/>
          <w:lang w:val="en-US"/>
        </w:rPr>
        <w:t>incursions</w:t>
      </w:r>
      <w:r>
        <w:rPr>
          <w:vertAlign w:val="superscript"/>
        </w:rPr>
        <w:footnoteReference w:id="43"/>
      </w:r>
      <w:r>
        <w:rPr>
          <w:rtl w:val="0"/>
          <w:lang w:val="en-US"/>
        </w:rPr>
        <w:t>. T</w:t>
      </w:r>
      <w:r>
        <w:rPr>
          <w:rtl w:val="0"/>
          <w:lang w:val="en-US"/>
        </w:rPr>
        <w:t xml:space="preserve">he conflicts with the Galatians lasted for a while. </w:t>
      </w:r>
      <w:r>
        <w:rPr>
          <w:rtl w:val="0"/>
          <w:lang w:val="en-US"/>
        </w:rPr>
        <w:t>It is thought Antiochus I won a brilliant battle against them in the Elephant battle, either in 272 BC</w:t>
      </w:r>
      <w:r>
        <w:rPr>
          <w:vertAlign w:val="superscript"/>
        </w:rPr>
        <w:footnoteReference w:id="44"/>
      </w:r>
      <w:r>
        <w:rPr>
          <w:rtl w:val="0"/>
          <w:lang w:val="en-US"/>
        </w:rPr>
        <w:t>, or in around 276 - 275 BC</w:t>
      </w:r>
      <w:r>
        <w:rPr>
          <w:vertAlign w:val="superscript"/>
        </w:rPr>
        <w:footnoteReference w:id="45"/>
      </w:r>
      <w:r>
        <w:rPr>
          <w:rtl w:val="0"/>
          <w:lang w:val="en-US"/>
        </w:rPr>
        <w:t>. This brilliant success though might have not been as attested, and in reality it was more of a diplomacy and publicity type, with the intention of sending a message to his enemies: Ptolemy II, the Bithynians and the Northern League. The message being that Antiochus I was able to battle terrible enemies and to beat them. The Galatians nevertheless were not an organised group, but separate bands, who settled successfully in Asia Minor and continued raiding areas for over two generations</w:t>
      </w:r>
      <w:r>
        <w:rPr>
          <w:vertAlign w:val="superscript"/>
        </w:rPr>
        <w:footnoteReference w:id="46"/>
      </w:r>
      <w:r>
        <w:rPr>
          <w:rtl w:val="0"/>
          <w:lang w:val="en-US"/>
        </w:rPr>
        <w:t>. It is plausible that Philadelphus took advantage of the Gauls penetration in Asia Minor and of the affairs in Syria, attempting to contact the Galatians. It might even be that Ptolemy encouraged the Galatians to make Antiochus territories to shake</w:t>
      </w:r>
      <w:r>
        <w:rPr>
          <w:vertAlign w:val="superscript"/>
        </w:rPr>
        <w:footnoteReference w:id="47"/>
      </w:r>
      <w:r>
        <w:rPr>
          <w:rtl w:val="0"/>
          <w:lang w:val="en-US"/>
        </w:rPr>
        <w:t>. Antiochus</w:t>
      </w:r>
      <w:r>
        <w:rPr>
          <w:rtl w:val="0"/>
          <w:lang w:val="en-US"/>
        </w:rPr>
        <w:t xml:space="preserve">’ </w:t>
      </w:r>
      <w:r>
        <w:rPr>
          <w:rtl w:val="0"/>
          <w:lang w:val="en-US"/>
        </w:rPr>
        <w:t>alliance with Antigonos Gonatas definitely put pressure on the Ptolemies to employ the Galatians or to encourage them to put both the Macedonians and the Seleukids in trouble. The marriage of Antiochus</w:t>
      </w:r>
      <w:r>
        <w:rPr>
          <w:rtl w:val="0"/>
          <w:lang w:val="en-US"/>
        </w:rPr>
        <w:t xml:space="preserve">’ </w:t>
      </w:r>
      <w:r>
        <w:rPr>
          <w:rtl w:val="0"/>
          <w:lang w:val="en-US"/>
        </w:rPr>
        <w:t>fifteen years-old daughter Apama with Magas brought another alliance, in this case between Cyrenaica and the Seleukids, and another threat to Egypt, declaring Magas himself king in 275 BC. However, it is only attested that the Galatians happened to be part of Ptolemy</w:t>
      </w:r>
      <w:r>
        <w:rPr>
          <w:rtl w:val="0"/>
          <w:lang w:val="en-US"/>
        </w:rPr>
        <w:t>’</w:t>
      </w:r>
      <w:r>
        <w:rPr>
          <w:rtl w:val="0"/>
          <w:lang w:val="en-US"/>
        </w:rPr>
        <w:t>s mercenary force in 274 BC, when 4000 of them were in Egypt, so we have no clear evidences of Ptolemy</w:t>
      </w:r>
      <w:r>
        <w:rPr>
          <w:rtl w:val="0"/>
          <w:lang w:val="en-US"/>
        </w:rPr>
        <w:t>’</w:t>
      </w:r>
      <w:r>
        <w:rPr>
          <w:rtl w:val="0"/>
          <w:lang w:val="en-US"/>
        </w:rPr>
        <w:t>s partnership with the Galatians against the Seleukids.</w:t>
      </w:r>
    </w:p>
    <w:p>
      <w:pPr>
        <w:pStyle w:val="justify"/>
        <w:spacing w:line="360" w:lineRule="auto"/>
        <w:jc w:val="both"/>
      </w:pPr>
    </w:p>
    <w:p>
      <w:pPr>
        <w:pStyle w:val="justify"/>
        <w:spacing w:line="360" w:lineRule="auto"/>
        <w:jc w:val="both"/>
      </w:pPr>
      <w:r>
        <w:rPr>
          <w:rtl w:val="0"/>
          <w:lang w:val="en-US"/>
        </w:rPr>
        <w:t>The Ilion decree mentions that the revolt in Seleukis, in North Syria, and the repulse of the Egyptians from Syria, preceded Antiochus I</w:t>
      </w:r>
      <w:r>
        <w:rPr>
          <w:rtl w:val="0"/>
          <w:lang w:val="en-US"/>
        </w:rPr>
        <w:t>’</w:t>
      </w:r>
      <w:r>
        <w:rPr>
          <w:rtl w:val="0"/>
          <w:lang w:val="en-US"/>
        </w:rPr>
        <w:t>s expedition against the Galatians. The</w:t>
      </w:r>
      <w:r>
        <w:rPr>
          <w:rtl w:val="0"/>
          <w:lang w:val="en-US"/>
        </w:rPr>
        <w:t xml:space="preserve"> arrival of the 20 elephants from Bactria after Ptolemaic defeat reinforces this order of events</w:t>
      </w:r>
      <w:r>
        <w:rPr>
          <w:vertAlign w:val="superscript"/>
        </w:rPr>
        <w:footnoteReference w:id="48"/>
      </w:r>
      <w:r>
        <w:rPr>
          <w:rtl w:val="0"/>
          <w:lang w:val="en-US"/>
        </w:rPr>
        <w:t>. The elephant victory therefore might have occurred afterwards, while the Egyptian invasion, which we will discuss lat</w:t>
      </w:r>
      <w:r>
        <w:rPr>
          <w:rtl w:val="0"/>
          <w:lang w:val="en-US"/>
        </w:rPr>
        <w:t>er, was repelled earlier, just before the elephants were sent from Babylonia with some troops a month later, to placate the rebellion in Seleukis</w:t>
      </w:r>
      <w:r>
        <w:rPr>
          <w:vertAlign w:val="superscript"/>
        </w:rPr>
        <w:footnoteReference w:id="49"/>
      </w:r>
      <w:r>
        <w:rPr>
          <w:rtl w:val="0"/>
          <w:lang w:val="en-US"/>
        </w:rPr>
        <w:t xml:space="preserve">. </w:t>
      </w:r>
      <w:r>
        <w:rPr>
          <w:rtl w:val="0"/>
          <w:lang w:val="en-US"/>
        </w:rPr>
        <w:t>It might have been that Antiochus I remained in Sardis, no doubt to be near the Galatians and to control any revolts in Asia Minor, which resulted in the Elephant battle and the Seleukid victory that won him the title of Saviour</w:t>
      </w:r>
      <w:r>
        <w:rPr>
          <w:vertAlign w:val="superscript"/>
        </w:rPr>
        <w:footnoteReference w:id="50"/>
      </w:r>
      <w:r>
        <w:rPr>
          <w:rtl w:val="0"/>
          <w:lang w:val="en-US"/>
        </w:rPr>
        <w:t>. In Sardis, he received in 276 - 275 BC the governor of Ba</w:t>
      </w:r>
      <w:r>
        <w:rPr>
          <w:rtl w:val="0"/>
          <w:lang w:val="en-US"/>
        </w:rPr>
        <w:t>bylonia and other couriers, who stayed presumably for a year. After this, around 274 - 273 BC, Antiochus left his wife Stratonicea, who seemed to have stayed with him for visits to the upper satrapies, and an important official, guarding in Sardis, while he encamped in Transpotamia, from where the troops of Egypt withdrew</w:t>
      </w:r>
      <w:r>
        <w:rPr>
          <w:vertAlign w:val="superscript"/>
        </w:rPr>
        <w:footnoteReference w:id="51"/>
      </w:r>
      <w:r>
        <w:rPr>
          <w:rtl w:val="0"/>
          <w:lang w:val="en-US"/>
        </w:rPr>
        <w:t>.</w:t>
      </w:r>
    </w:p>
    <w:p>
      <w:pPr>
        <w:pStyle w:val="justify"/>
        <w:spacing w:line="360" w:lineRule="auto"/>
        <w:jc w:val="both"/>
      </w:pPr>
    </w:p>
    <w:p>
      <w:pPr>
        <w:pStyle w:val="justify"/>
        <w:spacing w:line="360" w:lineRule="auto"/>
        <w:jc w:val="both"/>
      </w:pPr>
      <w:r>
        <w:rPr>
          <w:rtl w:val="0"/>
          <w:lang w:val="en-US"/>
        </w:rPr>
        <w:t>It probably happened as a result of these events in Asia Minor, that Antiochus ultimately signed a peace agreement with a claimant to the Macedon throne, Antigonos Gonatas. Gonatas had been inhabiting Greece until then, having a considerable float of ships prepared to take over the gap of government in Macedon. The marriage between the Seleukids and the Antigonids must have brought some relieve to Antiochus I, for whom even though Macedon had been part of his ambition to reunite Alexander</w:t>
      </w:r>
      <w:r>
        <w:rPr>
          <w:rtl w:val="0"/>
          <w:lang w:val="en-US"/>
        </w:rPr>
        <w:t>’</w:t>
      </w:r>
      <w:r>
        <w:rPr>
          <w:rtl w:val="0"/>
          <w:lang w:val="en-US"/>
        </w:rPr>
        <w:t>s conquests, the Galatians</w:t>
      </w:r>
      <w:r>
        <w:rPr>
          <w:rtl w:val="0"/>
          <w:lang w:val="en-US"/>
        </w:rPr>
        <w:t xml:space="preserve">’ </w:t>
      </w:r>
      <w:r>
        <w:rPr>
          <w:rtl w:val="0"/>
          <w:lang w:val="en-US"/>
        </w:rPr>
        <w:t>and Syria</w:t>
      </w:r>
      <w:r>
        <w:rPr>
          <w:rtl w:val="0"/>
          <w:lang w:val="en-US"/>
        </w:rPr>
        <w:t>’</w:t>
      </w:r>
      <w:r>
        <w:rPr>
          <w:rtl w:val="0"/>
          <w:lang w:val="en-US"/>
        </w:rPr>
        <w:t>s disputes most probably made him to rethink his motivations, deciding that an alliance with Antigonos was a way to see peace in that area. As a result of that agreement, Antiochus I</w:t>
      </w:r>
      <w:r>
        <w:rPr>
          <w:rtl w:val="0"/>
          <w:lang w:val="en-US"/>
        </w:rPr>
        <w:t>’</w:t>
      </w:r>
      <w:r>
        <w:rPr>
          <w:rtl w:val="0"/>
          <w:lang w:val="en-US"/>
        </w:rPr>
        <w:t>s daughter Phila got engaged to Antigonos</w:t>
      </w:r>
      <w:r>
        <w:rPr>
          <w:vertAlign w:val="superscript"/>
        </w:rPr>
        <w:footnoteReference w:id="52"/>
      </w:r>
      <w:r>
        <w:rPr>
          <w:rtl w:val="0"/>
          <w:lang w:val="en-US"/>
        </w:rPr>
        <w:t>. Phila</w:t>
      </w:r>
      <w:r>
        <w:rPr>
          <w:rtl w:val="0"/>
          <w:lang w:val="en-US"/>
        </w:rPr>
        <w:t>’</w:t>
      </w:r>
      <w:r>
        <w:rPr>
          <w:rtl w:val="0"/>
          <w:lang w:val="en-US"/>
        </w:rPr>
        <w:t>s marriage to Gonatas helped to come to peace terms in Syria between these houses, as it implies the decree of Ilion</w:t>
      </w:r>
      <w:r>
        <w:rPr>
          <w:vertAlign w:val="superscript"/>
        </w:rPr>
        <w:footnoteReference w:id="53"/>
      </w:r>
      <w:r>
        <w:rPr>
          <w:rtl w:val="0"/>
          <w:lang w:val="en-US"/>
        </w:rPr>
        <w:t>. Antiochus must have felt threatened by Ptolemy</w:t>
      </w:r>
      <w:r>
        <w:rPr>
          <w:rtl w:val="0"/>
          <w:lang w:val="en-US"/>
        </w:rPr>
        <w:t>’</w:t>
      </w:r>
      <w:r>
        <w:rPr>
          <w:rtl w:val="0"/>
          <w:lang w:val="en-US"/>
        </w:rPr>
        <w:t>s wife Arsinoe II</w:t>
      </w:r>
      <w:r>
        <w:rPr>
          <w:rtl w:val="0"/>
          <w:lang w:val="en-US"/>
        </w:rPr>
        <w:t>’</w:t>
      </w:r>
      <w:r>
        <w:rPr>
          <w:rtl w:val="0"/>
          <w:lang w:val="en-US"/>
        </w:rPr>
        <w:t>s claim to Lysimachus throne in Macedon. So by placing his step daughter on the throne of Macedon, he obtained an ally rather than an enemy in Macedon.</w:t>
      </w:r>
      <w:r>
        <w:rPr>
          <w:rtl w:val="0"/>
          <w:lang w:val="en-US"/>
        </w:rPr>
        <w:t xml:space="preserve"> </w:t>
      </w:r>
      <w:r>
        <w:rPr>
          <w:rtl w:val="0"/>
          <w:lang w:val="en-US"/>
        </w:rPr>
        <w:t>Phila was in fact Antigonos</w:t>
      </w:r>
      <w:r>
        <w:rPr>
          <w:rtl w:val="0"/>
          <w:lang w:val="en-US"/>
        </w:rPr>
        <w:t>’</w:t>
      </w:r>
      <w:r>
        <w:rPr>
          <w:rtl w:val="0"/>
          <w:lang w:val="en-US"/>
        </w:rPr>
        <w:t>s niece, being the latter and Stratonice, Phila</w:t>
      </w:r>
      <w:r>
        <w:rPr>
          <w:rtl w:val="0"/>
          <w:lang w:val="en-US"/>
        </w:rPr>
        <w:t>’</w:t>
      </w:r>
      <w:r>
        <w:rPr>
          <w:rtl w:val="0"/>
          <w:lang w:val="en-US"/>
        </w:rPr>
        <w:t>s mother, siblings. This alliance obviously was anything but desired by Ptolemy II, who saw two foes allied, but this might have been partially a concern, as Antiochus I still had the trouble of the Galatians in Asia Minor, which definitely kept him occupied</w:t>
      </w:r>
      <w:r>
        <w:rPr>
          <w:vertAlign w:val="superscript"/>
        </w:rPr>
        <w:footnoteReference w:id="54"/>
      </w:r>
      <w:r>
        <w:rPr>
          <w:rtl w:val="0"/>
          <w:lang w:val="en-US"/>
        </w:rPr>
        <w:t>.</w:t>
      </w:r>
    </w:p>
    <w:p>
      <w:pPr>
        <w:pStyle w:val="justify"/>
        <w:spacing w:line="360" w:lineRule="auto"/>
        <w:jc w:val="both"/>
      </w:pPr>
    </w:p>
    <w:p>
      <w:pPr>
        <w:pStyle w:val="justify"/>
        <w:spacing w:line="360" w:lineRule="auto"/>
        <w:jc w:val="both"/>
      </w:pPr>
      <w:r>
        <w:rPr>
          <w:rtl w:val="0"/>
          <w:lang w:val="en-US"/>
        </w:rPr>
        <w:t>Nevertheless, Antiochus</w:t>
      </w:r>
      <w:r>
        <w:rPr>
          <w:rtl w:val="0"/>
          <w:lang w:val="en-US"/>
        </w:rPr>
        <w:t xml:space="preserve">’ </w:t>
      </w:r>
      <w:r>
        <w:rPr>
          <w:rtl w:val="0"/>
          <w:lang w:val="en-US"/>
        </w:rPr>
        <w:t>commitment in defeating these enemies, plus the assassination of his father and the war of succession in Syria, resulted in the loss of Samos and Miletus by 280 BC, becoming Ptolemy</w:t>
      </w:r>
      <w:r>
        <w:rPr>
          <w:rtl w:val="0"/>
          <w:lang w:val="en-US"/>
        </w:rPr>
        <w:t>’</w:t>
      </w:r>
      <w:r>
        <w:rPr>
          <w:rtl w:val="0"/>
          <w:lang w:val="en-US"/>
        </w:rPr>
        <w:t xml:space="preserve">s territory </w:t>
      </w:r>
      <w:r>
        <w:rPr>
          <w:vertAlign w:val="superscript"/>
        </w:rPr>
        <w:footnoteReference w:id="55"/>
      </w:r>
      <w:r>
        <w:rPr>
          <w:rtl w:val="0"/>
          <w:lang w:val="en-US"/>
        </w:rPr>
        <w:t xml:space="preserve">. The Celts </w:t>
      </w:r>
      <w:r>
        <w:rPr>
          <w:rtl w:val="0"/>
          <w:lang w:val="en-US"/>
        </w:rPr>
        <w:t xml:space="preserve">retreated into Phrygia </w:t>
      </w:r>
      <w:r>
        <w:rPr>
          <w:rtl w:val="0"/>
          <w:lang w:val="en-US"/>
        </w:rPr>
        <w:t>and settled in what was called Galatia, becoming a source of mercenaries for the Seleukids and for his antagonists, the Ptolemies, whom most surely employed them</w:t>
      </w:r>
      <w:r>
        <w:rPr>
          <w:vertAlign w:val="superscript"/>
        </w:rPr>
        <w:footnoteReference w:id="56"/>
      </w:r>
      <w:r>
        <w:rPr>
          <w:rtl w:val="0"/>
          <w:lang w:val="en-US"/>
        </w:rPr>
        <w:t xml:space="preserve">. As an example, the </w:t>
      </w:r>
      <w:r>
        <w:rPr>
          <w:rtl w:val="0"/>
          <w:lang w:val="en-US"/>
        </w:rPr>
        <w:t>Kallimachos</w:t>
      </w:r>
      <w:r>
        <w:rPr>
          <w:rtl w:val="0"/>
          <w:lang w:val="en-US"/>
        </w:rPr>
        <w:t xml:space="preserve">’ </w:t>
      </w:r>
      <w:r>
        <w:rPr>
          <w:rtl w:val="0"/>
          <w:lang w:val="en-US"/>
        </w:rPr>
        <w:t>Hymn to Delos</w:t>
      </w:r>
      <w:r>
        <w:rPr>
          <w:rtl w:val="0"/>
          <w:lang w:val="en-US"/>
        </w:rPr>
        <w:t xml:space="preserve"> dedicated to Ptolemy II</w:t>
      </w:r>
      <w:r>
        <w:rPr>
          <w:rtl w:val="0"/>
          <w:lang w:val="en-US"/>
        </w:rPr>
        <w:t>, dated to 271</w:t>
      </w:r>
      <w:r>
        <w:rPr>
          <w:rtl w:val="0"/>
          <w:lang w:val="en-US"/>
        </w:rPr>
        <w:t xml:space="preserve"> </w:t>
      </w:r>
      <w:r>
        <w:rPr>
          <w:rtl w:val="0"/>
          <w:lang w:val="en-US"/>
        </w:rPr>
        <w:t>-</w:t>
      </w:r>
      <w:r>
        <w:rPr>
          <w:rtl w:val="0"/>
          <w:lang w:val="en-US"/>
        </w:rPr>
        <w:t xml:space="preserve"> </w:t>
      </w:r>
      <w:r>
        <w:rPr>
          <w:rtl w:val="0"/>
          <w:lang w:val="en-US"/>
        </w:rPr>
        <w:t>26</w:t>
      </w:r>
      <w:r>
        <w:rPr>
          <w:rtl w:val="0"/>
          <w:lang w:val="en-US"/>
        </w:rPr>
        <w:t>5 BC, mentions of a Celt mutiny suppressed by Egyptian forces and used as Ptolemaic propaganda</w:t>
      </w:r>
      <w:r>
        <w:rPr>
          <w:vertAlign w:val="superscript"/>
        </w:rPr>
        <w:footnoteReference w:id="57"/>
      </w:r>
      <w:r>
        <w:rPr>
          <w:rtl w:val="0"/>
          <w:lang w:val="en-US"/>
        </w:rPr>
        <w:t>. The decree of Ilion provably narrated these events, that the kingdom of Macedon and the house of the Seleukids bonded with each other by a dynastic marriage and that Syria was pacified by the Seleukids after some internal revolts and tensions with the house of Ptolemies over the control of the region.</w:t>
      </w:r>
    </w:p>
    <w:p>
      <w:pPr>
        <w:pStyle w:val="justify"/>
        <w:spacing w:line="360" w:lineRule="auto"/>
        <w:jc w:val="both"/>
      </w:pPr>
    </w:p>
    <w:p>
      <w:pPr>
        <w:pStyle w:val="justify"/>
        <w:spacing w:line="360" w:lineRule="auto"/>
        <w:jc w:val="both"/>
      </w:pPr>
      <w:r>
        <w:rPr>
          <w:rtl w:val="0"/>
          <w:lang w:val="en-US"/>
        </w:rPr>
        <w:t>Looking at what were the territories governed by the Ptolemies during the reign of Philadelphus, we find Pausanias, who stated that it was during his reign with Arsinoe II that drastic events happened. As examples, the clearance away of members of Ptolemy</w:t>
      </w:r>
      <w:r>
        <w:rPr>
          <w:rtl w:val="0"/>
          <w:lang w:val="en-US"/>
        </w:rPr>
        <w:t>’</w:t>
      </w:r>
      <w:r>
        <w:rPr>
          <w:rtl w:val="0"/>
          <w:lang w:val="en-US"/>
        </w:rPr>
        <w:t xml:space="preserve">s family, such as his brother </w:t>
      </w:r>
      <w:r>
        <w:rPr>
          <w:rtl w:val="0"/>
          <w:lang w:val="en-US"/>
        </w:rPr>
        <w:t>Argaeus</w:t>
      </w:r>
      <w:r>
        <w:rPr>
          <w:rtl w:val="0"/>
          <w:lang w:val="en-US"/>
        </w:rPr>
        <w:t xml:space="preserve">, who was put to death, or of another </w:t>
      </w:r>
      <w:r>
        <w:rPr>
          <w:rtl w:val="0"/>
          <w:lang w:val="en-US"/>
        </w:rPr>
        <w:t>half-brother, a son of Eurydice</w:t>
      </w:r>
      <w:r>
        <w:rPr>
          <w:rtl w:val="0"/>
          <w:lang w:val="en-US"/>
        </w:rPr>
        <w:t>’</w:t>
      </w:r>
      <w:r>
        <w:rPr>
          <w:rtl w:val="0"/>
          <w:lang w:val="en-US"/>
        </w:rPr>
        <w:t>s</w:t>
      </w:r>
      <w:r>
        <w:rPr>
          <w:rtl w:val="0"/>
          <w:lang w:val="en-US"/>
        </w:rPr>
        <w:t xml:space="preserve">, put to death on charges </w:t>
      </w:r>
      <w:r>
        <w:rPr>
          <w:rtl w:val="0"/>
          <w:lang w:val="en-US"/>
        </w:rPr>
        <w:t>of stirring up trouble in Cyprus</w:t>
      </w:r>
      <w:r>
        <w:rPr>
          <w:vertAlign w:val="superscript"/>
        </w:rPr>
        <w:footnoteReference w:id="58"/>
      </w:r>
      <w:r>
        <w:rPr>
          <w:vertAlign w:val="superscript"/>
        </w:rPr>
        <w:footnoteReference w:id="59"/>
      </w:r>
      <w:r>
        <w:rPr>
          <w:rtl w:val="0"/>
          <w:lang w:val="en-US"/>
        </w:rPr>
        <w:t>.</w:t>
      </w:r>
      <w:r>
        <w:rPr>
          <w:rtl w:val="0"/>
          <w:lang w:val="en-US"/>
        </w:rPr>
        <w:t xml:space="preserve"> Cyprus was an important ship building and naval base for the kingdom, so such a radical reaction to a revolt proves the importance of this island to Egypt. In a sanctuary at Old Paphos, Philadelphus dedicated a statue to a naval architect, Pyrgoteles, and another one to an admiral, Kallikrates of Samos. Cyprus was also an important political entity used as a secondary military and political base. Strangely enough, Theocritus in his Encomium does not mention Cyprus as part of the list of territories subject to the Egyptian king. The Encomium though mentions about troops formed from citizens from some of Ptolemy</w:t>
      </w:r>
      <w:r>
        <w:rPr>
          <w:rtl w:val="0"/>
          <w:lang w:val="en-US"/>
        </w:rPr>
        <w:t>’</w:t>
      </w:r>
      <w:r>
        <w:rPr>
          <w:rtl w:val="0"/>
          <w:lang w:val="en-US"/>
        </w:rPr>
        <w:t>s territories, such as the bellicose Carians or spearman from Cilicia</w:t>
      </w:r>
      <w:r>
        <w:rPr>
          <w:vertAlign w:val="superscript"/>
        </w:rPr>
        <w:footnoteReference w:id="60"/>
      </w:r>
      <w:r>
        <w:rPr>
          <w:rtl w:val="0"/>
          <w:lang w:val="en-US"/>
        </w:rPr>
        <w:t xml:space="preserve">.  </w:t>
      </w:r>
    </w:p>
    <w:p>
      <w:pPr>
        <w:pStyle w:val="justify"/>
        <w:spacing w:line="360" w:lineRule="auto"/>
        <w:jc w:val="both"/>
      </w:pPr>
    </w:p>
    <w:p>
      <w:pPr>
        <w:pStyle w:val="justify"/>
        <w:spacing w:line="360" w:lineRule="auto"/>
        <w:jc w:val="both"/>
      </w:pPr>
      <w:r>
        <w:rPr>
          <w:rtl w:val="0"/>
          <w:lang w:val="en-US"/>
        </w:rPr>
        <w:t>“</w:t>
      </w:r>
      <w:r>
        <w:rPr>
          <w:rtl w:val="0"/>
          <w:lang w:val="en-US"/>
        </w:rPr>
        <w:t>H</w:t>
      </w:r>
      <w:r>
        <w:rPr>
          <w:rtl w:val="0"/>
          <w:lang w:val="en-US"/>
        </w:rPr>
        <w:t>e takes slices of Phoenicia and Arabia and Syria</w:t>
      </w:r>
      <w:r>
        <w:rPr>
          <w:rtl w:val="0"/>
          <w:lang w:val="en-US"/>
        </w:rPr>
        <w:t xml:space="preserve"> </w:t>
      </w:r>
      <w:r>
        <w:rPr>
          <w:rtl w:val="0"/>
          <w:lang w:val="en-US"/>
        </w:rPr>
        <w:t>and Libya and the dark-skinned Ethiopians; all the Pamphy</w:t>
      </w:r>
      <w:r>
        <w:rPr>
          <w:rtl w:val="0"/>
          <w:lang w:val="en-US"/>
        </w:rPr>
        <w:t>l</w:t>
      </w:r>
      <w:r>
        <w:rPr>
          <w:rtl w:val="0"/>
          <w:lang w:val="en-US"/>
        </w:rPr>
        <w:t>ians and the warriors of Cilicia he commands, and the Lycians</w:t>
      </w:r>
      <w:r>
        <w:rPr>
          <w:rtl w:val="0"/>
          <w:lang w:val="en-US"/>
        </w:rPr>
        <w:t xml:space="preserve"> </w:t>
      </w:r>
      <w:r>
        <w:rPr>
          <w:rtl w:val="0"/>
          <w:lang w:val="en-US"/>
        </w:rPr>
        <w:t>and the Carians, who delight in war, and the islands of the</w:t>
      </w:r>
      <w:r>
        <w:rPr>
          <w:rtl w:val="0"/>
          <w:lang w:val="en-US"/>
        </w:rPr>
        <w:t xml:space="preserve"> </w:t>
      </w:r>
      <w:r>
        <w:rPr>
          <w:rtl w:val="0"/>
          <w:lang w:val="en-US"/>
        </w:rPr>
        <w:t>Cyclades, for his are the finest ships sailing the ocean</w:t>
      </w:r>
      <w:r>
        <w:rPr>
          <w:rtl w:val="0"/>
          <w:lang w:val="en-US"/>
        </w:rPr>
        <w:t xml:space="preserve">…” </w:t>
      </w:r>
      <w:r>
        <w:rPr>
          <w:rtl w:val="0"/>
          <w:lang w:val="en-US"/>
        </w:rPr>
        <w:t xml:space="preserve">( Theocritus. </w:t>
      </w:r>
      <w:r>
        <w:rPr>
          <w:i w:val="1"/>
          <w:iCs w:val="1"/>
          <w:rtl w:val="0"/>
          <w:lang w:val="en-US"/>
        </w:rPr>
        <w:t>Encomium</w:t>
      </w:r>
      <w:r>
        <w:rPr>
          <w:rtl w:val="0"/>
          <w:lang w:val="en-US"/>
        </w:rPr>
        <w:t>. 87-93 )</w:t>
      </w:r>
    </w:p>
    <w:p>
      <w:pPr>
        <w:pStyle w:val="justify"/>
        <w:spacing w:line="360" w:lineRule="auto"/>
        <w:jc w:val="both"/>
      </w:pPr>
    </w:p>
    <w:p>
      <w:pPr>
        <w:pStyle w:val="justify"/>
        <w:spacing w:line="360" w:lineRule="auto"/>
        <w:jc w:val="both"/>
      </w:pPr>
      <w:r>
        <w:rPr>
          <w:rtl w:val="0"/>
          <w:lang w:val="en-US"/>
        </w:rPr>
        <w:t>The poem mentions his conquests. It also cites about the king commanding and battling with spearman and ships. The latter part meaning that Ptolemy</w:t>
      </w:r>
      <w:r>
        <w:rPr>
          <w:rtl w:val="0"/>
          <w:lang w:val="en-US"/>
        </w:rPr>
        <w:t>’</w:t>
      </w:r>
      <w:r>
        <w:rPr>
          <w:rtl w:val="0"/>
          <w:lang w:val="en-US"/>
        </w:rPr>
        <w:t xml:space="preserve">s naval force might have taken control over </w:t>
      </w:r>
      <w:r>
        <w:rPr>
          <w:rtl w:val="0"/>
          <w:lang w:val="en-US"/>
        </w:rPr>
        <w:t>seaboard cities in</w:t>
      </w:r>
      <w:r>
        <w:rPr>
          <w:rtl w:val="0"/>
          <w:lang w:val="en-US"/>
        </w:rPr>
        <w:t xml:space="preserve"> </w:t>
      </w:r>
      <w:r>
        <w:rPr>
          <w:rtl w:val="0"/>
          <w:lang w:val="en-US"/>
        </w:rPr>
        <w:t xml:space="preserve">Pamphylia, </w:t>
      </w:r>
      <w:r>
        <w:rPr>
          <w:rtl w:val="0"/>
          <w:lang w:val="en-US"/>
        </w:rPr>
        <w:t xml:space="preserve">Lydia, Caria and </w:t>
      </w:r>
      <w:r>
        <w:rPr>
          <w:rtl w:val="0"/>
          <w:lang w:val="en-US"/>
        </w:rPr>
        <w:t>Cilicia</w:t>
      </w:r>
      <w:r>
        <w:rPr>
          <w:vertAlign w:val="superscript"/>
        </w:rPr>
        <w:footnoteReference w:id="61"/>
      </w:r>
      <w:r>
        <w:rPr>
          <w:rtl w:val="0"/>
          <w:lang w:val="en-US"/>
        </w:rPr>
        <w:t xml:space="preserve">. Some of them </w:t>
      </w:r>
      <w:r>
        <w:rPr>
          <w:rtl w:val="0"/>
          <w:lang w:val="en-US"/>
        </w:rPr>
        <w:t>important source of timber for shipbuilding</w:t>
      </w:r>
      <w:r>
        <w:rPr>
          <w:vertAlign w:val="superscript"/>
        </w:rPr>
        <w:footnoteReference w:id="62"/>
      </w:r>
      <w:r>
        <w:rPr>
          <w:rtl w:val="0"/>
          <w:lang w:val="en-US"/>
        </w:rPr>
        <w:t>. After the death of Lysimachus,</w:t>
      </w:r>
      <w:r>
        <w:rPr>
          <w:rtl w:val="0"/>
          <w:lang w:val="en-US"/>
        </w:rPr>
        <w:t xml:space="preserve"> </w:t>
      </w:r>
      <w:r>
        <w:rPr>
          <w:rtl w:val="0"/>
          <w:lang w:val="en-US"/>
        </w:rPr>
        <w:t>Halicarnassus seems to have been part of Ptolemy II</w:t>
      </w:r>
      <w:r>
        <w:rPr>
          <w:rtl w:val="0"/>
          <w:lang w:val="en-US"/>
        </w:rPr>
        <w:t>’</w:t>
      </w:r>
      <w:r>
        <w:rPr>
          <w:rtl w:val="0"/>
          <w:lang w:val="en-US"/>
        </w:rPr>
        <w:t>s territories, provably by 281 BC. Halicarnassus</w:t>
      </w:r>
      <w:r>
        <w:rPr>
          <w:rtl w:val="0"/>
          <w:lang w:val="en-US"/>
        </w:rPr>
        <w:t xml:space="preserve">’ </w:t>
      </w:r>
      <w:r>
        <w:rPr>
          <w:rtl w:val="0"/>
          <w:lang w:val="en-US"/>
        </w:rPr>
        <w:t>importance was not just strategic, to control the sea, but of great importance as a military spot due to its fine harbours.</w:t>
      </w:r>
      <w:r>
        <w:rPr>
          <w:vertAlign w:val="superscript"/>
        </w:rPr>
        <w:footnoteReference w:id="63"/>
      </w:r>
      <w:r>
        <w:rPr>
          <w:rtl w:val="0"/>
          <w:lang w:val="en-US"/>
        </w:rPr>
        <w:t>. Philadelphus also maintained Caria after the battle of Cos, in 260 BC.</w:t>
      </w:r>
    </w:p>
    <w:p>
      <w:pPr>
        <w:pStyle w:val="justify"/>
        <w:spacing w:line="360" w:lineRule="auto"/>
        <w:jc w:val="both"/>
      </w:pPr>
    </w:p>
    <w:p>
      <w:pPr>
        <w:pStyle w:val="justify"/>
        <w:spacing w:line="360" w:lineRule="auto"/>
        <w:jc w:val="both"/>
      </w:pPr>
      <w:r>
        <w:rPr>
          <w:rtl w:val="0"/>
          <w:lang w:val="en-US"/>
        </w:rPr>
        <w:t>Ptolemy already had control over Crete and it seems he also had control over Cyprus</w:t>
      </w:r>
      <w:r>
        <w:rPr>
          <w:vertAlign w:val="superscript"/>
        </w:rPr>
        <w:footnoteReference w:id="64"/>
      </w:r>
      <w:r>
        <w:rPr>
          <w:rtl w:val="0"/>
          <w:lang w:val="en-US"/>
        </w:rPr>
        <w:t xml:space="preserve">. The stele at </w:t>
      </w:r>
      <w:r>
        <w:rPr>
          <w:rtl w:val="0"/>
          <w:lang w:val="en-US"/>
        </w:rPr>
        <w:t>Sa</w:t>
      </w:r>
      <w:r>
        <w:rPr>
          <w:rtl w:val="0"/>
          <w:lang w:val="en-US"/>
        </w:rPr>
        <w:t>ï</w:t>
      </w:r>
      <w:r>
        <w:rPr>
          <w:rtl w:val="0"/>
          <w:lang w:val="en-US"/>
        </w:rPr>
        <w:t>s</w:t>
      </w:r>
      <w:r>
        <w:rPr>
          <w:rtl w:val="0"/>
          <w:lang w:val="en-US"/>
        </w:rPr>
        <w:t xml:space="preserve"> gives mention of a bloodshed and of the king</w:t>
      </w:r>
      <w:r>
        <w:rPr>
          <w:rtl w:val="0"/>
          <w:lang w:val="en-US"/>
        </w:rPr>
        <w:t>’</w:t>
      </w:r>
      <w:r>
        <w:rPr>
          <w:rtl w:val="0"/>
          <w:lang w:val="en-US"/>
        </w:rPr>
        <w:t>s taking over of Arabia and Phoenicia, obtaining the tribute of cities and nomads of Asia. A Babylonian inscription mentions Ptolemy</w:t>
      </w:r>
      <w:r>
        <w:rPr>
          <w:rtl w:val="0"/>
          <w:lang w:val="en-US"/>
        </w:rPr>
        <w:t>’</w:t>
      </w:r>
      <w:r>
        <w:rPr>
          <w:rtl w:val="0"/>
          <w:lang w:val="en-US"/>
        </w:rPr>
        <w:t>s troops cutting off the Seleukid army in Syria, installing his chief admiral Philocles over Sidon and having control over Phoenicia and Tripolis. That Antiochus might have captured Damascus with the general Dio and that Tyre became independent from Sidon in around 274 - 273 BC</w:t>
      </w:r>
      <w:r>
        <w:rPr>
          <w:vertAlign w:val="superscript"/>
        </w:rPr>
        <w:footnoteReference w:id="65"/>
      </w:r>
      <w:r>
        <w:rPr>
          <w:rtl w:val="0"/>
          <w:lang w:val="en-US"/>
        </w:rPr>
        <w:t xml:space="preserve">. There are claims that </w:t>
      </w:r>
      <w:r>
        <w:rPr>
          <w:rtl w:val="0"/>
          <w:lang w:val="en-US"/>
        </w:rPr>
        <w:t xml:space="preserve">Pamphylia was indeed </w:t>
      </w:r>
      <w:r>
        <w:rPr>
          <w:rtl w:val="0"/>
          <w:lang w:val="en-US"/>
        </w:rPr>
        <w:t xml:space="preserve">controlled by Ptolemy II </w:t>
      </w:r>
      <w:r>
        <w:rPr>
          <w:rtl w:val="0"/>
          <w:lang w:val="en-US"/>
        </w:rPr>
        <w:t xml:space="preserve">through the 270s and 260s and </w:t>
      </w:r>
      <w:r>
        <w:rPr>
          <w:rtl w:val="0"/>
          <w:lang w:val="en-US"/>
        </w:rPr>
        <w:t xml:space="preserve">that </w:t>
      </w:r>
      <w:r>
        <w:rPr>
          <w:rtl w:val="0"/>
          <w:lang w:val="en-US"/>
        </w:rPr>
        <w:t xml:space="preserve">many </w:t>
      </w:r>
      <w:r>
        <w:rPr>
          <w:rtl w:val="0"/>
          <w:lang w:val="en-US"/>
        </w:rPr>
        <w:t>locals from this area</w:t>
      </w:r>
      <w:r>
        <w:rPr>
          <w:rtl w:val="0"/>
          <w:lang w:val="en-US"/>
        </w:rPr>
        <w:t xml:space="preserve"> </w:t>
      </w:r>
      <w:r>
        <w:rPr>
          <w:rtl w:val="0"/>
          <w:lang w:val="en-US"/>
        </w:rPr>
        <w:t>were</w:t>
      </w:r>
      <w:r>
        <w:rPr>
          <w:rtl w:val="0"/>
          <w:lang w:val="en-US"/>
        </w:rPr>
        <w:t xml:space="preserve"> known to have been active in the administration</w:t>
      </w:r>
      <w:r>
        <w:rPr>
          <w:rtl w:val="0"/>
          <w:lang w:val="en-US"/>
        </w:rPr>
        <w:t xml:space="preserve"> of the house of Ptolemies. Cilicia is also mentioned on an inscription, where it appears the presence of </w:t>
      </w:r>
      <w:r>
        <w:rPr>
          <w:rtl w:val="0"/>
          <w:lang w:val="en-US"/>
        </w:rPr>
        <w:t>Ptolemaic strategos</w:t>
      </w:r>
      <w:r>
        <w:rPr>
          <w:rtl w:val="0"/>
          <w:lang w:val="en-US"/>
        </w:rPr>
        <w:t xml:space="preserve"> during his life time and the founding of various towns during his reign</w:t>
      </w:r>
      <w:r>
        <w:rPr>
          <w:vertAlign w:val="superscript"/>
        </w:rPr>
        <w:footnoteReference w:id="66"/>
      </w:r>
      <w:r>
        <w:rPr>
          <w:rtl w:val="0"/>
          <w:lang w:val="en-US"/>
        </w:rPr>
        <w:t>.</w:t>
      </w:r>
      <w:r>
        <w:rPr>
          <w:rtl w:val="0"/>
          <w:lang w:val="en-US"/>
        </w:rPr>
        <w:t xml:space="preserve"> There are evidences, such as the decree of Nagido, related to the city of Arsinoe in Cilicia and governed by Ptolemy II. In fact, Cilicia wasn</w:t>
      </w:r>
      <w:r>
        <w:rPr>
          <w:rtl w:val="0"/>
          <w:lang w:val="en-US"/>
        </w:rPr>
        <w:t>’</w:t>
      </w:r>
      <w:r>
        <w:rPr>
          <w:rtl w:val="0"/>
          <w:lang w:val="en-US"/>
        </w:rPr>
        <w:t>t amongst Ptolemy III</w:t>
      </w:r>
      <w:r>
        <w:rPr>
          <w:rtl w:val="0"/>
          <w:lang w:val="en-US"/>
        </w:rPr>
        <w:t>’</w:t>
      </w:r>
      <w:r>
        <w:rPr>
          <w:rtl w:val="0"/>
          <w:lang w:val="en-US"/>
        </w:rPr>
        <w:t>s inherited territories. The latter conquered it after his accession to the throne, so it seems that it was Ptolemy II</w:t>
      </w:r>
      <w:r>
        <w:rPr>
          <w:rtl w:val="0"/>
          <w:lang w:val="en-US"/>
        </w:rPr>
        <w:t>’</w:t>
      </w:r>
      <w:r>
        <w:rPr>
          <w:rtl w:val="0"/>
          <w:lang w:val="en-US"/>
        </w:rPr>
        <w:t>s territory until the Second Syrian war, when he lost it</w:t>
      </w:r>
      <w:r>
        <w:rPr>
          <w:vertAlign w:val="superscript"/>
        </w:rPr>
        <w:footnoteReference w:id="67"/>
      </w:r>
      <w:r>
        <w:rPr>
          <w:rtl w:val="0"/>
          <w:lang w:val="en-US"/>
        </w:rPr>
        <w:t xml:space="preserve">.  </w:t>
      </w:r>
    </w:p>
    <w:p>
      <w:pPr>
        <w:pStyle w:val="justify"/>
        <w:spacing w:line="360" w:lineRule="auto"/>
        <w:jc w:val="both"/>
      </w:pPr>
    </w:p>
    <w:p>
      <w:pPr>
        <w:pStyle w:val="justify"/>
        <w:spacing w:line="360" w:lineRule="auto"/>
        <w:jc w:val="both"/>
      </w:pPr>
      <w:r>
        <w:rPr>
          <w:rtl w:val="0"/>
          <w:lang w:val="en-US"/>
        </w:rPr>
        <w:t>These and other southern areas in Asia Minor had been of great importance during Pharaonic times for the supplying of mercenaries and it seems that it continued to be during this period. The adhering of Samos into the confederation of the Cyclades</w:t>
      </w:r>
      <w:r>
        <w:rPr>
          <w:rtl w:val="0"/>
          <w:lang w:val="en-US"/>
        </w:rPr>
        <w:t xml:space="preserve"> during the First Syrian War meant a growth of Ptolemy</w:t>
      </w:r>
      <w:r>
        <w:rPr>
          <w:rtl w:val="0"/>
          <w:lang w:val="en-US"/>
        </w:rPr>
        <w:t>’</w:t>
      </w:r>
      <w:r>
        <w:rPr>
          <w:rtl w:val="0"/>
          <w:lang w:val="en-US"/>
        </w:rPr>
        <w:t>s possessions from the inheritance received from his father. The conquest of Miletus might have even occurred before the war</w:t>
      </w:r>
      <w:r>
        <w:rPr>
          <w:vertAlign w:val="superscript"/>
        </w:rPr>
        <w:footnoteReference w:id="68"/>
      </w:r>
      <w:r>
        <w:rPr>
          <w:rtl w:val="0"/>
          <w:lang w:val="en-US"/>
        </w:rPr>
        <w:t>. The control over the islands league is noticed on the cults that Arsinoe received. The navy</w:t>
      </w:r>
      <w:r>
        <w:rPr>
          <w:vertAlign w:val="superscript"/>
        </w:rPr>
        <w:footnoteReference w:id="69"/>
      </w:r>
      <w:r>
        <w:rPr>
          <w:rtl w:val="0"/>
          <w:lang w:val="en-US"/>
        </w:rPr>
        <w:t xml:space="preserve">, which was exceptionally big, especially during the times of </w:t>
      </w:r>
      <w:r>
        <w:rPr>
          <w:rtl w:val="0"/>
          <w:lang w:val="en-US"/>
        </w:rPr>
        <w:t>the admiral Sostratos of Knidos</w:t>
      </w:r>
      <w:r>
        <w:rPr>
          <w:rtl w:val="0"/>
          <w:lang w:val="en-US"/>
        </w:rPr>
        <w:t>, was very much connected to this cult of the queen of Egypt</w:t>
      </w:r>
      <w:r>
        <w:rPr>
          <w:vertAlign w:val="superscript"/>
        </w:rPr>
        <w:footnoteReference w:id="70"/>
      </w:r>
      <w:r>
        <w:rPr>
          <w:rtl w:val="0"/>
          <w:lang w:val="en-US"/>
        </w:rPr>
        <w:t>. Tarn W. W. in 1928 tells us that at his accession to the throne, Ptolemy II possessed Palestine, Phoenicia and Coele-Syria, Cyrenaica in Africa, governed by his half-brother Magas, the Lycian coast, Cyprus and the Cyclades</w:t>
      </w:r>
      <w:r>
        <w:rPr>
          <w:vertAlign w:val="superscript"/>
        </w:rPr>
        <w:footnoteReference w:id="71"/>
      </w:r>
      <w:r>
        <w:rPr>
          <w:rtl w:val="0"/>
          <w:lang w:val="en-US"/>
        </w:rPr>
        <w:t xml:space="preserve">.  </w:t>
      </w:r>
    </w:p>
    <w:p>
      <w:pPr>
        <w:pStyle w:val="justify"/>
        <w:spacing w:line="360" w:lineRule="auto"/>
        <w:jc w:val="both"/>
      </w:pPr>
    </w:p>
    <w:p>
      <w:pPr>
        <w:pStyle w:val="justify"/>
        <w:spacing w:line="360" w:lineRule="auto"/>
        <w:jc w:val="both"/>
      </w:pPr>
      <w:r>
        <w:rPr>
          <w:rtl w:val="0"/>
          <w:lang w:val="en-US"/>
        </w:rPr>
        <w:t xml:space="preserve">Mercenaries were important for all Hellenistic kingdoms. Soldiers supported kingdoms in their intentions of conquering other regions, in defending territory or in managing internal disputes. Greek and Macedonian mercenary soldiers were well considered by their military strength and security. All Hellenistic kings absorbed mercenary troops </w:t>
      </w:r>
      <w:r>
        <w:rPr>
          <w:rtl w:val="0"/>
          <w:lang w:val="en-US"/>
        </w:rPr>
        <w:t>after winning battles</w:t>
      </w:r>
      <w:r>
        <w:rPr>
          <w:rtl w:val="0"/>
          <w:lang w:val="en-US"/>
        </w:rPr>
        <w:t>. M</w:t>
      </w:r>
      <w:r>
        <w:rPr>
          <w:rtl w:val="0"/>
          <w:lang w:val="en-US"/>
        </w:rPr>
        <w:t>ercenaries</w:t>
      </w:r>
      <w:r>
        <w:rPr>
          <w:rtl w:val="0"/>
          <w:lang w:val="en-US"/>
        </w:rPr>
        <w:t xml:space="preserve"> were</w:t>
      </w:r>
      <w:r>
        <w:rPr>
          <w:rtl w:val="0"/>
          <w:lang w:val="en-US"/>
        </w:rPr>
        <w:t xml:space="preserve"> </w:t>
      </w:r>
      <w:r>
        <w:rPr>
          <w:rtl w:val="0"/>
          <w:lang w:val="en-US"/>
        </w:rPr>
        <w:t xml:space="preserve">in fact </w:t>
      </w:r>
      <w:r>
        <w:rPr>
          <w:rtl w:val="0"/>
          <w:lang w:val="en-US"/>
        </w:rPr>
        <w:t xml:space="preserve">integral to the stability of </w:t>
      </w:r>
      <w:r>
        <w:rPr>
          <w:rtl w:val="0"/>
          <w:lang w:val="en-US"/>
        </w:rPr>
        <w:t>all Hellenistic r</w:t>
      </w:r>
      <w:r>
        <w:rPr>
          <w:rtl w:val="0"/>
          <w:lang w:val="en-US"/>
        </w:rPr>
        <w:t>egimes</w:t>
      </w:r>
      <w:r>
        <w:rPr>
          <w:vertAlign w:val="superscript"/>
        </w:rPr>
        <w:footnoteReference w:id="72"/>
      </w:r>
      <w:r>
        <w:rPr>
          <w:rtl w:val="0"/>
          <w:lang w:val="en-US"/>
        </w:rPr>
        <w:t xml:space="preserve">. Competition must have occurred between monarchs for mercenaries. As an example, a comment mentioning that Philadelphus was the best employer must have resonated in the ears of his enemies, whom needed mercenary troops. Under these circumstances, it seems reasonable to believe that the Seleukids competed with Egypt </w:t>
      </w:r>
      <w:r>
        <w:rPr>
          <w:rtl w:val="0"/>
          <w:lang w:val="en-US"/>
        </w:rPr>
        <w:t>for mercenary troops</w:t>
      </w:r>
      <w:r>
        <w:rPr>
          <w:rtl w:val="0"/>
          <w:lang w:val="en-US"/>
        </w:rPr>
        <w:t xml:space="preserve"> in those areas. </w:t>
      </w:r>
    </w:p>
    <w:p>
      <w:pPr>
        <w:pStyle w:val="justify"/>
        <w:spacing w:line="360" w:lineRule="auto"/>
        <w:jc w:val="both"/>
      </w:pPr>
    </w:p>
    <w:p>
      <w:pPr>
        <w:pStyle w:val="justify"/>
        <w:spacing w:line="360" w:lineRule="auto"/>
        <w:jc w:val="both"/>
      </w:pPr>
      <w:r>
        <w:rPr>
          <w:rtl w:val="0"/>
          <w:lang w:val="en-US"/>
        </w:rPr>
        <w:t>Polybius divides the areas that Ptolemy influenced into three groups: possessions whose aim was to threaten the Seleukid kingdom and to secure Egypt, both by land and sea. Then there was the Ptolemaic Thalassocracy, including places such as</w:t>
      </w:r>
      <w:r>
        <w:rPr>
          <w:rtl w:val="0"/>
          <w:lang w:val="en-US"/>
        </w:rPr>
        <w:t xml:space="preserve"> Pamphylia</w:t>
      </w:r>
      <w:r>
        <w:rPr>
          <w:rtl w:val="0"/>
          <w:lang w:val="en-US"/>
        </w:rPr>
        <w:t xml:space="preserve"> and</w:t>
      </w:r>
      <w:r>
        <w:rPr>
          <w:rtl w:val="0"/>
          <w:lang w:val="en-US"/>
        </w:rPr>
        <w:t xml:space="preserve"> to </w:t>
      </w:r>
      <w:r>
        <w:rPr>
          <w:rtl w:val="0"/>
          <w:lang w:val="en-US"/>
        </w:rPr>
        <w:t xml:space="preserve">the </w:t>
      </w:r>
      <w:r>
        <w:rPr>
          <w:rtl w:val="0"/>
          <w:lang w:val="en-US"/>
        </w:rPr>
        <w:t>Hellespont</w:t>
      </w:r>
      <w:r>
        <w:rPr>
          <w:rtl w:val="0"/>
          <w:lang w:val="en-US"/>
        </w:rPr>
        <w:t xml:space="preserve">, </w:t>
      </w:r>
      <w:r>
        <w:rPr>
          <w:rtl w:val="0"/>
          <w:lang w:val="en-US"/>
        </w:rPr>
        <w:t xml:space="preserve">Lysimacheia and the Aegean </w:t>
      </w:r>
      <w:r>
        <w:rPr>
          <w:rtl w:val="0"/>
          <w:lang w:val="en-US"/>
        </w:rPr>
        <w:t>Islands. Lastly, it was Ptolemy II</w:t>
      </w:r>
      <w:r>
        <w:rPr>
          <w:rtl w:val="0"/>
          <w:lang w:val="en-US"/>
        </w:rPr>
        <w:t>’</w:t>
      </w:r>
      <w:r>
        <w:rPr>
          <w:rtl w:val="0"/>
          <w:lang w:val="en-US"/>
        </w:rPr>
        <w:t>s aim to extend its influence to Thrace and Macedonia</w:t>
      </w:r>
      <w:r>
        <w:rPr>
          <w:vertAlign w:val="superscript"/>
        </w:rPr>
        <w:footnoteReference w:id="73"/>
      </w:r>
      <w:r>
        <w:rPr>
          <w:rtl w:val="0"/>
          <w:lang w:val="en-US"/>
        </w:rPr>
        <w:t xml:space="preserve">. So the approaches seem to have been different. Egypt was conceived with Alexandria as the centre of power and it had lots of peripheries with </w:t>
      </w:r>
      <w:r>
        <w:rPr>
          <w:rtl w:val="0"/>
          <w:lang w:val="en-US"/>
        </w:rPr>
        <w:t xml:space="preserve">different economic, cultural </w:t>
      </w:r>
      <w:r>
        <w:rPr>
          <w:rtl w:val="0"/>
          <w:lang w:val="en-US"/>
        </w:rPr>
        <w:t>and</w:t>
      </w:r>
      <w:r>
        <w:rPr>
          <w:rtl w:val="0"/>
          <w:lang w:val="en-US"/>
        </w:rPr>
        <w:t xml:space="preserve"> strategic interests</w:t>
      </w:r>
      <w:r>
        <w:rPr>
          <w:rtl w:val="0"/>
          <w:lang w:val="en-US"/>
        </w:rPr>
        <w:t>, contributing in equal measure to the royal status of the king. This contrasted with the Seleukid kingdom, which had different centres of power. The originality of Ptolemy</w:t>
      </w:r>
      <w:r>
        <w:rPr>
          <w:rtl w:val="0"/>
          <w:lang w:val="en-US"/>
        </w:rPr>
        <w:t>’</w:t>
      </w:r>
      <w:r>
        <w:rPr>
          <w:rtl w:val="0"/>
          <w:lang w:val="en-US"/>
        </w:rPr>
        <w:t xml:space="preserve">s foreign policy was that he conceived his empire </w:t>
      </w:r>
      <w:r>
        <w:rPr>
          <w:rtl w:val="0"/>
          <w:lang w:val="en-US"/>
        </w:rPr>
        <w:t xml:space="preserve">as a </w:t>
      </w:r>
      <w:r>
        <w:rPr>
          <w:rtl w:val="0"/>
          <w:lang w:val="en-US"/>
        </w:rPr>
        <w:t>‘</w:t>
      </w:r>
      <w:r>
        <w:rPr>
          <w:rtl w:val="0"/>
          <w:lang w:val="en-US"/>
        </w:rPr>
        <w:t>Ptolemaic space</w:t>
      </w:r>
      <w:r>
        <w:rPr>
          <w:rtl w:val="0"/>
          <w:lang w:val="en-US"/>
        </w:rPr>
        <w:t xml:space="preserve">’ </w:t>
      </w:r>
      <w:r>
        <w:rPr>
          <w:rtl w:val="0"/>
          <w:lang w:val="en-US"/>
        </w:rPr>
        <w:t>with</w:t>
      </w:r>
      <w:r>
        <w:rPr>
          <w:rtl w:val="0"/>
          <w:lang w:val="en-US"/>
        </w:rPr>
        <w:t xml:space="preserve"> boundaries </w:t>
      </w:r>
      <w:r>
        <w:rPr>
          <w:rtl w:val="0"/>
          <w:lang w:val="en-US"/>
        </w:rPr>
        <w:t xml:space="preserve">which </w:t>
      </w:r>
      <w:r>
        <w:rPr>
          <w:rtl w:val="0"/>
          <w:lang w:val="en-US"/>
        </w:rPr>
        <w:t xml:space="preserve">were geopolitical </w:t>
      </w:r>
      <w:r>
        <w:rPr>
          <w:rtl w:val="0"/>
          <w:lang w:val="en-US"/>
        </w:rPr>
        <w:t>and i</w:t>
      </w:r>
      <w:r>
        <w:rPr>
          <w:rtl w:val="0"/>
          <w:lang w:val="en-US"/>
        </w:rPr>
        <w:t>deological</w:t>
      </w:r>
      <w:r>
        <w:rPr>
          <w:vertAlign w:val="superscript"/>
        </w:rPr>
        <w:footnoteReference w:id="74"/>
      </w:r>
      <w:r>
        <w:rPr>
          <w:rtl w:val="0"/>
          <w:lang w:val="en-US"/>
        </w:rPr>
        <w:t>.</w:t>
      </w:r>
      <w:r>
        <w:rPr>
          <w:rtl w:val="0"/>
          <w:lang w:val="en-US"/>
        </w:rPr>
        <w:t xml:space="preserve"> The secret of cohesion accomplished by Egypt, an area that did not suffer a single attack until Antiochus IV</w:t>
      </w:r>
      <w:r>
        <w:rPr>
          <w:rtl w:val="0"/>
          <w:lang w:val="en-US"/>
        </w:rPr>
        <w:t>’</w:t>
      </w:r>
      <w:r>
        <w:rPr>
          <w:rtl w:val="0"/>
          <w:lang w:val="en-US"/>
        </w:rPr>
        <w:t xml:space="preserve">s occupation of the Delta in 170 BC, resided on the conquests Ptolemy I had achieved and Ptolemy II maintained in Cyprus, Syria, Phoenicia and Cyrenaica. Those areas protected Egypt from invasion. Ptolemy II kept also his presence in the Aegean, having certain control over Macedonia and maintaining trade links with Athens and other Aegean Islands and cities. His diplomatic relationships allowed him to preserve also his leadership of </w:t>
      </w:r>
      <w:r>
        <w:rPr>
          <w:rtl w:val="0"/>
          <w:lang w:val="en-US"/>
        </w:rPr>
        <w:t>the League of the Islanders in the Cyclades</w:t>
      </w:r>
      <w:r>
        <w:rPr>
          <w:rtl w:val="0"/>
          <w:lang w:val="en-US"/>
        </w:rPr>
        <w:t>.</w:t>
      </w:r>
    </w:p>
    <w:p>
      <w:pPr>
        <w:pStyle w:val="justify"/>
        <w:spacing w:line="360" w:lineRule="auto"/>
        <w:jc w:val="both"/>
      </w:pPr>
    </w:p>
    <w:p>
      <w:pPr>
        <w:pStyle w:val="justify"/>
        <w:spacing w:line="360" w:lineRule="auto"/>
        <w:jc w:val="both"/>
      </w:pPr>
      <w:r>
        <w:rPr>
          <w:rtl w:val="0"/>
          <w:lang w:val="en-US"/>
        </w:rPr>
        <w:t>Due to the proximity of both houses, the encounters became almost unavoidable in the area of Coele-Syria. In this region it was easier to travel south to north or vice-versa than east to west. Approaching Syria was easier from the North out of Asia Minor, from the Northeast out of Babylonia and Iran, from Egypt through the Sinai or of course from the sea</w:t>
      </w:r>
      <w:r>
        <w:rPr>
          <w:vertAlign w:val="superscript"/>
        </w:rPr>
        <w:footnoteReference w:id="75"/>
      </w:r>
      <w:r>
        <w:rPr>
          <w:rtl w:val="0"/>
          <w:lang w:val="en-US"/>
        </w:rPr>
        <w:t>. Syrian geographical context seems to have made this land eminently defensible and divided, easily fortressed in places such as Gaza</w:t>
      </w:r>
      <w:r>
        <w:rPr>
          <w:vertAlign w:val="superscript"/>
        </w:rPr>
        <w:footnoteReference w:id="76"/>
      </w:r>
      <w:r>
        <w:rPr>
          <w:rtl w:val="0"/>
          <w:lang w:val="en-US"/>
        </w:rPr>
        <w:t>. Even though it was conquered by many great powers inhabiting near their borders, it seems that Syria managed to have this spirit of autonomy throughout history. I</w:t>
      </w:r>
      <w:r>
        <w:rPr>
          <w:rtl w:val="0"/>
          <w:lang w:val="en-US"/>
        </w:rPr>
        <w:t xml:space="preserve">t was though in a strategic area, and because of this it became fruit of convulsion for many years between both houses. </w:t>
      </w:r>
      <w:r>
        <w:rPr>
          <w:rtl w:val="0"/>
          <w:lang w:val="en-US"/>
        </w:rPr>
        <w:t xml:space="preserve">There, six wars happened, called the Syrian wars, between the third and second centuries BC. It all started during the reign of Ptolemy II,  with what modern historians has called it the First Syrian War. </w:t>
      </w:r>
    </w:p>
    <w:p>
      <w:pPr>
        <w:pStyle w:val="justify"/>
        <w:spacing w:line="360" w:lineRule="auto"/>
        <w:jc w:val="both"/>
      </w:pPr>
    </w:p>
    <w:p>
      <w:pPr>
        <w:pStyle w:val="justify"/>
        <w:spacing w:line="360" w:lineRule="auto"/>
        <w:jc w:val="both"/>
      </w:pPr>
      <w:r>
        <w:rPr>
          <w:rtl w:val="0"/>
          <w:lang w:val="en-US"/>
        </w:rPr>
        <w:t>The main source of this war is the Babylonian Astronomical diary</w:t>
      </w:r>
      <w:r>
        <w:rPr>
          <w:vertAlign w:val="superscript"/>
        </w:rPr>
        <w:footnoteReference w:id="77"/>
      </w:r>
      <w:r>
        <w:rPr>
          <w:rtl w:val="0"/>
          <w:lang w:val="en-US"/>
        </w:rPr>
        <w:t>, which states that Antiochus I travelled from Sardis to Syria in the years 274 - 273 BC and that the satrap of Babylonia gathered men and treasures for Syria to encounter Ptolemies troops encamped in Seleukid Syria. The diary says that these Seleukid troops, including 20 elephants from Bactria, went off to Syria</w:t>
      </w:r>
      <w:r>
        <w:rPr>
          <w:vertAlign w:val="superscript"/>
        </w:rPr>
        <w:footnoteReference w:id="78"/>
      </w:r>
      <w:r>
        <w:rPr>
          <w:rtl w:val="0"/>
          <w:lang w:val="en-US"/>
        </w:rPr>
        <w:t>. Some believed that the</w:t>
      </w:r>
      <w:r>
        <w:rPr>
          <w:color w:val="ff2600"/>
          <w:rtl w:val="0"/>
          <w:lang w:val="en-US"/>
        </w:rPr>
        <w:t xml:space="preserve"> </w:t>
      </w:r>
      <w:r>
        <w:rPr>
          <w:rtl w:val="0"/>
          <w:lang w:val="en-US"/>
        </w:rPr>
        <w:t>First Syrian War started in 274 BC</w:t>
      </w:r>
      <w:r>
        <w:rPr>
          <w:vertAlign w:val="superscript"/>
        </w:rPr>
        <w:footnoteReference w:id="79"/>
      </w:r>
      <w:r>
        <w:rPr>
          <w:rtl w:val="0"/>
          <w:lang w:val="en-US"/>
        </w:rPr>
        <w:t>. Su</w:t>
      </w:r>
      <w:r>
        <w:rPr>
          <w:rtl w:val="0"/>
          <w:lang w:val="en-US"/>
        </w:rPr>
        <w:t>pporting this date is the fact that Babylonian troops were collected by Antiochus I and sent to Syria, together with 20 elephants from Bactria in the spring of 273 BC. The start of the war then should have been at around 274 BC, with an invasion of Coele-Syria by Ptolemies</w:t>
      </w:r>
      <w:r>
        <w:rPr>
          <w:rtl w:val="0"/>
          <w:lang w:val="en-US"/>
        </w:rPr>
        <w:t xml:space="preserve">’ </w:t>
      </w:r>
      <w:r>
        <w:rPr>
          <w:rtl w:val="0"/>
          <w:lang w:val="en-US"/>
        </w:rPr>
        <w:t xml:space="preserve">troops. Invasion performed by the navy or </w:t>
      </w:r>
      <w:r>
        <w:rPr>
          <w:rtl w:val="0"/>
          <w:lang w:val="en-US"/>
        </w:rPr>
        <w:t xml:space="preserve">by way of the Orontes </w:t>
      </w:r>
      <w:r>
        <w:rPr>
          <w:rtl w:val="0"/>
          <w:lang w:val="en-US"/>
        </w:rPr>
        <w:t>Valley</w:t>
      </w:r>
      <w:r>
        <w:rPr>
          <w:rtl w:val="0"/>
          <w:lang w:val="en-US"/>
        </w:rPr>
        <w:t xml:space="preserve">, where there were a </w:t>
      </w:r>
      <w:r>
        <w:rPr>
          <w:rtl w:val="0"/>
          <w:lang w:val="en-US"/>
        </w:rPr>
        <w:t>number</w:t>
      </w:r>
      <w:r>
        <w:rPr>
          <w:rtl w:val="0"/>
          <w:lang w:val="en-US"/>
        </w:rPr>
        <w:t xml:space="preserve"> of small Seleukid posts such as </w:t>
      </w:r>
      <w:r>
        <w:rPr>
          <w:rtl w:val="0"/>
          <w:lang w:val="en-US"/>
        </w:rPr>
        <w:t>Larisa and Arethusa. Lack of evidences in this respect imply that big cities weren</w:t>
      </w:r>
      <w:r>
        <w:rPr>
          <w:rtl w:val="0"/>
          <w:lang w:val="en-US"/>
        </w:rPr>
        <w:t>’</w:t>
      </w:r>
      <w:r>
        <w:rPr>
          <w:rtl w:val="0"/>
          <w:lang w:val="en-US"/>
        </w:rPr>
        <w:t>t captured</w:t>
      </w:r>
      <w:r>
        <w:rPr>
          <w:vertAlign w:val="superscript"/>
        </w:rPr>
        <w:footnoteReference w:id="80"/>
      </w:r>
      <w:r>
        <w:rPr>
          <w:rtl w:val="0"/>
          <w:lang w:val="en-US"/>
        </w:rPr>
        <w:t>. Ptolemies</w:t>
      </w:r>
      <w:r>
        <w:rPr>
          <w:rtl w:val="0"/>
          <w:lang w:val="en-US"/>
        </w:rPr>
        <w:t xml:space="preserve">’ </w:t>
      </w:r>
      <w:r>
        <w:rPr>
          <w:rtl w:val="0"/>
          <w:lang w:val="en-US"/>
        </w:rPr>
        <w:t>navy might have been of 4.000, so the war fleet must have been of around 330 ships. This implies a considerable amount of ships ready to attack Syria, to guard and to obtain control over the Aegean and part of the Mediterranean. Tarn W. W. states that the original aggressor was Ptolemy II, who first deprived Antiochus I of Miletus and then invaded Seleukid Syria</w:t>
      </w:r>
      <w:r>
        <w:rPr>
          <w:vertAlign w:val="superscript"/>
        </w:rPr>
        <w:footnoteReference w:id="81"/>
      </w:r>
      <w:r>
        <w:rPr>
          <w:rtl w:val="0"/>
          <w:lang w:val="en-US"/>
        </w:rPr>
        <w:t>.</w:t>
      </w:r>
    </w:p>
    <w:p>
      <w:pPr>
        <w:pStyle w:val="justify"/>
        <w:spacing w:line="360" w:lineRule="auto"/>
        <w:jc w:val="both"/>
      </w:pPr>
    </w:p>
    <w:p>
      <w:pPr>
        <w:pStyle w:val="justify"/>
        <w:spacing w:line="360" w:lineRule="auto"/>
        <w:jc w:val="both"/>
      </w:pPr>
      <w:r>
        <w:rPr>
          <w:rtl w:val="0"/>
          <w:lang w:val="en-US"/>
        </w:rPr>
        <w:t xml:space="preserve">Before the First Syrian war, Ptolemy II Philadelphus had a really strong position, having control of Egypt, south and central Syria, Cyprus and a string of port cities in Asia Minor, from </w:t>
      </w:r>
      <w:r>
        <w:rPr>
          <w:rtl w:val="0"/>
          <w:lang w:val="en-US"/>
        </w:rPr>
        <w:t xml:space="preserve">Korakesion round to </w:t>
      </w:r>
      <w:r>
        <w:rPr>
          <w:rtl w:val="0"/>
          <w:lang w:val="en-US"/>
        </w:rPr>
        <w:t>Miletus. He was patron of the Island League in the Cyclades, also having bases in other islands of the Aegean and at Me</w:t>
      </w:r>
      <w:r>
        <w:rPr>
          <w:rtl w:val="0"/>
          <w:lang w:val="en-US"/>
        </w:rPr>
        <w:t>thane in the Argolid (Greece)</w:t>
      </w:r>
      <w:r>
        <w:rPr>
          <w:vertAlign w:val="superscript"/>
        </w:rPr>
        <w:footnoteReference w:id="82"/>
      </w:r>
      <w:r>
        <w:rPr>
          <w:rtl w:val="0"/>
          <w:lang w:val="en-US"/>
        </w:rPr>
        <w:t xml:space="preserve">. Apparently, his brother Ptolemy Ceraunus had signed a non-interference deal with the Egyptian kingdom, even though agreements with </w:t>
      </w:r>
      <w:r>
        <w:rPr>
          <w:rtl w:val="0"/>
          <w:lang w:val="en-US"/>
        </w:rPr>
        <w:t>Ceraunus</w:t>
      </w:r>
      <w:r>
        <w:rPr>
          <w:rtl w:val="0"/>
          <w:lang w:val="en-US"/>
        </w:rPr>
        <w:t xml:space="preserve"> were never reliable as such</w:t>
      </w:r>
      <w:r>
        <w:rPr>
          <w:vertAlign w:val="superscript"/>
        </w:rPr>
        <w:footnoteReference w:id="83"/>
      </w:r>
      <w:r>
        <w:rPr>
          <w:rtl w:val="0"/>
          <w:lang w:val="en-US"/>
        </w:rPr>
        <w:t>. Therefore, even though the few gains he had, Ptolemy II didn't conquer huge extensions of territory during this time and didn't interfere much on Antiochus I</w:t>
      </w:r>
      <w:r>
        <w:rPr>
          <w:rtl w:val="0"/>
          <w:lang w:val="en-US"/>
        </w:rPr>
        <w:t>’</w:t>
      </w:r>
      <w:r>
        <w:rPr>
          <w:rtl w:val="0"/>
          <w:lang w:val="en-US"/>
        </w:rPr>
        <w:t>s territory. Antiochus I on the other hand, had trouble imposing his father</w:t>
      </w:r>
      <w:r>
        <w:rPr>
          <w:rtl w:val="0"/>
          <w:lang w:val="en-US"/>
        </w:rPr>
        <w:t>’</w:t>
      </w:r>
      <w:r>
        <w:rPr>
          <w:rtl w:val="0"/>
          <w:lang w:val="en-US"/>
        </w:rPr>
        <w:t>s inheritance. He didn</w:t>
      </w:r>
      <w:r>
        <w:rPr>
          <w:rtl w:val="0"/>
          <w:lang w:val="en-US"/>
        </w:rPr>
        <w:t>’</w:t>
      </w:r>
      <w:r>
        <w:rPr>
          <w:rtl w:val="0"/>
          <w:lang w:val="en-US"/>
        </w:rPr>
        <w:t>t inherit the kingdom his father ruled, neither the right to rule in Koile Syria, Northern Asia Minor or Macedon. It must have felt as if Ptolemy was on a defensive role while Antiochus was on an aggressive one. Besides, the latter, as his father had been, perhaps was ambitious to reunite Alexander</w:t>
      </w:r>
      <w:r>
        <w:rPr>
          <w:rtl w:val="0"/>
          <w:lang w:val="en-US"/>
        </w:rPr>
        <w:t>’</w:t>
      </w:r>
      <w:r>
        <w:rPr>
          <w:rtl w:val="0"/>
          <w:lang w:val="en-US"/>
        </w:rPr>
        <w:t>s empire</w:t>
      </w:r>
      <w:r>
        <w:rPr>
          <w:vertAlign w:val="superscript"/>
        </w:rPr>
        <w:footnoteReference w:id="84"/>
      </w:r>
      <w:r>
        <w:rPr>
          <w:rtl w:val="0"/>
          <w:lang w:val="en-US"/>
        </w:rPr>
        <w:t xml:space="preserve">. </w:t>
      </w:r>
    </w:p>
    <w:p>
      <w:pPr>
        <w:pStyle w:val="justify"/>
        <w:spacing w:line="360" w:lineRule="auto"/>
        <w:jc w:val="both"/>
      </w:pPr>
    </w:p>
    <w:p>
      <w:pPr>
        <w:pStyle w:val="justify"/>
        <w:spacing w:line="360" w:lineRule="auto"/>
        <w:jc w:val="both"/>
      </w:pPr>
      <w:r>
        <w:rPr>
          <w:rtl w:val="0"/>
          <w:lang w:val="en-US"/>
        </w:rPr>
        <w:t>Some scholars believed that the First Syrian War was in reality; two wars</w:t>
      </w:r>
      <w:r>
        <w:rPr>
          <w:rtl w:val="0"/>
          <w:lang w:val="en-US"/>
        </w:rPr>
        <w:t>. The first one, in which Ptolemy II acquired Miletus, ended with a definite peace in 279 BC. This year seems plausible, as Antiochus I needed peace to confront the Gauls and the Ptolemies had also to focus elsewhere. A letter written by Ptolemy II and a</w:t>
      </w:r>
      <w:r>
        <w:rPr>
          <w:rtl w:val="0"/>
          <w:lang w:val="en-US"/>
        </w:rPr>
        <w:t xml:space="preserve"> preamble of the de</w:t>
      </w:r>
      <w:r>
        <w:rPr>
          <w:rtl w:val="0"/>
          <w:lang w:val="en-US"/>
        </w:rPr>
        <w:t xml:space="preserve">cree of Miletus </w:t>
      </w:r>
      <w:r>
        <w:rPr>
          <w:rtl w:val="0"/>
          <w:lang w:val="en-US"/>
        </w:rPr>
        <w:t>implies also this date</w:t>
      </w:r>
      <w:r>
        <w:rPr>
          <w:vertAlign w:val="superscript"/>
        </w:rPr>
        <w:footnoteReference w:id="85"/>
      </w:r>
      <w:r>
        <w:rPr>
          <w:rtl w:val="0"/>
          <w:lang w:val="en-US"/>
        </w:rPr>
        <w:t>. Tarn W. W. said that Miletus became Ptolemy</w:t>
      </w:r>
      <w:r>
        <w:rPr>
          <w:rtl w:val="0"/>
          <w:lang w:val="en-US"/>
        </w:rPr>
        <w:t>’</w:t>
      </w:r>
      <w:r>
        <w:rPr>
          <w:rtl w:val="0"/>
          <w:lang w:val="en-US"/>
        </w:rPr>
        <w:t>s territory in 278 - 279 BC. Halicarnassus and Myndus became also Ptolemy</w:t>
      </w:r>
      <w:r>
        <w:rPr>
          <w:rtl w:val="0"/>
          <w:lang w:val="en-US"/>
        </w:rPr>
        <w:t>’</w:t>
      </w:r>
      <w:r>
        <w:rPr>
          <w:rtl w:val="0"/>
          <w:lang w:val="en-US"/>
        </w:rPr>
        <w:t>s territory afterwards, as Samos, but this might be connected to Lysimachus death</w:t>
      </w:r>
      <w:r>
        <w:rPr>
          <w:vertAlign w:val="superscript"/>
        </w:rPr>
        <w:footnoteReference w:id="86"/>
      </w:r>
      <w:r>
        <w:rPr>
          <w:rtl w:val="0"/>
          <w:lang w:val="en-US"/>
        </w:rPr>
        <w:t>. According to Tarn W. W., this first war could have been called the Carian war</w:t>
      </w:r>
      <w:r>
        <w:rPr>
          <w:vertAlign w:val="superscript"/>
        </w:rPr>
        <w:footnoteReference w:id="87"/>
      </w:r>
      <w:r>
        <w:rPr>
          <w:rtl w:val="0"/>
          <w:lang w:val="en-US"/>
        </w:rPr>
        <w:t>. Antiochus was involved in conflicts against the Northern league and the house of Antigonus, and even though peace was signed with the latter in 279 BC, Nikomedes allowed the Gauls to enter Asia Minor in 278 BC, which brought much trouble for the Seleukids and for the rest of Asia Minor</w:t>
      </w:r>
      <w:r>
        <w:rPr>
          <w:vertAlign w:val="superscript"/>
        </w:rPr>
        <w:footnoteReference w:id="88"/>
      </w:r>
      <w:r>
        <w:rPr>
          <w:rtl w:val="0"/>
          <w:lang w:val="en-US"/>
        </w:rPr>
        <w:t>. As Antiochus I ordered more elephants, this might imply that the elephants at Apamea were taken by the Syrian rebels. To bring elephants from India must have taken around 2 years, so the rebellion in the Seleukis was not put down before 277 BC. There are claims that the elephants used were from Antiochus</w:t>
      </w:r>
      <w:r>
        <w:rPr>
          <w:rtl w:val="0"/>
          <w:lang w:val="en-US"/>
        </w:rPr>
        <w:t xml:space="preserve">’ </w:t>
      </w:r>
      <w:r>
        <w:rPr>
          <w:rtl w:val="0"/>
          <w:lang w:val="en-US"/>
        </w:rPr>
        <w:t>father</w:t>
      </w:r>
      <w:r>
        <w:rPr>
          <w:vertAlign w:val="superscript"/>
        </w:rPr>
        <w:footnoteReference w:id="89"/>
      </w:r>
      <w:r>
        <w:rPr>
          <w:rtl w:val="0"/>
          <w:lang w:val="en-US"/>
        </w:rPr>
        <w:t xml:space="preserve">, but, as I just mentioned, they could have been taken by the rebels of Apamea. It is unknown though what happened to those elephants. </w:t>
      </w:r>
    </w:p>
    <w:p>
      <w:pPr>
        <w:pStyle w:val="justify"/>
        <w:spacing w:line="360" w:lineRule="auto"/>
        <w:jc w:val="both"/>
      </w:pPr>
    </w:p>
    <w:p>
      <w:pPr>
        <w:pStyle w:val="justify"/>
        <w:spacing w:line="360" w:lineRule="auto"/>
        <w:jc w:val="both"/>
      </w:pPr>
      <w:r>
        <w:rPr>
          <w:rtl w:val="0"/>
          <w:lang w:val="en-US"/>
        </w:rPr>
        <w:t>The decree of Miletus mentions of peaces, in plural, implying the end of two wars, being the second one between 272 or 271 BC. This decree seems to have been erected at the time of the First Syrian War and after the Carian War</w:t>
      </w:r>
      <w:r>
        <w:rPr>
          <w:vertAlign w:val="superscript"/>
        </w:rPr>
        <w:footnoteReference w:id="90"/>
      </w:r>
      <w:r>
        <w:rPr>
          <w:rtl w:val="0"/>
          <w:lang w:val="en-US"/>
        </w:rPr>
        <w:t xml:space="preserve">. The </w:t>
      </w:r>
      <w:r>
        <w:rPr>
          <w:rtl w:val="0"/>
          <w:lang w:val="en-US"/>
        </w:rPr>
        <w:t>decree appears to refer to the Carian War</w:t>
      </w:r>
      <w:r>
        <w:rPr>
          <w:vertAlign w:val="superscript"/>
        </w:rPr>
        <w:footnoteReference w:id="91"/>
      </w:r>
      <w:r>
        <w:rPr>
          <w:rtl w:val="0"/>
          <w:lang w:val="en-US"/>
        </w:rPr>
        <w:t xml:space="preserve"> and to the Gauls</w:t>
      </w:r>
      <w:r>
        <w:rPr>
          <w:rtl w:val="0"/>
          <w:lang w:val="en-US"/>
        </w:rPr>
        <w:t xml:space="preserve">’ </w:t>
      </w:r>
      <w:r>
        <w:rPr>
          <w:rtl w:val="0"/>
          <w:lang w:val="en-US"/>
        </w:rPr>
        <w:t xml:space="preserve">raids, which brought plunder and war in Miletus and in other neighbour areas until the </w:t>
      </w:r>
      <w:r>
        <w:rPr>
          <w:rtl w:val="0"/>
          <w:lang w:val="en-US"/>
        </w:rPr>
        <w:t>“</w:t>
      </w:r>
      <w:r>
        <w:rPr>
          <w:rtl w:val="0"/>
          <w:lang w:val="en-US"/>
        </w:rPr>
        <w:t>elephant victory</w:t>
      </w:r>
      <w:r>
        <w:rPr>
          <w:rtl w:val="0"/>
          <w:lang w:val="en-US"/>
        </w:rPr>
        <w:t>”</w:t>
      </w:r>
      <w:r>
        <w:rPr>
          <w:rtl w:val="0"/>
          <w:lang w:val="en-US"/>
        </w:rPr>
        <w:t>. The Illian decree appears to point out on the same direction also</w:t>
      </w:r>
      <w:r>
        <w:rPr>
          <w:vertAlign w:val="superscript"/>
        </w:rPr>
        <w:footnoteReference w:id="92"/>
      </w:r>
      <w:r>
        <w:rPr>
          <w:rtl w:val="0"/>
          <w:lang w:val="en-US"/>
        </w:rPr>
        <w:t>. It states that Antiochus and his co-regent Seleukus were at Sardis in the winter of 277 BC, apparently repressing a revolt right after, and therefore that Ptolemy II invaded Seleukid Syria after that date, taking Damascus</w:t>
      </w:r>
      <w:r>
        <w:rPr>
          <w:vertAlign w:val="superscript"/>
        </w:rPr>
        <w:footnoteReference w:id="93"/>
      </w:r>
      <w:r>
        <w:rPr>
          <w:rtl w:val="0"/>
          <w:lang w:val="en-US"/>
        </w:rPr>
        <w:t xml:space="preserve">. </w:t>
      </w:r>
    </w:p>
    <w:p>
      <w:pPr>
        <w:pStyle w:val="justify"/>
        <w:spacing w:line="360" w:lineRule="auto"/>
        <w:jc w:val="both"/>
      </w:pPr>
    </w:p>
    <w:p>
      <w:pPr>
        <w:pStyle w:val="justify"/>
        <w:spacing w:line="360" w:lineRule="auto"/>
        <w:jc w:val="both"/>
      </w:pPr>
      <w:r>
        <w:rPr>
          <w:rtl w:val="0"/>
          <w:lang w:val="en-US"/>
        </w:rPr>
        <w:t>The Milesian decree mentions that Ptolemy restored the Xopa to the Milesians and tried giving peace to them. This was after 279 - 278 BC and the only war mentioned was the First Syrian war. The war was one by land and sea and the enemy had sailed against the city. What this means is that as Antiochus had lost it, he must have tried recovering it. An attempt should have happened around 276 BC. Attempt which was supported by Antiochus I or by one of his generals, at a time when they had an open sea. There was a reason for the Ptolemies navy to be elsewhere, in Syria to be more specific. In that same autumn or winter, Phila, Antiochus I</w:t>
      </w:r>
      <w:r>
        <w:rPr>
          <w:rtl w:val="0"/>
          <w:lang w:val="en-US"/>
        </w:rPr>
        <w:t>’</w:t>
      </w:r>
      <w:r>
        <w:rPr>
          <w:rtl w:val="0"/>
          <w:lang w:val="en-US"/>
        </w:rPr>
        <w:t xml:space="preserve">s sister, was sent to Pella for her marriage. She could not have gone through Sardis at the times of Gallic terror raids in the area. So it is plausible that a naval attack on Miletus happened on late 276 or early 275 BC. Naturally, the naval expedition would have failed as the Ptolemies navy, after been released from Syria and with the support of Callicrates, would have surely crashed the Seleukids. </w:t>
      </w:r>
    </w:p>
    <w:p>
      <w:pPr>
        <w:pStyle w:val="justify"/>
        <w:spacing w:line="360" w:lineRule="auto"/>
        <w:jc w:val="both"/>
      </w:pPr>
    </w:p>
    <w:p>
      <w:pPr>
        <w:pStyle w:val="justify"/>
        <w:spacing w:line="360" w:lineRule="auto"/>
        <w:jc w:val="both"/>
        <w:rPr>
          <w:position w:val="-3"/>
        </w:rPr>
      </w:pPr>
      <w:r>
        <w:rPr>
          <w:rtl w:val="0"/>
          <w:lang w:val="en-US"/>
        </w:rPr>
        <w:t xml:space="preserve">On land the story was different. Ptolemy tried pacifying the area for the Milesians, but also tried recovering from defeat in Syria in 276 BC. It seems that the Seleukids caused much trouble, either taking and losing the area of Miletus or attempting to take it but losing it in the </w:t>
      </w:r>
      <w:r>
        <w:rPr>
          <w:rtl w:val="0"/>
          <w:lang w:val="en-US"/>
        </w:rPr>
        <w:t>war</w:t>
      </w:r>
      <w:r>
        <w:rPr>
          <w:rtl w:val="0"/>
          <w:lang w:val="en-US"/>
        </w:rPr>
        <w:t xml:space="preserve"> of Eumenes, when Antiochus lost Ephesus, it cannot really be said</w:t>
      </w:r>
      <w:r>
        <w:rPr>
          <w:vertAlign w:val="superscript"/>
        </w:rPr>
        <w:footnoteReference w:id="94"/>
      </w:r>
      <w:r>
        <w:rPr>
          <w:rtl w:val="0"/>
          <w:lang w:val="en-US"/>
        </w:rPr>
        <w:t>. In a stele from Sais, it is stated about the deification of Isis Arsinoe Philadelphus, mentioning about a great war in Asia Minor, in which the enemy had attacked not just with land forces but also with numerous boats and ships, differentiating maybe between the navy and pirates</w:t>
      </w:r>
      <w:r>
        <w:rPr>
          <w:vertAlign w:val="superscript"/>
        </w:rPr>
        <w:footnoteReference w:id="95"/>
      </w:r>
      <w:r>
        <w:rPr>
          <w:rtl w:val="0"/>
          <w:lang w:val="en-US"/>
        </w:rPr>
        <w:t>.</w:t>
      </w:r>
    </w:p>
    <w:p>
      <w:pPr>
        <w:pStyle w:val="justify"/>
        <w:spacing w:line="360" w:lineRule="auto"/>
        <w:jc w:val="both"/>
        <w:rPr>
          <w:position w:val="-3"/>
        </w:rPr>
      </w:pPr>
    </w:p>
    <w:p>
      <w:pPr>
        <w:pStyle w:val="justify"/>
        <w:spacing w:line="360" w:lineRule="auto"/>
        <w:jc w:val="both"/>
      </w:pPr>
      <w:r>
        <w:rPr>
          <w:rtl w:val="0"/>
          <w:lang w:val="en-US"/>
        </w:rPr>
        <w:t>The year 275 BC might have been the date of the release by sea of Miletus and from Antiochus I</w:t>
      </w:r>
      <w:r>
        <w:rPr>
          <w:rtl w:val="0"/>
          <w:lang w:val="en-US"/>
        </w:rPr>
        <w:t>’</w:t>
      </w:r>
      <w:r>
        <w:rPr>
          <w:rtl w:val="0"/>
          <w:lang w:val="en-US"/>
        </w:rPr>
        <w:t>s occupation. In the Miletus documents, the sea appears save for the Ptolemies to navigate. Ptolemy II</w:t>
      </w:r>
      <w:r>
        <w:rPr>
          <w:rtl w:val="0"/>
          <w:lang w:val="en-US"/>
        </w:rPr>
        <w:t>’</w:t>
      </w:r>
      <w:r>
        <w:rPr>
          <w:rtl w:val="0"/>
          <w:lang w:val="en-US"/>
        </w:rPr>
        <w:t>s son</w:t>
      </w:r>
      <w:r>
        <w:rPr>
          <w:vertAlign w:val="superscript"/>
        </w:rPr>
        <w:footnoteReference w:id="96"/>
      </w:r>
      <w:r>
        <w:rPr>
          <w:rtl w:val="0"/>
          <w:lang w:val="en-US"/>
        </w:rPr>
        <w:t xml:space="preserve"> wrote reports to Ptolemy, Hegestratus had brought a letter by sea to Ptolemy and the Milesians proposed sending envoys to take the decree to Ptolemy, all using the sea as usual means of transportation. Arsinoe II must have married before Ptolemy II adopted Ptolemaeus and before the latter became governor of Miletus, therefore around 275 BC, maybe in 276 BC, as both Arsinoe and Ptolemaeus stayed in the anarchic context of Macedonia until Antigonus took control in late 277 or early 276 BC. So probably Arsinoe II and Ptolemy II Philadelphus married after Ptolemy</w:t>
      </w:r>
      <w:r>
        <w:rPr>
          <w:rtl w:val="0"/>
          <w:lang w:val="en-US"/>
        </w:rPr>
        <w:t>’</w:t>
      </w:r>
      <w:r>
        <w:rPr>
          <w:rtl w:val="0"/>
          <w:lang w:val="en-US"/>
        </w:rPr>
        <w:t>s defeat on the first phase of the First Syrian war, 276 - 275 BC. There are those though believing Arsinoe II</w:t>
      </w:r>
      <w:r>
        <w:rPr>
          <w:rtl w:val="0"/>
          <w:lang w:val="en-US"/>
        </w:rPr>
        <w:t>’</w:t>
      </w:r>
      <w:r>
        <w:rPr>
          <w:rtl w:val="0"/>
          <w:lang w:val="en-US"/>
        </w:rPr>
        <w:t xml:space="preserve">s arrival in Egypt to be in 279 BC. </w:t>
      </w:r>
    </w:p>
    <w:p>
      <w:pPr>
        <w:pStyle w:val="justify"/>
        <w:spacing w:line="360" w:lineRule="auto"/>
        <w:jc w:val="both"/>
      </w:pPr>
    </w:p>
    <w:p>
      <w:pPr>
        <w:pStyle w:val="justify"/>
        <w:spacing w:line="360" w:lineRule="auto"/>
        <w:jc w:val="both"/>
      </w:pPr>
      <w:r>
        <w:rPr>
          <w:rtl w:val="0"/>
          <w:lang w:val="en-US"/>
        </w:rPr>
        <w:t xml:space="preserve">At the same time, Antiochus I had trouble with the Trocmi in the </w:t>
      </w:r>
      <w:r>
        <w:rPr>
          <w:rtl w:val="0"/>
          <w:lang w:val="en-US"/>
        </w:rPr>
        <w:t xml:space="preserve">Cyzicus' war and </w:t>
      </w:r>
      <w:r>
        <w:rPr>
          <w:rtl w:val="0"/>
          <w:lang w:val="en-US"/>
        </w:rPr>
        <w:t xml:space="preserve">with a </w:t>
      </w:r>
      <w:r>
        <w:rPr>
          <w:rtl w:val="0"/>
          <w:lang w:val="en-US"/>
        </w:rPr>
        <w:t>great raid on Ionia by the Tolistoagii</w:t>
      </w:r>
      <w:r>
        <w:rPr>
          <w:rtl w:val="0"/>
          <w:lang w:val="en-US"/>
        </w:rPr>
        <w:t xml:space="preserve">, </w:t>
      </w:r>
      <w:r>
        <w:rPr>
          <w:rtl w:val="0"/>
          <w:lang w:val="en-US"/>
        </w:rPr>
        <w:t>in 277 BC</w:t>
      </w:r>
      <w:r>
        <w:rPr>
          <w:rtl w:val="0"/>
          <w:lang w:val="en-US"/>
        </w:rPr>
        <w:t>. It seems that Antiochus I was caught in between two fires. One against the Gauls, who had entered the continent, causing trouble in Asia Minor. Another one against local rebels and provably against Ptolemy II, who were aggressors in Seleukid Syria. This suggests that leaving the co-regent king Seleukus at Sardis aimed at holding one of those fires, so he could cross the Taurus. The Illian decree also confirms that Antiochus I defeated Ptolemy II in 275 BC and retook Damascus in 276 BC</w:t>
      </w:r>
      <w:r>
        <w:rPr>
          <w:vertAlign w:val="superscript"/>
        </w:rPr>
        <w:footnoteReference w:id="97"/>
      </w:r>
      <w:r>
        <w:rPr>
          <w:rtl w:val="0"/>
          <w:lang w:val="en-US"/>
        </w:rPr>
        <w:t>. Evidences show that Antiochus I battled for a while with Ptolemy in Syria. Antiochus was definitely bounded to Syria and fought for it. In February - March 275 BC supplies and war elephants sent by a general called Accad came from the East, from Adar and from the Mauryan emperor, reaching Syria. Troops from Babylon arrived a month later, meaning that Antiochus stayed at least until after April 275 BC</w:t>
      </w:r>
      <w:r>
        <w:rPr>
          <w:vertAlign w:val="superscript"/>
        </w:rPr>
        <w:footnoteReference w:id="98"/>
      </w:r>
      <w:r>
        <w:rPr>
          <w:rtl w:val="0"/>
          <w:lang w:val="en-US"/>
        </w:rPr>
        <w:t>.</w:t>
      </w:r>
    </w:p>
    <w:p>
      <w:pPr>
        <w:pStyle w:val="justify"/>
        <w:spacing w:line="360" w:lineRule="auto"/>
        <w:jc w:val="both"/>
      </w:pPr>
    </w:p>
    <w:p>
      <w:pPr>
        <w:pStyle w:val="justify"/>
        <w:spacing w:line="360" w:lineRule="auto"/>
        <w:jc w:val="both"/>
      </w:pPr>
      <w:r>
        <w:rPr>
          <w:rtl w:val="0"/>
          <w:lang w:val="en-US"/>
        </w:rPr>
        <w:t>The festival of the Ptolemaia appears to have happened sometime in 275 BC</w:t>
      </w:r>
      <w:r>
        <w:rPr>
          <w:vertAlign w:val="superscript"/>
        </w:rPr>
        <w:footnoteReference w:id="99"/>
      </w:r>
      <w:r>
        <w:rPr>
          <w:rtl w:val="0"/>
          <w:lang w:val="en-US"/>
        </w:rPr>
        <w:t xml:space="preserve">, just before the outbreak of a second phase of the First Syrian war. The festival </w:t>
      </w:r>
      <w:r>
        <w:rPr>
          <w:rtl w:val="0"/>
          <w:lang w:val="en-US"/>
        </w:rPr>
        <w:t>demonstrated the military capacity of the Ptolemies, with a huge army: cavalry and infantry and a considerable number of war elephants. The parade and Ptolemies</w:t>
      </w:r>
      <w:r>
        <w:rPr>
          <w:rtl w:val="0"/>
          <w:lang w:val="en-US"/>
        </w:rPr>
        <w:t xml:space="preserve">’ </w:t>
      </w:r>
      <w:r>
        <w:rPr>
          <w:rtl w:val="0"/>
          <w:lang w:val="en-US"/>
        </w:rPr>
        <w:t>capacity to blockade internal rebellions, such as one of the Galatians, having also at the same time the strength to encounter Magas</w:t>
      </w:r>
      <w:r>
        <w:rPr>
          <w:vertAlign w:val="superscript"/>
        </w:rPr>
        <w:footnoteReference w:id="100"/>
      </w:r>
      <w:r>
        <w:rPr>
          <w:rtl w:val="0"/>
          <w:lang w:val="en-US"/>
        </w:rPr>
        <w:t xml:space="preserve">, indicates a strong and powerful kingdom. </w:t>
      </w:r>
      <w:r>
        <w:rPr>
          <w:rtl w:val="0"/>
          <w:lang w:val="en-US"/>
        </w:rPr>
        <w:t>It</w:t>
      </w:r>
      <w:r>
        <w:rPr>
          <w:rtl w:val="0"/>
          <w:lang w:val="en-US"/>
        </w:rPr>
        <w:t xml:space="preserve"> suggests also a preamble or mobilisation for war</w:t>
      </w:r>
      <w:r>
        <w:rPr>
          <w:vertAlign w:val="superscript"/>
        </w:rPr>
        <w:footnoteReference w:id="101"/>
      </w:r>
      <w:r>
        <w:rPr>
          <w:rtl w:val="0"/>
          <w:lang w:val="en-US"/>
        </w:rPr>
        <w:t>. Comments from Athenaios give an account of the procession, implying a war fleet of around 330 boats, being the largest fleet in the Mediterranean. This marvellous display definitely gave confidence to Ptolemy II in his attempt to conquer Northern Syria. Philadelphus though had some constraints. The need to leave garrisons in all his territories and at home, where a mercenary mutiny threatened Egypt. It might have been around this time also, that Ptolemy II married his sibling Arsinoe II - an event that partly aimed at strengthening his internal image amongst native Egyptians. With this marriage Ptolemy might have received internal support which helped handling successfully this situation, out manoeuvring Magas, the internal rebellion of Galatians and Antiochus I. This marriage therefore was not only aimed at foreign policy but also at internal coherence</w:t>
      </w:r>
      <w:r>
        <w:rPr>
          <w:vertAlign w:val="superscript"/>
        </w:rPr>
        <w:footnoteReference w:id="102"/>
      </w:r>
      <w:r>
        <w:rPr>
          <w:rtl w:val="0"/>
          <w:lang w:val="en-US"/>
        </w:rPr>
        <w:t xml:space="preserve">. </w:t>
      </w:r>
    </w:p>
    <w:p>
      <w:pPr>
        <w:pStyle w:val="justify"/>
        <w:spacing w:line="360" w:lineRule="auto"/>
        <w:jc w:val="both"/>
      </w:pPr>
    </w:p>
    <w:p>
      <w:pPr>
        <w:pStyle w:val="justify"/>
        <w:spacing w:line="360" w:lineRule="auto"/>
        <w:jc w:val="both"/>
      </w:pPr>
      <w:r>
        <w:rPr>
          <w:rtl w:val="0"/>
          <w:lang w:val="en-US"/>
        </w:rPr>
        <w:t xml:space="preserve">In the other hand, Antiochus I had a ready </w:t>
      </w:r>
      <w:r>
        <w:rPr>
          <w:rtl w:val="0"/>
          <w:lang w:val="en-US"/>
        </w:rPr>
        <w:t>battle-hardened army</w:t>
      </w:r>
      <w:r>
        <w:rPr>
          <w:rtl w:val="0"/>
          <w:lang w:val="en-US"/>
        </w:rPr>
        <w:t xml:space="preserve"> that</w:t>
      </w:r>
      <w:r>
        <w:rPr>
          <w:rtl w:val="0"/>
          <w:lang w:val="en-US"/>
        </w:rPr>
        <w:t xml:space="preserve"> had </w:t>
      </w:r>
      <w:r>
        <w:rPr>
          <w:rtl w:val="0"/>
          <w:lang w:val="en-US"/>
        </w:rPr>
        <w:t>fought</w:t>
      </w:r>
      <w:r>
        <w:rPr>
          <w:rtl w:val="0"/>
          <w:lang w:val="en-US"/>
        </w:rPr>
        <w:t xml:space="preserve"> in Asia Minor fo</w:t>
      </w:r>
      <w:r>
        <w:rPr>
          <w:rtl w:val="0"/>
          <w:lang w:val="en-US"/>
        </w:rPr>
        <w:t xml:space="preserve">r </w:t>
      </w:r>
      <w:r>
        <w:rPr>
          <w:rtl w:val="0"/>
          <w:lang w:val="en-US"/>
        </w:rPr>
        <w:t>years</w:t>
      </w:r>
      <w:r>
        <w:rPr>
          <w:rtl w:val="0"/>
          <w:lang w:val="en-US"/>
        </w:rPr>
        <w:t xml:space="preserve"> and very experienced </w:t>
      </w:r>
      <w:r>
        <w:rPr>
          <w:rtl w:val="0"/>
          <w:lang w:val="en-US"/>
        </w:rPr>
        <w:t xml:space="preserve">troops </w:t>
      </w:r>
      <w:r>
        <w:rPr>
          <w:rtl w:val="0"/>
          <w:lang w:val="en-US"/>
        </w:rPr>
        <w:t xml:space="preserve">in </w:t>
      </w:r>
      <w:r>
        <w:rPr>
          <w:rtl w:val="0"/>
          <w:lang w:val="en-US"/>
        </w:rPr>
        <w:t xml:space="preserve">the </w:t>
      </w:r>
      <w:r>
        <w:rPr>
          <w:rtl w:val="0"/>
          <w:lang w:val="en-US"/>
        </w:rPr>
        <w:t>E</w:t>
      </w:r>
      <w:r>
        <w:rPr>
          <w:rtl w:val="0"/>
          <w:lang w:val="en-US"/>
        </w:rPr>
        <w:t>ast</w:t>
      </w:r>
      <w:r>
        <w:rPr>
          <w:rtl w:val="0"/>
          <w:lang w:val="en-US"/>
        </w:rPr>
        <w:t>, which could be mobilised at his orders</w:t>
      </w:r>
      <w:r>
        <w:rPr>
          <w:vertAlign w:val="superscript"/>
        </w:rPr>
        <w:footnoteReference w:id="103"/>
      </w:r>
      <w:r>
        <w:rPr>
          <w:rtl w:val="0"/>
          <w:lang w:val="en-US"/>
        </w:rPr>
        <w:t>.</w:t>
      </w:r>
      <w:r>
        <w:rPr>
          <w:rtl w:val="0"/>
          <w:lang w:val="en-US"/>
        </w:rPr>
        <w:t xml:space="preserve"> The Seleukids had fought in Bactria and in Asia Minor. Their troops were extremely competent. It appears Antiochus I did not have many difficulties in expelling the Egyptians from Seleukid Syria. It seems that Antiochus even attempted to attack Egypt. There are records of Arsinoe II and Ptolemy II moving to the eastern side of the Nile to supervise the defences there. Even though the Ptolemies seemed to have been the stronger side in the 270s BC, they needed a navy and land troops to defend the Mediterranean, to control Macedon, his Cyrenaican enemies in the West and the Seleukids in the East. In the other hand, the Seleukids had garrisoned the different regions with native populations and they had just land troops. These conditions might have resulted on Ptolemy II</w:t>
      </w:r>
      <w:r>
        <w:rPr>
          <w:rtl w:val="0"/>
          <w:lang w:val="en-US"/>
        </w:rPr>
        <w:t>’</w:t>
      </w:r>
      <w:r>
        <w:rPr>
          <w:rtl w:val="0"/>
          <w:lang w:val="en-US"/>
        </w:rPr>
        <w:t xml:space="preserve">s failure to conquer North Syria.  </w:t>
      </w:r>
    </w:p>
    <w:p>
      <w:pPr>
        <w:pStyle w:val="justify"/>
        <w:spacing w:line="360" w:lineRule="auto"/>
        <w:jc w:val="both"/>
      </w:pPr>
    </w:p>
    <w:p>
      <w:pPr>
        <w:pStyle w:val="justify"/>
        <w:spacing w:line="360" w:lineRule="auto"/>
        <w:jc w:val="both"/>
      </w:pPr>
      <w:r>
        <w:rPr>
          <w:rtl w:val="0"/>
          <w:lang w:val="en-US"/>
        </w:rPr>
        <w:t xml:space="preserve">Besides the Seleukid threat, </w:t>
      </w:r>
      <w:r>
        <w:rPr>
          <w:rtl w:val="0"/>
          <w:lang w:val="en-US"/>
        </w:rPr>
        <w:t>Cyrene attacked Egypt</w:t>
      </w:r>
      <w:r>
        <w:rPr>
          <w:vertAlign w:val="superscript"/>
        </w:rPr>
        <w:footnoteReference w:id="104"/>
      </w:r>
      <w:r>
        <w:rPr>
          <w:rtl w:val="0"/>
          <w:lang w:val="en-US"/>
        </w:rPr>
        <w:t>. Ma</w:t>
      </w:r>
      <w:r>
        <w:rPr>
          <w:rtl w:val="0"/>
          <w:lang w:val="en-US"/>
        </w:rPr>
        <w:t>gas had been an ally to Egypt during the reign of Seleukus I Soter. With time though he became closer to the Seleukus house, an ally of Antiochus and a foe of the Ptolemies</w:t>
      </w:r>
      <w:r>
        <w:rPr>
          <w:vertAlign w:val="superscript"/>
        </w:rPr>
        <w:footnoteReference w:id="105"/>
      </w:r>
      <w:r>
        <w:rPr>
          <w:rtl w:val="0"/>
          <w:lang w:val="en-US"/>
        </w:rPr>
        <w:t>. Apama, daughter of Antiochus, married to Magas, bringing alliance between the two leaders</w:t>
      </w:r>
      <w:r>
        <w:rPr>
          <w:vertAlign w:val="superscript"/>
        </w:rPr>
        <w:footnoteReference w:id="106"/>
      </w:r>
      <w:r>
        <w:rPr>
          <w:rtl w:val="0"/>
          <w:lang w:val="en-US"/>
        </w:rPr>
        <w:t>. It seems that contacts between Antiochus and Magas happened a couple of years before that marriage, around 276 BC. The march against Egypt took place in 274 BC and at that time Magas was calling himself king. It is plausible that it occurred when Magas was already married and allied to Antiochus</w:t>
      </w:r>
      <w:r>
        <w:rPr>
          <w:vertAlign w:val="superscript"/>
        </w:rPr>
        <w:footnoteReference w:id="107"/>
      </w:r>
      <w:r>
        <w:rPr>
          <w:rtl w:val="0"/>
          <w:lang w:val="en-US"/>
        </w:rPr>
        <w:t xml:space="preserve">. </w:t>
      </w:r>
      <w:r>
        <w:rPr>
          <w:rtl w:val="0"/>
          <w:lang w:val="en-US"/>
        </w:rPr>
        <w:t>Magas though wasn</w:t>
      </w:r>
      <w:r>
        <w:rPr>
          <w:rtl w:val="0"/>
          <w:lang w:val="en-US"/>
        </w:rPr>
        <w:t>’</w:t>
      </w:r>
      <w:r>
        <w:rPr>
          <w:rtl w:val="0"/>
          <w:lang w:val="en-US"/>
        </w:rPr>
        <w:t xml:space="preserve">t very successful in his attempt to attack Egypt. At the same time as he attacked Egypt, the Libyans rose in Cyrenaica against him, </w:t>
      </w:r>
      <w:r>
        <w:rPr>
          <w:rtl w:val="0"/>
          <w:lang w:val="en-US"/>
        </w:rPr>
        <w:t>threaten</w:t>
      </w:r>
      <w:r>
        <w:rPr>
          <w:rtl w:val="0"/>
          <w:lang w:val="en-US"/>
        </w:rPr>
        <w:t>ing some of</w:t>
      </w:r>
      <w:r>
        <w:rPr>
          <w:rtl w:val="0"/>
          <w:lang w:val="en-US"/>
        </w:rPr>
        <w:t xml:space="preserve"> </w:t>
      </w:r>
      <w:r>
        <w:rPr>
          <w:rtl w:val="0"/>
          <w:lang w:val="en-US"/>
        </w:rPr>
        <w:t>Cyrene</w:t>
      </w:r>
      <w:r>
        <w:rPr>
          <w:rtl w:val="0"/>
          <w:lang w:val="en-US"/>
        </w:rPr>
        <w:t>’</w:t>
      </w:r>
      <w:r>
        <w:rPr>
          <w:rtl w:val="0"/>
          <w:lang w:val="en-US"/>
        </w:rPr>
        <w:t xml:space="preserve">s </w:t>
      </w:r>
      <w:r>
        <w:rPr>
          <w:rtl w:val="0"/>
          <w:lang w:val="en-US"/>
        </w:rPr>
        <w:t>Greek cities and lands</w:t>
      </w:r>
      <w:r>
        <w:rPr>
          <w:vertAlign w:val="superscript"/>
        </w:rPr>
        <w:footnoteReference w:id="108"/>
      </w:r>
      <w:r>
        <w:rPr>
          <w:rtl w:val="0"/>
          <w:lang w:val="en-US"/>
        </w:rPr>
        <w:t xml:space="preserve">. Magas managed somehow to control this rebellion, but did not continue with his attack to Egypt. </w:t>
      </w:r>
      <w:r>
        <w:rPr>
          <w:rtl w:val="0"/>
          <w:lang w:val="en-US"/>
        </w:rPr>
        <w:t>In the Encomium of Theocritus, Libya is mentioned as Ptolemy</w:t>
      </w:r>
      <w:r>
        <w:rPr>
          <w:rtl w:val="0"/>
          <w:lang w:val="en-US"/>
        </w:rPr>
        <w:t>’</w:t>
      </w:r>
      <w:r>
        <w:rPr>
          <w:rtl w:val="0"/>
          <w:lang w:val="en-US"/>
        </w:rPr>
        <w:t>s territory. It might be that it was just for geographical inclusiveness however, or just temporarily, as during the First Syrian war Cyrene definitely attempted to attack Egypt</w:t>
      </w:r>
      <w:r>
        <w:rPr>
          <w:vertAlign w:val="superscript"/>
        </w:rPr>
        <w:footnoteReference w:id="109"/>
      </w:r>
      <w:r>
        <w:rPr>
          <w:rtl w:val="0"/>
          <w:lang w:val="en-US"/>
        </w:rPr>
        <w:t xml:space="preserve">. Ptolemy therefore was threatened by the </w:t>
      </w:r>
      <w:r>
        <w:rPr>
          <w:rtl w:val="0"/>
          <w:lang w:val="en-US"/>
        </w:rPr>
        <w:t xml:space="preserve">Libyan nomads, the Marmaridae, </w:t>
      </w:r>
      <w:r>
        <w:rPr>
          <w:rtl w:val="0"/>
          <w:lang w:val="en-US"/>
        </w:rPr>
        <w:t>approaching from</w:t>
      </w:r>
      <w:r>
        <w:rPr>
          <w:rtl w:val="0"/>
          <w:lang w:val="en-US"/>
        </w:rPr>
        <w:t xml:space="preserve"> his rear</w:t>
      </w:r>
      <w:r>
        <w:rPr>
          <w:rtl w:val="0"/>
          <w:lang w:val="en-US"/>
        </w:rPr>
        <w:t xml:space="preserve">. Also by a Gauls mercenaries internal revolt, bringing terror to Alexandria. Under these circumstances, </w:t>
      </w:r>
      <w:r>
        <w:rPr>
          <w:rtl w:val="0"/>
          <w:lang w:val="en-US"/>
        </w:rPr>
        <w:t>Ptolemy II Philadelphus proposed, or even attempted, to attack Cyrenaica, but the internal Galatian rebellion in Egypt prevented this.</w:t>
      </w:r>
      <w:r>
        <w:rPr>
          <w:rtl w:val="0"/>
          <w:lang w:val="en-US"/>
        </w:rPr>
        <w:t xml:space="preserve"> </w:t>
      </w:r>
      <w:r>
        <w:rPr>
          <w:rtl w:val="0"/>
          <w:lang w:val="en-US"/>
        </w:rPr>
        <w:t xml:space="preserve">The Gauls were </w:t>
      </w:r>
      <w:r>
        <w:rPr>
          <w:rtl w:val="0"/>
          <w:lang w:val="en-US"/>
        </w:rPr>
        <w:t>somehow manoeuvred onto an island in the Nile</w:t>
      </w:r>
      <w:r>
        <w:rPr>
          <w:rtl w:val="0"/>
          <w:lang w:val="en-US"/>
        </w:rPr>
        <w:t>, where they all starved to death. It seems to have been quite a delicate moment for Ptolemy though, surrounded by enemies and with an internal rebellion. On the other hand, his enemies were also occupied with their own internal conflicts. As mentioned, Magas had trouble with an internal revolt and Antiochus with the Galatians</w:t>
      </w:r>
      <w:r>
        <w:rPr>
          <w:vertAlign w:val="superscript"/>
        </w:rPr>
        <w:footnoteReference w:id="110"/>
      </w:r>
      <w:r>
        <w:rPr>
          <w:rtl w:val="0"/>
          <w:lang w:val="en-US"/>
        </w:rPr>
        <w:t xml:space="preserve">. At a crucial moment, when Ptolemy was encircled by Magas, Antigonos and Antiochus and with internal rebels, he managed to handle the internal issue successfully and the external threat was prevented by their own conflicts. It seems not adventurous to assume that Ptolemy was involved somehow on their external conflicts. </w:t>
      </w:r>
    </w:p>
    <w:p>
      <w:pPr>
        <w:pStyle w:val="justify"/>
        <w:spacing w:line="360" w:lineRule="auto"/>
        <w:jc w:val="both"/>
      </w:pPr>
    </w:p>
    <w:p>
      <w:pPr>
        <w:pStyle w:val="justify"/>
        <w:spacing w:line="360" w:lineRule="auto"/>
        <w:jc w:val="both"/>
      </w:pPr>
      <w:r>
        <w:rPr>
          <w:rtl w:val="0"/>
          <w:lang w:val="en-US"/>
        </w:rPr>
        <w:t>All of this happened between 275 and 274 BC. Ptolemy might have accused Antiochus as the cause of Egypt</w:t>
      </w:r>
      <w:r>
        <w:rPr>
          <w:rtl w:val="0"/>
          <w:lang w:val="en-US"/>
        </w:rPr>
        <w:t>’</w:t>
      </w:r>
      <w:r>
        <w:rPr>
          <w:rtl w:val="0"/>
          <w:lang w:val="en-US"/>
        </w:rPr>
        <w:t>s troubles. The great procession, the mercenary mutiny, Magas</w:t>
      </w:r>
      <w:r>
        <w:rPr>
          <w:rtl w:val="0"/>
          <w:lang w:val="en-US"/>
        </w:rPr>
        <w:t xml:space="preserve">’ </w:t>
      </w:r>
      <w:r>
        <w:rPr>
          <w:rtl w:val="0"/>
          <w:lang w:val="en-US"/>
        </w:rPr>
        <w:t>revolt, the marriage with Arsinoe II, all seem to have happened around the same time. All these events might have triggered Ptolemy II</w:t>
      </w:r>
      <w:r>
        <w:rPr>
          <w:rtl w:val="0"/>
          <w:lang w:val="en-US"/>
        </w:rPr>
        <w:t>’</w:t>
      </w:r>
      <w:r>
        <w:rPr>
          <w:rtl w:val="0"/>
          <w:lang w:val="en-US"/>
        </w:rPr>
        <w:t>s decision to attack North Syria and his rival Antiochus I. Philadelphus had a naval power to attempt battling Antiochus I in Syria, but we mentioned that he faced constraints. Antiochus I on the other hand, was capable to attack Egypt, having a substantial defence in Syria, where some towns had been fortified by Antiochus father</w:t>
      </w:r>
      <w:r>
        <w:rPr>
          <w:vertAlign w:val="superscript"/>
        </w:rPr>
        <w:footnoteReference w:id="111"/>
      </w:r>
      <w:r>
        <w:rPr>
          <w:rtl w:val="0"/>
          <w:lang w:val="en-US"/>
        </w:rPr>
        <w:t>. So it is not adventurous to say that Antiochus was not only able to defend Syria, but of mounting an attack against Egypt, as it seems to have happened.</w:t>
      </w:r>
    </w:p>
    <w:p>
      <w:pPr>
        <w:pStyle w:val="justify"/>
        <w:spacing w:line="360" w:lineRule="auto"/>
        <w:jc w:val="both"/>
      </w:pPr>
    </w:p>
    <w:p>
      <w:pPr>
        <w:pStyle w:val="justify"/>
        <w:spacing w:line="360" w:lineRule="auto"/>
        <w:jc w:val="both"/>
      </w:pPr>
      <w:r>
        <w:rPr>
          <w:rtl w:val="0"/>
          <w:lang w:val="en-US"/>
        </w:rPr>
        <w:t>In fact, evidences imply that Ptolemy</w:t>
      </w:r>
      <w:r>
        <w:rPr>
          <w:rtl w:val="0"/>
          <w:lang w:val="en-US"/>
        </w:rPr>
        <w:t>’</w:t>
      </w:r>
      <w:r>
        <w:rPr>
          <w:rtl w:val="0"/>
          <w:lang w:val="en-US"/>
        </w:rPr>
        <w:t>s decision to enter Seleukid territory was a response to the threat Egypt felt, not just by Antiochus I, but by his alliances to Magas and Antigonos Gonatas</w:t>
      </w:r>
      <w:r>
        <w:rPr>
          <w:vertAlign w:val="superscript"/>
        </w:rPr>
        <w:footnoteReference w:id="112"/>
      </w:r>
      <w:r>
        <w:rPr>
          <w:rtl w:val="0"/>
          <w:lang w:val="en-US"/>
        </w:rPr>
        <w:t>. The Ptolemies trav</w:t>
      </w:r>
      <w:r>
        <w:rPr>
          <w:rtl w:val="0"/>
          <w:lang w:val="en-US"/>
        </w:rPr>
        <w:t>elling to the Nile</w:t>
      </w:r>
      <w:r>
        <w:rPr>
          <w:rtl w:val="0"/>
          <w:lang w:val="en-US"/>
        </w:rPr>
        <w:t>’</w:t>
      </w:r>
      <w:r>
        <w:rPr>
          <w:rtl w:val="0"/>
          <w:lang w:val="en-US"/>
        </w:rPr>
        <w:t>s Eastern border to build their defences implies Antio</w:t>
      </w:r>
      <w:r>
        <w:rPr>
          <w:rtl w:val="0"/>
          <w:lang w:val="en-US"/>
        </w:rPr>
        <w:t>chus deep penetration into Ptolemy</w:t>
      </w:r>
      <w:r>
        <w:rPr>
          <w:rtl w:val="0"/>
          <w:lang w:val="en-US"/>
        </w:rPr>
        <w:t>’</w:t>
      </w:r>
      <w:r>
        <w:rPr>
          <w:rtl w:val="0"/>
          <w:lang w:val="en-US"/>
        </w:rPr>
        <w:t>s territory.</w:t>
      </w:r>
      <w:r>
        <w:rPr>
          <w:rtl w:val="0"/>
          <w:lang w:val="en-US"/>
        </w:rPr>
        <w:t xml:space="preserve"> Pausanias mentions about Ptolemy</w:t>
      </w:r>
      <w:r>
        <w:rPr>
          <w:rtl w:val="0"/>
          <w:lang w:val="en-US"/>
        </w:rPr>
        <w:t>’</w:t>
      </w:r>
      <w:r>
        <w:rPr>
          <w:rtl w:val="0"/>
          <w:lang w:val="en-US"/>
        </w:rPr>
        <w:t>s strikes to prevent Antiochus I taking over Egypt. The stele of Pithom, an inscription found in the Louvre, and the poem of Theocritus</w:t>
      </w:r>
      <w:r>
        <w:rPr>
          <w:vertAlign w:val="superscript"/>
        </w:rPr>
        <w:footnoteReference w:id="113"/>
      </w:r>
      <w:r>
        <w:rPr>
          <w:rtl w:val="0"/>
          <w:lang w:val="en-US"/>
        </w:rPr>
        <w:t xml:space="preserve">, mention about Arsinoe II and </w:t>
      </w:r>
      <w:r>
        <w:rPr>
          <w:rtl w:val="0"/>
          <w:lang w:val="en-US"/>
        </w:rPr>
        <w:t xml:space="preserve">Ptolemy II visiting </w:t>
      </w:r>
      <w:r>
        <w:rPr>
          <w:rtl w:val="0"/>
          <w:lang w:val="en-US"/>
        </w:rPr>
        <w:t>Hero</w:t>
      </w:r>
      <w:r>
        <w:rPr>
          <w:rtl w:val="0"/>
          <w:lang w:val="en-US"/>
        </w:rPr>
        <w:t>ö</w:t>
      </w:r>
      <w:r>
        <w:rPr>
          <w:rtl w:val="0"/>
          <w:lang w:val="en-US"/>
        </w:rPr>
        <w:t>npolis</w:t>
      </w:r>
      <w:r>
        <w:rPr>
          <w:rtl w:val="0"/>
          <w:lang w:val="en-US"/>
        </w:rPr>
        <w:t>, on the isthmus of Suez, apparently to inspect some defence arrangements. The Pithom stele also makes mention of a Ptolemy</w:t>
      </w:r>
      <w:r>
        <w:rPr>
          <w:rtl w:val="0"/>
          <w:lang w:val="en-US"/>
        </w:rPr>
        <w:t>’</w:t>
      </w:r>
      <w:r>
        <w:rPr>
          <w:rtl w:val="0"/>
          <w:lang w:val="en-US"/>
        </w:rPr>
        <w:t>s expedition to a foreign land, from where they brought a number of gods, who had apparently being brought temporarily to these lands</w:t>
      </w:r>
      <w:r>
        <w:rPr>
          <w:vertAlign w:val="superscript"/>
        </w:rPr>
        <w:footnoteReference w:id="114"/>
      </w:r>
      <w:r>
        <w:rPr>
          <w:rtl w:val="0"/>
          <w:lang w:val="en-US"/>
        </w:rPr>
        <w:t>. There is support therefore that in 276 BC Ptolemy II entered Palestine and Syria and found those gods statuses, which took home. A Pausanias</w:t>
      </w:r>
      <w:r>
        <w:rPr>
          <w:rtl w:val="0"/>
          <w:lang w:val="en-US"/>
        </w:rPr>
        <w:t xml:space="preserve">’ </w:t>
      </w:r>
      <w:r>
        <w:rPr>
          <w:rtl w:val="0"/>
          <w:lang w:val="en-US"/>
        </w:rPr>
        <w:t>passage presupposes that Ptolemy II entered every corner of Seleukid territory and connects this with the posterior penetration of Antiochus I in Egypt.</w:t>
      </w:r>
    </w:p>
    <w:p>
      <w:pPr>
        <w:pStyle w:val="justify"/>
        <w:spacing w:line="360" w:lineRule="auto"/>
        <w:jc w:val="both"/>
      </w:pPr>
    </w:p>
    <w:p>
      <w:pPr>
        <w:pStyle w:val="justify"/>
        <w:spacing w:line="360" w:lineRule="auto"/>
        <w:jc w:val="both"/>
      </w:pPr>
      <w:r>
        <w:rPr>
          <w:rtl w:val="0"/>
          <w:lang w:val="en-US"/>
        </w:rPr>
        <w:t>Ptolemy II</w:t>
      </w:r>
      <w:r>
        <w:rPr>
          <w:rtl w:val="0"/>
          <w:lang w:val="en-US"/>
        </w:rPr>
        <w:t>’</w:t>
      </w:r>
      <w:r>
        <w:rPr>
          <w:rtl w:val="0"/>
          <w:lang w:val="en-US"/>
        </w:rPr>
        <w:t>s sister-wife Arsinoe II</w:t>
      </w:r>
      <w:r>
        <w:rPr>
          <w:rtl w:val="0"/>
          <w:lang w:val="en-US"/>
        </w:rPr>
        <w:t>’</w:t>
      </w:r>
      <w:r>
        <w:rPr>
          <w:rtl w:val="0"/>
          <w:lang w:val="en-US"/>
        </w:rPr>
        <w:t>s involvement seems out of the question. Facts, such as her popularity, she was called the Victory queen, Theocritus poem written after 271 BC, or successful victories on the Asia Minor coast, point at Arsinoe</w:t>
      </w:r>
      <w:r>
        <w:rPr>
          <w:rtl w:val="0"/>
          <w:lang w:val="en-US"/>
        </w:rPr>
        <w:t>’</w:t>
      </w:r>
      <w:r>
        <w:rPr>
          <w:rtl w:val="0"/>
          <w:lang w:val="en-US"/>
        </w:rPr>
        <w:t>s influence in the First Syrian war. The queen apparently had a key role in reorganising the army, accompanying her husband in war and turning the conflict to their favour after the Ptolemies would have suffered defeats. Her husband acknowledged his debt to her policies in a stele erected in 266 BC</w:t>
      </w:r>
      <w:r>
        <w:rPr>
          <w:vertAlign w:val="superscript"/>
        </w:rPr>
        <w:footnoteReference w:id="115"/>
      </w:r>
      <w:r>
        <w:rPr>
          <w:rtl w:val="0"/>
          <w:lang w:val="en-US"/>
        </w:rPr>
        <w:t>. As Tarn W. W. states, i</w:t>
      </w:r>
      <w:r>
        <w:rPr>
          <w:rtl w:val="0"/>
          <w:lang w:val="en-US"/>
        </w:rPr>
        <w:t>t seems plausible</w:t>
      </w:r>
      <w:r>
        <w:rPr>
          <w:rtl w:val="0"/>
          <w:lang w:val="en-US"/>
        </w:rPr>
        <w:t xml:space="preserve"> that the First Syrian War had a direct effect into the marriage of Ptolemy II with his sister. The date of the marriage might have had an effect on the result of the First Syrian War, as the Ptolemies acquired the whole coast of Asia Minor from the Calyadnus in Cilicia round to Miletus</w:t>
      </w:r>
      <w:r>
        <w:rPr>
          <w:vertAlign w:val="superscript"/>
        </w:rPr>
        <w:footnoteReference w:id="116"/>
      </w:r>
      <w:r>
        <w:rPr>
          <w:rtl w:val="0"/>
          <w:lang w:val="en-US"/>
        </w:rPr>
        <w:t>. In fact, after Arsinoe</w:t>
      </w:r>
      <w:r>
        <w:rPr>
          <w:rtl w:val="0"/>
          <w:lang w:val="en-US"/>
        </w:rPr>
        <w:t>’</w:t>
      </w:r>
      <w:r>
        <w:rPr>
          <w:rtl w:val="0"/>
          <w:lang w:val="en-US"/>
        </w:rPr>
        <w:t>s death, the Ptolemies lost to the house of the Seleukids much of Asia Minor</w:t>
      </w:r>
      <w:r>
        <w:rPr>
          <w:rtl w:val="0"/>
          <w:lang w:val="en-US"/>
        </w:rPr>
        <w:t>’</w:t>
      </w:r>
      <w:r>
        <w:rPr>
          <w:rtl w:val="0"/>
          <w:lang w:val="en-US"/>
        </w:rPr>
        <w:t xml:space="preserve">s coast, Cyrenaica and much of the command of the sea. </w:t>
      </w:r>
    </w:p>
    <w:p>
      <w:pPr>
        <w:pStyle w:val="justify"/>
        <w:spacing w:line="360" w:lineRule="auto"/>
        <w:jc w:val="both"/>
      </w:pPr>
    </w:p>
    <w:p>
      <w:pPr>
        <w:pStyle w:val="justify"/>
        <w:spacing w:line="360" w:lineRule="auto"/>
        <w:jc w:val="both"/>
      </w:pPr>
      <w:r>
        <w:rPr>
          <w:rtl w:val="0"/>
          <w:lang w:val="en-US"/>
        </w:rPr>
        <w:t>Nevertheless, it seems that the First Syrian war ended up with a stalemate, in which no side was able to make any serious gain. The peace between the Ptolemies and the Seleukids arrived between</w:t>
      </w:r>
      <w:r>
        <w:rPr>
          <w:rtl w:val="0"/>
          <w:lang w:val="en-US"/>
        </w:rPr>
        <w:t xml:space="preserve"> 272</w:t>
      </w:r>
      <w:r>
        <w:rPr>
          <w:rtl w:val="0"/>
          <w:lang w:val="en-US"/>
        </w:rPr>
        <w:t xml:space="preserve"> - </w:t>
      </w:r>
      <w:r>
        <w:rPr>
          <w:rtl w:val="0"/>
          <w:lang w:val="en-US"/>
        </w:rPr>
        <w:t>271</w:t>
      </w:r>
      <w:r>
        <w:rPr>
          <w:rtl w:val="0"/>
          <w:lang w:val="en-US"/>
        </w:rPr>
        <w:t xml:space="preserve"> BC, when an outbreak of a plague in Babylonia required the attention of Antiochus I</w:t>
      </w:r>
      <w:r>
        <w:rPr>
          <w:vertAlign w:val="superscript"/>
        </w:rPr>
        <w:footnoteReference w:id="117"/>
      </w:r>
      <w:r>
        <w:rPr>
          <w:rtl w:val="0"/>
          <w:lang w:val="en-US"/>
        </w:rPr>
        <w:t>. Any part o</w:t>
      </w:r>
      <w:r>
        <w:rPr>
          <w:rtl w:val="0"/>
          <w:lang w:val="en-US"/>
        </w:rPr>
        <w:t xml:space="preserve">f Syria taken by Antiochus was recovered by Ptolemy II forces. In Asia Minor, gains balanced with losses. Magas remained with some sort of independence, but unable to conquer </w:t>
      </w:r>
      <w:r>
        <w:rPr>
          <w:rtl w:val="0"/>
          <w:lang w:val="en-US"/>
        </w:rPr>
        <w:t>any part of Egypt. Antiochus beat the Galatians in the elephant battle or managed to hold them diplomatically. Both houses signed an agreement in which each side kept their boundaries and territory</w:t>
      </w:r>
      <w:r>
        <w:rPr>
          <w:vertAlign w:val="superscript"/>
        </w:rPr>
        <w:footnoteReference w:id="118"/>
      </w:r>
      <w:r>
        <w:rPr>
          <w:rtl w:val="0"/>
          <w:lang w:val="en-US"/>
        </w:rPr>
        <w:t>. Ptolemy II proclaimed himself</w:t>
      </w:r>
      <w:r>
        <w:rPr>
          <w:rtl w:val="0"/>
          <w:lang w:val="en-US"/>
        </w:rPr>
        <w:t xml:space="preserve"> of having rescued Egyptian gods from captivity amongst </w:t>
      </w:r>
      <w:r>
        <w:rPr>
          <w:rtl w:val="0"/>
          <w:lang w:val="en-US"/>
        </w:rPr>
        <w:t xml:space="preserve">its foes and of having control over </w:t>
      </w:r>
      <w:r>
        <w:rPr>
          <w:rtl w:val="0"/>
          <w:lang w:val="en-US"/>
        </w:rPr>
        <w:t xml:space="preserve">Phoenicia up to southern and western Anatolia, with the Nesiotic League acting as the last boundaries of </w:t>
      </w:r>
      <w:r>
        <w:rPr>
          <w:rtl w:val="0"/>
          <w:lang w:val="en-US"/>
        </w:rPr>
        <w:t>his</w:t>
      </w:r>
      <w:r>
        <w:rPr>
          <w:rtl w:val="0"/>
          <w:lang w:val="en-US"/>
        </w:rPr>
        <w:t xml:space="preserve"> influence</w:t>
      </w:r>
      <w:r>
        <w:rPr>
          <w:rtl w:val="0"/>
          <w:lang w:val="en-US"/>
        </w:rPr>
        <w:t>. The alliance with Miletus was renewed and influence over Samos and Caria resulted from this war. Further expansion to Lycia and Pamphylia is also attested</w:t>
      </w:r>
      <w:r>
        <w:rPr>
          <w:vertAlign w:val="superscript"/>
        </w:rPr>
        <w:footnoteReference w:id="119"/>
      </w:r>
      <w:r>
        <w:rPr>
          <w:rtl w:val="0"/>
          <w:lang w:val="en-US"/>
        </w:rPr>
        <w:t>. There seems to have been Ptolemy</w:t>
      </w:r>
      <w:r>
        <w:rPr>
          <w:rtl w:val="0"/>
          <w:lang w:val="en-US"/>
        </w:rPr>
        <w:t>’</w:t>
      </w:r>
      <w:r>
        <w:rPr>
          <w:rtl w:val="0"/>
          <w:lang w:val="en-US"/>
        </w:rPr>
        <w:t>s officials in Caria and Pamphylia after the war. Ptolemy</w:t>
      </w:r>
      <w:r>
        <w:rPr>
          <w:rtl w:val="0"/>
          <w:lang w:val="en-US"/>
        </w:rPr>
        <w:t>’</w:t>
      </w:r>
      <w:r>
        <w:rPr>
          <w:rtl w:val="0"/>
          <w:lang w:val="en-US"/>
        </w:rPr>
        <w:t xml:space="preserve">s occupation of </w:t>
      </w:r>
      <w:r>
        <w:rPr>
          <w:rtl w:val="0"/>
          <w:lang w:val="en-US"/>
        </w:rPr>
        <w:t>Caria, Lycia and Pamphylia</w:t>
      </w:r>
      <w:r>
        <w:rPr>
          <w:rtl w:val="0"/>
          <w:lang w:val="en-US"/>
        </w:rPr>
        <w:t xml:space="preserve"> had definitely aimed at protecting Egypt from its neighbour. The end of the First Syrian War was a renewal of the status quo, obtaining Ptolemy the control of the Nesiotic League and other conquests in Ionia.  </w:t>
      </w:r>
    </w:p>
    <w:p>
      <w:pPr>
        <w:pStyle w:val="justify"/>
        <w:spacing w:line="360" w:lineRule="auto"/>
        <w:jc w:val="both"/>
      </w:pPr>
    </w:p>
    <w:p>
      <w:pPr>
        <w:pStyle w:val="justify"/>
        <w:spacing w:line="360" w:lineRule="auto"/>
        <w:jc w:val="both"/>
      </w:pPr>
      <w:r>
        <w:rPr>
          <w:rtl w:val="0"/>
          <w:lang w:val="en-US"/>
        </w:rPr>
        <w:t>A pattern of the Syrian wars</w:t>
      </w:r>
      <w:r>
        <w:rPr>
          <w:rtl w:val="0"/>
          <w:lang w:val="en-US"/>
        </w:rPr>
        <w:t xml:space="preserve">’ </w:t>
      </w:r>
      <w:r>
        <w:rPr>
          <w:rtl w:val="0"/>
          <w:lang w:val="en-US"/>
        </w:rPr>
        <w:t>peace agreements is that they were for life. The First Syrian War ended and peace in Syria continued until one year after the death of Antiochus I, around 260 BC, when it started the Second Syrian war</w:t>
      </w:r>
      <w:r>
        <w:rPr>
          <w:vertAlign w:val="superscript"/>
        </w:rPr>
        <w:footnoteReference w:id="120"/>
      </w:r>
      <w:r>
        <w:rPr>
          <w:rtl w:val="0"/>
          <w:lang w:val="en-US"/>
        </w:rPr>
        <w:t>. There is no single record of a Syrian war rising between opponents that had signed a peace agreement and all Syrian wars started right after one of the two kings died. I</w:t>
      </w:r>
      <w:r>
        <w:rPr>
          <w:rtl w:val="0"/>
          <w:lang w:val="en-US"/>
        </w:rPr>
        <w:t>n international relations</w:t>
      </w:r>
      <w:r>
        <w:rPr>
          <w:rtl w:val="0"/>
          <w:lang w:val="en-US"/>
        </w:rPr>
        <w:t>,</w:t>
      </w:r>
      <w:r>
        <w:rPr>
          <w:rtl w:val="0"/>
          <w:lang w:val="en-US"/>
        </w:rPr>
        <w:t xml:space="preserve"> only their personal honour gave guarantee that an agreement would </w:t>
      </w:r>
      <w:r>
        <w:rPr>
          <w:rtl w:val="0"/>
          <w:lang w:val="en-US"/>
        </w:rPr>
        <w:t>be respected. History suggests that this was the case in the conflicts between these two houses. However, this practice allowed kings to move to other projects with confidence. Besides, those projects have in many cases a direct effect on the conflicts themselves. An example is Ptolemy II</w:t>
      </w:r>
      <w:r>
        <w:rPr>
          <w:rtl w:val="0"/>
          <w:lang w:val="en-US"/>
        </w:rPr>
        <w:t>’</w:t>
      </w:r>
      <w:r>
        <w:rPr>
          <w:rtl w:val="0"/>
          <w:lang w:val="en-US"/>
        </w:rPr>
        <w:t>s assistance to Byzantium against the Galatian kingdom of Tylis, which was located on the Asian side. A land which Antiochus I could have claimed by right of both inheritance and conquest. The assistance therefore came against Seleukids interests, allowing Ptolemy II to have certain relation with the Northern league and against his main foes</w:t>
      </w:r>
      <w:r>
        <w:rPr>
          <w:vertAlign w:val="superscript"/>
        </w:rPr>
        <w:footnoteReference w:id="121"/>
      </w:r>
      <w:r>
        <w:rPr>
          <w:rtl w:val="0"/>
          <w:lang w:val="en-US"/>
        </w:rPr>
        <w:t>. This was also a way to demonstrate Ptolemy</w:t>
      </w:r>
      <w:r>
        <w:rPr>
          <w:rtl w:val="0"/>
          <w:lang w:val="en-US"/>
        </w:rPr>
        <w:t>’</w:t>
      </w:r>
      <w:r>
        <w:rPr>
          <w:rtl w:val="0"/>
          <w:lang w:val="en-US"/>
        </w:rPr>
        <w:t xml:space="preserve">s power, by passing between both allied kingdoms, the Antigonid and the Seleukid houses. Ptolemy II had already proved to be </w:t>
      </w:r>
      <w:r>
        <w:rPr>
          <w:i w:val="1"/>
          <w:iCs w:val="1"/>
          <w:rtl w:val="0"/>
          <w:lang w:val="en-US"/>
        </w:rPr>
        <w:t>hegemon</w:t>
      </w:r>
      <w:r>
        <w:rPr>
          <w:rtl w:val="0"/>
          <w:lang w:val="en-US"/>
        </w:rPr>
        <w:t xml:space="preserve"> of the Island League and possessor of cities in </w:t>
      </w:r>
      <w:r>
        <w:rPr>
          <w:rtl w:val="0"/>
          <w:lang w:val="en-US"/>
        </w:rPr>
        <w:t xml:space="preserve">the Aegean </w:t>
      </w:r>
      <w:r>
        <w:rPr>
          <w:rtl w:val="0"/>
          <w:lang w:val="en-US"/>
        </w:rPr>
        <w:t xml:space="preserve">along the Ionian coast. </w:t>
      </w:r>
      <w:r>
        <w:rPr>
          <w:rtl w:val="0"/>
          <w:lang w:val="en-US"/>
        </w:rPr>
        <w:t>So his move to the straits implied a power threat against Antigonos and Antiochus, who depended on food supplies having to be crossed over the straits.</w:t>
      </w:r>
    </w:p>
    <w:p>
      <w:pPr>
        <w:pStyle w:val="justify"/>
        <w:spacing w:line="360" w:lineRule="auto"/>
        <w:jc w:val="both"/>
      </w:pPr>
    </w:p>
    <w:p>
      <w:pPr>
        <w:pStyle w:val="justify"/>
        <w:spacing w:line="360" w:lineRule="auto"/>
        <w:jc w:val="both"/>
      </w:pPr>
      <w:r>
        <w:rPr>
          <w:rtl w:val="0"/>
          <w:lang w:val="en-US"/>
        </w:rPr>
        <w:t>Ptolemy also sent an expedition with a Macedonian named Ariston to explore the Arabian coast, arriving until the gulf of Aqaba. The expedition to Arabia should have occurred around 278 BC, after the first phase of the First Syrian War. The Pithom stele places the expedition sometime in between 280 - 279 BC and 274 - 239 BC, but the First Syrian War leaves just the years of 278 and 277 BC as provable years for the expedition. Ptolemy</w:t>
      </w:r>
      <w:r>
        <w:rPr>
          <w:rtl w:val="0"/>
          <w:lang w:val="en-US"/>
        </w:rPr>
        <w:t>’</w:t>
      </w:r>
      <w:r>
        <w:rPr>
          <w:rtl w:val="0"/>
          <w:lang w:val="en-US"/>
        </w:rPr>
        <w:t>s acquisition of Miletus in 279 BC was a challenge to Antiochus I, who must have reacted to it. T</w:t>
      </w:r>
      <w:r>
        <w:rPr>
          <w:rtl w:val="0"/>
          <w:lang w:val="en-US"/>
        </w:rPr>
        <w:t>he fact that Ptolemy II did not follow up on this challenge until 276 BC, seems to place the exploration of Arabia at around 278 - 277 BC. This also implies that Arabia was attractive to the Egyptian king, perhaps even more attractive at the time than challenging his opponents</w:t>
      </w:r>
      <w:r>
        <w:rPr>
          <w:vertAlign w:val="superscript"/>
        </w:rPr>
        <w:footnoteReference w:id="122"/>
      </w:r>
      <w:r>
        <w:rPr>
          <w:rtl w:val="0"/>
          <w:lang w:val="en-US"/>
        </w:rPr>
        <w:t>.</w:t>
      </w:r>
    </w:p>
    <w:p>
      <w:pPr>
        <w:pStyle w:val="justify"/>
        <w:spacing w:line="360" w:lineRule="auto"/>
        <w:jc w:val="both"/>
      </w:pPr>
    </w:p>
    <w:p>
      <w:pPr>
        <w:pStyle w:val="justify"/>
        <w:spacing w:line="360" w:lineRule="auto"/>
        <w:jc w:val="both"/>
      </w:pPr>
      <w:r>
        <w:rPr>
          <w:rtl w:val="0"/>
          <w:lang w:val="en-US"/>
        </w:rPr>
        <w:t>Two versions of the periplus of Ariston, one by Agatharchides and one by Strabo, say of his orders to explore the Red sea coast up until the ocean, the Sinai Peninsula round the Nabataean Aelana and then coasting southward to reach Bab-el-Mandeb</w:t>
      </w:r>
      <w:r>
        <w:rPr>
          <w:vertAlign w:val="superscript"/>
        </w:rPr>
        <w:footnoteReference w:id="123"/>
      </w:r>
      <w:r>
        <w:rPr>
          <w:rtl w:val="0"/>
          <w:lang w:val="en-US"/>
        </w:rPr>
        <w:t xml:space="preserve">. </w:t>
      </w:r>
      <w:r>
        <w:rPr>
          <w:rtl w:val="0"/>
          <w:lang w:val="en-US"/>
        </w:rPr>
        <w:t>Ptolemy II</w:t>
      </w:r>
      <w:r>
        <w:rPr>
          <w:rtl w:val="0"/>
          <w:lang w:val="en-US"/>
        </w:rPr>
        <w:t>’</w:t>
      </w:r>
      <w:r>
        <w:rPr>
          <w:rtl w:val="0"/>
          <w:lang w:val="en-US"/>
        </w:rPr>
        <w:t xml:space="preserve">s interest in Arabia most provably related to economical and trading interests. </w:t>
      </w:r>
      <w:r>
        <w:rPr>
          <w:rtl w:val="0"/>
          <w:lang w:val="en-US"/>
        </w:rPr>
        <w:t>We find scholars mentioning about sumptuous luxury being brought from Arabia to Alexandria</w:t>
      </w:r>
      <w:r>
        <w:rPr>
          <w:vertAlign w:val="superscript"/>
        </w:rPr>
        <w:footnoteReference w:id="124"/>
      </w:r>
      <w:r>
        <w:rPr>
          <w:rtl w:val="0"/>
          <w:lang w:val="en-US"/>
        </w:rPr>
        <w:t>. Ptolemy II</w:t>
      </w:r>
      <w:r>
        <w:rPr>
          <w:rtl w:val="0"/>
          <w:lang w:val="en-US"/>
        </w:rPr>
        <w:t>’</w:t>
      </w:r>
      <w:r>
        <w:rPr>
          <w:rtl w:val="0"/>
          <w:lang w:val="en-US"/>
        </w:rPr>
        <w:t>s intention of tapping the Arabian trade might then have been one of the reasons for the periplus to Arabia, the usage of Arabian guards another one. Trading for horses and the introduction of camels, which could be used for war against his Seleukids</w:t>
      </w:r>
      <w:r>
        <w:rPr>
          <w:rtl w:val="0"/>
          <w:lang w:val="en-US"/>
        </w:rPr>
        <w:t xml:space="preserve">’ </w:t>
      </w:r>
      <w:r>
        <w:rPr>
          <w:rtl w:val="0"/>
          <w:lang w:val="en-US"/>
        </w:rPr>
        <w:t>opponents or as a form of transformation within the reign, could be other reasons</w:t>
      </w:r>
      <w:r>
        <w:rPr>
          <w:vertAlign w:val="superscript"/>
        </w:rPr>
        <w:footnoteReference w:id="125"/>
      </w:r>
      <w:r>
        <w:rPr>
          <w:rtl w:val="0"/>
          <w:lang w:val="en-US"/>
        </w:rPr>
        <w:t>. The Seleukids seemed to have had the control over the inner Persian gulf, with Gerrha as main hub for the Arabian trade. It is plausible then that Ptolemy II</w:t>
      </w:r>
      <w:r>
        <w:rPr>
          <w:rtl w:val="0"/>
          <w:lang w:val="en-US"/>
        </w:rPr>
        <w:t>’</w:t>
      </w:r>
      <w:r>
        <w:rPr>
          <w:rtl w:val="0"/>
          <w:lang w:val="en-US"/>
        </w:rPr>
        <w:t>s move into the Arabian Ampelone, Arsinoe, Philotera, Myos Hormos, Berenice and Ptolemais Epitheras, and especially Dedan, which was first in Minaean and then in Lihyanite hands, helped to supply Egypt with Arabian and eastern goods</w:t>
      </w:r>
      <w:r>
        <w:rPr>
          <w:vertAlign w:val="superscript"/>
        </w:rPr>
        <w:footnoteReference w:id="126"/>
      </w:r>
      <w:r>
        <w:rPr>
          <w:rtl w:val="0"/>
          <w:lang w:val="en-US"/>
        </w:rPr>
        <w:t>. Ptolemy</w:t>
      </w:r>
      <w:r>
        <w:rPr>
          <w:rtl w:val="0"/>
          <w:lang w:val="en-US"/>
        </w:rPr>
        <w:t>’</w:t>
      </w:r>
      <w:r>
        <w:rPr>
          <w:rtl w:val="0"/>
          <w:lang w:val="en-US"/>
        </w:rPr>
        <w:t>s interest in this area might have been related also to the incense route, a trade course coming from South Arabia and India, through Dedan (Al-</w:t>
      </w:r>
      <w:r>
        <w:rPr>
          <w:rtl w:val="0"/>
          <w:lang w:val="en-US"/>
        </w:rPr>
        <w:t>‘</w:t>
      </w:r>
      <w:r>
        <w:rPr>
          <w:rtl w:val="0"/>
          <w:lang w:val="en-US"/>
        </w:rPr>
        <w:t>Ula) and Hegra (Madain Salih), diverging to Teima and arriving to Petra, from where it diverted to Gaza or to Damascus and Tyre.</w:t>
      </w:r>
    </w:p>
    <w:p>
      <w:pPr>
        <w:pStyle w:val="justify"/>
        <w:spacing w:line="360" w:lineRule="auto"/>
        <w:jc w:val="both"/>
      </w:pPr>
    </w:p>
    <w:p>
      <w:pPr>
        <w:pStyle w:val="justify"/>
        <w:spacing w:line="360" w:lineRule="auto"/>
        <w:jc w:val="both"/>
      </w:pPr>
      <w:r>
        <w:rPr>
          <w:rtl w:val="0"/>
          <w:lang w:val="en-US"/>
        </w:rPr>
        <w:t>As mentioned, if those exploring missions aimed at getting some grab of the trading routes, this obviously conflicted with Nabataean interests. There are evidences that Antigonos I tried conquering Petra and failed. These same sources allude to other Macedonians venturing, suggesting Ptolemy II</w:t>
      </w:r>
      <w:r>
        <w:rPr>
          <w:rtl w:val="0"/>
          <w:lang w:val="en-US"/>
        </w:rPr>
        <w:t>’</w:t>
      </w:r>
      <w:r>
        <w:rPr>
          <w:rtl w:val="0"/>
          <w:lang w:val="en-US"/>
        </w:rPr>
        <w:t>s atte</w:t>
      </w:r>
      <w:r>
        <w:rPr>
          <w:rtl w:val="0"/>
          <w:lang w:val="en-US"/>
        </w:rPr>
        <w:t>mpt. Philadelphus seems to have sent a military expedition across the Red sea visiting unknown places of Arabia.</w:t>
      </w:r>
      <w:r>
        <w:rPr>
          <w:color w:val="ff2600"/>
          <w:rtl w:val="0"/>
          <w:lang w:val="en-US"/>
        </w:rPr>
        <w:t xml:space="preserve"> </w:t>
      </w:r>
      <w:r>
        <w:rPr>
          <w:rtl w:val="0"/>
          <w:lang w:val="en-US"/>
        </w:rPr>
        <w:t>Diodorus mentions that the Nabateans, jealous of the Egyptians frequent trading visits to Aqaba, plundered and fitted out their ships, with the intention of exerting them from these areas</w:t>
      </w:r>
      <w:r>
        <w:rPr>
          <w:vertAlign w:val="superscript"/>
        </w:rPr>
        <w:footnoteReference w:id="127"/>
      </w:r>
      <w:r>
        <w:rPr>
          <w:rtl w:val="0"/>
          <w:lang w:val="en-US"/>
        </w:rPr>
        <w:t xml:space="preserve">. There is also the mentioning of Parsetet, alluding to an area under </w:t>
      </w:r>
      <w:r>
        <w:rPr>
          <w:position w:val="2"/>
          <w:rtl w:val="0"/>
          <w:lang w:val="en-US"/>
        </w:rPr>
        <w:t xml:space="preserve">Achaemenid </w:t>
      </w:r>
      <w:r>
        <w:rPr>
          <w:rtl w:val="0"/>
          <w:lang w:val="en-US"/>
        </w:rPr>
        <w:t>rule or</w:t>
      </w:r>
      <w:r>
        <w:rPr>
          <w:rtl w:val="0"/>
          <w:lang w:val="en-US"/>
        </w:rPr>
        <w:t xml:space="preserve"> suzerainty, maybe located in the north-west of Arabia. </w:t>
      </w:r>
      <w:r>
        <w:rPr>
          <w:rtl w:val="0"/>
          <w:lang w:val="en-US"/>
        </w:rPr>
        <w:t>Tarn W. W. sa</w:t>
      </w:r>
      <w:r>
        <w:rPr>
          <w:rtl w:val="0"/>
          <w:lang w:val="en-US"/>
        </w:rPr>
        <w:t>ys that the arrival to Parsetet was intended to</w:t>
      </w:r>
      <w:r>
        <w:rPr>
          <w:rtl w:val="0"/>
          <w:lang w:val="en-US"/>
        </w:rPr>
        <w:t xml:space="preserve"> </w:t>
      </w:r>
      <w:r>
        <w:rPr>
          <w:rtl w:val="0"/>
          <w:lang w:val="en-US"/>
        </w:rPr>
        <w:t>form relations with communities, provably with the Minaeans inhabiting Al-</w:t>
      </w:r>
      <w:r>
        <w:rPr>
          <w:rtl w:val="0"/>
          <w:lang w:val="en-US"/>
        </w:rPr>
        <w:t>‘</w:t>
      </w:r>
      <w:r>
        <w:rPr>
          <w:rtl w:val="0"/>
          <w:lang w:val="en-US"/>
        </w:rPr>
        <w:t>Ula, on the Medina railway, in North West Arabia</w:t>
      </w:r>
      <w:r>
        <w:rPr>
          <w:vertAlign w:val="superscript"/>
        </w:rPr>
        <w:footnoteReference w:id="128"/>
      </w:r>
      <w:r>
        <w:rPr>
          <w:rtl w:val="0"/>
          <w:lang w:val="en-US"/>
        </w:rPr>
        <w:t>. A community that traded by land and sea.</w:t>
      </w:r>
    </w:p>
    <w:p>
      <w:pPr>
        <w:pStyle w:val="justify"/>
        <w:spacing w:line="360" w:lineRule="auto"/>
        <w:jc w:val="both"/>
      </w:pPr>
    </w:p>
    <w:p>
      <w:pPr>
        <w:pStyle w:val="justify"/>
        <w:spacing w:line="360" w:lineRule="auto"/>
        <w:jc w:val="both"/>
      </w:pPr>
      <w:r>
        <w:rPr>
          <w:rtl w:val="0"/>
          <w:lang w:val="en-US"/>
        </w:rPr>
        <w:t xml:space="preserve">Philadelphus therefore might have dreamt to have the control of the Nabataeans trade route to reach the incense-land, but he certainly failed. His relations with the Arabs are obscure. In 273 BC he put in place some measures to protect Heroopolis, in the Gulf of Suez and against the Arabs. It is written in </w:t>
      </w:r>
      <w:r>
        <w:rPr>
          <w:rtl w:val="0"/>
          <w:lang w:val="en-US"/>
        </w:rPr>
        <w:t>the stele from Pithom</w:t>
      </w:r>
      <w:r>
        <w:rPr>
          <w:rtl w:val="0"/>
          <w:lang w:val="en-US"/>
        </w:rPr>
        <w:t xml:space="preserve">, that after cleaning up the canal connecting the Nile and the Red sea, an expedition went until a place called Teshi, in Persia, where he found the gods of Egypt. In the Mendes stelae it is mentioned about the digging of a canal </w:t>
      </w:r>
      <w:r>
        <w:rPr>
          <w:rtl w:val="0"/>
          <w:lang w:val="en-US"/>
        </w:rPr>
        <w:t xml:space="preserve">along the eastern border of Egypt (modern Suez canal), </w:t>
      </w:r>
      <w:r>
        <w:rPr>
          <w:rtl w:val="0"/>
          <w:lang w:val="en-US"/>
        </w:rPr>
        <w:t xml:space="preserve">while the Pithom stelae touches on a canal </w:t>
      </w:r>
      <w:r>
        <w:rPr>
          <w:rtl w:val="0"/>
          <w:lang w:val="en-US"/>
        </w:rPr>
        <w:t xml:space="preserve">beginning </w:t>
      </w:r>
      <w:r>
        <w:rPr>
          <w:rtl w:val="0"/>
          <w:lang w:val="en-US"/>
        </w:rPr>
        <w:t>at</w:t>
      </w:r>
      <w:r>
        <w:rPr>
          <w:rtl w:val="0"/>
          <w:lang w:val="en-US"/>
        </w:rPr>
        <w:t xml:space="preserve"> the north of Heliopolis and ending in the Scorpion Lake (connect</w:t>
      </w:r>
      <w:r>
        <w:rPr>
          <w:rtl w:val="0"/>
          <w:lang w:val="en-US"/>
        </w:rPr>
        <w:t>ing</w:t>
      </w:r>
      <w:r>
        <w:rPr>
          <w:rtl w:val="0"/>
          <w:lang w:val="en-US"/>
        </w:rPr>
        <w:t xml:space="preserve"> the Nile </w:t>
      </w:r>
      <w:r>
        <w:rPr>
          <w:rtl w:val="0"/>
          <w:lang w:val="en-US"/>
        </w:rPr>
        <w:t>and</w:t>
      </w:r>
      <w:r>
        <w:rPr>
          <w:rtl w:val="0"/>
          <w:lang w:val="en-US"/>
        </w:rPr>
        <w:t xml:space="preserve"> the Red Sea)</w:t>
      </w:r>
      <w:r>
        <w:rPr>
          <w:vertAlign w:val="superscript"/>
        </w:rPr>
        <w:footnoteReference w:id="129"/>
      </w:r>
      <w:r>
        <w:rPr>
          <w:rtl w:val="0"/>
          <w:lang w:val="en-US"/>
        </w:rPr>
        <w:t>.</w:t>
      </w:r>
      <w:r>
        <w:rPr>
          <w:rtl w:val="0"/>
          <w:lang w:val="en-US"/>
        </w:rPr>
        <w:t xml:space="preserve"> The supposition though that there was an expedition to the areas south of the Mahra coast seems unlikely. Effective knowledge of the Arabian coast was provably confined to the Persian Golf north of Al Qatar</w:t>
      </w:r>
      <w:r>
        <w:rPr>
          <w:vertAlign w:val="superscript"/>
        </w:rPr>
        <w:footnoteReference w:id="130"/>
      </w:r>
      <w:r>
        <w:rPr>
          <w:rtl w:val="0"/>
          <w:lang w:val="en-US"/>
        </w:rPr>
        <w:t>. Tarn W. W. states that neither Eratosthenes, Juba, nor Pliny, knew something of Arabia, except for the Persian gulf and Oman</w:t>
      </w:r>
      <w:r>
        <w:rPr>
          <w:vertAlign w:val="superscript"/>
        </w:rPr>
        <w:footnoteReference w:id="131"/>
      </w:r>
      <w:r>
        <w:rPr>
          <w:rtl w:val="0"/>
          <w:lang w:val="en-US"/>
        </w:rPr>
        <w:t>.</w:t>
      </w:r>
    </w:p>
    <w:p>
      <w:pPr>
        <w:pStyle w:val="justify"/>
        <w:spacing w:line="360" w:lineRule="auto"/>
        <w:jc w:val="both"/>
      </w:pPr>
    </w:p>
    <w:p>
      <w:pPr>
        <w:pStyle w:val="justify"/>
        <w:spacing w:line="360" w:lineRule="auto"/>
        <w:jc w:val="both"/>
      </w:pPr>
      <w:r>
        <w:rPr>
          <w:rtl w:val="0"/>
          <w:lang w:val="en-US"/>
        </w:rPr>
        <w:t>The accession of Pyrrhus to the Epirus kingdom had also relation to that struggle between Antigonos Gonatas and Antiochus I on one side and Ptolemy II on the other. Pyrrhus marriage to Ptolemy I</w:t>
      </w:r>
      <w:r>
        <w:rPr>
          <w:rtl w:val="0"/>
          <w:lang w:val="en-US"/>
        </w:rPr>
        <w:t>’</w:t>
      </w:r>
      <w:r>
        <w:rPr>
          <w:rtl w:val="0"/>
          <w:lang w:val="en-US"/>
        </w:rPr>
        <w:t>s step daughter aimed at bounding both kingdoms together and it seems that Ptolemy II supported financially Epirus. By supporting Pyrrhus, Philadelphus established an ally in the context of Macedonia and allowed Egypt to focus in Syria against the house of the Seleukids</w:t>
      </w:r>
      <w:r>
        <w:rPr>
          <w:vertAlign w:val="superscript"/>
        </w:rPr>
        <w:footnoteReference w:id="132"/>
      </w:r>
      <w:r>
        <w:rPr>
          <w:rtl w:val="0"/>
          <w:lang w:val="en-US"/>
        </w:rPr>
        <w:t xml:space="preserve">.  An example of this we find in 285 - 281 BC, when Pyrrhus was in conflict against Lysimachus over Macedonia, while at that time Ptolemy II was under increasing pressure from Antiochus I. There was certain degree of flexibility between the kingdoms of Epirus and Egypt. </w:t>
      </w:r>
      <w:r>
        <w:rPr>
          <w:rtl w:val="0"/>
          <w:lang w:val="en-US"/>
        </w:rPr>
        <w:t>Both kingdoms had their internal affairs to attend, but its alliance benefitted both of them, adding good value to the house of the Ptolemies. By pressing Lysimachus and most importantly the later Antigonids, Pyrrhus released the house of Ptolemies of an enemy who could threaten Egypt. For the Egyptian king, it meant having an ally close to a perilous enemy and support to be able to focus on the Seleukids. For Pyrrhus the support was to have a powerful friend on his side. As an example just to mention that on one occasion and o</w:t>
      </w:r>
      <w:r>
        <w:rPr>
          <w:rtl w:val="0"/>
          <w:lang w:val="en-US"/>
        </w:rPr>
        <w:t xml:space="preserve">n Pyrrhus absence, </w:t>
      </w:r>
      <w:r>
        <w:rPr>
          <w:rtl w:val="0"/>
          <w:lang w:val="en-US"/>
        </w:rPr>
        <w:t>Ptolemy II beca</w:t>
      </w:r>
      <w:r>
        <w:rPr>
          <w:rtl w:val="0"/>
          <w:lang w:val="en-US"/>
        </w:rPr>
        <w:t>me stewardship</w:t>
      </w:r>
      <w:r>
        <w:rPr>
          <w:vertAlign w:val="superscript"/>
        </w:rPr>
        <w:footnoteReference w:id="133"/>
      </w:r>
      <w:r>
        <w:rPr>
          <w:rtl w:val="0"/>
          <w:lang w:val="en-US"/>
        </w:rPr>
        <w:t xml:space="preserve"> of the Epirus kingdom.</w:t>
      </w:r>
    </w:p>
    <w:p>
      <w:pPr>
        <w:pStyle w:val="justify"/>
        <w:spacing w:line="360" w:lineRule="auto"/>
        <w:jc w:val="both"/>
      </w:pPr>
    </w:p>
    <w:p>
      <w:pPr>
        <w:pStyle w:val="justify"/>
        <w:spacing w:line="360" w:lineRule="auto"/>
        <w:jc w:val="both"/>
      </w:pPr>
      <w:r>
        <w:rPr>
          <w:rtl w:val="0"/>
          <w:lang w:val="en-US"/>
        </w:rPr>
        <w:t>History though probed that this alliance would not last. E</w:t>
      </w:r>
      <w:r>
        <w:rPr>
          <w:rtl w:val="0"/>
          <w:lang w:val="en-US"/>
        </w:rPr>
        <w:t xml:space="preserve">ven though Pyrrhus had been supported by the Ptolemies, we find occasions when he received support from all three opponents. In Tarentum for example, he received </w:t>
      </w:r>
      <w:r>
        <w:rPr>
          <w:rtl w:val="0"/>
          <w:lang w:val="en-US"/>
        </w:rPr>
        <w:t>loans of ships from Antigonus, money from Antiochus</w:t>
      </w:r>
      <w:r>
        <w:rPr>
          <w:rtl w:val="0"/>
          <w:lang w:val="en-US"/>
        </w:rPr>
        <w:t xml:space="preserve"> </w:t>
      </w:r>
      <w:r>
        <w:rPr>
          <w:rtl w:val="0"/>
          <w:lang w:val="en-US"/>
        </w:rPr>
        <w:t>and Macedonian soldiers from Ptolemy</w:t>
      </w:r>
      <w:r>
        <w:rPr>
          <w:vertAlign w:val="superscript"/>
        </w:rPr>
        <w:footnoteReference w:id="134"/>
      </w:r>
      <w:r>
        <w:rPr>
          <w:rtl w:val="0"/>
          <w:lang w:val="en-US"/>
        </w:rPr>
        <w:t>. Pyrrhus success in Tarentum could have brought the area of influence for the Ptolemies even further, to the West into the Mediterranean. So support from Ptolemy II in Tarentum seems plausible</w:t>
      </w:r>
      <w:r>
        <w:rPr>
          <w:vertAlign w:val="superscript"/>
        </w:rPr>
        <w:footnoteReference w:id="135"/>
      </w:r>
      <w:r>
        <w:rPr>
          <w:rtl w:val="0"/>
          <w:lang w:val="en-US"/>
        </w:rPr>
        <w:t xml:space="preserve">. However, the Lagids and the Carthaginians would have traded together for a while. </w:t>
      </w:r>
      <w:r>
        <w:rPr>
          <w:rtl w:val="0"/>
          <w:lang w:val="en-US"/>
        </w:rPr>
        <w:t>Pyrrhus</w:t>
      </w:r>
      <w:r>
        <w:rPr>
          <w:rtl w:val="0"/>
          <w:lang w:val="en-US"/>
        </w:rPr>
        <w:t xml:space="preserve">’ </w:t>
      </w:r>
      <w:r>
        <w:rPr>
          <w:rtl w:val="0"/>
          <w:lang w:val="en-US"/>
        </w:rPr>
        <w:t xml:space="preserve">attack to Rome and to Carthage resulted on a disaster. </w:t>
      </w:r>
      <w:r>
        <w:rPr>
          <w:rtl w:val="0"/>
          <w:lang w:val="en-US"/>
        </w:rPr>
        <w:t xml:space="preserve">This encounter between Epirus and Carthage provably broke the relationships between Pyrrhus and Ptolemy II, who saw threatened his business interests in the West. </w:t>
      </w:r>
      <w:r>
        <w:rPr>
          <w:rtl w:val="0"/>
          <w:lang w:val="en-US"/>
        </w:rPr>
        <w:t xml:space="preserve">Knowing of the growing power of its western neighbours, Ptolemy II sent embassy to Rome and most importantly to Carthage for friendship. </w:t>
      </w:r>
      <w:r>
        <w:rPr>
          <w:rtl w:val="0"/>
          <w:lang w:val="en-US"/>
        </w:rPr>
        <w:t>It might have been that Philadelphus looked at the influence and power exercised by both kingdoms and decided that Carthage was more important to keep relationships with. Egypt remained neutral in the conflict, even though it provided military assistance to Epirus for around two years. Besides, by leaving the region, first towards Tarentum and afterwards towards Sicily, Pyrrhus alliance wasn't as attractive and useful for the Egyptians as before. The alliance between the house of Antigonids and the house of the Seleukids, which happened at the same time as Pyrrhus was in Tarentum, in around 278 BC, added pressure to Ptolemy II. Philadelphus must have felt abandoned by his ally and its activities in the West. Pyrrhus</w:t>
      </w:r>
      <w:r>
        <w:rPr>
          <w:rtl w:val="0"/>
          <w:lang w:val="en-US"/>
        </w:rPr>
        <w:t>’</w:t>
      </w:r>
      <w:r>
        <w:rPr>
          <w:rtl w:val="0"/>
          <w:lang w:val="en-US"/>
        </w:rPr>
        <w:t>s financial and military support by the other two houses explains this break in relationships with Ptolemy. These events provably fed the move of the focus of the struggle towards Macedonia, with the start of the Chremonidean war</w:t>
      </w:r>
      <w:r>
        <w:rPr>
          <w:vertAlign w:val="superscript"/>
        </w:rPr>
        <w:footnoteReference w:id="136"/>
      </w:r>
      <w:r>
        <w:rPr>
          <w:rtl w:val="0"/>
          <w:lang w:val="en-US"/>
        </w:rPr>
        <w:t>. A conflict that provably changed the priorities for the House of the Ptolemies.</w:t>
      </w:r>
    </w:p>
    <w:p>
      <w:pPr>
        <w:pStyle w:val="justify"/>
        <w:spacing w:line="360" w:lineRule="auto"/>
        <w:jc w:val="both"/>
      </w:pPr>
    </w:p>
    <w:p>
      <w:pPr>
        <w:pStyle w:val="justify"/>
        <w:spacing w:line="360" w:lineRule="auto"/>
        <w:jc w:val="both"/>
      </w:pPr>
      <w:r>
        <w:rPr>
          <w:rtl w:val="0"/>
          <w:lang w:val="en-US"/>
        </w:rPr>
        <w:t>Another important foreign policy followed by the Ptolemies, implemented for the first time by Ptolemy II Philadelphus and very much related to their relation and conflict against the Seleukids was Egypt</w:t>
      </w:r>
      <w:r>
        <w:rPr>
          <w:rtl w:val="0"/>
          <w:lang w:val="en-US"/>
        </w:rPr>
        <w:t>’</w:t>
      </w:r>
      <w:r>
        <w:rPr>
          <w:rtl w:val="0"/>
          <w:lang w:val="en-US"/>
        </w:rPr>
        <w:t xml:space="preserve">s intervention in Nubia, in around 270 BC. Following up from Ancient Pharaonic Egyptians, the Ptolemies looked to the south of Egypt and into the door of other African regions. Explorers such as </w:t>
      </w:r>
      <w:r>
        <w:rPr>
          <w:rtl w:val="0"/>
          <w:lang w:val="en-US"/>
        </w:rPr>
        <w:t>Phil</w:t>
      </w:r>
      <w:r>
        <w:rPr>
          <w:rtl w:val="0"/>
          <w:lang w:val="en-US"/>
        </w:rPr>
        <w:t>on, S</w:t>
      </w:r>
      <w:r>
        <w:rPr>
          <w:rtl w:val="0"/>
          <w:lang w:val="en-US"/>
        </w:rPr>
        <w:t>atyrus</w:t>
      </w:r>
      <w:r>
        <w:rPr>
          <w:rtl w:val="0"/>
          <w:lang w:val="en-US"/>
        </w:rPr>
        <w:t xml:space="preserve">, </w:t>
      </w:r>
      <w:r>
        <w:rPr>
          <w:rtl w:val="0"/>
          <w:lang w:val="en-US"/>
        </w:rPr>
        <w:t>Eumedes</w:t>
      </w:r>
      <w:r>
        <w:rPr>
          <w:rtl w:val="0"/>
          <w:lang w:val="en-US"/>
        </w:rPr>
        <w:t xml:space="preserve">, which was </w:t>
      </w:r>
      <w:r>
        <w:rPr>
          <w:rtl w:val="0"/>
          <w:lang w:val="en-US"/>
        </w:rPr>
        <w:t>the</w:t>
      </w:r>
      <w:r>
        <w:rPr>
          <w:rtl w:val="0"/>
          <w:lang w:val="en-US"/>
        </w:rPr>
        <w:t xml:space="preserve"> </w:t>
      </w:r>
      <w:r>
        <w:rPr>
          <w:rtl w:val="0"/>
          <w:lang w:val="en-US"/>
        </w:rPr>
        <w:t>founder of Ptolemais of the Hunts</w:t>
      </w:r>
      <w:r>
        <w:rPr>
          <w:rtl w:val="0"/>
          <w:lang w:val="en-US"/>
        </w:rPr>
        <w:t xml:space="preserve">, </w:t>
      </w:r>
      <w:r>
        <w:rPr>
          <w:rtl w:val="0"/>
          <w:lang w:val="en-US"/>
        </w:rPr>
        <w:t>Simonides the Younger</w:t>
      </w:r>
      <w:r>
        <w:rPr>
          <w:rtl w:val="0"/>
          <w:lang w:val="en-US"/>
        </w:rPr>
        <w:t xml:space="preserve"> or Tosuches, appear to have visited Nubia</w:t>
      </w:r>
      <w:r>
        <w:rPr>
          <w:vertAlign w:val="superscript"/>
        </w:rPr>
        <w:footnoteReference w:id="137"/>
      </w:r>
      <w:r>
        <w:rPr>
          <w:rtl w:val="0"/>
          <w:lang w:val="en-US"/>
        </w:rPr>
        <w:t xml:space="preserve">. There are reports from these authors and from other synthetic reports based on those authors, such as </w:t>
      </w:r>
      <w:r>
        <w:rPr>
          <w:i w:val="1"/>
          <w:iCs w:val="1"/>
          <w:rtl w:val="0"/>
          <w:lang w:val="en-US"/>
        </w:rPr>
        <w:t>On</w:t>
      </w:r>
      <w:r>
        <w:rPr>
          <w:i w:val="1"/>
          <w:iCs w:val="1"/>
          <w:rtl w:val="0"/>
          <w:lang w:val="en-US"/>
        </w:rPr>
        <w:t xml:space="preserve"> Harbours </w:t>
      </w:r>
      <w:r>
        <w:rPr>
          <w:rtl w:val="0"/>
          <w:lang w:val="en-US"/>
        </w:rPr>
        <w:t>of</w:t>
      </w:r>
      <w:r>
        <w:rPr>
          <w:rtl w:val="0"/>
          <w:lang w:val="en-US"/>
        </w:rPr>
        <w:t xml:space="preserve"> </w:t>
      </w:r>
      <w:r>
        <w:rPr>
          <w:rtl w:val="0"/>
          <w:lang w:val="en-US"/>
        </w:rPr>
        <w:t>the</w:t>
      </w:r>
      <w:r>
        <w:rPr>
          <w:rtl w:val="0"/>
          <w:lang w:val="en-US"/>
        </w:rPr>
        <w:t xml:space="preserve"> </w:t>
      </w:r>
      <w:r>
        <w:rPr>
          <w:rtl w:val="0"/>
          <w:lang w:val="en-US"/>
        </w:rPr>
        <w:t>Ptolemaic</w:t>
      </w:r>
      <w:r>
        <w:rPr>
          <w:rtl w:val="0"/>
          <w:lang w:val="en-US"/>
        </w:rPr>
        <w:t xml:space="preserve"> </w:t>
      </w:r>
      <w:r>
        <w:rPr>
          <w:rtl w:val="0"/>
          <w:lang w:val="en-US"/>
        </w:rPr>
        <w:t>admiral</w:t>
      </w:r>
      <w:r>
        <w:rPr>
          <w:rtl w:val="0"/>
          <w:lang w:val="en-US"/>
        </w:rPr>
        <w:t xml:space="preserve"> </w:t>
      </w:r>
      <w:r>
        <w:rPr>
          <w:rtl w:val="0"/>
          <w:lang w:val="en-US"/>
        </w:rPr>
        <w:t>Timosthenes</w:t>
      </w:r>
      <w:r>
        <w:rPr>
          <w:rtl w:val="0"/>
          <w:lang w:val="en-US"/>
        </w:rPr>
        <w:t xml:space="preserve">, </w:t>
      </w:r>
      <w:r>
        <w:rPr>
          <w:i w:val="1"/>
          <w:iCs w:val="1"/>
          <w:rtl w:val="0"/>
          <w:lang w:val="en-US"/>
        </w:rPr>
        <w:t>T</w:t>
      </w:r>
      <w:r>
        <w:rPr>
          <w:i w:val="1"/>
          <w:iCs w:val="1"/>
          <w:rtl w:val="0"/>
          <w:lang w:val="en-US"/>
        </w:rPr>
        <w:t>he</w:t>
      </w:r>
      <w:r>
        <w:rPr>
          <w:i w:val="1"/>
          <w:iCs w:val="1"/>
          <w:rtl w:val="0"/>
          <w:lang w:val="en-US"/>
        </w:rPr>
        <w:t xml:space="preserve"> </w:t>
      </w:r>
      <w:r>
        <w:rPr>
          <w:i w:val="1"/>
          <w:iCs w:val="1"/>
          <w:rtl w:val="0"/>
          <w:lang w:val="en-US"/>
        </w:rPr>
        <w:t>Geography</w:t>
      </w:r>
      <w:r>
        <w:rPr>
          <w:i w:val="1"/>
          <w:iCs w:val="1"/>
          <w:rtl w:val="0"/>
          <w:lang w:val="en-US"/>
        </w:rPr>
        <w:t xml:space="preserve"> </w:t>
      </w:r>
      <w:r>
        <w:rPr>
          <w:rtl w:val="0"/>
          <w:lang w:val="en-US"/>
        </w:rPr>
        <w:t xml:space="preserve">by </w:t>
      </w:r>
      <w:r>
        <w:rPr>
          <w:rtl w:val="0"/>
          <w:lang w:val="en-US"/>
        </w:rPr>
        <w:t>Eratosthene</w:t>
      </w:r>
      <w:r>
        <w:rPr>
          <w:rtl w:val="0"/>
          <w:lang w:val="en-US"/>
        </w:rPr>
        <w:t xml:space="preserve">s </w:t>
      </w:r>
      <w:r>
        <w:rPr>
          <w:rtl w:val="0"/>
          <w:lang w:val="en-US"/>
        </w:rPr>
        <w:t xml:space="preserve">and </w:t>
      </w:r>
      <w:r>
        <w:rPr>
          <w:i w:val="1"/>
          <w:iCs w:val="1"/>
          <w:rtl w:val="0"/>
          <w:lang w:val="en-US"/>
        </w:rPr>
        <w:t>On the Erythraean Sea</w:t>
      </w:r>
      <w:r>
        <w:rPr>
          <w:rtl w:val="0"/>
          <w:lang w:val="en-US"/>
        </w:rPr>
        <w:t xml:space="preserve"> </w:t>
      </w:r>
      <w:r>
        <w:rPr>
          <w:rtl w:val="0"/>
          <w:lang w:val="en-US"/>
        </w:rPr>
        <w:t>by</w:t>
      </w:r>
      <w:r>
        <w:rPr>
          <w:rtl w:val="0"/>
          <w:lang w:val="en-US"/>
        </w:rPr>
        <w:t xml:space="preserve"> Agatharchides of Cnidus</w:t>
      </w:r>
      <w:r>
        <w:rPr>
          <w:rtl w:val="0"/>
          <w:lang w:val="en-US"/>
        </w:rPr>
        <w:t>, mentioning about Nubian experiences, which helps our understanding of Ptolemies</w:t>
      </w:r>
      <w:r>
        <w:rPr>
          <w:rtl w:val="0"/>
          <w:lang w:val="en-US"/>
        </w:rPr>
        <w:t xml:space="preserve">’ </w:t>
      </w:r>
      <w:r>
        <w:rPr>
          <w:rtl w:val="0"/>
          <w:lang w:val="en-US"/>
        </w:rPr>
        <w:t>contact with Nubia. The Ptolemies obtained in Nubia Sub-saharan African goods, including gold, exotic woods, ivory and other animal products, essential for religious cults and for the lifestyle of Egypt</w:t>
      </w:r>
      <w:r>
        <w:rPr>
          <w:rtl w:val="0"/>
          <w:lang w:val="en-US"/>
        </w:rPr>
        <w:t>’</w:t>
      </w:r>
      <w:r>
        <w:rPr>
          <w:rtl w:val="0"/>
          <w:lang w:val="en-US"/>
        </w:rPr>
        <w:t>s elite. Besides, the reign of Kush had been rival for the domination of Upper Egypt since Ancient times and Ptolemy</w:t>
      </w:r>
      <w:r>
        <w:rPr>
          <w:rtl w:val="0"/>
          <w:lang w:val="en-US"/>
        </w:rPr>
        <w:t>’</w:t>
      </w:r>
      <w:r>
        <w:rPr>
          <w:rtl w:val="0"/>
          <w:lang w:val="en-US"/>
        </w:rPr>
        <w:t>s control over the area was key for Egypt</w:t>
      </w:r>
      <w:r>
        <w:rPr>
          <w:rtl w:val="0"/>
          <w:lang w:val="en-US"/>
        </w:rPr>
        <w:t>’</w:t>
      </w:r>
      <w:r>
        <w:rPr>
          <w:rtl w:val="0"/>
          <w:lang w:val="en-US"/>
        </w:rPr>
        <w:t xml:space="preserve">s safety. The reign of Kush saw themselves as </w:t>
      </w:r>
      <w:r>
        <w:rPr>
          <w:rtl w:val="0"/>
          <w:lang w:val="en-US"/>
        </w:rPr>
        <w:t>the heirs of the Nubian kings of Egypt</w:t>
      </w:r>
      <w:r>
        <w:rPr>
          <w:rtl w:val="0"/>
          <w:lang w:val="en-US"/>
        </w:rPr>
        <w:t>’</w:t>
      </w:r>
      <w:r>
        <w:rPr>
          <w:rtl w:val="0"/>
          <w:lang w:val="en-US"/>
        </w:rPr>
        <w:t>s twenty-fifth dynasty</w:t>
      </w:r>
      <w:r>
        <w:rPr>
          <w:rtl w:val="0"/>
          <w:lang w:val="en-US"/>
        </w:rPr>
        <w:t>, so the Ptolemies must have felt the danger. In fact, during the fourth century the Kush kingdom tried taking advantage of a weak situation in Egypt to invade the area</w:t>
      </w:r>
      <w:r>
        <w:rPr>
          <w:vertAlign w:val="superscript"/>
        </w:rPr>
        <w:footnoteReference w:id="138"/>
      </w:r>
      <w:r>
        <w:rPr>
          <w:rtl w:val="0"/>
          <w:lang w:val="en-US"/>
        </w:rPr>
        <w:t>. So not just Alexander but even Ptolemy I defended the area against Nubia.</w:t>
      </w:r>
    </w:p>
    <w:p>
      <w:pPr>
        <w:pStyle w:val="justify"/>
        <w:spacing w:line="360" w:lineRule="auto"/>
        <w:jc w:val="both"/>
      </w:pPr>
    </w:p>
    <w:p>
      <w:pPr>
        <w:pStyle w:val="justify"/>
        <w:spacing w:line="360" w:lineRule="auto"/>
        <w:jc w:val="both"/>
      </w:pPr>
      <w:r>
        <w:rPr>
          <w:rtl w:val="0"/>
          <w:lang w:val="en-US"/>
        </w:rPr>
        <w:t>It was during Ptolemy II</w:t>
      </w:r>
      <w:r>
        <w:rPr>
          <w:rtl w:val="0"/>
          <w:lang w:val="en-US"/>
        </w:rPr>
        <w:t>’</w:t>
      </w:r>
      <w:r>
        <w:rPr>
          <w:rtl w:val="0"/>
          <w:lang w:val="en-US"/>
        </w:rPr>
        <w:t xml:space="preserve">s reign that the Egyptians started a </w:t>
      </w:r>
      <w:r>
        <w:rPr>
          <w:rtl w:val="0"/>
          <w:lang w:val="en-US"/>
        </w:rPr>
        <w:t>large scale activity in Nubia</w:t>
      </w:r>
      <w:r>
        <w:rPr>
          <w:rtl w:val="0"/>
          <w:lang w:val="en-US"/>
        </w:rPr>
        <w:t>, opening new relations with the Kushite kingdom. Theocritus and Agatharchides gave credit of it on their writings. A</w:t>
      </w:r>
      <w:r>
        <w:rPr>
          <w:rtl w:val="0"/>
          <w:lang w:val="en-US"/>
        </w:rPr>
        <w:t>t this time</w:t>
      </w:r>
      <w:r>
        <w:rPr>
          <w:rtl w:val="0"/>
          <w:lang w:val="en-US"/>
        </w:rPr>
        <w:t>,</w:t>
      </w:r>
      <w:r>
        <w:rPr>
          <w:rtl w:val="0"/>
          <w:lang w:val="en-US"/>
        </w:rPr>
        <w:t xml:space="preserve"> Elephantine </w:t>
      </w:r>
      <w:r>
        <w:rPr>
          <w:rtl w:val="0"/>
          <w:lang w:val="en-US"/>
        </w:rPr>
        <w:t xml:space="preserve">possibly </w:t>
      </w:r>
      <w:r>
        <w:rPr>
          <w:rtl w:val="0"/>
          <w:lang w:val="en-US"/>
        </w:rPr>
        <w:t>was the frontier station</w:t>
      </w:r>
      <w:r>
        <w:rPr>
          <w:rtl w:val="0"/>
          <w:lang w:val="en-US"/>
        </w:rPr>
        <w:t xml:space="preserve"> between both kingdoms</w:t>
      </w:r>
      <w:r>
        <w:rPr>
          <w:rtl w:val="0"/>
          <w:lang w:val="en-US"/>
        </w:rPr>
        <w:t xml:space="preserve">. </w:t>
      </w:r>
      <w:r>
        <w:rPr>
          <w:rtl w:val="0"/>
          <w:lang w:val="en-US"/>
        </w:rPr>
        <w:t>According to Diodorus, Philadelphus funded</w:t>
      </w:r>
      <w:r>
        <w:rPr>
          <w:rtl w:val="0"/>
          <w:lang w:val="en-US"/>
        </w:rPr>
        <w:t xml:space="preserve"> an expedition with a Greek force into Ethiopia, </w:t>
      </w:r>
      <w:r>
        <w:rPr>
          <w:rtl w:val="0"/>
          <w:lang w:val="en-US"/>
        </w:rPr>
        <w:t xml:space="preserve">discovering the country to </w:t>
      </w:r>
      <w:r>
        <w:rPr>
          <w:rtl w:val="0"/>
          <w:lang w:val="en-US"/>
        </w:rPr>
        <w:t>the knowledge of the Greeks</w:t>
      </w:r>
      <w:r>
        <w:rPr>
          <w:rtl w:val="0"/>
          <w:lang w:val="en-US"/>
        </w:rPr>
        <w:t>,</w:t>
      </w:r>
      <w:r>
        <w:rPr>
          <w:rtl w:val="0"/>
          <w:lang w:val="en-US"/>
        </w:rPr>
        <w:t xml:space="preserve"> a</w:t>
      </w:r>
      <w:r>
        <w:rPr>
          <w:rtl w:val="0"/>
          <w:lang w:val="en-US"/>
        </w:rPr>
        <w:t xml:space="preserve">n area </w:t>
      </w:r>
      <w:r>
        <w:rPr>
          <w:rtl w:val="0"/>
          <w:lang w:val="en-US"/>
        </w:rPr>
        <w:t>hitherto outside their ken. One rather gathers that geographical curiosity and the desire to obtain strange beasts counted for something amongst Ptolemy</w:t>
      </w:r>
      <w:r>
        <w:rPr>
          <w:rtl w:val="0"/>
          <w:lang w:val="en-US"/>
        </w:rPr>
        <w:t> </w:t>
      </w:r>
      <w:r>
        <w:rPr>
          <w:rtl w:val="0"/>
          <w:lang w:val="en-US"/>
        </w:rPr>
        <w:t>II's motives</w:t>
      </w:r>
      <w:r>
        <w:rPr>
          <w:rStyle w:val="Hyperlink.0"/>
        </w:rPr>
        <w:fldChar w:fldCharType="begin" w:fldLock="0"/>
      </w:r>
      <w:r>
        <w:rPr>
          <w:rStyle w:val="Hyperlink.0"/>
        </w:rPr>
        <w:instrText xml:space="preserve"> HYPERLINK "http://penelope.uchicago.edu/Thayer/E/Gazetteer/Places/Africa/Egypt/_Texts/BEVHOP/3*.html#note41"</w:instrText>
      </w:r>
      <w:r>
        <w:rPr>
          <w:rStyle w:val="Hyperlink.0"/>
        </w:rPr>
        <w:fldChar w:fldCharType="separate" w:fldLock="0"/>
      </w:r>
      <w:r>
        <w:rPr>
          <w:rStyle w:val="Hyperlink.0"/>
          <w:rtl w:val="0"/>
          <w:lang w:val="en-US"/>
        </w:rPr>
        <w:t>41</w:t>
      </w:r>
      <w:r>
        <w:rPr/>
        <w:fldChar w:fldCharType="end" w:fldLock="0"/>
      </w:r>
      <w:r>
        <w:rPr>
          <w:rtl w:val="0"/>
          <w:lang w:val="en-US"/>
        </w:rPr>
        <w:t>.</w:t>
      </w:r>
      <w:r>
        <w:rPr>
          <w:rtl w:val="0"/>
          <w:lang w:val="en-US"/>
        </w:rPr>
        <w:t> </w:t>
      </w:r>
      <w:r>
        <w:rPr>
          <w:rtl w:val="0"/>
          <w:lang w:val="en-US"/>
        </w:rPr>
        <w:t>W</w:t>
      </w:r>
      <w:r>
        <w:rPr>
          <w:rtl w:val="0"/>
          <w:lang w:val="en-US"/>
        </w:rPr>
        <w:t>e hear at any rate of no attempt to annex Ethiopia.</w:t>
      </w:r>
      <w:r>
        <w:rPr>
          <w:rtl w:val="0"/>
          <w:lang w:val="en-US"/>
        </w:rPr>
        <w:t xml:space="preserve"> In fact, Diodorus tells of Ptolemy II interest in Ethiopia, more for obtaining strange beasts and gathering geographical curiosity.</w:t>
      </w:r>
    </w:p>
    <w:p>
      <w:pPr>
        <w:pStyle w:val="justify"/>
        <w:spacing w:line="360" w:lineRule="auto"/>
        <w:jc w:val="both"/>
      </w:pPr>
    </w:p>
    <w:p>
      <w:pPr>
        <w:pStyle w:val="justify"/>
        <w:spacing w:line="360" w:lineRule="auto"/>
        <w:jc w:val="both"/>
      </w:pPr>
      <w:r>
        <w:rPr>
          <w:rtl w:val="0"/>
          <w:lang w:val="en-US"/>
        </w:rPr>
        <w:t xml:space="preserve">Behind the activity in Nubia there was an economical interest, the </w:t>
      </w:r>
      <w:r>
        <w:rPr>
          <w:rtl w:val="0"/>
          <w:lang w:val="en-US"/>
        </w:rPr>
        <w:t xml:space="preserve">control </w:t>
      </w:r>
      <w:r>
        <w:rPr>
          <w:rtl w:val="0"/>
          <w:lang w:val="en-US"/>
        </w:rPr>
        <w:t>over</w:t>
      </w:r>
      <w:r>
        <w:rPr>
          <w:rtl w:val="0"/>
          <w:lang w:val="en-US"/>
        </w:rPr>
        <w:t xml:space="preserve"> the </w:t>
      </w:r>
      <w:r>
        <w:rPr>
          <w:rtl w:val="0"/>
          <w:lang w:val="en-US"/>
        </w:rPr>
        <w:t>g</w:t>
      </w:r>
      <w:r>
        <w:rPr>
          <w:rtl w:val="0"/>
          <w:lang w:val="en-US"/>
        </w:rPr>
        <w:t>old mining region east of the Nile in the Wadi Allaqi</w:t>
      </w:r>
      <w:r>
        <w:rPr>
          <w:rtl w:val="0"/>
          <w:lang w:val="en-US"/>
        </w:rPr>
        <w:t>. This mine area supported part of Egypt</w:t>
      </w:r>
      <w:r>
        <w:rPr>
          <w:rtl w:val="0"/>
          <w:lang w:val="en-US"/>
        </w:rPr>
        <w:t>’</w:t>
      </w:r>
      <w:r>
        <w:rPr>
          <w:rtl w:val="0"/>
          <w:lang w:val="en-US"/>
        </w:rPr>
        <w:t xml:space="preserve">s foreign policy </w:t>
      </w:r>
      <w:r>
        <w:rPr>
          <w:rtl w:val="0"/>
          <w:lang w:val="en-US"/>
        </w:rPr>
        <w:t xml:space="preserve">in the Aegean and </w:t>
      </w:r>
      <w:r>
        <w:rPr>
          <w:rtl w:val="0"/>
          <w:lang w:val="en-US"/>
        </w:rPr>
        <w:t xml:space="preserve">in </w:t>
      </w:r>
      <w:r>
        <w:rPr>
          <w:rtl w:val="0"/>
          <w:lang w:val="en-US"/>
        </w:rPr>
        <w:t>western Asia</w:t>
      </w:r>
      <w:r>
        <w:rPr>
          <w:rtl w:val="0"/>
          <w:lang w:val="en-US"/>
        </w:rPr>
        <w:t>. Theocritus wrote that Ptolemy II c</w:t>
      </w:r>
      <w:r>
        <w:rPr>
          <w:rtl w:val="0"/>
          <w:lang w:val="en-US"/>
        </w:rPr>
        <w:t xml:space="preserve">ut off part of Black Ethiopia. This can be interpreted as if the </w:t>
      </w:r>
      <w:r>
        <w:rPr>
          <w:rtl w:val="0"/>
          <w:lang w:val="en-US"/>
        </w:rPr>
        <w:t>Dodekaschoinos</w:t>
      </w:r>
      <w:r>
        <w:rPr>
          <w:rtl w:val="0"/>
          <w:lang w:val="en-US"/>
        </w:rPr>
        <w:t xml:space="preserve"> was annexed, an area where the gold mining was found. Works of </w:t>
      </w:r>
      <w:r>
        <w:rPr>
          <w:rtl w:val="0"/>
          <w:lang w:val="en-US"/>
        </w:rPr>
        <w:t xml:space="preserve">graffiti </w:t>
      </w:r>
      <w:r>
        <w:rPr>
          <w:rtl w:val="0"/>
          <w:lang w:val="en-US"/>
        </w:rPr>
        <w:t>found in the area make inference to</w:t>
      </w:r>
      <w:r>
        <w:rPr>
          <w:rtl w:val="0"/>
          <w:lang w:val="en-US"/>
        </w:rPr>
        <w:t xml:space="preserve"> Ptolemy II</w:t>
      </w:r>
      <w:r>
        <w:rPr>
          <w:rtl w:val="0"/>
          <w:lang w:val="en-US"/>
        </w:rPr>
        <w:t>’</w:t>
      </w:r>
      <w:r>
        <w:rPr>
          <w:rtl w:val="0"/>
          <w:lang w:val="en-US"/>
        </w:rPr>
        <w:t>s</w:t>
      </w:r>
      <w:r>
        <w:rPr>
          <w:rtl w:val="0"/>
          <w:lang w:val="en-US"/>
        </w:rPr>
        <w:t xml:space="preserve"> attempt to create a buffer zone for the Dodekaschoinos</w:t>
      </w:r>
      <w:r>
        <w:rPr>
          <w:rtl w:val="0"/>
          <w:lang w:val="en-US"/>
        </w:rPr>
        <w:t xml:space="preserve"> and the designation of the latter region</w:t>
      </w:r>
      <w:r>
        <w:rPr>
          <w:rtl w:val="0"/>
          <w:lang w:val="en-US"/>
        </w:rPr>
        <w:t xml:space="preserve"> to </w:t>
      </w:r>
      <w:r>
        <w:rPr>
          <w:rtl w:val="0"/>
          <w:lang w:val="en-US"/>
        </w:rPr>
        <w:t>build</w:t>
      </w:r>
      <w:r>
        <w:rPr>
          <w:rtl w:val="0"/>
          <w:lang w:val="en-US"/>
        </w:rPr>
        <w:t xml:space="preserve"> </w:t>
      </w:r>
      <w:r>
        <w:rPr>
          <w:rtl w:val="0"/>
          <w:lang w:val="en-US"/>
        </w:rPr>
        <w:t xml:space="preserve">a </w:t>
      </w:r>
      <w:r>
        <w:rPr>
          <w:rtl w:val="0"/>
          <w:lang w:val="en-US"/>
        </w:rPr>
        <w:t xml:space="preserve">massive temple </w:t>
      </w:r>
      <w:r>
        <w:rPr>
          <w:rtl w:val="0"/>
          <w:lang w:val="en-US"/>
        </w:rPr>
        <w:t>to</w:t>
      </w:r>
      <w:r>
        <w:rPr>
          <w:rtl w:val="0"/>
          <w:lang w:val="en-US"/>
        </w:rPr>
        <w:t xml:space="preserve"> Isis</w:t>
      </w:r>
      <w:r>
        <w:rPr>
          <w:rtl w:val="0"/>
          <w:lang w:val="en-US"/>
        </w:rPr>
        <w:t xml:space="preserve"> at Philae, implies Egypt</w:t>
      </w:r>
      <w:r>
        <w:rPr>
          <w:rtl w:val="0"/>
          <w:lang w:val="en-US"/>
        </w:rPr>
        <w:t>’</w:t>
      </w:r>
      <w:r>
        <w:rPr>
          <w:rtl w:val="0"/>
          <w:lang w:val="en-US"/>
        </w:rPr>
        <w:t xml:space="preserve">s control over </w:t>
      </w:r>
      <w:r>
        <w:rPr>
          <w:rtl w:val="0"/>
          <w:lang w:val="en-US"/>
        </w:rPr>
        <w:t>Wadi Allaqi</w:t>
      </w:r>
      <w:r>
        <w:rPr>
          <w:vertAlign w:val="superscript"/>
        </w:rPr>
        <w:footnoteReference w:id="139"/>
      </w:r>
      <w:r>
        <w:rPr>
          <w:rtl w:val="0"/>
          <w:lang w:val="en-US"/>
        </w:rPr>
        <w:t xml:space="preserve"> or even over the whole Kushite area</w:t>
      </w:r>
      <w:r>
        <w:rPr>
          <w:rtl w:val="0"/>
          <w:lang w:val="en-US"/>
        </w:rPr>
        <w:t>.</w:t>
      </w:r>
      <w:r>
        <w:rPr>
          <w:rtl w:val="0"/>
          <w:lang w:val="en-US"/>
        </w:rPr>
        <w:t xml:space="preserve"> We are unable to confirm the annexation of the kingdom, but sources suggest the region became a tributary of Egypt. A very important reason for Ptolemy</w:t>
      </w:r>
      <w:r>
        <w:rPr>
          <w:rtl w:val="0"/>
          <w:lang w:val="en-US"/>
        </w:rPr>
        <w:t>’</w:t>
      </w:r>
      <w:r>
        <w:rPr>
          <w:rtl w:val="0"/>
          <w:lang w:val="en-US"/>
        </w:rPr>
        <w:t>s Nubian interest was also securing access to areas where African forest elephants could be hunted. This obviously had a direct relation to the Seleukids, the mastering of trained war elephants</w:t>
      </w:r>
      <w:r>
        <w:rPr>
          <w:vertAlign w:val="superscript"/>
        </w:rPr>
        <w:footnoteReference w:id="140"/>
      </w:r>
      <w:r>
        <w:rPr>
          <w:rtl w:val="0"/>
          <w:lang w:val="en-US"/>
        </w:rPr>
        <w:t xml:space="preserve"> and the search for gold to fund the encounters against the Seleukids</w:t>
      </w:r>
      <w:r>
        <w:rPr>
          <w:rtl w:val="0"/>
          <w:lang w:val="en-US"/>
        </w:rPr>
        <w:t>.</w:t>
      </w:r>
    </w:p>
    <w:p>
      <w:pPr>
        <w:pStyle w:val="justify"/>
        <w:spacing w:line="360" w:lineRule="auto"/>
        <w:jc w:val="both"/>
      </w:pPr>
    </w:p>
    <w:p>
      <w:pPr>
        <w:pStyle w:val="justify"/>
        <w:spacing w:line="360" w:lineRule="auto"/>
        <w:jc w:val="both"/>
      </w:pPr>
      <w:r>
        <w:rPr>
          <w:rtl w:val="0"/>
          <w:lang w:val="en-US"/>
        </w:rPr>
        <w:t xml:space="preserve">According to scholars, the arrival to Nubia was in the 270s BC. Theocritus states in this regard that Philadelphus conquered Black Ethiopia, launching military campaigns in Nubia. Athenaeus describes a </w:t>
      </w:r>
      <w:r>
        <w:rPr>
          <w:rtl w:val="0"/>
          <w:lang w:val="en-US"/>
        </w:rPr>
        <w:t xml:space="preserve">display of ebony, exotic animals, frankincense and elephant tusks brought </w:t>
      </w:r>
      <w:r>
        <w:rPr>
          <w:rtl w:val="0"/>
          <w:lang w:val="en-US"/>
        </w:rPr>
        <w:t xml:space="preserve">from Ethiopia </w:t>
      </w:r>
      <w:r>
        <w:rPr>
          <w:rtl w:val="0"/>
          <w:lang w:val="en-US"/>
        </w:rPr>
        <w:t>by Timosthenes or by Philon</w:t>
      </w:r>
      <w:r>
        <w:rPr>
          <w:vertAlign w:val="superscript"/>
        </w:rPr>
        <w:footnoteReference w:id="141"/>
      </w:r>
      <w:r>
        <w:rPr>
          <w:rtl w:val="0"/>
          <w:lang w:val="en-US"/>
        </w:rPr>
        <w:t>.</w:t>
      </w:r>
      <w:r>
        <w:rPr>
          <w:rtl w:val="0"/>
          <w:lang w:val="en-US"/>
        </w:rPr>
        <w:t xml:space="preserve"> G</w:t>
      </w:r>
      <w:r>
        <w:rPr>
          <w:rtl w:val="0"/>
          <w:lang w:val="en-US"/>
        </w:rPr>
        <w:t>old, slaves, exotic woods, ivory and other animal products</w:t>
      </w:r>
      <w:r>
        <w:rPr>
          <w:rtl w:val="0"/>
          <w:lang w:val="en-US"/>
        </w:rPr>
        <w:t>,</w:t>
      </w:r>
      <w:r>
        <w:rPr>
          <w:rtl w:val="0"/>
          <w:lang w:val="en-US"/>
        </w:rPr>
        <w:t xml:space="preserve"> essential </w:t>
      </w:r>
      <w:r>
        <w:rPr>
          <w:rtl w:val="0"/>
          <w:lang w:val="en-US"/>
        </w:rPr>
        <w:t>for</w:t>
      </w:r>
      <w:r>
        <w:rPr>
          <w:rtl w:val="0"/>
          <w:lang w:val="en-US"/>
        </w:rPr>
        <w:t xml:space="preserve"> the lifestyle of the Egyptian elite and </w:t>
      </w:r>
      <w:r>
        <w:rPr>
          <w:rtl w:val="0"/>
          <w:lang w:val="en-US"/>
        </w:rPr>
        <w:t xml:space="preserve">for </w:t>
      </w:r>
      <w:r>
        <w:rPr>
          <w:rtl w:val="0"/>
          <w:lang w:val="en-US"/>
        </w:rPr>
        <w:t>religious cult</w:t>
      </w:r>
      <w:r>
        <w:rPr>
          <w:rtl w:val="0"/>
          <w:lang w:val="en-US"/>
        </w:rPr>
        <w:t xml:space="preserve">s were found in Nubia. We have to remember that </w:t>
      </w:r>
      <w:r>
        <w:rPr>
          <w:rtl w:val="0"/>
          <w:lang w:val="en-US"/>
        </w:rPr>
        <w:t xml:space="preserve">Philadelphus's </w:t>
      </w:r>
      <w:r>
        <w:rPr>
          <w:rtl w:val="0"/>
          <w:lang w:val="en-US"/>
        </w:rPr>
        <w:t xml:space="preserve">yearly </w:t>
      </w:r>
      <w:r>
        <w:rPr>
          <w:rtl w:val="0"/>
          <w:lang w:val="en-US"/>
        </w:rPr>
        <w:t>"Grand Procession</w:t>
      </w:r>
      <w:r>
        <w:rPr>
          <w:rtl w:val="0"/>
          <w:lang w:val="en-US"/>
        </w:rPr>
        <w:t>s</w:t>
      </w:r>
      <w:r>
        <w:rPr>
          <w:rtl w:val="0"/>
          <w:lang w:val="en-US"/>
        </w:rPr>
        <w:t>" w</w:t>
      </w:r>
      <w:r>
        <w:rPr>
          <w:rtl w:val="0"/>
          <w:lang w:val="en-US"/>
        </w:rPr>
        <w:t>ere</w:t>
      </w:r>
      <w:r>
        <w:rPr>
          <w:rtl w:val="0"/>
          <w:lang w:val="en-US"/>
        </w:rPr>
        <w:t xml:space="preserve"> filled with </w:t>
      </w:r>
      <w:r>
        <w:rPr>
          <w:rtl w:val="0"/>
          <w:lang w:val="en-US"/>
        </w:rPr>
        <w:t>marvellous</w:t>
      </w:r>
      <w:r>
        <w:rPr>
          <w:rtl w:val="0"/>
          <w:lang w:val="en-US"/>
        </w:rPr>
        <w:t xml:space="preserve"> </w:t>
      </w:r>
      <w:r>
        <w:rPr>
          <w:rtl w:val="0"/>
          <w:lang w:val="en-US"/>
        </w:rPr>
        <w:t xml:space="preserve">goods and animals </w:t>
      </w:r>
      <w:r>
        <w:rPr>
          <w:rtl w:val="0"/>
          <w:lang w:val="en-US"/>
        </w:rPr>
        <w:t>from south</w:t>
      </w:r>
      <w:r>
        <w:rPr>
          <w:rtl w:val="0"/>
          <w:lang w:val="en-US"/>
        </w:rPr>
        <w:t xml:space="preserve"> Egypt</w:t>
      </w:r>
      <w:r>
        <w:rPr>
          <w:vertAlign w:val="superscript"/>
        </w:rPr>
        <w:footnoteReference w:id="142"/>
      </w:r>
      <w:r>
        <w:rPr>
          <w:rtl w:val="0"/>
          <w:lang w:val="en-US"/>
        </w:rPr>
        <w:t>.</w:t>
      </w:r>
      <w:r>
        <w:rPr>
          <w:rtl w:val="0"/>
          <w:lang w:val="en-US"/>
        </w:rPr>
        <w:t xml:space="preserve"> The parade of </w:t>
      </w:r>
      <w:r>
        <w:rPr>
          <w:rtl w:val="0"/>
          <w:lang w:val="en-US"/>
        </w:rPr>
        <w:t>Chryselephantine thrones includ</w:t>
      </w:r>
      <w:r>
        <w:rPr>
          <w:rtl w:val="0"/>
          <w:lang w:val="en-US"/>
        </w:rPr>
        <w:t>ed</w:t>
      </w:r>
      <w:r>
        <w:rPr>
          <w:rtl w:val="0"/>
          <w:lang w:val="en-US"/>
        </w:rPr>
        <w:t xml:space="preserve"> "the throne of Soter</w:t>
      </w:r>
      <w:r>
        <w:rPr>
          <w:rtl w:val="0"/>
          <w:lang w:val="en-US"/>
        </w:rPr>
        <w:t>,"</w:t>
      </w:r>
      <w:r>
        <w:rPr>
          <w:rtl w:val="0"/>
          <w:lang w:val="en-US"/>
        </w:rPr>
        <w:t xml:space="preserve"> </w:t>
      </w:r>
      <w:r>
        <w:rPr>
          <w:rtl w:val="0"/>
          <w:lang w:val="en-US"/>
        </w:rPr>
        <w:t xml:space="preserve">which was made of </w:t>
      </w:r>
      <w:r>
        <w:rPr>
          <w:rtl w:val="0"/>
          <w:lang w:val="en-US"/>
        </w:rPr>
        <w:t>gold</w:t>
      </w:r>
      <w:r>
        <w:rPr>
          <w:rtl w:val="0"/>
          <w:lang w:val="en-US"/>
        </w:rPr>
        <w:t xml:space="preserve"> and </w:t>
      </w:r>
      <w:r>
        <w:rPr>
          <w:rtl w:val="0"/>
          <w:lang w:val="en-US"/>
        </w:rPr>
        <w:t>tusks of Ethiopian ivory</w:t>
      </w:r>
      <w:r>
        <w:rPr>
          <w:rtl w:val="0"/>
          <w:lang w:val="en-US"/>
        </w:rPr>
        <w:t xml:space="preserve">. These thrones were </w:t>
      </w:r>
      <w:r>
        <w:rPr>
          <w:rtl w:val="0"/>
          <w:lang w:val="en-US"/>
        </w:rPr>
        <w:t>carried in "Grand Procession</w:t>
      </w:r>
      <w:r>
        <w:rPr>
          <w:rtl w:val="0"/>
          <w:lang w:val="en-US"/>
        </w:rPr>
        <w:t>s,</w:t>
      </w:r>
      <w:r>
        <w:rPr>
          <w:rtl w:val="0"/>
          <w:lang w:val="en-US"/>
        </w:rPr>
        <w:t xml:space="preserve">” </w:t>
      </w:r>
      <w:r>
        <w:rPr>
          <w:rtl w:val="0"/>
          <w:lang w:val="en-US"/>
        </w:rPr>
        <w:t>symbolising</w:t>
      </w:r>
      <w:r>
        <w:rPr>
          <w:rtl w:val="0"/>
          <w:lang w:val="en-US"/>
        </w:rPr>
        <w:t xml:space="preserve"> </w:t>
      </w:r>
      <w:r>
        <w:rPr>
          <w:rtl w:val="0"/>
          <w:lang w:val="en-US"/>
        </w:rPr>
        <w:t>Ptolemy II</w:t>
      </w:r>
      <w:r>
        <w:rPr>
          <w:rtl w:val="0"/>
          <w:lang w:val="en-US"/>
        </w:rPr>
        <w:t xml:space="preserve">'s control </w:t>
      </w:r>
      <w:r>
        <w:rPr>
          <w:rtl w:val="0"/>
          <w:lang w:val="en-US"/>
        </w:rPr>
        <w:t xml:space="preserve">over </w:t>
      </w:r>
      <w:r>
        <w:rPr>
          <w:rtl w:val="0"/>
          <w:lang w:val="en-US"/>
        </w:rPr>
        <w:t xml:space="preserve">the </w:t>
      </w:r>
      <w:r>
        <w:rPr>
          <w:rtl w:val="0"/>
          <w:lang w:val="en-US"/>
        </w:rPr>
        <w:t xml:space="preserve">Nubian </w:t>
      </w:r>
      <w:r>
        <w:rPr>
          <w:rtl w:val="0"/>
          <w:lang w:val="en-US"/>
        </w:rPr>
        <w:t xml:space="preserve">gold mines and </w:t>
      </w:r>
      <w:r>
        <w:rPr>
          <w:rtl w:val="0"/>
          <w:lang w:val="en-US"/>
        </w:rPr>
        <w:t xml:space="preserve">his </w:t>
      </w:r>
      <w:r>
        <w:rPr>
          <w:rtl w:val="0"/>
          <w:lang w:val="en-US"/>
        </w:rPr>
        <w:t>elephant</w:t>
      </w:r>
      <w:r>
        <w:rPr>
          <w:rtl w:val="0"/>
          <w:lang w:val="en-US"/>
        </w:rPr>
        <w:t xml:space="preserve"> </w:t>
      </w:r>
      <w:r>
        <w:rPr>
          <w:rtl w:val="0"/>
          <w:lang w:val="en-US"/>
        </w:rPr>
        <w:t xml:space="preserve">hunting </w:t>
      </w:r>
      <w:r>
        <w:rPr>
          <w:rtl w:val="0"/>
          <w:lang w:val="en-US"/>
        </w:rPr>
        <w:t>enterprises in the South</w:t>
      </w:r>
      <w:r>
        <w:rPr>
          <w:vertAlign w:val="superscript"/>
        </w:rPr>
        <w:footnoteReference w:id="143"/>
      </w:r>
      <w:r>
        <w:rPr>
          <w:rtl w:val="0"/>
          <w:lang w:val="en-US"/>
        </w:rPr>
        <w:t xml:space="preserve">. </w:t>
      </w:r>
    </w:p>
    <w:p>
      <w:pPr>
        <w:pStyle w:val="justify"/>
        <w:spacing w:line="360" w:lineRule="auto"/>
        <w:jc w:val="both"/>
      </w:pPr>
    </w:p>
    <w:p>
      <w:pPr>
        <w:pStyle w:val="justify"/>
        <w:spacing w:line="360" w:lineRule="auto"/>
        <w:jc w:val="both"/>
      </w:pPr>
      <w:r>
        <w:rPr>
          <w:rtl w:val="0"/>
          <w:lang w:val="en-US"/>
        </w:rPr>
        <w:t>On the African side of the Red sea and driven by a desire to have a float of war elephants</w:t>
      </w:r>
      <w:r>
        <w:rPr>
          <w:vertAlign w:val="superscript"/>
        </w:rPr>
        <w:footnoteReference w:id="144"/>
      </w:r>
      <w:r>
        <w:rPr>
          <w:rtl w:val="0"/>
          <w:lang w:val="en-US"/>
        </w:rPr>
        <w:t xml:space="preserve">, Ptolemy II started exploring </w:t>
      </w:r>
      <w:r>
        <w:rPr>
          <w:rtl w:val="0"/>
          <w:lang w:val="en-US"/>
        </w:rPr>
        <w:t xml:space="preserve">systematically </w:t>
      </w:r>
      <w:r>
        <w:rPr>
          <w:rtl w:val="0"/>
          <w:lang w:val="en-US"/>
        </w:rPr>
        <w:t>the coast for these mahouts, implementing a system for hunting which involved the founding of towns and trading routes southward, from Arsinoe, modern Suez, to Ptolemais of the Elephants Hunts</w:t>
      </w:r>
      <w:r>
        <w:rPr>
          <w:vertAlign w:val="superscript"/>
        </w:rPr>
        <w:footnoteReference w:id="145"/>
      </w:r>
      <w:r>
        <w:rPr>
          <w:rtl w:val="0"/>
          <w:lang w:val="en-US"/>
        </w:rPr>
        <w:t xml:space="preserve">, near Suakim, </w:t>
      </w:r>
      <w:r>
        <w:rPr>
          <w:rtl w:val="0"/>
          <w:lang w:val="en-US"/>
        </w:rPr>
        <w:t xml:space="preserve">arriving until the Horn of the </w:t>
      </w:r>
      <w:r>
        <w:rPr>
          <w:rtl w:val="0"/>
          <w:lang w:val="en-US"/>
        </w:rPr>
        <w:t>South, in Cape Guardafui. The origins of Macedonians interest on war elephants went back to the Battle of the Hysdaspes in 326 BC, in which Porus</w:t>
      </w:r>
      <w:r>
        <w:rPr>
          <w:rtl w:val="0"/>
          <w:lang w:val="en-US"/>
        </w:rPr>
        <w:t xml:space="preserve">’ </w:t>
      </w:r>
      <w:r>
        <w:rPr>
          <w:rtl w:val="0"/>
          <w:lang w:val="en-US"/>
        </w:rPr>
        <w:t>war elephants army revealed how effective it could be, convincing not only Alexander, but also Seleukus I Nikator and Ptolemy I Soter</w:t>
      </w:r>
      <w:r>
        <w:rPr>
          <w:vertAlign w:val="superscript"/>
        </w:rPr>
        <w:footnoteReference w:id="146"/>
      </w:r>
      <w:r>
        <w:rPr>
          <w:rtl w:val="0"/>
          <w:lang w:val="en-US"/>
        </w:rPr>
        <w:t>. Soter and Nikator were afterwards really inventive counter attacking Demetrios</w:t>
      </w:r>
      <w:r>
        <w:rPr>
          <w:rtl w:val="0"/>
          <w:lang w:val="en-US"/>
        </w:rPr>
        <w:t xml:space="preserve">’ </w:t>
      </w:r>
      <w:r>
        <w:rPr>
          <w:rtl w:val="0"/>
          <w:lang w:val="en-US"/>
        </w:rPr>
        <w:t xml:space="preserve">elephants force </w:t>
      </w:r>
      <w:r>
        <w:rPr>
          <w:rtl w:val="0"/>
          <w:lang w:val="en-US"/>
        </w:rPr>
        <w:t>at the battle of Gaza in 312 BC</w:t>
      </w:r>
      <w:r>
        <w:rPr>
          <w:rtl w:val="0"/>
          <w:lang w:val="en-US"/>
        </w:rPr>
        <w:t>. After that battle, Ptolemy captured 43 of them. The Seleukids had a really strong elephants</w:t>
      </w:r>
      <w:r>
        <w:rPr>
          <w:rtl w:val="0"/>
          <w:lang w:val="en-US"/>
        </w:rPr>
        <w:t xml:space="preserve">’ </w:t>
      </w:r>
      <w:r>
        <w:rPr>
          <w:rtl w:val="0"/>
          <w:lang w:val="en-US"/>
        </w:rPr>
        <w:t>army, being one of the major foundations of their power</w:t>
      </w:r>
      <w:r>
        <w:rPr>
          <w:vertAlign w:val="superscript"/>
        </w:rPr>
        <w:footnoteReference w:id="147"/>
      </w:r>
      <w:r>
        <w:rPr>
          <w:rtl w:val="0"/>
          <w:lang w:val="en-US"/>
        </w:rPr>
        <w:t xml:space="preserve">. They had easier access to them due to their location, bordering with India. They had won great battles against the Galatians </w:t>
      </w:r>
      <w:r>
        <w:rPr>
          <w:rtl w:val="0"/>
          <w:lang w:val="en-US"/>
        </w:rPr>
        <w:t>by using elephants</w:t>
      </w:r>
      <w:r>
        <w:rPr>
          <w:rtl w:val="0"/>
          <w:lang w:val="en-US"/>
        </w:rPr>
        <w:t>, as at Ipsos. As it has been mentioned already, the houses of the Ptolemies and of the Seleukids believed these living tanks essential to win battles against their enemies. Most surely these elephants were used at the First Syrian war. Antiochus I brought fresh war elephants f</w:t>
      </w:r>
      <w:r>
        <w:rPr>
          <w:rtl w:val="0"/>
          <w:lang w:val="en-US"/>
        </w:rPr>
        <w:t>rom Bactria to Syria</w:t>
      </w:r>
      <w:r>
        <w:rPr>
          <w:rtl w:val="0"/>
          <w:lang w:val="en-US"/>
        </w:rPr>
        <w:t>,</w:t>
      </w:r>
      <w:r>
        <w:rPr>
          <w:rtl w:val="0"/>
          <w:lang w:val="en-US"/>
        </w:rPr>
        <w:t xml:space="preserve"> just before the outbreak of the </w:t>
      </w:r>
      <w:r>
        <w:rPr>
          <w:rtl w:val="0"/>
          <w:lang w:val="en-US"/>
        </w:rPr>
        <w:t xml:space="preserve">second phase of the </w:t>
      </w:r>
      <w:r>
        <w:rPr>
          <w:rtl w:val="0"/>
          <w:lang w:val="en-US"/>
        </w:rPr>
        <w:t>First Syrian War</w:t>
      </w:r>
      <w:r>
        <w:rPr>
          <w:vertAlign w:val="superscript"/>
        </w:rPr>
        <w:footnoteReference w:id="148"/>
      </w:r>
      <w:r>
        <w:rPr>
          <w:rtl w:val="0"/>
          <w:lang w:val="en-US"/>
        </w:rPr>
        <w:t xml:space="preserve">. In fact, Apameia, a town in Syria bordering with </w:t>
      </w:r>
      <w:r>
        <w:rPr>
          <w:rtl w:val="0"/>
          <w:lang w:val="en-US"/>
        </w:rPr>
        <w:t>Ptolemy</w:t>
      </w:r>
      <w:r>
        <w:rPr>
          <w:rtl w:val="0"/>
          <w:lang w:val="en-US"/>
        </w:rPr>
        <w:t>’</w:t>
      </w:r>
      <w:r>
        <w:rPr>
          <w:rtl w:val="0"/>
          <w:lang w:val="en-US"/>
        </w:rPr>
        <w:t>s territory, was a major training centre for elephants. Therefore, Ptolemy</w:t>
      </w:r>
      <w:r>
        <w:rPr>
          <w:rtl w:val="0"/>
          <w:lang w:val="en-US"/>
        </w:rPr>
        <w:t>’</w:t>
      </w:r>
      <w:r>
        <w:rPr>
          <w:rtl w:val="0"/>
          <w:lang w:val="en-US"/>
        </w:rPr>
        <w:t xml:space="preserve">s basic reason for hunting elephants </w:t>
      </w:r>
      <w:r>
        <w:rPr>
          <w:rtl w:val="0"/>
          <w:lang w:val="en-US"/>
        </w:rPr>
        <w:t>was to counter</w:t>
      </w:r>
      <w:r>
        <w:rPr>
          <w:rtl w:val="0"/>
          <w:lang w:val="en-US"/>
        </w:rPr>
        <w:t>-</w:t>
      </w:r>
      <w:r>
        <w:rPr>
          <w:rtl w:val="0"/>
          <w:lang w:val="en-US"/>
        </w:rPr>
        <w:t>weight</w:t>
      </w:r>
      <w:r>
        <w:rPr>
          <w:rtl w:val="0"/>
          <w:lang w:val="en-US"/>
        </w:rPr>
        <w:t xml:space="preserve"> the Seleukids, who had a big flout of them</w:t>
      </w:r>
      <w:r>
        <w:rPr>
          <w:vertAlign w:val="superscript"/>
        </w:rPr>
        <w:footnoteReference w:id="149"/>
      </w:r>
      <w:r>
        <w:rPr>
          <w:rtl w:val="0"/>
          <w:lang w:val="en-US"/>
        </w:rPr>
        <w:t>.</w:t>
      </w:r>
    </w:p>
    <w:p>
      <w:pPr>
        <w:pStyle w:val="justify"/>
        <w:spacing w:line="360" w:lineRule="auto"/>
        <w:jc w:val="both"/>
      </w:pPr>
    </w:p>
    <w:p>
      <w:pPr>
        <w:pStyle w:val="justify"/>
        <w:spacing w:line="360" w:lineRule="auto"/>
        <w:jc w:val="both"/>
      </w:pPr>
      <w:r>
        <w:rPr>
          <w:rtl w:val="0"/>
          <w:lang w:val="en-US"/>
        </w:rPr>
        <w:t xml:space="preserve">Elephants were hunted alive with the support of trained Indian Elephant hunters, then brought to Berenice, opposite Assuan, in ad hoc elephant-transport boats, called </w:t>
      </w:r>
      <w:r>
        <w:rPr>
          <w:i w:val="1"/>
          <w:iCs w:val="1"/>
          <w:rtl w:val="0"/>
          <w:lang w:val="en-US"/>
        </w:rPr>
        <w:t>elephantegoi</w:t>
      </w:r>
      <w:r>
        <w:rPr>
          <w:vertAlign w:val="superscript"/>
        </w:rPr>
        <w:footnoteReference w:id="150"/>
      </w:r>
      <w:r>
        <w:rPr>
          <w:rtl w:val="0"/>
          <w:lang w:val="en-US"/>
        </w:rPr>
        <w:t>. From there, they were taken to Coptos and through the Nile to Memphis</w:t>
      </w:r>
      <w:r>
        <w:rPr>
          <w:vertAlign w:val="superscript"/>
        </w:rPr>
        <w:footnoteReference w:id="151"/>
      </w:r>
      <w:r>
        <w:rPr>
          <w:rtl w:val="0"/>
          <w:lang w:val="en-US"/>
        </w:rPr>
        <w:t>. The caravan route on the Nile to connect with Berenice and the Red sea was supported by water stations, established at intervals and protected from the Troglodyte, local communities that raided the hubs. This caravan route was used to transport the elephants. They were then brought to training centres for war</w:t>
      </w:r>
      <w:r>
        <w:rPr>
          <w:vertAlign w:val="superscript"/>
        </w:rPr>
        <w:footnoteReference w:id="152"/>
      </w:r>
      <w:r>
        <w:rPr>
          <w:rtl w:val="0"/>
          <w:lang w:val="en-US"/>
        </w:rPr>
        <w:t xml:space="preserve">, Memphis apparently being the chief staple. </w:t>
      </w:r>
    </w:p>
    <w:p>
      <w:pPr>
        <w:pStyle w:val="justify"/>
        <w:spacing w:line="360" w:lineRule="auto"/>
        <w:jc w:val="both"/>
      </w:pPr>
    </w:p>
    <w:p>
      <w:pPr>
        <w:pStyle w:val="justify"/>
        <w:spacing w:line="360" w:lineRule="auto"/>
        <w:jc w:val="both"/>
      </w:pPr>
      <w:r>
        <w:rPr>
          <w:rtl w:val="0"/>
          <w:lang w:val="en-US"/>
        </w:rPr>
        <w:t>It was during the reign of Ptolemy II that this complex and far-flung program was implemented, including new developments in naval technology and the recruitment of far east trainers</w:t>
      </w:r>
      <w:r>
        <w:rPr>
          <w:vertAlign w:val="superscript"/>
        </w:rPr>
        <w:footnoteReference w:id="153"/>
      </w:r>
      <w:r>
        <w:rPr>
          <w:vertAlign w:val="superscript"/>
        </w:rPr>
        <w:footnoteReference w:id="154"/>
      </w:r>
      <w:r>
        <w:rPr>
          <w:rtl w:val="0"/>
          <w:lang w:val="en-US"/>
        </w:rPr>
        <w:t xml:space="preserve">. There was at the time solely India as a source of elephants and therefore the Seleukids prevented anyone from accessing those routes to the East. Seleukis had access to war elephants mainly from their relationship with </w:t>
      </w:r>
      <w:r>
        <w:rPr>
          <w:rtl w:val="0"/>
          <w:lang w:val="en-US"/>
        </w:rPr>
        <w:t>the Maurya ruler</w:t>
      </w:r>
      <w:r>
        <w:rPr>
          <w:rtl w:val="0"/>
          <w:lang w:val="en-US"/>
        </w:rPr>
        <w:t>s. The Ptolemies knew this and desired to have them also.</w:t>
      </w:r>
    </w:p>
    <w:p>
      <w:pPr>
        <w:pStyle w:val="justify"/>
        <w:spacing w:line="360" w:lineRule="auto"/>
        <w:jc w:val="both"/>
      </w:pPr>
    </w:p>
    <w:p>
      <w:pPr>
        <w:pStyle w:val="justify"/>
        <w:spacing w:line="360" w:lineRule="auto"/>
        <w:jc w:val="both"/>
      </w:pPr>
      <w:r>
        <w:rPr>
          <w:rtl w:val="0"/>
          <w:lang w:val="en-US"/>
        </w:rPr>
        <w:t>It seems that when Perdiccas lost his life attacking Egypt in 321 BC, he lost all his war elephants and drivers. Apparently Ptolemy took them for his army, adding in 312 BC forty-three more from Demetrius</w:t>
      </w:r>
      <w:r>
        <w:rPr>
          <w:vertAlign w:val="superscript"/>
        </w:rPr>
        <w:footnoteReference w:id="155"/>
      </w:r>
      <w:r>
        <w:rPr>
          <w:rtl w:val="0"/>
          <w:lang w:val="en-US"/>
        </w:rPr>
        <w:t xml:space="preserve"> at Gaza</w:t>
      </w:r>
      <w:r>
        <w:rPr>
          <w:vertAlign w:val="superscript"/>
        </w:rPr>
        <w:footnoteReference w:id="156"/>
      </w:r>
      <w:r>
        <w:rPr>
          <w:vertAlign w:val="superscript"/>
        </w:rPr>
        <w:footnoteReference w:id="157"/>
      </w:r>
      <w:r>
        <w:rPr>
          <w:rtl w:val="0"/>
          <w:lang w:val="en-US"/>
        </w:rPr>
        <w:t>. However, these numbers must have been insufficient to fight against the Seleukid</w:t>
      </w:r>
      <w:r>
        <w:rPr>
          <w:rtl w:val="0"/>
          <w:lang w:val="en-US"/>
        </w:rPr>
        <w:t>’</w:t>
      </w:r>
      <w:r>
        <w:rPr>
          <w:rtl w:val="0"/>
          <w:lang w:val="en-US"/>
        </w:rPr>
        <w:t>s huge elephant army and as Indian elephants were an unaccessible source, Soter</w:t>
      </w:r>
      <w:r>
        <w:rPr>
          <w:rtl w:val="0"/>
          <w:lang w:val="en-US"/>
        </w:rPr>
        <w:t>’</w:t>
      </w:r>
      <w:r>
        <w:rPr>
          <w:rtl w:val="0"/>
          <w:lang w:val="en-US"/>
        </w:rPr>
        <w:t>s son turned his view into East Africa, the Red sea and the Gulf of Aden. Unlike nowadays, at that time forest elephants were found all around that area</w:t>
      </w:r>
      <w:r>
        <w:rPr>
          <w:vertAlign w:val="superscript"/>
        </w:rPr>
        <w:footnoteReference w:id="158"/>
      </w:r>
      <w:r>
        <w:rPr>
          <w:rtl w:val="0"/>
          <w:lang w:val="en-US"/>
        </w:rPr>
        <w:t>. It must have been after the First Syrian War, around 271 - 270 BC</w:t>
      </w:r>
      <w:r>
        <w:rPr>
          <w:vertAlign w:val="superscript"/>
        </w:rPr>
        <w:footnoteReference w:id="159"/>
      </w:r>
      <w:r>
        <w:rPr>
          <w:rtl w:val="0"/>
          <w:lang w:val="en-US"/>
        </w:rPr>
        <w:t>, that the Ptolemies started this campaign to obtain these mahouts.  A great enterprise indeed, which might have been almost the only known example of a sustained program of exploration funded by a government performed in Antiquity</w:t>
      </w:r>
      <w:r>
        <w:rPr>
          <w:vertAlign w:val="superscript"/>
        </w:rPr>
        <w:footnoteReference w:id="160"/>
      </w:r>
      <w:r>
        <w:rPr>
          <w:rtl w:val="0"/>
          <w:lang w:val="en-US"/>
        </w:rPr>
        <w:t>. An interest which wasn't commercial, but military.</w:t>
      </w:r>
    </w:p>
    <w:p>
      <w:pPr>
        <w:pStyle w:val="justify"/>
        <w:spacing w:line="360" w:lineRule="auto"/>
        <w:jc w:val="both"/>
      </w:pPr>
    </w:p>
    <w:p>
      <w:pPr>
        <w:pStyle w:val="justify"/>
        <w:spacing w:line="360" w:lineRule="auto"/>
        <w:jc w:val="both"/>
      </w:pPr>
      <w:r>
        <w:rPr>
          <w:rtl w:val="0"/>
          <w:lang w:val="en-US"/>
        </w:rPr>
        <w:t>The plan and resources required to implement elephant hunts in areas in Nubia and other remote areas along the Red sea coast was extraordinary and involved settlements founded to serve the hunting in remote and uninhabited areas</w:t>
      </w:r>
      <w:r>
        <w:rPr>
          <w:vertAlign w:val="superscript"/>
        </w:rPr>
        <w:footnoteReference w:id="161"/>
      </w:r>
      <w:r>
        <w:rPr>
          <w:rtl w:val="0"/>
          <w:lang w:val="en-US"/>
        </w:rPr>
        <w:t xml:space="preserve">. The building of a canal connecting the Nile and the Red sea was also an extraordinary accomplishment of the time. The groups of humans moved to these new settlements were not just experienced hunters, but professionals and engineers able to build ports and harbours that could accommodate animals weighting at times more than four tons. The Ptolemies also experienced difficulties with some locals, who resisted and opposed the arrival of foreign people to their land. Eumedes seemed to have suffered this local resistance. During his times, he fortified the peninsula where the city was located with a ditch and a stockade. It seems the people he refers to, were the </w:t>
      </w:r>
      <w:r>
        <w:rPr>
          <w:rtl w:val="0"/>
          <w:lang w:val="en-US"/>
        </w:rPr>
        <w:t>Trog</w:t>
      </w:r>
      <w:r>
        <w:rPr>
          <w:rtl w:val="0"/>
          <w:lang w:val="en-US"/>
        </w:rPr>
        <w:t>l</w:t>
      </w:r>
      <w:r>
        <w:rPr>
          <w:rtl w:val="0"/>
          <w:lang w:val="en-US"/>
        </w:rPr>
        <w:t>odytes</w:t>
      </w:r>
      <w:r>
        <w:rPr>
          <w:vertAlign w:val="superscript"/>
        </w:rPr>
        <w:footnoteReference w:id="162"/>
      </w:r>
      <w:r>
        <w:rPr>
          <w:rtl w:val="0"/>
          <w:lang w:val="en-US"/>
        </w:rPr>
        <w:t>.</w:t>
      </w:r>
      <w:r>
        <w:rPr>
          <w:rtl w:val="0"/>
          <w:lang w:val="en-US"/>
        </w:rPr>
        <w:t xml:space="preserve"> A triumphal inscription of Ptolemy III after the Third Syrian war mentions about Troglodytic</w:t>
      </w:r>
      <w:r>
        <w:rPr>
          <w:rtl w:val="0"/>
          <w:lang w:val="en-US"/>
        </w:rPr>
        <w:t xml:space="preserve"> and Aithiopian</w:t>
      </w:r>
      <w:r>
        <w:rPr>
          <w:rtl w:val="0"/>
          <w:lang w:val="en-US"/>
        </w:rPr>
        <w:t xml:space="preserve"> elephants used in the war, first hunted alive by Ptolemy II in these countries and then transported and trained for military use. The Adulis inscription mentions about these two regions, the </w:t>
      </w:r>
      <w:r>
        <w:rPr>
          <w:rtl w:val="0"/>
          <w:lang w:val="en-US"/>
        </w:rPr>
        <w:t>Trog</w:t>
      </w:r>
      <w:r>
        <w:rPr>
          <w:rtl w:val="0"/>
          <w:lang w:val="en-US"/>
        </w:rPr>
        <w:t>l</w:t>
      </w:r>
      <w:r>
        <w:rPr>
          <w:rtl w:val="0"/>
          <w:lang w:val="en-US"/>
        </w:rPr>
        <w:t>odytic</w:t>
      </w:r>
      <w:r>
        <w:rPr>
          <w:rtl w:val="0"/>
          <w:lang w:val="en-US"/>
        </w:rPr>
        <w:t xml:space="preserve"> referring to the </w:t>
      </w:r>
      <w:r>
        <w:rPr>
          <w:rtl w:val="0"/>
          <w:lang w:val="en-US"/>
        </w:rPr>
        <w:t xml:space="preserve">African coast of the Red Sea and its hinterlands, and the latter </w:t>
      </w:r>
      <w:r>
        <w:rPr>
          <w:rtl w:val="0"/>
          <w:lang w:val="en-US"/>
        </w:rPr>
        <w:t xml:space="preserve">referring </w:t>
      </w:r>
      <w:r>
        <w:rPr>
          <w:rtl w:val="0"/>
          <w:lang w:val="en-US"/>
        </w:rPr>
        <w:t>to the Nile Valley south of Egypt</w:t>
      </w:r>
      <w:r>
        <w:rPr>
          <w:vertAlign w:val="superscript"/>
        </w:rPr>
        <w:footnoteReference w:id="163"/>
      </w:r>
      <w:r>
        <w:rPr>
          <w:rtl w:val="0"/>
          <w:lang w:val="en-US"/>
        </w:rPr>
        <w:t>. However, the distances to reach elephants, more than 600 miles south, the difficulties for transporting them and the logistical challenge this meant, might have resulted on the expedition along the Red sea and into the East African coast for searching elephants.</w:t>
      </w:r>
    </w:p>
    <w:p>
      <w:pPr>
        <w:pStyle w:val="justify"/>
        <w:spacing w:line="360" w:lineRule="auto"/>
        <w:jc w:val="both"/>
      </w:pPr>
    </w:p>
    <w:p>
      <w:pPr>
        <w:pStyle w:val="justify"/>
        <w:spacing w:line="360" w:lineRule="auto"/>
        <w:jc w:val="both"/>
      </w:pPr>
      <w:r>
        <w:rPr>
          <w:rtl w:val="0"/>
          <w:lang w:val="en-US"/>
        </w:rPr>
        <w:t xml:space="preserve">The boats transporting the elephants along the Red sea needed to be special, of </w:t>
      </w:r>
      <w:r>
        <w:rPr>
          <w:rtl w:val="0"/>
          <w:lang w:val="en-US"/>
        </w:rPr>
        <w:t>sailing type</w:t>
      </w:r>
      <w:r>
        <w:rPr>
          <w:rtl w:val="0"/>
          <w:lang w:val="en-US"/>
        </w:rPr>
        <w:t xml:space="preserve"> and with shallow draft. Most types of boats built at the time by the Ptolemies were different from the ones just described</w:t>
      </w:r>
      <w:r>
        <w:rPr>
          <w:vertAlign w:val="superscript"/>
        </w:rPr>
        <w:footnoteReference w:id="164"/>
      </w:r>
      <w:r>
        <w:rPr>
          <w:rtl w:val="0"/>
          <w:lang w:val="en-US"/>
        </w:rPr>
        <w:t>. Due to wind and shallow waters, boats had to be repaired on those same ports in the Red sea, adding even more logistical challenges. The over-hunting activities for ivory led to whole elephant populations decimated, having the Egyptians to search in other areas further south-east and therefore increasing the costs. The Pithom stele gives not just the credit of this planning and resources for elephant hunting and transportation to Ptolemy II, but mentions about some inconveniences and challenges such as the supplying of provisions</w:t>
      </w:r>
      <w:r>
        <w:rPr>
          <w:vertAlign w:val="superscript"/>
        </w:rPr>
        <w:footnoteReference w:id="165"/>
      </w:r>
      <w:r>
        <w:rPr>
          <w:rtl w:val="0"/>
          <w:lang w:val="en-US"/>
        </w:rPr>
        <w:t xml:space="preserve"> and the amount of space required to transport the elephants, amongst others just mentioned.</w:t>
      </w:r>
    </w:p>
    <w:p>
      <w:pPr>
        <w:pStyle w:val="justify"/>
        <w:spacing w:line="360" w:lineRule="auto"/>
        <w:jc w:val="both"/>
      </w:pPr>
    </w:p>
    <w:p>
      <w:pPr>
        <w:pStyle w:val="justify"/>
        <w:spacing w:line="360" w:lineRule="auto"/>
        <w:jc w:val="both"/>
      </w:pPr>
      <w:r>
        <w:rPr>
          <w:rtl w:val="0"/>
          <w:lang w:val="en-US"/>
        </w:rPr>
        <w:t>The successful conduct of the elephant hunts achieved, the elephants</w:t>
      </w:r>
      <w:r>
        <w:rPr>
          <w:rtl w:val="0"/>
          <w:lang w:val="en-US"/>
        </w:rPr>
        <w:t xml:space="preserve">’ </w:t>
      </w:r>
      <w:r>
        <w:rPr>
          <w:rtl w:val="0"/>
          <w:lang w:val="en-US"/>
        </w:rPr>
        <w:t>corps built, the access to the Nubian gold and ivory and the temporary secured south frontier, was a notable achievement. However, i</w:t>
      </w:r>
      <w:r>
        <w:rPr>
          <w:rtl w:val="0"/>
          <w:lang w:val="en-US"/>
        </w:rPr>
        <w:t xml:space="preserve">t </w:t>
      </w:r>
      <w:r>
        <w:rPr>
          <w:rtl w:val="0"/>
          <w:lang w:val="en-US"/>
        </w:rPr>
        <w:t xml:space="preserve">does not seem </w:t>
      </w:r>
      <w:r>
        <w:rPr>
          <w:rtl w:val="0"/>
          <w:lang w:val="en-US"/>
        </w:rPr>
        <w:t>clear if these resources offset the high costs of the program</w:t>
      </w:r>
      <w:r>
        <w:rPr>
          <w:rtl w:val="0"/>
          <w:lang w:val="en-US"/>
        </w:rPr>
        <w:t xml:space="preserve"> or if the Ptolemies really benefited enough in war with these corps</w:t>
      </w:r>
      <w:r>
        <w:rPr>
          <w:vertAlign w:val="superscript"/>
        </w:rPr>
        <w:footnoteReference w:id="166"/>
      </w:r>
      <w:r>
        <w:rPr>
          <w:rtl w:val="0"/>
          <w:lang w:val="en-US"/>
        </w:rPr>
        <w:t>. During the programme surely ivory and gold were sourced, but the costs definitely went over the benefits. It seems reasonable to think that the events in Cyrenaica, the mutiny of the Galatian mercenaries, the alliance between the Seleukids and the Antigonids and of course the First Syrian war, made Ptolemy II to rethink about the priorities in internal affairs and external policy. Building a war elephants</w:t>
      </w:r>
      <w:r>
        <w:rPr>
          <w:rtl w:val="0"/>
          <w:lang w:val="en-US"/>
        </w:rPr>
        <w:t xml:space="preserve">’ </w:t>
      </w:r>
      <w:r>
        <w:rPr>
          <w:rtl w:val="0"/>
          <w:lang w:val="en-US"/>
        </w:rPr>
        <w:t>flee, fortifying towns or building a great navy, seem to be defensive strategies. Therefore, the main reason for the elephants</w:t>
      </w:r>
      <w:r>
        <w:rPr>
          <w:rtl w:val="0"/>
          <w:lang w:val="en-US"/>
        </w:rPr>
        <w:t xml:space="preserve">’ </w:t>
      </w:r>
      <w:r>
        <w:rPr>
          <w:rtl w:val="0"/>
          <w:lang w:val="en-US"/>
        </w:rPr>
        <w:t>hunting enterprise might have been to counter-weight their enemies, especially the Seleukids and their Indian elephants</w:t>
      </w:r>
      <w:r>
        <w:rPr>
          <w:rtl w:val="0"/>
          <w:lang w:val="en-US"/>
        </w:rPr>
        <w:t xml:space="preserve">’ </w:t>
      </w:r>
      <w:r>
        <w:rPr>
          <w:rtl w:val="0"/>
          <w:lang w:val="en-US"/>
        </w:rPr>
        <w:t>corps</w:t>
      </w:r>
      <w:r>
        <w:rPr>
          <w:vertAlign w:val="superscript"/>
        </w:rPr>
        <w:footnoteReference w:id="167"/>
      </w:r>
      <w:r>
        <w:rPr>
          <w:rtl w:val="0"/>
          <w:lang w:val="en-US"/>
        </w:rPr>
        <w:t>.</w:t>
      </w:r>
    </w:p>
    <w:p>
      <w:pPr>
        <w:pStyle w:val="justify"/>
        <w:spacing w:line="360" w:lineRule="auto"/>
        <w:jc w:val="both"/>
      </w:pPr>
    </w:p>
    <w:p>
      <w:pPr>
        <w:pStyle w:val="justify"/>
        <w:spacing w:line="360" w:lineRule="auto"/>
        <w:jc w:val="both"/>
      </w:pPr>
      <w:r>
        <w:rPr>
          <w:rtl w:val="0"/>
          <w:lang w:val="en-US"/>
        </w:rPr>
        <w:t xml:space="preserve">Since the end of the First Syrian War, internal troubles </w:t>
      </w:r>
      <w:r>
        <w:rPr>
          <w:rtl w:val="0"/>
          <w:lang w:val="en-US"/>
        </w:rPr>
        <w:t>in</w:t>
      </w:r>
      <w:r>
        <w:rPr>
          <w:rtl w:val="0"/>
          <w:lang w:val="en-US"/>
        </w:rPr>
        <w:t xml:space="preserve"> the Seleu</w:t>
      </w:r>
      <w:r>
        <w:rPr>
          <w:rtl w:val="0"/>
          <w:lang w:val="en-US"/>
        </w:rPr>
        <w:t>k</w:t>
      </w:r>
      <w:r>
        <w:rPr>
          <w:rtl w:val="0"/>
          <w:lang w:val="en-US"/>
        </w:rPr>
        <w:t>id realm had prevented it from taking any strong action in the Mediterranean. In</w:t>
      </w:r>
      <w:r>
        <w:rPr>
          <w:rtl w:val="0"/>
          <w:lang w:val="en-US"/>
        </w:rPr>
        <w:t> </w:t>
      </w:r>
      <w:r>
        <w:rPr>
          <w:rtl w:val="0"/>
          <w:lang w:val="en-US"/>
        </w:rPr>
        <w:t>261</w:t>
      </w:r>
      <w:r>
        <w:rPr>
          <w:rtl w:val="0"/>
          <w:lang w:val="en-US"/>
        </w:rPr>
        <w:t xml:space="preserve"> BC,</w:t>
      </w:r>
      <w:r>
        <w:rPr>
          <w:rtl w:val="0"/>
          <w:lang w:val="en-US"/>
        </w:rPr>
        <w:t xml:space="preserve"> Antiochus</w:t>
      </w:r>
      <w:r>
        <w:rPr>
          <w:rtl w:val="0"/>
          <w:lang w:val="en-US"/>
        </w:rPr>
        <w:t> </w:t>
      </w:r>
      <w:r>
        <w:rPr>
          <w:rtl w:val="0"/>
          <w:lang w:val="en-US"/>
        </w:rPr>
        <w:t>I fell in battle against Eumenes</w:t>
      </w:r>
      <w:r>
        <w:rPr>
          <w:rtl w:val="0"/>
          <w:lang w:val="en-US"/>
        </w:rPr>
        <w:t> </w:t>
      </w:r>
      <w:r>
        <w:rPr>
          <w:rtl w:val="0"/>
          <w:lang w:val="en-US"/>
        </w:rPr>
        <w:t xml:space="preserve">I of Pergamon, </w:t>
      </w:r>
      <w:r>
        <w:rPr>
          <w:rtl w:val="0"/>
          <w:lang w:val="en-US"/>
        </w:rPr>
        <w:t>a battle which Antiochus I lost</w:t>
      </w:r>
      <w:r>
        <w:rPr>
          <w:vertAlign w:val="superscript"/>
        </w:rPr>
        <w:footnoteReference w:id="168"/>
      </w:r>
      <w:r>
        <w:rPr>
          <w:rtl w:val="0"/>
          <w:lang w:val="en-US"/>
        </w:rPr>
        <w:t>. He</w:t>
      </w:r>
      <w:r>
        <w:rPr>
          <w:rtl w:val="0"/>
          <w:lang w:val="en-US"/>
        </w:rPr>
        <w:t xml:space="preserve"> was succeeded by his son Antiochus</w:t>
      </w:r>
      <w:r>
        <w:rPr>
          <w:rtl w:val="0"/>
          <w:lang w:val="en-US"/>
        </w:rPr>
        <w:t> </w:t>
      </w:r>
      <w:r>
        <w:rPr>
          <w:rtl w:val="0"/>
          <w:lang w:val="en-US"/>
        </w:rPr>
        <w:t xml:space="preserve">II (Theos). </w:t>
      </w:r>
      <w:r>
        <w:rPr>
          <w:rtl w:val="0"/>
          <w:lang w:val="en-US"/>
        </w:rPr>
        <w:t>The years between the end of the Chremonidean war and the accession of Antiochus II to th</w:t>
      </w:r>
      <w:r>
        <w:rPr>
          <w:rtl w:val="0"/>
          <w:lang w:val="en-US"/>
        </w:rPr>
        <w:t>e throne are some of the most obscured years, with not many written documents to support research. During this time though, the battles of Cos and Andros occurred. In the first of these battles, Antigonos Gonatas won to Ptolemy II. There was also a sea-fight off Ephesus between Rhodes, apparently ally of Macedon, and an Egyptian fleet commanded by Chremonides. During the last years of Pto</w:t>
      </w:r>
      <w:r>
        <w:rPr>
          <w:rtl w:val="0"/>
          <w:lang w:val="en-US"/>
        </w:rPr>
        <w:t>lemy II, it seems that temporarily the federation of the Cyclades was controlled by the Macedonians and Miletus was under pressure, hence why the hints at the lost battle of Cos</w:t>
      </w:r>
      <w:r>
        <w:rPr>
          <w:vertAlign w:val="superscript"/>
        </w:rPr>
        <w:footnoteReference w:id="169"/>
      </w:r>
      <w:r>
        <w:rPr>
          <w:rtl w:val="0"/>
          <w:lang w:val="en-US"/>
        </w:rPr>
        <w:t>. All of these matters had an influence on the events between the Ptolemies and the Seleukids.</w:t>
      </w:r>
    </w:p>
    <w:p>
      <w:pPr>
        <w:pStyle w:val="justify"/>
        <w:spacing w:line="360" w:lineRule="auto"/>
        <w:jc w:val="both"/>
      </w:pPr>
    </w:p>
    <w:p>
      <w:pPr>
        <w:pStyle w:val="justify"/>
        <w:spacing w:line="360" w:lineRule="auto"/>
        <w:jc w:val="both"/>
      </w:pPr>
      <w:r>
        <w:rPr>
          <w:rtl w:val="0"/>
          <w:lang w:val="en-US"/>
        </w:rPr>
        <w:t>It is reasonable to state that both, the house of Ptolemies and the house of the Seleukids, were at the beginnings of Antiochus II reign, one holding on their conquests and owned territories, the other prevented to attempt to seize what he claimed, partly by the afterma</w:t>
      </w:r>
      <w:r>
        <w:rPr>
          <w:rtl w:val="0"/>
          <w:lang w:val="en-US"/>
        </w:rPr>
        <w:t>th of rebellions in his inherited territories, partly due to external troubles affecting Asia Minor</w:t>
      </w:r>
      <w:r>
        <w:rPr>
          <w:vertAlign w:val="superscript"/>
        </w:rPr>
        <w:footnoteReference w:id="170"/>
      </w:r>
      <w:r>
        <w:rPr>
          <w:rtl w:val="0"/>
          <w:lang w:val="en-US"/>
        </w:rPr>
        <w:t>. Both houses were therefore in a context in which both looked for weaknesses on their rivals to take some advantage. Each sought for allies to become stronger. Both put their efforts in increasing their military power, which influenced their internal and foreign policies</w:t>
      </w:r>
      <w:r>
        <w:rPr>
          <w:vertAlign w:val="superscript"/>
        </w:rPr>
        <w:footnoteReference w:id="171"/>
      </w:r>
      <w:r>
        <w:rPr>
          <w:rtl w:val="0"/>
          <w:lang w:val="en-US"/>
        </w:rPr>
        <w:t xml:space="preserve">. New cities were built in Palestine such as Ptolemais (old town of Ake (Akko)), Philotera, Philadelphia and </w:t>
      </w:r>
      <w:r>
        <w:rPr>
          <w:rtl w:val="0"/>
          <w:lang w:val="en-US"/>
        </w:rPr>
        <w:t>Skythopolis</w:t>
      </w:r>
      <w:r>
        <w:rPr>
          <w:rtl w:val="0"/>
          <w:lang w:val="en-US"/>
        </w:rPr>
        <w:t>, towns which controlled trade routes to places such as Jordan. In this same area, town walls were refurbished or remade, such as at Dor. Evidences suggest that Ptolemy II not only focussed in building his navy but also on fortifying cities in Phoenicia and Palestine. This must have involved the employment of mercenaries and the recruitment of settlers for those new towns and fortified cities</w:t>
      </w:r>
      <w:r>
        <w:rPr>
          <w:vertAlign w:val="superscript"/>
        </w:rPr>
        <w:footnoteReference w:id="172"/>
      </w:r>
      <w:r>
        <w:rPr>
          <w:rtl w:val="0"/>
          <w:lang w:val="en-US"/>
        </w:rPr>
        <w:t xml:space="preserve">. </w:t>
      </w:r>
      <w:r>
        <w:rPr>
          <w:rtl w:val="0"/>
          <w:lang w:val="en-US"/>
        </w:rPr>
        <w:t>In fact and as mentioned, after the First Syrian war</w:t>
      </w:r>
      <w:r>
        <w:rPr>
          <w:rtl w:val="0"/>
          <w:lang w:val="en-US"/>
        </w:rPr>
        <w:t>,</w:t>
      </w:r>
      <w:r>
        <w:rPr>
          <w:rtl w:val="0"/>
          <w:lang w:val="en-US"/>
        </w:rPr>
        <w:t xml:space="preserve"> internal troubles </w:t>
      </w:r>
      <w:r>
        <w:rPr>
          <w:rtl w:val="0"/>
          <w:lang w:val="en-US"/>
        </w:rPr>
        <w:t xml:space="preserve">had </w:t>
      </w:r>
      <w:r>
        <w:rPr>
          <w:rtl w:val="0"/>
          <w:lang w:val="en-US"/>
        </w:rPr>
        <w:t xml:space="preserve">prevented Antiochus I </w:t>
      </w:r>
      <w:r>
        <w:rPr>
          <w:rtl w:val="0"/>
          <w:lang w:val="en-US"/>
        </w:rPr>
        <w:t>from</w:t>
      </w:r>
      <w:r>
        <w:rPr>
          <w:rtl w:val="0"/>
          <w:lang w:val="en-US"/>
        </w:rPr>
        <w:t xml:space="preserve"> us</w:t>
      </w:r>
      <w:r>
        <w:rPr>
          <w:rtl w:val="0"/>
          <w:lang w:val="en-US"/>
        </w:rPr>
        <w:t>ing</w:t>
      </w:r>
      <w:r>
        <w:rPr>
          <w:rtl w:val="0"/>
          <w:lang w:val="en-US"/>
        </w:rPr>
        <w:t xml:space="preserve"> his force to recover part of Coele-Syria. </w:t>
      </w:r>
      <w:r>
        <w:rPr>
          <w:rtl w:val="0"/>
          <w:lang w:val="en-US"/>
        </w:rPr>
        <w:t xml:space="preserve">The arrival to government of </w:t>
      </w:r>
      <w:r>
        <w:rPr>
          <w:rtl w:val="0"/>
          <w:lang w:val="en-US"/>
        </w:rPr>
        <w:t>Antiochus II Theos</w:t>
      </w:r>
      <w:r>
        <w:rPr>
          <w:rtl w:val="0"/>
          <w:lang w:val="en-US"/>
        </w:rPr>
        <w:t xml:space="preserve"> changed the whole landscape in the area.</w:t>
      </w:r>
    </w:p>
    <w:p>
      <w:pPr>
        <w:pStyle w:val="justify"/>
        <w:spacing w:line="360" w:lineRule="auto"/>
        <w:jc w:val="both"/>
      </w:pPr>
    </w:p>
    <w:p>
      <w:pPr>
        <w:pStyle w:val="justify"/>
        <w:spacing w:line="360" w:lineRule="auto"/>
        <w:jc w:val="both"/>
      </w:pPr>
      <w:r>
        <w:rPr>
          <w:rtl w:val="0"/>
          <w:lang w:val="en-US"/>
        </w:rPr>
        <w:t>S</w:t>
      </w:r>
      <w:r>
        <w:rPr>
          <w:rtl w:val="0"/>
          <w:lang w:val="en-US"/>
        </w:rPr>
        <w:t>ome time after his accession</w:t>
      </w:r>
      <w:r>
        <w:rPr>
          <w:rtl w:val="0"/>
          <w:lang w:val="en-US"/>
        </w:rPr>
        <w:t>, t</w:t>
      </w:r>
      <w:r>
        <w:rPr>
          <w:rtl w:val="0"/>
          <w:lang w:val="en-US"/>
        </w:rPr>
        <w:t>he new Seleu</w:t>
      </w:r>
      <w:r>
        <w:rPr>
          <w:rtl w:val="0"/>
          <w:lang w:val="en-US"/>
        </w:rPr>
        <w:t>k</w:t>
      </w:r>
      <w:r>
        <w:rPr>
          <w:rtl w:val="0"/>
          <w:lang w:val="en-US"/>
        </w:rPr>
        <w:t>id king</w:t>
      </w:r>
      <w:r>
        <w:rPr>
          <w:rtl w:val="0"/>
          <w:lang w:val="en-US"/>
        </w:rPr>
        <w:t xml:space="preserve"> </w:t>
      </w:r>
      <w:r>
        <w:rPr>
          <w:rtl w:val="0"/>
          <w:lang w:val="en-US"/>
        </w:rPr>
        <w:t>believed himself strong enough to try recover</w:t>
      </w:r>
      <w:r>
        <w:rPr>
          <w:rtl w:val="0"/>
          <w:lang w:val="en-US"/>
        </w:rPr>
        <w:t>ing</w:t>
      </w:r>
      <w:r>
        <w:rPr>
          <w:rtl w:val="0"/>
          <w:lang w:val="en-US"/>
        </w:rPr>
        <w:t xml:space="preserve"> from Ptolemy the losses his house had suffered in the First Syrian </w:t>
      </w:r>
      <w:r>
        <w:rPr>
          <w:rtl w:val="0"/>
          <w:lang w:val="en-US"/>
        </w:rPr>
        <w:t>w</w:t>
      </w:r>
      <w:r>
        <w:rPr>
          <w:rtl w:val="0"/>
          <w:lang w:val="en-US"/>
        </w:rPr>
        <w:t>ar. A</w:t>
      </w:r>
      <w:r>
        <w:rPr>
          <w:rtl w:val="0"/>
          <w:lang w:val="en-US"/>
        </w:rPr>
        <w:t> </w:t>
      </w:r>
      <w:r>
        <w:rPr>
          <w:rtl w:val="0"/>
          <w:lang w:val="en-US"/>
        </w:rPr>
        <w:t xml:space="preserve">war between </w:t>
      </w:r>
      <w:r>
        <w:rPr>
          <w:rtl w:val="0"/>
          <w:lang w:val="en-US"/>
        </w:rPr>
        <w:t>both houses</w:t>
      </w:r>
      <w:r>
        <w:rPr>
          <w:rtl w:val="0"/>
          <w:lang w:val="en-US"/>
        </w:rPr>
        <w:t xml:space="preserve"> broke out</w:t>
      </w:r>
      <w:r>
        <w:rPr>
          <w:rtl w:val="0"/>
          <w:lang w:val="en-US"/>
        </w:rPr>
        <w:t>,</w:t>
      </w:r>
      <w:r>
        <w:rPr>
          <w:rtl w:val="0"/>
          <w:lang w:val="en-US"/>
        </w:rPr>
        <w:t xml:space="preserve"> which modern scholars </w:t>
      </w:r>
      <w:r>
        <w:rPr>
          <w:rtl w:val="0"/>
          <w:lang w:val="en-US"/>
        </w:rPr>
        <w:t>named it</w:t>
      </w:r>
      <w:r>
        <w:rPr>
          <w:rtl w:val="0"/>
          <w:lang w:val="en-US"/>
        </w:rPr>
        <w:t xml:space="preserve"> the Second Syrian </w:t>
      </w:r>
      <w:r>
        <w:rPr>
          <w:rtl w:val="0"/>
          <w:lang w:val="en-US"/>
        </w:rPr>
        <w:t>w</w:t>
      </w:r>
      <w:r>
        <w:rPr>
          <w:rtl w:val="0"/>
          <w:lang w:val="en-US"/>
        </w:rPr>
        <w:t>ar. Of its dates</w:t>
      </w:r>
      <w:r>
        <w:rPr>
          <w:rtl w:val="0"/>
          <w:lang w:val="en-US"/>
        </w:rPr>
        <w:t xml:space="preserve">, </w:t>
      </w:r>
      <w:r>
        <w:rPr>
          <w:rtl w:val="0"/>
          <w:lang w:val="en-US"/>
        </w:rPr>
        <w:t xml:space="preserve">course and extent we know even less than we do about those of the First Syrian War. Jerome says vaguely that Antiochus "fought with </w:t>
      </w:r>
      <w:r>
        <w:rPr>
          <w:rtl w:val="0"/>
          <w:lang w:val="en-US"/>
        </w:rPr>
        <w:t>his</w:t>
      </w:r>
      <w:r>
        <w:rPr>
          <w:rtl w:val="0"/>
          <w:lang w:val="en-US"/>
        </w:rPr>
        <w:t xml:space="preserve"> whole military force of Babylon and the East."</w:t>
      </w:r>
      <w:r>
        <w:rPr>
          <w:rStyle w:val="Hyperlink.1"/>
        </w:rPr>
        <w:fldChar w:fldCharType="begin" w:fldLock="0"/>
      </w:r>
      <w:r>
        <w:rPr>
          <w:rStyle w:val="Hyperlink.1"/>
        </w:rPr>
        <w:instrText xml:space="preserve"> HYPERLINK "http://penelope.uchicago.edu/Thayer/E/Gazetteer/Places/Africa/Egypt/_Texts/BEVHOP/3*.html#note27"</w:instrText>
      </w:r>
      <w:r>
        <w:rPr>
          <w:rStyle w:val="Hyperlink.1"/>
        </w:rPr>
        <w:fldChar w:fldCharType="separate" w:fldLock="0"/>
      </w:r>
      <w:r>
        <w:rPr>
          <w:rStyle w:val="Hyperlink.1"/>
          <w:rtl w:val="0"/>
          <w:lang w:val="en-US"/>
        </w:rPr>
        <w:t>27</w:t>
      </w:r>
      <w:r>
        <w:rPr/>
        <w:fldChar w:fldCharType="end" w:fldLock="0"/>
      </w:r>
      <w:r>
        <w:rPr>
          <w:rtl w:val="0"/>
          <w:lang w:val="en-US"/>
        </w:rPr>
        <w:t> </w:t>
      </w:r>
      <w:r>
        <w:rPr>
          <w:rtl w:val="0"/>
          <w:lang w:val="en-US"/>
        </w:rPr>
        <w:t>H</w:t>
      </w:r>
      <w:r>
        <w:rPr>
          <w:rtl w:val="0"/>
          <w:lang w:val="en-US"/>
        </w:rPr>
        <w:t>e certainly did not succeed in detaching Coele-Syria</w:t>
      </w:r>
      <w:r>
        <w:rPr>
          <w:vertAlign w:val="superscript"/>
        </w:rPr>
        <w:footnoteReference w:id="173"/>
      </w:r>
      <w:r>
        <w:rPr>
          <w:rtl w:val="0"/>
          <w:lang w:val="en-US"/>
        </w:rPr>
        <w:t xml:space="preserve"> from Egypt</w:t>
      </w:r>
      <w:r>
        <w:rPr>
          <w:rtl w:val="0"/>
          <w:lang w:val="en-US"/>
        </w:rPr>
        <w:t>,</w:t>
      </w:r>
      <w:r>
        <w:rPr>
          <w:rtl w:val="0"/>
          <w:lang w:val="en-US"/>
        </w:rPr>
        <w:t xml:space="preserve"> perhaps he did</w:t>
      </w:r>
      <w:r>
        <w:rPr>
          <w:rtl w:val="0"/>
          <w:lang w:val="en-US"/>
        </w:rPr>
        <w:t> </w:t>
      </w:r>
      <w:r>
        <w:rPr>
          <w:rtl w:val="0"/>
          <w:lang w:val="en-US"/>
        </w:rPr>
        <w:t xml:space="preserve">not </w:t>
      </w:r>
      <w:r>
        <w:rPr>
          <w:rtl w:val="0"/>
          <w:lang w:val="en-US"/>
        </w:rPr>
        <w:t xml:space="preserve">even </w:t>
      </w:r>
      <w:r>
        <w:rPr>
          <w:rtl w:val="0"/>
          <w:lang w:val="en-US"/>
        </w:rPr>
        <w:t>penetrate into the coveted province.</w:t>
      </w:r>
      <w:r>
        <w:rPr>
          <w:rtl w:val="0"/>
          <w:lang w:val="en-US"/>
        </w:rPr>
        <w:t xml:space="preserve"> It</w:t>
      </w:r>
      <w:r>
        <w:rPr>
          <w:rtl w:val="0"/>
          <w:lang w:val="en-US"/>
        </w:rPr>
        <w:t xml:space="preserve"> </w:t>
      </w:r>
      <w:r>
        <w:rPr>
          <w:rtl w:val="0"/>
          <w:lang w:val="en-US"/>
        </w:rPr>
        <w:t>should</w:t>
      </w:r>
      <w:r>
        <w:rPr>
          <w:rtl w:val="0"/>
          <w:lang w:val="en-US"/>
        </w:rPr>
        <w:t xml:space="preserve"> ha</w:t>
      </w:r>
      <w:r>
        <w:rPr>
          <w:rtl w:val="0"/>
          <w:lang w:val="en-US"/>
        </w:rPr>
        <w:t>ve</w:t>
      </w:r>
      <w:r>
        <w:rPr>
          <w:rtl w:val="0"/>
          <w:lang w:val="en-US"/>
        </w:rPr>
        <w:t xml:space="preserve"> been a complicated struggle of fighting and diplomatic intrigue along the coast of Asia Minor, where the Egyptian fleet could not operate as effectively as before, now that it had lost command of the seas. Antigonus of Macedonia had probably an</w:t>
      </w:r>
      <w:r>
        <w:rPr>
          <w:rtl w:val="0"/>
          <w:lang w:val="en-US"/>
        </w:rPr>
        <w:t> </w:t>
      </w:r>
      <w:r>
        <w:rPr>
          <w:rtl w:val="0"/>
          <w:lang w:val="en-US"/>
        </w:rPr>
        <w:t>entente</w:t>
      </w:r>
      <w:r>
        <w:rPr>
          <w:rtl w:val="0"/>
          <w:lang w:val="en-US"/>
        </w:rPr>
        <w:t> </w:t>
      </w:r>
      <w:r>
        <w:rPr>
          <w:rtl w:val="0"/>
          <w:lang w:val="en-US"/>
        </w:rPr>
        <w:t>with Antiochus</w:t>
      </w:r>
      <w:r>
        <w:rPr>
          <w:rtl w:val="0"/>
          <w:lang w:val="en-US"/>
        </w:rPr>
        <w:t> </w:t>
      </w:r>
      <w:r>
        <w:rPr>
          <w:rtl w:val="0"/>
          <w:lang w:val="en-US"/>
        </w:rPr>
        <w:t xml:space="preserve">II, with whom he was connected by two dynastic marriages. </w:t>
      </w:r>
      <w:r>
        <w:rPr>
          <w:rtl w:val="0"/>
          <w:lang w:val="en-US"/>
        </w:rPr>
        <w:t xml:space="preserve">About this time, </w:t>
      </w:r>
      <w:r>
        <w:rPr>
          <w:rtl w:val="0"/>
          <w:lang w:val="en-US"/>
        </w:rPr>
        <w:t>Miletus</w:t>
      </w:r>
      <w:r>
        <w:rPr>
          <w:rtl w:val="0"/>
          <w:lang w:val="en-US"/>
        </w:rPr>
        <w:t xml:space="preserve"> was</w:t>
      </w:r>
      <w:r>
        <w:rPr>
          <w:rtl w:val="0"/>
          <w:lang w:val="en-US"/>
        </w:rPr>
        <w:t xml:space="preserve"> found in the possession of an adventurer called Timarchus</w:t>
      </w:r>
      <w:r>
        <w:rPr>
          <w:rtl w:val="0"/>
          <w:lang w:val="en-US"/>
        </w:rPr>
        <w:t>,</w:t>
      </w:r>
      <w:r>
        <w:rPr>
          <w:rtl w:val="0"/>
          <w:lang w:val="en-US"/>
        </w:rPr>
        <w:t xml:space="preserve"> who made himself tyrant of the city, perhaps g</w:t>
      </w:r>
      <w:r>
        <w:rPr>
          <w:rtl w:val="0"/>
          <w:lang w:val="en-US"/>
        </w:rPr>
        <w:t>etting also</w:t>
      </w:r>
      <w:r>
        <w:rPr>
          <w:rtl w:val="0"/>
          <w:lang w:val="en-US"/>
        </w:rPr>
        <w:t xml:space="preserve"> hold of Samos. He was certainly no friend </w:t>
      </w:r>
      <w:r>
        <w:rPr>
          <w:rtl w:val="0"/>
          <w:lang w:val="en-US"/>
        </w:rPr>
        <w:t>of</w:t>
      </w:r>
      <w:r>
        <w:rPr>
          <w:rtl w:val="0"/>
          <w:lang w:val="en-US"/>
        </w:rPr>
        <w:t xml:space="preserve"> Antiochus, since it was the suppression of Timarchus which earned </w:t>
      </w:r>
      <w:r>
        <w:rPr>
          <w:rtl w:val="0"/>
          <w:lang w:val="en-US"/>
        </w:rPr>
        <w:t>Antiochus II f</w:t>
      </w:r>
      <w:r>
        <w:rPr>
          <w:rtl w:val="0"/>
          <w:lang w:val="en-US"/>
        </w:rPr>
        <w:t>rom the grateful Milesians</w:t>
      </w:r>
      <w:r>
        <w:rPr>
          <w:rtl w:val="0"/>
          <w:lang w:val="en-US"/>
        </w:rPr>
        <w:t xml:space="preserve"> </w:t>
      </w:r>
      <w:r>
        <w:rPr>
          <w:rtl w:val="0"/>
          <w:lang w:val="en-US"/>
        </w:rPr>
        <w:t xml:space="preserve">the </w:t>
      </w:r>
      <w:r>
        <w:rPr>
          <w:rtl w:val="0"/>
          <w:lang w:val="en-US"/>
        </w:rPr>
        <w:t>nick</w:t>
      </w:r>
      <w:r>
        <w:rPr>
          <w:rtl w:val="0"/>
          <w:lang w:val="en-US"/>
        </w:rPr>
        <w:t xml:space="preserve">name of "God." Nor does he seem to have been friend </w:t>
      </w:r>
      <w:r>
        <w:rPr>
          <w:rtl w:val="0"/>
          <w:lang w:val="en-US"/>
        </w:rPr>
        <w:t>of</w:t>
      </w:r>
      <w:r>
        <w:rPr>
          <w:rtl w:val="0"/>
          <w:lang w:val="en-US"/>
        </w:rPr>
        <w:t xml:space="preserve"> Egypt</w:t>
      </w:r>
      <w:r>
        <w:rPr>
          <w:rtl w:val="0"/>
          <w:lang w:val="en-US"/>
        </w:rPr>
        <w:t xml:space="preserve"> either</w:t>
      </w:r>
      <w:r>
        <w:rPr>
          <w:rtl w:val="0"/>
          <w:lang w:val="en-US"/>
        </w:rPr>
        <w:t>, since he allied himself against Ptolemy with Ptolemy's bastard</w:t>
      </w:r>
      <w:r>
        <w:rPr>
          <w:rtl w:val="0"/>
          <w:lang w:val="en-US"/>
        </w:rPr>
        <w:t xml:space="preserve"> son</w:t>
      </w:r>
      <w:r>
        <w:rPr>
          <w:rtl w:val="0"/>
          <w:lang w:val="en-US"/>
        </w:rPr>
        <w:t xml:space="preserve">, a young man who also bore the name of Ptolemy. In the course of this war Egypt </w:t>
      </w:r>
      <w:r>
        <w:rPr>
          <w:rtl w:val="0"/>
          <w:lang w:val="en-US"/>
        </w:rPr>
        <w:t xml:space="preserve">apparently </w:t>
      </w:r>
      <w:r>
        <w:rPr>
          <w:rtl w:val="0"/>
          <w:lang w:val="en-US"/>
        </w:rPr>
        <w:t>got hold of Ephesus, and the king of Egypt</w:t>
      </w:r>
      <w:r>
        <w:rPr>
          <w:rtl w:val="0"/>
          <w:lang w:val="en-US"/>
        </w:rPr>
        <w:t xml:space="preserve"> </w:t>
      </w:r>
      <w:r>
        <w:rPr>
          <w:rtl w:val="0"/>
          <w:lang w:val="en-US"/>
        </w:rPr>
        <w:t>put this illegitimate son of his in command there.</w:t>
      </w:r>
    </w:p>
    <w:p>
      <w:pPr>
        <w:pStyle w:val="justify"/>
        <w:spacing w:line="360" w:lineRule="auto"/>
        <w:jc w:val="both"/>
      </w:pPr>
    </w:p>
    <w:p>
      <w:pPr>
        <w:pStyle w:val="justify"/>
        <w:spacing w:line="360" w:lineRule="auto"/>
        <w:jc w:val="both"/>
      </w:pPr>
      <w:r>
        <w:rPr>
          <w:rtl w:val="0"/>
          <w:lang w:val="en-US"/>
        </w:rPr>
        <w:t>As mentioned, t</w:t>
      </w:r>
      <w:r>
        <w:rPr>
          <w:rtl w:val="0"/>
          <w:lang w:val="en-US"/>
        </w:rPr>
        <w:t xml:space="preserve">he war is one of the less known of all the Syrian wars. The results are </w:t>
      </w:r>
      <w:r>
        <w:rPr>
          <w:rtl w:val="0"/>
          <w:lang w:val="en-US"/>
        </w:rPr>
        <w:t>nevertheless considerable and visible clearly enough</w:t>
      </w:r>
      <w:r>
        <w:rPr>
          <w:rtl w:val="0"/>
          <w:lang w:val="en-US"/>
        </w:rPr>
        <w:t xml:space="preserve">. The fighting took place in Syria, the Aegean, </w:t>
      </w:r>
      <w:r>
        <w:rPr>
          <w:rtl w:val="0"/>
          <w:lang w:val="en-US"/>
        </w:rPr>
        <w:t xml:space="preserve">where Rhodian and Antigonid naval </w:t>
      </w:r>
      <w:r>
        <w:rPr>
          <w:rtl w:val="0"/>
          <w:lang w:val="en-US"/>
        </w:rPr>
        <w:t>forces were</w:t>
      </w:r>
      <w:r>
        <w:rPr>
          <w:rtl w:val="0"/>
          <w:lang w:val="en-US"/>
        </w:rPr>
        <w:t xml:space="preserve"> involved</w:t>
      </w:r>
      <w:r>
        <w:rPr>
          <w:rtl w:val="0"/>
          <w:lang w:val="en-US"/>
        </w:rPr>
        <w:t>, and in Asia Minor. The war lasted for approximately 6 or 7 years and had a major impact in both kingdoms</w:t>
      </w:r>
      <w:r>
        <w:rPr>
          <w:vertAlign w:val="superscript"/>
        </w:rPr>
        <w:footnoteReference w:id="174"/>
      </w:r>
      <w:r>
        <w:rPr>
          <w:rtl w:val="0"/>
          <w:lang w:val="en-US"/>
        </w:rPr>
        <w:t xml:space="preserve">. </w:t>
      </w:r>
      <w:r>
        <w:rPr>
          <w:rtl w:val="0"/>
          <w:lang w:val="en-US"/>
        </w:rPr>
        <w:t>I</w:t>
      </w:r>
      <w:r>
        <w:rPr>
          <w:rtl w:val="0"/>
          <w:lang w:val="en-US"/>
        </w:rPr>
        <w:t>t seems that the control over Caria was one of the reasons for the encounter. Appointing Ptolemy</w:t>
      </w:r>
      <w:r>
        <w:rPr>
          <w:rtl w:val="0"/>
          <w:lang w:val="en-US"/>
        </w:rPr>
        <w:t>’</w:t>
      </w:r>
      <w:r>
        <w:rPr>
          <w:rtl w:val="0"/>
          <w:lang w:val="en-US"/>
        </w:rPr>
        <w:t>s nephew</w:t>
      </w:r>
      <w:r>
        <w:rPr>
          <w:rtl w:val="0"/>
          <w:lang w:val="en-US"/>
        </w:rPr>
        <w:t>, Ptolemy Epigonos</w:t>
      </w:r>
      <w:r>
        <w:rPr>
          <w:rtl w:val="0"/>
          <w:lang w:val="en-US"/>
        </w:rPr>
        <w:t>, in Ephesus in 268 BC also had an impact. His appointment related to Ptolemy</w:t>
      </w:r>
      <w:r>
        <w:rPr>
          <w:rtl w:val="0"/>
          <w:lang w:val="en-US"/>
        </w:rPr>
        <w:t>’</w:t>
      </w:r>
      <w:r>
        <w:rPr>
          <w:rtl w:val="0"/>
          <w:lang w:val="en-US"/>
        </w:rPr>
        <w:t>s interest in showing strength at a time when the Egyptians had lost against Antigonos in Kos and in the Chremonidean war. It might have to do with giving the future king of Egypt some independence</w:t>
      </w:r>
      <w:r>
        <w:rPr>
          <w:vertAlign w:val="superscript"/>
        </w:rPr>
        <w:footnoteReference w:id="175"/>
      </w:r>
      <w:r>
        <w:rPr>
          <w:rtl w:val="0"/>
          <w:lang w:val="en-US"/>
        </w:rPr>
        <w:t>. Epigonos though rebelled against his father with the support of mercenary forces in 259 BC. His partner was Timarchus, an Aetolian mercenary who controlled Miletus. Trogus mentions about a revolt in Asia Minor by a Ptolemy with the support and alliance of Timarchus. We also have an inscription from Miletus in Lesbos, alluding to a Ptolemy II</w:t>
      </w:r>
      <w:r>
        <w:rPr>
          <w:rtl w:val="0"/>
          <w:lang w:val="en-US"/>
        </w:rPr>
        <w:t>’</w:t>
      </w:r>
      <w:r>
        <w:rPr>
          <w:rtl w:val="0"/>
          <w:lang w:val="en-US"/>
        </w:rPr>
        <w:t xml:space="preserve">s son supported by the admiral Callicrates and other friends. We find other evidences such as a general called Olympichos, who wrote to the Mylasians about the benefactions of a Ptolemy towards them, </w:t>
      </w:r>
      <w:r>
        <w:rPr>
          <w:rtl w:val="0"/>
          <w:lang w:val="en-US"/>
        </w:rPr>
        <w:t>toward</w:t>
      </w:r>
      <w:r>
        <w:rPr>
          <w:rtl w:val="0"/>
          <w:lang w:val="en-US"/>
        </w:rPr>
        <w:t>s</w:t>
      </w:r>
      <w:r>
        <w:rPr>
          <w:rtl w:val="0"/>
          <w:lang w:val="en-US"/>
        </w:rPr>
        <w:t xml:space="preserve"> Labranda in Caria</w:t>
      </w:r>
      <w:r>
        <w:rPr>
          <w:rtl w:val="0"/>
          <w:lang w:val="en-US"/>
        </w:rPr>
        <w:t>. These inscriptions imply the influence of Ptolemy, son of Lysimachus, in Telmessus. It seems to point out at a nephew of Ptolemy II, who acted as co-regent from around 268 BC. However, due to a revolt orchestrated by Ptolemy</w:t>
      </w:r>
      <w:r>
        <w:rPr>
          <w:rtl w:val="0"/>
          <w:lang w:val="en-US"/>
        </w:rPr>
        <w:t>’</w:t>
      </w:r>
      <w:r>
        <w:rPr>
          <w:rtl w:val="0"/>
          <w:lang w:val="en-US"/>
        </w:rPr>
        <w:t xml:space="preserve">s nephew together with </w:t>
      </w:r>
      <w:r>
        <w:rPr>
          <w:rtl w:val="0"/>
          <w:lang w:val="en-US"/>
        </w:rPr>
        <w:t>Timarchus of Aetolia</w:t>
      </w:r>
      <w:r>
        <w:rPr>
          <w:rtl w:val="0"/>
          <w:lang w:val="en-US"/>
        </w:rPr>
        <w:t>, the former was finally defeated. He nevertheless remained in Telmessus, region given to him as a gift by Philadelphus. Arsinoe II might have been behind, not just of the co-regency of Ptolemy II with his nephew, but also behind an attempt to take control over Macedonia</w:t>
      </w:r>
      <w:r>
        <w:rPr>
          <w:vertAlign w:val="superscript"/>
        </w:rPr>
        <w:footnoteReference w:id="176"/>
      </w:r>
      <w:r>
        <w:rPr>
          <w:rtl w:val="0"/>
          <w:lang w:val="en-US"/>
        </w:rPr>
        <w:t>. It seems that Philadelphus step son continued expanding his territory in the Aegean in those times. This situation is similar to the one with Magas, who even though rebelled against the house of Ptolemies, remained in Cyrene</w:t>
      </w:r>
      <w:r>
        <w:rPr>
          <w:vertAlign w:val="superscript"/>
        </w:rPr>
        <w:footnoteReference w:id="177"/>
      </w:r>
      <w:r>
        <w:rPr>
          <w:rtl w:val="0"/>
          <w:lang w:val="en-US"/>
        </w:rPr>
        <w:t>. As mentioned, it might have been that this rebellion against Philadelphus was one of the triggers towards the Second Syrian war. Other events happened though during this period. These were times of intrigues between the two houses in many towns of the Aegean. Examples of this are</w:t>
      </w:r>
      <w:r>
        <w:rPr>
          <w:rtl w:val="0"/>
          <w:lang w:val="en-US"/>
        </w:rPr>
        <w:t xml:space="preserve"> Erythrai in Ionia, Lysimacheia on the Hellespont, </w:t>
      </w:r>
      <w:r>
        <w:rPr>
          <w:rtl w:val="0"/>
          <w:lang w:val="en-US"/>
        </w:rPr>
        <w:t>or</w:t>
      </w:r>
      <w:r>
        <w:rPr>
          <w:rtl w:val="0"/>
          <w:lang w:val="en-US"/>
        </w:rPr>
        <w:t xml:space="preserve"> the League of the Ionian</w:t>
      </w:r>
      <w:r>
        <w:rPr>
          <w:rtl w:val="0"/>
          <w:lang w:val="en-US"/>
        </w:rPr>
        <w:t>s</w:t>
      </w:r>
      <w:r>
        <w:rPr>
          <w:vertAlign w:val="superscript"/>
        </w:rPr>
        <w:footnoteReference w:id="178"/>
      </w:r>
      <w:r>
        <w:rPr>
          <w:rtl w:val="0"/>
          <w:lang w:val="en-US"/>
        </w:rPr>
        <w:t>.</w:t>
      </w:r>
    </w:p>
    <w:p>
      <w:pPr>
        <w:pStyle w:val="justify"/>
        <w:spacing w:line="360" w:lineRule="auto"/>
        <w:jc w:val="both"/>
      </w:pPr>
    </w:p>
    <w:p>
      <w:pPr>
        <w:pStyle w:val="justify"/>
        <w:spacing w:line="360" w:lineRule="auto"/>
        <w:jc w:val="both"/>
      </w:pPr>
      <w:r>
        <w:rPr>
          <w:rtl w:val="0"/>
          <w:lang w:val="en-US"/>
        </w:rPr>
        <w:t>Epigonos though was murdered by his Thracian mercenary soldiers</w:t>
      </w:r>
      <w:r>
        <w:rPr>
          <w:vertAlign w:val="superscript"/>
        </w:rPr>
        <w:footnoteReference w:id="179"/>
      </w:r>
      <w:r>
        <w:rPr>
          <w:rtl w:val="0"/>
          <w:lang w:val="en-US"/>
        </w:rPr>
        <w:t>, apparently with Ptolemy</w:t>
      </w:r>
      <w:r>
        <w:rPr>
          <w:rtl w:val="0"/>
          <w:lang w:val="en-US"/>
        </w:rPr>
        <w:t>’</w:t>
      </w:r>
      <w:r>
        <w:rPr>
          <w:rtl w:val="0"/>
          <w:lang w:val="en-US"/>
        </w:rPr>
        <w:t xml:space="preserve">s taking over Ephesus after Epigonos death. Antiochus II, who had recently succeeded his father, killed Timarchus, to the relief of the Milesians. </w:t>
      </w:r>
      <w:r>
        <w:rPr>
          <w:rtl w:val="0"/>
          <w:lang w:val="en-US"/>
        </w:rPr>
        <w:t xml:space="preserve">Antiochos </w:t>
      </w:r>
      <w:r>
        <w:rPr>
          <w:rtl w:val="0"/>
          <w:lang w:val="en-US"/>
        </w:rPr>
        <w:t xml:space="preserve">then </w:t>
      </w:r>
      <w:r>
        <w:rPr>
          <w:rtl w:val="0"/>
          <w:lang w:val="en-US"/>
        </w:rPr>
        <w:t xml:space="preserve">gained control </w:t>
      </w:r>
      <w:r>
        <w:rPr>
          <w:rtl w:val="0"/>
          <w:lang w:val="en-US"/>
        </w:rPr>
        <w:t xml:space="preserve">over </w:t>
      </w:r>
      <w:r>
        <w:rPr>
          <w:rtl w:val="0"/>
          <w:lang w:val="en-US"/>
        </w:rPr>
        <w:t>a strip of coast-land belong</w:t>
      </w:r>
      <w:r>
        <w:rPr>
          <w:rtl w:val="0"/>
          <w:lang w:val="en-US"/>
        </w:rPr>
        <w:t>ing</w:t>
      </w:r>
      <w:r>
        <w:rPr>
          <w:rtl w:val="0"/>
          <w:lang w:val="en-US"/>
        </w:rPr>
        <w:t xml:space="preserve"> to Samos, </w:t>
      </w:r>
      <w:r>
        <w:rPr>
          <w:rtl w:val="0"/>
          <w:lang w:val="en-US"/>
        </w:rPr>
        <w:t xml:space="preserve">but </w:t>
      </w:r>
      <w:r>
        <w:rPr>
          <w:rtl w:val="0"/>
          <w:lang w:val="en-US"/>
        </w:rPr>
        <w:t xml:space="preserve">not the island. </w:t>
      </w:r>
      <w:r>
        <w:rPr>
          <w:rtl w:val="0"/>
          <w:lang w:val="en-US"/>
        </w:rPr>
        <w:t>He took advantage of the rebellion against Philadelphus to attack Miletus, gaining certain control over the area. The attack into Ptolemy</w:t>
      </w:r>
      <w:r>
        <w:rPr>
          <w:rtl w:val="0"/>
          <w:lang w:val="en-US"/>
        </w:rPr>
        <w:t>’</w:t>
      </w:r>
      <w:r>
        <w:rPr>
          <w:rtl w:val="0"/>
          <w:lang w:val="en-US"/>
        </w:rPr>
        <w:t xml:space="preserve">s cities implies war between the two houses. Unlike in the </w:t>
      </w:r>
      <w:r>
        <w:rPr>
          <w:rtl w:val="0"/>
          <w:lang w:val="en-US"/>
        </w:rPr>
        <w:t>First Syrian war</w:t>
      </w:r>
      <w:r>
        <w:rPr>
          <w:rtl w:val="0"/>
          <w:lang w:val="en-US"/>
        </w:rPr>
        <w:t>, when an internal conflict triggered the war, this time the taking over of Antiochus II of Miletus, by assassinating Timarchus and by assisting the Milesians in defeating this tyrant, might have been the detonating of the war. Besides, the death of Antiochus I meant the expiring of the peace treaty reached between both houses.</w:t>
      </w:r>
    </w:p>
    <w:p>
      <w:pPr>
        <w:pStyle w:val="justify"/>
        <w:spacing w:line="360" w:lineRule="auto"/>
        <w:jc w:val="both"/>
      </w:pPr>
    </w:p>
    <w:p>
      <w:pPr>
        <w:pStyle w:val="justify"/>
        <w:spacing w:line="360" w:lineRule="auto"/>
        <w:jc w:val="both"/>
      </w:pPr>
      <w:r>
        <w:rPr>
          <w:rtl w:val="0"/>
          <w:lang w:val="en-US"/>
        </w:rPr>
        <w:t>The exiled Athenian Chremonides appears to lead Ptolemy</w:t>
      </w:r>
      <w:r>
        <w:rPr>
          <w:rtl w:val="0"/>
          <w:lang w:val="en-US"/>
        </w:rPr>
        <w:t>’</w:t>
      </w:r>
      <w:r>
        <w:rPr>
          <w:rtl w:val="0"/>
          <w:lang w:val="en-US"/>
        </w:rPr>
        <w:t>s navy against the Rhodians, then moving to harbour, where they were surprised by land and defeated by Antiochus II forces.  Rhodes seems also to have been a main actor in breaking do</w:t>
      </w:r>
      <w:r>
        <w:rPr>
          <w:rtl w:val="0"/>
          <w:lang w:val="en-US"/>
        </w:rPr>
        <w:t xml:space="preserve">wn the town of Ephesus for Antiochus troops, apparently a clever move into it. </w:t>
      </w:r>
      <w:r>
        <w:rPr>
          <w:rtl w:val="0"/>
          <w:lang w:val="en-US"/>
        </w:rPr>
        <w:t>In 258 BC</w:t>
      </w:r>
      <w:r>
        <w:rPr>
          <w:rtl w:val="0"/>
          <w:lang w:val="en-US"/>
        </w:rPr>
        <w:t>,</w:t>
      </w:r>
      <w:r>
        <w:rPr>
          <w:rtl w:val="0"/>
          <w:lang w:val="en-US"/>
        </w:rPr>
        <w:t xml:space="preserve"> </w:t>
      </w:r>
      <w:r>
        <w:rPr>
          <w:rtl w:val="0"/>
          <w:lang w:val="en-US"/>
        </w:rPr>
        <w:t>the town</w:t>
      </w:r>
      <w:r>
        <w:rPr>
          <w:rtl w:val="0"/>
          <w:lang w:val="en-US"/>
        </w:rPr>
        <w:t xml:space="preserve"> was taken by a combination of Rhodian and Seleukid forces. </w:t>
      </w:r>
      <w:r>
        <w:rPr>
          <w:rtl w:val="0"/>
          <w:lang w:val="en-US"/>
        </w:rPr>
        <w:t>The loss of Miletus would have been another of Ptolemy</w:t>
      </w:r>
      <w:r>
        <w:rPr>
          <w:rtl w:val="0"/>
          <w:lang w:val="en-US"/>
        </w:rPr>
        <w:t>’</w:t>
      </w:r>
      <w:r>
        <w:rPr>
          <w:rtl w:val="0"/>
          <w:lang w:val="en-US"/>
        </w:rPr>
        <w:t>s defeats, adding to it a third one, the control over the Island League, which became dominated by Rhodes and maybe by Macedonia</w:t>
      </w:r>
      <w:r>
        <w:rPr>
          <w:vertAlign w:val="superscript"/>
        </w:rPr>
        <w:footnoteReference w:id="180"/>
      </w:r>
      <w:r>
        <w:rPr>
          <w:rtl w:val="0"/>
          <w:lang w:val="en-US"/>
        </w:rPr>
        <w:t>.  Antigonos Gonatas involvement then is plausible, who might have taken advantage of Ptolemy</w:t>
      </w:r>
      <w:r>
        <w:rPr>
          <w:rtl w:val="0"/>
          <w:lang w:val="en-US"/>
        </w:rPr>
        <w:t>’</w:t>
      </w:r>
      <w:r>
        <w:rPr>
          <w:rtl w:val="0"/>
          <w:lang w:val="en-US"/>
        </w:rPr>
        <w:t>s weakness, by supporting Antiochus II as Rhodes did. However, there is not certainty of this</w:t>
      </w:r>
      <w:r>
        <w:rPr>
          <w:vertAlign w:val="superscript"/>
        </w:rPr>
        <w:footnoteReference w:id="181"/>
      </w:r>
      <w:r>
        <w:rPr>
          <w:rtl w:val="0"/>
          <w:lang w:val="en-US"/>
        </w:rPr>
        <w:t>. Antiochus II</w:t>
      </w:r>
      <w:r>
        <w:rPr>
          <w:rtl w:val="0"/>
          <w:lang w:val="en-US"/>
        </w:rPr>
        <w:t>’</w:t>
      </w:r>
      <w:r>
        <w:rPr>
          <w:rtl w:val="0"/>
          <w:lang w:val="en-US"/>
        </w:rPr>
        <w:t>s taking over Miletus had a response on the part of the Ptolemies. They attacked Cilicia at the same time that Miletus was taken, in around 259 BC or slightly later. It followed other Ptolemies</w:t>
      </w:r>
      <w:r>
        <w:rPr>
          <w:rtl w:val="0"/>
          <w:lang w:val="en-US"/>
        </w:rPr>
        <w:t xml:space="preserve">’ </w:t>
      </w:r>
      <w:r>
        <w:rPr>
          <w:rtl w:val="0"/>
          <w:lang w:val="en-US"/>
        </w:rPr>
        <w:t>defeats. The Daphne hoard states that the whole of Syria was taken in 275 BC when the Egyptians were expelled from the area.</w:t>
      </w:r>
    </w:p>
    <w:p>
      <w:pPr>
        <w:pStyle w:val="justify"/>
        <w:spacing w:line="360" w:lineRule="auto"/>
        <w:jc w:val="both"/>
      </w:pPr>
    </w:p>
    <w:p>
      <w:pPr>
        <w:pStyle w:val="justify"/>
        <w:spacing w:line="360" w:lineRule="auto"/>
        <w:jc w:val="both"/>
      </w:pPr>
      <w:r>
        <w:rPr>
          <w:rtl w:val="0"/>
          <w:lang w:val="en-US"/>
        </w:rPr>
        <w:t>Antiochus II must have thought of the Rhodians, who could help to defeat his enemy. Magas was almost independent by then so it wasn't a friend and ally to take. The Ionian cities and islands of the Aegean could also be interesting partners to downgrade Ptolemy</w:t>
      </w:r>
      <w:r>
        <w:rPr>
          <w:rtl w:val="0"/>
          <w:lang w:val="en-US"/>
        </w:rPr>
        <w:t>’</w:t>
      </w:r>
      <w:r>
        <w:rPr>
          <w:rtl w:val="0"/>
          <w:lang w:val="en-US"/>
        </w:rPr>
        <w:t>s power on the sea. The ostracon from Karnak implies Ptolemy</w:t>
      </w:r>
      <w:r>
        <w:rPr>
          <w:rtl w:val="0"/>
          <w:lang w:val="en-US"/>
        </w:rPr>
        <w:t>’</w:t>
      </w:r>
      <w:r>
        <w:rPr>
          <w:rtl w:val="0"/>
          <w:lang w:val="en-US"/>
        </w:rPr>
        <w:t>s efforts to collect more taxes in Egypt, as if the kingdom was suffering. As if it required more resources to fight and defeat his dangerous neighbours</w:t>
      </w:r>
      <w:r>
        <w:rPr>
          <w:vertAlign w:val="superscript"/>
        </w:rPr>
        <w:footnoteReference w:id="182"/>
      </w:r>
      <w:r>
        <w:rPr>
          <w:rtl w:val="0"/>
          <w:lang w:val="en-US"/>
        </w:rPr>
        <w:t>. Apparently, surveys were undertaken not just in Egypt, but also in Syria and Phoenicia. All these surveys aimed at finding ways of collecting more taxes for the treasury and for its leader</w:t>
      </w:r>
      <w:r>
        <w:rPr>
          <w:rtl w:val="0"/>
          <w:lang w:val="en-US"/>
        </w:rPr>
        <w:t>’</w:t>
      </w:r>
      <w:r>
        <w:rPr>
          <w:rtl w:val="0"/>
          <w:lang w:val="en-US"/>
        </w:rPr>
        <w:t>s foreign affairs ambitions. We find also the collection of a papyrus of Revenue laws in 258 BC and a</w:t>
      </w:r>
      <w:r>
        <w:rPr>
          <w:rtl w:val="0"/>
          <w:lang w:val="en-US"/>
        </w:rPr>
        <w:t xml:space="preserve"> general reminting of gold and silver coinage</w:t>
      </w:r>
      <w:r>
        <w:rPr>
          <w:rtl w:val="0"/>
          <w:lang w:val="en-US"/>
        </w:rPr>
        <w:t xml:space="preserve">. The loss of the Chremonidean war and the loss of territories during the Second Syrian war must have put Ptolemy under a lot of pressure. He was involved in conflicts at Cilicia, the Aegean, Syria and Asia Minor, right after Egypt had lost the Chremonidean war and the battle of Kos. </w:t>
      </w:r>
    </w:p>
    <w:p>
      <w:pPr>
        <w:pStyle w:val="justify"/>
        <w:spacing w:line="360" w:lineRule="auto"/>
        <w:jc w:val="both"/>
      </w:pPr>
    </w:p>
    <w:p>
      <w:pPr>
        <w:pStyle w:val="justify"/>
        <w:spacing w:line="360" w:lineRule="auto"/>
        <w:jc w:val="both"/>
      </w:pPr>
      <w:r>
        <w:rPr>
          <w:rtl w:val="0"/>
          <w:lang w:val="en-US"/>
        </w:rPr>
        <w:t xml:space="preserve">It also seems reasonable to state that Antiochus II obtained control over certain areas of Caria. </w:t>
      </w:r>
      <w:r>
        <w:rPr>
          <w:rtl w:val="0"/>
          <w:lang w:val="en-US"/>
        </w:rPr>
        <w:t>The sanctuary of Labraunda was Seleukid by the time of the war</w:t>
      </w:r>
      <w:r>
        <w:rPr>
          <w:vertAlign w:val="superscript"/>
        </w:rPr>
        <w:footnoteReference w:id="183"/>
      </w:r>
      <w:r>
        <w:rPr>
          <w:rtl w:val="0"/>
          <w:lang w:val="en-US"/>
        </w:rPr>
        <w:t xml:space="preserve">. Before that taking, Ptolemy II appointment of </w:t>
      </w:r>
      <w:r>
        <w:rPr>
          <w:rtl w:val="0"/>
          <w:lang w:val="en-US"/>
        </w:rPr>
        <w:t xml:space="preserve">his nephew </w:t>
      </w:r>
      <w:r>
        <w:rPr>
          <w:rtl w:val="0"/>
          <w:lang w:val="en-US"/>
        </w:rPr>
        <w:t xml:space="preserve">as </w:t>
      </w:r>
      <w:r>
        <w:rPr>
          <w:rtl w:val="0"/>
          <w:lang w:val="en-US"/>
        </w:rPr>
        <w:t>lord of Telmessos</w:t>
      </w:r>
      <w:r>
        <w:rPr>
          <w:rtl w:val="0"/>
          <w:lang w:val="en-US"/>
        </w:rPr>
        <w:t xml:space="preserve"> must have put a lot of pressure on Antiochus II in Caria. As the son of Lysimachus could claim Asia Minor back to them. Antiochus II might have responded to this by founding Stratoniceia. A town which became a flourishing place, attracting not just people but wealth. In around 262 BC Miletus was also in trouble and supported by Ptolemy troops, maybe against Antigonos Gonatas</w:t>
      </w:r>
      <w:r>
        <w:rPr>
          <w:vertAlign w:val="superscript"/>
        </w:rPr>
        <w:footnoteReference w:id="184"/>
      </w:r>
      <w:r>
        <w:rPr>
          <w:rtl w:val="0"/>
          <w:lang w:val="en-US"/>
        </w:rPr>
        <w:t xml:space="preserve">. </w:t>
      </w:r>
    </w:p>
    <w:p>
      <w:pPr>
        <w:pStyle w:val="justify"/>
        <w:spacing w:line="360" w:lineRule="auto"/>
        <w:jc w:val="both"/>
      </w:pPr>
    </w:p>
    <w:p>
      <w:pPr>
        <w:pStyle w:val="justify"/>
        <w:spacing w:line="360" w:lineRule="auto"/>
        <w:jc w:val="both"/>
      </w:pPr>
      <w:r>
        <w:rPr>
          <w:rtl w:val="0"/>
          <w:lang w:val="en-US"/>
        </w:rPr>
        <w:t>The actual tension between the two kingdoms resulted in war in between 260 or 259 BC. The exact date seems though to be unknown. In 260 BC the archives of Zenon gave credit of the garrisons that Philadelphus had at the time in Syria and Phoenicia</w:t>
      </w:r>
      <w:r>
        <w:rPr>
          <w:vertAlign w:val="superscript"/>
        </w:rPr>
        <w:footnoteReference w:id="185"/>
      </w:r>
      <w:r>
        <w:rPr>
          <w:rtl w:val="0"/>
          <w:lang w:val="en-US"/>
        </w:rPr>
        <w:t xml:space="preserve">. Earlier, there had been tensions in the area without resulting in direct conflict between both houses. These tensions seem to have risen into violence between the two houses. There is evidence alluding to a Ptolemaic maritime attack from Cyprus to </w:t>
      </w:r>
      <w:r>
        <w:rPr>
          <w:rtl w:val="0"/>
          <w:lang w:val="en-US"/>
        </w:rPr>
        <w:t xml:space="preserve">Syria and </w:t>
      </w:r>
      <w:r>
        <w:rPr>
          <w:rtl w:val="0"/>
          <w:lang w:val="en-US"/>
        </w:rPr>
        <w:t>C</w:t>
      </w:r>
      <w:r>
        <w:rPr>
          <w:rtl w:val="0"/>
          <w:lang w:val="en-US"/>
        </w:rPr>
        <w:t>ili</w:t>
      </w:r>
      <w:r>
        <w:rPr>
          <w:rtl w:val="0"/>
          <w:lang w:val="en-US"/>
        </w:rPr>
        <w:t>c</w:t>
      </w:r>
      <w:r>
        <w:rPr>
          <w:rtl w:val="0"/>
          <w:lang w:val="en-US"/>
        </w:rPr>
        <w:t>ia</w:t>
      </w:r>
      <w:r>
        <w:rPr>
          <w:rtl w:val="0"/>
          <w:lang w:val="en-US"/>
        </w:rPr>
        <w:t xml:space="preserve"> and a change in political regime at Arados, all around 260 to 257 BC</w:t>
      </w:r>
      <w:r>
        <w:rPr>
          <w:vertAlign w:val="superscript"/>
        </w:rPr>
        <w:footnoteReference w:id="186"/>
      </w:r>
      <w:r>
        <w:rPr>
          <w:rtl w:val="0"/>
          <w:lang w:val="en-US"/>
        </w:rPr>
        <w:t xml:space="preserve">. A considerable number of navy and land troops must have been needed. It is important to recall that Ptolemy suffered a huge decrease of available ships after defeat at Kos in 261 BC. Besides, Magas continued being a threat to Egypt, so Ptolemy might have used ships from Cyprus, Egypt or even from Aegean garrisons. A concentration of boats might have been in the Aegean due to the Chremonidean war, and those might have moved towards Cyprus to assault Syria and Cilicia. </w:t>
      </w:r>
      <w:r>
        <w:rPr>
          <w:rtl w:val="0"/>
          <w:lang w:val="en-US"/>
        </w:rPr>
        <w:t>Rhodes had been Ptolemy</w:t>
      </w:r>
      <w:r>
        <w:rPr>
          <w:rtl w:val="0"/>
          <w:lang w:val="en-US"/>
        </w:rPr>
        <w:t>’</w:t>
      </w:r>
      <w:r>
        <w:rPr>
          <w:rtl w:val="0"/>
          <w:lang w:val="en-US"/>
        </w:rPr>
        <w:t xml:space="preserve">s friend until that point, so it seems that Antiochus II diplomacy was successful in turning a foe into an ally. </w:t>
      </w:r>
      <w:r>
        <w:rPr>
          <w:rtl w:val="0"/>
          <w:lang w:val="en-US"/>
        </w:rPr>
        <w:t>The town of Ephesus, which was under Ptolemy</w:t>
      </w:r>
      <w:r>
        <w:rPr>
          <w:rtl w:val="0"/>
          <w:lang w:val="en-US"/>
        </w:rPr>
        <w:t>’</w:t>
      </w:r>
      <w:r>
        <w:rPr>
          <w:rtl w:val="0"/>
          <w:lang w:val="en-US"/>
        </w:rPr>
        <w:t>s control, was attacked in 258 BC by Antiochus</w:t>
      </w:r>
      <w:r>
        <w:rPr>
          <w:rtl w:val="0"/>
          <w:lang w:val="en-US"/>
        </w:rPr>
        <w:t xml:space="preserve">’ </w:t>
      </w:r>
      <w:r>
        <w:rPr>
          <w:rtl w:val="0"/>
          <w:lang w:val="en-US"/>
        </w:rPr>
        <w:t>land forces and by sea by the Rhodians. Ptolemy lost on a naval battle at Ephesus in 255 BC and at Andros in 246 BC</w:t>
      </w:r>
      <w:r>
        <w:rPr>
          <w:vertAlign w:val="superscript"/>
        </w:rPr>
        <w:footnoteReference w:id="187"/>
      </w:r>
      <w:r>
        <w:rPr>
          <w:rtl w:val="0"/>
          <w:lang w:val="en-US"/>
        </w:rPr>
        <w:t>.</w:t>
      </w:r>
    </w:p>
    <w:p>
      <w:pPr>
        <w:pStyle w:val="justify"/>
        <w:spacing w:line="360" w:lineRule="auto"/>
        <w:jc w:val="both"/>
      </w:pPr>
    </w:p>
    <w:p>
      <w:pPr>
        <w:pStyle w:val="justify"/>
        <w:spacing w:line="360" w:lineRule="auto"/>
        <w:jc w:val="both"/>
        <w:rPr/>
      </w:pPr>
      <w:r>
        <w:rPr>
          <w:rtl w:val="0"/>
          <w:lang w:val="en-US"/>
        </w:rPr>
        <w:t xml:space="preserve">It has been inferred by an inscription </w:t>
      </w:r>
      <w:r>
        <w:rPr>
          <w:rtl w:val="0"/>
          <w:lang w:val="en-US"/>
        </w:rPr>
        <w:t>in the Monument of Adulis</w:t>
      </w:r>
      <w:r>
        <w:rPr>
          <w:rtl w:val="0"/>
          <w:lang w:val="en-US"/>
        </w:rPr>
        <w:t xml:space="preserve">, that </w:t>
      </w:r>
      <w:r>
        <w:rPr>
          <w:rtl w:val="0"/>
          <w:lang w:val="en-US"/>
        </w:rPr>
        <w:t>Cilicia and Pamphylia</w:t>
      </w:r>
      <w:r>
        <w:rPr>
          <w:rtl w:val="0"/>
          <w:lang w:val="en-US"/>
        </w:rPr>
        <w:t>, together with Ephesus, were taken by the Seleukids after the Second Syrian war as part of the arrangements made between the two parties</w:t>
      </w:r>
      <w:r>
        <w:rPr>
          <w:rtl w:val="0"/>
          <w:lang w:val="en-US"/>
        </w:rPr>
        <w:t xml:space="preserve">’ </w:t>
      </w:r>
      <w:r>
        <w:rPr>
          <w:rtl w:val="0"/>
          <w:lang w:val="en-US"/>
        </w:rPr>
        <w:t xml:space="preserve">peace agreement. This peace agreement also involved that Berenice, daughter of Ptolemy II, would become wife of Antiochus II. </w:t>
      </w:r>
      <w:r>
        <w:rPr>
          <w:rtl w:val="0"/>
          <w:lang w:val="en-US"/>
        </w:rPr>
        <w:t>There are evidences referring to Ptolemy II bringing Berenice until Pelusium and Apollonius continuing the journey with her until Sidon, escorting her to the frontier. These events are well explained by Porphyry</w:t>
      </w:r>
      <w:r>
        <w:rPr>
          <w:vertAlign w:val="superscript"/>
        </w:rPr>
        <w:footnoteReference w:id="188"/>
      </w:r>
      <w:r>
        <w:rPr>
          <w:rtl w:val="0"/>
          <w:lang w:val="en-US"/>
        </w:rPr>
        <w:t>. It might have been Philadelphus who stipulated that Antiochus</w:t>
      </w:r>
      <w:r>
        <w:rPr>
          <w:rtl w:val="0"/>
          <w:lang w:val="en-US"/>
        </w:rPr>
        <w:t xml:space="preserve">’ </w:t>
      </w:r>
      <w:r>
        <w:rPr>
          <w:rtl w:val="0"/>
          <w:lang w:val="en-US"/>
        </w:rPr>
        <w:t>successor would come from a Berenice heir. Perhaps it was the intention of bringing discord, what Ptolemy II was after, even though this marriage meant bringing his own daughter into a situation of great peril</w:t>
      </w:r>
      <w:r>
        <w:rPr>
          <w:vertAlign w:val="superscript"/>
        </w:rPr>
        <w:footnoteReference w:id="189"/>
      </w:r>
      <w:r>
        <w:rPr>
          <w:rtl w:val="0"/>
          <w:lang w:val="en-US"/>
        </w:rPr>
        <w:t xml:space="preserve">. </w:t>
      </w:r>
      <w:r>
        <w:rPr>
          <w:rtl w:val="0"/>
          <w:lang w:val="en-US"/>
        </w:rPr>
        <w:t xml:space="preserve">Ptolemy II might have expected to influence through his daughter or future grandson </w:t>
      </w:r>
      <w:r>
        <w:rPr>
          <w:rtl w:val="0"/>
          <w:lang w:val="en-US"/>
        </w:rPr>
        <w:t xml:space="preserve">the </w:t>
      </w:r>
      <w:r>
        <w:rPr>
          <w:rtl w:val="0"/>
          <w:lang w:val="en-US"/>
        </w:rPr>
        <w:t xml:space="preserve">politics </w:t>
      </w:r>
      <w:r>
        <w:rPr>
          <w:rtl w:val="0"/>
          <w:lang w:val="en-US"/>
        </w:rPr>
        <w:t>of</w:t>
      </w:r>
      <w:r>
        <w:rPr>
          <w:rtl w:val="0"/>
          <w:lang w:val="en-US"/>
        </w:rPr>
        <w:t xml:space="preserve"> the Seleukid kingdom. </w:t>
      </w:r>
      <w:r>
        <w:rPr>
          <w:rtl w:val="0"/>
          <w:lang w:val="en-US"/>
        </w:rPr>
        <w:t>Antiochus</w:t>
      </w:r>
      <w:r>
        <w:rPr>
          <w:rtl w:val="0"/>
          <w:lang w:val="en-US"/>
        </w:rPr>
        <w:t>’</w:t>
      </w:r>
      <w:r>
        <w:rPr>
          <w:rtl w:val="0"/>
          <w:lang w:val="en-US"/>
        </w:rPr>
        <w:t>s</w:t>
      </w:r>
      <w:r>
        <w:rPr>
          <w:rtl w:val="0"/>
          <w:lang w:val="en-US"/>
        </w:rPr>
        <w:t xml:space="preserve"> repudiation of Laodike, who was well connected, </w:t>
      </w:r>
      <w:r>
        <w:rPr>
          <w:rtl w:val="0"/>
          <w:lang w:val="en-US"/>
        </w:rPr>
        <w:t>potentially could have been</w:t>
      </w:r>
      <w:r>
        <w:rPr>
          <w:rtl w:val="0"/>
          <w:lang w:val="en-US"/>
        </w:rPr>
        <w:t xml:space="preserve"> a focus of future trouble for the Seleukid kingdom. </w:t>
      </w:r>
      <w:r>
        <w:rPr>
          <w:rtl w:val="0"/>
          <w:lang w:val="en-US"/>
        </w:rPr>
        <w:t>So t</w:t>
      </w:r>
      <w:r>
        <w:rPr>
          <w:rtl w:val="0"/>
          <w:lang w:val="en-US"/>
        </w:rPr>
        <w:t>his marriage could be taken as Ptolemy</w:t>
      </w:r>
      <w:r>
        <w:rPr>
          <w:rtl w:val="0"/>
          <w:lang w:val="en-US"/>
        </w:rPr>
        <w:t>’</w:t>
      </w:r>
      <w:r>
        <w:rPr>
          <w:rtl w:val="0"/>
          <w:lang w:val="en-US"/>
        </w:rPr>
        <w:t>s triumph.</w:t>
      </w:r>
    </w:p>
    <w:p>
      <w:pPr>
        <w:pStyle w:val="justify"/>
        <w:spacing w:line="360" w:lineRule="auto"/>
        <w:jc w:val="both"/>
        <w:rPr/>
      </w:pPr>
    </w:p>
    <w:p>
      <w:pPr>
        <w:pStyle w:val="justify"/>
        <w:spacing w:line="360" w:lineRule="auto"/>
        <w:jc w:val="both"/>
      </w:pPr>
      <w:r>
        <w:rPr>
          <w:rtl w:val="0"/>
          <w:lang w:val="en-US"/>
        </w:rPr>
        <w:t>The divorce between Antiochus and Laodike might have occurred before the war ended. It might even be that at the time Antiochus practiced polygamy. In any way, the marriage with the Egyptian did not last long</w:t>
      </w:r>
      <w:r>
        <w:rPr>
          <w:vertAlign w:val="superscript"/>
        </w:rPr>
        <w:footnoteReference w:id="190"/>
      </w:r>
      <w:r>
        <w:rPr>
          <w:rtl w:val="0"/>
          <w:lang w:val="en-US"/>
        </w:rPr>
        <w:t xml:space="preserve">. Besides, marriages of this type normally indicated alliances, submission or recognition by one kingdom towards the other. However, Antiochus II success in Asia Minor indicates that Antiochus II wasn't in a weak </w:t>
      </w:r>
      <w:r>
        <w:rPr>
          <w:rtl w:val="0"/>
          <w:lang w:val="en-US"/>
        </w:rPr>
        <w:t>position.</w:t>
      </w:r>
    </w:p>
    <w:p>
      <w:pPr>
        <w:pStyle w:val="justify"/>
        <w:spacing w:line="360" w:lineRule="auto"/>
        <w:jc w:val="both"/>
      </w:pPr>
    </w:p>
    <w:p>
      <w:pPr>
        <w:pStyle w:val="justify"/>
        <w:spacing w:line="360" w:lineRule="auto"/>
        <w:jc w:val="both"/>
      </w:pPr>
      <w:r>
        <w:rPr>
          <w:rtl w:val="0"/>
          <w:lang w:val="en-US"/>
        </w:rPr>
        <w:t xml:space="preserve">There is </w:t>
      </w:r>
      <w:r>
        <w:rPr>
          <w:rtl w:val="0"/>
          <w:lang w:val="en-US"/>
        </w:rPr>
        <w:t>the</w:t>
      </w:r>
      <w:r>
        <w:rPr>
          <w:rtl w:val="0"/>
          <w:lang w:val="en-US"/>
        </w:rPr>
        <w:t xml:space="preserve"> possibility </w:t>
      </w:r>
      <w:r>
        <w:rPr>
          <w:rtl w:val="0"/>
          <w:lang w:val="en-US"/>
        </w:rPr>
        <w:t xml:space="preserve">also </w:t>
      </w:r>
      <w:r>
        <w:rPr>
          <w:rtl w:val="0"/>
          <w:lang w:val="en-US"/>
        </w:rPr>
        <w:t xml:space="preserve">that by marrying </w:t>
      </w:r>
      <w:r>
        <w:rPr>
          <w:rtl w:val="0"/>
          <w:lang w:val="en-US"/>
        </w:rPr>
        <w:t xml:space="preserve">to </w:t>
      </w:r>
      <w:r>
        <w:rPr>
          <w:rtl w:val="0"/>
          <w:lang w:val="en-US"/>
        </w:rPr>
        <w:t>Bereni</w:t>
      </w:r>
      <w:r>
        <w:rPr>
          <w:rtl w:val="0"/>
          <w:lang w:val="en-US"/>
        </w:rPr>
        <w:t>c</w:t>
      </w:r>
      <w:r>
        <w:rPr>
          <w:rtl w:val="0"/>
          <w:lang w:val="en-US"/>
        </w:rPr>
        <w:t>e</w:t>
      </w:r>
      <w:r>
        <w:rPr>
          <w:rtl w:val="0"/>
          <w:lang w:val="en-US"/>
        </w:rPr>
        <w:t xml:space="preserve">, </w:t>
      </w:r>
      <w:r>
        <w:rPr>
          <w:rtl w:val="0"/>
          <w:lang w:val="en-US"/>
        </w:rPr>
        <w:t xml:space="preserve">Antiochus II </w:t>
      </w:r>
      <w:r>
        <w:rPr>
          <w:rtl w:val="0"/>
          <w:lang w:val="en-US"/>
        </w:rPr>
        <w:t xml:space="preserve">aimed at </w:t>
      </w:r>
      <w:r>
        <w:rPr>
          <w:rtl w:val="0"/>
          <w:lang w:val="en-US"/>
        </w:rPr>
        <w:t>provid</w:t>
      </w:r>
      <w:r>
        <w:rPr>
          <w:rtl w:val="0"/>
          <w:lang w:val="en-US"/>
        </w:rPr>
        <w:t>ing</w:t>
      </w:r>
      <w:r>
        <w:rPr>
          <w:rtl w:val="0"/>
          <w:lang w:val="en-US"/>
        </w:rPr>
        <w:t xml:space="preserve"> the Seleukid</w:t>
      </w:r>
      <w:r>
        <w:rPr>
          <w:rtl w:val="0"/>
          <w:lang w:val="en-US"/>
        </w:rPr>
        <w:t>s</w:t>
      </w:r>
      <w:r>
        <w:rPr>
          <w:rtl w:val="0"/>
          <w:lang w:val="en-US"/>
        </w:rPr>
        <w:t xml:space="preserve"> </w:t>
      </w:r>
      <w:r>
        <w:rPr>
          <w:rtl w:val="0"/>
          <w:lang w:val="en-US"/>
        </w:rPr>
        <w:t xml:space="preserve">with </w:t>
      </w:r>
      <w:r>
        <w:rPr>
          <w:rtl w:val="0"/>
          <w:lang w:val="en-US"/>
        </w:rPr>
        <w:t>an opportunity to have a claim into Egypt</w:t>
      </w:r>
      <w:r>
        <w:rPr>
          <w:rtl w:val="0"/>
          <w:lang w:val="en-US"/>
        </w:rPr>
        <w:t>’</w:t>
      </w:r>
      <w:r>
        <w:rPr>
          <w:rtl w:val="0"/>
          <w:lang w:val="en-US"/>
        </w:rPr>
        <w:t xml:space="preserve">s kingdom. The capacity to succeed as king relied though on </w:t>
      </w:r>
      <w:r>
        <w:rPr>
          <w:rtl w:val="0"/>
          <w:lang w:val="en-US"/>
        </w:rPr>
        <w:t xml:space="preserve">various factors: the capacity of </w:t>
      </w:r>
      <w:r>
        <w:rPr>
          <w:rtl w:val="0"/>
          <w:lang w:val="en-US"/>
        </w:rPr>
        <w:t xml:space="preserve">enforcing their </w:t>
      </w:r>
      <w:r>
        <w:rPr>
          <w:rtl w:val="0"/>
          <w:lang w:val="en-US"/>
        </w:rPr>
        <w:t xml:space="preserve">kingship </w:t>
      </w:r>
      <w:r>
        <w:rPr>
          <w:rtl w:val="0"/>
          <w:lang w:val="en-US"/>
        </w:rPr>
        <w:t xml:space="preserve">claim, the need </w:t>
      </w:r>
      <w:r>
        <w:rPr>
          <w:rtl w:val="0"/>
          <w:lang w:val="en-US"/>
        </w:rPr>
        <w:t>for</w:t>
      </w:r>
      <w:r>
        <w:rPr>
          <w:rtl w:val="0"/>
          <w:lang w:val="en-US"/>
        </w:rPr>
        <w:t xml:space="preserve"> the female </w:t>
      </w:r>
      <w:r>
        <w:rPr>
          <w:rtl w:val="0"/>
          <w:lang w:val="en-US"/>
        </w:rPr>
        <w:t xml:space="preserve">to </w:t>
      </w:r>
      <w:r>
        <w:rPr>
          <w:rtl w:val="0"/>
          <w:lang w:val="en-US"/>
        </w:rPr>
        <w:t xml:space="preserve">accept it, how strong the kingdom was at the time, the acceptance by the part of the king </w:t>
      </w:r>
      <w:r>
        <w:rPr>
          <w:rtl w:val="0"/>
          <w:lang w:val="en-US"/>
        </w:rPr>
        <w:t xml:space="preserve">of this deal </w:t>
      </w:r>
      <w:r>
        <w:rPr>
          <w:rtl w:val="0"/>
          <w:lang w:val="en-US"/>
        </w:rPr>
        <w:t xml:space="preserve">and </w:t>
      </w:r>
      <w:r>
        <w:rPr>
          <w:rtl w:val="0"/>
          <w:lang w:val="en-US"/>
        </w:rPr>
        <w:t>maintaining that there are</w:t>
      </w:r>
      <w:r>
        <w:rPr>
          <w:rtl w:val="0"/>
          <w:lang w:val="en-US"/>
        </w:rPr>
        <w:t xml:space="preserve"> </w:t>
      </w:r>
      <w:r>
        <w:rPr>
          <w:rtl w:val="0"/>
          <w:lang w:val="en-US"/>
        </w:rPr>
        <w:t>no male family members whom</w:t>
      </w:r>
      <w:r>
        <w:rPr>
          <w:rtl w:val="0"/>
          <w:lang w:val="en-US"/>
        </w:rPr>
        <w:t xml:space="preserve"> </w:t>
      </w:r>
      <w:r>
        <w:rPr>
          <w:rtl w:val="0"/>
          <w:lang w:val="en-US"/>
        </w:rPr>
        <w:t>c</w:t>
      </w:r>
      <w:r>
        <w:rPr>
          <w:rtl w:val="0"/>
          <w:lang w:val="en-US"/>
        </w:rPr>
        <w:t>ould claim the kingdom. Egypt wasn't at this context</w:t>
      </w:r>
      <w:r>
        <w:rPr>
          <w:rtl w:val="0"/>
          <w:lang w:val="en-US"/>
        </w:rPr>
        <w:t xml:space="preserve"> whatsoever</w:t>
      </w:r>
      <w:r>
        <w:rPr>
          <w:rtl w:val="0"/>
          <w:lang w:val="en-US"/>
        </w:rPr>
        <w:t>.</w:t>
      </w:r>
      <w:r>
        <w:rPr>
          <w:rtl w:val="0"/>
          <w:lang w:val="en-US"/>
        </w:rPr>
        <w:t xml:space="preserve"> It was during this period that Ptolemy</w:t>
      </w:r>
      <w:r>
        <w:rPr>
          <w:rtl w:val="0"/>
          <w:lang w:val="en-US"/>
        </w:rPr>
        <w:t>’</w:t>
      </w:r>
      <w:r>
        <w:rPr>
          <w:rtl w:val="0"/>
          <w:lang w:val="en-US"/>
        </w:rPr>
        <w:t>s son engaged to marry with Berenice, Maga</w:t>
      </w:r>
      <w:r>
        <w:rPr>
          <w:rtl w:val="0"/>
          <w:lang w:val="en-US"/>
        </w:rPr>
        <w:t>’</w:t>
      </w:r>
      <w:r>
        <w:rPr>
          <w:rtl w:val="0"/>
          <w:lang w:val="en-US"/>
        </w:rPr>
        <w:t>s and Apama</w:t>
      </w:r>
      <w:r>
        <w:rPr>
          <w:rtl w:val="0"/>
          <w:lang w:val="en-US"/>
        </w:rPr>
        <w:t>’</w:t>
      </w:r>
      <w:r>
        <w:rPr>
          <w:rtl w:val="0"/>
          <w:lang w:val="en-US"/>
        </w:rPr>
        <w:t xml:space="preserve">s daughter, which eventually brought Cyrenaica kingdom to fuse with Egypt. </w:t>
      </w:r>
      <w:r>
        <w:rPr>
          <w:rtl w:val="0"/>
          <w:lang w:val="en-US"/>
        </w:rPr>
        <w:t>Magas died d</w:t>
      </w:r>
      <w:r>
        <w:rPr>
          <w:rtl w:val="0"/>
          <w:lang w:val="en-US"/>
        </w:rPr>
        <w:t>uring the last years of Ptolemy II reign, leaving the widow Apama and her daughter Berenice on their own. Magas had initially agreed with Ptolemy II that Berenice would marry his son. However, Apama was more inclined to marry her daughter to the Syro-Macedonian entente. S</w:t>
      </w:r>
      <w:r>
        <w:rPr>
          <w:rtl w:val="0"/>
          <w:lang w:val="en-US"/>
        </w:rPr>
        <w:t xml:space="preserve">he sent a representative to find a husband for her daughter to Macedon. She found Demetrius the Fair, a son of </w:t>
      </w:r>
      <w:r>
        <w:rPr>
          <w:rtl w:val="0"/>
          <w:lang w:val="en-US"/>
        </w:rPr>
        <w:t>Ptolemy's half-sister Ptolemais</w:t>
      </w:r>
      <w:r>
        <w:rPr>
          <w:rtl w:val="0"/>
          <w:lang w:val="en-US"/>
        </w:rPr>
        <w:t> </w:t>
      </w:r>
      <w:r>
        <w:rPr>
          <w:rtl w:val="0"/>
          <w:lang w:val="en-US"/>
        </w:rPr>
        <w:t xml:space="preserve">and a </w:t>
      </w:r>
      <w:r>
        <w:rPr>
          <w:rtl w:val="0"/>
          <w:lang w:val="en-US"/>
        </w:rPr>
        <w:t>half-brother of the king Antigonus Gonatas</w:t>
      </w:r>
      <w:r>
        <w:rPr>
          <w:rtl w:val="0"/>
          <w:lang w:val="en-US"/>
        </w:rPr>
        <w:t>. However, Apama apparently became captivated by Demetrius and they had an affair. Berenice was so insulted by this that conspired against them, having her husband assassinated in her mother</w:t>
      </w:r>
      <w:r>
        <w:rPr>
          <w:rtl w:val="0"/>
          <w:lang w:val="en-US"/>
        </w:rPr>
        <w:t>’</w:t>
      </w:r>
      <w:r>
        <w:rPr>
          <w:rtl w:val="0"/>
          <w:lang w:val="en-US"/>
        </w:rPr>
        <w:t>s chamber. After this event, Berenice was free to marry her cousin Ptolemy III Euergetes, becoming queen of Egypt</w:t>
      </w:r>
      <w:r>
        <w:rPr>
          <w:vertAlign w:val="superscript"/>
        </w:rPr>
        <w:footnoteReference w:id="191"/>
      </w:r>
      <w:r>
        <w:rPr>
          <w:rtl w:val="0"/>
          <w:lang w:val="en-US"/>
        </w:rPr>
        <w:t xml:space="preserve">. </w:t>
      </w:r>
      <w:r>
        <w:rPr>
          <w:rtl w:val="0"/>
          <w:lang w:val="en-US"/>
        </w:rPr>
        <w:t xml:space="preserve">What seems clear </w:t>
      </w:r>
      <w:r>
        <w:rPr>
          <w:rtl w:val="0"/>
          <w:lang w:val="en-US"/>
        </w:rPr>
        <w:t xml:space="preserve">from all of this </w:t>
      </w:r>
      <w:r>
        <w:rPr>
          <w:rtl w:val="0"/>
          <w:lang w:val="en-US"/>
        </w:rPr>
        <w:t xml:space="preserve">is that either side hoped to get grip of the other side, as both kingdoms were </w:t>
      </w:r>
      <w:r>
        <w:rPr>
          <w:rtl w:val="0"/>
          <w:lang w:val="en-US"/>
        </w:rPr>
        <w:t>i</w:t>
      </w:r>
      <w:r>
        <w:rPr>
          <w:rtl w:val="0"/>
          <w:lang w:val="en-US"/>
        </w:rPr>
        <w:t>n a position of power and this alliance wasn't going to bring any of the two kingdoms to fuse with the other.</w:t>
      </w:r>
    </w:p>
    <w:p>
      <w:pPr>
        <w:pStyle w:val="justify"/>
        <w:spacing w:line="360" w:lineRule="auto"/>
        <w:jc w:val="both"/>
        <w:rPr/>
      </w:pPr>
    </w:p>
    <w:p>
      <w:pPr>
        <w:pStyle w:val="justify"/>
        <w:spacing w:line="360" w:lineRule="auto"/>
        <w:jc w:val="both"/>
      </w:pPr>
      <w:r>
        <w:rPr>
          <w:rtl w:val="0"/>
          <w:lang w:val="en-US"/>
        </w:rPr>
        <w:t>These were also the times when Arsake</w:t>
      </w:r>
      <w:r>
        <w:rPr>
          <w:rtl w:val="0"/>
          <w:lang w:val="en-US"/>
        </w:rPr>
        <w:t>’</w:t>
      </w:r>
      <w:r>
        <w:rPr>
          <w:rtl w:val="0"/>
          <w:lang w:val="en-US"/>
        </w:rPr>
        <w:t>s rebellious activities in Bactria forced Antiochus II to put some energy there. Diodotus I from Parthia, who even though assumed the diadem, remained loyal to the Seleukids, supporting them against the Scythian nomads and Bactrian rebels</w:t>
      </w:r>
      <w:r>
        <w:rPr>
          <w:vertAlign w:val="superscript"/>
        </w:rPr>
        <w:footnoteReference w:id="192"/>
      </w:r>
      <w:r>
        <w:rPr>
          <w:rtl w:val="0"/>
          <w:lang w:val="en-US"/>
        </w:rPr>
        <w:t xml:space="preserve">. By </w:t>
      </w:r>
      <w:r>
        <w:rPr>
          <w:rtl w:val="0"/>
          <w:lang w:val="en-US"/>
        </w:rPr>
        <w:t>focussing so much on the West</w:t>
      </w:r>
      <w:r>
        <w:rPr>
          <w:rtl w:val="0"/>
          <w:lang w:val="en-US"/>
        </w:rPr>
        <w:t xml:space="preserve"> though</w:t>
      </w:r>
      <w:r>
        <w:rPr>
          <w:rtl w:val="0"/>
          <w:lang w:val="en-US"/>
        </w:rPr>
        <w:t>, in acquiring Ptolemies territories,</w:t>
      </w:r>
      <w:r>
        <w:rPr>
          <w:rtl w:val="0"/>
          <w:lang w:val="en-US"/>
        </w:rPr>
        <w:t xml:space="preserve"> Antiochus II lost control over Capadoccia, becoming an independent kingdom, and over Bactria and partly over Parthia, two huge eastern regions that had belonged to the Seleukids since Seleukus I. He was also incapable of asserting influence any longer in Bithynia, where Pergamon and Arados became independent kingdoms. Antiochus forces being on guard in the West and on Asia Minor, might have provoked those detachments. This might have also been the case for the Ptolemies, whose losses due to previous defeats against the Antigonids and their involvement in many conflicts resulted in disaster in Syria.</w:t>
      </w:r>
    </w:p>
    <w:p>
      <w:pPr>
        <w:pStyle w:val="justify"/>
        <w:spacing w:line="360" w:lineRule="auto"/>
        <w:jc w:val="both"/>
      </w:pPr>
    </w:p>
    <w:p>
      <w:pPr>
        <w:pStyle w:val="justify"/>
        <w:spacing w:line="360" w:lineRule="auto"/>
        <w:jc w:val="both"/>
      </w:pPr>
      <w:r>
        <w:rPr>
          <w:rtl w:val="0"/>
          <w:lang w:val="en-US"/>
        </w:rPr>
        <w:t>Nevertheless, t</w:t>
      </w:r>
      <w:r>
        <w:rPr>
          <w:rtl w:val="0"/>
          <w:lang w:val="en-US"/>
        </w:rPr>
        <w:t>he intended union between the two houses ended in tragedy</w:t>
      </w:r>
      <w:r>
        <w:rPr>
          <w:vertAlign w:val="superscript"/>
        </w:rPr>
        <w:footnoteReference w:id="193"/>
      </w:r>
      <w:r>
        <w:rPr>
          <w:rtl w:val="0"/>
          <w:lang w:val="en-US"/>
        </w:rPr>
        <w:t xml:space="preserve"> and it was a turning point for the house of the Seleukids, with an internal conflict arising due to various succession claims to the throne</w:t>
      </w:r>
      <w:r>
        <w:rPr>
          <w:vertAlign w:val="superscript"/>
        </w:rPr>
        <w:footnoteReference w:id="194"/>
      </w:r>
      <w:r>
        <w:rPr>
          <w:rtl w:val="0"/>
          <w:lang w:val="en-US"/>
        </w:rPr>
        <w:t>. T</w:t>
      </w:r>
      <w:r>
        <w:rPr>
          <w:rtl w:val="0"/>
          <w:lang w:val="en-US"/>
        </w:rPr>
        <w:t>he marriage broke the Seleukids</w:t>
      </w:r>
      <w:r>
        <w:rPr>
          <w:rtl w:val="0"/>
          <w:lang w:val="en-US"/>
        </w:rPr>
        <w:t xml:space="preserve">’ </w:t>
      </w:r>
      <w:r>
        <w:rPr>
          <w:rtl w:val="0"/>
          <w:lang w:val="en-US"/>
        </w:rPr>
        <w:t>family structure. Antiochus II initially</w:t>
      </w:r>
      <w:r>
        <w:rPr>
          <w:rtl w:val="0"/>
          <w:lang w:val="en-US"/>
        </w:rPr>
        <w:t xml:space="preserve"> divorced from Laodice, reducing her to the status of concubine. However, it seems that afterwards and overcome by love, Antiochus brought Laodice and her children back to the court. C</w:t>
      </w:r>
      <w:r>
        <w:rPr>
          <w:rtl w:val="0"/>
          <w:lang w:val="en-US"/>
        </w:rPr>
        <w:t>oncerned about her children and her own future</w:t>
      </w:r>
      <w:r>
        <w:rPr>
          <w:rtl w:val="0"/>
          <w:lang w:val="en-US"/>
        </w:rPr>
        <w:t xml:space="preserve">, Laodice murdered with poison Antiochus II and Berenice, putting her own son Seleukus II Callinicus as king. </w:t>
      </w:r>
      <w:r>
        <w:rPr>
          <w:rtl w:val="0"/>
          <w:lang w:val="en-US"/>
        </w:rPr>
        <w:t>This event brought tragic consequences to the house of the Seleukus, right after Ptolemy I</w:t>
      </w:r>
      <w:r>
        <w:rPr>
          <w:rtl w:val="0"/>
          <w:lang w:val="en-US"/>
        </w:rPr>
        <w:t>I</w:t>
      </w:r>
      <w:r>
        <w:rPr>
          <w:rtl w:val="0"/>
          <w:lang w:val="en-US"/>
        </w:rPr>
        <w:t>’</w:t>
      </w:r>
      <w:r>
        <w:rPr>
          <w:rtl w:val="0"/>
          <w:lang w:val="en-US"/>
        </w:rPr>
        <w:t>s death and during the kingship of his son Ptolemy III, Euergetes</w:t>
      </w:r>
      <w:r>
        <w:rPr>
          <w:vertAlign w:val="superscript"/>
        </w:rPr>
        <w:footnoteReference w:id="195"/>
      </w:r>
      <w:r>
        <w:rPr>
          <w:rtl w:val="0"/>
          <w:lang w:val="en-US"/>
        </w:rPr>
        <w:t xml:space="preserve">. </w:t>
      </w:r>
      <w:r>
        <w:rPr>
          <w:rtl w:val="0"/>
          <w:lang w:val="en-US"/>
        </w:rPr>
        <w:t xml:space="preserve">The death of Antiochos II has often been used to mark a turning point </w:t>
      </w:r>
      <w:r>
        <w:rPr>
          <w:rtl w:val="0"/>
          <w:lang w:val="en-US"/>
        </w:rPr>
        <w:t>for</w:t>
      </w:r>
      <w:r>
        <w:rPr>
          <w:rtl w:val="0"/>
          <w:lang w:val="en-US"/>
        </w:rPr>
        <w:t xml:space="preserve"> the Seleukid empire. After agreeing to marry Bereni</w:t>
      </w:r>
      <w:r>
        <w:rPr>
          <w:rtl w:val="0"/>
          <w:lang w:val="en-US"/>
        </w:rPr>
        <w:t>c</w:t>
      </w:r>
      <w:r>
        <w:rPr>
          <w:rtl w:val="0"/>
          <w:lang w:val="en-US"/>
        </w:rPr>
        <w:t>e</w:t>
      </w:r>
      <w:r>
        <w:rPr>
          <w:rtl w:val="0"/>
          <w:lang w:val="en-US"/>
        </w:rPr>
        <w:t>,</w:t>
      </w:r>
      <w:r>
        <w:rPr>
          <w:rtl w:val="0"/>
          <w:lang w:val="en-US"/>
        </w:rPr>
        <w:t xml:space="preserve"> following the </w:t>
      </w:r>
      <w:r>
        <w:rPr>
          <w:rtl w:val="0"/>
          <w:lang w:val="en-US"/>
        </w:rPr>
        <w:t xml:space="preserve">end of the </w:t>
      </w:r>
      <w:r>
        <w:rPr>
          <w:rtl w:val="0"/>
          <w:lang w:val="en-US"/>
        </w:rPr>
        <w:t xml:space="preserve">war </w:t>
      </w:r>
      <w:r>
        <w:rPr>
          <w:rtl w:val="0"/>
          <w:lang w:val="en-US"/>
        </w:rPr>
        <w:t>against</w:t>
      </w:r>
      <w:r>
        <w:rPr>
          <w:rtl w:val="0"/>
          <w:lang w:val="en-US"/>
        </w:rPr>
        <w:t xml:space="preserve"> Philadelphos</w:t>
      </w:r>
      <w:r>
        <w:rPr>
          <w:vertAlign w:val="superscript"/>
        </w:rPr>
        <w:footnoteReference w:id="196"/>
      </w:r>
      <w:r>
        <w:rPr>
          <w:rtl w:val="0"/>
          <w:lang w:val="en-US"/>
        </w:rPr>
        <w:t xml:space="preserve">, </w:t>
      </w:r>
      <w:r>
        <w:rPr>
          <w:rtl w:val="0"/>
          <w:lang w:val="en-US"/>
        </w:rPr>
        <w:t>Antiochus</w:t>
      </w:r>
      <w:r>
        <w:rPr>
          <w:rtl w:val="0"/>
          <w:lang w:val="en-US"/>
        </w:rPr>
        <w:t xml:space="preserve"> died with two wives and two sets of relatively young competitors </w:t>
      </w:r>
      <w:r>
        <w:rPr>
          <w:rtl w:val="0"/>
          <w:lang w:val="en-US"/>
        </w:rPr>
        <w:t>to</w:t>
      </w:r>
      <w:r>
        <w:rPr>
          <w:rtl w:val="0"/>
          <w:lang w:val="en-US"/>
        </w:rPr>
        <w:t xml:space="preserve"> the throne.</w:t>
      </w:r>
      <w:r>
        <w:rPr>
          <w:rtl w:val="0"/>
          <w:lang w:val="en-US"/>
        </w:rPr>
        <w:t xml:space="preserve"> Whether or not he followed the practice of his father and grandfather </w:t>
      </w:r>
      <w:r>
        <w:rPr>
          <w:rtl w:val="0"/>
          <w:lang w:val="en-US"/>
        </w:rPr>
        <w:t>of</w:t>
      </w:r>
      <w:r>
        <w:rPr>
          <w:rtl w:val="0"/>
          <w:lang w:val="en-US"/>
        </w:rPr>
        <w:t xml:space="preserve"> designating a successor remains unclear</w:t>
      </w:r>
      <w:r>
        <w:rPr>
          <w:rtl w:val="0"/>
          <w:lang w:val="en-US"/>
        </w:rPr>
        <w:t>. A</w:t>
      </w:r>
      <w:r>
        <w:rPr>
          <w:rtl w:val="0"/>
          <w:lang w:val="en-US"/>
        </w:rPr>
        <w:t>lthough</w:t>
      </w:r>
      <w:r>
        <w:rPr>
          <w:rtl w:val="0"/>
          <w:lang w:val="en-US"/>
        </w:rPr>
        <w:t xml:space="preserve"> </w:t>
      </w:r>
      <w:r>
        <w:rPr>
          <w:rtl w:val="0"/>
          <w:lang w:val="en-US"/>
        </w:rPr>
        <w:t>he m</w:t>
      </w:r>
      <w:r>
        <w:rPr>
          <w:rtl w:val="0"/>
          <w:lang w:val="en-US"/>
        </w:rPr>
        <w:t>ight</w:t>
      </w:r>
      <w:r>
        <w:rPr>
          <w:rtl w:val="0"/>
          <w:lang w:val="en-US"/>
        </w:rPr>
        <w:t xml:space="preserve"> have appointed his eldest son as joint ruler in the months before his death</w:t>
      </w:r>
      <w:r>
        <w:rPr>
          <w:rtl w:val="0"/>
          <w:lang w:val="en-US"/>
        </w:rPr>
        <w:t>.</w:t>
      </w:r>
    </w:p>
    <w:p>
      <w:pPr>
        <w:pStyle w:val="justify"/>
        <w:spacing w:line="360" w:lineRule="auto"/>
        <w:jc w:val="both"/>
      </w:pPr>
    </w:p>
    <w:p>
      <w:pPr>
        <w:pStyle w:val="justify"/>
        <w:spacing w:line="360" w:lineRule="auto"/>
        <w:jc w:val="both"/>
      </w:pPr>
      <w:r>
        <w:rPr>
          <w:rtl w:val="0"/>
          <w:lang w:val="en-US"/>
        </w:rPr>
        <w:t>The Second Syrian war might have ended in a draw. A chronicle gave the victory to Antiochus II</w:t>
      </w:r>
      <w:r>
        <w:rPr>
          <w:vertAlign w:val="superscript"/>
        </w:rPr>
        <w:footnoteReference w:id="197"/>
      </w:r>
      <w:r>
        <w:rPr>
          <w:rtl w:val="0"/>
          <w:lang w:val="en-US"/>
        </w:rPr>
        <w:t>, but it seems that this was not the case. Antiochus II gained more territories than his rival, but lost control of the East and of the Capadoccia. On the other hand, Ptolemy II focussed on ways of extracting more wealth internally for future war prospects</w:t>
      </w:r>
      <w:r>
        <w:rPr>
          <w:vertAlign w:val="superscript"/>
        </w:rPr>
        <w:footnoteReference w:id="198"/>
      </w:r>
      <w:r>
        <w:rPr>
          <w:rtl w:val="0"/>
          <w:lang w:val="en-US"/>
        </w:rPr>
        <w:t>. In Cyrenaica, Ptolemy</w:t>
      </w:r>
      <w:r>
        <w:rPr>
          <w:rtl w:val="0"/>
          <w:lang w:val="en-US"/>
        </w:rPr>
        <w:t>’</w:t>
      </w:r>
      <w:r>
        <w:rPr>
          <w:rtl w:val="0"/>
          <w:lang w:val="en-US"/>
        </w:rPr>
        <w:t>s diplomatic moves might have resulted in saving Cyrenaica against Greek cities</w:t>
      </w:r>
      <w:r>
        <w:rPr>
          <w:rtl w:val="0"/>
          <w:lang w:val="en-US"/>
        </w:rPr>
        <w:t xml:space="preserve">’ </w:t>
      </w:r>
      <w:r>
        <w:rPr>
          <w:rtl w:val="0"/>
          <w:lang w:val="en-US"/>
        </w:rPr>
        <w:t xml:space="preserve">anarchy and against the Libyan nomads. These events obviously played in favour of the Ptolemies, who on the other side of the Aegean saw Antiochus II taking control over part of Thrace and the Hellespont. </w:t>
      </w:r>
    </w:p>
    <w:p>
      <w:pPr>
        <w:pStyle w:val="justify"/>
        <w:spacing w:line="360" w:lineRule="auto"/>
        <w:jc w:val="both"/>
      </w:pPr>
    </w:p>
    <w:p>
      <w:pPr>
        <w:pStyle w:val="justify"/>
        <w:spacing w:line="360" w:lineRule="auto"/>
        <w:jc w:val="both"/>
      </w:pPr>
      <w:r>
        <w:rPr>
          <w:rtl w:val="0"/>
          <w:lang w:val="en-US"/>
        </w:rPr>
        <w:t>As with the First Syrian War truce, peace between both houses remained during both kings life time, therefore, only until one of the two kings died. Again, t</w:t>
      </w:r>
      <w:r>
        <w:rPr>
          <w:rtl w:val="0"/>
          <w:lang w:val="en-US"/>
        </w:rPr>
        <w:t>ruce brought peace for the present but not for the future</w:t>
      </w:r>
      <w:r>
        <w:rPr>
          <w:rtl w:val="0"/>
          <w:lang w:val="en-US"/>
        </w:rPr>
        <w:t>. Ptolemy II lost hopes of recovering Ephesus and both kingdoms commenced movements for the next encounter. Crete is an example of this, where c</w:t>
      </w:r>
      <w:r>
        <w:rPr>
          <w:rtl w:val="0"/>
          <w:lang w:val="en-US"/>
        </w:rPr>
        <w:t xml:space="preserve">ompetition </w:t>
      </w:r>
      <w:r>
        <w:rPr>
          <w:rtl w:val="0"/>
          <w:lang w:val="en-US"/>
        </w:rPr>
        <w:t xml:space="preserve">arose between both houses. It was an area for employing mercenaries and pirates. Ptolemy II obtained control over Itanos, a key area to have garrisons, between Cyprus and the Aegean. From there, he could have some sort of control over Rhodes. In the other hand, the house of the Seleukids obtained control over Lyttos, near Itanos, posing a threat to Ptolemy II and obliging the latter to maintain garrisons in the area. There had been other towns having anti-Ptolemaic feelings, such as Gortyn, who allied with Magas. Thrace was another area in which Ptolemy showed interest. In fact, his navy moved there to assist Byzantium. </w:t>
      </w:r>
      <w:r>
        <w:rPr>
          <w:rtl w:val="0"/>
          <w:lang w:val="en-US"/>
        </w:rPr>
        <w:t>Lysimacheia and Bithynia were territories not included in the truce</w:t>
      </w:r>
      <w:r>
        <w:rPr>
          <w:rtl w:val="0"/>
          <w:lang w:val="en-US"/>
        </w:rPr>
        <w:t>, therefore, areas in which Antiochus II could interfere without violating the truce obtained on the Second Syrian war. Antiochus II</w:t>
      </w:r>
      <w:r>
        <w:rPr>
          <w:rtl w:val="0"/>
          <w:lang w:val="en-US"/>
        </w:rPr>
        <w:t>’</w:t>
      </w:r>
      <w:r>
        <w:rPr>
          <w:rtl w:val="0"/>
          <w:lang w:val="en-US"/>
        </w:rPr>
        <w:t xml:space="preserve">s success in conquering the </w:t>
      </w:r>
      <w:r>
        <w:rPr>
          <w:rtl w:val="0"/>
          <w:lang w:val="en-US"/>
        </w:rPr>
        <w:t>Thracian Chersonese</w:t>
      </w:r>
      <w:r>
        <w:rPr>
          <w:rtl w:val="0"/>
          <w:lang w:val="en-US"/>
        </w:rPr>
        <w:t xml:space="preserve"> and in attaching Byzantium gave the house of the Seleukids control over both sides of the Hellespont. The conquests and relationships built by the Ptolemies in Cyrenaica and by Antiochus II in Crete and Thrace imply war preparations, a kind of cold war and therefore another future crash boiling between both kingdoms. </w:t>
      </w:r>
    </w:p>
    <w:p>
      <w:pPr>
        <w:pStyle w:val="justify"/>
        <w:spacing w:line="360" w:lineRule="auto"/>
        <w:jc w:val="both"/>
      </w:pPr>
    </w:p>
    <w:p>
      <w:pPr>
        <w:pStyle w:val="justify"/>
        <w:spacing w:line="360" w:lineRule="auto"/>
        <w:jc w:val="both"/>
      </w:pPr>
      <w:r>
        <w:rPr>
          <w:rtl w:val="0"/>
          <w:lang w:val="en-US"/>
        </w:rPr>
        <w:t>At the end of Philadelphus kingdom, he was left with the nucleus of his kingdom, naval bases in the Aegean and possibly Lycia, while most of the acquired possessions during the Syrian wars were lost, becoming Antiochus II and its Rhodian ally</w:t>
      </w:r>
      <w:r>
        <w:rPr>
          <w:rtl w:val="0"/>
          <w:lang w:val="en-US"/>
        </w:rPr>
        <w:t>’</w:t>
      </w:r>
      <w:r>
        <w:rPr>
          <w:rtl w:val="0"/>
          <w:lang w:val="en-US"/>
        </w:rPr>
        <w:t>s conquests. Ionia, Pamphylia, Cilicia or the Nesiotic League are some of the examples which seem to have been lost</w:t>
      </w:r>
      <w:r>
        <w:rPr>
          <w:vertAlign w:val="superscript"/>
        </w:rPr>
        <w:footnoteReference w:id="199"/>
      </w:r>
      <w:r>
        <w:rPr>
          <w:rtl w:val="0"/>
          <w:lang w:val="en-US"/>
        </w:rPr>
        <w:t>. At the end of his life and based on the study just presented, whether Philadelphus was an excellent war leader, an excellent diplomat</w:t>
      </w:r>
      <w:r>
        <w:rPr>
          <w:rtl w:val="0"/>
          <w:lang w:val="en-US"/>
        </w:rPr>
        <w:t>…</w:t>
      </w:r>
      <w:r>
        <w:rPr>
          <w:rtl w:val="0"/>
          <w:lang w:val="en-US"/>
        </w:rPr>
        <w:t xml:space="preserve">, by just looking at his relationship with the Seleukids and the policies and initiatives related to this context, it seems that this was a period with really organised and powerful kingdoms, which all had their successes and failures. This was a period of great cultural achievements, huge enterprises involving technological advances, clever and strategic alliances. It was also a period of great tensions due to political, cultural, economical and dynastic interests, which ended up in frequent wars and consequent strategic battles and diplomatic relationships, with a highlight on the houses of the Antigonids, Ptolemies and Seleukids. </w:t>
      </w:r>
    </w:p>
    <w:p>
      <w:pPr>
        <w:pStyle w:val="justify"/>
        <w:jc w:val="both"/>
      </w:pPr>
    </w:p>
    <w:p>
      <w:pPr>
        <w:pStyle w:val="justify"/>
        <w:jc w:val="both"/>
      </w:pPr>
    </w:p>
    <w:p>
      <w:pPr>
        <w:pStyle w:val="justify"/>
        <w:jc w:val="both"/>
      </w:pPr>
    </w:p>
    <w:p>
      <w:pPr>
        <w:pStyle w:val="justify"/>
        <w:jc w:val="both"/>
      </w:pPr>
    </w:p>
    <w:p>
      <w:pPr>
        <w:pStyle w:val="Body"/>
        <w:jc w:val="center"/>
        <w:rPr>
          <w:rFonts w:ascii="Times New Roman" w:cs="Times New Roman" w:hAnsi="Times New Roman" w:eastAsia="Times New Roman"/>
          <w:sz w:val="32"/>
          <w:szCs w:val="32"/>
          <w:u w:val="single"/>
        </w:rPr>
      </w:pPr>
    </w:p>
    <w:p>
      <w:pPr>
        <w:pStyle w:val="Body"/>
        <w:jc w:val="center"/>
        <w:rPr>
          <w:rFonts w:ascii="Times New Roman" w:cs="Times New Roman" w:hAnsi="Times New Roman" w:eastAsia="Times New Roman"/>
          <w:sz w:val="32"/>
          <w:szCs w:val="32"/>
          <w:u w:val="single"/>
        </w:rPr>
      </w:pPr>
      <w:r>
        <w:rPr>
          <w:rFonts w:ascii="Times New Roman" w:hAnsi="Times New Roman"/>
          <w:sz w:val="32"/>
          <w:szCs w:val="32"/>
          <w:u w:val="single"/>
          <w:rtl w:val="0"/>
          <w:lang w:val="en-US"/>
        </w:rPr>
        <w:t>C. Bibliography</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6"/>
          <w:szCs w:val="26"/>
          <w:u w:val="single"/>
        </w:rPr>
      </w:pPr>
      <w:r>
        <w:rPr>
          <w:rFonts w:ascii="Times New Roman" w:hAnsi="Times New Roman"/>
          <w:sz w:val="26"/>
          <w:szCs w:val="26"/>
          <w:u w:val="single"/>
          <w:rtl w:val="0"/>
          <w:lang w:val="en-US"/>
        </w:rPr>
        <w:t>Primary sources</w:t>
      </w:r>
    </w:p>
    <w:p>
      <w:pPr>
        <w:pStyle w:val="Body"/>
        <w:jc w:val="both"/>
        <w:rPr>
          <w:rFonts w:ascii="Times New Roman" w:cs="Times New Roman" w:hAnsi="Times New Roman" w:eastAsia="Times New Roman"/>
          <w:sz w:val="24"/>
          <w:szCs w:val="24"/>
        </w:rPr>
      </w:pP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rPr>
        <w:t>Diod</w:t>
      </w:r>
      <w:r>
        <w:rPr>
          <w:rFonts w:ascii="Times New Roman" w:hAnsi="Times New Roman" w:hint="default"/>
          <w:sz w:val="24"/>
          <w:szCs w:val="24"/>
          <w:rtl w:val="0"/>
        </w:rPr>
        <w:t>ō</w:t>
      </w:r>
      <w:r>
        <w:rPr>
          <w:rFonts w:ascii="Times New Roman" w:hAnsi="Times New Roman"/>
          <w:sz w:val="24"/>
          <w:szCs w:val="24"/>
          <w:rtl w:val="0"/>
        </w:rPr>
        <w:t>rus.</w:t>
      </w:r>
      <w:r>
        <w:rPr>
          <w:rFonts w:ascii="Times New Roman" w:hAnsi="Times New Roman" w:hint="default"/>
          <w:sz w:val="24"/>
          <w:szCs w:val="24"/>
          <w:rtl w:val="0"/>
        </w:rPr>
        <w:t> </w:t>
      </w:r>
      <w:r>
        <w:rPr>
          <w:rFonts w:ascii="Times New Roman" w:hAnsi="Times New Roman"/>
          <w:sz w:val="24"/>
          <w:szCs w:val="24"/>
          <w:rtl w:val="0"/>
        </w:rPr>
        <w:t>In</w:t>
      </w:r>
      <w:r>
        <w:rPr>
          <w:rFonts w:ascii="Times New Roman" w:hAnsi="Times New Roman" w:hint="default"/>
          <w:sz w:val="24"/>
          <w:szCs w:val="24"/>
          <w:rtl w:val="0"/>
        </w:rPr>
        <w:t> </w:t>
      </w:r>
      <w:r>
        <w:rPr>
          <w:rFonts w:ascii="Times New Roman" w:hAnsi="Times New Roman"/>
          <w:sz w:val="24"/>
          <w:szCs w:val="24"/>
          <w:rtl w:val="0"/>
        </w:rPr>
        <w:t>Roberts, J.</w:t>
      </w:r>
      <w:r>
        <w:rPr>
          <w:rFonts w:ascii="Times New Roman" w:hAnsi="Times New Roman" w:hint="default"/>
          <w:sz w:val="24"/>
          <w:szCs w:val="24"/>
          <w:rtl w:val="0"/>
        </w:rPr>
        <w:t> </w:t>
      </w:r>
      <w:r>
        <w:rPr>
          <w:rFonts w:ascii="Times New Roman" w:hAnsi="Times New Roman"/>
          <w:sz w:val="24"/>
          <w:szCs w:val="24"/>
          <w:rtl w:val="0"/>
        </w:rPr>
        <w:t xml:space="preserve">(Ed.), </w:t>
      </w:r>
      <w:r>
        <w:rPr>
          <w:rFonts w:ascii="Times New Roman" w:hAnsi="Times New Roman"/>
          <w:sz w:val="24"/>
          <w:szCs w:val="24"/>
          <w:rtl w:val="0"/>
          <w:lang w:val="en-US"/>
        </w:rPr>
        <w:t xml:space="preserve">2017. </w:t>
      </w:r>
      <w:r>
        <w:rPr>
          <w:rFonts w:ascii="Times New Roman" w:hAnsi="Times New Roman"/>
          <w:sz w:val="24"/>
          <w:szCs w:val="24"/>
          <w:rtl w:val="0"/>
          <w:lang w:val="en-US"/>
        </w:rPr>
        <w:t>Oxford Dictionary of the Classical World.</w:t>
      </w:r>
      <w:r>
        <w:rPr>
          <w:rFonts w:ascii="Times New Roman" w:hAnsi="Times New Roman" w:hint="default"/>
          <w:sz w:val="24"/>
          <w:szCs w:val="24"/>
          <w:rtl w:val="0"/>
        </w:rPr>
        <w:t> </w:t>
      </w:r>
      <w:r>
        <w:rPr>
          <w:rFonts w:ascii="Times New Roman" w:hAnsi="Times New Roman"/>
          <w:sz w:val="24"/>
          <w:szCs w:val="24"/>
          <w:rtl w:val="0"/>
          <w:lang w:val="en-US"/>
        </w:rPr>
        <w:t>: Oxford University Press,. Retrieved 1 Jun. 2019, from</w:t>
      </w:r>
      <w:r>
        <w:rPr>
          <w:rFonts w:ascii="Times New Roman" w:hAnsi="Times New Roman"/>
          <w:sz w:val="24"/>
          <w:szCs w:val="24"/>
          <w:rtl w:val="0"/>
          <w:lang w:val="en-US"/>
        </w:rPr>
        <w:t xml:space="preserve"> </w:t>
      </w:r>
      <w:r>
        <w:rPr>
          <w:rStyle w:val="Hyperlink.2"/>
          <w:rFonts w:ascii="Times New Roman" w:cs="Times New Roman" w:hAnsi="Times New Roman" w:eastAsia="Times New Roman"/>
          <w:color w:val="000000"/>
          <w:sz w:val="24"/>
          <w:szCs w:val="24"/>
          <w:u w:val="none" w:color="0000ff"/>
          <w:rtl w:val="0"/>
        </w:rPr>
        <w:fldChar w:fldCharType="begin" w:fldLock="0"/>
      </w:r>
      <w:r>
        <w:rPr>
          <w:rStyle w:val="Hyperlink.2"/>
          <w:rFonts w:ascii="Times New Roman" w:cs="Times New Roman" w:hAnsi="Times New Roman" w:eastAsia="Times New Roman"/>
          <w:color w:val="000000"/>
          <w:sz w:val="24"/>
          <w:szCs w:val="24"/>
          <w:u w:val="none" w:color="0000ff"/>
          <w:rtl w:val="0"/>
        </w:rPr>
        <w:instrText xml:space="preserve"> HYPERLINK "https://www.oxfordreference.com/view/10.1093/acref/9780192801463.001.0001/acref-9780192801463-e-710"</w:instrText>
      </w:r>
      <w:r>
        <w:rPr>
          <w:rStyle w:val="Hyperlink.2"/>
          <w:rFonts w:ascii="Times New Roman" w:cs="Times New Roman" w:hAnsi="Times New Roman" w:eastAsia="Times New Roman"/>
          <w:color w:val="000000"/>
          <w:sz w:val="24"/>
          <w:szCs w:val="24"/>
          <w:u w:val="none" w:color="0000ff"/>
          <w:rtl w:val="0"/>
        </w:rPr>
        <w:fldChar w:fldCharType="separate" w:fldLock="0"/>
      </w:r>
      <w:r>
        <w:rPr>
          <w:rStyle w:val="Hyperlink.2"/>
          <w:rFonts w:ascii="Times New Roman" w:hAnsi="Times New Roman"/>
          <w:color w:val="000000"/>
          <w:sz w:val="24"/>
          <w:szCs w:val="24"/>
          <w:u w:val="none" w:color="0000ff"/>
          <w:rtl w:val="0"/>
          <w:lang w:val="en-US"/>
        </w:rPr>
        <w:t>https://www.oxfordreference.com/view/10.1093/acref/9780192801463.001.0001/acref-9780192801463-e-710</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rPr>
        <w:t>.</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J</w:t>
      </w:r>
      <w:r>
        <w:rPr>
          <w:rFonts w:ascii="Times New Roman" w:hAnsi="Times New Roman"/>
          <w:sz w:val="24"/>
          <w:szCs w:val="24"/>
          <w:rtl w:val="0"/>
        </w:rPr>
        <w:t>ustinus, M. J., Sabellico, ., Zanis, B. ., &amp; Trogus, P. 1503. Justinus hystoricus. Impressum Venetiis: per Bertolomeum de Zanis de Portesio.</w:t>
      </w:r>
    </w:p>
    <w:p>
      <w:pPr>
        <w:pStyle w:val="Default"/>
        <w:bidi w:val="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Pausanias, ., In Jones, W. H. S., Ormerod, H. A., &amp; Wycherley, R. E. 1918. Pausanias Description of Greece. London: W. Heinemann.</w:t>
      </w:r>
    </w:p>
    <w:p>
      <w:pPr>
        <w:pStyle w:val="Default"/>
        <w:bidi w:val="0"/>
        <w:ind w:left="0" w:right="0" w:firstLine="0"/>
        <w:jc w:val="both"/>
        <w:rPr>
          <w:rFonts w:ascii="Times New Roman" w:cs="Times New Roman" w:hAnsi="Times New Roman" w:eastAsia="Times New Roman"/>
          <w:sz w:val="24"/>
          <w:szCs w:val="24"/>
          <w:rtl w:val="0"/>
        </w:rPr>
      </w:pPr>
    </w:p>
    <w:p>
      <w:pPr>
        <w:pStyle w:val="Default"/>
        <w:bidi w:val="0"/>
        <w:ind w:left="0" w:right="0" w:firstLine="0"/>
        <w:jc w:val="both"/>
        <w:rPr>
          <w:rFonts w:ascii="Times New Roman" w:cs="Times New Roman" w:hAnsi="Times New Roman" w:eastAsia="Times New Roman"/>
          <w:sz w:val="24"/>
          <w:szCs w:val="24"/>
          <w:rtl w:val="0"/>
        </w:rPr>
      </w:pPr>
      <w:r>
        <w:rPr>
          <w:rFonts w:ascii="Times New Roman" w:hAnsi="Times New Roman"/>
          <w:sz w:val="24"/>
          <w:szCs w:val="24"/>
          <w:u w:color="000000"/>
          <w:shd w:val="clear" w:color="auto" w:fill="ffffff"/>
          <w:rtl w:val="0"/>
          <w:lang w:val="de-DE"/>
        </w:rPr>
        <w:t>Theocritus, ., &amp; Hunter, R. L. 2003.</w:t>
      </w:r>
      <w:r>
        <w:rPr>
          <w:rFonts w:ascii="Times New Roman" w:hAnsi="Times New Roman" w:hint="default"/>
          <w:sz w:val="24"/>
          <w:szCs w:val="24"/>
          <w:u w:color="000000"/>
          <w:shd w:val="clear" w:color="auto" w:fill="ffffff"/>
          <w:rtl w:val="0"/>
          <w:lang w:val="en-US"/>
        </w:rPr>
        <w:t> </w:t>
      </w:r>
      <w:r>
        <w:rPr>
          <w:rFonts w:ascii="Times New Roman" w:hAnsi="Times New Roman"/>
          <w:i w:val="1"/>
          <w:iCs w:val="1"/>
          <w:sz w:val="24"/>
          <w:szCs w:val="24"/>
          <w:u w:color="000000"/>
          <w:shd w:val="clear" w:color="auto" w:fill="ffffff"/>
          <w:rtl w:val="0"/>
          <w:lang w:val="en-US"/>
        </w:rPr>
        <w:t>Encomium of Ptolemy Philadelphus</w:t>
      </w:r>
      <w:r>
        <w:rPr>
          <w:rFonts w:ascii="Times New Roman" w:hAnsi="Times New Roman"/>
          <w:sz w:val="24"/>
          <w:szCs w:val="24"/>
          <w:u w:color="000000"/>
          <w:shd w:val="clear" w:color="auto" w:fill="ffffff"/>
          <w:rtl w:val="0"/>
          <w:lang w:val="en-US"/>
        </w:rPr>
        <w:t>. Berkeley: University of California Press.</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6"/>
          <w:szCs w:val="26"/>
          <w:u w:val="single"/>
        </w:rPr>
      </w:pPr>
      <w:r>
        <w:rPr>
          <w:rFonts w:ascii="Times New Roman" w:hAnsi="Times New Roman"/>
          <w:sz w:val="26"/>
          <w:szCs w:val="26"/>
          <w:u w:val="single"/>
          <w:rtl w:val="0"/>
          <w:lang w:val="en-US"/>
        </w:rPr>
        <w:t>Secondary sources</w:t>
      </w:r>
    </w:p>
    <w:p>
      <w:pPr>
        <w:pStyle w:val="Body"/>
        <w:jc w:val="both"/>
        <w:rPr>
          <w:rFonts w:ascii="Times New Roman" w:cs="Times New Roman" w:hAnsi="Times New Roman" w:eastAsia="Times New Roman"/>
          <w:sz w:val="24"/>
          <w:szCs w:val="24"/>
        </w:rPr>
      </w:pP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Adams, G. W. 2008. The unbalanced relationship between Ptolemy II and Pyrrhus of Epirus. </w:t>
      </w:r>
      <w:r>
        <w:rPr>
          <w:rFonts w:ascii="Times New Roman" w:hAnsi="Times New Roman"/>
          <w:i w:val="1"/>
          <w:iCs w:val="1"/>
          <w:sz w:val="24"/>
          <w:szCs w:val="24"/>
          <w:rtl w:val="0"/>
          <w:lang w:val="en-US"/>
        </w:rPr>
        <w:t>Ptolemy II Philadelphus and his World</w:t>
      </w:r>
      <w:r>
        <w:rPr>
          <w:rFonts w:ascii="Times New Roman" w:hAnsi="Times New Roman"/>
          <w:sz w:val="24"/>
          <w:szCs w:val="24"/>
          <w:rtl w:val="0"/>
          <w:lang w:val="en-US"/>
        </w:rPr>
        <w:t xml:space="preserve">. </w:t>
      </w:r>
      <w:r>
        <w:rPr>
          <w:rFonts w:ascii="Times New Roman" w:hAnsi="Times New Roman"/>
          <w:sz w:val="24"/>
          <w:szCs w:val="24"/>
          <w:rtl w:val="0"/>
          <w:lang w:val="en-US"/>
        </w:rPr>
        <w:t>Brill. Volume 300. Leiden, Boston.</w:t>
      </w:r>
    </w:p>
    <w:p>
      <w:pPr>
        <w:pStyle w:val="Default"/>
        <w:bidi w:val="0"/>
        <w:spacing w:after="240"/>
        <w:ind w:left="0" w:right="0" w:firstLine="0"/>
        <w:jc w:val="both"/>
        <w:rPr>
          <w:rFonts w:ascii="Times New Roman" w:cs="Times New Roman" w:hAnsi="Times New Roman" w:eastAsia="Times New Roman"/>
          <w:sz w:val="24"/>
          <w:szCs w:val="24"/>
          <w:rtl w:val="0"/>
          <w:lang w:val="pt-PT"/>
        </w:rPr>
      </w:pPr>
      <w:r>
        <w:rPr>
          <w:rFonts w:ascii="Times New Roman" w:hAnsi="Times New Roman"/>
          <w:sz w:val="24"/>
          <w:szCs w:val="24"/>
          <w:rtl w:val="0"/>
        </w:rPr>
        <w:t xml:space="preserve">Bar-Khocva B. 1973. </w:t>
      </w:r>
      <w:r>
        <w:rPr>
          <w:rFonts w:ascii="Times New Roman" w:hAnsi="Times New Roman"/>
          <w:i w:val="1"/>
          <w:iCs w:val="1"/>
          <w:sz w:val="24"/>
          <w:szCs w:val="24"/>
          <w:rtl w:val="0"/>
          <w:lang w:val="en-US"/>
        </w:rPr>
        <w:t>On the sources and chronology of Antiochos I</w:t>
      </w:r>
      <w:r>
        <w:rPr>
          <w:rFonts w:ascii="Times New Roman" w:hAnsi="Times New Roman" w:hint="default"/>
          <w:i w:val="1"/>
          <w:iCs w:val="1"/>
          <w:sz w:val="24"/>
          <w:szCs w:val="24"/>
          <w:rtl w:val="0"/>
          <w:lang w:val="fr-FR"/>
        </w:rPr>
        <w:t>’</w:t>
      </w:r>
      <w:r>
        <w:rPr>
          <w:rFonts w:ascii="Times New Roman" w:hAnsi="Times New Roman"/>
          <w:i w:val="1"/>
          <w:iCs w:val="1"/>
          <w:sz w:val="24"/>
          <w:szCs w:val="24"/>
          <w:rtl w:val="0"/>
          <w:lang w:val="en-US"/>
        </w:rPr>
        <w:t>s battle against the Galatians</w:t>
      </w:r>
      <w:r>
        <w:rPr>
          <w:rFonts w:ascii="Times New Roman" w:hAnsi="Times New Roman"/>
          <w:sz w:val="24"/>
          <w:szCs w:val="24"/>
          <w:rtl w:val="0"/>
          <w:lang w:val="en-US"/>
        </w:rPr>
        <w:t>.</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In Proceedings of the Cambridge Philological Society by Chadwick J. University of Tel-Aviv. </w:t>
      </w:r>
      <w:r>
        <w:rPr>
          <w:rFonts w:ascii="Times New Roman" w:hAnsi="Times New Roman"/>
          <w:sz w:val="24"/>
          <w:szCs w:val="24"/>
          <w:rtl w:val="0"/>
          <w:lang w:val="pt-PT"/>
        </w:rPr>
        <w:t>No 19. Pp 1-8.</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Bevan, R. 1923. Ptolemy Philadelphus at Lacus Curtius. House of Ptolemy. Chapter 3. Available at  </w:t>
      </w:r>
      <w:r>
        <w:rPr>
          <w:rStyle w:val="Hyperlink.3"/>
          <w:rFonts w:ascii="Times New Roman" w:cs="Times New Roman" w:hAnsi="Times New Roman" w:eastAsia="Times New Roman"/>
          <w:color w:val="000000"/>
          <w:sz w:val="24"/>
          <w:szCs w:val="24"/>
          <w:u w:val="none" w:color="0000ff"/>
          <w:rtl w:val="0"/>
        </w:rPr>
        <w:fldChar w:fldCharType="begin" w:fldLock="0"/>
      </w:r>
      <w:r>
        <w:rPr>
          <w:rStyle w:val="Hyperlink.3"/>
          <w:rFonts w:ascii="Times New Roman" w:cs="Times New Roman" w:hAnsi="Times New Roman" w:eastAsia="Times New Roman"/>
          <w:color w:val="000000"/>
          <w:sz w:val="24"/>
          <w:szCs w:val="24"/>
          <w:u w:val="none" w:color="0000ff"/>
          <w:rtl w:val="0"/>
        </w:rPr>
        <w:instrText xml:space="preserve"> HYPERLINK "http://penelope.uchicago.edu/Thayer/E/Gazetteer/Places/Africa/Egypt/_Texts/BEVHOP/3*.html"</w:instrText>
      </w:r>
      <w:r>
        <w:rPr>
          <w:rStyle w:val="Hyperlink.3"/>
          <w:rFonts w:ascii="Times New Roman" w:cs="Times New Roman" w:hAnsi="Times New Roman" w:eastAsia="Times New Roman"/>
          <w:color w:val="000000"/>
          <w:sz w:val="24"/>
          <w:szCs w:val="24"/>
          <w:u w:val="none" w:color="0000ff"/>
          <w:rtl w:val="0"/>
        </w:rPr>
        <w:fldChar w:fldCharType="separate" w:fldLock="0"/>
      </w:r>
      <w:r>
        <w:rPr>
          <w:rStyle w:val="Hyperlink.3"/>
          <w:rFonts w:ascii="Times New Roman" w:hAnsi="Times New Roman"/>
          <w:color w:val="000000"/>
          <w:sz w:val="24"/>
          <w:szCs w:val="24"/>
          <w:u w:val="none" w:color="0000ff"/>
          <w:rtl w:val="0"/>
          <w:lang w:val="en-US"/>
        </w:rPr>
        <w:t>http://penelope.uchicago.edu/Thayer/E/Gazetteer/Places/Africa/Egypt/_Texts/BEVHOP/3*.html</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[Accessed on 27/03/2019].</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Bevan, E. R. 1968. The house of Ptolemy : a history of Egypt under the Ptolemaic dynasty. 1st American ed. Chicago: Argonaut.</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Buraselis, K. 2008. The problem of the Ptolemaic sibling marriage? a case of dynastic acculturation?. </w:t>
      </w:r>
      <w:r>
        <w:rPr>
          <w:rFonts w:ascii="Times New Roman" w:hAnsi="Times New Roman"/>
          <w:i w:val="1"/>
          <w:iCs w:val="1"/>
          <w:sz w:val="24"/>
          <w:szCs w:val="24"/>
          <w:rtl w:val="0"/>
          <w:lang w:val="en-US"/>
        </w:rPr>
        <w:t>Ptolemy II Philadelphus and his World</w:t>
      </w:r>
      <w:r>
        <w:rPr>
          <w:rFonts w:ascii="Times New Roman" w:hAnsi="Times New Roman"/>
          <w:sz w:val="24"/>
          <w:szCs w:val="24"/>
          <w:rtl w:val="0"/>
          <w:lang w:val="en-US"/>
        </w:rPr>
        <w:t xml:space="preserve">. </w:t>
      </w:r>
      <w:r>
        <w:rPr>
          <w:rFonts w:ascii="Times New Roman" w:hAnsi="Times New Roman"/>
          <w:sz w:val="24"/>
          <w:szCs w:val="24"/>
          <w:rtl w:val="0"/>
          <w:lang w:val="en-US"/>
        </w:rPr>
        <w:t>Brill. Volume 300. Leiden, Boston.</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rPr>
        <w:t>Burstein</w:t>
      </w:r>
      <w:r>
        <w:rPr>
          <w:rFonts w:ascii="Times New Roman" w:hAnsi="Times New Roman"/>
          <w:sz w:val="24"/>
          <w:szCs w:val="24"/>
          <w:rtl w:val="0"/>
          <w:lang w:val="en-US"/>
        </w:rPr>
        <w:t>,</w:t>
      </w:r>
      <w:r>
        <w:rPr>
          <w:rFonts w:ascii="Times New Roman" w:hAnsi="Times New Roman"/>
          <w:sz w:val="24"/>
          <w:szCs w:val="24"/>
          <w:rtl w:val="0"/>
        </w:rPr>
        <w:t xml:space="preserve"> S</w:t>
      </w:r>
      <w:r>
        <w:rPr>
          <w:rFonts w:ascii="Times New Roman" w:hAnsi="Times New Roman"/>
          <w:sz w:val="24"/>
          <w:szCs w:val="24"/>
          <w:rtl w:val="0"/>
          <w:lang w:val="en-US"/>
        </w:rPr>
        <w:t>.</w:t>
      </w:r>
      <w:r>
        <w:rPr>
          <w:rFonts w:ascii="Times New Roman" w:hAnsi="Times New Roman"/>
          <w:sz w:val="24"/>
          <w:szCs w:val="24"/>
          <w:rtl w:val="0"/>
        </w:rPr>
        <w:t xml:space="preserve"> M. </w:t>
      </w:r>
      <w:r>
        <w:rPr>
          <w:rFonts w:ascii="Times New Roman" w:hAnsi="Times New Roman"/>
          <w:sz w:val="24"/>
          <w:szCs w:val="24"/>
          <w:rtl w:val="0"/>
          <w:lang w:val="en-US"/>
        </w:rPr>
        <w:t>1996.</w:t>
      </w:r>
      <w:r>
        <w:rPr>
          <w:rFonts w:ascii="Times New Roman" w:hAnsi="Times New Roman"/>
          <w:sz w:val="24"/>
          <w:szCs w:val="24"/>
          <w:rtl w:val="0"/>
          <w:lang w:val="en-US"/>
        </w:rPr>
        <w:t xml:space="preserve">Ivory and Ptolemaic Exploration of the Red Sea. </w:t>
      </w:r>
      <w:r>
        <w:rPr>
          <w:rFonts w:ascii="Times New Roman" w:hAnsi="Times New Roman"/>
          <w:i w:val="1"/>
          <w:iCs w:val="1"/>
          <w:sz w:val="24"/>
          <w:szCs w:val="24"/>
          <w:rtl w:val="0"/>
          <w:lang w:val="en-US"/>
        </w:rPr>
        <w:t>The Missing Factor</w:t>
      </w:r>
      <w:r>
        <w:rPr>
          <w:rFonts w:ascii="Times New Roman" w:hAnsi="Times New Roman"/>
          <w:sz w:val="24"/>
          <w:szCs w:val="24"/>
          <w:rtl w:val="0"/>
        </w:rPr>
        <w:t xml:space="preserve">. In: Topoi, volume 6/2. </w:t>
      </w:r>
      <w:r>
        <w:rPr>
          <w:rFonts w:ascii="Times New Roman" w:hAnsi="Times New Roman"/>
          <w:sz w:val="24"/>
          <w:szCs w:val="24"/>
          <w:rtl w:val="0"/>
          <w:lang w:val="en-US"/>
        </w:rPr>
        <w:t>P</w:t>
      </w:r>
      <w:r>
        <w:rPr>
          <w:rFonts w:ascii="Times New Roman" w:hAnsi="Times New Roman"/>
          <w:sz w:val="24"/>
          <w:szCs w:val="24"/>
          <w:rtl w:val="0"/>
        </w:rPr>
        <w:t>p. 799- 807</w:t>
      </w:r>
      <w:r>
        <w:rPr>
          <w:rFonts w:ascii="Times New Roman" w:hAnsi="Times New Roman"/>
          <w:sz w:val="24"/>
          <w:szCs w:val="24"/>
          <w:rtl w:val="0"/>
          <w:lang w:val="en-US"/>
        </w:rPr>
        <w:t>.</w:t>
      </w:r>
      <w:r>
        <w:rPr>
          <w:rFonts w:ascii="Times New Roman" w:hAnsi="Times New Roman"/>
          <w:sz w:val="24"/>
          <w:szCs w:val="24"/>
          <w:rtl w:val="0"/>
        </w:rPr>
        <w:t xml:space="preserve"> </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rPr>
        <w:t>Burstein</w:t>
      </w:r>
      <w:r>
        <w:rPr>
          <w:rFonts w:ascii="Times New Roman" w:hAnsi="Times New Roman"/>
          <w:sz w:val="24"/>
          <w:szCs w:val="24"/>
          <w:rtl w:val="0"/>
          <w:lang w:val="en-US"/>
        </w:rPr>
        <w:t xml:space="preserve"> S. M. 2008. Elephants for Ptolemy II: Ptolemaic policy in Nubia in the third century BC. </w:t>
      </w:r>
      <w:r>
        <w:rPr>
          <w:rStyle w:val="Hyperlink.4"/>
          <w:rFonts w:ascii="Times New Roman" w:cs="Times New Roman" w:hAnsi="Times New Roman" w:eastAsia="Times New Roman"/>
          <w:sz w:val="24"/>
          <w:szCs w:val="24"/>
          <w:rtl w:val="0"/>
        </w:rPr>
        <w:fldChar w:fldCharType="begin" w:fldLock="0"/>
      </w:r>
      <w:r>
        <w:rPr>
          <w:rStyle w:val="Hyperlink.4"/>
          <w:rFonts w:ascii="Times New Roman" w:cs="Times New Roman" w:hAnsi="Times New Roman" w:eastAsia="Times New Roman"/>
          <w:sz w:val="24"/>
          <w:szCs w:val="24"/>
          <w:rtl w:val="0"/>
        </w:rPr>
        <w:instrText xml:space="preserve"> HYPERLINK "https://brill.com/view/title/12281"</w:instrText>
      </w:r>
      <w:r>
        <w:rPr>
          <w:rStyle w:val="Hyperlink.4"/>
          <w:rFonts w:ascii="Times New Roman" w:cs="Times New Roman" w:hAnsi="Times New Roman" w:eastAsia="Times New Roman"/>
          <w:sz w:val="24"/>
          <w:szCs w:val="24"/>
          <w:rtl w:val="0"/>
        </w:rPr>
        <w:fldChar w:fldCharType="separate" w:fldLock="0"/>
      </w:r>
      <w:r>
        <w:rPr>
          <w:rStyle w:val="Hyperlink.4"/>
          <w:rFonts w:ascii="Times New Roman" w:hAnsi="Times New Roman"/>
          <w:sz w:val="24"/>
          <w:szCs w:val="24"/>
          <w:rtl w:val="0"/>
          <w:lang w:val="en-US"/>
        </w:rPr>
        <w:t>Ptolemy II Philadelphus and his World</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Mnemosyne. Brill. 300. Pp 135-147.</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Burton, J. B. 1992. </w:t>
      </w:r>
      <w:r>
        <w:rPr>
          <w:rFonts w:ascii="Times New Roman" w:hAnsi="Times New Roman"/>
          <w:sz w:val="24"/>
          <w:szCs w:val="24"/>
          <w:rtl w:val="0"/>
          <w:lang w:val="en-US"/>
        </w:rPr>
        <w:t>The Function of the Symposium Theme in Theocritus' "Idyll" 14</w:t>
      </w:r>
      <w:r>
        <w:rPr>
          <w:rStyle w:val="None"/>
          <w:rFonts w:ascii="Times New Roman" w:hAnsi="Times New Roman"/>
          <w:b w:val="1"/>
          <w:bCs w:val="1"/>
          <w:i w:val="1"/>
          <w:iCs w:val="1"/>
          <w:sz w:val="24"/>
          <w:szCs w:val="24"/>
          <w:rtl w:val="0"/>
          <w:lang w:val="en-US"/>
        </w:rPr>
        <w:t xml:space="preserve">. </w:t>
      </w:r>
      <w:r>
        <w:rPr>
          <w:rStyle w:val="Hyperlink.4"/>
          <w:rFonts w:ascii="Times New Roman" w:hAnsi="Times New Roman"/>
          <w:sz w:val="24"/>
          <w:szCs w:val="24"/>
          <w:rtl w:val="0"/>
          <w:lang w:val="en-US"/>
        </w:rPr>
        <w:t>Greek, Roman and Byzantine Studies</w:t>
      </w:r>
      <w:r>
        <w:rPr>
          <w:rStyle w:val="Hyperlink.4"/>
          <w:rFonts w:ascii="Times New Roman" w:hAnsi="Times New Roman"/>
          <w:sz w:val="24"/>
          <w:szCs w:val="24"/>
          <w:rtl w:val="0"/>
          <w:lang w:val="en-US"/>
        </w:rPr>
        <w:t xml:space="preserve">. </w:t>
      </w:r>
      <w:r>
        <w:rPr>
          <w:rFonts w:ascii="Times New Roman" w:hAnsi="Times New Roman"/>
          <w:sz w:val="24"/>
          <w:szCs w:val="24"/>
          <w:rtl w:val="0"/>
          <w:lang w:val="en-US"/>
        </w:rPr>
        <w:t>Periodicals Archive Online</w:t>
      </w:r>
      <w:r>
        <w:rPr>
          <w:rFonts w:ascii="Times New Roman" w:hAnsi="Times New Roman"/>
          <w:sz w:val="24"/>
          <w:szCs w:val="24"/>
          <w:rtl w:val="0"/>
          <w:lang w:val="en-US"/>
        </w:rPr>
        <w:t>.</w:t>
      </w:r>
      <w:r>
        <w:rPr>
          <w:rFonts w:ascii="Times New Roman" w:hAnsi="Times New Roman"/>
          <w:sz w:val="24"/>
          <w:szCs w:val="24"/>
          <w:rtl w:val="0"/>
        </w:rPr>
        <w:t xml:space="preserve"> 33, 3. </w:t>
      </w:r>
      <w:r>
        <w:rPr>
          <w:rFonts w:ascii="Times New Roman" w:hAnsi="Times New Roman"/>
          <w:sz w:val="24"/>
          <w:szCs w:val="24"/>
          <w:rtl w:val="0"/>
          <w:lang w:val="en-US"/>
        </w:rPr>
        <w:t xml:space="preserve">Pp: </w:t>
      </w:r>
      <w:r>
        <w:rPr>
          <w:rFonts w:ascii="Times New Roman" w:hAnsi="Times New Roman"/>
          <w:sz w:val="24"/>
          <w:szCs w:val="24"/>
          <w:rtl w:val="0"/>
        </w:rPr>
        <w:t>227</w:t>
      </w:r>
      <w:r>
        <w:rPr>
          <w:rFonts w:ascii="Times New Roman" w:hAnsi="Times New Roman"/>
          <w:sz w:val="24"/>
          <w:szCs w:val="24"/>
          <w:rtl w:val="0"/>
          <w:lang w:val="en-US"/>
        </w:rPr>
        <w:t>-245.</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Casson, L. 1993. </w:t>
      </w:r>
      <w:r>
        <w:rPr>
          <w:rFonts w:ascii="Times New Roman" w:hAnsi="Times New Roman"/>
          <w:sz w:val="24"/>
          <w:szCs w:val="24"/>
          <w:rtl w:val="0"/>
          <w:lang w:val="en-US"/>
        </w:rPr>
        <w:t>Ptolemy II and the Hunting of African Elephants</w:t>
      </w:r>
      <w:r>
        <w:rPr>
          <w:rFonts w:ascii="Times New Roman" w:hAnsi="Times New Roman"/>
          <w:sz w:val="24"/>
          <w:szCs w:val="24"/>
          <w:rtl w:val="0"/>
          <w:lang w:val="en-US"/>
        </w:rPr>
        <w:t xml:space="preserve">. </w:t>
      </w:r>
      <w:r>
        <w:rPr>
          <w:rStyle w:val="Hyperlink.4"/>
          <w:rFonts w:ascii="Times New Roman" w:hAnsi="Times New Roman"/>
          <w:sz w:val="24"/>
          <w:szCs w:val="24"/>
          <w:rtl w:val="0"/>
          <w:lang w:val="en-US"/>
        </w:rPr>
        <w:t>Transactions of the American Philological Association</w:t>
      </w:r>
      <w:r>
        <w:rPr>
          <w:rFonts w:ascii="Times New Roman" w:hAnsi="Times New Roman"/>
          <w:sz w:val="24"/>
          <w:szCs w:val="24"/>
          <w:rtl w:val="0"/>
          <w:lang w:val="en-US"/>
        </w:rPr>
        <w:t xml:space="preserve">. Available at </w:t>
      </w:r>
      <w:r>
        <w:rPr>
          <w:rStyle w:val="Hyperlink.5"/>
          <w:rFonts w:ascii="Times New Roman" w:cs="Times New Roman" w:hAnsi="Times New Roman" w:eastAsia="Times New Roman"/>
          <w:color w:val="000000"/>
          <w:sz w:val="24"/>
          <w:szCs w:val="24"/>
          <w:u w:val="none" w:color="0000ff"/>
          <w:rtl w:val="0"/>
        </w:rPr>
        <w:fldChar w:fldCharType="begin" w:fldLock="0"/>
      </w:r>
      <w:r>
        <w:rPr>
          <w:rStyle w:val="Hyperlink.5"/>
          <w:rFonts w:ascii="Times New Roman" w:cs="Times New Roman" w:hAnsi="Times New Roman" w:eastAsia="Times New Roman"/>
          <w:color w:val="000000"/>
          <w:sz w:val="24"/>
          <w:szCs w:val="24"/>
          <w:u w:val="none" w:color="0000ff"/>
          <w:rtl w:val="0"/>
        </w:rPr>
        <w:instrText xml:space="preserve"> HYPERLINK "http://www.jstor.org/stable/284331"</w:instrText>
      </w:r>
      <w:r>
        <w:rPr>
          <w:rStyle w:val="Hyperlink.5"/>
          <w:rFonts w:ascii="Times New Roman" w:cs="Times New Roman" w:hAnsi="Times New Roman" w:eastAsia="Times New Roman"/>
          <w:color w:val="000000"/>
          <w:sz w:val="24"/>
          <w:szCs w:val="24"/>
          <w:u w:val="none" w:color="0000ff"/>
          <w:rtl w:val="0"/>
        </w:rPr>
        <w:fldChar w:fldCharType="separate" w:fldLock="0"/>
      </w:r>
      <w:r>
        <w:rPr>
          <w:rStyle w:val="Hyperlink.5"/>
          <w:rFonts w:ascii="Times New Roman" w:hAnsi="Times New Roman"/>
          <w:color w:val="000000"/>
          <w:sz w:val="24"/>
          <w:szCs w:val="24"/>
          <w:u w:val="none" w:color="0000ff"/>
          <w:rtl w:val="0"/>
          <w:lang w:val="en-US"/>
        </w:rPr>
        <w:t>http://www.jstor.org/stable/284331</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Johns Hopkins University Press</w:t>
      </w:r>
      <w:r>
        <w:rPr>
          <w:rFonts w:ascii="Times New Roman" w:hAnsi="Times New Roman"/>
          <w:sz w:val="24"/>
          <w:szCs w:val="24"/>
          <w:rtl w:val="0"/>
          <w:lang w:val="en-US"/>
        </w:rPr>
        <w:t xml:space="preserve">. </w:t>
      </w:r>
      <w:r>
        <w:rPr>
          <w:rFonts w:ascii="Times New Roman" w:hAnsi="Times New Roman"/>
          <w:sz w:val="24"/>
          <w:szCs w:val="24"/>
          <w:rtl w:val="0"/>
        </w:rPr>
        <w:t xml:space="preserve">Vol. 123 (1993), </w:t>
      </w:r>
      <w:r>
        <w:rPr>
          <w:rFonts w:ascii="Times New Roman" w:hAnsi="Times New Roman"/>
          <w:sz w:val="24"/>
          <w:szCs w:val="24"/>
          <w:rtl w:val="0"/>
          <w:lang w:val="en-US"/>
        </w:rPr>
        <w:t>P</w:t>
      </w:r>
      <w:r>
        <w:rPr>
          <w:rFonts w:ascii="Times New Roman" w:hAnsi="Times New Roman"/>
          <w:sz w:val="24"/>
          <w:szCs w:val="24"/>
          <w:rtl w:val="0"/>
        </w:rPr>
        <w:t>p. 247-260</w:t>
      </w:r>
      <w:r>
        <w:rPr>
          <w:rFonts w:ascii="Times New Roman" w:hAnsi="Times New Roman"/>
          <w:sz w:val="24"/>
          <w:szCs w:val="24"/>
          <w:rtl w:val="0"/>
          <w:lang w:val="en-US"/>
        </w:rPr>
        <w:t xml:space="preserve">. </w:t>
      </w:r>
      <w:r>
        <w:rPr>
          <w:rFonts w:ascii="Times New Roman" w:hAnsi="Times New Roman"/>
          <w:sz w:val="24"/>
          <w:szCs w:val="24"/>
          <w:rtl w:val="0"/>
          <w:lang w:val="en-US"/>
        </w:rPr>
        <w:t>[Accessed: 18/01/2016]</w:t>
      </w:r>
      <w:r>
        <w:rPr>
          <w:rFonts w:ascii="Times New Roman" w:hAnsi="Times New Roman"/>
          <w:sz w:val="24"/>
          <w:szCs w:val="24"/>
          <w:rtl w:val="0"/>
          <w:lang w:val="en-US"/>
        </w:rPr>
        <w:t>.</w:t>
      </w:r>
    </w:p>
    <w:p>
      <w:pPr>
        <w:pStyle w:val="Normal (Web)"/>
        <w:spacing w:before="0" w:after="240"/>
        <w:jc w:val="both"/>
      </w:pPr>
      <w:r>
        <w:rPr>
          <w:rtl w:val="0"/>
        </w:rPr>
        <w:t>Co</w:t>
      </w:r>
      <w:r>
        <w:rPr>
          <w:rtl w:val="0"/>
        </w:rPr>
        <w:t>ş</w:t>
      </w:r>
      <w:r>
        <w:rPr>
          <w:rtl w:val="0"/>
        </w:rPr>
        <w:t xml:space="preserve">kun, A. 2011. </w:t>
      </w:r>
      <w:r>
        <w:rPr>
          <w:rStyle w:val="None"/>
          <w:i w:val="1"/>
          <w:iCs w:val="1"/>
          <w:rtl w:val="0"/>
          <w:lang w:val="en-US"/>
        </w:rPr>
        <w:t>Galatians and Seleucids: A Century of Conflict and Cooperation</w:t>
      </w:r>
      <w:r>
        <w:rPr>
          <w:rStyle w:val="Hyperlink.4"/>
          <w:rtl w:val="0"/>
        </w:rPr>
        <w:t>.</w:t>
      </w:r>
      <w:r>
        <w:rPr>
          <w:rStyle w:val="None"/>
          <w:rtl w:val="0"/>
          <w:lang w:val="en-US"/>
        </w:rPr>
        <w:t xml:space="preserve"> In Seleucid</w:t>
      </w:r>
      <w:r>
        <w:rPr>
          <w:rStyle w:val="None"/>
          <w:rtl w:val="0"/>
          <w:lang w:val="en-US"/>
        </w:rPr>
        <w:t xml:space="preserve"> </w:t>
      </w:r>
      <w:r>
        <w:rPr>
          <w:rStyle w:val="None"/>
          <w:rtl w:val="0"/>
          <w:lang w:val="en-US"/>
        </w:rPr>
        <w:t>Dissolution: The Sinking of the Anchor, edited by Kyle Erickson and Gillian Ramsey, 50:85</w:t>
      </w:r>
      <w:r>
        <w:rPr>
          <w:rtl w:val="0"/>
        </w:rPr>
        <w:t>–</w:t>
      </w:r>
      <w:r>
        <w:rPr>
          <w:rStyle w:val="None"/>
          <w:rtl w:val="0"/>
          <w:lang w:val="de-DE"/>
        </w:rPr>
        <w:t>106. Philippika: Marburger Altertumskundliche Abhandlungen. Wiesbaden: Harrassowitz Verlag.</w:t>
      </w:r>
      <w:r>
        <w:rPr>
          <w:rtl w:val="0"/>
        </w:rPr>
        <w:t xml:space="preserve"> Pp. 85-108.</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rPr>
        <w:t>Coskun</w:t>
      </w:r>
      <w:r>
        <w:rPr>
          <w:rFonts w:ascii="Times New Roman" w:hAnsi="Times New Roman"/>
          <w:sz w:val="24"/>
          <w:szCs w:val="24"/>
          <w:rtl w:val="0"/>
          <w:lang w:val="en-US"/>
        </w:rPr>
        <w:t xml:space="preserve">, A. 2012. </w:t>
      </w:r>
      <w:r>
        <w:rPr>
          <w:rStyle w:val="Hyperlink.4"/>
          <w:rFonts w:ascii="Times New Roman" w:hAnsi="Times New Roman"/>
          <w:sz w:val="24"/>
          <w:szCs w:val="24"/>
          <w:rtl w:val="0"/>
          <w:lang w:val="en-US"/>
        </w:rPr>
        <w:t xml:space="preserve">Deconstructing a myth of Seleukid history: the so-called </w:t>
      </w:r>
      <w:r>
        <w:rPr>
          <w:rStyle w:val="Hyperlink.4"/>
          <w:rFonts w:ascii="Times New Roman" w:hAnsi="Times New Roman" w:hint="default"/>
          <w:sz w:val="24"/>
          <w:szCs w:val="24"/>
          <w:rtl w:val="0"/>
          <w:lang w:val="en-US"/>
        </w:rPr>
        <w:t>“</w:t>
      </w:r>
      <w:r>
        <w:rPr>
          <w:rStyle w:val="Hyperlink.4"/>
          <w:rFonts w:ascii="Times New Roman" w:hAnsi="Times New Roman"/>
          <w:sz w:val="24"/>
          <w:szCs w:val="24"/>
          <w:rtl w:val="0"/>
          <w:lang w:val="en-US"/>
        </w:rPr>
        <w:t>Elephant victory</w:t>
      </w:r>
      <w:r>
        <w:rPr>
          <w:rStyle w:val="Hyperlink.4"/>
          <w:rFonts w:ascii="Times New Roman" w:hAnsi="Times New Roman" w:hint="default"/>
          <w:sz w:val="24"/>
          <w:szCs w:val="24"/>
          <w:rtl w:val="0"/>
          <w:lang w:val="en-US"/>
        </w:rPr>
        <w:t xml:space="preserve">” </w:t>
      </w:r>
      <w:r>
        <w:rPr>
          <w:rStyle w:val="Hyperlink.4"/>
          <w:rFonts w:ascii="Times New Roman" w:hAnsi="Times New Roman"/>
          <w:sz w:val="24"/>
          <w:szCs w:val="24"/>
          <w:rtl w:val="0"/>
          <w:lang w:val="en-US"/>
        </w:rPr>
        <w:t>revisited</w:t>
      </w:r>
      <w:r>
        <w:rPr>
          <w:rFonts w:ascii="Times New Roman" w:hAnsi="Times New Roman"/>
          <w:sz w:val="24"/>
          <w:szCs w:val="24"/>
          <w:rtl w:val="0"/>
          <w:lang w:val="en-US"/>
        </w:rPr>
        <w:t xml:space="preserve">. Classical association of Canada. Phoenix. Vol 66. 1-2. Pp 57-73. </w:t>
      </w:r>
    </w:p>
    <w:p>
      <w:pPr>
        <w:pStyle w:val="Default"/>
        <w:bidi w:val="0"/>
        <w:spacing w:after="240"/>
        <w:ind w:left="0" w:right="0" w:firstLine="0"/>
        <w:jc w:val="both"/>
        <w:rPr>
          <w:rFonts w:ascii="Times New Roman" w:cs="Times New Roman" w:hAnsi="Times New Roman" w:eastAsia="Times New Roman"/>
          <w:i w:val="1"/>
          <w:iCs w:val="1"/>
          <w:sz w:val="24"/>
          <w:szCs w:val="24"/>
          <w:rtl w:val="0"/>
        </w:rPr>
      </w:pPr>
      <w:r>
        <w:rPr>
          <w:rStyle w:val="None"/>
          <w:rFonts w:ascii="Times New Roman" w:hAnsi="Times New Roman"/>
          <w:i w:val="0"/>
          <w:iCs w:val="0"/>
          <w:sz w:val="24"/>
          <w:szCs w:val="24"/>
          <w:rtl w:val="0"/>
        </w:rPr>
        <w:t>Coskun</w:t>
      </w:r>
      <w:r>
        <w:rPr>
          <w:rStyle w:val="None"/>
          <w:rFonts w:ascii="Times New Roman" w:hAnsi="Times New Roman"/>
          <w:i w:val="0"/>
          <w:iCs w:val="0"/>
          <w:sz w:val="24"/>
          <w:szCs w:val="24"/>
          <w:rtl w:val="0"/>
          <w:lang w:val="en-US"/>
        </w:rPr>
        <w:t xml:space="preserve">, A., </w:t>
      </w:r>
      <w:r>
        <w:rPr>
          <w:rStyle w:val="None"/>
          <w:rFonts w:ascii="Times New Roman" w:hAnsi="Times New Roman"/>
          <w:i w:val="0"/>
          <w:iCs w:val="0"/>
          <w:sz w:val="24"/>
          <w:szCs w:val="24"/>
          <w:rtl w:val="0"/>
          <w:lang w:val="sv-SE"/>
        </w:rPr>
        <w:t xml:space="preserve">Erickson, K. (ed). 2018. </w:t>
      </w:r>
      <w:r>
        <w:rPr>
          <w:rFonts w:ascii="Times New Roman" w:hAnsi="Times New Roman"/>
          <w:i w:val="1"/>
          <w:iCs w:val="1"/>
          <w:sz w:val="24"/>
          <w:szCs w:val="24"/>
          <w:rtl w:val="0"/>
          <w:lang w:val="en-US"/>
        </w:rPr>
        <w:t xml:space="preserve">The Seleukid Empire, 281-222 BC. War within the Family. </w:t>
      </w:r>
      <w:r>
        <w:rPr>
          <w:rStyle w:val="None"/>
          <w:rFonts w:ascii="Times New Roman" w:hAnsi="Times New Roman"/>
          <w:i w:val="0"/>
          <w:iCs w:val="0"/>
          <w:sz w:val="24"/>
          <w:szCs w:val="24"/>
          <w:rtl w:val="0"/>
          <w:lang w:val="en-US"/>
        </w:rPr>
        <w:t>Swansea: Classical Press of Wales.</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Charles, M. 2007. </w:t>
      </w:r>
      <w:r>
        <w:rPr>
          <w:rFonts w:ascii="Times New Roman" w:hAnsi="Times New Roman"/>
          <w:sz w:val="24"/>
          <w:szCs w:val="24"/>
          <w:rtl w:val="0"/>
          <w:lang w:val="en-US"/>
        </w:rPr>
        <w:t>Elephants at Raphia: Reinterpreting Polybius 5.84-5</w:t>
      </w:r>
      <w:r>
        <w:rPr>
          <w:rFonts w:ascii="Times New Roman" w:hAnsi="Times New Roman"/>
          <w:sz w:val="24"/>
          <w:szCs w:val="24"/>
          <w:rtl w:val="0"/>
          <w:lang w:val="en-US"/>
        </w:rPr>
        <w:t xml:space="preserve">. </w:t>
      </w:r>
      <w:r>
        <w:rPr>
          <w:rStyle w:val="Hyperlink.4"/>
          <w:rFonts w:ascii="Times New Roman" w:hAnsi="Times New Roman"/>
          <w:sz w:val="24"/>
          <w:szCs w:val="24"/>
          <w:rtl w:val="0"/>
          <w:lang w:val="en-US"/>
        </w:rPr>
        <w:t>The Classical Quarterly, New Series</w:t>
      </w:r>
      <w:r>
        <w:rPr>
          <w:rFonts w:ascii="Times New Roman" w:hAnsi="Times New Roman"/>
          <w:sz w:val="24"/>
          <w:szCs w:val="24"/>
          <w:rtl w:val="0"/>
          <w:lang w:val="en-US"/>
        </w:rPr>
        <w:t xml:space="preserve">. Available at </w:t>
      </w:r>
      <w:r>
        <w:rPr>
          <w:rStyle w:val="Hyperlink.5"/>
          <w:rFonts w:ascii="Times New Roman" w:cs="Times New Roman" w:hAnsi="Times New Roman" w:eastAsia="Times New Roman"/>
          <w:color w:val="000000"/>
          <w:sz w:val="24"/>
          <w:szCs w:val="24"/>
          <w:u w:val="none" w:color="0000ff"/>
          <w:rtl w:val="0"/>
        </w:rPr>
        <w:fldChar w:fldCharType="begin" w:fldLock="0"/>
      </w:r>
      <w:r>
        <w:rPr>
          <w:rStyle w:val="Hyperlink.5"/>
          <w:rFonts w:ascii="Times New Roman" w:cs="Times New Roman" w:hAnsi="Times New Roman" w:eastAsia="Times New Roman"/>
          <w:color w:val="000000"/>
          <w:sz w:val="24"/>
          <w:szCs w:val="24"/>
          <w:u w:val="none" w:color="0000ff"/>
          <w:rtl w:val="0"/>
        </w:rPr>
        <w:instrText xml:space="preserve"> HYPERLINK "http://www.jstor.org/stable/4493501"</w:instrText>
      </w:r>
      <w:r>
        <w:rPr>
          <w:rStyle w:val="Hyperlink.5"/>
          <w:rFonts w:ascii="Times New Roman" w:cs="Times New Roman" w:hAnsi="Times New Roman" w:eastAsia="Times New Roman"/>
          <w:color w:val="000000"/>
          <w:sz w:val="24"/>
          <w:szCs w:val="24"/>
          <w:u w:val="none" w:color="0000ff"/>
          <w:rtl w:val="0"/>
        </w:rPr>
        <w:fldChar w:fldCharType="separate" w:fldLock="0"/>
      </w:r>
      <w:r>
        <w:rPr>
          <w:rStyle w:val="Hyperlink.5"/>
          <w:rFonts w:ascii="Times New Roman" w:hAnsi="Times New Roman"/>
          <w:color w:val="000000"/>
          <w:sz w:val="24"/>
          <w:szCs w:val="24"/>
          <w:u w:val="none" w:color="0000ff"/>
          <w:rtl w:val="0"/>
          <w:lang w:val="en-US"/>
        </w:rPr>
        <w:t>http://www.jstor.org/stable/4493501</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Cambridge University Press on behalf of The Classical Association</w:t>
      </w:r>
      <w:r>
        <w:rPr>
          <w:rFonts w:ascii="Times New Roman" w:hAnsi="Times New Roman"/>
          <w:sz w:val="24"/>
          <w:szCs w:val="24"/>
          <w:rtl w:val="0"/>
          <w:lang w:val="en-US"/>
        </w:rPr>
        <w:t xml:space="preserve">. </w:t>
      </w:r>
      <w:r>
        <w:rPr>
          <w:rFonts w:ascii="Times New Roman" w:hAnsi="Times New Roman"/>
          <w:sz w:val="24"/>
          <w:szCs w:val="24"/>
          <w:rtl w:val="0"/>
        </w:rPr>
        <w:t>Vol. 57, No. 1</w:t>
      </w:r>
      <w:r>
        <w:rPr>
          <w:rFonts w:ascii="Times New Roman" w:hAnsi="Times New Roman"/>
          <w:sz w:val="24"/>
          <w:szCs w:val="24"/>
          <w:rtl w:val="0"/>
          <w:lang w:val="en-US"/>
        </w:rPr>
        <w:t>. P</w:t>
      </w:r>
      <w:r>
        <w:rPr>
          <w:rFonts w:ascii="Times New Roman" w:hAnsi="Times New Roman"/>
          <w:sz w:val="24"/>
          <w:szCs w:val="24"/>
          <w:rtl w:val="0"/>
          <w:lang w:val="en-US"/>
        </w:rPr>
        <w:t xml:space="preserve">p. 306-311 [Accessed: </w:t>
      </w:r>
      <w:r>
        <w:rPr>
          <w:rFonts w:ascii="Times New Roman" w:hAnsi="Times New Roman"/>
          <w:sz w:val="24"/>
          <w:szCs w:val="24"/>
          <w:rtl w:val="0"/>
          <w:lang w:val="en-US"/>
        </w:rPr>
        <w:t>11/10</w:t>
      </w:r>
      <w:r>
        <w:rPr>
          <w:rFonts w:ascii="Times New Roman" w:hAnsi="Times New Roman"/>
          <w:sz w:val="24"/>
          <w:szCs w:val="24"/>
          <w:rtl w:val="0"/>
        </w:rPr>
        <w:t xml:space="preserve">/2016]. </w:t>
      </w:r>
    </w:p>
    <w:p>
      <w:pPr>
        <w:pStyle w:val="Default"/>
        <w:bidi w:val="0"/>
        <w:spacing w:after="240"/>
        <w:ind w:left="0" w:right="0" w:firstLine="0"/>
        <w:jc w:val="both"/>
        <w:rPr>
          <w:rFonts w:ascii="Times New Roman" w:cs="Times New Roman" w:hAnsi="Times New Roman" w:eastAsia="Times New Roman"/>
          <w:b w:val="1"/>
          <w:bCs w:val="1"/>
          <w:sz w:val="24"/>
          <w:szCs w:val="24"/>
          <w:rtl w:val="0"/>
        </w:rPr>
      </w:pPr>
      <w:r>
        <w:rPr>
          <w:rStyle w:val="None"/>
          <w:rFonts w:ascii="Times New Roman" w:hAnsi="Times New Roman"/>
          <w:b w:val="0"/>
          <w:bCs w:val="0"/>
          <w:sz w:val="24"/>
          <w:szCs w:val="24"/>
          <w:rtl w:val="0"/>
          <w:lang w:val="de-DE"/>
        </w:rPr>
        <w:t xml:space="preserve">Chrubasik, B. </w:t>
      </w:r>
      <w:r>
        <w:rPr>
          <w:rStyle w:val="None"/>
          <w:rFonts w:ascii="Times New Roman" w:hAnsi="Times New Roman"/>
          <w:b w:val="0"/>
          <w:bCs w:val="0"/>
          <w:sz w:val="24"/>
          <w:szCs w:val="24"/>
          <w:rtl w:val="0"/>
          <w:lang w:val="en-US"/>
        </w:rPr>
        <w:t xml:space="preserve">2013. </w:t>
      </w:r>
      <w:r>
        <w:rPr>
          <w:rStyle w:val="None"/>
          <w:rFonts w:ascii="Times New Roman" w:hAnsi="Times New Roman"/>
          <w:b w:val="0"/>
          <w:bCs w:val="0"/>
          <w:i w:val="1"/>
          <w:iCs w:val="1"/>
          <w:sz w:val="24"/>
          <w:szCs w:val="24"/>
          <w:rtl w:val="0"/>
          <w:lang w:val="en-US"/>
        </w:rPr>
        <w:t>The Attalids and the Seleukid Kings, 281</w:t>
      </w:r>
      <w:r>
        <w:rPr>
          <w:rStyle w:val="None"/>
          <w:rFonts w:ascii="Times New Roman" w:hAnsi="Times New Roman" w:hint="default"/>
          <w:b w:val="0"/>
          <w:bCs w:val="0"/>
          <w:i w:val="1"/>
          <w:iCs w:val="1"/>
          <w:sz w:val="24"/>
          <w:szCs w:val="24"/>
          <w:rtl w:val="0"/>
        </w:rPr>
        <w:t>–</w:t>
      </w:r>
      <w:r>
        <w:rPr>
          <w:rStyle w:val="None"/>
          <w:rFonts w:ascii="Times New Roman" w:hAnsi="Times New Roman"/>
          <w:b w:val="0"/>
          <w:bCs w:val="0"/>
          <w:i w:val="1"/>
          <w:iCs w:val="1"/>
          <w:sz w:val="24"/>
          <w:szCs w:val="24"/>
          <w:rtl w:val="0"/>
        </w:rPr>
        <w:t>175 bc</w:t>
      </w:r>
      <w:r>
        <w:rPr>
          <w:rStyle w:val="None"/>
          <w:rFonts w:ascii="Times New Roman" w:hAnsi="Times New Roman"/>
          <w:b w:val="0"/>
          <w:bCs w:val="0"/>
          <w:sz w:val="24"/>
          <w:szCs w:val="24"/>
          <w:rtl w:val="0"/>
          <w:lang w:val="en-US"/>
        </w:rPr>
        <w:t xml:space="preserve">. In Thonemann, P. (ed.) </w:t>
      </w:r>
      <w:r>
        <w:rPr>
          <w:rStyle w:val="None"/>
          <w:rFonts w:ascii="Times New Roman" w:hAnsi="Times New Roman" w:hint="default"/>
          <w:b w:val="0"/>
          <w:bCs w:val="0"/>
          <w:sz w:val="24"/>
          <w:szCs w:val="24"/>
          <w:rtl w:val="0"/>
        </w:rPr>
        <w:t> </w:t>
      </w:r>
      <w:r>
        <w:rPr>
          <w:rStyle w:val="None"/>
          <w:rFonts w:ascii="Times New Roman" w:hAnsi="Times New Roman"/>
          <w:b w:val="0"/>
          <w:bCs w:val="0"/>
          <w:sz w:val="24"/>
          <w:szCs w:val="24"/>
          <w:rtl w:val="0"/>
          <w:lang w:val="en-US"/>
        </w:rPr>
        <w:t>Attalid Asia Minor: Money, International Relations, and the State. Oxford: Oxford University Press, 2013.</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Cust, R. 1882. </w:t>
      </w:r>
      <w:r>
        <w:rPr>
          <w:rFonts w:ascii="Times New Roman" w:hAnsi="Times New Roman"/>
          <w:sz w:val="24"/>
          <w:szCs w:val="24"/>
          <w:rtl w:val="0"/>
          <w:lang w:val="en-US"/>
        </w:rPr>
        <w:t>The Elephant Experiment in Africa</w:t>
      </w:r>
      <w:r>
        <w:rPr>
          <w:rFonts w:ascii="Times New Roman" w:hAnsi="Times New Roman"/>
          <w:sz w:val="24"/>
          <w:szCs w:val="24"/>
          <w:rtl w:val="0"/>
          <w:lang w:val="en-US"/>
        </w:rPr>
        <w:t xml:space="preserve">. </w:t>
      </w:r>
      <w:r>
        <w:rPr>
          <w:rStyle w:val="Hyperlink.4"/>
          <w:rFonts w:ascii="Times New Roman" w:hAnsi="Times New Roman"/>
          <w:sz w:val="24"/>
          <w:szCs w:val="24"/>
          <w:rtl w:val="0"/>
          <w:lang w:val="en-US"/>
        </w:rPr>
        <w:t>Proceedings of the Royal Geographical Society and Monthly Record of Geography</w:t>
      </w:r>
      <w:r>
        <w:rPr>
          <w:rFonts w:ascii="Times New Roman" w:hAnsi="Times New Roman"/>
          <w:sz w:val="24"/>
          <w:szCs w:val="24"/>
          <w:rtl w:val="0"/>
          <w:lang w:val="en-US"/>
        </w:rPr>
        <w:t xml:space="preserve">. 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"http://www.jstor.org/stable/1800096"</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http://www.jstor.org/stable/1800096</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Wiley on behalf of Royal Geographical Society (with the Institute of British Geographers)</w:t>
      </w:r>
      <w:r>
        <w:rPr>
          <w:rFonts w:ascii="Times New Roman" w:hAnsi="Times New Roman"/>
          <w:sz w:val="24"/>
          <w:szCs w:val="24"/>
          <w:rtl w:val="0"/>
          <w:lang w:val="en-US"/>
        </w:rPr>
        <w:t xml:space="preserve">. </w:t>
      </w:r>
      <w:r>
        <w:rPr>
          <w:rFonts w:ascii="Times New Roman" w:hAnsi="Times New Roman"/>
          <w:sz w:val="24"/>
          <w:szCs w:val="24"/>
          <w:rtl w:val="0"/>
        </w:rPr>
        <w:t>Vol. 4 , No. 6</w:t>
      </w:r>
      <w:r>
        <w:rPr>
          <w:rFonts w:ascii="Times New Roman" w:hAnsi="Times New Roman"/>
          <w:sz w:val="24"/>
          <w:szCs w:val="24"/>
          <w:rtl w:val="0"/>
          <w:lang w:val="en-US"/>
        </w:rPr>
        <w:t>. P</w:t>
      </w:r>
      <w:r>
        <w:rPr>
          <w:rFonts w:ascii="Times New Roman" w:hAnsi="Times New Roman"/>
          <w:sz w:val="24"/>
          <w:szCs w:val="24"/>
          <w:rtl w:val="0"/>
        </w:rPr>
        <w:t>p. 381-382</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[Accessed: 18/01/2016]. </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Engels, D. 2008. Iranian identity and Seleukid allegiance:Vahbarz, the Frataraka and early Arsakid coinage. </w:t>
      </w:r>
      <w:r>
        <w:rPr>
          <w:rFonts w:ascii="Times New Roman" w:hAnsi="Times New Roman"/>
          <w:sz w:val="24"/>
          <w:szCs w:val="24"/>
          <w:rtl w:val="0"/>
          <w:lang w:val="en-US"/>
        </w:rPr>
        <w:t>The Seleukid Empire 281-222 BC: War Within the Family</w:t>
      </w:r>
      <w:r>
        <w:rPr>
          <w:rFonts w:ascii="Times New Roman" w:hAnsi="Times New Roman"/>
          <w:sz w:val="24"/>
          <w:szCs w:val="24"/>
          <w:rtl w:val="0"/>
          <w:lang w:val="en-US"/>
        </w:rPr>
        <w:t xml:space="preserve">. Classical Press of Wales. </w:t>
      </w:r>
      <w:r>
        <w:rPr>
          <w:rFonts w:ascii="Times New Roman" w:hAnsi="Times New Roman"/>
          <w:sz w:val="24"/>
          <w:szCs w:val="24"/>
          <w:rtl w:val="0"/>
          <w:lang w:val="en-US"/>
        </w:rPr>
        <w:t>Pp 173-196. [Accessed: 18-01-2016].</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sv-SE"/>
        </w:rPr>
        <w:t xml:space="preserve">Erickson, K. 2018. </w:t>
      </w:r>
      <w:r>
        <w:rPr>
          <w:rFonts w:ascii="Times New Roman" w:hAnsi="Times New Roman" w:hint="default"/>
          <w:sz w:val="24"/>
          <w:szCs w:val="24"/>
          <w:rtl w:val="0"/>
        </w:rPr>
        <w:t>“</w:t>
      </w:r>
      <w:r>
        <w:rPr>
          <w:rFonts w:ascii="Times New Roman" w:hAnsi="Times New Roman"/>
          <w:sz w:val="24"/>
          <w:szCs w:val="24"/>
          <w:rtl w:val="0"/>
          <w:lang w:val="fr-FR"/>
        </w:rPr>
        <w:t>Introduction</w:t>
      </w:r>
      <w:r>
        <w:rPr>
          <w:rFonts w:ascii="Times New Roman" w:hAnsi="Times New Roman" w:hint="default"/>
          <w:sz w:val="24"/>
          <w:szCs w:val="24"/>
          <w:rtl w:val="0"/>
        </w:rPr>
        <w:t xml:space="preserve">” </w:t>
      </w:r>
      <w:r>
        <w:rPr>
          <w:rFonts w:ascii="Times New Roman" w:hAnsi="Times New Roman"/>
          <w:sz w:val="24"/>
          <w:szCs w:val="24"/>
          <w:rtl w:val="0"/>
          <w:lang w:val="en-US"/>
        </w:rPr>
        <w:t xml:space="preserve">in Erickson, K. (ed.) The Seleukid Empire, 281 </w:t>
      </w:r>
      <w:r>
        <w:rPr>
          <w:rFonts w:ascii="Times New Roman" w:hAnsi="Times New Roman" w:hint="default"/>
          <w:sz w:val="24"/>
          <w:szCs w:val="24"/>
          <w:rtl w:val="0"/>
        </w:rPr>
        <w:t xml:space="preserve">– </w:t>
      </w:r>
      <w:r>
        <w:rPr>
          <w:rFonts w:ascii="Times New Roman" w:hAnsi="Times New Roman"/>
          <w:sz w:val="24"/>
          <w:szCs w:val="24"/>
          <w:rtl w:val="0"/>
          <w:lang w:val="en-US"/>
        </w:rPr>
        <w:t>222 BC: War within the Family. Classical Press of Wales. 1-10.</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Erickson, K. (ed). 2018. The Seleukid Empire, 281-222 BC. War within the Family. Swansea: Classical Press of Wales.</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Erickson, K. and Ramsey, G. (eds.) 2011. Seleucid Dissolution: The sinking of the anchor. Wiesbaden: Harrossowitz Verlag.</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rPr>
        <w:t>Foertmeyer</w:t>
      </w:r>
      <w:r>
        <w:rPr>
          <w:rFonts w:ascii="Times New Roman" w:hAnsi="Times New Roman"/>
          <w:sz w:val="24"/>
          <w:szCs w:val="24"/>
          <w:rtl w:val="0"/>
          <w:lang w:val="en-US"/>
        </w:rPr>
        <w:t xml:space="preserve">, V. 1988. </w:t>
      </w:r>
      <w:r>
        <w:rPr>
          <w:rFonts w:ascii="Times New Roman" w:hAnsi="Times New Roman"/>
          <w:sz w:val="24"/>
          <w:szCs w:val="24"/>
          <w:rtl w:val="0"/>
          <w:lang w:val="en-US"/>
        </w:rPr>
        <w:t>The Dating of the Pompe of Ptolemy II Philadelphus</w:t>
      </w:r>
      <w:r>
        <w:rPr>
          <w:rFonts w:ascii="Times New Roman" w:hAnsi="Times New Roman"/>
          <w:sz w:val="24"/>
          <w:szCs w:val="24"/>
          <w:rtl w:val="0"/>
          <w:lang w:val="en-US"/>
        </w:rPr>
        <w:t xml:space="preserve">. </w:t>
      </w:r>
      <w:r>
        <w:rPr>
          <w:rFonts w:ascii="Times New Roman" w:hAnsi="Times New Roman"/>
          <w:sz w:val="24"/>
          <w:szCs w:val="24"/>
          <w:rtl w:val="0"/>
          <w:lang w:val="de-DE"/>
        </w:rPr>
        <w:t>Historia: Zeitschrift f</w:t>
      </w:r>
      <w:r>
        <w:rPr>
          <w:rFonts w:ascii="Times New Roman" w:hAnsi="Times New Roman" w:hint="default"/>
          <w:sz w:val="24"/>
          <w:szCs w:val="24"/>
          <w:rtl w:val="0"/>
        </w:rPr>
        <w:t>ü</w:t>
      </w:r>
      <w:r>
        <w:rPr>
          <w:rFonts w:ascii="Times New Roman" w:hAnsi="Times New Roman"/>
          <w:sz w:val="24"/>
          <w:szCs w:val="24"/>
          <w:rtl w:val="0"/>
          <w:lang w:val="de-DE"/>
        </w:rPr>
        <w:t>r Alte Geschichte</w:t>
      </w:r>
      <w:r>
        <w:rPr>
          <w:rFonts w:ascii="Times New Roman" w:hAnsi="Times New Roman"/>
          <w:sz w:val="24"/>
          <w:szCs w:val="24"/>
          <w:rtl w:val="0"/>
          <w:lang w:val="en-US"/>
        </w:rPr>
        <w:t xml:space="preserve">. 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"http://www.jstor.org/stable/4436040"</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http://www.jstor.org/stable/4436040</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de-DE"/>
        </w:rPr>
        <w:t>Franz Steiner Verlag</w:t>
      </w:r>
      <w:r>
        <w:rPr>
          <w:rFonts w:ascii="Times New Roman" w:hAnsi="Times New Roman"/>
          <w:sz w:val="24"/>
          <w:szCs w:val="24"/>
          <w:rtl w:val="0"/>
          <w:lang w:val="en-US"/>
        </w:rPr>
        <w:t xml:space="preserve">. </w:t>
      </w:r>
      <w:r>
        <w:rPr>
          <w:rFonts w:ascii="Times New Roman" w:hAnsi="Times New Roman"/>
          <w:sz w:val="24"/>
          <w:szCs w:val="24"/>
          <w:rtl w:val="0"/>
        </w:rPr>
        <w:t>Bd. 37, H. 1</w:t>
      </w:r>
      <w:r>
        <w:rPr>
          <w:rFonts w:ascii="Times New Roman" w:hAnsi="Times New Roman"/>
          <w:sz w:val="24"/>
          <w:szCs w:val="24"/>
          <w:rtl w:val="0"/>
          <w:lang w:val="en-US"/>
        </w:rPr>
        <w:t>. P</w:t>
      </w:r>
      <w:r>
        <w:rPr>
          <w:rFonts w:ascii="Times New Roman" w:hAnsi="Times New Roman"/>
          <w:sz w:val="24"/>
          <w:szCs w:val="24"/>
          <w:rtl w:val="0"/>
        </w:rPr>
        <w:t>p. 90-104</w:t>
      </w:r>
      <w:r>
        <w:rPr>
          <w:rFonts w:ascii="Times New Roman" w:hAnsi="Times New Roman"/>
          <w:sz w:val="24"/>
          <w:szCs w:val="24"/>
          <w:rtl w:val="0"/>
          <w:lang w:val="en-US"/>
        </w:rPr>
        <w:t xml:space="preserve">. </w:t>
      </w:r>
      <w:r>
        <w:rPr>
          <w:rFonts w:ascii="Times New Roman" w:hAnsi="Times New Roman"/>
          <w:sz w:val="24"/>
          <w:szCs w:val="24"/>
          <w:rtl w:val="0"/>
          <w:lang w:val="en-US"/>
        </w:rPr>
        <w:t>[Accessed: 1</w:t>
      </w:r>
      <w:r>
        <w:rPr>
          <w:rFonts w:ascii="Times New Roman" w:hAnsi="Times New Roman"/>
          <w:sz w:val="24"/>
          <w:szCs w:val="24"/>
          <w:rtl w:val="0"/>
          <w:lang w:val="en-US"/>
        </w:rPr>
        <w:t>8</w:t>
      </w:r>
      <w:r>
        <w:rPr>
          <w:rFonts w:ascii="Times New Roman" w:hAnsi="Times New Roman"/>
          <w:sz w:val="24"/>
          <w:szCs w:val="24"/>
          <w:rtl w:val="0"/>
        </w:rPr>
        <w:t>/01/2016]</w:t>
      </w:r>
      <w:r>
        <w:rPr>
          <w:rFonts w:ascii="Times New Roman" w:hAnsi="Times New Roman"/>
          <w:sz w:val="24"/>
          <w:szCs w:val="24"/>
          <w:rtl w:val="0"/>
          <w:lang w:val="en-US"/>
        </w:rPr>
        <w:t>.</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Foster, J. A. 2006. </w:t>
      </w:r>
      <w:r>
        <w:rPr>
          <w:rFonts w:ascii="Times New Roman" w:hAnsi="Times New Roman"/>
          <w:sz w:val="24"/>
          <w:szCs w:val="24"/>
          <w:rtl w:val="0"/>
        </w:rPr>
        <w:t>Arsinoe II as Epic Queen: Encomiastic Allusion in Theocritus, Idyll 15</w:t>
      </w:r>
      <w:r>
        <w:rPr>
          <w:rFonts w:ascii="Times New Roman" w:hAnsi="Times New Roman"/>
          <w:sz w:val="24"/>
          <w:szCs w:val="24"/>
          <w:rtl w:val="0"/>
          <w:lang w:val="en-US"/>
        </w:rPr>
        <w:t xml:space="preserve">. </w:t>
      </w:r>
      <w:r>
        <w:rPr>
          <w:rStyle w:val="Hyperlink.4"/>
          <w:rFonts w:ascii="Times New Roman" w:hAnsi="Times New Roman"/>
          <w:sz w:val="24"/>
          <w:szCs w:val="24"/>
          <w:rtl w:val="0"/>
          <w:lang w:val="en-US"/>
        </w:rPr>
        <w:t>Transactions of the American Philological Association</w:t>
      </w:r>
      <w:r>
        <w:rPr>
          <w:rFonts w:ascii="Times New Roman" w:hAnsi="Times New Roman"/>
          <w:sz w:val="24"/>
          <w:szCs w:val="24"/>
          <w:rtl w:val="0"/>
          <w:lang w:val="en-US"/>
        </w:rPr>
        <w:t xml:space="preserve">. </w:t>
      </w:r>
      <w:r>
        <w:rPr>
          <w:rFonts w:ascii="Times New Roman" w:hAnsi="Times New Roman"/>
          <w:sz w:val="24"/>
          <w:szCs w:val="24"/>
          <w:rtl w:val="0"/>
          <w:lang w:val="fr-FR"/>
        </w:rPr>
        <w:t>Available at</w:t>
      </w:r>
      <w:r>
        <w:rPr>
          <w:rFonts w:ascii="Times New Roman" w:hAnsi="Times New Roman"/>
          <w:sz w:val="24"/>
          <w:szCs w:val="24"/>
          <w:rtl w:val="0"/>
          <w:lang w:val="en-US"/>
        </w:rPr>
        <w:t xml:space="preserve">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"http://www.jstor.org/stable/4543286"</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http://www.jstor.org/stable/4543286</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Johns Hopkins University Press</w:t>
      </w:r>
      <w:r>
        <w:rPr>
          <w:rFonts w:ascii="Times New Roman" w:hAnsi="Times New Roman"/>
          <w:sz w:val="24"/>
          <w:szCs w:val="24"/>
          <w:rtl w:val="0"/>
          <w:lang w:val="en-US"/>
        </w:rPr>
        <w:t xml:space="preserve">. </w:t>
      </w:r>
      <w:r>
        <w:rPr>
          <w:rFonts w:ascii="Times New Roman" w:hAnsi="Times New Roman"/>
          <w:sz w:val="24"/>
          <w:szCs w:val="24"/>
          <w:rtl w:val="0"/>
        </w:rPr>
        <w:t>Vol. 136, No. 1</w:t>
      </w:r>
      <w:r>
        <w:rPr>
          <w:rFonts w:ascii="Times New Roman" w:hAnsi="Times New Roman"/>
          <w:sz w:val="24"/>
          <w:szCs w:val="24"/>
          <w:rtl w:val="0"/>
          <w:lang w:val="en-US"/>
        </w:rPr>
        <w:t>.</w:t>
      </w:r>
      <w:r>
        <w:rPr>
          <w:rFonts w:ascii="Times New Roman" w:hAnsi="Times New Roman"/>
          <w:sz w:val="24"/>
          <w:szCs w:val="24"/>
          <w:rtl w:val="0"/>
        </w:rPr>
        <w:t xml:space="preserve"> pp. 133-148</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[Accessed: </w:t>
      </w:r>
      <w:r>
        <w:rPr>
          <w:rFonts w:ascii="Times New Roman" w:hAnsi="Times New Roman"/>
          <w:sz w:val="24"/>
          <w:szCs w:val="24"/>
          <w:rtl w:val="0"/>
          <w:lang w:val="en-US"/>
        </w:rPr>
        <w:t>21/01/2016</w:t>
      </w:r>
      <w:r>
        <w:rPr>
          <w:rFonts w:ascii="Times New Roman" w:hAnsi="Times New Roman"/>
          <w:sz w:val="24"/>
          <w:szCs w:val="24"/>
          <w:rtl w:val="0"/>
        </w:rPr>
        <w:t>]</w:t>
      </w:r>
      <w:r>
        <w:rPr>
          <w:rFonts w:ascii="Times New Roman" w:hAnsi="Times New Roman"/>
          <w:sz w:val="24"/>
          <w:szCs w:val="24"/>
          <w:rtl w:val="0"/>
          <w:lang w:val="en-US"/>
        </w:rPr>
        <w:t>.</w:t>
      </w:r>
      <w:r>
        <w:rPr>
          <w:rFonts w:ascii="Times New Roman" w:hAnsi="Times New Roman"/>
          <w:sz w:val="24"/>
          <w:szCs w:val="24"/>
          <w:rtl w:val="0"/>
        </w:rPr>
        <w:t xml:space="preserve"> </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Frost, F. J. 1971. </w:t>
      </w:r>
      <w:r>
        <w:rPr>
          <w:rFonts w:ascii="Times New Roman" w:hAnsi="Times New Roman"/>
          <w:sz w:val="24"/>
          <w:szCs w:val="24"/>
          <w:rtl w:val="0"/>
          <w:lang w:val="en-US"/>
        </w:rPr>
        <w:t>Ptolemy II and Halicarnassus: An Honorary Decree</w:t>
      </w:r>
      <w:r>
        <w:rPr>
          <w:rFonts w:ascii="Times New Roman" w:hAnsi="Times New Roman"/>
          <w:sz w:val="24"/>
          <w:szCs w:val="24"/>
          <w:rtl w:val="0"/>
          <w:lang w:val="en-US"/>
        </w:rPr>
        <w:t xml:space="preserve">. </w:t>
      </w:r>
      <w:r>
        <w:rPr>
          <w:rStyle w:val="Hyperlink.4"/>
          <w:rFonts w:ascii="Times New Roman" w:hAnsi="Times New Roman"/>
          <w:sz w:val="24"/>
          <w:szCs w:val="24"/>
          <w:rtl w:val="0"/>
          <w:lang w:val="de-DE"/>
        </w:rPr>
        <w:t>Anatolian Studies</w:t>
      </w:r>
      <w:r>
        <w:rPr>
          <w:rFonts w:ascii="Times New Roman" w:hAnsi="Times New Roman"/>
          <w:sz w:val="24"/>
          <w:szCs w:val="24"/>
          <w:rtl w:val="0"/>
          <w:lang w:val="en-US"/>
        </w:rPr>
        <w:t xml:space="preserve">. 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"http://www.jstor.org/stable/3642635"</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http://www.jstor.org/stable/3642635</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British Institute at Ankara</w:t>
      </w:r>
      <w:r>
        <w:rPr>
          <w:rFonts w:ascii="Times New Roman" w:hAnsi="Times New Roman"/>
          <w:sz w:val="24"/>
          <w:szCs w:val="24"/>
          <w:rtl w:val="0"/>
          <w:lang w:val="en-US"/>
        </w:rPr>
        <w:t xml:space="preserve">. </w:t>
      </w:r>
      <w:r>
        <w:rPr>
          <w:rFonts w:ascii="Times New Roman" w:hAnsi="Times New Roman"/>
          <w:sz w:val="24"/>
          <w:szCs w:val="24"/>
          <w:rtl w:val="0"/>
        </w:rPr>
        <w:t>Vol. 21 (1971)</w:t>
      </w:r>
      <w:r>
        <w:rPr>
          <w:rFonts w:ascii="Times New Roman" w:hAnsi="Times New Roman"/>
          <w:sz w:val="24"/>
          <w:szCs w:val="24"/>
          <w:rtl w:val="0"/>
          <w:lang w:val="en-US"/>
        </w:rPr>
        <w:t>. P</w:t>
      </w:r>
      <w:r>
        <w:rPr>
          <w:rFonts w:ascii="Times New Roman" w:hAnsi="Times New Roman"/>
          <w:sz w:val="24"/>
          <w:szCs w:val="24"/>
          <w:rtl w:val="0"/>
          <w:lang w:val="en-US"/>
        </w:rPr>
        <w:t>p. 167-172 [Accessed: 18/01/2016]</w:t>
      </w:r>
      <w:r>
        <w:rPr>
          <w:rFonts w:ascii="Times New Roman" w:hAnsi="Times New Roman"/>
          <w:sz w:val="24"/>
          <w:szCs w:val="24"/>
          <w:rtl w:val="0"/>
          <w:lang w:val="en-US"/>
        </w:rPr>
        <w:t>.</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Gowers, W. 1947. </w:t>
      </w:r>
      <w:r>
        <w:rPr>
          <w:rFonts w:ascii="Times New Roman" w:hAnsi="Times New Roman"/>
          <w:sz w:val="24"/>
          <w:szCs w:val="24"/>
          <w:rtl w:val="0"/>
          <w:lang w:val="en-US"/>
        </w:rPr>
        <w:t>The African Elephant in Warfare</w:t>
      </w:r>
      <w:r>
        <w:rPr>
          <w:rFonts w:ascii="Times New Roman" w:hAnsi="Times New Roman"/>
          <w:sz w:val="24"/>
          <w:szCs w:val="24"/>
          <w:rtl w:val="0"/>
          <w:lang w:val="en-US"/>
        </w:rPr>
        <w:t xml:space="preserve">. </w:t>
      </w:r>
      <w:r>
        <w:rPr>
          <w:rStyle w:val="Hyperlink.4"/>
          <w:rFonts w:ascii="Times New Roman" w:hAnsi="Times New Roman"/>
          <w:sz w:val="24"/>
          <w:szCs w:val="24"/>
          <w:rtl w:val="0"/>
          <w:lang w:val="fr-FR"/>
        </w:rPr>
        <w:t>African Affairs</w:t>
      </w:r>
      <w:r>
        <w:rPr>
          <w:rFonts w:ascii="Times New Roman" w:hAnsi="Times New Roman"/>
          <w:sz w:val="24"/>
          <w:szCs w:val="24"/>
          <w:rtl w:val="0"/>
          <w:lang w:val="en-US"/>
        </w:rPr>
        <w:t xml:space="preserve">. Available at </w:t>
      </w:r>
      <w:r>
        <w:rPr>
          <w:rStyle w:val="Hyperlink.5"/>
          <w:rFonts w:ascii="Times New Roman" w:cs="Times New Roman" w:hAnsi="Times New Roman" w:eastAsia="Times New Roman"/>
          <w:color w:val="000000"/>
          <w:sz w:val="24"/>
          <w:szCs w:val="24"/>
          <w:u w:val="none" w:color="0000ff"/>
          <w:rtl w:val="0"/>
        </w:rPr>
        <w:fldChar w:fldCharType="begin" w:fldLock="0"/>
      </w:r>
      <w:r>
        <w:rPr>
          <w:rStyle w:val="Hyperlink.5"/>
          <w:rFonts w:ascii="Times New Roman" w:cs="Times New Roman" w:hAnsi="Times New Roman" w:eastAsia="Times New Roman"/>
          <w:color w:val="000000"/>
          <w:sz w:val="24"/>
          <w:szCs w:val="24"/>
          <w:u w:val="none" w:color="0000ff"/>
          <w:rtl w:val="0"/>
        </w:rPr>
        <w:instrText xml:space="preserve"> HYPERLINK "http://www.jstor.org/stable/718841"</w:instrText>
      </w:r>
      <w:r>
        <w:rPr>
          <w:rStyle w:val="Hyperlink.5"/>
          <w:rFonts w:ascii="Times New Roman" w:cs="Times New Roman" w:hAnsi="Times New Roman" w:eastAsia="Times New Roman"/>
          <w:color w:val="000000"/>
          <w:sz w:val="24"/>
          <w:szCs w:val="24"/>
          <w:u w:val="none" w:color="0000ff"/>
          <w:rtl w:val="0"/>
        </w:rPr>
        <w:fldChar w:fldCharType="separate" w:fldLock="0"/>
      </w:r>
      <w:r>
        <w:rPr>
          <w:rStyle w:val="Hyperlink.5"/>
          <w:rFonts w:ascii="Times New Roman" w:hAnsi="Times New Roman"/>
          <w:color w:val="000000"/>
          <w:sz w:val="24"/>
          <w:szCs w:val="24"/>
          <w:u w:val="none" w:color="0000ff"/>
          <w:rtl w:val="0"/>
          <w:lang w:val="en-US"/>
        </w:rPr>
        <w:t>www.jstor.org/stable/718841</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Oxford University Press on behalf of The Royal African Society</w:t>
      </w:r>
      <w:r>
        <w:rPr>
          <w:rFonts w:ascii="Times New Roman" w:hAnsi="Times New Roman"/>
          <w:sz w:val="24"/>
          <w:szCs w:val="24"/>
          <w:rtl w:val="0"/>
          <w:lang w:val="en-US"/>
        </w:rPr>
        <w:t>.</w:t>
      </w:r>
      <w:r>
        <w:rPr>
          <w:rFonts w:ascii="Times New Roman" w:hAnsi="Times New Roman"/>
          <w:sz w:val="24"/>
          <w:szCs w:val="24"/>
          <w:rtl w:val="0"/>
        </w:rPr>
        <w:t>Vol 46, No. 182</w:t>
      </w:r>
      <w:r>
        <w:rPr>
          <w:rFonts w:ascii="Times New Roman" w:hAnsi="Times New Roman"/>
          <w:sz w:val="24"/>
          <w:szCs w:val="24"/>
          <w:rtl w:val="0"/>
          <w:lang w:val="en-US"/>
        </w:rPr>
        <w:t>. P</w:t>
      </w:r>
      <w:r>
        <w:rPr>
          <w:rFonts w:ascii="Times New Roman" w:hAnsi="Times New Roman"/>
          <w:sz w:val="24"/>
          <w:szCs w:val="24"/>
          <w:rtl w:val="0"/>
        </w:rPr>
        <w:t>p. 42-49</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[Accessed: </w:t>
      </w:r>
      <w:r>
        <w:rPr>
          <w:rFonts w:ascii="Times New Roman" w:hAnsi="Times New Roman"/>
          <w:sz w:val="24"/>
          <w:szCs w:val="24"/>
          <w:rtl w:val="0"/>
          <w:lang w:val="en-US"/>
        </w:rPr>
        <w:t>11/10</w:t>
      </w:r>
      <w:r>
        <w:rPr>
          <w:rFonts w:ascii="Times New Roman" w:hAnsi="Times New Roman"/>
          <w:sz w:val="24"/>
          <w:szCs w:val="24"/>
          <w:rtl w:val="0"/>
        </w:rPr>
        <w:t xml:space="preserve">/2016]. </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rPr>
        <w:t>Grabowski</w:t>
      </w:r>
      <w:r>
        <w:rPr>
          <w:rFonts w:ascii="Times New Roman" w:hAnsi="Times New Roman"/>
          <w:sz w:val="24"/>
          <w:szCs w:val="24"/>
          <w:rtl w:val="0"/>
          <w:lang w:val="en-US"/>
        </w:rPr>
        <w:t>, T.</w:t>
      </w:r>
      <w:r>
        <w:rPr>
          <w:rFonts w:ascii="Times New Roman" w:hAnsi="Times New Roman"/>
          <w:sz w:val="24"/>
          <w:szCs w:val="24"/>
          <w:rtl w:val="0"/>
        </w:rPr>
        <w:t xml:space="preserve"> </w:t>
      </w:r>
      <w:r>
        <w:rPr>
          <w:rFonts w:ascii="Times New Roman" w:hAnsi="Times New Roman"/>
          <w:sz w:val="24"/>
          <w:szCs w:val="24"/>
          <w:rtl w:val="0"/>
          <w:lang w:val="en-US"/>
        </w:rPr>
        <w:t xml:space="preserve">2014. The cult of the Ptolemies in the Aegean in the 3rd century BC. Available at </w:t>
      </w:r>
      <w:r>
        <w:rPr>
          <w:rStyle w:val="Hyperlink.5"/>
          <w:rFonts w:ascii="Times New Roman" w:cs="Times New Roman" w:hAnsi="Times New Roman" w:eastAsia="Times New Roman"/>
          <w:color w:val="000000"/>
          <w:sz w:val="24"/>
          <w:szCs w:val="24"/>
          <w:u w:val="none" w:color="0000ff"/>
          <w:rtl w:val="0"/>
        </w:rPr>
        <w:fldChar w:fldCharType="begin" w:fldLock="0"/>
      </w:r>
      <w:r>
        <w:rPr>
          <w:rStyle w:val="Hyperlink.5"/>
          <w:rFonts w:ascii="Times New Roman" w:cs="Times New Roman" w:hAnsi="Times New Roman" w:eastAsia="Times New Roman"/>
          <w:color w:val="000000"/>
          <w:sz w:val="24"/>
          <w:szCs w:val="24"/>
          <w:u w:val="none" w:color="0000ff"/>
          <w:rtl w:val="0"/>
        </w:rPr>
        <w:instrText xml:space="preserve"> HYPERLINK "http://www.ejournals.eu/electrum"</w:instrText>
      </w:r>
      <w:r>
        <w:rPr>
          <w:rStyle w:val="Hyperlink.5"/>
          <w:rFonts w:ascii="Times New Roman" w:cs="Times New Roman" w:hAnsi="Times New Roman" w:eastAsia="Times New Roman"/>
          <w:color w:val="000000"/>
          <w:sz w:val="24"/>
          <w:szCs w:val="24"/>
          <w:u w:val="none" w:color="0000ff"/>
          <w:rtl w:val="0"/>
        </w:rPr>
        <w:fldChar w:fldCharType="separate" w:fldLock="0"/>
      </w:r>
      <w:r>
        <w:rPr>
          <w:rStyle w:val="Hyperlink.5"/>
          <w:rFonts w:ascii="Times New Roman" w:hAnsi="Times New Roman"/>
          <w:color w:val="000000"/>
          <w:sz w:val="24"/>
          <w:szCs w:val="24"/>
          <w:u w:val="none" w:color="0000ff"/>
          <w:rtl w:val="0"/>
          <w:lang w:val="en-US"/>
        </w:rPr>
        <w:t>http://www.ejournals.eu/electrum</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Jagiellonian University, Krak</w:t>
      </w:r>
      <w:r>
        <w:rPr>
          <w:rFonts w:ascii="Times New Roman" w:hAnsi="Times New Roman" w:hint="default"/>
          <w:sz w:val="24"/>
          <w:szCs w:val="24"/>
          <w:rtl w:val="0"/>
        </w:rPr>
        <w:t>ó</w:t>
      </w:r>
      <w:r>
        <w:rPr>
          <w:rFonts w:ascii="Times New Roman" w:hAnsi="Times New Roman"/>
          <w:sz w:val="24"/>
          <w:szCs w:val="24"/>
          <w:rtl w:val="0"/>
        </w:rPr>
        <w:t>w</w:t>
      </w:r>
      <w:r>
        <w:rPr>
          <w:rFonts w:ascii="Times New Roman" w:hAnsi="Times New Roman"/>
          <w:sz w:val="24"/>
          <w:szCs w:val="24"/>
          <w:rtl w:val="0"/>
          <w:lang w:val="en-US"/>
        </w:rPr>
        <w:t>.</w:t>
      </w:r>
      <w:r>
        <w:rPr>
          <w:rFonts w:ascii="Times New Roman" w:hAnsi="Times New Roman"/>
          <w:sz w:val="24"/>
          <w:szCs w:val="24"/>
          <w:rtl w:val="0"/>
        </w:rPr>
        <w:t xml:space="preserve"> </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Grainger, J. D., et all. 1939. The Syrian Wars. </w:t>
      </w:r>
      <w:r>
        <w:rPr>
          <w:rFonts w:ascii="Times New Roman" w:hAnsi="Times New Roman"/>
          <w:sz w:val="24"/>
          <w:szCs w:val="24"/>
          <w:rtl w:val="0"/>
          <w:lang w:val="en-US"/>
        </w:rPr>
        <w:t>History and Archaeology of Classical Antiquity</w:t>
      </w:r>
      <w:r>
        <w:rPr>
          <w:rFonts w:ascii="Times New Roman" w:hAnsi="Times New Roman"/>
          <w:sz w:val="24"/>
          <w:szCs w:val="24"/>
          <w:rtl w:val="0"/>
          <w:lang w:val="en-US"/>
        </w:rPr>
        <w:t xml:space="preserve">. Brill. Volume 320. </w:t>
      </w:r>
      <w:r>
        <w:rPr>
          <w:rFonts w:ascii="Times New Roman" w:hAnsi="Times New Roman"/>
          <w:sz w:val="24"/>
          <w:szCs w:val="24"/>
          <w:rtl w:val="0"/>
        </w:rPr>
        <w:t xml:space="preserve">Leiden, Boston. </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Grainger, J. D. 1995. The expansion of the Aitolian league 280-260 BC. </w:t>
      </w:r>
      <w:r>
        <w:rPr>
          <w:rStyle w:val="Hyperlink.4"/>
          <w:rFonts w:ascii="Times New Roman" w:hAnsi="Times New Roman"/>
          <w:sz w:val="24"/>
          <w:szCs w:val="24"/>
          <w:rtl w:val="0"/>
          <w:lang w:val="es-ES_tradnl"/>
        </w:rPr>
        <w:t>Mnemosyne</w:t>
      </w:r>
      <w:r>
        <w:rPr>
          <w:rFonts w:ascii="Times New Roman" w:hAnsi="Times New Roman"/>
          <w:sz w:val="24"/>
          <w:szCs w:val="24"/>
          <w:rtl w:val="0"/>
          <w:lang w:val="en-US"/>
        </w:rPr>
        <w:t xml:space="preserve">. Found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"https://www.jstor.org/stable/4432505"</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https://www.jstor.org/stable/4432505</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Brill. </w:t>
      </w:r>
      <w:r>
        <w:rPr>
          <w:rFonts w:ascii="Times New Roman" w:hAnsi="Times New Roman"/>
          <w:sz w:val="24"/>
          <w:szCs w:val="24"/>
          <w:rtl w:val="0"/>
          <w:lang w:val="en-US"/>
        </w:rPr>
        <w:t>Fourth Series, Vol. 48, 3.</w:t>
      </w:r>
      <w:r>
        <w:rPr>
          <w:rFonts w:ascii="Times New Roman" w:hAnsi="Times New Roman"/>
          <w:sz w:val="24"/>
          <w:szCs w:val="24"/>
          <w:rtl w:val="0"/>
          <w:lang w:val="en-US"/>
        </w:rPr>
        <w:t xml:space="preserve"> P</w:t>
      </w:r>
      <w:r>
        <w:rPr>
          <w:rFonts w:ascii="Times New Roman" w:hAnsi="Times New Roman"/>
          <w:sz w:val="24"/>
          <w:szCs w:val="24"/>
          <w:rtl w:val="0"/>
        </w:rPr>
        <w:t>p. 313-343</w:t>
      </w:r>
      <w:r>
        <w:rPr>
          <w:rFonts w:ascii="Times New Roman" w:hAnsi="Times New Roman"/>
          <w:sz w:val="24"/>
          <w:szCs w:val="24"/>
          <w:rtl w:val="0"/>
          <w:lang w:val="en-US"/>
        </w:rPr>
        <w:t xml:space="preserve">. </w:t>
      </w:r>
      <w:r>
        <w:rPr>
          <w:rFonts w:ascii="Times New Roman" w:hAnsi="Times New Roman"/>
          <w:sz w:val="24"/>
          <w:szCs w:val="24"/>
          <w:rtl w:val="0"/>
          <w:lang w:val="en-US"/>
        </w:rPr>
        <w:t>[Accessed: 08-01-2018]</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da-DK"/>
        </w:rPr>
        <w:t xml:space="preserve">Grainger, J. D. 2010. </w:t>
      </w:r>
      <w:r>
        <w:rPr>
          <w:rStyle w:val="Hyperlink.4"/>
          <w:rFonts w:ascii="Times New Roman" w:hAnsi="Times New Roman"/>
          <w:sz w:val="24"/>
          <w:szCs w:val="24"/>
          <w:rtl w:val="0"/>
          <w:lang w:val="en-US"/>
        </w:rPr>
        <w:t>The Syrian Wars</w:t>
      </w:r>
      <w:r>
        <w:rPr>
          <w:rFonts w:ascii="Times New Roman" w:hAnsi="Times New Roman"/>
          <w:sz w:val="24"/>
          <w:szCs w:val="24"/>
          <w:rtl w:val="0"/>
          <w:lang w:val="en-US"/>
        </w:rPr>
        <w:t xml:space="preserve">. Leiden, The Netherlands: Brill. doi: </w:t>
      </w:r>
      <w:r>
        <w:rPr>
          <w:rFonts w:ascii="Times New Roman" w:cs="Times New Roman" w:hAnsi="Times New Roman" w:eastAsia="Times New Roman"/>
          <w:sz w:val="24"/>
          <w:szCs w:val="24"/>
          <w:rtl w:val="0"/>
        </w:rPr>
        <w:fldChar w:fldCharType="begin" w:fldLock="0"/>
      </w:r>
      <w:r>
        <w:rPr>
          <w:rFonts w:ascii="Times New Roman" w:cs="Times New Roman" w:hAnsi="Times New Roman" w:eastAsia="Times New Roman"/>
          <w:sz w:val="24"/>
          <w:szCs w:val="24"/>
          <w:rtl w:val="0"/>
        </w:rPr>
        <w:instrText xml:space="preserve"> HYPERLINK "https://doi.org/10.1163/ej.9789004180505.i-450"</w:instrText>
      </w:r>
      <w:r>
        <w:rPr>
          <w:rFonts w:ascii="Times New Roman" w:cs="Times New Roman" w:hAnsi="Times New Roman" w:eastAsia="Times New Roman"/>
          <w:sz w:val="24"/>
          <w:szCs w:val="24"/>
          <w:rtl w:val="0"/>
        </w:rPr>
        <w:fldChar w:fldCharType="separate" w:fldLock="0"/>
      </w:r>
      <w:r>
        <w:rPr>
          <w:rFonts w:ascii="Times New Roman" w:hAnsi="Times New Roman"/>
          <w:sz w:val="24"/>
          <w:szCs w:val="24"/>
          <w:rtl w:val="0"/>
        </w:rPr>
        <w:t>https://doi.org/10.1163/ej.9789004180505.i-450</w:t>
      </w:r>
      <w:r>
        <w:rPr>
          <w:rFonts w:ascii="Times New Roman" w:cs="Times New Roman" w:hAnsi="Times New Roman" w:eastAsia="Times New Roman"/>
          <w:sz w:val="24"/>
          <w:szCs w:val="24"/>
          <w:rtl w:val="0"/>
        </w:rPr>
        <w:fldChar w:fldCharType="end" w:fldLock="0"/>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Green, P. 1985. </w:t>
      </w:r>
      <w:r>
        <w:rPr>
          <w:rFonts w:ascii="Times New Roman" w:hAnsi="Times New Roman"/>
          <w:sz w:val="24"/>
          <w:szCs w:val="24"/>
          <w:rtl w:val="0"/>
          <w:lang w:val="en-US"/>
        </w:rPr>
        <w:t>The Politics of Royal Patronage: Early Ptolemaic Alexandria</w:t>
      </w:r>
      <w:r>
        <w:rPr>
          <w:rFonts w:ascii="Times New Roman" w:hAnsi="Times New Roman"/>
          <w:sz w:val="24"/>
          <w:szCs w:val="24"/>
          <w:rtl w:val="0"/>
          <w:lang w:val="en-US"/>
        </w:rPr>
        <w:t xml:space="preserve">. </w:t>
      </w:r>
      <w:r>
        <w:rPr>
          <w:rStyle w:val="Hyperlink.4"/>
          <w:rFonts w:ascii="Times New Roman" w:hAnsi="Times New Roman"/>
          <w:sz w:val="24"/>
          <w:szCs w:val="24"/>
          <w:rtl w:val="0"/>
          <w:lang w:val="en-US"/>
        </w:rPr>
        <w:t>Grand Street</w:t>
      </w:r>
      <w:r>
        <w:rPr>
          <w:rFonts w:ascii="Times New Roman" w:hAnsi="Times New Roman"/>
          <w:sz w:val="24"/>
          <w:szCs w:val="24"/>
          <w:rtl w:val="0"/>
          <w:lang w:val="en-US"/>
        </w:rPr>
        <w:t xml:space="preserve">. 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"http://www.jstor.org/stable/25006815"</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http://www.jstor.org/stable/25006815</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de-DE"/>
        </w:rPr>
        <w:t>Ben Sonnenberg Vol. 5, No. 1</w:t>
      </w:r>
      <w:r>
        <w:rPr>
          <w:rFonts w:ascii="Times New Roman" w:hAnsi="Times New Roman"/>
          <w:sz w:val="24"/>
          <w:szCs w:val="24"/>
          <w:rtl w:val="0"/>
          <w:lang w:val="en-US"/>
        </w:rPr>
        <w:t>.</w:t>
      </w:r>
      <w:r>
        <w:rPr>
          <w:rFonts w:ascii="Times New Roman" w:hAnsi="Times New Roman"/>
          <w:sz w:val="24"/>
          <w:szCs w:val="24"/>
          <w:rtl w:val="0"/>
        </w:rPr>
        <w:t xml:space="preserve"> </w:t>
      </w:r>
      <w:r>
        <w:rPr>
          <w:rFonts w:ascii="Times New Roman" w:hAnsi="Times New Roman"/>
          <w:sz w:val="24"/>
          <w:szCs w:val="24"/>
          <w:rtl w:val="0"/>
          <w:lang w:val="en-US"/>
        </w:rPr>
        <w:t>P</w:t>
      </w:r>
      <w:r>
        <w:rPr>
          <w:rFonts w:ascii="Times New Roman" w:hAnsi="Times New Roman"/>
          <w:sz w:val="24"/>
          <w:szCs w:val="24"/>
          <w:rtl w:val="0"/>
        </w:rPr>
        <w:t>p. 151-163</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[Accessed: </w:t>
      </w:r>
      <w:r>
        <w:rPr>
          <w:rFonts w:ascii="Times New Roman" w:hAnsi="Times New Roman"/>
          <w:sz w:val="24"/>
          <w:szCs w:val="24"/>
          <w:rtl w:val="0"/>
          <w:lang w:val="en-US"/>
        </w:rPr>
        <w:t>21</w:t>
      </w:r>
      <w:r>
        <w:rPr>
          <w:rFonts w:ascii="Times New Roman" w:hAnsi="Times New Roman"/>
          <w:sz w:val="24"/>
          <w:szCs w:val="24"/>
          <w:rtl w:val="0"/>
        </w:rPr>
        <w:t>/01/2016].</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Habicht, C. 1992. </w:t>
      </w:r>
      <w:r>
        <w:rPr>
          <w:rFonts w:ascii="Times New Roman" w:hAnsi="Times New Roman"/>
          <w:sz w:val="24"/>
          <w:szCs w:val="24"/>
          <w:rtl w:val="0"/>
          <w:lang w:val="en-US"/>
        </w:rPr>
        <w:t>Athens and the Ptolemies</w:t>
      </w:r>
      <w:r>
        <w:rPr>
          <w:rFonts w:ascii="Times New Roman" w:hAnsi="Times New Roman"/>
          <w:sz w:val="24"/>
          <w:szCs w:val="24"/>
          <w:rtl w:val="0"/>
          <w:lang w:val="en-US"/>
        </w:rPr>
        <w:t xml:space="preserve">. </w:t>
      </w:r>
      <w:r>
        <w:rPr>
          <w:rStyle w:val="Hyperlink.4"/>
          <w:rFonts w:ascii="Times New Roman" w:hAnsi="Times New Roman"/>
          <w:sz w:val="24"/>
          <w:szCs w:val="24"/>
          <w:rtl w:val="0"/>
          <w:lang w:val="fr-FR"/>
        </w:rPr>
        <w:t>Classical Antiquity</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 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"http://www.jstor.org/stable/25010963"</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http://www.jstor.org/stable/25010963</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w:t>
      </w:r>
      <w:r>
        <w:rPr>
          <w:rFonts w:ascii="Times New Roman" w:hAnsi="Times New Roman"/>
          <w:sz w:val="24"/>
          <w:szCs w:val="24"/>
          <w:rtl w:val="0"/>
          <w:lang w:val="en-US"/>
        </w:rPr>
        <w:t xml:space="preserve"> University of California Press</w:t>
      </w:r>
      <w:r>
        <w:rPr>
          <w:rFonts w:ascii="Times New Roman" w:hAnsi="Times New Roman"/>
          <w:sz w:val="24"/>
          <w:szCs w:val="24"/>
          <w:rtl w:val="0"/>
          <w:lang w:val="en-US"/>
        </w:rPr>
        <w:t xml:space="preserve">. </w:t>
      </w:r>
      <w:r>
        <w:rPr>
          <w:rFonts w:ascii="Times New Roman" w:hAnsi="Times New Roman"/>
          <w:sz w:val="24"/>
          <w:szCs w:val="24"/>
          <w:rtl w:val="0"/>
        </w:rPr>
        <w:t>Vol. 11, No. 1</w:t>
      </w:r>
      <w:r>
        <w:rPr>
          <w:rFonts w:ascii="Times New Roman" w:hAnsi="Times New Roman"/>
          <w:sz w:val="24"/>
          <w:szCs w:val="24"/>
          <w:rtl w:val="0"/>
          <w:lang w:val="en-US"/>
        </w:rPr>
        <w:t xml:space="preserve">. </w:t>
      </w:r>
      <w:r>
        <w:rPr>
          <w:rFonts w:ascii="Times New Roman" w:hAnsi="Times New Roman"/>
          <w:sz w:val="24"/>
          <w:szCs w:val="24"/>
          <w:rtl w:val="0"/>
        </w:rPr>
        <w:t>pp. 68-90</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[Accessed: </w:t>
      </w:r>
      <w:r>
        <w:rPr>
          <w:rFonts w:ascii="Times New Roman" w:hAnsi="Times New Roman"/>
          <w:sz w:val="24"/>
          <w:szCs w:val="24"/>
          <w:rtl w:val="0"/>
          <w:lang w:val="en-US"/>
        </w:rPr>
        <w:t>18/01/2016</w:t>
      </w:r>
      <w:r>
        <w:rPr>
          <w:rFonts w:ascii="Times New Roman" w:hAnsi="Times New Roman"/>
          <w:sz w:val="24"/>
          <w:szCs w:val="24"/>
          <w:rtl w:val="0"/>
        </w:rPr>
        <w:t>]</w:t>
      </w:r>
      <w:r>
        <w:rPr>
          <w:rFonts w:ascii="Times New Roman" w:hAnsi="Times New Roman"/>
          <w:sz w:val="24"/>
          <w:szCs w:val="24"/>
          <w:rtl w:val="0"/>
          <w:lang w:val="en-US"/>
        </w:rPr>
        <w:t>.</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Hammond, N. G. L. 1988. </w:t>
      </w:r>
      <w:r>
        <w:rPr>
          <w:rFonts w:ascii="Times New Roman" w:hAnsi="Times New Roman"/>
          <w:sz w:val="24"/>
          <w:szCs w:val="24"/>
          <w:rtl w:val="0"/>
          <w:lang w:val="en-US"/>
        </w:rPr>
        <w:t>Which Ptolemy Gave Troops and Stood as Protector of Pyrrhus' Kingdom?</w:t>
      </w:r>
      <w:r>
        <w:rPr>
          <w:rFonts w:ascii="Times New Roman" w:hAnsi="Times New Roman"/>
          <w:sz w:val="24"/>
          <w:szCs w:val="24"/>
          <w:rtl w:val="0"/>
          <w:lang w:val="en-US"/>
        </w:rPr>
        <w:t xml:space="preserve">. </w:t>
      </w:r>
      <w:r>
        <w:rPr>
          <w:rStyle w:val="Hyperlink.4"/>
          <w:rFonts w:ascii="Times New Roman" w:hAnsi="Times New Roman"/>
          <w:sz w:val="24"/>
          <w:szCs w:val="24"/>
          <w:rtl w:val="0"/>
          <w:lang w:val="de-DE"/>
        </w:rPr>
        <w:t>Historia: Zeitschrift f</w:t>
      </w:r>
      <w:r>
        <w:rPr>
          <w:rStyle w:val="Hyperlink.4"/>
          <w:rFonts w:ascii="Times New Roman" w:hAnsi="Times New Roman" w:hint="default"/>
          <w:sz w:val="24"/>
          <w:szCs w:val="24"/>
          <w:rtl w:val="0"/>
        </w:rPr>
        <w:t>ü</w:t>
      </w:r>
      <w:r>
        <w:rPr>
          <w:rStyle w:val="Hyperlink.4"/>
          <w:rFonts w:ascii="Times New Roman" w:hAnsi="Times New Roman"/>
          <w:sz w:val="24"/>
          <w:szCs w:val="24"/>
          <w:rtl w:val="0"/>
          <w:lang w:val="de-DE"/>
        </w:rPr>
        <w:t>r Alte Geschichte</w:t>
      </w:r>
      <w:r>
        <w:rPr>
          <w:rFonts w:ascii="Times New Roman" w:hAnsi="Times New Roman"/>
          <w:sz w:val="24"/>
          <w:szCs w:val="24"/>
          <w:rtl w:val="0"/>
          <w:lang w:val="en-US"/>
        </w:rPr>
        <w:t xml:space="preserve">. 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"http://www.jstor.org/stable/4436071"</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http://www.jstor.org/stable/4436071</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de-DE"/>
        </w:rPr>
        <w:t>Franz Steiner Verlag</w:t>
      </w:r>
      <w:r>
        <w:rPr>
          <w:rFonts w:ascii="Times New Roman" w:hAnsi="Times New Roman"/>
          <w:sz w:val="24"/>
          <w:szCs w:val="24"/>
          <w:rtl w:val="0"/>
          <w:lang w:val="en-US"/>
        </w:rPr>
        <w:t xml:space="preserve">. </w:t>
      </w:r>
      <w:r>
        <w:rPr>
          <w:rFonts w:ascii="Times New Roman" w:hAnsi="Times New Roman"/>
          <w:sz w:val="24"/>
          <w:szCs w:val="24"/>
          <w:rtl w:val="0"/>
        </w:rPr>
        <w:t>Bd. 37, H. 4</w:t>
      </w:r>
      <w:r>
        <w:rPr>
          <w:rFonts w:ascii="Times New Roman" w:hAnsi="Times New Roman"/>
          <w:sz w:val="24"/>
          <w:szCs w:val="24"/>
          <w:rtl w:val="0"/>
          <w:lang w:val="en-US"/>
        </w:rPr>
        <w:t>. P</w:t>
      </w:r>
      <w:r>
        <w:rPr>
          <w:rFonts w:ascii="Times New Roman" w:hAnsi="Times New Roman"/>
          <w:sz w:val="24"/>
          <w:szCs w:val="24"/>
          <w:rtl w:val="0"/>
        </w:rPr>
        <w:t>p. 405-413</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[Accessed: </w:t>
      </w:r>
      <w:r>
        <w:rPr>
          <w:rFonts w:ascii="Times New Roman" w:hAnsi="Times New Roman"/>
          <w:sz w:val="24"/>
          <w:szCs w:val="24"/>
          <w:rtl w:val="0"/>
          <w:lang w:val="en-US"/>
        </w:rPr>
        <w:t>21</w:t>
      </w:r>
      <w:r>
        <w:rPr>
          <w:rFonts w:ascii="Times New Roman" w:hAnsi="Times New Roman"/>
          <w:sz w:val="24"/>
          <w:szCs w:val="24"/>
          <w:rtl w:val="0"/>
        </w:rPr>
        <w:t xml:space="preserve">/01/2016]. </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Holton, J. R. 2004. The ideology of Seleukid joint kingship: the case of Seleukos, son of Antiochos I. </w:t>
      </w:r>
      <w:r>
        <w:rPr>
          <w:rStyle w:val="Hyperlink.4"/>
          <w:rFonts w:ascii="Times New Roman" w:hAnsi="Times New Roman"/>
          <w:sz w:val="24"/>
          <w:szCs w:val="24"/>
          <w:rtl w:val="0"/>
          <w:lang w:val="en-US"/>
        </w:rPr>
        <w:t>The Seleukid Empire 281-222 BC: War Within the Family</w:t>
      </w:r>
      <w:r>
        <w:rPr>
          <w:rStyle w:val="Hyperlink.4"/>
          <w:rFonts w:ascii="Times New Roman" w:hAnsi="Times New Roman"/>
          <w:sz w:val="24"/>
          <w:szCs w:val="24"/>
          <w:rtl w:val="0"/>
          <w:lang w:val="en-US"/>
        </w:rPr>
        <w:t xml:space="preserve">. </w:t>
      </w:r>
      <w:r>
        <w:rPr>
          <w:rFonts w:ascii="Times New Roman" w:hAnsi="Times New Roman"/>
          <w:sz w:val="24"/>
          <w:szCs w:val="24"/>
          <w:rtl w:val="0"/>
          <w:lang w:val="en-US"/>
        </w:rPr>
        <w:t xml:space="preserve">Found at </w:t>
      </w:r>
      <w:r>
        <w:rPr>
          <w:rStyle w:val="Hyperlink.5"/>
          <w:rFonts w:ascii="Times New Roman" w:cs="Times New Roman" w:hAnsi="Times New Roman" w:eastAsia="Times New Roman"/>
          <w:color w:val="000000"/>
          <w:sz w:val="24"/>
          <w:szCs w:val="24"/>
          <w:u w:val="none" w:color="0000ff"/>
          <w:rtl w:val="0"/>
        </w:rPr>
        <w:fldChar w:fldCharType="begin" w:fldLock="0"/>
      </w:r>
      <w:r>
        <w:rPr>
          <w:rStyle w:val="Hyperlink.5"/>
          <w:rFonts w:ascii="Times New Roman" w:cs="Times New Roman" w:hAnsi="Times New Roman" w:eastAsia="Times New Roman"/>
          <w:color w:val="000000"/>
          <w:sz w:val="24"/>
          <w:szCs w:val="24"/>
          <w:u w:val="none" w:color="0000ff"/>
          <w:rtl w:val="0"/>
        </w:rPr>
        <w:instrText xml:space="preserve"> HYPERLINK "https://www.jstor.org/stable/j.ctvb93898"</w:instrText>
      </w:r>
      <w:r>
        <w:rPr>
          <w:rStyle w:val="Hyperlink.5"/>
          <w:rFonts w:ascii="Times New Roman" w:cs="Times New Roman" w:hAnsi="Times New Roman" w:eastAsia="Times New Roman"/>
          <w:color w:val="000000"/>
          <w:sz w:val="24"/>
          <w:szCs w:val="24"/>
          <w:u w:val="none" w:color="0000ff"/>
          <w:rtl w:val="0"/>
        </w:rPr>
        <w:fldChar w:fldCharType="separate" w:fldLock="0"/>
      </w:r>
      <w:r>
        <w:rPr>
          <w:rStyle w:val="Hyperlink.5"/>
          <w:rFonts w:ascii="Times New Roman" w:hAnsi="Times New Roman"/>
          <w:color w:val="000000"/>
          <w:sz w:val="24"/>
          <w:szCs w:val="24"/>
          <w:u w:val="none" w:color="0000ff"/>
          <w:rtl w:val="0"/>
          <w:lang w:val="en-US"/>
        </w:rPr>
        <w:t>https://www.jstor.org/stable/j.ctvb93898</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Classical Press of Wales. 332. 1. </w:t>
      </w:r>
      <w:r>
        <w:rPr>
          <w:rFonts w:ascii="Times New Roman" w:hAnsi="Times New Roman"/>
          <w:sz w:val="24"/>
          <w:szCs w:val="24"/>
          <w:rtl w:val="0"/>
          <w:lang w:val="en-US"/>
        </w:rPr>
        <w:t>[Accessed: 08-01-2018]</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Jones, C. P., Habicht Ch. and Habicht C. 1989. </w:t>
      </w:r>
      <w:r>
        <w:rPr>
          <w:rFonts w:ascii="Times New Roman" w:hAnsi="Times New Roman"/>
          <w:sz w:val="24"/>
          <w:szCs w:val="24"/>
          <w:rtl w:val="0"/>
          <w:lang w:val="en-US"/>
        </w:rPr>
        <w:t>A Hellenistic Inscription from Arsinoe in Cilicia</w:t>
      </w:r>
      <w:r>
        <w:rPr>
          <w:rFonts w:ascii="Times New Roman" w:hAnsi="Times New Roman"/>
          <w:sz w:val="24"/>
          <w:szCs w:val="24"/>
          <w:rtl w:val="0"/>
          <w:lang w:val="en-US"/>
        </w:rPr>
        <w:t xml:space="preserve">. </w:t>
      </w:r>
      <w:r>
        <w:rPr>
          <w:rStyle w:val="Hyperlink.4"/>
          <w:rFonts w:ascii="Times New Roman" w:hAnsi="Times New Roman"/>
          <w:sz w:val="24"/>
          <w:szCs w:val="24"/>
          <w:rtl w:val="0"/>
          <w:lang w:val="en-US"/>
        </w:rPr>
        <w:t>Classical Association of Canada</w:t>
      </w:r>
      <w:r>
        <w:rPr>
          <w:rFonts w:ascii="Times New Roman" w:hAnsi="Times New Roman"/>
          <w:sz w:val="24"/>
          <w:szCs w:val="24"/>
          <w:rtl w:val="0"/>
          <w:lang w:val="en-US"/>
        </w:rPr>
        <w:t xml:space="preserve">. Available at </w:t>
      </w:r>
      <w:r>
        <w:rPr>
          <w:rStyle w:val="Hyperlink.5"/>
          <w:rFonts w:ascii="Times New Roman" w:cs="Times New Roman" w:hAnsi="Times New Roman" w:eastAsia="Times New Roman"/>
          <w:color w:val="000000"/>
          <w:sz w:val="24"/>
          <w:szCs w:val="24"/>
          <w:u w:val="none" w:color="0000ff"/>
          <w:rtl w:val="0"/>
        </w:rPr>
        <w:fldChar w:fldCharType="begin" w:fldLock="0"/>
      </w:r>
      <w:r>
        <w:rPr>
          <w:rStyle w:val="Hyperlink.5"/>
          <w:rFonts w:ascii="Times New Roman" w:cs="Times New Roman" w:hAnsi="Times New Roman" w:eastAsia="Times New Roman"/>
          <w:color w:val="000000"/>
          <w:sz w:val="24"/>
          <w:szCs w:val="24"/>
          <w:u w:val="none" w:color="0000ff"/>
          <w:rtl w:val="0"/>
        </w:rPr>
        <w:instrText xml:space="preserve"> HYPERLINK "http://www.jstor.org/stable/1088299"</w:instrText>
      </w:r>
      <w:r>
        <w:rPr>
          <w:rStyle w:val="Hyperlink.5"/>
          <w:rFonts w:ascii="Times New Roman" w:cs="Times New Roman" w:hAnsi="Times New Roman" w:eastAsia="Times New Roman"/>
          <w:color w:val="000000"/>
          <w:sz w:val="24"/>
          <w:szCs w:val="24"/>
          <w:u w:val="none" w:color="0000ff"/>
          <w:rtl w:val="0"/>
        </w:rPr>
        <w:fldChar w:fldCharType="separate" w:fldLock="0"/>
      </w:r>
      <w:r>
        <w:rPr>
          <w:rStyle w:val="Hyperlink.5"/>
          <w:rFonts w:ascii="Times New Roman" w:hAnsi="Times New Roman"/>
          <w:color w:val="000000"/>
          <w:sz w:val="24"/>
          <w:szCs w:val="24"/>
          <w:u w:val="none" w:color="0000ff"/>
          <w:rtl w:val="0"/>
          <w:lang w:val="en-US"/>
        </w:rPr>
        <w:t>http://www.jstor.org/stable/1088299</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rPr>
        <w:t>Vol. 43, No. 4</w:t>
      </w:r>
      <w:r>
        <w:rPr>
          <w:rFonts w:ascii="Times New Roman" w:hAnsi="Times New Roman"/>
          <w:sz w:val="24"/>
          <w:szCs w:val="24"/>
          <w:rtl w:val="0"/>
          <w:lang w:val="en-US"/>
        </w:rPr>
        <w:t xml:space="preserve">. </w:t>
      </w:r>
      <w:r>
        <w:rPr>
          <w:rFonts w:ascii="Times New Roman" w:hAnsi="Times New Roman"/>
          <w:sz w:val="24"/>
          <w:szCs w:val="24"/>
          <w:rtl w:val="0"/>
        </w:rPr>
        <w:t>pp. 317-346</w:t>
      </w:r>
      <w:r>
        <w:rPr>
          <w:rFonts w:ascii="Times New Roman" w:hAnsi="Times New Roman"/>
          <w:sz w:val="24"/>
          <w:szCs w:val="24"/>
          <w:rtl w:val="0"/>
          <w:lang w:val="en-US"/>
        </w:rPr>
        <w:t>.</w:t>
      </w:r>
      <w:r>
        <w:rPr>
          <w:rFonts w:ascii="Times New Roman" w:hAnsi="Times New Roman"/>
          <w:sz w:val="24"/>
          <w:szCs w:val="24"/>
          <w:rtl w:val="0"/>
          <w:lang w:val="en-US"/>
        </w:rPr>
        <w:t xml:space="preserve"> [Accessed: </w:t>
      </w:r>
      <w:r>
        <w:rPr>
          <w:rFonts w:ascii="Times New Roman" w:hAnsi="Times New Roman"/>
          <w:sz w:val="24"/>
          <w:szCs w:val="24"/>
          <w:rtl w:val="0"/>
          <w:lang w:val="en-US"/>
        </w:rPr>
        <w:t>21/01/2016</w:t>
      </w:r>
      <w:r>
        <w:rPr>
          <w:rFonts w:ascii="Times New Roman" w:hAnsi="Times New Roman"/>
          <w:sz w:val="24"/>
          <w:szCs w:val="24"/>
          <w:rtl w:val="0"/>
        </w:rPr>
        <w:t>]</w:t>
      </w:r>
      <w:r>
        <w:rPr>
          <w:rFonts w:ascii="Times New Roman" w:hAnsi="Times New Roman"/>
          <w:sz w:val="24"/>
          <w:szCs w:val="24"/>
          <w:rtl w:val="0"/>
          <w:lang w:val="en-US"/>
        </w:rPr>
        <w:t xml:space="preserve">. </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Jones, C. P. 1993. The decree of Ilion in honour of a king Antiochus. </w:t>
      </w:r>
      <w:r>
        <w:rPr>
          <w:rStyle w:val="Hyperlink.4"/>
          <w:rFonts w:ascii="Times New Roman" w:hAnsi="Times New Roman"/>
          <w:sz w:val="24"/>
          <w:szCs w:val="24"/>
          <w:rtl w:val="0"/>
          <w:lang w:val="en-US"/>
        </w:rPr>
        <w:t>Roman and Byzantine studies</w:t>
      </w:r>
      <w:r>
        <w:rPr>
          <w:rFonts w:ascii="Times New Roman" w:hAnsi="Times New Roman"/>
          <w:sz w:val="24"/>
          <w:szCs w:val="24"/>
          <w:rtl w:val="0"/>
          <w:lang w:val="en-US"/>
        </w:rPr>
        <w:t>. Vol 34. 1</w:t>
      </w:r>
    </w:p>
    <w:p>
      <w:pPr>
        <w:pStyle w:val="Default"/>
        <w:bidi w:val="0"/>
        <w:spacing w:after="240"/>
        <w:ind w:left="0" w:right="0" w:firstLine="0"/>
        <w:jc w:val="both"/>
        <w:rPr>
          <w:rFonts w:ascii="Times New Roman" w:cs="Times New Roman" w:hAnsi="Times New Roman" w:eastAsia="Times New Roman"/>
          <w:sz w:val="24"/>
          <w:szCs w:val="24"/>
          <w:rtl w:val="0"/>
        </w:rPr>
      </w:pPr>
      <w:r>
        <w:rPr>
          <w:rStyle w:val="None"/>
          <w:rFonts w:ascii="Times New Roman" w:hAnsi="Times New Roman"/>
          <w:sz w:val="24"/>
          <w:szCs w:val="24"/>
          <w:rtl w:val="0"/>
          <w:lang w:val="en-US"/>
        </w:rPr>
        <w:t xml:space="preserve">Johannesen, R. 1923. </w:t>
      </w:r>
      <w:r>
        <w:rPr>
          <w:rFonts w:ascii="Times New Roman" w:hAnsi="Times New Roman"/>
          <w:sz w:val="24"/>
          <w:szCs w:val="24"/>
          <w:rtl w:val="0"/>
          <w:lang w:val="en-US"/>
        </w:rPr>
        <w:t>Ptolemy Philadelphus and Scientific Agriculture</w:t>
      </w:r>
      <w:r>
        <w:rPr>
          <w:rFonts w:ascii="Times New Roman" w:hAnsi="Times New Roman"/>
          <w:sz w:val="24"/>
          <w:szCs w:val="24"/>
          <w:rtl w:val="0"/>
          <w:lang w:val="en-US"/>
        </w:rPr>
        <w:t xml:space="preserve">. </w:t>
      </w:r>
      <w:r>
        <w:rPr>
          <w:rFonts w:ascii="Times New Roman" w:hAnsi="Times New Roman"/>
          <w:sz w:val="24"/>
          <w:szCs w:val="24"/>
          <w:rtl w:val="0"/>
          <w:lang w:val="en-US"/>
        </w:rPr>
        <w:t>Classical Philology</w:t>
      </w:r>
      <w:r>
        <w:rPr>
          <w:rFonts w:ascii="Times New Roman" w:hAnsi="Times New Roman"/>
          <w:sz w:val="24"/>
          <w:szCs w:val="24"/>
          <w:rtl w:val="0"/>
          <w:lang w:val="en-US"/>
        </w:rPr>
        <w:t xml:space="preserve">. 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"http://www.jstor.org/stable/262558"</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http://www.jstor.org/stable/262558</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University of Chicago Press</w:t>
      </w:r>
      <w:r>
        <w:rPr>
          <w:rFonts w:ascii="Times New Roman" w:hAnsi="Times New Roman"/>
          <w:sz w:val="24"/>
          <w:szCs w:val="24"/>
          <w:rtl w:val="0"/>
          <w:lang w:val="en-US"/>
        </w:rPr>
        <w:t>.</w:t>
      </w:r>
      <w:r>
        <w:rPr>
          <w:rFonts w:ascii="Times New Roman" w:hAnsi="Times New Roman"/>
          <w:sz w:val="24"/>
          <w:szCs w:val="24"/>
          <w:rtl w:val="0"/>
        </w:rPr>
        <w:t>Vol. 18, No. 2, pp. 156-161</w:t>
      </w:r>
      <w:r>
        <w:rPr>
          <w:rFonts w:ascii="Times New Roman" w:hAnsi="Times New Roman"/>
          <w:sz w:val="24"/>
          <w:szCs w:val="24"/>
          <w:rtl w:val="0"/>
          <w:lang w:val="en-US"/>
        </w:rPr>
        <w:t xml:space="preserve">. </w:t>
      </w:r>
      <w:r>
        <w:rPr>
          <w:rFonts w:ascii="Times New Roman" w:hAnsi="Times New Roman"/>
          <w:sz w:val="24"/>
          <w:szCs w:val="24"/>
          <w:rtl w:val="0"/>
          <w:lang w:val="en-US"/>
        </w:rPr>
        <w:t>[Accessed: 18-01-2016]</w:t>
      </w:r>
    </w:p>
    <w:p>
      <w:pPr>
        <w:pStyle w:val="Default"/>
        <w:bidi w:val="0"/>
        <w:spacing w:after="240"/>
        <w:ind w:left="0" w:right="0" w:firstLine="0"/>
        <w:jc w:val="both"/>
        <w:rPr>
          <w:rStyle w:val="None"/>
          <w:rFonts w:ascii="Times New Roman" w:cs="Times New Roman" w:hAnsi="Times New Roman" w:eastAsia="Times New Roman"/>
          <w:sz w:val="24"/>
          <w:szCs w:val="24"/>
          <w:rtl w:val="0"/>
        </w:rPr>
      </w:pPr>
      <w:r>
        <w:rPr>
          <w:rFonts w:ascii="Times New Roman" w:hAnsi="Times New Roman"/>
          <w:sz w:val="24"/>
          <w:szCs w:val="24"/>
          <w:rtl w:val="0"/>
          <w:lang w:val="en-US"/>
        </w:rPr>
        <w:t xml:space="preserve">Kloner, A. 2008. Maresha in the reign of Ptolemy II Philadelphus. </w:t>
      </w:r>
      <w:r>
        <w:rPr>
          <w:rStyle w:val="Hyperlink.4"/>
          <w:rFonts w:ascii="Times New Roman" w:hAnsi="Times New Roman"/>
          <w:sz w:val="24"/>
          <w:szCs w:val="24"/>
          <w:rtl w:val="0"/>
          <w:lang w:val="en-US"/>
        </w:rPr>
        <w:t>Ptolemy II Philadelphus and his World</w:t>
      </w:r>
      <w:r>
        <w:rPr>
          <w:rFonts w:ascii="Times New Roman" w:hAnsi="Times New Roman"/>
          <w:sz w:val="24"/>
          <w:szCs w:val="24"/>
          <w:rtl w:val="0"/>
          <w:lang w:val="en-US"/>
        </w:rPr>
        <w:t xml:space="preserve">. </w:t>
      </w:r>
      <w:r>
        <w:rPr>
          <w:rStyle w:val="None"/>
          <w:rFonts w:ascii="Times New Roman" w:hAnsi="Times New Roman"/>
          <w:sz w:val="24"/>
          <w:szCs w:val="24"/>
          <w:rtl w:val="0"/>
          <w:lang w:val="en-US"/>
        </w:rPr>
        <w:t>Brill. Volume 300. Leiden, Boston.</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Lorton, D. 1971. </w:t>
      </w:r>
      <w:r>
        <w:rPr>
          <w:rFonts w:ascii="Times New Roman" w:hAnsi="Times New Roman"/>
          <w:sz w:val="24"/>
          <w:szCs w:val="24"/>
          <w:rtl w:val="0"/>
          <w:lang w:val="en-US"/>
        </w:rPr>
        <w:t>The Supposed Expedition of Ptolemy II to Persia</w:t>
      </w:r>
      <w:r>
        <w:rPr>
          <w:rFonts w:ascii="Times New Roman" w:hAnsi="Times New Roman"/>
          <w:sz w:val="24"/>
          <w:szCs w:val="24"/>
          <w:rtl w:val="0"/>
          <w:lang w:val="en-US"/>
        </w:rPr>
        <w:t xml:space="preserve">. </w:t>
      </w:r>
      <w:r>
        <w:rPr>
          <w:rStyle w:val="Hyperlink.4"/>
          <w:rFonts w:ascii="Times New Roman" w:hAnsi="Times New Roman"/>
          <w:sz w:val="24"/>
          <w:szCs w:val="24"/>
          <w:rtl w:val="0"/>
          <w:lang w:val="en-US"/>
        </w:rPr>
        <w:t>The Journal of Egyptian Archaeology</w:t>
      </w:r>
      <w:r>
        <w:rPr>
          <w:rFonts w:ascii="Times New Roman" w:hAnsi="Times New Roman"/>
          <w:sz w:val="24"/>
          <w:szCs w:val="24"/>
          <w:rtl w:val="0"/>
          <w:lang w:val="en-US"/>
        </w:rPr>
        <w:t xml:space="preserve">. 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"http://www.jstor.org/stable/3855955"</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http://www.jstor.org/stable/3855955</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Egypt Exploration Society</w:t>
      </w:r>
      <w:r>
        <w:rPr>
          <w:rFonts w:ascii="Times New Roman" w:hAnsi="Times New Roman"/>
          <w:sz w:val="24"/>
          <w:szCs w:val="24"/>
          <w:rtl w:val="0"/>
          <w:lang w:val="en-US"/>
        </w:rPr>
        <w:t xml:space="preserve">. </w:t>
      </w:r>
      <w:r>
        <w:rPr>
          <w:rFonts w:ascii="Times New Roman" w:hAnsi="Times New Roman"/>
          <w:sz w:val="24"/>
          <w:szCs w:val="24"/>
          <w:rtl w:val="0"/>
        </w:rPr>
        <w:t>Vol. 57</w:t>
      </w:r>
      <w:r>
        <w:rPr>
          <w:rFonts w:ascii="Times New Roman" w:hAnsi="Times New Roman"/>
          <w:sz w:val="24"/>
          <w:szCs w:val="24"/>
          <w:rtl w:val="0"/>
          <w:lang w:val="en-US"/>
        </w:rPr>
        <w:t>. P</w:t>
      </w:r>
      <w:r>
        <w:rPr>
          <w:rFonts w:ascii="Times New Roman" w:hAnsi="Times New Roman"/>
          <w:sz w:val="24"/>
          <w:szCs w:val="24"/>
          <w:rtl w:val="0"/>
        </w:rPr>
        <w:t>p. 160-164</w:t>
      </w:r>
      <w:r>
        <w:rPr>
          <w:rFonts w:ascii="Times New Roman" w:hAnsi="Times New Roman"/>
          <w:sz w:val="24"/>
          <w:szCs w:val="24"/>
          <w:rtl w:val="0"/>
          <w:lang w:val="en-US"/>
        </w:rPr>
        <w:t>.</w:t>
      </w:r>
      <w:r>
        <w:rPr>
          <w:rFonts w:ascii="Times New Roman" w:hAnsi="Times New Roman"/>
          <w:sz w:val="24"/>
          <w:szCs w:val="24"/>
          <w:rtl w:val="0"/>
          <w:lang w:val="en-US"/>
        </w:rPr>
        <w:t xml:space="preserve"> [Accessed: </w:t>
      </w:r>
      <w:r>
        <w:rPr>
          <w:rFonts w:ascii="Times New Roman" w:hAnsi="Times New Roman"/>
          <w:sz w:val="24"/>
          <w:szCs w:val="24"/>
          <w:rtl w:val="0"/>
          <w:lang w:val="en-US"/>
        </w:rPr>
        <w:t>19</w:t>
      </w:r>
      <w:r>
        <w:rPr>
          <w:rFonts w:ascii="Times New Roman" w:hAnsi="Times New Roman"/>
          <w:sz w:val="24"/>
          <w:szCs w:val="24"/>
          <w:rtl w:val="0"/>
        </w:rPr>
        <w:t>/01/2016].</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Manning, J. G. 2008. </w:t>
      </w:r>
      <w:r>
        <w:rPr>
          <w:rFonts w:ascii="Times New Roman" w:hAnsi="Times New Roman"/>
          <w:sz w:val="24"/>
          <w:szCs w:val="24"/>
          <w:rtl w:val="0"/>
          <w:lang w:val="en-US"/>
        </w:rPr>
        <w:t xml:space="preserve">Coinage as </w:t>
      </w:r>
      <w:r>
        <w:rPr>
          <w:rFonts w:ascii="Times New Roman" w:hAnsi="Times New Roman" w:hint="default"/>
          <w:sz w:val="24"/>
          <w:szCs w:val="24"/>
          <w:rtl w:val="0"/>
        </w:rPr>
        <w:t>‘</w:t>
      </w:r>
      <w:r>
        <w:rPr>
          <w:rFonts w:ascii="Times New Roman" w:hAnsi="Times New Roman"/>
          <w:sz w:val="24"/>
          <w:szCs w:val="24"/>
          <w:rtl w:val="0"/>
        </w:rPr>
        <w:t>Code</w:t>
      </w:r>
      <w:r>
        <w:rPr>
          <w:rFonts w:ascii="Times New Roman" w:hAnsi="Times New Roman" w:hint="default"/>
          <w:sz w:val="24"/>
          <w:szCs w:val="24"/>
          <w:rtl w:val="0"/>
          <w:lang w:val="fr-FR"/>
        </w:rPr>
        <w:t xml:space="preserve">’ </w:t>
      </w:r>
      <w:r>
        <w:rPr>
          <w:rFonts w:ascii="Times New Roman" w:hAnsi="Times New Roman"/>
          <w:sz w:val="24"/>
          <w:szCs w:val="24"/>
          <w:rtl w:val="0"/>
        </w:rPr>
        <w:t>in Ptolemaic Egypt</w:t>
      </w:r>
      <w:r>
        <w:rPr>
          <w:rFonts w:ascii="Times New Roman" w:hAnsi="Times New Roman"/>
          <w:sz w:val="24"/>
          <w:szCs w:val="24"/>
          <w:rtl w:val="0"/>
          <w:lang w:val="en-US"/>
        </w:rPr>
        <w:t xml:space="preserve">. </w:t>
      </w:r>
      <w:r>
        <w:rPr>
          <w:rStyle w:val="Hyperlink.4"/>
          <w:rFonts w:ascii="Times New Roman" w:hAnsi="Times New Roman"/>
          <w:sz w:val="24"/>
          <w:szCs w:val="24"/>
          <w:rtl w:val="0"/>
          <w:lang w:val="en-US"/>
        </w:rPr>
        <w:t>The Monetary Systems of the Greeks and Romans</w:t>
      </w:r>
      <w:r>
        <w:rPr>
          <w:rFonts w:ascii="Times New Roman" w:hAnsi="Times New Roman"/>
          <w:sz w:val="24"/>
          <w:szCs w:val="24"/>
          <w:rtl w:val="0"/>
          <w:lang w:val="en-US"/>
        </w:rPr>
        <w:t xml:space="preserve">. 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"http://www.oxfordscholarship.com"</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www.oxfordscholarship.com</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Oxford University Press. Pp 1-23. </w:t>
      </w:r>
      <w:r>
        <w:rPr>
          <w:rFonts w:ascii="Times New Roman" w:hAnsi="Times New Roman"/>
          <w:sz w:val="24"/>
          <w:szCs w:val="24"/>
          <w:rtl w:val="0"/>
          <w:lang w:val="en-US"/>
        </w:rPr>
        <w:t xml:space="preserve">[Accessed: </w:t>
      </w:r>
      <w:r>
        <w:rPr>
          <w:rFonts w:ascii="Times New Roman" w:hAnsi="Times New Roman"/>
          <w:sz w:val="24"/>
          <w:szCs w:val="24"/>
          <w:rtl w:val="0"/>
          <w:lang w:val="en-US"/>
        </w:rPr>
        <w:t>21</w:t>
      </w:r>
      <w:r>
        <w:rPr>
          <w:rFonts w:ascii="Times New Roman" w:hAnsi="Times New Roman"/>
          <w:sz w:val="24"/>
          <w:szCs w:val="24"/>
          <w:rtl w:val="0"/>
        </w:rPr>
        <w:t>/01/2016]</w:t>
      </w:r>
      <w:r>
        <w:rPr>
          <w:rFonts w:ascii="Times New Roman" w:hAnsi="Times New Roman"/>
          <w:sz w:val="24"/>
          <w:szCs w:val="24"/>
          <w:rtl w:val="0"/>
          <w:lang w:val="en-US"/>
        </w:rPr>
        <w:t>.</w:t>
      </w:r>
    </w:p>
    <w:p>
      <w:pPr>
        <w:pStyle w:val="Default"/>
        <w:bidi w:val="0"/>
        <w:spacing w:after="240"/>
        <w:ind w:left="0" w:right="0" w:firstLine="0"/>
        <w:jc w:val="both"/>
        <w:rPr>
          <w:rStyle w:val="None"/>
          <w:rFonts w:ascii="Times New Roman" w:cs="Times New Roman" w:hAnsi="Times New Roman" w:eastAsia="Times New Roman"/>
          <w:i w:val="0"/>
          <w:iCs w:val="0"/>
          <w:sz w:val="24"/>
          <w:szCs w:val="24"/>
          <w:rtl w:val="0"/>
        </w:rPr>
      </w:pPr>
      <w:r>
        <w:rPr>
          <w:rStyle w:val="None"/>
          <w:rFonts w:ascii="Times New Roman" w:hAnsi="Times New Roman"/>
          <w:i w:val="0"/>
          <w:iCs w:val="0"/>
          <w:sz w:val="24"/>
          <w:szCs w:val="24"/>
          <w:rtl w:val="0"/>
          <w:lang w:val="fr-FR"/>
        </w:rPr>
        <w:t>Marquaille</w:t>
      </w:r>
      <w:r>
        <w:rPr>
          <w:rStyle w:val="None"/>
          <w:rFonts w:ascii="Times New Roman" w:hAnsi="Times New Roman"/>
          <w:i w:val="0"/>
          <w:iCs w:val="0"/>
          <w:sz w:val="24"/>
          <w:szCs w:val="24"/>
          <w:rtl w:val="0"/>
          <w:lang w:val="en-US"/>
        </w:rPr>
        <w:t xml:space="preserve">, C. 2008. The foreig policy of Ptolemy II. </w:t>
      </w:r>
      <w:r>
        <w:rPr>
          <w:rFonts w:ascii="Times New Roman" w:hAnsi="Times New Roman"/>
          <w:i w:val="1"/>
          <w:iCs w:val="1"/>
          <w:sz w:val="24"/>
          <w:szCs w:val="24"/>
          <w:rtl w:val="0"/>
          <w:lang w:val="en-US"/>
        </w:rPr>
        <w:t>Ptolemy II Philadelphus and his World</w:t>
      </w:r>
      <w:r>
        <w:rPr>
          <w:rFonts w:ascii="Times New Roman" w:hAnsi="Times New Roman"/>
          <w:i w:val="1"/>
          <w:iCs w:val="1"/>
          <w:sz w:val="24"/>
          <w:szCs w:val="24"/>
          <w:rtl w:val="0"/>
          <w:lang w:val="en-US"/>
        </w:rPr>
        <w:t xml:space="preserve">. </w:t>
      </w:r>
      <w:r>
        <w:rPr>
          <w:rStyle w:val="None"/>
          <w:rFonts w:ascii="Times New Roman" w:hAnsi="Times New Roman"/>
          <w:i w:val="0"/>
          <w:iCs w:val="0"/>
          <w:sz w:val="24"/>
          <w:szCs w:val="24"/>
          <w:rtl w:val="0"/>
          <w:lang w:val="en-US"/>
        </w:rPr>
        <w:t>Brill. Volume 300. Leiden, Boston.</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Mitchell, S</w:t>
      </w:r>
      <w:r>
        <w:rPr>
          <w:rFonts w:ascii="Times New Roman" w:hAnsi="Times New Roman"/>
          <w:sz w:val="24"/>
          <w:szCs w:val="24"/>
          <w:rtl w:val="0"/>
        </w:rPr>
        <w:t xml:space="preserve">. 2018. </w:t>
      </w:r>
      <w:r>
        <w:rPr>
          <w:rFonts w:ascii="Times New Roman" w:hAnsi="Times New Roman"/>
          <w:sz w:val="24"/>
          <w:szCs w:val="24"/>
          <w:rtl w:val="0"/>
          <w:lang w:val="en-US"/>
        </w:rPr>
        <w:t xml:space="preserve">Dispelling Seleukid Phantoms: Macedonians in Western Asia Minor from Alexander to the Attalids. </w:t>
      </w:r>
      <w:r>
        <w:rPr>
          <w:rFonts w:ascii="Times New Roman" w:hAnsi="Times New Roman"/>
          <w:sz w:val="24"/>
          <w:szCs w:val="24"/>
          <w:rtl w:val="0"/>
          <w:lang w:val="en-US"/>
        </w:rPr>
        <w:t>The Seleukid Empire, 281-222 BC. War within the Family. Swansea: Classical Press of Wales.</w:t>
      </w:r>
      <w:r>
        <w:rPr>
          <w:rFonts w:ascii="Times New Roman" w:hAnsi="Times New Roman"/>
          <w:sz w:val="24"/>
          <w:szCs w:val="24"/>
          <w:rtl w:val="0"/>
          <w:lang w:val="en-US"/>
        </w:rPr>
        <w:t xml:space="preserve"> </w:t>
      </w:r>
    </w:p>
    <w:p>
      <w:pPr>
        <w:pStyle w:val="Default"/>
        <w:bidi w:val="0"/>
        <w:spacing w:after="240"/>
        <w:ind w:left="0" w:right="0" w:firstLine="0"/>
        <w:jc w:val="both"/>
        <w:rPr>
          <w:rStyle w:val="None"/>
          <w:rFonts w:ascii="Times New Roman" w:cs="Times New Roman" w:hAnsi="Times New Roman" w:eastAsia="Times New Roman"/>
          <w:sz w:val="24"/>
          <w:szCs w:val="24"/>
          <w:rtl w:val="0"/>
        </w:rPr>
      </w:pPr>
      <w:r>
        <w:rPr>
          <w:rFonts w:ascii="Times New Roman" w:hAnsi="Times New Roman"/>
          <w:sz w:val="24"/>
          <w:szCs w:val="24"/>
          <w:rtl w:val="0"/>
          <w:lang w:val="en-US"/>
        </w:rPr>
        <w:t>Mori, A. 2008. Piety and diplomacy in Apollonius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Argonautica. </w:t>
      </w:r>
      <w:r>
        <w:rPr>
          <w:rStyle w:val="Hyperlink.4"/>
          <w:rFonts w:ascii="Times New Roman" w:hAnsi="Times New Roman"/>
          <w:sz w:val="24"/>
          <w:szCs w:val="24"/>
          <w:rtl w:val="0"/>
          <w:lang w:val="en-US"/>
        </w:rPr>
        <w:t>Ptolemy II Philadelphus and his World</w:t>
      </w:r>
      <w:r>
        <w:rPr>
          <w:rFonts w:ascii="Times New Roman" w:hAnsi="Times New Roman"/>
          <w:sz w:val="24"/>
          <w:szCs w:val="24"/>
          <w:rtl w:val="0"/>
          <w:lang w:val="en-US"/>
        </w:rPr>
        <w:t xml:space="preserve">. </w:t>
      </w:r>
      <w:r>
        <w:rPr>
          <w:rStyle w:val="None"/>
          <w:rFonts w:ascii="Times New Roman" w:hAnsi="Times New Roman"/>
          <w:sz w:val="24"/>
          <w:szCs w:val="24"/>
          <w:rtl w:val="0"/>
          <w:lang w:val="en-US"/>
        </w:rPr>
        <w:t>Brill. Volume 300. Leiden, Boston.</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Murray, O., </w:t>
      </w:r>
      <w:r>
        <w:rPr>
          <w:rFonts w:ascii="Times New Roman" w:hAnsi="Times New Roman"/>
          <w:sz w:val="24"/>
          <w:szCs w:val="24"/>
          <w:rtl w:val="0"/>
          <w:lang w:val="en-US"/>
        </w:rPr>
        <w:t xml:space="preserve">McKechnie, P., &amp; Guillaume, P. (Eds.). 2008. Ptolemy II Philadelphus and his World. Leiden, The Netherlands: Brill. doi: </w:t>
      </w:r>
      <w:r>
        <w:rPr>
          <w:rFonts w:ascii="Times New Roman" w:cs="Times New Roman" w:hAnsi="Times New Roman" w:eastAsia="Times New Roman"/>
          <w:sz w:val="24"/>
          <w:szCs w:val="24"/>
          <w:rtl w:val="0"/>
        </w:rPr>
        <w:fldChar w:fldCharType="begin" w:fldLock="0"/>
      </w:r>
      <w:r>
        <w:rPr>
          <w:rFonts w:ascii="Times New Roman" w:cs="Times New Roman" w:hAnsi="Times New Roman" w:eastAsia="Times New Roman"/>
          <w:sz w:val="24"/>
          <w:szCs w:val="24"/>
          <w:rtl w:val="0"/>
        </w:rPr>
        <w:instrText xml:space="preserve"> HYPERLINK "https://doi.org/10.1163/ej.9789004170896.i-488"</w:instrText>
      </w:r>
      <w:r>
        <w:rPr>
          <w:rFonts w:ascii="Times New Roman" w:cs="Times New Roman" w:hAnsi="Times New Roman" w:eastAsia="Times New Roman"/>
          <w:sz w:val="24"/>
          <w:szCs w:val="24"/>
          <w:rtl w:val="0"/>
        </w:rPr>
        <w:fldChar w:fldCharType="separate" w:fldLock="0"/>
      </w:r>
      <w:r>
        <w:rPr>
          <w:rFonts w:ascii="Times New Roman" w:hAnsi="Times New Roman"/>
          <w:sz w:val="24"/>
          <w:szCs w:val="24"/>
          <w:rtl w:val="0"/>
        </w:rPr>
        <w:t>https://doi.org/10.1163/ej.9789004170896.i-488</w:t>
      </w:r>
      <w:r>
        <w:rPr>
          <w:rFonts w:ascii="Times New Roman" w:cs="Times New Roman" w:hAnsi="Times New Roman" w:eastAsia="Times New Roman"/>
          <w:sz w:val="24"/>
          <w:szCs w:val="24"/>
          <w:rtl w:val="0"/>
        </w:rPr>
        <w:fldChar w:fldCharType="end" w:fldLock="0"/>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rPr>
        <w:t xml:space="preserve">Naville, E. 2015. La stele de Pithom. </w:t>
      </w:r>
      <w:r>
        <w:rPr>
          <w:rStyle w:val="Hyperlink.4"/>
          <w:rFonts w:ascii="Times New Roman" w:hAnsi="Times New Roman"/>
          <w:sz w:val="24"/>
          <w:szCs w:val="24"/>
          <w:rtl w:val="0"/>
          <w:lang w:val="de-DE"/>
        </w:rPr>
        <w:t>Zeitschrift f</w:t>
      </w:r>
      <w:r>
        <w:rPr>
          <w:rStyle w:val="Hyperlink.4"/>
          <w:rFonts w:ascii="Times New Roman" w:hAnsi="Times New Roman" w:hint="default"/>
          <w:sz w:val="24"/>
          <w:szCs w:val="24"/>
          <w:rtl w:val="0"/>
        </w:rPr>
        <w:t>ü</w:t>
      </w:r>
      <w:r>
        <w:rPr>
          <w:rStyle w:val="Hyperlink.4"/>
          <w:rFonts w:ascii="Times New Roman" w:hAnsi="Times New Roman"/>
          <w:sz w:val="24"/>
          <w:szCs w:val="24"/>
          <w:rtl w:val="0"/>
        </w:rPr>
        <w:t xml:space="preserve">r </w:t>
      </w:r>
      <w:r>
        <w:rPr>
          <w:rStyle w:val="Hyperlink.4"/>
          <w:rFonts w:ascii="Times New Roman" w:hAnsi="Times New Roman" w:hint="default"/>
          <w:sz w:val="24"/>
          <w:szCs w:val="24"/>
          <w:rtl w:val="0"/>
          <w:lang w:val="sv-SE"/>
        </w:rPr>
        <w:t>Ä</w:t>
      </w:r>
      <w:r>
        <w:rPr>
          <w:rStyle w:val="Hyperlink.4"/>
          <w:rFonts w:ascii="Times New Roman" w:hAnsi="Times New Roman"/>
          <w:sz w:val="24"/>
          <w:szCs w:val="24"/>
          <w:rtl w:val="0"/>
          <w:lang w:val="de-DE"/>
        </w:rPr>
        <w:t>gyptische Sprache und Altertumskunde</w:t>
      </w:r>
      <w:r>
        <w:rPr>
          <w:rFonts w:ascii="Times New Roman" w:hAnsi="Times New Roman"/>
          <w:sz w:val="24"/>
          <w:szCs w:val="24"/>
          <w:rtl w:val="0"/>
          <w:lang w:val="en-US"/>
        </w:rPr>
        <w:t>, 40(1), pp. 66-75. Retrieved 7 Apr. 2019, from doi:10.1515/zaes-1902-0110</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rPr>
        <w:t>O</w:t>
      </w:r>
      <w:r>
        <w:rPr>
          <w:rFonts w:ascii="Times New Roman" w:hAnsi="Times New Roman" w:hint="default"/>
          <w:sz w:val="24"/>
          <w:szCs w:val="24"/>
          <w:rtl w:val="0"/>
          <w:lang w:val="fr-FR"/>
        </w:rPr>
        <w:t>’</w:t>
      </w:r>
      <w:r>
        <w:rPr>
          <w:rFonts w:ascii="Times New Roman" w:hAnsi="Times New Roman"/>
          <w:sz w:val="24"/>
          <w:szCs w:val="24"/>
          <w:rtl w:val="0"/>
        </w:rPr>
        <w:t>Neil</w:t>
      </w:r>
      <w:r>
        <w:rPr>
          <w:rFonts w:ascii="Times New Roman" w:hAnsi="Times New Roman"/>
          <w:sz w:val="24"/>
          <w:szCs w:val="24"/>
          <w:rtl w:val="0"/>
          <w:lang w:val="en-US"/>
        </w:rPr>
        <w:t xml:space="preserve">, J. L. 2008. A re-examination of the Chremonidean war. </w:t>
      </w:r>
      <w:r>
        <w:rPr>
          <w:rStyle w:val="Hyperlink.4"/>
          <w:rFonts w:ascii="Times New Roman" w:cs="Times New Roman" w:hAnsi="Times New Roman" w:eastAsia="Times New Roman"/>
          <w:sz w:val="24"/>
          <w:szCs w:val="24"/>
          <w:rtl w:val="0"/>
        </w:rPr>
        <w:fldChar w:fldCharType="begin" w:fldLock="0"/>
      </w:r>
      <w:r>
        <w:rPr>
          <w:rStyle w:val="Hyperlink.4"/>
          <w:rFonts w:ascii="Times New Roman" w:cs="Times New Roman" w:hAnsi="Times New Roman" w:eastAsia="Times New Roman"/>
          <w:sz w:val="24"/>
          <w:szCs w:val="24"/>
          <w:rtl w:val="0"/>
        </w:rPr>
        <w:instrText xml:space="preserve"> HYPERLINK "https://brill.com/view/title/12281"</w:instrText>
      </w:r>
      <w:r>
        <w:rPr>
          <w:rStyle w:val="Hyperlink.4"/>
          <w:rFonts w:ascii="Times New Roman" w:cs="Times New Roman" w:hAnsi="Times New Roman" w:eastAsia="Times New Roman"/>
          <w:sz w:val="24"/>
          <w:szCs w:val="24"/>
          <w:rtl w:val="0"/>
        </w:rPr>
        <w:fldChar w:fldCharType="separate" w:fldLock="0"/>
      </w:r>
      <w:r>
        <w:rPr>
          <w:rStyle w:val="Hyperlink.4"/>
          <w:rFonts w:ascii="Times New Roman" w:hAnsi="Times New Roman"/>
          <w:sz w:val="24"/>
          <w:szCs w:val="24"/>
          <w:rtl w:val="0"/>
          <w:lang w:val="en-US"/>
        </w:rPr>
        <w:t>Ptolemy II Philadelphus and his World</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Mnemosyne. Brill. 300. Pp 65-89.</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Ogden, D. 1999. Polygamy, Prostitutes and Death: The Hellenistic Dynasties. London: Duckworth.</w:t>
      </w:r>
      <w:r>
        <w:rPr>
          <w:rFonts w:ascii="Times New Roman" w:hAnsi="Times New Roman"/>
          <w:sz w:val="24"/>
          <w:szCs w:val="24"/>
          <w:rtl w:val="0"/>
          <w:lang w:val="en-US"/>
        </w:rPr>
        <w:t xml:space="preserve"> The Seleukids. Chapter 5. Pp 117-131.</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Peppard, M. 2009. </w:t>
      </w:r>
      <w:r>
        <w:rPr>
          <w:rFonts w:ascii="Times New Roman" w:hAnsi="Times New Roman"/>
          <w:sz w:val="24"/>
          <w:szCs w:val="24"/>
          <w:rtl w:val="0"/>
          <w:lang w:val="en-US"/>
        </w:rPr>
        <w:t>A Letter Concerning Boats in Berenike and Trade on the Red Sea</w:t>
      </w:r>
      <w:r>
        <w:rPr>
          <w:rFonts w:ascii="Times New Roman" w:hAnsi="Times New Roman"/>
          <w:sz w:val="24"/>
          <w:szCs w:val="24"/>
          <w:rtl w:val="0"/>
          <w:lang w:val="en-US"/>
        </w:rPr>
        <w:t xml:space="preserve">. </w:t>
      </w:r>
      <w:r>
        <w:rPr>
          <w:rStyle w:val="Hyperlink.4"/>
          <w:rFonts w:ascii="Times New Roman" w:hAnsi="Times New Roman"/>
          <w:sz w:val="24"/>
          <w:szCs w:val="24"/>
          <w:rtl w:val="0"/>
          <w:lang w:val="de-DE"/>
        </w:rPr>
        <w:t>Zeitschrift f</w:t>
      </w:r>
      <w:r>
        <w:rPr>
          <w:rStyle w:val="Hyperlink.4"/>
          <w:rFonts w:ascii="Times New Roman" w:hAnsi="Times New Roman" w:hint="default"/>
          <w:sz w:val="24"/>
          <w:szCs w:val="24"/>
          <w:rtl w:val="0"/>
        </w:rPr>
        <w:t>ü</w:t>
      </w:r>
      <w:r>
        <w:rPr>
          <w:rStyle w:val="Hyperlink.4"/>
          <w:rFonts w:ascii="Times New Roman" w:hAnsi="Times New Roman"/>
          <w:sz w:val="24"/>
          <w:szCs w:val="24"/>
          <w:rtl w:val="0"/>
          <w:lang w:val="de-DE"/>
        </w:rPr>
        <w:t>r Papyrologie und Epigraphik</w:t>
      </w:r>
      <w:r>
        <w:rPr>
          <w:rFonts w:ascii="Times New Roman" w:hAnsi="Times New Roman"/>
          <w:sz w:val="24"/>
          <w:szCs w:val="24"/>
          <w:rtl w:val="0"/>
          <w:lang w:val="en-US"/>
        </w:rPr>
        <w:t xml:space="preserve">. Available at </w:t>
      </w:r>
      <w:r>
        <w:rPr>
          <w:rStyle w:val="Hyperlink.5"/>
          <w:rFonts w:ascii="Times New Roman" w:cs="Times New Roman" w:hAnsi="Times New Roman" w:eastAsia="Times New Roman"/>
          <w:color w:val="000000"/>
          <w:sz w:val="24"/>
          <w:szCs w:val="24"/>
          <w:u w:val="none" w:color="0000ff"/>
          <w:rtl w:val="0"/>
        </w:rPr>
        <w:fldChar w:fldCharType="begin" w:fldLock="0"/>
      </w:r>
      <w:r>
        <w:rPr>
          <w:rStyle w:val="Hyperlink.5"/>
          <w:rFonts w:ascii="Times New Roman" w:cs="Times New Roman" w:hAnsi="Times New Roman" w:eastAsia="Times New Roman"/>
          <w:color w:val="000000"/>
          <w:sz w:val="24"/>
          <w:szCs w:val="24"/>
          <w:u w:val="none" w:color="0000ff"/>
          <w:rtl w:val="0"/>
        </w:rPr>
        <w:instrText xml:space="preserve"> HYPERLINK "http://www.jstor.org/stable/20756760"</w:instrText>
      </w:r>
      <w:r>
        <w:rPr>
          <w:rStyle w:val="Hyperlink.5"/>
          <w:rFonts w:ascii="Times New Roman" w:cs="Times New Roman" w:hAnsi="Times New Roman" w:eastAsia="Times New Roman"/>
          <w:color w:val="000000"/>
          <w:sz w:val="24"/>
          <w:szCs w:val="24"/>
          <w:u w:val="none" w:color="0000ff"/>
          <w:rtl w:val="0"/>
        </w:rPr>
        <w:fldChar w:fldCharType="separate" w:fldLock="0"/>
      </w:r>
      <w:r>
        <w:rPr>
          <w:rStyle w:val="Hyperlink.5"/>
          <w:rFonts w:ascii="Times New Roman" w:hAnsi="Times New Roman"/>
          <w:color w:val="000000"/>
          <w:sz w:val="24"/>
          <w:szCs w:val="24"/>
          <w:u w:val="none" w:color="0000ff"/>
          <w:rtl w:val="0"/>
          <w:lang w:val="en-US"/>
        </w:rPr>
        <w:t>http://www.jstor.org/stable/20756760</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rPr>
        <w:t>Dr. Rudolf Habelt GmbH</w:t>
      </w:r>
      <w:r>
        <w:rPr>
          <w:rFonts w:ascii="Times New Roman" w:hAnsi="Times New Roman"/>
          <w:sz w:val="24"/>
          <w:szCs w:val="24"/>
          <w:rtl w:val="0"/>
          <w:lang w:val="en-US"/>
        </w:rPr>
        <w:t>.</w:t>
      </w:r>
      <w:r>
        <w:rPr>
          <w:rFonts w:ascii="Times New Roman" w:hAnsi="Times New Roman"/>
          <w:sz w:val="24"/>
          <w:szCs w:val="24"/>
          <w:rtl w:val="0"/>
        </w:rPr>
        <w:t xml:space="preserve"> Bd. 171</w:t>
      </w:r>
      <w:r>
        <w:rPr>
          <w:rFonts w:ascii="Times New Roman" w:hAnsi="Times New Roman"/>
          <w:sz w:val="24"/>
          <w:szCs w:val="24"/>
          <w:rtl w:val="0"/>
          <w:lang w:val="en-US"/>
        </w:rPr>
        <w:t>. P</w:t>
      </w:r>
      <w:r>
        <w:rPr>
          <w:rFonts w:ascii="Times New Roman" w:hAnsi="Times New Roman"/>
          <w:sz w:val="24"/>
          <w:szCs w:val="24"/>
          <w:rtl w:val="0"/>
        </w:rPr>
        <w:t>p. 193-198</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[Accessed: </w:t>
      </w:r>
      <w:r>
        <w:rPr>
          <w:rFonts w:ascii="Times New Roman" w:hAnsi="Times New Roman"/>
          <w:sz w:val="24"/>
          <w:szCs w:val="24"/>
          <w:rtl w:val="0"/>
          <w:lang w:val="en-US"/>
        </w:rPr>
        <w:t>31/12</w:t>
      </w:r>
      <w:r>
        <w:rPr>
          <w:rFonts w:ascii="Times New Roman" w:hAnsi="Times New Roman"/>
          <w:sz w:val="24"/>
          <w:szCs w:val="24"/>
          <w:rtl w:val="0"/>
        </w:rPr>
        <w:t xml:space="preserve">/2016]. </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Pfeiffer, S. 2008. </w:t>
      </w:r>
      <w:r>
        <w:rPr>
          <w:rFonts w:ascii="Times New Roman" w:hAnsi="Times New Roman"/>
          <w:sz w:val="24"/>
          <w:szCs w:val="24"/>
          <w:rtl w:val="0"/>
          <w:lang w:val="en-US"/>
        </w:rPr>
        <w:t>The God Serapis</w:t>
      </w:r>
      <w:r>
        <w:rPr>
          <w:rFonts w:ascii="Times New Roman" w:hAnsi="Times New Roman"/>
          <w:sz w:val="24"/>
          <w:szCs w:val="24"/>
          <w:rtl w:val="0"/>
          <w:lang w:val="en-US"/>
        </w:rPr>
        <w:t xml:space="preserve">. </w:t>
      </w:r>
      <w:r>
        <w:rPr>
          <w:rStyle w:val="Hyperlink.4"/>
          <w:rFonts w:ascii="Times New Roman" w:hAnsi="Times New Roman"/>
          <w:sz w:val="24"/>
          <w:szCs w:val="24"/>
          <w:rtl w:val="0"/>
          <w:lang w:val="en-US"/>
        </w:rPr>
        <w:t>Ptolemy II Philadelphus and his World</w:t>
      </w:r>
      <w:r>
        <w:rPr>
          <w:rFonts w:ascii="Times New Roman" w:hAnsi="Times New Roman"/>
          <w:sz w:val="24"/>
          <w:szCs w:val="24"/>
          <w:rtl w:val="0"/>
          <w:lang w:val="en-US"/>
        </w:rPr>
        <w:t xml:space="preserve">. </w:t>
      </w:r>
      <w:r>
        <w:rPr>
          <w:rStyle w:val="None"/>
          <w:rFonts w:ascii="Times New Roman" w:hAnsi="Times New Roman"/>
          <w:sz w:val="24"/>
          <w:szCs w:val="24"/>
          <w:rtl w:val="0"/>
          <w:lang w:val="en-US"/>
        </w:rPr>
        <w:t>Brill. Volume 300. Leiden, Boston.</w:t>
      </w:r>
    </w:p>
    <w:p>
      <w:pPr>
        <w:pStyle w:val="Default"/>
        <w:bidi w:val="0"/>
        <w:spacing w:after="240"/>
        <w:ind w:left="0" w:right="0" w:firstLine="0"/>
        <w:jc w:val="both"/>
        <w:rPr>
          <w:rStyle w:val="None"/>
          <w:rFonts w:ascii="Times New Roman" w:cs="Times New Roman" w:hAnsi="Times New Roman" w:eastAsia="Times New Roman"/>
          <w:sz w:val="24"/>
          <w:szCs w:val="24"/>
          <w:rtl w:val="0"/>
        </w:rPr>
      </w:pPr>
      <w:r>
        <w:rPr>
          <w:rFonts w:ascii="Times New Roman" w:hAnsi="Times New Roman"/>
          <w:sz w:val="24"/>
          <w:szCs w:val="24"/>
          <w:rtl w:val="0"/>
          <w:lang w:val="en-US"/>
        </w:rPr>
        <w:t xml:space="preserve">Quack, J. F. 2008. Innovations in ancient Garb? Hieroglyphic texts from the time of Ptolemy Philadelphus. </w:t>
      </w:r>
      <w:r>
        <w:rPr>
          <w:rStyle w:val="Hyperlink.4"/>
          <w:rFonts w:ascii="Times New Roman" w:hAnsi="Times New Roman"/>
          <w:sz w:val="24"/>
          <w:szCs w:val="24"/>
          <w:rtl w:val="0"/>
          <w:lang w:val="en-US"/>
        </w:rPr>
        <w:t>Ptolemy II Philadelphus and his World</w:t>
      </w:r>
      <w:r>
        <w:rPr>
          <w:rFonts w:ascii="Times New Roman" w:hAnsi="Times New Roman"/>
          <w:sz w:val="24"/>
          <w:szCs w:val="24"/>
          <w:rtl w:val="0"/>
          <w:lang w:val="en-US"/>
        </w:rPr>
        <w:t xml:space="preserve">. </w:t>
      </w:r>
      <w:r>
        <w:rPr>
          <w:rStyle w:val="None"/>
          <w:rFonts w:ascii="Times New Roman" w:hAnsi="Times New Roman"/>
          <w:sz w:val="24"/>
          <w:szCs w:val="24"/>
          <w:rtl w:val="0"/>
          <w:lang w:val="en-US"/>
        </w:rPr>
        <w:t>Brill. Volume 300. Leiden, Boston.</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Range. P. 2009. </w:t>
      </w:r>
      <w:r>
        <w:rPr>
          <w:rStyle w:val="Hyperlink.4"/>
          <w:rFonts w:ascii="Times New Roman" w:hAnsi="Times New Roman"/>
          <w:sz w:val="24"/>
          <w:szCs w:val="24"/>
          <w:rtl w:val="0"/>
          <w:lang w:val="en-US"/>
        </w:rPr>
        <w:t>The Classical Quarterly, New Series</w:t>
      </w:r>
      <w:r>
        <w:rPr>
          <w:rFonts w:ascii="Times New Roman" w:hAnsi="Times New Roman"/>
          <w:sz w:val="24"/>
          <w:szCs w:val="24"/>
          <w:rtl w:val="0"/>
          <w:lang w:val="en-US"/>
        </w:rPr>
        <w:t xml:space="preserve">. Available at </w:t>
      </w:r>
      <w:r>
        <w:rPr>
          <w:rStyle w:val="Hyperlink.5"/>
          <w:rFonts w:ascii="Times New Roman" w:cs="Times New Roman" w:hAnsi="Times New Roman" w:eastAsia="Times New Roman"/>
          <w:color w:val="000000"/>
          <w:sz w:val="24"/>
          <w:szCs w:val="24"/>
          <w:u w:val="none" w:color="0000ff"/>
          <w:rtl w:val="0"/>
        </w:rPr>
        <w:fldChar w:fldCharType="begin" w:fldLock="0"/>
      </w:r>
      <w:r>
        <w:rPr>
          <w:rStyle w:val="Hyperlink.5"/>
          <w:rFonts w:ascii="Times New Roman" w:cs="Times New Roman" w:hAnsi="Times New Roman" w:eastAsia="Times New Roman"/>
          <w:color w:val="000000"/>
          <w:sz w:val="24"/>
          <w:szCs w:val="24"/>
          <w:u w:val="none" w:color="0000ff"/>
          <w:rtl w:val="0"/>
        </w:rPr>
        <w:instrText xml:space="preserve"> HYPERLINK "http://www.jstor.org/stable/20616664"</w:instrText>
      </w:r>
      <w:r>
        <w:rPr>
          <w:rStyle w:val="Hyperlink.5"/>
          <w:rFonts w:ascii="Times New Roman" w:cs="Times New Roman" w:hAnsi="Times New Roman" w:eastAsia="Times New Roman"/>
          <w:color w:val="000000"/>
          <w:sz w:val="24"/>
          <w:szCs w:val="24"/>
          <w:u w:val="none" w:color="0000ff"/>
          <w:rtl w:val="0"/>
        </w:rPr>
        <w:fldChar w:fldCharType="separate" w:fldLock="0"/>
      </w:r>
      <w:r>
        <w:rPr>
          <w:rStyle w:val="Hyperlink.5"/>
          <w:rFonts w:ascii="Times New Roman" w:hAnsi="Times New Roman"/>
          <w:color w:val="000000"/>
          <w:sz w:val="24"/>
          <w:szCs w:val="24"/>
          <w:u w:val="none" w:color="0000ff"/>
          <w:rtl w:val="0"/>
          <w:lang w:val="en-US"/>
        </w:rPr>
        <w:t>http://www.jstor.org/stable/20616664</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w:t>
      </w:r>
      <w:r>
        <w:rPr>
          <w:rFonts w:ascii="Times New Roman" w:hAnsi="Times New Roman"/>
          <w:sz w:val="24"/>
          <w:szCs w:val="24"/>
          <w:rtl w:val="0"/>
          <w:lang w:val="en-US"/>
        </w:rPr>
        <w:t xml:space="preserve"> Fragment of Diodorus.</w:t>
      </w:r>
      <w:r>
        <w:rPr>
          <w:rFonts w:ascii="Times New Roman" w:hAnsi="Times New Roman"/>
          <w:sz w:val="24"/>
          <w:szCs w:val="24"/>
          <w:rtl w:val="0"/>
          <w:lang w:val="en-US"/>
        </w:rPr>
        <w:t xml:space="preserve"> </w:t>
      </w:r>
      <w:r>
        <w:rPr>
          <w:rFonts w:ascii="Times New Roman" w:hAnsi="Times New Roman"/>
          <w:sz w:val="24"/>
          <w:szCs w:val="24"/>
          <w:rtl w:val="0"/>
          <w:lang w:val="en-US"/>
        </w:rPr>
        <w:t>Cambridge University Press on behalf of The Classical Association</w:t>
      </w:r>
      <w:r>
        <w:rPr>
          <w:rFonts w:ascii="Times New Roman" w:hAnsi="Times New Roman"/>
          <w:sz w:val="24"/>
          <w:szCs w:val="24"/>
          <w:rtl w:val="0"/>
          <w:lang w:val="en-US"/>
        </w:rPr>
        <w:t xml:space="preserve">. </w:t>
      </w:r>
      <w:r>
        <w:rPr>
          <w:rFonts w:ascii="Times New Roman" w:hAnsi="Times New Roman"/>
          <w:sz w:val="24"/>
          <w:szCs w:val="24"/>
          <w:rtl w:val="0"/>
        </w:rPr>
        <w:t>Vol. 59, No. 1</w:t>
      </w:r>
      <w:r>
        <w:rPr>
          <w:rFonts w:ascii="Times New Roman" w:hAnsi="Times New Roman"/>
          <w:sz w:val="24"/>
          <w:szCs w:val="24"/>
          <w:rtl w:val="0"/>
          <w:lang w:val="en-US"/>
        </w:rPr>
        <w:t>. P</w:t>
      </w:r>
      <w:r>
        <w:rPr>
          <w:rFonts w:ascii="Times New Roman" w:hAnsi="Times New Roman"/>
          <w:sz w:val="24"/>
          <w:szCs w:val="24"/>
          <w:rtl w:val="0"/>
        </w:rPr>
        <w:t>p. 91-111</w:t>
      </w:r>
      <w:r>
        <w:rPr>
          <w:rFonts w:ascii="Times New Roman" w:hAnsi="Times New Roman"/>
          <w:sz w:val="24"/>
          <w:szCs w:val="24"/>
          <w:rtl w:val="0"/>
          <w:lang w:val="en-US"/>
        </w:rPr>
        <w:t xml:space="preserve">. </w:t>
      </w:r>
      <w:r>
        <w:rPr>
          <w:rFonts w:ascii="Times New Roman" w:hAnsi="Times New Roman"/>
          <w:sz w:val="24"/>
          <w:szCs w:val="24"/>
          <w:rtl w:val="0"/>
          <w:lang w:val="en-US"/>
        </w:rPr>
        <w:t>[Accessed: 11/10/2016].</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Reed, J. D. 2000. </w:t>
      </w:r>
      <w:r>
        <w:rPr>
          <w:rFonts w:ascii="Times New Roman" w:hAnsi="Times New Roman"/>
          <w:sz w:val="24"/>
          <w:szCs w:val="24"/>
          <w:rtl w:val="0"/>
          <w:lang w:val="nl-NL"/>
        </w:rPr>
        <w:t>Arsinoe</w:t>
      </w:r>
      <w:r>
        <w:rPr>
          <w:rFonts w:ascii="Times New Roman" w:hAnsi="Times New Roman" w:hint="default"/>
          <w:sz w:val="24"/>
          <w:szCs w:val="24"/>
          <w:rtl w:val="0"/>
          <w:lang w:val="en-US"/>
        </w:rPr>
        <w:t>’</w:t>
      </w:r>
      <w:r>
        <w:rPr>
          <w:rFonts w:ascii="Times New Roman" w:hAnsi="Times New Roman"/>
          <w:sz w:val="24"/>
          <w:szCs w:val="24"/>
          <w:rtl w:val="0"/>
          <w:lang w:val="en-US"/>
        </w:rPr>
        <w:t>s Adonis and the Poetics of Ptolemaic Imperialism</w:t>
      </w:r>
      <w:r>
        <w:rPr>
          <w:rFonts w:ascii="Times New Roman" w:hAnsi="Times New Roman"/>
          <w:sz w:val="24"/>
          <w:szCs w:val="24"/>
          <w:rtl w:val="0"/>
          <w:lang w:val="en-US"/>
        </w:rPr>
        <w:t xml:space="preserve">. </w:t>
      </w:r>
      <w:r>
        <w:rPr>
          <w:rStyle w:val="Hyperlink.4"/>
          <w:rFonts w:ascii="Times New Roman" w:hAnsi="Times New Roman"/>
          <w:sz w:val="24"/>
          <w:szCs w:val="24"/>
          <w:rtl w:val="0"/>
          <w:lang w:val="en-US"/>
        </w:rPr>
        <w:t>Transactions of the American Philological Association (1974-</w:t>
      </w:r>
      <w:r>
        <w:rPr>
          <w:rStyle w:val="Hyperlink.4"/>
          <w:rFonts w:ascii="Times New Roman" w:hAnsi="Times New Roman"/>
          <w:sz w:val="24"/>
          <w:szCs w:val="24"/>
          <w:rtl w:val="0"/>
          <w:lang w:val="en-US"/>
        </w:rPr>
        <w:t>)</w:t>
      </w:r>
      <w:r>
        <w:rPr>
          <w:rFonts w:ascii="Times New Roman" w:hAnsi="Times New Roman"/>
          <w:sz w:val="24"/>
          <w:szCs w:val="24"/>
          <w:rtl w:val="0"/>
          <w:lang w:val="en-US"/>
        </w:rPr>
        <w:t xml:space="preserve">. 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"http://www.jstor.org/stable/284314"</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http://www.jstor.org/stable/284314</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Johns Hopkins University Press</w:t>
      </w:r>
      <w:r>
        <w:rPr>
          <w:rFonts w:ascii="Times New Roman" w:hAnsi="Times New Roman"/>
          <w:sz w:val="24"/>
          <w:szCs w:val="24"/>
          <w:rtl w:val="0"/>
          <w:lang w:val="en-US"/>
        </w:rPr>
        <w:t xml:space="preserve">. </w:t>
      </w:r>
      <w:r>
        <w:rPr>
          <w:rFonts w:ascii="Times New Roman" w:hAnsi="Times New Roman"/>
          <w:sz w:val="24"/>
          <w:szCs w:val="24"/>
          <w:rtl w:val="0"/>
        </w:rPr>
        <w:t>Vol. 130</w:t>
      </w:r>
      <w:r>
        <w:rPr>
          <w:rFonts w:ascii="Times New Roman" w:hAnsi="Times New Roman"/>
          <w:sz w:val="24"/>
          <w:szCs w:val="24"/>
          <w:rtl w:val="0"/>
          <w:lang w:val="en-US"/>
        </w:rPr>
        <w:t>. P</w:t>
      </w:r>
      <w:r>
        <w:rPr>
          <w:rFonts w:ascii="Times New Roman" w:hAnsi="Times New Roman"/>
          <w:sz w:val="24"/>
          <w:szCs w:val="24"/>
          <w:rtl w:val="0"/>
        </w:rPr>
        <w:t>p. 319-351</w:t>
      </w:r>
      <w:r>
        <w:rPr>
          <w:rFonts w:ascii="Times New Roman" w:hAnsi="Times New Roman"/>
          <w:sz w:val="24"/>
          <w:szCs w:val="24"/>
          <w:rtl w:val="0"/>
          <w:lang w:val="en-US"/>
        </w:rPr>
        <w:t>.</w:t>
      </w:r>
      <w:r>
        <w:rPr>
          <w:rFonts w:ascii="Times New Roman" w:hAnsi="Times New Roman"/>
          <w:sz w:val="24"/>
          <w:szCs w:val="24"/>
          <w:rtl w:val="0"/>
          <w:lang w:val="en-US"/>
        </w:rPr>
        <w:t xml:space="preserve">[Accessed: </w:t>
      </w:r>
      <w:r>
        <w:rPr>
          <w:rFonts w:ascii="Times New Roman" w:hAnsi="Times New Roman"/>
          <w:sz w:val="24"/>
          <w:szCs w:val="24"/>
          <w:rtl w:val="0"/>
          <w:lang w:val="en-US"/>
        </w:rPr>
        <w:t>21/01/2016</w:t>
      </w:r>
      <w:r>
        <w:rPr>
          <w:rFonts w:ascii="Times New Roman" w:hAnsi="Times New Roman"/>
          <w:sz w:val="24"/>
          <w:szCs w:val="24"/>
          <w:rtl w:val="0"/>
        </w:rPr>
        <w:t>]</w:t>
      </w:r>
      <w:r>
        <w:rPr>
          <w:rFonts w:ascii="Times New Roman" w:hAnsi="Times New Roman"/>
          <w:sz w:val="24"/>
          <w:szCs w:val="24"/>
          <w:rtl w:val="0"/>
          <w:lang w:val="en-US"/>
        </w:rPr>
        <w:t>.</w:t>
      </w:r>
    </w:p>
    <w:p>
      <w:pPr>
        <w:pStyle w:val="Default"/>
        <w:bidi w:val="0"/>
        <w:spacing w:after="240"/>
        <w:ind w:left="0" w:right="0" w:firstLine="0"/>
        <w:jc w:val="both"/>
        <w:rPr>
          <w:rStyle w:val="None"/>
          <w:rFonts w:ascii="Times New Roman" w:cs="Times New Roman" w:hAnsi="Times New Roman" w:eastAsia="Times New Roman"/>
          <w:sz w:val="24"/>
          <w:szCs w:val="24"/>
          <w:rtl w:val="0"/>
        </w:rPr>
      </w:pPr>
      <w:r>
        <w:rPr>
          <w:rFonts w:ascii="Times New Roman" w:hAnsi="Times New Roman"/>
          <w:sz w:val="24"/>
          <w:szCs w:val="24"/>
          <w:rtl w:val="0"/>
          <w:lang w:val="en-US"/>
        </w:rPr>
        <w:t xml:space="preserve">Salmenkivi, E. 2008. Herakleopolis Magna under Philadelphus. </w:t>
      </w:r>
      <w:r>
        <w:rPr>
          <w:rStyle w:val="Hyperlink.4"/>
          <w:rFonts w:ascii="Times New Roman" w:hAnsi="Times New Roman"/>
          <w:sz w:val="24"/>
          <w:szCs w:val="24"/>
          <w:rtl w:val="0"/>
          <w:lang w:val="en-US"/>
        </w:rPr>
        <w:t>Ptolemy II Philadelphus and his World</w:t>
      </w:r>
      <w:r>
        <w:rPr>
          <w:rFonts w:ascii="Times New Roman" w:hAnsi="Times New Roman"/>
          <w:sz w:val="24"/>
          <w:szCs w:val="24"/>
          <w:rtl w:val="0"/>
          <w:lang w:val="en-US"/>
        </w:rPr>
        <w:t xml:space="preserve">. </w:t>
      </w:r>
      <w:r>
        <w:rPr>
          <w:rStyle w:val="None"/>
          <w:rFonts w:ascii="Times New Roman" w:hAnsi="Times New Roman"/>
          <w:sz w:val="24"/>
          <w:szCs w:val="24"/>
          <w:rtl w:val="0"/>
          <w:lang w:val="en-US"/>
        </w:rPr>
        <w:t>Brill. Volume 300. Leiden, Boston.</w:t>
      </w:r>
    </w:p>
    <w:p>
      <w:pPr>
        <w:pStyle w:val="Default"/>
        <w:bidi w:val="0"/>
        <w:spacing w:after="240"/>
        <w:ind w:left="0" w:right="0" w:firstLine="0"/>
        <w:jc w:val="both"/>
        <w:rPr>
          <w:rStyle w:val="None"/>
          <w:rFonts w:ascii="Times New Roman" w:cs="Times New Roman" w:hAnsi="Times New Roman" w:eastAsia="Times New Roman"/>
          <w:sz w:val="24"/>
          <w:szCs w:val="24"/>
          <w:rtl w:val="0"/>
        </w:rPr>
      </w:pPr>
      <w:r>
        <w:rPr>
          <w:rFonts w:ascii="Times New Roman" w:hAnsi="Times New Roman"/>
          <w:sz w:val="24"/>
          <w:szCs w:val="24"/>
          <w:rtl w:val="0"/>
        </w:rPr>
        <w:t>Seland</w:t>
      </w:r>
      <w:r>
        <w:rPr>
          <w:rFonts w:ascii="Times New Roman" w:hAnsi="Times New Roman"/>
          <w:sz w:val="24"/>
          <w:szCs w:val="24"/>
          <w:rtl w:val="0"/>
          <w:lang w:val="en-US"/>
        </w:rPr>
        <w:t xml:space="preserve">, E. H. 2009. </w:t>
      </w:r>
      <w:r>
        <w:rPr>
          <w:rFonts w:ascii="Times New Roman" w:hAnsi="Times New Roman"/>
          <w:sz w:val="24"/>
          <w:szCs w:val="24"/>
          <w:rtl w:val="0"/>
          <w:lang w:val="en-US"/>
        </w:rPr>
        <w:t>Shipwreck, Maroons and Monsters: The Hazards of Ancient Red Sea Navigation</w:t>
      </w:r>
      <w:r>
        <w:rPr>
          <w:rFonts w:ascii="Times New Roman" w:hAnsi="Times New Roman"/>
          <w:sz w:val="24"/>
          <w:szCs w:val="24"/>
          <w:rtl w:val="0"/>
          <w:lang w:val="en-US"/>
        </w:rPr>
        <w:t xml:space="preserve">. </w:t>
      </w:r>
      <w:r>
        <w:rPr>
          <w:rStyle w:val="Hyperlink.4"/>
          <w:rFonts w:ascii="Times New Roman" w:hAnsi="Times New Roman"/>
          <w:sz w:val="24"/>
          <w:szCs w:val="24"/>
          <w:rtl w:val="0"/>
          <w:lang w:val="en-US"/>
        </w:rPr>
        <w:t>Connected hinterlands: proceedings of Red sea project IV.</w:t>
      </w:r>
      <w:r>
        <w:rPr>
          <w:rFonts w:ascii="Times New Roman" w:hAnsi="Times New Roman"/>
          <w:sz w:val="24"/>
          <w:szCs w:val="24"/>
          <w:rtl w:val="0"/>
          <w:lang w:val="en-US"/>
        </w:rPr>
        <w:t xml:space="preserve"> </w:t>
      </w:r>
      <w:r>
        <w:rPr>
          <w:rFonts w:ascii="Times New Roman" w:hAnsi="Times New Roman"/>
          <w:sz w:val="24"/>
          <w:szCs w:val="24"/>
          <w:rtl w:val="0"/>
          <w:lang w:val="en-US"/>
        </w:rPr>
        <w:t>Society for Arabian Studies Monographs No. 8</w:t>
      </w:r>
      <w:r>
        <w:rPr>
          <w:rFonts w:ascii="Times New Roman" w:hAnsi="Times New Roman"/>
          <w:sz w:val="24"/>
          <w:szCs w:val="24"/>
          <w:rtl w:val="0"/>
          <w:lang w:val="en-US"/>
        </w:rPr>
        <w:t xml:space="preserve">. </w:t>
      </w:r>
      <w:r>
        <w:rPr>
          <w:rFonts w:ascii="Times New Roman" w:hAnsi="Times New Roman"/>
          <w:sz w:val="24"/>
          <w:szCs w:val="24"/>
          <w:rtl w:val="0"/>
          <w:lang w:val="en-US"/>
        </w:rPr>
        <w:t>BAR International Series 2052</w:t>
      </w:r>
      <w:r>
        <w:rPr>
          <w:rFonts w:ascii="Times New Roman" w:hAnsi="Times New Roman"/>
          <w:sz w:val="24"/>
          <w:szCs w:val="24"/>
          <w:rtl w:val="0"/>
          <w:lang w:val="en-US"/>
        </w:rPr>
        <w:t xml:space="preserve">. </w:t>
      </w:r>
      <w:r>
        <w:rPr>
          <w:rFonts w:ascii="Times New Roman" w:hAnsi="Times New Roman"/>
          <w:sz w:val="24"/>
          <w:szCs w:val="24"/>
          <w:rtl w:val="0"/>
          <w:lang w:val="en-US"/>
        </w:rPr>
        <w:t>University of Southampton</w:t>
      </w:r>
      <w:r>
        <w:rPr>
          <w:rFonts w:ascii="Times New Roman" w:hAnsi="Times New Roman"/>
          <w:sz w:val="24"/>
          <w:szCs w:val="24"/>
          <w:rtl w:val="0"/>
          <w:lang w:val="en-US"/>
        </w:rPr>
        <w:t>. Pp 177-186.</w:t>
      </w:r>
      <w:r>
        <w:rPr>
          <w:rFonts w:ascii="Times New Roman" w:hAnsi="Times New Roman"/>
          <w:sz w:val="24"/>
          <w:szCs w:val="24"/>
          <w:rtl w:val="0"/>
        </w:rPr>
        <w:t xml:space="preserve"> </w:t>
      </w:r>
    </w:p>
    <w:p>
      <w:pPr>
        <w:pStyle w:val="Default"/>
        <w:bidi w:val="0"/>
        <w:spacing w:after="240"/>
        <w:ind w:left="0" w:right="0" w:firstLine="0"/>
        <w:jc w:val="both"/>
        <w:rPr>
          <w:rFonts w:ascii="Times New Roman" w:cs="Times New Roman" w:hAnsi="Times New Roman" w:eastAsia="Times New Roman"/>
          <w:sz w:val="24"/>
          <w:szCs w:val="24"/>
          <w:rtl w:val="0"/>
        </w:rPr>
      </w:pPr>
      <w:r>
        <w:rPr>
          <w:rStyle w:val="None"/>
          <w:rFonts w:ascii="Times New Roman" w:hAnsi="Times New Roman"/>
          <w:sz w:val="24"/>
          <w:szCs w:val="24"/>
          <w:rtl w:val="0"/>
        </w:rPr>
        <w:t>Seland</w:t>
      </w:r>
      <w:r>
        <w:rPr>
          <w:rStyle w:val="None"/>
          <w:rFonts w:ascii="Times New Roman" w:hAnsi="Times New Roman"/>
          <w:sz w:val="24"/>
          <w:szCs w:val="24"/>
          <w:rtl w:val="0"/>
          <w:lang w:val="en-US"/>
        </w:rPr>
        <w:t xml:space="preserve">, E. H. 2014. </w:t>
      </w:r>
      <w:r>
        <w:rPr>
          <w:rStyle w:val="None"/>
          <w:rFonts w:ascii="Times New Roman" w:hAnsi="Times New Roman"/>
          <w:sz w:val="24"/>
          <w:szCs w:val="24"/>
          <w:rtl w:val="0"/>
          <w:lang w:val="en-US"/>
        </w:rPr>
        <w:t xml:space="preserve"> Archaeology of Trade in the Western Indian Ocean, 300 BC</w:t>
      </w:r>
      <w:r>
        <w:rPr>
          <w:rStyle w:val="None"/>
          <w:rFonts w:ascii="Times New Roman" w:hAnsi="Times New Roman" w:hint="default"/>
          <w:sz w:val="24"/>
          <w:szCs w:val="24"/>
          <w:rtl w:val="0"/>
        </w:rPr>
        <w:t>–</w:t>
      </w:r>
      <w:r>
        <w:rPr>
          <w:rStyle w:val="None"/>
          <w:rFonts w:ascii="Times New Roman" w:hAnsi="Times New Roman"/>
          <w:sz w:val="24"/>
          <w:szCs w:val="24"/>
          <w:rtl w:val="0"/>
        </w:rPr>
        <w:t>AD 700</w:t>
      </w:r>
      <w:r>
        <w:rPr>
          <w:rStyle w:val="None"/>
          <w:rFonts w:ascii="Times New Roman" w:hAnsi="Times New Roman"/>
          <w:sz w:val="24"/>
          <w:szCs w:val="24"/>
          <w:rtl w:val="0"/>
          <w:lang w:val="en-US"/>
        </w:rPr>
        <w:t xml:space="preserve">. Available at </w:t>
      </w:r>
      <w:r>
        <w:rPr>
          <w:rStyle w:val="None"/>
          <w:rFonts w:ascii="Times New Roman" w:hAnsi="Times New Roman"/>
          <w:sz w:val="24"/>
          <w:szCs w:val="24"/>
          <w:rtl w:val="0"/>
          <w:lang w:val="da-DK"/>
        </w:rPr>
        <w:t>Springerlink.com</w:t>
      </w:r>
      <w:r>
        <w:rPr>
          <w:rStyle w:val="None"/>
          <w:rFonts w:ascii="Times New Roman" w:hAnsi="Times New Roman"/>
          <w:sz w:val="24"/>
          <w:szCs w:val="24"/>
          <w:rtl w:val="0"/>
          <w:lang w:val="en-US"/>
        </w:rPr>
        <w:t>.</w:t>
      </w:r>
      <w:r>
        <w:rPr>
          <w:rStyle w:val="None"/>
          <w:rFonts w:ascii="Times New Roman" w:hAnsi="Times New Roman"/>
          <w:sz w:val="24"/>
          <w:szCs w:val="24"/>
          <w:rtl w:val="0"/>
        </w:rPr>
        <w:t xml:space="preserve"> </w:t>
      </w:r>
      <w:r>
        <w:rPr>
          <w:rStyle w:val="None"/>
          <w:rFonts w:ascii="Times New Roman" w:hAnsi="Times New Roman"/>
          <w:sz w:val="24"/>
          <w:szCs w:val="24"/>
          <w:rtl w:val="0"/>
          <w:lang w:val="en-US"/>
        </w:rPr>
        <w:t>Springer. Vol 402. Pp 367-402.</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Shipley, G. 2005. </w:t>
      </w:r>
      <w:r>
        <w:rPr>
          <w:rFonts w:ascii="Times New Roman" w:hAnsi="Times New Roman"/>
          <w:sz w:val="24"/>
          <w:szCs w:val="24"/>
          <w:rtl w:val="0"/>
          <w:lang w:val="en-US"/>
        </w:rPr>
        <w:t>Between Macedonia and Rome: Political Landscapes and Social Change in Southern Greece in the Early Hellenistic Period</w:t>
      </w:r>
      <w:r>
        <w:rPr>
          <w:rFonts w:ascii="Times New Roman" w:hAnsi="Times New Roman"/>
          <w:sz w:val="24"/>
          <w:szCs w:val="24"/>
          <w:rtl w:val="0"/>
          <w:lang w:val="en-US"/>
        </w:rPr>
        <w:t xml:space="preserve">. </w:t>
      </w:r>
      <w:r>
        <w:rPr>
          <w:rStyle w:val="Hyperlink.4"/>
          <w:rFonts w:ascii="Times New Roman" w:hAnsi="Times New Roman"/>
          <w:sz w:val="24"/>
          <w:szCs w:val="24"/>
          <w:rtl w:val="0"/>
          <w:lang w:val="en-US"/>
        </w:rPr>
        <w:t>The Annual of the British School at Athens</w:t>
      </w:r>
      <w:r>
        <w:rPr>
          <w:rFonts w:ascii="Times New Roman" w:hAnsi="Times New Roman"/>
          <w:sz w:val="24"/>
          <w:szCs w:val="24"/>
          <w:rtl w:val="0"/>
          <w:lang w:val="en-US"/>
        </w:rPr>
        <w:t xml:space="preserve">. 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"http://www.jstor.org/stable/30073231"</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http://www.jstor.org/stable/30073231</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British School at Athens</w:t>
      </w:r>
      <w:r>
        <w:rPr>
          <w:rFonts w:ascii="Times New Roman" w:hAnsi="Times New Roman"/>
          <w:sz w:val="24"/>
          <w:szCs w:val="24"/>
          <w:rtl w:val="0"/>
          <w:lang w:val="en-US"/>
        </w:rPr>
        <w:t xml:space="preserve">. </w:t>
      </w:r>
      <w:r>
        <w:rPr>
          <w:rFonts w:ascii="Times New Roman" w:hAnsi="Times New Roman"/>
          <w:sz w:val="24"/>
          <w:szCs w:val="24"/>
          <w:rtl w:val="0"/>
        </w:rPr>
        <w:t>Vol. 100, Centennial Volume</w:t>
      </w:r>
      <w:r>
        <w:rPr>
          <w:rFonts w:ascii="Times New Roman" w:hAnsi="Times New Roman"/>
          <w:sz w:val="24"/>
          <w:szCs w:val="24"/>
          <w:rtl w:val="0"/>
          <w:lang w:val="en-US"/>
        </w:rPr>
        <w:t xml:space="preserve">. </w:t>
      </w:r>
      <w:r>
        <w:rPr>
          <w:rFonts w:ascii="Times New Roman" w:hAnsi="Times New Roman"/>
          <w:sz w:val="24"/>
          <w:szCs w:val="24"/>
          <w:rtl w:val="0"/>
        </w:rPr>
        <w:t>pp. 315- 330</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[Accessed: </w:t>
      </w:r>
      <w:r>
        <w:rPr>
          <w:rFonts w:ascii="Times New Roman" w:hAnsi="Times New Roman"/>
          <w:sz w:val="24"/>
          <w:szCs w:val="24"/>
          <w:rtl w:val="0"/>
          <w:lang w:val="en-US"/>
        </w:rPr>
        <w:t>18/01/2016</w:t>
      </w:r>
      <w:r>
        <w:rPr>
          <w:rFonts w:ascii="Times New Roman" w:hAnsi="Times New Roman"/>
          <w:sz w:val="24"/>
          <w:szCs w:val="24"/>
          <w:rtl w:val="0"/>
        </w:rPr>
        <w:t>]</w:t>
      </w:r>
      <w:r>
        <w:rPr>
          <w:rFonts w:ascii="Times New Roman" w:hAnsi="Times New Roman"/>
          <w:sz w:val="24"/>
          <w:szCs w:val="24"/>
          <w:rtl w:val="0"/>
          <w:lang w:val="en-US"/>
        </w:rPr>
        <w:t>.</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Sidebotham, S. E. 2008. </w:t>
      </w:r>
      <w:r>
        <w:rPr>
          <w:rFonts w:ascii="Times New Roman" w:hAnsi="Times New Roman"/>
          <w:sz w:val="24"/>
          <w:szCs w:val="24"/>
          <w:rtl w:val="0"/>
          <w:lang w:val="en-US"/>
        </w:rPr>
        <w:t>Archaeological Evidence for Ships and Harbor Facilities at Berenike (Red Sea Coast)</w:t>
      </w:r>
      <w:r>
        <w:rPr>
          <w:rFonts w:ascii="Times New Roman" w:hAnsi="Times New Roman"/>
          <w:sz w:val="24"/>
          <w:szCs w:val="24"/>
          <w:rtl w:val="0"/>
          <w:lang w:val="en-US"/>
        </w:rPr>
        <w:t xml:space="preserve">. </w:t>
      </w:r>
      <w:r>
        <w:rPr>
          <w:rStyle w:val="Hyperlink.4"/>
          <w:rFonts w:ascii="Times New Roman" w:hAnsi="Times New Roman"/>
          <w:sz w:val="24"/>
          <w:szCs w:val="24"/>
          <w:rtl w:val="0"/>
          <w:lang w:val="en-US"/>
        </w:rPr>
        <w:t>Memoirs of the American Academy in Rome</w:t>
      </w:r>
      <w:r>
        <w:rPr>
          <w:rFonts w:ascii="Times New Roman" w:hAnsi="Times New Roman"/>
          <w:sz w:val="24"/>
          <w:szCs w:val="24"/>
          <w:rtl w:val="0"/>
          <w:lang w:val="en-US"/>
        </w:rPr>
        <w:t xml:space="preserve">. Supplementary Volumes, </w:t>
      </w:r>
      <w:r>
        <w:rPr>
          <w:rFonts w:ascii="Times New Roman" w:hAnsi="Times New Roman"/>
          <w:sz w:val="24"/>
          <w:szCs w:val="24"/>
          <w:rtl w:val="0"/>
          <w:lang w:val="en-US"/>
        </w:rPr>
        <w:t xml:space="preserve">Available at </w:t>
      </w:r>
      <w:r>
        <w:rPr>
          <w:rStyle w:val="Hyperlink.5"/>
          <w:rFonts w:ascii="Times New Roman" w:cs="Times New Roman" w:hAnsi="Times New Roman" w:eastAsia="Times New Roman"/>
          <w:color w:val="000000"/>
          <w:sz w:val="24"/>
          <w:szCs w:val="24"/>
          <w:u w:val="none" w:color="0000ff"/>
          <w:rtl w:val="0"/>
        </w:rPr>
        <w:fldChar w:fldCharType="begin" w:fldLock="0"/>
      </w:r>
      <w:r>
        <w:rPr>
          <w:rStyle w:val="Hyperlink.5"/>
          <w:rFonts w:ascii="Times New Roman" w:cs="Times New Roman" w:hAnsi="Times New Roman" w:eastAsia="Times New Roman"/>
          <w:color w:val="000000"/>
          <w:sz w:val="24"/>
          <w:szCs w:val="24"/>
          <w:u w:val="none" w:color="0000ff"/>
          <w:rtl w:val="0"/>
        </w:rPr>
        <w:instrText xml:space="preserve"> HYPERLINK "http://www.jstor.org/stable/40379309"</w:instrText>
      </w:r>
      <w:r>
        <w:rPr>
          <w:rStyle w:val="Hyperlink.5"/>
          <w:rFonts w:ascii="Times New Roman" w:cs="Times New Roman" w:hAnsi="Times New Roman" w:eastAsia="Times New Roman"/>
          <w:color w:val="000000"/>
          <w:sz w:val="24"/>
          <w:szCs w:val="24"/>
          <w:u w:val="none" w:color="0000ff"/>
          <w:rtl w:val="0"/>
        </w:rPr>
        <w:fldChar w:fldCharType="separate" w:fldLock="0"/>
      </w:r>
      <w:r>
        <w:rPr>
          <w:rStyle w:val="Hyperlink.5"/>
          <w:rFonts w:ascii="Times New Roman" w:hAnsi="Times New Roman"/>
          <w:color w:val="000000"/>
          <w:sz w:val="24"/>
          <w:szCs w:val="24"/>
          <w:u w:val="none" w:color="0000ff"/>
          <w:rtl w:val="0"/>
          <w:lang w:val="en-US"/>
        </w:rPr>
        <w:t>www.jstor.org/stable/40379309</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The Maritime World of Ancient Rome</w:t>
      </w:r>
      <w:r>
        <w:rPr>
          <w:rFonts w:ascii="Times New Roman" w:hAnsi="Times New Roman"/>
          <w:sz w:val="24"/>
          <w:szCs w:val="24"/>
          <w:rtl w:val="0"/>
          <w:lang w:val="en-US"/>
        </w:rPr>
        <w:t xml:space="preserve">. </w:t>
      </w:r>
      <w:r>
        <w:rPr>
          <w:rFonts w:ascii="Times New Roman" w:hAnsi="Times New Roman"/>
          <w:sz w:val="24"/>
          <w:szCs w:val="24"/>
          <w:rtl w:val="0"/>
          <w:lang w:val="en-US"/>
        </w:rPr>
        <w:t>University of Michigan Press for the American Academy in Rome</w:t>
      </w:r>
      <w:r>
        <w:rPr>
          <w:rFonts w:ascii="Times New Roman" w:hAnsi="Times New Roman"/>
          <w:sz w:val="24"/>
          <w:szCs w:val="24"/>
          <w:rtl w:val="0"/>
          <w:lang w:val="en-US"/>
        </w:rPr>
        <w:t>. Vol 6. P</w:t>
      </w:r>
      <w:r>
        <w:rPr>
          <w:rFonts w:ascii="Times New Roman" w:hAnsi="Times New Roman"/>
          <w:sz w:val="24"/>
          <w:szCs w:val="24"/>
          <w:rtl w:val="0"/>
        </w:rPr>
        <w:t>p. 305-324</w:t>
      </w:r>
      <w:r>
        <w:rPr>
          <w:rFonts w:ascii="Times New Roman" w:hAnsi="Times New Roman"/>
          <w:sz w:val="24"/>
          <w:szCs w:val="24"/>
          <w:rtl w:val="0"/>
          <w:lang w:val="en-US"/>
        </w:rPr>
        <w:t xml:space="preserve">. </w:t>
      </w:r>
      <w:r>
        <w:rPr>
          <w:rFonts w:ascii="Times New Roman" w:hAnsi="Times New Roman"/>
          <w:sz w:val="24"/>
          <w:szCs w:val="24"/>
          <w:rtl w:val="0"/>
          <w:lang w:val="en-US"/>
        </w:rPr>
        <w:t>[Accessed: 31/12/2016].</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rPr>
        <w:t>S</w:t>
      </w:r>
      <w:r>
        <w:rPr>
          <w:rFonts w:ascii="Times New Roman" w:hAnsi="Times New Roman"/>
          <w:sz w:val="24"/>
          <w:szCs w:val="24"/>
          <w:rtl w:val="0"/>
          <w:lang w:val="en-US"/>
        </w:rPr>
        <w:t xml:space="preserve">idebotham, S. E. 2011. </w:t>
      </w:r>
      <w:r>
        <w:rPr>
          <w:rFonts w:ascii="Times New Roman" w:hAnsi="Times New Roman"/>
          <w:sz w:val="24"/>
          <w:szCs w:val="24"/>
          <w:rtl w:val="0"/>
          <w:lang w:val="en-US"/>
        </w:rPr>
        <w:t>Berenike and the Ancient Maritime Spice Route</w:t>
      </w:r>
      <w:r>
        <w:rPr>
          <w:rStyle w:val="Hyperlink.4"/>
          <w:rFonts w:ascii="Times New Roman" w:hAnsi="Times New Roman"/>
          <w:sz w:val="24"/>
          <w:szCs w:val="24"/>
          <w:rtl w:val="0"/>
          <w:lang w:val="en-US"/>
        </w:rPr>
        <w:t>. California World History</w:t>
      </w:r>
      <w:r>
        <w:rPr>
          <w:rFonts w:ascii="Times New Roman" w:hAnsi="Times New Roman"/>
          <w:sz w:val="24"/>
          <w:szCs w:val="24"/>
          <w:rtl w:val="0"/>
          <w:lang w:val="en-US"/>
        </w:rPr>
        <w:t xml:space="preserve"> Library 18. An Ahmanson Foundation Book in the Humanities. Berkeley, Los Angeles, and London</w:t>
      </w:r>
      <w:r>
        <w:rPr>
          <w:rFonts w:ascii="Times New Roman" w:hAnsi="Times New Roman"/>
          <w:sz w:val="24"/>
          <w:szCs w:val="24"/>
          <w:rtl w:val="0"/>
          <w:lang w:val="en-US"/>
        </w:rPr>
        <w:t>.</w:t>
      </w:r>
      <w:r>
        <w:rPr>
          <w:rFonts w:ascii="Times New Roman" w:hAnsi="Times New Roman"/>
          <w:sz w:val="24"/>
          <w:szCs w:val="24"/>
          <w:rtl w:val="0"/>
          <w:lang w:val="en-US"/>
        </w:rPr>
        <w:t xml:space="preserve"> University of California Press</w:t>
      </w:r>
      <w:r>
        <w:rPr>
          <w:rFonts w:ascii="Times New Roman" w:hAnsi="Times New Roman"/>
          <w:sz w:val="24"/>
          <w:szCs w:val="24"/>
          <w:rtl w:val="0"/>
          <w:lang w:val="en-US"/>
        </w:rPr>
        <w:t xml:space="preserve">. Vol 17, </w:t>
      </w:r>
      <w:r>
        <w:rPr>
          <w:rFonts w:ascii="Times New Roman" w:hAnsi="Times New Roman"/>
          <w:sz w:val="24"/>
          <w:szCs w:val="24"/>
          <w:rtl w:val="0"/>
        </w:rPr>
        <w:t>434</w:t>
      </w:r>
      <w:r>
        <w:rPr>
          <w:rFonts w:ascii="Times New Roman" w:hAnsi="Times New Roman"/>
          <w:sz w:val="24"/>
          <w:szCs w:val="24"/>
          <w:rtl w:val="0"/>
          <w:lang w:val="en-US"/>
        </w:rPr>
        <w:t xml:space="preserve">. </w:t>
      </w:r>
    </w:p>
    <w:p>
      <w:pPr>
        <w:pStyle w:val="justify"/>
        <w:jc w:val="both"/>
      </w:pPr>
      <w:r>
        <w:rPr>
          <w:rStyle w:val="None"/>
          <w:rtl w:val="0"/>
          <w:lang w:val="en-US"/>
        </w:rPr>
        <w:t xml:space="preserve">Smith M. H. 1999. Ptolemy II Philadelphus entry in historical sourcebook. Available at </w:t>
      </w:r>
      <w:r>
        <w:rPr>
          <w:rStyle w:val="Hyperlink.5"/>
        </w:rPr>
        <w:fldChar w:fldCharType="begin" w:fldLock="0"/>
      </w:r>
      <w:r>
        <w:rPr>
          <w:rStyle w:val="Hyperlink.5"/>
        </w:rPr>
        <w:instrText xml:space="preserve"> HYPERLINK "http://virtualreligion.net/iho/ptolemy_2.html"</w:instrText>
      </w:r>
      <w:r>
        <w:rPr>
          <w:rStyle w:val="Hyperlink.5"/>
        </w:rPr>
        <w:fldChar w:fldCharType="separate" w:fldLock="0"/>
      </w:r>
      <w:r>
        <w:rPr>
          <w:rStyle w:val="Hyperlink.5"/>
          <w:rtl w:val="0"/>
          <w:lang w:val="en-US"/>
        </w:rPr>
        <w:t>http://virtualreligion.net/iho/ptolemy_2.html</w:t>
      </w:r>
      <w:r>
        <w:rPr/>
        <w:fldChar w:fldCharType="end" w:fldLock="0"/>
      </w:r>
      <w:r>
        <w:rPr>
          <w:rStyle w:val="None"/>
          <w:rtl w:val="0"/>
          <w:lang w:val="en-US"/>
        </w:rPr>
        <w:t xml:space="preserve">. </w:t>
      </w:r>
      <w:r>
        <w:rPr>
          <w:rStyle w:val="None"/>
          <w:rtl w:val="0"/>
          <w:lang w:val="en-US"/>
        </w:rPr>
        <w:t>Perspective on the World of Jesus</w:t>
      </w:r>
      <w:r>
        <w:rPr>
          <w:rStyle w:val="None"/>
          <w:rtl w:val="0"/>
          <w:lang w:val="en-US"/>
        </w:rPr>
        <w:t>. A</w:t>
      </w:r>
      <w:r>
        <w:rPr>
          <w:rtl w:val="0"/>
          <w:lang w:val="en-US"/>
        </w:rPr>
        <w:t>n American Theological Library Association Selected Religion Website</w:t>
      </w:r>
      <w:r>
        <w:rPr>
          <w:rtl w:val="0"/>
          <w:lang w:val="en-US"/>
        </w:rPr>
        <w:t>.</w:t>
      </w:r>
    </w:p>
    <w:p>
      <w:pPr>
        <w:pStyle w:val="justify"/>
        <w:jc w:val="both"/>
      </w:pPr>
    </w:p>
    <w:p>
      <w:pPr>
        <w:pStyle w:val="justify"/>
        <w:jc w:val="both"/>
      </w:pPr>
      <w:r>
        <w:rPr>
          <w:rStyle w:val="None"/>
          <w:rtl w:val="0"/>
          <w:lang w:val="nl-NL"/>
        </w:rPr>
        <w:t>Strootman</w:t>
      </w:r>
      <w:r>
        <w:rPr>
          <w:rtl w:val="0"/>
          <w:lang w:val="en-US"/>
        </w:rPr>
        <w:t xml:space="preserve"> R. 2005. </w:t>
      </w:r>
      <w:r>
        <w:rPr>
          <w:rStyle w:val="None"/>
          <w:rtl w:val="0"/>
          <w:lang w:val="en-US"/>
        </w:rPr>
        <w:t>Kings against Celts.</w:t>
      </w:r>
      <w:r>
        <w:rPr>
          <w:rStyle w:val="None"/>
          <w:i w:val="1"/>
          <w:iCs w:val="1"/>
          <w:rtl w:val="0"/>
          <w:lang w:val="en-US"/>
        </w:rPr>
        <w:t xml:space="preserve"> Deliverance from Barbarians as a Theme in Hellenistic Royal Propaganda,</w:t>
      </w:r>
      <w:r>
        <w:rPr>
          <w:rStyle w:val="None"/>
          <w:rtl w:val="0"/>
          <w:lang w:val="en-US"/>
        </w:rPr>
        <w:t xml:space="preserve"> in: Karl A.E. Enenkel/Ilja Leonard Pfeijffer (eds.): The Manipulative Mode. Political Propaganda in Antiquity. A Collection of Case Studies, Leiden</w:t>
      </w:r>
      <w:r>
        <w:rPr>
          <w:rStyle w:val="None"/>
          <w:rtl w:val="0"/>
          <w:lang w:val="en-US"/>
        </w:rPr>
        <w:t xml:space="preserve">. Vol </w:t>
      </w:r>
      <w:r>
        <w:rPr>
          <w:rStyle w:val="None"/>
          <w:rtl w:val="0"/>
          <w:lang w:val="en-US"/>
        </w:rPr>
        <w:t>101</w:t>
      </w:r>
      <w:r>
        <w:rPr>
          <w:rtl w:val="0"/>
          <w:lang w:val="en-US"/>
        </w:rPr>
        <w:t>–</w:t>
      </w:r>
      <w:r>
        <w:rPr>
          <w:rtl w:val="0"/>
          <w:lang w:val="en-US"/>
        </w:rPr>
        <w:t>41.</w:t>
      </w:r>
    </w:p>
    <w:p>
      <w:pPr>
        <w:pStyle w:val="justify"/>
        <w:jc w:val="both"/>
      </w:pPr>
    </w:p>
    <w:p>
      <w:pPr>
        <w:pStyle w:val="justify"/>
        <w:jc w:val="both"/>
      </w:pPr>
      <w:r>
        <w:rPr>
          <w:rtl w:val="0"/>
          <w:lang w:val="en-US"/>
        </w:rPr>
        <w:t xml:space="preserve">Strootman, R. 2013. The coming of the Parthians: crisis and resilience in the reign of Seleukos II. </w:t>
      </w:r>
      <w:r>
        <w:rPr>
          <w:rStyle w:val="Hyperlink.4"/>
          <w:rtl w:val="0"/>
          <w:lang w:val="en-US"/>
        </w:rPr>
        <w:t>The Seleukid Empire 281-222 BC: War Within the Family</w:t>
      </w:r>
      <w:r>
        <w:rPr>
          <w:rStyle w:val="Hyperlink.4"/>
          <w:rtl w:val="0"/>
          <w:lang w:val="en-US"/>
        </w:rPr>
        <w:t>.</w:t>
      </w:r>
      <w:r>
        <w:rPr>
          <w:rtl w:val="0"/>
          <w:lang w:val="en-US"/>
        </w:rPr>
        <w:t xml:space="preserve"> </w:t>
      </w:r>
      <w:r>
        <w:rPr>
          <w:rtl w:val="0"/>
          <w:lang w:val="en-US"/>
        </w:rPr>
        <w:t>Classical Press of Wales. 332, 1.</w:t>
      </w:r>
      <w:r>
        <w:rPr>
          <w:rtl w:val="0"/>
          <w:lang w:val="en-US"/>
        </w:rPr>
        <w:t xml:space="preserve"> Pp 129-150. </w:t>
      </w:r>
      <w:r>
        <w:rPr>
          <w:rtl w:val="0"/>
          <w:lang w:val="en-US"/>
        </w:rPr>
        <w:t>[Accessed: 08-01-2018]</w:t>
      </w:r>
    </w:p>
    <w:p>
      <w:pPr>
        <w:pStyle w:val="justify"/>
        <w:jc w:val="both"/>
      </w:pP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Tarn, W. W. 1926. </w:t>
      </w:r>
      <w:r>
        <w:rPr>
          <w:rFonts w:ascii="Times New Roman" w:hAnsi="Times New Roman"/>
          <w:sz w:val="24"/>
          <w:szCs w:val="24"/>
          <w:rtl w:val="0"/>
          <w:lang w:val="en-US"/>
        </w:rPr>
        <w:t>The First Syrian War</w:t>
      </w:r>
      <w:r>
        <w:rPr>
          <w:rFonts w:ascii="Times New Roman" w:hAnsi="Times New Roman"/>
          <w:sz w:val="24"/>
          <w:szCs w:val="24"/>
          <w:rtl w:val="0"/>
          <w:lang w:val="en-US"/>
        </w:rPr>
        <w:t xml:space="preserve">. </w:t>
      </w:r>
      <w:r>
        <w:rPr>
          <w:rStyle w:val="Hyperlink.4"/>
          <w:rFonts w:ascii="Times New Roman" w:hAnsi="Times New Roman"/>
          <w:sz w:val="24"/>
          <w:szCs w:val="24"/>
          <w:rtl w:val="0"/>
          <w:lang w:val="en-US"/>
        </w:rPr>
        <w:t>The Journal of Hellenic Studies</w:t>
      </w:r>
      <w:r>
        <w:rPr>
          <w:rFonts w:ascii="Times New Roman" w:hAnsi="Times New Roman"/>
          <w:sz w:val="24"/>
          <w:szCs w:val="24"/>
          <w:rtl w:val="0"/>
          <w:lang w:val="en-US"/>
        </w:rPr>
        <w:t xml:space="preserve">. 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"http://www.jstor.org/stable/625302"</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http://www.jstor.org/stable/625302</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Society for the Promotion of Hellenic Studies</w:t>
      </w:r>
      <w:r>
        <w:rPr>
          <w:rFonts w:ascii="Times New Roman" w:hAnsi="Times New Roman"/>
          <w:sz w:val="24"/>
          <w:szCs w:val="24"/>
          <w:rtl w:val="0"/>
          <w:lang w:val="en-US"/>
        </w:rPr>
        <w:t xml:space="preserve">. </w:t>
      </w:r>
      <w:r>
        <w:rPr>
          <w:rFonts w:ascii="Times New Roman" w:hAnsi="Times New Roman"/>
          <w:sz w:val="24"/>
          <w:szCs w:val="24"/>
          <w:rtl w:val="0"/>
        </w:rPr>
        <w:t>Vol. 46, Part 2</w:t>
      </w:r>
      <w:r>
        <w:rPr>
          <w:rFonts w:ascii="Times New Roman" w:hAnsi="Times New Roman"/>
          <w:sz w:val="24"/>
          <w:szCs w:val="24"/>
          <w:rtl w:val="0"/>
          <w:lang w:val="en-US"/>
        </w:rPr>
        <w:t>. P</w:t>
      </w:r>
      <w:r>
        <w:rPr>
          <w:rFonts w:ascii="Times New Roman" w:hAnsi="Times New Roman"/>
          <w:sz w:val="24"/>
          <w:szCs w:val="24"/>
          <w:rtl w:val="0"/>
        </w:rPr>
        <w:t>p. 155-162</w:t>
      </w:r>
      <w:r>
        <w:rPr>
          <w:rFonts w:ascii="Times New Roman" w:hAnsi="Times New Roman"/>
          <w:sz w:val="24"/>
          <w:szCs w:val="24"/>
          <w:rtl w:val="0"/>
          <w:lang w:val="en-US"/>
        </w:rPr>
        <w:t xml:space="preserve">. </w:t>
      </w:r>
      <w:r>
        <w:rPr>
          <w:rFonts w:ascii="Times New Roman" w:hAnsi="Times New Roman"/>
          <w:sz w:val="24"/>
          <w:szCs w:val="24"/>
          <w:rtl w:val="0"/>
          <w:lang w:val="en-US"/>
        </w:rPr>
        <w:t>[Accessed: 18/01/2016].</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Tarn, W. W. 1928. </w:t>
      </w:r>
      <w:r>
        <w:rPr>
          <w:rFonts w:ascii="Times New Roman" w:hAnsi="Times New Roman"/>
          <w:sz w:val="24"/>
          <w:szCs w:val="24"/>
          <w:rtl w:val="0"/>
        </w:rPr>
        <w:t>Ptolemy II</w:t>
      </w:r>
      <w:r>
        <w:rPr>
          <w:rFonts w:ascii="Times New Roman" w:hAnsi="Times New Roman"/>
          <w:sz w:val="24"/>
          <w:szCs w:val="24"/>
          <w:rtl w:val="0"/>
          <w:lang w:val="en-US"/>
        </w:rPr>
        <w:t xml:space="preserve">. </w:t>
      </w:r>
      <w:r>
        <w:rPr>
          <w:rStyle w:val="Hyperlink.4"/>
          <w:rFonts w:ascii="Times New Roman" w:hAnsi="Times New Roman"/>
          <w:sz w:val="24"/>
          <w:szCs w:val="24"/>
          <w:rtl w:val="0"/>
          <w:lang w:val="en-US"/>
        </w:rPr>
        <w:t>The Journal of Egyptian Archaeology</w:t>
      </w:r>
      <w:r>
        <w:rPr>
          <w:rStyle w:val="Hyperlink.4"/>
          <w:rFonts w:ascii="Times New Roman" w:hAnsi="Times New Roman"/>
          <w:sz w:val="24"/>
          <w:szCs w:val="24"/>
          <w:rtl w:val="0"/>
          <w:lang w:val="en-US"/>
        </w:rPr>
        <w:t xml:space="preserve">. </w:t>
      </w:r>
      <w:r>
        <w:rPr>
          <w:rFonts w:ascii="Times New Roman" w:hAnsi="Times New Roman"/>
          <w:sz w:val="24"/>
          <w:szCs w:val="24"/>
          <w:rtl w:val="0"/>
          <w:lang w:val="en-US"/>
        </w:rPr>
        <w:t xml:space="preserve">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"http://www.jstor.org/stable/3854301"</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http://www.jstor.org/stable/3854301</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Egypt Exploration Society</w:t>
      </w:r>
      <w:r>
        <w:rPr>
          <w:rFonts w:ascii="Times New Roman" w:hAnsi="Times New Roman"/>
          <w:sz w:val="24"/>
          <w:szCs w:val="24"/>
          <w:rtl w:val="0"/>
          <w:lang w:val="en-US"/>
        </w:rPr>
        <w:t xml:space="preserve">. </w:t>
      </w:r>
      <w:r>
        <w:rPr>
          <w:rFonts w:ascii="Times New Roman" w:hAnsi="Times New Roman"/>
          <w:sz w:val="24"/>
          <w:szCs w:val="24"/>
          <w:rtl w:val="0"/>
        </w:rPr>
        <w:t>Vol. 14, No. 3/4</w:t>
      </w:r>
      <w:r>
        <w:rPr>
          <w:rFonts w:ascii="Times New Roman" w:hAnsi="Times New Roman"/>
          <w:sz w:val="24"/>
          <w:szCs w:val="24"/>
          <w:rtl w:val="0"/>
          <w:lang w:val="en-US"/>
        </w:rPr>
        <w:t>. P</w:t>
      </w:r>
      <w:r>
        <w:rPr>
          <w:rFonts w:ascii="Times New Roman" w:hAnsi="Times New Roman"/>
          <w:sz w:val="24"/>
          <w:szCs w:val="24"/>
          <w:rtl w:val="0"/>
        </w:rPr>
        <w:t>p. 246-260</w:t>
      </w:r>
      <w:r>
        <w:rPr>
          <w:rFonts w:ascii="Times New Roman" w:hAnsi="Times New Roman"/>
          <w:sz w:val="24"/>
          <w:szCs w:val="24"/>
          <w:rtl w:val="0"/>
          <w:lang w:val="en-US"/>
        </w:rPr>
        <w:t>.</w:t>
      </w:r>
      <w:r>
        <w:rPr>
          <w:rFonts w:ascii="Times New Roman" w:hAnsi="Times New Roman"/>
          <w:sz w:val="24"/>
          <w:szCs w:val="24"/>
          <w:rtl w:val="0"/>
          <w:lang w:val="en-US"/>
        </w:rPr>
        <w:t xml:space="preserve"> [Accessed: </w:t>
      </w:r>
      <w:r>
        <w:rPr>
          <w:rFonts w:ascii="Times New Roman" w:hAnsi="Times New Roman"/>
          <w:sz w:val="24"/>
          <w:szCs w:val="24"/>
          <w:rtl w:val="0"/>
          <w:lang w:val="en-US"/>
        </w:rPr>
        <w:t>18</w:t>
      </w:r>
      <w:r>
        <w:rPr>
          <w:rFonts w:ascii="Times New Roman" w:hAnsi="Times New Roman"/>
          <w:sz w:val="24"/>
          <w:szCs w:val="24"/>
          <w:rtl w:val="0"/>
        </w:rPr>
        <w:t xml:space="preserve">/01/2016]. </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Tarn, W. W. 1929. </w:t>
      </w:r>
      <w:r>
        <w:rPr>
          <w:rFonts w:ascii="Times New Roman" w:hAnsi="Times New Roman"/>
          <w:sz w:val="24"/>
          <w:szCs w:val="24"/>
          <w:rtl w:val="0"/>
          <w:lang w:val="en-US"/>
        </w:rPr>
        <w:t>Ptolemy II and Arabia</w:t>
      </w:r>
      <w:r>
        <w:rPr>
          <w:rFonts w:ascii="Times New Roman" w:hAnsi="Times New Roman"/>
          <w:sz w:val="24"/>
          <w:szCs w:val="24"/>
          <w:rtl w:val="0"/>
          <w:lang w:val="en-US"/>
        </w:rPr>
        <w:t xml:space="preserve">. </w:t>
      </w:r>
      <w:r>
        <w:rPr>
          <w:rFonts w:ascii="Times New Roman" w:hAnsi="Times New Roman"/>
          <w:sz w:val="24"/>
          <w:szCs w:val="24"/>
          <w:rtl w:val="0"/>
          <w:lang w:val="en-US"/>
        </w:rPr>
        <w:t>The Journal of Egyptian Archaeology</w:t>
      </w:r>
      <w:r>
        <w:rPr>
          <w:rFonts w:ascii="Times New Roman" w:hAnsi="Times New Roman"/>
          <w:sz w:val="24"/>
          <w:szCs w:val="24"/>
          <w:rtl w:val="0"/>
          <w:lang w:val="en-US"/>
        </w:rPr>
        <w:t xml:space="preserve">. 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"http://www.jstor.org/stable/3854009"</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http://www.jstor.org/stable/3854009</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Egypt Exploration Society</w:t>
      </w:r>
      <w:r>
        <w:rPr>
          <w:rFonts w:ascii="Times New Roman" w:hAnsi="Times New Roman"/>
          <w:sz w:val="24"/>
          <w:szCs w:val="24"/>
          <w:rtl w:val="0"/>
          <w:lang w:val="en-US"/>
        </w:rPr>
        <w:t xml:space="preserve">. </w:t>
      </w:r>
      <w:r>
        <w:rPr>
          <w:rFonts w:ascii="Times New Roman" w:hAnsi="Times New Roman"/>
          <w:sz w:val="24"/>
          <w:szCs w:val="24"/>
          <w:rtl w:val="0"/>
        </w:rPr>
        <w:t>Vol. 15, No. 1/2</w:t>
      </w:r>
      <w:r>
        <w:rPr>
          <w:rFonts w:ascii="Times New Roman" w:hAnsi="Times New Roman"/>
          <w:sz w:val="24"/>
          <w:szCs w:val="24"/>
          <w:rtl w:val="0"/>
          <w:lang w:val="en-US"/>
        </w:rPr>
        <w:t>. P</w:t>
      </w:r>
      <w:r>
        <w:rPr>
          <w:rFonts w:ascii="Times New Roman" w:hAnsi="Times New Roman"/>
          <w:sz w:val="24"/>
          <w:szCs w:val="24"/>
          <w:rtl w:val="0"/>
        </w:rPr>
        <w:t>p. 9-25</w:t>
      </w:r>
      <w:r>
        <w:rPr>
          <w:rFonts w:ascii="Times New Roman" w:hAnsi="Times New Roman"/>
          <w:sz w:val="24"/>
          <w:szCs w:val="24"/>
          <w:rtl w:val="0"/>
          <w:lang w:val="en-US"/>
        </w:rPr>
        <w:t xml:space="preserve">. </w:t>
      </w:r>
      <w:r>
        <w:rPr>
          <w:rFonts w:ascii="Times New Roman" w:hAnsi="Times New Roman"/>
          <w:sz w:val="24"/>
          <w:szCs w:val="24"/>
          <w:rtl w:val="0"/>
          <w:lang w:val="en-US"/>
        </w:rPr>
        <w:t>[Accessed: 18/01/2016].</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Tarn, W. W. 1930. </w:t>
      </w:r>
      <w:r>
        <w:rPr>
          <w:rFonts w:ascii="Times New Roman" w:hAnsi="Times New Roman"/>
          <w:sz w:val="24"/>
          <w:szCs w:val="24"/>
          <w:rtl w:val="0"/>
          <w:lang w:val="en-US"/>
        </w:rPr>
        <w:t>The Date of Milet I, iii, No. 139</w:t>
      </w:r>
      <w:r>
        <w:rPr>
          <w:rFonts w:ascii="Times New Roman" w:hAnsi="Times New Roman"/>
          <w:sz w:val="24"/>
          <w:szCs w:val="24"/>
          <w:rtl w:val="0"/>
          <w:lang w:val="en-US"/>
        </w:rPr>
        <w:t xml:space="preserve">. </w:t>
      </w:r>
      <w:r>
        <w:rPr>
          <w:rStyle w:val="Hyperlink.4"/>
          <w:rFonts w:ascii="Times New Roman" w:hAnsi="Times New Roman"/>
          <w:sz w:val="24"/>
          <w:szCs w:val="24"/>
          <w:rtl w:val="0"/>
        </w:rPr>
        <w:t>Hermes</w:t>
      </w:r>
      <w:r>
        <w:rPr>
          <w:rFonts w:ascii="Times New Roman" w:hAnsi="Times New Roman"/>
          <w:sz w:val="24"/>
          <w:szCs w:val="24"/>
          <w:rtl w:val="0"/>
          <w:lang w:val="en-US"/>
        </w:rPr>
        <w:t xml:space="preserve">. Available at </w:t>
      </w:r>
      <w:r>
        <w:rPr>
          <w:rFonts w:ascii="Times New Roman" w:hAnsi="Times New Roman"/>
          <w:sz w:val="24"/>
          <w:szCs w:val="24"/>
          <w:rtl w:val="0"/>
        </w:rPr>
        <w:t>http://www.jstor.org/stable/4474187 65.</w:t>
      </w:r>
      <w:r>
        <w:rPr>
          <w:rFonts w:ascii="Times New Roman" w:hAnsi="Times New Roman"/>
          <w:sz w:val="24"/>
          <w:szCs w:val="24"/>
          <w:rtl w:val="0"/>
          <w:lang w:val="en-US"/>
        </w:rPr>
        <w:t xml:space="preserve"> </w:t>
      </w:r>
      <w:r>
        <w:rPr>
          <w:rFonts w:ascii="Times New Roman" w:hAnsi="Times New Roman"/>
          <w:sz w:val="24"/>
          <w:szCs w:val="24"/>
          <w:rtl w:val="0"/>
          <w:lang w:val="de-DE"/>
        </w:rPr>
        <w:t>Franz Steiner Verlag</w:t>
      </w:r>
      <w:r>
        <w:rPr>
          <w:rFonts w:ascii="Times New Roman" w:hAnsi="Times New Roman"/>
          <w:sz w:val="24"/>
          <w:szCs w:val="24"/>
          <w:rtl w:val="0"/>
          <w:lang w:val="en-US"/>
        </w:rPr>
        <w:t xml:space="preserve">. </w:t>
      </w:r>
      <w:r>
        <w:rPr>
          <w:rFonts w:ascii="Times New Roman" w:hAnsi="Times New Roman"/>
          <w:sz w:val="24"/>
          <w:szCs w:val="24"/>
          <w:rtl w:val="0"/>
        </w:rPr>
        <w:t>Bd., H. 4</w:t>
      </w:r>
      <w:r>
        <w:rPr>
          <w:rFonts w:ascii="Times New Roman" w:hAnsi="Times New Roman"/>
          <w:sz w:val="24"/>
          <w:szCs w:val="24"/>
          <w:rtl w:val="0"/>
          <w:lang w:val="en-US"/>
        </w:rPr>
        <w:t>. P</w:t>
      </w:r>
      <w:r>
        <w:rPr>
          <w:rFonts w:ascii="Times New Roman" w:hAnsi="Times New Roman"/>
          <w:sz w:val="24"/>
          <w:szCs w:val="24"/>
          <w:rtl w:val="0"/>
        </w:rPr>
        <w:t>p. 446-454</w:t>
      </w:r>
      <w:r>
        <w:rPr>
          <w:rFonts w:ascii="Times New Roman" w:hAnsi="Times New Roman"/>
          <w:sz w:val="24"/>
          <w:szCs w:val="24"/>
          <w:rtl w:val="0"/>
          <w:lang w:val="en-US"/>
        </w:rPr>
        <w:t xml:space="preserve">. </w:t>
      </w:r>
      <w:r>
        <w:rPr>
          <w:rFonts w:ascii="Times New Roman" w:hAnsi="Times New Roman"/>
          <w:sz w:val="24"/>
          <w:szCs w:val="24"/>
          <w:rtl w:val="0"/>
          <w:lang w:val="en-US"/>
        </w:rPr>
        <w:t>[Accessed: 1</w:t>
      </w:r>
      <w:r>
        <w:rPr>
          <w:rFonts w:ascii="Times New Roman" w:hAnsi="Times New Roman"/>
          <w:sz w:val="24"/>
          <w:szCs w:val="24"/>
          <w:rtl w:val="0"/>
          <w:lang w:val="en-US"/>
        </w:rPr>
        <w:t>9</w:t>
      </w:r>
      <w:r>
        <w:rPr>
          <w:rFonts w:ascii="Times New Roman" w:hAnsi="Times New Roman"/>
          <w:sz w:val="24"/>
          <w:szCs w:val="24"/>
          <w:rtl w:val="0"/>
        </w:rPr>
        <w:t>/01/2016]</w:t>
      </w:r>
      <w:r>
        <w:rPr>
          <w:rFonts w:ascii="Times New Roman" w:hAnsi="Times New Roman"/>
          <w:sz w:val="24"/>
          <w:szCs w:val="24"/>
          <w:rtl w:val="0"/>
          <w:lang w:val="en-US"/>
        </w:rPr>
        <w:t>.</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Tarn, W. W. 1934. </w:t>
      </w:r>
      <w:r>
        <w:rPr>
          <w:rFonts w:ascii="Times New Roman" w:hAnsi="Times New Roman"/>
          <w:sz w:val="24"/>
          <w:szCs w:val="24"/>
          <w:rtl w:val="0"/>
          <w:lang w:val="en-US"/>
        </w:rPr>
        <w:t>The New Dating of the Chremonidean War</w:t>
      </w:r>
      <w:r>
        <w:rPr>
          <w:rFonts w:ascii="Times New Roman" w:hAnsi="Times New Roman"/>
          <w:sz w:val="24"/>
          <w:szCs w:val="24"/>
          <w:rtl w:val="0"/>
          <w:lang w:val="en-US"/>
        </w:rPr>
        <w:t xml:space="preserve">. </w:t>
      </w:r>
      <w:r>
        <w:rPr>
          <w:rStyle w:val="Hyperlink.4"/>
          <w:rFonts w:ascii="Times New Roman" w:hAnsi="Times New Roman"/>
          <w:sz w:val="24"/>
          <w:szCs w:val="24"/>
          <w:rtl w:val="0"/>
          <w:lang w:val="en-US"/>
        </w:rPr>
        <w:t>The Journal of Hellenic Studies</w:t>
      </w:r>
      <w:r>
        <w:rPr>
          <w:rFonts w:ascii="Times New Roman" w:hAnsi="Times New Roman"/>
          <w:sz w:val="24"/>
          <w:szCs w:val="24"/>
          <w:rtl w:val="0"/>
          <w:lang w:val="en-US"/>
        </w:rPr>
        <w:t xml:space="preserve">. Available at </w:t>
      </w:r>
      <w:r>
        <w:rPr>
          <w:rStyle w:val="Hyperlink.5"/>
          <w:rFonts w:ascii="Times New Roman" w:cs="Times New Roman" w:hAnsi="Times New Roman" w:eastAsia="Times New Roman"/>
          <w:color w:val="000000"/>
          <w:sz w:val="24"/>
          <w:szCs w:val="24"/>
          <w:u w:val="none" w:color="0000ff"/>
          <w:rtl w:val="0"/>
        </w:rPr>
        <w:fldChar w:fldCharType="begin" w:fldLock="0"/>
      </w:r>
      <w:r>
        <w:rPr>
          <w:rStyle w:val="Hyperlink.5"/>
          <w:rFonts w:ascii="Times New Roman" w:cs="Times New Roman" w:hAnsi="Times New Roman" w:eastAsia="Times New Roman"/>
          <w:color w:val="000000"/>
          <w:sz w:val="24"/>
          <w:szCs w:val="24"/>
          <w:u w:val="none" w:color="0000ff"/>
          <w:rtl w:val="0"/>
        </w:rPr>
        <w:instrText xml:space="preserve"> HYPERLINK "http://www.jstor.org/stable/626488"</w:instrText>
      </w:r>
      <w:r>
        <w:rPr>
          <w:rStyle w:val="Hyperlink.5"/>
          <w:rFonts w:ascii="Times New Roman" w:cs="Times New Roman" w:hAnsi="Times New Roman" w:eastAsia="Times New Roman"/>
          <w:color w:val="000000"/>
          <w:sz w:val="24"/>
          <w:szCs w:val="24"/>
          <w:u w:val="none" w:color="0000ff"/>
          <w:rtl w:val="0"/>
        </w:rPr>
        <w:fldChar w:fldCharType="separate" w:fldLock="0"/>
      </w:r>
      <w:r>
        <w:rPr>
          <w:rStyle w:val="Hyperlink.5"/>
          <w:rFonts w:ascii="Times New Roman" w:hAnsi="Times New Roman"/>
          <w:color w:val="000000"/>
          <w:sz w:val="24"/>
          <w:szCs w:val="24"/>
          <w:u w:val="none" w:color="0000ff"/>
          <w:rtl w:val="0"/>
          <w:lang w:val="en-US"/>
        </w:rPr>
        <w:t>http://www.jstor.org/stable/626488</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Society for the Promotion of Hellenic Studies</w:t>
      </w:r>
      <w:r>
        <w:rPr>
          <w:rFonts w:ascii="Times New Roman" w:hAnsi="Times New Roman"/>
          <w:sz w:val="24"/>
          <w:szCs w:val="24"/>
          <w:rtl w:val="0"/>
          <w:lang w:val="en-US"/>
        </w:rPr>
        <w:t xml:space="preserve">. </w:t>
      </w:r>
      <w:r>
        <w:rPr>
          <w:rFonts w:ascii="Times New Roman" w:hAnsi="Times New Roman"/>
          <w:sz w:val="24"/>
          <w:szCs w:val="24"/>
          <w:rtl w:val="0"/>
        </w:rPr>
        <w:t>Vol. 54, Part 1</w:t>
      </w:r>
      <w:r>
        <w:rPr>
          <w:rFonts w:ascii="Times New Roman" w:hAnsi="Times New Roman"/>
          <w:sz w:val="24"/>
          <w:szCs w:val="24"/>
          <w:rtl w:val="0"/>
          <w:lang w:val="en-US"/>
        </w:rPr>
        <w:t>. P</w:t>
      </w:r>
      <w:r>
        <w:rPr>
          <w:rFonts w:ascii="Times New Roman" w:hAnsi="Times New Roman"/>
          <w:sz w:val="24"/>
          <w:szCs w:val="24"/>
          <w:rtl w:val="0"/>
        </w:rPr>
        <w:t>p. 26-39</w:t>
      </w:r>
      <w:r>
        <w:rPr>
          <w:rFonts w:ascii="Times New Roman" w:hAnsi="Times New Roman"/>
          <w:sz w:val="24"/>
          <w:szCs w:val="24"/>
          <w:rtl w:val="0"/>
          <w:lang w:val="en-US"/>
        </w:rPr>
        <w:t xml:space="preserve">. </w:t>
      </w:r>
      <w:r>
        <w:rPr>
          <w:rFonts w:ascii="Times New Roman" w:hAnsi="Times New Roman"/>
          <w:sz w:val="24"/>
          <w:szCs w:val="24"/>
          <w:rtl w:val="0"/>
          <w:lang w:val="en-US"/>
        </w:rPr>
        <w:t>[Accessed: 18/01/2016]</w:t>
      </w:r>
      <w:r>
        <w:rPr>
          <w:rFonts w:ascii="Times New Roman" w:hAnsi="Times New Roman"/>
          <w:sz w:val="24"/>
          <w:szCs w:val="24"/>
          <w:rtl w:val="0"/>
          <w:lang w:val="en-US"/>
        </w:rPr>
        <w:t>.</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Teixidor, J. 1988. </w:t>
      </w:r>
      <w:r>
        <w:rPr>
          <w:rFonts w:ascii="Times New Roman" w:hAnsi="Times New Roman"/>
          <w:sz w:val="24"/>
          <w:szCs w:val="24"/>
          <w:rtl w:val="0"/>
          <w:lang w:val="en-US"/>
        </w:rPr>
        <w:t>Ptolemaic Chronology in the Phoenician Inscriptions from Cyprus</w:t>
      </w:r>
      <w:r>
        <w:rPr>
          <w:rFonts w:ascii="Times New Roman" w:hAnsi="Times New Roman"/>
          <w:sz w:val="24"/>
          <w:szCs w:val="24"/>
          <w:rtl w:val="0"/>
          <w:lang w:val="en-US"/>
        </w:rPr>
        <w:t xml:space="preserve">. </w:t>
      </w:r>
      <w:r>
        <w:rPr>
          <w:rStyle w:val="Hyperlink.4"/>
          <w:rFonts w:ascii="Times New Roman" w:hAnsi="Times New Roman"/>
          <w:sz w:val="24"/>
          <w:szCs w:val="24"/>
          <w:rtl w:val="0"/>
          <w:lang w:val="de-DE"/>
        </w:rPr>
        <w:t>Zeitschrift f</w:t>
      </w:r>
      <w:r>
        <w:rPr>
          <w:rStyle w:val="Hyperlink.4"/>
          <w:rFonts w:ascii="Times New Roman" w:hAnsi="Times New Roman" w:hint="default"/>
          <w:sz w:val="24"/>
          <w:szCs w:val="24"/>
          <w:rtl w:val="0"/>
        </w:rPr>
        <w:t>ü</w:t>
      </w:r>
      <w:r>
        <w:rPr>
          <w:rStyle w:val="Hyperlink.4"/>
          <w:rFonts w:ascii="Times New Roman" w:hAnsi="Times New Roman"/>
          <w:sz w:val="24"/>
          <w:szCs w:val="24"/>
          <w:rtl w:val="0"/>
          <w:lang w:val="de-DE"/>
        </w:rPr>
        <w:t>r Papyrologie und Epigraphik</w:t>
      </w:r>
      <w:r>
        <w:rPr>
          <w:rFonts w:ascii="Times New Roman" w:hAnsi="Times New Roman"/>
          <w:sz w:val="24"/>
          <w:szCs w:val="24"/>
          <w:rtl w:val="0"/>
          <w:lang w:val="en-US"/>
        </w:rPr>
        <w:t xml:space="preserve">. 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"http://www.jstor.org/stable/20186764"</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http://www.jstor.org/stable/20186764</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Dr. Rudolf Habelt GmbH. </w:t>
      </w:r>
      <w:r>
        <w:rPr>
          <w:rFonts w:ascii="Times New Roman" w:hAnsi="Times New Roman"/>
          <w:sz w:val="24"/>
          <w:szCs w:val="24"/>
          <w:rtl w:val="0"/>
        </w:rPr>
        <w:t>Bd. 71</w:t>
      </w:r>
      <w:r>
        <w:rPr>
          <w:rFonts w:ascii="Times New Roman" w:hAnsi="Times New Roman"/>
          <w:sz w:val="24"/>
          <w:szCs w:val="24"/>
          <w:rtl w:val="0"/>
          <w:lang w:val="en-US"/>
        </w:rPr>
        <w:t>. P</w:t>
      </w:r>
      <w:r>
        <w:rPr>
          <w:rFonts w:ascii="Times New Roman" w:hAnsi="Times New Roman"/>
          <w:sz w:val="24"/>
          <w:szCs w:val="24"/>
          <w:rtl w:val="0"/>
        </w:rPr>
        <w:t>p. 188-190</w:t>
      </w:r>
      <w:r>
        <w:rPr>
          <w:rFonts w:ascii="Times New Roman" w:hAnsi="Times New Roman"/>
          <w:sz w:val="24"/>
          <w:szCs w:val="24"/>
          <w:rtl w:val="0"/>
          <w:lang w:val="en-US"/>
        </w:rPr>
        <w:t xml:space="preserve">. </w:t>
      </w:r>
      <w:r>
        <w:rPr>
          <w:rFonts w:ascii="Times New Roman" w:hAnsi="Times New Roman"/>
          <w:sz w:val="24"/>
          <w:szCs w:val="24"/>
          <w:rtl w:val="0"/>
          <w:lang w:val="en-US"/>
        </w:rPr>
        <w:t>[Accessed: 2</w:t>
      </w:r>
      <w:r>
        <w:rPr>
          <w:rFonts w:ascii="Times New Roman" w:hAnsi="Times New Roman"/>
          <w:sz w:val="24"/>
          <w:szCs w:val="24"/>
          <w:rtl w:val="0"/>
          <w:lang w:val="en-US"/>
        </w:rPr>
        <w:t>1</w:t>
      </w:r>
      <w:r>
        <w:rPr>
          <w:rFonts w:ascii="Times New Roman" w:hAnsi="Times New Roman"/>
          <w:sz w:val="24"/>
          <w:szCs w:val="24"/>
          <w:rtl w:val="0"/>
        </w:rPr>
        <w:t>/01/2016].</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Tomlinson R. A. 2007. </w:t>
      </w:r>
      <w:r>
        <w:rPr>
          <w:rFonts w:ascii="Times New Roman" w:hAnsi="Times New Roman"/>
          <w:sz w:val="24"/>
          <w:szCs w:val="24"/>
          <w:rtl w:val="0"/>
          <w:lang w:val="en-US"/>
        </w:rPr>
        <w:t>From houses to tenements: domestic architecture in Hellenistic Alexandria</w:t>
      </w:r>
      <w:r>
        <w:rPr>
          <w:rFonts w:ascii="Times New Roman" w:hAnsi="Times New Roman"/>
          <w:sz w:val="24"/>
          <w:szCs w:val="24"/>
          <w:rtl w:val="0"/>
          <w:lang w:val="en-US"/>
        </w:rPr>
        <w:t>.</w:t>
      </w:r>
      <w:r>
        <w:rPr>
          <w:rFonts w:ascii="Times New Roman" w:hAnsi="Times New Roman"/>
          <w:sz w:val="24"/>
          <w:szCs w:val="24"/>
          <w:rtl w:val="0"/>
        </w:rPr>
        <w:t xml:space="preserve"> </w:t>
      </w:r>
      <w:r>
        <w:rPr>
          <w:rStyle w:val="Hyperlink.4"/>
          <w:rFonts w:ascii="Times New Roman" w:hAnsi="Times New Roman"/>
          <w:sz w:val="24"/>
          <w:szCs w:val="24"/>
          <w:rtl w:val="0"/>
        </w:rPr>
        <w:t>B</w:t>
      </w:r>
      <w:r>
        <w:rPr>
          <w:rStyle w:val="Hyperlink.4"/>
          <w:rFonts w:ascii="Times New Roman" w:hAnsi="Times New Roman"/>
          <w:sz w:val="24"/>
          <w:szCs w:val="24"/>
          <w:rtl w:val="0"/>
          <w:lang w:val="en-US"/>
        </w:rPr>
        <w:t>uilding Communities</w:t>
      </w:r>
      <w:r>
        <w:rPr>
          <w:rStyle w:val="Hyperlink.4"/>
          <w:rFonts w:ascii="Times New Roman" w:hAnsi="Times New Roman"/>
          <w:sz w:val="24"/>
          <w:szCs w:val="24"/>
          <w:rtl w:val="0"/>
          <w:lang w:val="en-US"/>
        </w:rPr>
        <w:t>: House, Settlement and Society in the Aegean and Beyond</w:t>
      </w:r>
      <w:r>
        <w:rPr>
          <w:rFonts w:ascii="Times New Roman" w:hAnsi="Times New Roman"/>
          <w:sz w:val="24"/>
          <w:szCs w:val="24"/>
          <w:rtl w:val="0"/>
          <w:lang w:val="en-US"/>
        </w:rPr>
        <w:t xml:space="preserve">. 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"http://www.jstor.org/stable/40960600"</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http://www.jstor.org/stable/40960600</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British School at Athens Studies, Vol. 15, pp. 307-311</w:t>
      </w:r>
      <w:r>
        <w:rPr>
          <w:rFonts w:ascii="Times New Roman" w:hAnsi="Times New Roman"/>
          <w:sz w:val="24"/>
          <w:szCs w:val="24"/>
          <w:rtl w:val="0"/>
          <w:lang w:val="en-US"/>
        </w:rPr>
        <w:t xml:space="preserve"> </w:t>
      </w:r>
      <w:r>
        <w:rPr>
          <w:rFonts w:ascii="Times New Roman" w:hAnsi="Times New Roman"/>
          <w:sz w:val="24"/>
          <w:szCs w:val="24"/>
          <w:rtl w:val="0"/>
          <w:lang w:val="en-US"/>
        </w:rPr>
        <w:t>[Accessed: 18-01-2016]</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Thompson</w:t>
      </w:r>
      <w:r>
        <w:rPr>
          <w:rFonts w:ascii="Times New Roman" w:hAnsi="Times New Roman"/>
          <w:sz w:val="24"/>
          <w:szCs w:val="24"/>
          <w:rtl w:val="0"/>
          <w:lang w:val="en-US"/>
        </w:rPr>
        <w:t>, D. J.</w:t>
      </w:r>
      <w:r>
        <w:rPr>
          <w:rFonts w:ascii="Times New Roman" w:hAnsi="Times New Roman"/>
          <w:sz w:val="24"/>
          <w:szCs w:val="24"/>
          <w:rtl w:val="0"/>
        </w:rPr>
        <w:t xml:space="preserve"> </w:t>
      </w:r>
      <w:r>
        <w:rPr>
          <w:rFonts w:ascii="Times New Roman" w:hAnsi="Times New Roman"/>
          <w:sz w:val="24"/>
          <w:szCs w:val="24"/>
          <w:rtl w:val="0"/>
          <w:lang w:val="en-US"/>
        </w:rPr>
        <w:t xml:space="preserve">2008. Economic reforms in the mid-reign of Ptolemy Philadelphus. </w:t>
      </w:r>
      <w:r>
        <w:rPr>
          <w:rStyle w:val="Hyperlink.4"/>
          <w:rFonts w:ascii="Times New Roman" w:hAnsi="Times New Roman"/>
          <w:sz w:val="24"/>
          <w:szCs w:val="24"/>
          <w:rtl w:val="0"/>
          <w:lang w:val="en-US"/>
        </w:rPr>
        <w:t>Ptolemy II Philadelphus and his world.</w:t>
      </w:r>
      <w:r>
        <w:rPr>
          <w:rFonts w:ascii="Times New Roman" w:hAnsi="Times New Roman"/>
          <w:sz w:val="24"/>
          <w:szCs w:val="24"/>
          <w:rtl w:val="0"/>
          <w:lang w:val="en-US"/>
        </w:rPr>
        <w:t xml:space="preserve"> Mnemosyne. Brill  300. Pp 27-38. </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Thompson, D. B. 1955. </w:t>
      </w:r>
      <w:r>
        <w:rPr>
          <w:rFonts w:ascii="Times New Roman" w:hAnsi="Times New Roman"/>
          <w:sz w:val="24"/>
          <w:szCs w:val="24"/>
          <w:rtl w:val="0"/>
          <w:lang w:val="en-US"/>
        </w:rPr>
        <w:t>A Portrait of Arsinoe Philadelphos</w:t>
      </w:r>
      <w:r>
        <w:rPr>
          <w:rFonts w:ascii="Times New Roman" w:hAnsi="Times New Roman"/>
          <w:sz w:val="24"/>
          <w:szCs w:val="24"/>
          <w:rtl w:val="0"/>
          <w:lang w:val="en-US"/>
        </w:rPr>
        <w:t xml:space="preserve">. </w:t>
      </w:r>
      <w:r>
        <w:rPr>
          <w:rStyle w:val="Hyperlink.4"/>
          <w:rFonts w:ascii="Times New Roman" w:hAnsi="Times New Roman"/>
          <w:sz w:val="24"/>
          <w:szCs w:val="24"/>
          <w:rtl w:val="0"/>
          <w:lang w:val="en-US"/>
        </w:rPr>
        <w:t>American Journal of Archaeology</w:t>
      </w:r>
      <w:r>
        <w:rPr>
          <w:rStyle w:val="Hyperlink.4"/>
          <w:rFonts w:ascii="Times New Roman" w:hAnsi="Times New Roman"/>
          <w:sz w:val="24"/>
          <w:szCs w:val="24"/>
          <w:rtl w:val="0"/>
          <w:lang w:val="en-US"/>
        </w:rPr>
        <w:t>.</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"http://www.jstor.org/stable/500319"</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http://www.jstor.org/stable/500319</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Archaeological Institute of America</w:t>
      </w:r>
      <w:r>
        <w:rPr>
          <w:rFonts w:ascii="Times New Roman" w:hAnsi="Times New Roman"/>
          <w:sz w:val="24"/>
          <w:szCs w:val="24"/>
          <w:rtl w:val="0"/>
          <w:lang w:val="en-US"/>
        </w:rPr>
        <w:t xml:space="preserve">. </w:t>
      </w:r>
      <w:r>
        <w:rPr>
          <w:rFonts w:ascii="Times New Roman" w:hAnsi="Times New Roman"/>
          <w:sz w:val="24"/>
          <w:szCs w:val="24"/>
          <w:rtl w:val="0"/>
        </w:rPr>
        <w:t>Vol. 59, No. 3</w:t>
      </w:r>
      <w:r>
        <w:rPr>
          <w:rFonts w:ascii="Times New Roman" w:hAnsi="Times New Roman"/>
          <w:sz w:val="24"/>
          <w:szCs w:val="24"/>
          <w:rtl w:val="0"/>
          <w:lang w:val="en-US"/>
        </w:rPr>
        <w:t>. P</w:t>
      </w:r>
      <w:r>
        <w:rPr>
          <w:rFonts w:ascii="Times New Roman" w:hAnsi="Times New Roman"/>
          <w:sz w:val="24"/>
          <w:szCs w:val="24"/>
          <w:rtl w:val="0"/>
        </w:rPr>
        <w:t>p. 199-206</w:t>
      </w:r>
      <w:r>
        <w:rPr>
          <w:rFonts w:ascii="Times New Roman" w:hAnsi="Times New Roman"/>
          <w:sz w:val="24"/>
          <w:szCs w:val="24"/>
          <w:rtl w:val="0"/>
          <w:lang w:val="en-US"/>
        </w:rPr>
        <w:t>.</w:t>
      </w:r>
      <w:r>
        <w:rPr>
          <w:rFonts w:ascii="Times New Roman" w:hAnsi="Times New Roman"/>
          <w:sz w:val="24"/>
          <w:szCs w:val="24"/>
          <w:rtl w:val="0"/>
          <w:lang w:val="en-US"/>
        </w:rPr>
        <w:t xml:space="preserve"> [Accessed: </w:t>
      </w:r>
      <w:r>
        <w:rPr>
          <w:rFonts w:ascii="Times New Roman" w:hAnsi="Times New Roman"/>
          <w:sz w:val="24"/>
          <w:szCs w:val="24"/>
          <w:rtl w:val="0"/>
          <w:lang w:val="en-US"/>
        </w:rPr>
        <w:t>21/01/2016</w:t>
      </w:r>
      <w:r>
        <w:rPr>
          <w:rFonts w:ascii="Times New Roman" w:hAnsi="Times New Roman"/>
          <w:sz w:val="24"/>
          <w:szCs w:val="24"/>
          <w:rtl w:val="0"/>
        </w:rPr>
        <w:t>]</w:t>
      </w:r>
      <w:r>
        <w:rPr>
          <w:rFonts w:ascii="Times New Roman" w:hAnsi="Times New Roman"/>
          <w:sz w:val="24"/>
          <w:szCs w:val="24"/>
          <w:rtl w:val="0"/>
          <w:lang w:val="en-US"/>
        </w:rPr>
        <w:t>.</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Trundle, M. 2008. Kings and contracts in the Hellenistic world. </w:t>
      </w:r>
      <w:r>
        <w:rPr>
          <w:rStyle w:val="Hyperlink.4"/>
          <w:rFonts w:ascii="Times New Roman" w:hAnsi="Times New Roman"/>
          <w:sz w:val="24"/>
          <w:szCs w:val="24"/>
          <w:rtl w:val="0"/>
          <w:lang w:val="en-US"/>
        </w:rPr>
        <w:t>Ptolemy II Philadelphus and his World</w:t>
      </w:r>
      <w:r>
        <w:rPr>
          <w:rFonts w:ascii="Times New Roman" w:hAnsi="Times New Roman"/>
          <w:sz w:val="24"/>
          <w:szCs w:val="24"/>
          <w:rtl w:val="0"/>
          <w:lang w:val="en-US"/>
        </w:rPr>
        <w:t xml:space="preserve">. </w:t>
      </w:r>
      <w:r>
        <w:rPr>
          <w:rStyle w:val="None"/>
          <w:rFonts w:ascii="Times New Roman" w:hAnsi="Times New Roman"/>
          <w:sz w:val="24"/>
          <w:szCs w:val="24"/>
          <w:rtl w:val="0"/>
          <w:lang w:val="en-US"/>
        </w:rPr>
        <w:t>Brill. Volume 300. Leiden, Boston.</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Vanderpool, E., McCredie J. R. and Steinberg A. 1964. </w:t>
      </w:r>
      <w:r>
        <w:rPr>
          <w:rFonts w:ascii="Times New Roman" w:hAnsi="Times New Roman"/>
          <w:sz w:val="24"/>
          <w:szCs w:val="24"/>
          <w:rtl w:val="0"/>
          <w:lang w:val="en-US"/>
        </w:rPr>
        <w:t>Koroni: The Date of the Camp and the Pottery</w:t>
      </w:r>
      <w:r>
        <w:rPr>
          <w:rFonts w:ascii="Times New Roman" w:hAnsi="Times New Roman"/>
          <w:sz w:val="24"/>
          <w:szCs w:val="24"/>
          <w:rtl w:val="0"/>
          <w:lang w:val="en-US"/>
        </w:rPr>
        <w:t xml:space="preserve">. </w:t>
      </w:r>
      <w:r>
        <w:rPr>
          <w:rFonts w:ascii="Times New Roman" w:hAnsi="Times New Roman"/>
          <w:sz w:val="24"/>
          <w:szCs w:val="24"/>
          <w:rtl w:val="0"/>
        </w:rPr>
        <w:t xml:space="preserve">Hesperia: </w:t>
      </w:r>
      <w:r>
        <w:rPr>
          <w:rStyle w:val="Hyperlink.4"/>
          <w:rFonts w:ascii="Times New Roman" w:hAnsi="Times New Roman"/>
          <w:sz w:val="24"/>
          <w:szCs w:val="24"/>
          <w:rtl w:val="0"/>
          <w:lang w:val="en-US"/>
        </w:rPr>
        <w:t>The Journal of the American School of Classical Studies at Athens</w:t>
      </w:r>
      <w:r>
        <w:rPr>
          <w:rStyle w:val="Hyperlink.4"/>
          <w:rFonts w:ascii="Times New Roman" w:hAnsi="Times New Roman"/>
          <w:sz w:val="24"/>
          <w:szCs w:val="24"/>
          <w:rtl w:val="0"/>
          <w:lang w:val="en-US"/>
        </w:rPr>
        <w:t>.</w:t>
      </w:r>
      <w:r>
        <w:rPr>
          <w:rFonts w:ascii="Times New Roman" w:hAnsi="Times New Roman"/>
          <w:sz w:val="24"/>
          <w:szCs w:val="24"/>
          <w:rtl w:val="0"/>
          <w:lang w:val="en-US"/>
        </w:rPr>
        <w:t xml:space="preserve"> 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"http://www.jstor.org/stable/147029"</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http://www.jstor.org/stable/147029</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w:t>
      </w:r>
      <w:r>
        <w:rPr>
          <w:rFonts w:ascii="Times New Roman" w:hAnsi="Times New Roman"/>
          <w:sz w:val="24"/>
          <w:szCs w:val="24"/>
          <w:rtl w:val="0"/>
          <w:lang w:val="en-US"/>
        </w:rPr>
        <w:t xml:space="preserve"> American School of Classical Studies at Athens</w:t>
      </w:r>
      <w:r>
        <w:rPr>
          <w:rFonts w:ascii="Times New Roman" w:hAnsi="Times New Roman"/>
          <w:sz w:val="24"/>
          <w:szCs w:val="24"/>
          <w:rtl w:val="0"/>
          <w:lang w:val="en-US"/>
        </w:rPr>
        <w:t xml:space="preserve">. </w:t>
      </w:r>
      <w:r>
        <w:rPr>
          <w:rFonts w:ascii="Times New Roman" w:hAnsi="Times New Roman"/>
          <w:sz w:val="24"/>
          <w:szCs w:val="24"/>
          <w:rtl w:val="0"/>
        </w:rPr>
        <w:t>Vol. 33, No. 1</w:t>
      </w:r>
      <w:r>
        <w:rPr>
          <w:rFonts w:ascii="Times New Roman" w:hAnsi="Times New Roman"/>
          <w:sz w:val="24"/>
          <w:szCs w:val="24"/>
          <w:rtl w:val="0"/>
          <w:lang w:val="en-US"/>
        </w:rPr>
        <w:t>. P</w:t>
      </w:r>
      <w:r>
        <w:rPr>
          <w:rFonts w:ascii="Times New Roman" w:hAnsi="Times New Roman"/>
          <w:sz w:val="24"/>
          <w:szCs w:val="24"/>
          <w:rtl w:val="0"/>
        </w:rPr>
        <w:t>p. 69-75</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[Accessed: </w:t>
      </w:r>
      <w:r>
        <w:rPr>
          <w:rFonts w:ascii="Times New Roman" w:hAnsi="Times New Roman"/>
          <w:sz w:val="24"/>
          <w:szCs w:val="24"/>
          <w:rtl w:val="0"/>
          <w:lang w:val="en-US"/>
        </w:rPr>
        <w:t>21</w:t>
      </w:r>
      <w:r>
        <w:rPr>
          <w:rFonts w:ascii="Times New Roman" w:hAnsi="Times New Roman"/>
          <w:sz w:val="24"/>
          <w:szCs w:val="24"/>
          <w:rtl w:val="0"/>
        </w:rPr>
        <w:t>/01/2016]</w:t>
      </w:r>
      <w:r>
        <w:rPr>
          <w:rFonts w:ascii="Times New Roman" w:hAnsi="Times New Roman"/>
          <w:sz w:val="24"/>
          <w:szCs w:val="24"/>
          <w:rtl w:val="0"/>
          <w:lang w:val="en-US"/>
        </w:rPr>
        <w:t>.</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V</w:t>
      </w:r>
      <w:r>
        <w:rPr>
          <w:rFonts w:ascii="Times New Roman" w:hAnsi="Times New Roman"/>
          <w:sz w:val="24"/>
          <w:szCs w:val="24"/>
          <w:rtl w:val="0"/>
          <w:lang w:val="nl-NL"/>
        </w:rPr>
        <w:t>an Oppen de Ruiter</w:t>
      </w:r>
      <w:r>
        <w:rPr>
          <w:rFonts w:ascii="Times New Roman" w:hAnsi="Times New Roman"/>
          <w:sz w:val="24"/>
          <w:szCs w:val="24"/>
          <w:rtl w:val="0"/>
          <w:lang w:val="en-US"/>
        </w:rPr>
        <w:t xml:space="preserve">, B. F. 2010. </w:t>
      </w:r>
      <w:r>
        <w:rPr>
          <w:rFonts w:ascii="Times New Roman" w:hAnsi="Times New Roman"/>
          <w:sz w:val="24"/>
          <w:szCs w:val="24"/>
          <w:rtl w:val="0"/>
          <w:lang w:val="en-US"/>
        </w:rPr>
        <w:t>The Death of Arsinoe II Philadelphus: The Evidence Reconsidered</w:t>
      </w:r>
      <w:r>
        <w:rPr>
          <w:rFonts w:ascii="Times New Roman" w:hAnsi="Times New Roman"/>
          <w:sz w:val="24"/>
          <w:szCs w:val="24"/>
          <w:rtl w:val="0"/>
          <w:lang w:val="en-US"/>
        </w:rPr>
        <w:t xml:space="preserve">. </w:t>
      </w:r>
      <w:r>
        <w:rPr>
          <w:rStyle w:val="Hyperlink.4"/>
          <w:rFonts w:ascii="Times New Roman" w:hAnsi="Times New Roman"/>
          <w:sz w:val="24"/>
          <w:szCs w:val="24"/>
          <w:rtl w:val="0"/>
          <w:lang w:val="de-DE"/>
        </w:rPr>
        <w:t>Zeitschrift f</w:t>
      </w:r>
      <w:r>
        <w:rPr>
          <w:rStyle w:val="Hyperlink.4"/>
          <w:rFonts w:ascii="Times New Roman" w:hAnsi="Times New Roman" w:hint="default"/>
          <w:sz w:val="24"/>
          <w:szCs w:val="24"/>
          <w:rtl w:val="0"/>
        </w:rPr>
        <w:t>ü</w:t>
      </w:r>
      <w:r>
        <w:rPr>
          <w:rStyle w:val="Hyperlink.4"/>
          <w:rFonts w:ascii="Times New Roman" w:hAnsi="Times New Roman"/>
          <w:sz w:val="24"/>
          <w:szCs w:val="24"/>
          <w:rtl w:val="0"/>
          <w:lang w:val="de-DE"/>
        </w:rPr>
        <w:t>r Papyrologie und Epigraphik</w:t>
      </w:r>
      <w:r>
        <w:rPr>
          <w:rFonts w:ascii="Times New Roman" w:hAnsi="Times New Roman"/>
          <w:sz w:val="24"/>
          <w:szCs w:val="24"/>
          <w:rtl w:val="0"/>
          <w:lang w:val="en-US"/>
        </w:rPr>
        <w:t xml:space="preserve">. 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"http://www.jstor.org/stable/41291023"</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http://www.jstor.org/stable/41291023</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rPr>
        <w:t>Dr. Rudolf Habelt GmbH</w:t>
      </w:r>
      <w:r>
        <w:rPr>
          <w:rFonts w:ascii="Times New Roman" w:hAnsi="Times New Roman"/>
          <w:sz w:val="24"/>
          <w:szCs w:val="24"/>
          <w:rtl w:val="0"/>
          <w:lang w:val="en-US"/>
        </w:rPr>
        <w:t xml:space="preserve">. </w:t>
      </w:r>
      <w:r>
        <w:rPr>
          <w:rFonts w:ascii="Times New Roman" w:hAnsi="Times New Roman"/>
          <w:sz w:val="24"/>
          <w:szCs w:val="24"/>
          <w:rtl w:val="0"/>
        </w:rPr>
        <w:t>Bd. 174</w:t>
      </w:r>
      <w:r>
        <w:rPr>
          <w:rFonts w:ascii="Times New Roman" w:hAnsi="Times New Roman"/>
          <w:sz w:val="24"/>
          <w:szCs w:val="24"/>
          <w:rtl w:val="0"/>
          <w:lang w:val="en-US"/>
        </w:rPr>
        <w:t>. P</w:t>
      </w:r>
      <w:r>
        <w:rPr>
          <w:rFonts w:ascii="Times New Roman" w:hAnsi="Times New Roman"/>
          <w:sz w:val="24"/>
          <w:szCs w:val="24"/>
          <w:rtl w:val="0"/>
        </w:rPr>
        <w:t>p. 139-150</w:t>
      </w:r>
      <w:r>
        <w:rPr>
          <w:rFonts w:ascii="Times New Roman" w:hAnsi="Times New Roman"/>
          <w:sz w:val="24"/>
          <w:szCs w:val="24"/>
          <w:rtl w:val="0"/>
          <w:lang w:val="en-US"/>
        </w:rPr>
        <w:t>.</w:t>
      </w:r>
      <w:r>
        <w:rPr>
          <w:rFonts w:ascii="Times New Roman" w:hAnsi="Times New Roman"/>
          <w:sz w:val="24"/>
          <w:szCs w:val="24"/>
          <w:rtl w:val="0"/>
          <w:lang w:val="en-US"/>
        </w:rPr>
        <w:t xml:space="preserve"> [Accessed: 1</w:t>
      </w:r>
      <w:r>
        <w:rPr>
          <w:rFonts w:ascii="Times New Roman" w:hAnsi="Times New Roman"/>
          <w:sz w:val="24"/>
          <w:szCs w:val="24"/>
          <w:rtl w:val="0"/>
          <w:lang w:val="en-US"/>
        </w:rPr>
        <w:t>8</w:t>
      </w:r>
      <w:r>
        <w:rPr>
          <w:rFonts w:ascii="Times New Roman" w:hAnsi="Times New Roman"/>
          <w:sz w:val="24"/>
          <w:szCs w:val="24"/>
          <w:rtl w:val="0"/>
        </w:rPr>
        <w:t>/01/2016]</w:t>
      </w:r>
      <w:r>
        <w:rPr>
          <w:rFonts w:ascii="Times New Roman" w:hAnsi="Times New Roman"/>
          <w:sz w:val="24"/>
          <w:szCs w:val="24"/>
          <w:rtl w:val="0"/>
          <w:lang w:val="en-US"/>
        </w:rPr>
        <w:t>.</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 xml:space="preserve">Vickers, M. 1994. </w:t>
      </w:r>
      <w:r>
        <w:rPr>
          <w:rFonts w:ascii="Times New Roman" w:hAnsi="Times New Roman"/>
          <w:sz w:val="24"/>
          <w:szCs w:val="24"/>
          <w:rtl w:val="0"/>
          <w:lang w:val="en-US"/>
        </w:rPr>
        <w:t>Nabataea, India, Gaul, and Carthage: Reflections on Hellenistic and Roman Gold Vessels and Red-Gloss Pottery</w:t>
      </w:r>
      <w:r>
        <w:rPr>
          <w:rFonts w:ascii="Times New Roman" w:hAnsi="Times New Roman"/>
          <w:sz w:val="24"/>
          <w:szCs w:val="24"/>
          <w:rtl w:val="0"/>
          <w:lang w:val="en-US"/>
        </w:rPr>
        <w:t xml:space="preserve">. </w:t>
      </w:r>
      <w:r>
        <w:rPr>
          <w:rStyle w:val="Hyperlink.4"/>
          <w:rFonts w:ascii="Times New Roman" w:hAnsi="Times New Roman"/>
          <w:sz w:val="24"/>
          <w:szCs w:val="24"/>
          <w:rtl w:val="0"/>
          <w:lang w:val="en-US"/>
        </w:rPr>
        <w:t>American Journal of Archaeology</w:t>
      </w:r>
      <w:r>
        <w:rPr>
          <w:rStyle w:val="Hyperlink.4"/>
          <w:rFonts w:ascii="Times New Roman" w:hAnsi="Times New Roman"/>
          <w:sz w:val="24"/>
          <w:szCs w:val="24"/>
          <w:rtl w:val="0"/>
          <w:lang w:val="en-US"/>
        </w:rPr>
        <w:t>.</w:t>
      </w:r>
      <w:r>
        <w:rPr>
          <w:rFonts w:ascii="Times New Roman" w:hAnsi="Times New Roman"/>
          <w:sz w:val="24"/>
          <w:szCs w:val="24"/>
          <w:rtl w:val="0"/>
          <w:lang w:val="en-US"/>
        </w:rPr>
        <w:t xml:space="preserve"> Available at </w:t>
      </w:r>
      <w:r>
        <w:rPr>
          <w:rStyle w:val="Hyperlink.6"/>
          <w:rFonts w:ascii="Times New Roman" w:cs="Times New Roman" w:hAnsi="Times New Roman" w:eastAsia="Times New Roman"/>
          <w:color w:val="000000"/>
          <w:sz w:val="24"/>
          <w:szCs w:val="24"/>
          <w:u w:val="none" w:color="0000ff"/>
          <w:rtl w:val="0"/>
        </w:rPr>
        <w:fldChar w:fldCharType="begin" w:fldLock="0"/>
      </w:r>
      <w:r>
        <w:rPr>
          <w:rStyle w:val="Hyperlink.6"/>
          <w:rFonts w:ascii="Times New Roman" w:cs="Times New Roman" w:hAnsi="Times New Roman" w:eastAsia="Times New Roman"/>
          <w:color w:val="000000"/>
          <w:sz w:val="24"/>
          <w:szCs w:val="24"/>
          <w:u w:val="none" w:color="0000ff"/>
          <w:rtl w:val="0"/>
        </w:rPr>
        <w:instrText xml:space="preserve"> HYPERLINK "http://www.jstor.org/stable/506637"</w:instrText>
      </w:r>
      <w:r>
        <w:rPr>
          <w:rStyle w:val="Hyperlink.6"/>
          <w:rFonts w:ascii="Times New Roman" w:cs="Times New Roman" w:hAnsi="Times New Roman" w:eastAsia="Times New Roman"/>
          <w:color w:val="000000"/>
          <w:sz w:val="24"/>
          <w:szCs w:val="24"/>
          <w:u w:val="none" w:color="0000ff"/>
          <w:rtl w:val="0"/>
        </w:rPr>
        <w:fldChar w:fldCharType="separate" w:fldLock="0"/>
      </w:r>
      <w:r>
        <w:rPr>
          <w:rStyle w:val="Hyperlink.6"/>
          <w:rFonts w:ascii="Times New Roman" w:hAnsi="Times New Roman"/>
          <w:color w:val="000000"/>
          <w:sz w:val="24"/>
          <w:szCs w:val="24"/>
          <w:u w:val="none" w:color="0000ff"/>
          <w:rtl w:val="0"/>
          <w:lang w:val="en-US"/>
        </w:rPr>
        <w:t>http://www.jstor.org/stable/506637</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Archaeological Institute of America</w:t>
      </w:r>
      <w:r>
        <w:rPr>
          <w:rFonts w:ascii="Times New Roman" w:hAnsi="Times New Roman"/>
          <w:sz w:val="24"/>
          <w:szCs w:val="24"/>
          <w:rtl w:val="0"/>
          <w:lang w:val="en-US"/>
        </w:rPr>
        <w:t xml:space="preserve">. </w:t>
      </w:r>
      <w:r>
        <w:rPr>
          <w:rFonts w:ascii="Times New Roman" w:hAnsi="Times New Roman"/>
          <w:sz w:val="24"/>
          <w:szCs w:val="24"/>
          <w:rtl w:val="0"/>
        </w:rPr>
        <w:t>Vol. 98, No. 2</w:t>
      </w:r>
      <w:r>
        <w:rPr>
          <w:rFonts w:ascii="Times New Roman" w:hAnsi="Times New Roman"/>
          <w:sz w:val="24"/>
          <w:szCs w:val="24"/>
          <w:rtl w:val="0"/>
          <w:lang w:val="en-US"/>
        </w:rPr>
        <w:t>. P</w:t>
      </w:r>
      <w:r>
        <w:rPr>
          <w:rFonts w:ascii="Times New Roman" w:hAnsi="Times New Roman"/>
          <w:sz w:val="24"/>
          <w:szCs w:val="24"/>
          <w:rtl w:val="0"/>
        </w:rPr>
        <w:t>p. 231-248</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[Accessed: </w:t>
      </w:r>
      <w:r>
        <w:rPr>
          <w:rFonts w:ascii="Times New Roman" w:hAnsi="Times New Roman"/>
          <w:sz w:val="24"/>
          <w:szCs w:val="24"/>
          <w:rtl w:val="0"/>
          <w:lang w:val="en-US"/>
        </w:rPr>
        <w:t>22</w:t>
      </w:r>
      <w:r>
        <w:rPr>
          <w:rFonts w:ascii="Times New Roman" w:hAnsi="Times New Roman"/>
          <w:sz w:val="24"/>
          <w:szCs w:val="24"/>
          <w:rtl w:val="0"/>
        </w:rPr>
        <w:t>/01/2016].</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Wenghofer</w:t>
      </w:r>
      <w:r>
        <w:rPr>
          <w:rFonts w:ascii="Times New Roman" w:hAnsi="Times New Roman"/>
          <w:sz w:val="24"/>
          <w:szCs w:val="24"/>
          <w:rtl w:val="0"/>
          <w:lang w:val="en-US"/>
        </w:rPr>
        <w:t xml:space="preserve">, R. 2018. Rethinking the relationship between Hellenistic Baktria and the Seleukid empire. </w:t>
      </w:r>
      <w:r>
        <w:rPr>
          <w:rStyle w:val="Hyperlink.4"/>
          <w:rFonts w:ascii="Times New Roman" w:hAnsi="Times New Roman"/>
          <w:sz w:val="24"/>
          <w:szCs w:val="24"/>
          <w:rtl w:val="0"/>
          <w:lang w:val="en-US"/>
        </w:rPr>
        <w:t>The Seleukid Empire 281-222 Bc</w:t>
      </w:r>
      <w:r>
        <w:rPr>
          <w:rStyle w:val="Hyperlink.4"/>
          <w:rFonts w:ascii="Times New Roman" w:hAnsi="Times New Roman"/>
          <w:sz w:val="24"/>
          <w:szCs w:val="24"/>
          <w:rtl w:val="0"/>
          <w:lang w:val="en-US"/>
        </w:rPr>
        <w:t xml:space="preserve">. </w:t>
      </w:r>
      <w:r>
        <w:rPr>
          <w:rStyle w:val="Hyperlink.4"/>
          <w:rFonts w:ascii="Times New Roman" w:hAnsi="Times New Roman"/>
          <w:sz w:val="24"/>
          <w:szCs w:val="24"/>
          <w:rtl w:val="0"/>
          <w:lang w:val="en-US"/>
        </w:rPr>
        <w:t>War Within the Family</w:t>
      </w:r>
      <w:r>
        <w:rPr>
          <w:rFonts w:ascii="Times New Roman" w:hAnsi="Times New Roman"/>
          <w:sz w:val="24"/>
          <w:szCs w:val="24"/>
          <w:rtl w:val="0"/>
          <w:lang w:val="en-US"/>
        </w:rPr>
        <w:t xml:space="preserve">. Classical Press of Wales. 332, 1. Pp 151-171. </w:t>
      </w:r>
      <w:r>
        <w:rPr>
          <w:rFonts w:ascii="Times New Roman" w:hAnsi="Times New Roman"/>
          <w:sz w:val="24"/>
          <w:szCs w:val="24"/>
          <w:rtl w:val="0"/>
          <w:lang w:val="en-US"/>
        </w:rPr>
        <w:t xml:space="preserve">[Accessed: </w:t>
      </w:r>
      <w:r>
        <w:rPr>
          <w:rFonts w:ascii="Times New Roman" w:hAnsi="Times New Roman"/>
          <w:sz w:val="24"/>
          <w:szCs w:val="24"/>
          <w:rtl w:val="0"/>
          <w:lang w:val="en-US"/>
        </w:rPr>
        <w:t>08</w:t>
      </w:r>
      <w:r>
        <w:rPr>
          <w:rFonts w:ascii="Times New Roman" w:hAnsi="Times New Roman"/>
          <w:sz w:val="24"/>
          <w:szCs w:val="24"/>
          <w:rtl w:val="0"/>
        </w:rPr>
        <w:t>-01-201</w:t>
      </w:r>
      <w:r>
        <w:rPr>
          <w:rFonts w:ascii="Times New Roman" w:hAnsi="Times New Roman"/>
          <w:sz w:val="24"/>
          <w:szCs w:val="24"/>
          <w:rtl w:val="0"/>
          <w:lang w:val="en-US"/>
        </w:rPr>
        <w:t>8</w:t>
      </w:r>
      <w:r>
        <w:rPr>
          <w:rFonts w:ascii="Times New Roman" w:hAnsi="Times New Roman"/>
          <w:sz w:val="24"/>
          <w:szCs w:val="24"/>
          <w:rtl w:val="0"/>
        </w:rPr>
        <w:t>]</w:t>
      </w:r>
      <w:r>
        <w:rPr>
          <w:rFonts w:ascii="Times New Roman" w:hAnsi="Times New Roman"/>
          <w:sz w:val="24"/>
          <w:szCs w:val="24"/>
          <w:rtl w:val="0"/>
          <w:lang w:val="en-US"/>
        </w:rPr>
        <w:t>.</w:t>
      </w:r>
      <w:r>
        <w:rPr>
          <w:rFonts w:ascii="Times New Roman" w:hAnsi="Times New Roman"/>
          <w:sz w:val="24"/>
          <w:szCs w:val="24"/>
          <w:rtl w:val="0"/>
        </w:rPr>
        <w:t xml:space="preserve"> </w:t>
      </w:r>
    </w:p>
    <w:p>
      <w:pPr>
        <w:pStyle w:val="Default"/>
        <w:bidi w:val="0"/>
        <w:spacing w:after="240"/>
        <w:ind w:left="0" w:right="0" w:firstLine="0"/>
        <w:jc w:val="both"/>
        <w:rPr>
          <w:rFonts w:ascii="Times New Roman" w:cs="Times New Roman" w:hAnsi="Times New Roman" w:eastAsia="Times New Roman"/>
          <w:sz w:val="24"/>
          <w:szCs w:val="24"/>
          <w:rtl w:val="0"/>
        </w:rPr>
      </w:pPr>
      <w:r>
        <w:rPr>
          <w:rStyle w:val="None"/>
          <w:rFonts w:ascii="Times New Roman" w:hAnsi="Times New Roman"/>
          <w:sz w:val="24"/>
          <w:szCs w:val="24"/>
          <w:rtl w:val="0"/>
          <w:lang w:val="en-US"/>
        </w:rPr>
        <w:t>Westermann</w:t>
      </w:r>
      <w:r>
        <w:rPr>
          <w:rStyle w:val="None"/>
          <w:rFonts w:ascii="Times New Roman" w:hAnsi="Times New Roman"/>
          <w:sz w:val="24"/>
          <w:szCs w:val="24"/>
          <w:rtl w:val="0"/>
          <w:lang w:val="en-US"/>
        </w:rPr>
        <w:t xml:space="preserve">, W. L. 1917. </w:t>
      </w:r>
      <w:r>
        <w:rPr>
          <w:rFonts w:ascii="Times New Roman" w:hAnsi="Times New Roman"/>
          <w:sz w:val="24"/>
          <w:szCs w:val="24"/>
          <w:rtl w:val="0"/>
          <w:lang w:val="en-US"/>
        </w:rPr>
        <w:t>Land Reclamation in the Fayum under Ptolemies Philadelphus and Euergetes I</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Classical Philology, </w:t>
      </w:r>
      <w:r>
        <w:rPr>
          <w:rFonts w:ascii="Times New Roman" w:hAnsi="Times New Roman"/>
          <w:sz w:val="24"/>
          <w:szCs w:val="24"/>
          <w:rtl w:val="0"/>
          <w:lang w:val="en-US"/>
        </w:rPr>
        <w:t xml:space="preserve">Available at  . </w:t>
      </w:r>
      <w:r>
        <w:rPr>
          <w:rFonts w:ascii="Times New Roman" w:hAnsi="Times New Roman"/>
          <w:sz w:val="24"/>
          <w:szCs w:val="24"/>
          <w:rtl w:val="0"/>
          <w:lang w:val="en-US"/>
        </w:rPr>
        <w:t>University of Chicago Press</w:t>
      </w:r>
      <w:r>
        <w:rPr>
          <w:rFonts w:ascii="Times New Roman" w:hAnsi="Times New Roman"/>
          <w:sz w:val="24"/>
          <w:szCs w:val="24"/>
          <w:rtl w:val="0"/>
          <w:lang w:val="en-US"/>
        </w:rPr>
        <w:t xml:space="preserve">. </w:t>
      </w:r>
      <w:r>
        <w:rPr>
          <w:rFonts w:ascii="Times New Roman" w:hAnsi="Times New Roman"/>
          <w:sz w:val="24"/>
          <w:szCs w:val="24"/>
          <w:rtl w:val="0"/>
          <w:lang w:val="en-US"/>
        </w:rPr>
        <w:t>[Accessed: 18-01-2016]</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rPr>
        <w:t>William</w:t>
      </w:r>
      <w:r>
        <w:rPr>
          <w:rFonts w:ascii="Times New Roman" w:hAnsi="Times New Roman"/>
          <w:sz w:val="24"/>
          <w:szCs w:val="24"/>
          <w:rtl w:val="0"/>
          <w:lang w:val="en-US"/>
        </w:rPr>
        <w:t xml:space="preserve">, W. L. 1927. </w:t>
      </w:r>
      <w:r>
        <w:rPr>
          <w:rFonts w:ascii="Times New Roman" w:hAnsi="Times New Roman"/>
          <w:sz w:val="24"/>
          <w:szCs w:val="24"/>
          <w:rtl w:val="0"/>
        </w:rPr>
        <w:t>Egyptian Agricultural Labor under Ptolemy Philadelphus</w:t>
      </w:r>
      <w:r>
        <w:rPr>
          <w:rStyle w:val="Hyperlink.4"/>
          <w:rFonts w:ascii="Times New Roman" w:hAnsi="Times New Roman"/>
          <w:sz w:val="24"/>
          <w:szCs w:val="24"/>
          <w:rtl w:val="0"/>
          <w:lang w:val="en-US"/>
        </w:rPr>
        <w:t>.</w:t>
      </w:r>
      <w:r>
        <w:rPr>
          <w:rFonts w:ascii="Times New Roman" w:hAnsi="Times New Roman"/>
          <w:sz w:val="24"/>
          <w:szCs w:val="24"/>
          <w:rtl w:val="0"/>
        </w:rPr>
        <w:t xml:space="preserve"> </w:t>
      </w:r>
      <w:r>
        <w:rPr>
          <w:rStyle w:val="Hyperlink.4"/>
          <w:rFonts w:ascii="Times New Roman" w:hAnsi="Times New Roman"/>
          <w:sz w:val="24"/>
          <w:szCs w:val="24"/>
          <w:rtl w:val="0"/>
          <w:lang w:val="en-US"/>
        </w:rPr>
        <w:t>Agricultural History Society</w:t>
      </w:r>
      <w:r>
        <w:rPr>
          <w:rStyle w:val="Hyperlink.4"/>
          <w:rFonts w:ascii="Times New Roman" w:hAnsi="Times New Roman"/>
          <w:sz w:val="24"/>
          <w:szCs w:val="24"/>
          <w:rtl w:val="0"/>
          <w:lang w:val="en-US"/>
        </w:rPr>
        <w:t xml:space="preserve">. </w:t>
      </w:r>
      <w:r>
        <w:rPr>
          <w:rFonts w:ascii="Times New Roman" w:hAnsi="Times New Roman"/>
          <w:sz w:val="24"/>
          <w:szCs w:val="24"/>
          <w:rtl w:val="0"/>
          <w:lang w:val="en-US"/>
        </w:rPr>
        <w:t xml:space="preserve">Available at </w:t>
      </w:r>
      <w:r>
        <w:rPr>
          <w:rStyle w:val="Hyperlink.5"/>
          <w:rFonts w:ascii="Times New Roman" w:cs="Times New Roman" w:hAnsi="Times New Roman" w:eastAsia="Times New Roman"/>
          <w:color w:val="000000"/>
          <w:sz w:val="24"/>
          <w:szCs w:val="24"/>
          <w:u w:val="none" w:color="0000ff"/>
          <w:rtl w:val="0"/>
        </w:rPr>
        <w:fldChar w:fldCharType="begin" w:fldLock="0"/>
      </w:r>
      <w:r>
        <w:rPr>
          <w:rStyle w:val="Hyperlink.5"/>
          <w:rFonts w:ascii="Times New Roman" w:cs="Times New Roman" w:hAnsi="Times New Roman" w:eastAsia="Times New Roman"/>
          <w:color w:val="000000"/>
          <w:sz w:val="24"/>
          <w:szCs w:val="24"/>
          <w:u w:val="none" w:color="0000ff"/>
          <w:rtl w:val="0"/>
        </w:rPr>
        <w:instrText xml:space="preserve"> HYPERLINK "http://www.jstor.org/stable/3739617"</w:instrText>
      </w:r>
      <w:r>
        <w:rPr>
          <w:rStyle w:val="Hyperlink.5"/>
          <w:rFonts w:ascii="Times New Roman" w:cs="Times New Roman" w:hAnsi="Times New Roman" w:eastAsia="Times New Roman"/>
          <w:color w:val="000000"/>
          <w:sz w:val="24"/>
          <w:szCs w:val="24"/>
          <w:u w:val="none" w:color="0000ff"/>
          <w:rtl w:val="0"/>
        </w:rPr>
        <w:fldChar w:fldCharType="separate" w:fldLock="0"/>
      </w:r>
      <w:r>
        <w:rPr>
          <w:rStyle w:val="Hyperlink.5"/>
          <w:rFonts w:ascii="Times New Roman" w:hAnsi="Times New Roman"/>
          <w:color w:val="000000"/>
          <w:sz w:val="24"/>
          <w:szCs w:val="24"/>
          <w:u w:val="none" w:color="0000ff"/>
          <w:rtl w:val="0"/>
          <w:lang w:val="en-US"/>
        </w:rPr>
        <w:t>http://www.jstor.org/stable/3739617</w:t>
      </w:r>
      <w:r>
        <w:rPr>
          <w:rFonts w:ascii="Times New Roman" w:cs="Times New Roman" w:hAnsi="Times New Roman" w:eastAsia="Times New Roman"/>
          <w:sz w:val="24"/>
          <w:szCs w:val="24"/>
          <w:rtl w:val="0"/>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rPr>
        <w:t>Vol. 1, No. 2, pp. 34-47</w:t>
      </w:r>
      <w:r>
        <w:rPr>
          <w:rFonts w:ascii="Times New Roman" w:hAnsi="Times New Roman"/>
          <w:sz w:val="24"/>
          <w:szCs w:val="24"/>
          <w:rtl w:val="0"/>
          <w:lang w:val="en-US"/>
        </w:rPr>
        <w:t xml:space="preserve">. </w:t>
      </w:r>
      <w:r>
        <w:rPr>
          <w:rFonts w:ascii="Times New Roman" w:hAnsi="Times New Roman"/>
          <w:sz w:val="24"/>
          <w:szCs w:val="24"/>
          <w:rtl w:val="0"/>
          <w:lang w:val="en-US"/>
        </w:rPr>
        <w:t>[Accessed: 18-01-2016]</w:t>
      </w:r>
    </w:p>
    <w:p>
      <w:pPr>
        <w:pStyle w:val="Default"/>
        <w:bidi w:val="0"/>
        <w:spacing w:after="240"/>
        <w:ind w:left="0" w:right="0" w:firstLine="0"/>
        <w:jc w:val="both"/>
        <w:rPr>
          <w:rFonts w:ascii="Times New Roman" w:cs="Times New Roman" w:hAnsi="Times New Roman" w:eastAsia="Times New Roman"/>
          <w:sz w:val="24"/>
          <w:szCs w:val="24"/>
          <w:rtl w:val="0"/>
        </w:rPr>
      </w:pPr>
      <w:r>
        <w:rPr>
          <w:rFonts w:ascii="Times New Roman" w:hAnsi="Times New Roman"/>
          <w:sz w:val="24"/>
          <w:szCs w:val="24"/>
          <w:rtl w:val="0"/>
          <w:lang w:val="en-US"/>
        </w:rPr>
        <w:t>Wright</w:t>
      </w:r>
      <w:r>
        <w:rPr>
          <w:rFonts w:ascii="Times New Roman" w:hAnsi="Times New Roman"/>
          <w:sz w:val="24"/>
          <w:szCs w:val="24"/>
          <w:rtl w:val="0"/>
          <w:lang w:val="en-US"/>
        </w:rPr>
        <w:t xml:space="preserve">, N. L. 2018. Seleukos, Zeus and the Dynastic cult at Seleukeia in Pieria. </w:t>
      </w:r>
      <w:r>
        <w:rPr>
          <w:rStyle w:val="Hyperlink.4"/>
          <w:rFonts w:ascii="Times New Roman" w:hAnsi="Times New Roman"/>
          <w:sz w:val="24"/>
          <w:szCs w:val="24"/>
          <w:rtl w:val="0"/>
          <w:lang w:val="en-US"/>
        </w:rPr>
        <w:t>The Seleukid Empire 281-222 BC: War Within the Family</w:t>
      </w:r>
      <w:r>
        <w:rPr>
          <w:rStyle w:val="Hyperlink.4"/>
          <w:rFonts w:ascii="Times New Roman" w:hAnsi="Times New Roman"/>
          <w:sz w:val="24"/>
          <w:szCs w:val="24"/>
          <w:rtl w:val="0"/>
          <w:lang w:val="en-US"/>
        </w:rPr>
        <w:t>.</w:t>
      </w:r>
      <w:r>
        <w:rPr>
          <w:rFonts w:ascii="Times New Roman" w:hAnsi="Times New Roman"/>
          <w:sz w:val="24"/>
          <w:szCs w:val="24"/>
          <w:rtl w:val="0"/>
          <w:lang w:val="en-US"/>
        </w:rPr>
        <w:t xml:space="preserve"> </w:t>
      </w:r>
      <w:r>
        <w:rPr>
          <w:rFonts w:ascii="Times New Roman" w:hAnsi="Times New Roman"/>
          <w:sz w:val="24"/>
          <w:szCs w:val="24"/>
          <w:rtl w:val="0"/>
          <w:lang w:val="en-US"/>
        </w:rPr>
        <w:t>Classical Press of Wales. 332, 1.</w:t>
      </w:r>
      <w:r>
        <w:rPr>
          <w:rFonts w:ascii="Times New Roman" w:hAnsi="Times New Roman"/>
          <w:sz w:val="24"/>
          <w:szCs w:val="24"/>
          <w:rtl w:val="0"/>
          <w:lang w:val="en-US"/>
        </w:rPr>
        <w:t xml:space="preserve"> </w:t>
      </w:r>
      <w:r>
        <w:rPr>
          <w:rFonts w:ascii="Times New Roman" w:hAnsi="Times New Roman"/>
          <w:sz w:val="24"/>
          <w:szCs w:val="24"/>
          <w:rtl w:val="0"/>
        </w:rPr>
        <w:t>Pp 83-99</w:t>
      </w:r>
      <w:r>
        <w:rPr>
          <w:rFonts w:ascii="Times New Roman" w:hAnsi="Times New Roman"/>
          <w:sz w:val="24"/>
          <w:szCs w:val="24"/>
          <w:rtl w:val="0"/>
          <w:lang w:val="en-US"/>
        </w:rPr>
        <w:t xml:space="preserve"> </w:t>
      </w:r>
      <w:r>
        <w:rPr>
          <w:rFonts w:ascii="Times New Roman" w:hAnsi="Times New Roman"/>
          <w:sz w:val="24"/>
          <w:szCs w:val="24"/>
          <w:rtl w:val="0"/>
          <w:lang w:val="en-US"/>
        </w:rPr>
        <w:t>[Accessed: 08-01-2018]</w:t>
      </w:r>
      <w:r>
        <w:rPr>
          <w:rFonts w:ascii="Times New Roman" w:hAnsi="Times New Roman"/>
          <w:sz w:val="24"/>
          <w:szCs w:val="24"/>
          <w:rtl w:val="0"/>
          <w:lang w:val="en-US"/>
        </w:rPr>
        <w:t>.</w:t>
      </w:r>
    </w:p>
    <w:p>
      <w:pPr>
        <w:pStyle w:val="Body"/>
        <w:jc w:val="both"/>
        <w:rPr>
          <w:rFonts w:ascii="Times New Roman" w:cs="Times New Roman" w:hAnsi="Times New Roman" w:eastAsia="Times New Roman"/>
          <w:color w:val="0432ff"/>
          <w:sz w:val="24"/>
          <w:szCs w:val="24"/>
        </w:rPr>
      </w:pPr>
    </w:p>
    <w:p>
      <w:pPr>
        <w:pStyle w:val="Body"/>
        <w:jc w:val="both"/>
        <w:rPr>
          <w:rFonts w:ascii="Times New Roman" w:cs="Times New Roman" w:hAnsi="Times New Roman" w:eastAsia="Times New Roman"/>
          <w:color w:val="0432ff"/>
          <w:sz w:val="24"/>
          <w:szCs w:val="24"/>
        </w:rPr>
      </w:pPr>
    </w:p>
    <w:p>
      <w:pPr>
        <w:pStyle w:val="Body"/>
        <w:jc w:val="both"/>
        <w:rPr>
          <w:rFonts w:ascii="Times New Roman" w:cs="Times New Roman" w:hAnsi="Times New Roman" w:eastAsia="Times New Roman"/>
          <w:color w:val="0432ff"/>
          <w:sz w:val="24"/>
          <w:szCs w:val="24"/>
        </w:rPr>
      </w:pPr>
    </w:p>
    <w:p>
      <w:pPr>
        <w:pStyle w:val="Body"/>
        <w:jc w:val="both"/>
      </w:pPr>
      <w:r>
        <w:rPr>
          <w:rFonts w:ascii="Times New Roman" w:cs="Times New Roman" w:hAnsi="Times New Roman" w:eastAsia="Times New Roman"/>
          <w:color w:val="0432ff"/>
          <w:sz w:val="24"/>
          <w:szCs w:val="24"/>
        </w:rPr>
      </w:r>
    </w:p>
    <w:sectPr>
      <w:headerReference w:type="default" r:id="rId4"/>
      <w:footerReference w:type="default" r:id="rId5"/>
      <w:pgSz w:w="11906" w:h="16838" w:orient="portrait"/>
      <w:pgMar w:top="1134" w:right="1191" w:bottom="1134" w:left="2268"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Palatino">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pPr>
      <w:r>
        <w:rPr>
          <w:rFonts w:ascii="Times New Roman" w:cs="Times New Roman" w:hAnsi="Times New Roman" w:eastAsia="Times New Roman"/>
          <w:vertAlign w:val="superscript"/>
        </w:rPr>
        <w:footnoteRef/>
      </w:r>
      <w:r>
        <w:rPr>
          <w:rFonts w:ascii="Times New Roman" w:hAnsi="Times New Roman"/>
          <w:rtl w:val="0"/>
        </w:rPr>
        <w:t xml:space="preserve"> </w:t>
      </w:r>
      <w:r>
        <w:rPr>
          <w:rFonts w:ascii="Times New Roman" w:hAnsi="Times New Roman"/>
          <w:rtl w:val="0"/>
          <w:lang w:val="en-US"/>
        </w:rPr>
        <w:t xml:space="preserve">Smith M. H. 1999.42. </w:t>
      </w:r>
    </w:p>
  </w:footnote>
  <w:footnote w:id="2">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fr-FR"/>
        </w:rPr>
        <w:t>Burton, J. B. 1992</w:t>
      </w:r>
      <w:r>
        <w:rPr>
          <w:rFonts w:ascii="Times New Roman" w:hAnsi="Times New Roman"/>
          <w:rtl w:val="0"/>
          <w:lang w:val="en-US"/>
        </w:rPr>
        <w:t>.241.</w:t>
      </w:r>
    </w:p>
  </w:footnote>
  <w:footnote w:id="3">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en-US"/>
        </w:rPr>
        <w:t>Thompson, D. J. 2008</w:t>
      </w:r>
      <w:r>
        <w:rPr>
          <w:rFonts w:ascii="Times New Roman" w:hAnsi="Times New Roman"/>
          <w:rtl w:val="0"/>
          <w:lang w:val="en-US"/>
        </w:rPr>
        <w:t xml:space="preserve">.28. </w:t>
      </w:r>
    </w:p>
  </w:footnote>
  <w:footnote w:id="4">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en-US"/>
        </w:rPr>
        <w:t>Thompson, D. J. 2008</w:t>
      </w:r>
      <w:r>
        <w:rPr>
          <w:rFonts w:ascii="Times New Roman" w:hAnsi="Times New Roman"/>
          <w:rtl w:val="0"/>
          <w:lang w:val="en-US"/>
        </w:rPr>
        <w:t>.</w:t>
      </w:r>
      <w:r>
        <w:rPr>
          <w:rFonts w:ascii="Times New Roman" w:hAnsi="Times New Roman"/>
          <w:rtl w:val="0"/>
        </w:rPr>
        <w:t xml:space="preserve">28. </w:t>
      </w:r>
    </w:p>
  </w:footnote>
  <w:footnote w:id="5">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en-US"/>
        </w:rPr>
        <w:t>Thompson, D. J. 2008</w:t>
      </w:r>
      <w:r>
        <w:rPr>
          <w:rFonts w:ascii="Times New Roman" w:hAnsi="Times New Roman"/>
          <w:rtl w:val="0"/>
          <w:lang w:val="en-US"/>
        </w:rPr>
        <w:t>.</w:t>
      </w:r>
      <w:r>
        <w:rPr>
          <w:rFonts w:ascii="Times New Roman" w:hAnsi="Times New Roman"/>
          <w:rtl w:val="0"/>
        </w:rPr>
        <w:t>2</w:t>
      </w:r>
      <w:r>
        <w:rPr>
          <w:rFonts w:ascii="Times New Roman" w:hAnsi="Times New Roman"/>
          <w:rtl w:val="0"/>
          <w:lang w:val="en-US"/>
        </w:rPr>
        <w:t>9</w:t>
      </w:r>
      <w:r>
        <w:rPr>
          <w:rFonts w:ascii="Times New Roman" w:hAnsi="Times New Roman"/>
          <w:rtl w:val="0"/>
        </w:rPr>
        <w:t xml:space="preserve">. </w:t>
      </w:r>
    </w:p>
  </w:footnote>
  <w:footnote w:id="6">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e-DE"/>
        </w:rPr>
        <w:t>Bevan, R. 1923</w:t>
      </w:r>
      <w:r>
        <w:rPr>
          <w:rFonts w:ascii="Times New Roman" w:hAnsi="Times New Roman"/>
          <w:rtl w:val="0"/>
          <w:lang w:val="en-US"/>
        </w:rPr>
        <w:t>.</w:t>
      </w:r>
      <w:r>
        <w:rPr>
          <w:rFonts w:ascii="Times New Roman" w:hAnsi="Times New Roman"/>
          <w:rtl w:val="0"/>
        </w:rPr>
        <w:t xml:space="preserve">57. </w:t>
      </w:r>
    </w:p>
  </w:footnote>
  <w:footnote w:id="7">
    <w:p>
      <w:pPr>
        <w:pStyle w:val="Footnote"/>
      </w:pPr>
      <w:r>
        <w:rPr>
          <w:rFonts w:ascii="Times New Roman" w:cs="Times New Roman" w:hAnsi="Times New Roman" w:eastAsia="Times New Roman"/>
          <w:vertAlign w:val="superscript"/>
        </w:rPr>
        <w:footnoteRef/>
      </w:r>
      <w:r>
        <w:rPr>
          <w:rFonts w:ascii="Times New Roman" w:hAnsi="Times New Roman"/>
          <w:sz w:val="28"/>
          <w:szCs w:val="28"/>
          <w:rtl w:val="0"/>
          <w:lang w:val="en-US"/>
        </w:rPr>
        <w:t xml:space="preserve"> </w:t>
      </w:r>
      <w:r>
        <w:rPr>
          <w:rFonts w:ascii="Times New Roman" w:hAnsi="Times New Roman"/>
          <w:rtl w:val="0"/>
          <w:lang w:val="en-US"/>
        </w:rPr>
        <w:t xml:space="preserve">Thompson, D. B. 1955.199. </w:t>
      </w:r>
    </w:p>
  </w:footnote>
  <w:footnote w:id="8">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e-DE"/>
        </w:rPr>
        <w:t>Bevan, R. 1923</w:t>
      </w:r>
      <w:r>
        <w:rPr>
          <w:rFonts w:ascii="Times New Roman" w:hAnsi="Times New Roman"/>
          <w:rtl w:val="0"/>
          <w:lang w:val="en-US"/>
        </w:rPr>
        <w:t>.60</w:t>
      </w:r>
      <w:r>
        <w:rPr>
          <w:rFonts w:ascii="Times New Roman" w:hAnsi="Times New Roman"/>
          <w:rtl w:val="0"/>
        </w:rPr>
        <w:t xml:space="preserve">. </w:t>
      </w:r>
    </w:p>
  </w:footnote>
  <w:footnote w:id="9">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nl-NL"/>
        </w:rPr>
        <w:t>Ogden, D. 1999</w:t>
      </w:r>
      <w:r>
        <w:rPr>
          <w:rFonts w:ascii="Times New Roman" w:hAnsi="Times New Roman"/>
          <w:rtl w:val="0"/>
          <w:lang w:val="en-US"/>
        </w:rPr>
        <w:t>.125-126.</w:t>
      </w:r>
    </w:p>
  </w:footnote>
  <w:footnote w:id="10">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1928</w:t>
      </w:r>
      <w:r>
        <w:rPr>
          <w:rFonts w:ascii="Times New Roman" w:hAnsi="Times New Roman"/>
          <w:rtl w:val="0"/>
          <w:lang w:val="en-US"/>
        </w:rPr>
        <w:t xml:space="preserve">.249. </w:t>
      </w:r>
    </w:p>
  </w:footnote>
  <w:footnote w:id="11">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O</w:t>
      </w:r>
      <w:r>
        <w:rPr>
          <w:rFonts w:ascii="Times New Roman" w:hAnsi="Times New Roman" w:hint="default"/>
          <w:rtl w:val="0"/>
          <w:lang w:val="fr-FR"/>
        </w:rPr>
        <w:t>’</w:t>
      </w:r>
      <w:r>
        <w:rPr>
          <w:rFonts w:ascii="Times New Roman" w:hAnsi="Times New Roman"/>
          <w:rtl w:val="0"/>
        </w:rPr>
        <w:t>Neil, J. L. 2008</w:t>
      </w:r>
      <w:r>
        <w:rPr>
          <w:rFonts w:ascii="Times New Roman" w:hAnsi="Times New Roman"/>
          <w:rtl w:val="0"/>
          <w:lang w:val="en-US"/>
        </w:rPr>
        <w:t>.81.</w:t>
      </w:r>
    </w:p>
  </w:footnote>
  <w:footnote w:id="12">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.68</w:t>
      </w:r>
      <w:r>
        <w:rPr>
          <w:rFonts w:ascii="Times New Roman" w:hAnsi="Times New Roman"/>
          <w:rtl w:val="0"/>
        </w:rPr>
        <w:t xml:space="preserve">. </w:t>
      </w:r>
    </w:p>
  </w:footnote>
  <w:footnote w:id="13">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fr-FR"/>
        </w:rPr>
        <w:t>Marquaille</w:t>
      </w:r>
      <w:r>
        <w:rPr>
          <w:rFonts w:ascii="Times New Roman" w:hAnsi="Times New Roman"/>
          <w:rtl w:val="0"/>
          <w:lang w:val="en-US"/>
        </w:rPr>
        <w:t xml:space="preserve">, C. 2008.44. </w:t>
      </w:r>
    </w:p>
  </w:footnote>
  <w:footnote w:id="14">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.70</w:t>
      </w:r>
      <w:r>
        <w:rPr>
          <w:rFonts w:ascii="Times New Roman" w:hAnsi="Times New Roman"/>
          <w:rtl w:val="0"/>
        </w:rPr>
        <w:t xml:space="preserve">. </w:t>
      </w:r>
    </w:p>
  </w:footnote>
  <w:footnote w:id="15">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w:t>
      </w:r>
      <w:r>
        <w:rPr>
          <w:rFonts w:ascii="Times New Roman" w:hAnsi="Times New Roman"/>
          <w:rtl w:val="0"/>
        </w:rPr>
        <w:t>7</w:t>
      </w:r>
      <w:r>
        <w:rPr>
          <w:rFonts w:ascii="Times New Roman" w:hAnsi="Times New Roman"/>
          <w:rtl w:val="0"/>
          <w:lang w:val="en-US"/>
        </w:rPr>
        <w:t>5</w:t>
      </w:r>
      <w:r>
        <w:rPr>
          <w:rFonts w:ascii="Times New Roman" w:hAnsi="Times New Roman"/>
          <w:rtl w:val="0"/>
        </w:rPr>
        <w:t xml:space="preserve">. </w:t>
      </w:r>
    </w:p>
  </w:footnote>
  <w:footnote w:id="16">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2010</w:t>
      </w:r>
      <w:r>
        <w:rPr>
          <w:rFonts w:ascii="Times New Roman" w:hAnsi="Times New Roman"/>
          <w:rtl w:val="0"/>
          <w:lang w:val="en-US"/>
        </w:rPr>
        <w:t>.</w:t>
      </w:r>
      <w:r>
        <w:rPr>
          <w:rFonts w:ascii="Times New Roman" w:hAnsi="Times New Roman"/>
          <w:rtl w:val="0"/>
          <w:lang w:val="en-US"/>
        </w:rPr>
        <w:t xml:space="preserve">77.  </w:t>
      </w:r>
    </w:p>
  </w:footnote>
  <w:footnote w:id="17">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 xml:space="preserve">.11. </w:t>
      </w:r>
    </w:p>
  </w:footnote>
  <w:footnote w:id="18">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 xml:space="preserve">.14. </w:t>
      </w:r>
    </w:p>
  </w:footnote>
  <w:footnote w:id="19">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.20</w:t>
      </w:r>
      <w:r>
        <w:rPr>
          <w:rFonts w:ascii="Times New Roman" w:hAnsi="Times New Roman"/>
          <w:rtl w:val="0"/>
        </w:rPr>
        <w:t xml:space="preserve">. </w:t>
      </w:r>
    </w:p>
  </w:footnote>
  <w:footnote w:id="20">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.35</w:t>
      </w:r>
      <w:r>
        <w:rPr>
          <w:rFonts w:ascii="Times New Roman" w:hAnsi="Times New Roman"/>
          <w:rtl w:val="0"/>
        </w:rPr>
        <w:t xml:space="preserve">. </w:t>
      </w:r>
    </w:p>
  </w:footnote>
  <w:footnote w:id="21">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e-DE"/>
        </w:rPr>
        <w:t>Bevan, R. 1923</w:t>
      </w:r>
      <w:r>
        <w:rPr>
          <w:rFonts w:ascii="Times New Roman" w:hAnsi="Times New Roman"/>
          <w:rtl w:val="0"/>
          <w:lang w:val="en-US"/>
        </w:rPr>
        <w:t>.</w:t>
      </w:r>
      <w:r>
        <w:rPr>
          <w:rFonts w:ascii="Times New Roman" w:hAnsi="Times New Roman"/>
          <w:rtl w:val="0"/>
        </w:rPr>
        <w:t>7</w:t>
      </w:r>
      <w:r>
        <w:rPr>
          <w:rFonts w:ascii="Times New Roman" w:hAnsi="Times New Roman"/>
          <w:rtl w:val="0"/>
          <w:lang w:val="en-US"/>
        </w:rPr>
        <w:t>2</w:t>
      </w:r>
      <w:r>
        <w:rPr>
          <w:rFonts w:ascii="Times New Roman" w:hAnsi="Times New Roman"/>
          <w:rtl w:val="0"/>
        </w:rPr>
        <w:t>.</w:t>
      </w:r>
    </w:p>
  </w:footnote>
  <w:footnote w:id="22">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da-DK"/>
        </w:rPr>
        <w:t>Grainger, J. D. 2010</w:t>
      </w:r>
      <w:r>
        <w:rPr>
          <w:rFonts w:ascii="Times New Roman" w:hAnsi="Times New Roman"/>
          <w:rtl w:val="0"/>
          <w:lang w:val="en-US"/>
        </w:rPr>
        <w:t>.</w:t>
      </w:r>
      <w:r>
        <w:rPr>
          <w:rFonts w:ascii="Times New Roman" w:hAnsi="Times New Roman"/>
          <w:rtl w:val="0"/>
          <w:lang w:val="en-US"/>
        </w:rPr>
        <w:t xml:space="preserve">76. </w:t>
      </w:r>
    </w:p>
  </w:footnote>
  <w:footnote w:id="23">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da-DK"/>
        </w:rPr>
        <w:t>Grainger, J. D. 2010</w:t>
      </w:r>
      <w:r>
        <w:rPr>
          <w:rFonts w:ascii="Times New Roman" w:hAnsi="Times New Roman"/>
          <w:rtl w:val="0"/>
          <w:lang w:val="en-US"/>
        </w:rPr>
        <w:t>.</w:t>
      </w:r>
      <w:r>
        <w:rPr>
          <w:rFonts w:ascii="Times New Roman" w:hAnsi="Times New Roman"/>
          <w:rtl w:val="0"/>
          <w:lang w:val="en-US"/>
        </w:rPr>
        <w:t xml:space="preserve">77. </w:t>
      </w:r>
    </w:p>
  </w:footnote>
  <w:footnote w:id="24">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.95</w:t>
      </w:r>
      <w:r>
        <w:rPr>
          <w:rFonts w:ascii="Times New Roman" w:hAnsi="Times New Roman"/>
          <w:rtl w:val="0"/>
        </w:rPr>
        <w:t xml:space="preserve">. </w:t>
      </w:r>
    </w:p>
  </w:footnote>
  <w:footnote w:id="25">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.51</w:t>
      </w:r>
      <w:r>
        <w:rPr>
          <w:rFonts w:ascii="Times New Roman" w:hAnsi="Times New Roman"/>
          <w:rtl w:val="0"/>
        </w:rPr>
        <w:t xml:space="preserve">. </w:t>
      </w:r>
    </w:p>
  </w:footnote>
  <w:footnote w:id="26">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.62</w:t>
      </w:r>
      <w:r>
        <w:rPr>
          <w:rFonts w:ascii="Times New Roman" w:hAnsi="Times New Roman"/>
          <w:rtl w:val="0"/>
        </w:rPr>
        <w:t xml:space="preserve">. </w:t>
      </w:r>
    </w:p>
  </w:footnote>
  <w:footnote w:id="27">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fr-FR"/>
        </w:rPr>
        <w:t>Marquaille</w:t>
      </w:r>
      <w:r>
        <w:rPr>
          <w:rFonts w:ascii="Times New Roman" w:hAnsi="Times New Roman"/>
          <w:rtl w:val="0"/>
          <w:lang w:val="en-US"/>
        </w:rPr>
        <w:t xml:space="preserve">, C. 2008.53. </w:t>
      </w:r>
    </w:p>
  </w:footnote>
  <w:footnote w:id="28">
    <w:p>
      <w:pPr>
        <w:pStyle w:val="Footnote"/>
      </w:pPr>
      <w:r>
        <w:rPr>
          <w:rFonts w:ascii="Times New Roman" w:cs="Times New Roman" w:hAnsi="Times New Roman" w:eastAsia="Times New Roman"/>
          <w:vertAlign w:val="superscript"/>
        </w:rPr>
        <w:footnoteRef/>
      </w:r>
      <w:r>
        <w:rPr>
          <w:rFonts w:ascii="Times New Roman" w:hAnsi="Times New Roman"/>
          <w:rtl w:val="0"/>
        </w:rPr>
        <w:t xml:space="preserve"> </w:t>
      </w:r>
      <w:r>
        <w:rPr>
          <w:rFonts w:ascii="Times New Roman" w:hAnsi="Times New Roman"/>
          <w:rtl w:val="0"/>
          <w:lang w:val="en-US"/>
        </w:rPr>
        <w:t xml:space="preserve">Engels, D. 2008.183. </w:t>
      </w:r>
    </w:p>
  </w:footnote>
  <w:footnote w:id="29">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Grabowski, T. 2014</w:t>
      </w:r>
      <w:r>
        <w:rPr>
          <w:rFonts w:ascii="Times New Roman" w:hAnsi="Times New Roman"/>
          <w:rtl w:val="0"/>
          <w:lang w:val="en-US"/>
        </w:rPr>
        <w:t xml:space="preserve">.21. </w:t>
      </w:r>
    </w:p>
  </w:footnote>
  <w:footnote w:id="30">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fr-FR"/>
        </w:rPr>
        <w:t>Marquaille</w:t>
      </w:r>
      <w:r>
        <w:rPr>
          <w:rFonts w:ascii="Times New Roman" w:hAnsi="Times New Roman"/>
          <w:rtl w:val="0"/>
          <w:lang w:val="en-US"/>
        </w:rPr>
        <w:t>, C. 2008.44.</w:t>
      </w:r>
    </w:p>
  </w:footnote>
  <w:footnote w:id="31">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Grabowski, T. 2014</w:t>
      </w:r>
      <w:r>
        <w:rPr>
          <w:rFonts w:ascii="Times New Roman" w:hAnsi="Times New Roman"/>
          <w:rtl w:val="0"/>
          <w:lang w:val="en-US"/>
        </w:rPr>
        <w:t xml:space="preserve">.31. </w:t>
      </w:r>
    </w:p>
  </w:footnote>
  <w:footnote w:id="32">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it-IT"/>
        </w:rPr>
        <w:t>Holton, J. R. 2004</w:t>
      </w:r>
      <w:r>
        <w:rPr>
          <w:rFonts w:ascii="Times New Roman" w:hAnsi="Times New Roman"/>
          <w:rtl w:val="0"/>
          <w:lang w:val="en-US"/>
        </w:rPr>
        <w:t xml:space="preserve">.102. </w:t>
      </w:r>
    </w:p>
  </w:footnote>
  <w:footnote w:id="33">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nl-NL"/>
        </w:rPr>
        <w:t>Ogden, D. 1999</w:t>
      </w:r>
      <w:r>
        <w:rPr>
          <w:rFonts w:ascii="Times New Roman" w:hAnsi="Times New Roman"/>
          <w:rtl w:val="0"/>
          <w:lang w:val="en-US"/>
        </w:rPr>
        <w:t>.118.</w:t>
      </w:r>
    </w:p>
  </w:footnote>
  <w:footnote w:id="34">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it-IT"/>
        </w:rPr>
        <w:t>Holton, J. R. 2004</w:t>
      </w:r>
      <w:r>
        <w:rPr>
          <w:rFonts w:ascii="Times New Roman" w:hAnsi="Times New Roman"/>
          <w:rtl w:val="0"/>
          <w:lang w:val="en-US"/>
        </w:rPr>
        <w:t xml:space="preserve">.104.   </w:t>
      </w:r>
    </w:p>
  </w:footnote>
  <w:footnote w:id="35">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nl-NL"/>
        </w:rPr>
        <w:t>Ogden, D. 1999</w:t>
      </w:r>
      <w:r>
        <w:rPr>
          <w:rFonts w:ascii="Times New Roman" w:hAnsi="Times New Roman"/>
          <w:rtl w:val="0"/>
          <w:lang w:val="en-US"/>
        </w:rPr>
        <w:t>.118.</w:t>
      </w:r>
    </w:p>
  </w:footnote>
  <w:footnote w:id="36">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it-IT"/>
        </w:rPr>
        <w:t>Holton, J. R. 2004</w:t>
      </w:r>
      <w:r>
        <w:rPr>
          <w:rFonts w:ascii="Times New Roman" w:hAnsi="Times New Roman"/>
          <w:rtl w:val="0"/>
          <w:lang w:val="en-US"/>
        </w:rPr>
        <w:t xml:space="preserve">.123. </w:t>
      </w:r>
    </w:p>
  </w:footnote>
  <w:footnote w:id="37">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it-IT"/>
        </w:rPr>
        <w:t>Holton, J. R. 2004</w:t>
      </w:r>
      <w:r>
        <w:rPr>
          <w:rFonts w:ascii="Times New Roman" w:hAnsi="Times New Roman"/>
          <w:rtl w:val="0"/>
          <w:lang w:val="en-US"/>
        </w:rPr>
        <w:t>.</w:t>
      </w:r>
      <w:r>
        <w:rPr>
          <w:rFonts w:ascii="Times New Roman" w:hAnsi="Times New Roman"/>
          <w:rtl w:val="0"/>
        </w:rPr>
        <w:t>12</w:t>
      </w:r>
      <w:r>
        <w:rPr>
          <w:rFonts w:ascii="Times New Roman" w:hAnsi="Times New Roman"/>
          <w:rtl w:val="0"/>
          <w:lang w:val="en-US"/>
        </w:rPr>
        <w:t xml:space="preserve">5. </w:t>
      </w:r>
    </w:p>
  </w:footnote>
  <w:footnote w:id="38">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nl-NL"/>
        </w:rPr>
        <w:t>Ogden, D. 1999</w:t>
      </w:r>
      <w:r>
        <w:rPr>
          <w:rFonts w:ascii="Times New Roman" w:hAnsi="Times New Roman"/>
          <w:rtl w:val="0"/>
          <w:lang w:val="en-US"/>
        </w:rPr>
        <w:t>.123.</w:t>
      </w:r>
    </w:p>
  </w:footnote>
  <w:footnote w:id="39">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es-ES_tradnl"/>
        </w:rPr>
        <w:t>Jones C. P. 1993</w:t>
      </w:r>
      <w:r>
        <w:rPr>
          <w:rFonts w:ascii="Times New Roman" w:hAnsi="Times New Roman"/>
          <w:rtl w:val="0"/>
          <w:lang w:val="en-US"/>
        </w:rPr>
        <w:t xml:space="preserve">.89. </w:t>
      </w:r>
    </w:p>
  </w:footnote>
  <w:footnote w:id="40">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es-ES_tradnl"/>
        </w:rPr>
        <w:t>Jones C. P. 1993</w:t>
      </w:r>
      <w:r>
        <w:rPr>
          <w:rFonts w:ascii="Times New Roman" w:hAnsi="Times New Roman"/>
          <w:rtl w:val="0"/>
          <w:lang w:val="en-US"/>
        </w:rPr>
        <w:t>.91.</w:t>
      </w:r>
    </w:p>
  </w:footnote>
  <w:footnote w:id="41">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da-DK"/>
        </w:rPr>
        <w:t>Grainger, J. D. 2010</w:t>
      </w:r>
      <w:r>
        <w:rPr>
          <w:rFonts w:ascii="Times New Roman" w:hAnsi="Times New Roman"/>
          <w:rtl w:val="0"/>
          <w:lang w:val="en-US"/>
        </w:rPr>
        <w:t>.</w:t>
      </w:r>
      <w:r>
        <w:rPr>
          <w:rFonts w:ascii="Times New Roman" w:hAnsi="Times New Roman"/>
          <w:rtl w:val="0"/>
          <w:lang w:val="en-US"/>
        </w:rPr>
        <w:t xml:space="preserve">79. </w:t>
      </w:r>
    </w:p>
  </w:footnote>
  <w:footnote w:id="42">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nl-NL"/>
        </w:rPr>
        <w:t>Strootman</w:t>
      </w:r>
      <w:r>
        <w:rPr>
          <w:rFonts w:ascii="Times New Roman" w:hAnsi="Times New Roman"/>
          <w:rtl w:val="0"/>
        </w:rPr>
        <w:t xml:space="preserve"> R. 2005</w:t>
      </w:r>
      <w:r>
        <w:rPr>
          <w:rFonts w:ascii="Times New Roman" w:hAnsi="Times New Roman"/>
          <w:rtl w:val="0"/>
          <w:lang w:val="en-US"/>
        </w:rPr>
        <w:t xml:space="preserve">.14. </w:t>
      </w:r>
    </w:p>
  </w:footnote>
  <w:footnote w:id="43">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Co</w:t>
      </w:r>
      <w:r>
        <w:rPr>
          <w:rFonts w:ascii="Times New Roman" w:hAnsi="Times New Roman" w:hint="default"/>
          <w:rtl w:val="0"/>
        </w:rPr>
        <w:t>ş</w:t>
      </w:r>
      <w:r>
        <w:rPr>
          <w:rFonts w:ascii="Times New Roman" w:hAnsi="Times New Roman"/>
          <w:rtl w:val="0"/>
        </w:rPr>
        <w:t>kun, A. 2011</w:t>
      </w:r>
      <w:r>
        <w:rPr>
          <w:rFonts w:ascii="Times New Roman" w:hAnsi="Times New Roman"/>
          <w:rtl w:val="0"/>
          <w:lang w:val="en-US"/>
        </w:rPr>
        <w:t xml:space="preserve">.87. </w:t>
      </w:r>
    </w:p>
  </w:footnote>
  <w:footnote w:id="44">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Bar-Khocva, B. 1973</w:t>
      </w:r>
      <w:r>
        <w:rPr>
          <w:rFonts w:ascii="Times New Roman" w:hAnsi="Times New Roman"/>
          <w:rtl w:val="0"/>
          <w:lang w:val="en-US"/>
        </w:rPr>
        <w:t>.5</w:t>
      </w:r>
      <w:r>
        <w:rPr>
          <w:rFonts w:ascii="Times New Roman" w:hAnsi="Times New Roman"/>
          <w:rtl w:val="0"/>
        </w:rPr>
        <w:t>.</w:t>
      </w:r>
    </w:p>
  </w:footnote>
  <w:footnote w:id="45">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Co</w:t>
      </w:r>
      <w:r>
        <w:rPr>
          <w:rFonts w:ascii="Times New Roman" w:hAnsi="Times New Roman" w:hint="default"/>
          <w:rtl w:val="0"/>
        </w:rPr>
        <w:t>ş</w:t>
      </w:r>
      <w:r>
        <w:rPr>
          <w:rFonts w:ascii="Times New Roman" w:hAnsi="Times New Roman"/>
          <w:rtl w:val="0"/>
        </w:rPr>
        <w:t>kun, A. 2011</w:t>
      </w:r>
      <w:r>
        <w:rPr>
          <w:rFonts w:ascii="Times New Roman" w:hAnsi="Times New Roman"/>
          <w:rtl w:val="0"/>
          <w:lang w:val="en-US"/>
        </w:rPr>
        <w:t>.92</w:t>
      </w:r>
      <w:r>
        <w:rPr>
          <w:rFonts w:ascii="Times New Roman" w:hAnsi="Times New Roman"/>
          <w:rtl w:val="0"/>
        </w:rPr>
        <w:t xml:space="preserve">. </w:t>
      </w:r>
    </w:p>
  </w:footnote>
  <w:footnote w:id="46">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.80</w:t>
      </w:r>
      <w:r>
        <w:rPr>
          <w:rFonts w:ascii="Times New Roman" w:hAnsi="Times New Roman"/>
          <w:rtl w:val="0"/>
        </w:rPr>
        <w:t xml:space="preserve">. </w:t>
      </w:r>
    </w:p>
  </w:footnote>
  <w:footnote w:id="47">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da-DK"/>
        </w:rPr>
        <w:t>Grainger, J. D. 2010</w:t>
      </w:r>
      <w:r>
        <w:rPr>
          <w:rFonts w:ascii="Times New Roman" w:hAnsi="Times New Roman"/>
          <w:rtl w:val="0"/>
          <w:lang w:val="en-US"/>
        </w:rPr>
        <w:t>.</w:t>
      </w:r>
      <w:r>
        <w:rPr>
          <w:rFonts w:ascii="Times New Roman" w:hAnsi="Times New Roman"/>
          <w:rtl w:val="0"/>
          <w:lang w:val="en-US"/>
        </w:rPr>
        <w:t>81.</w:t>
      </w:r>
    </w:p>
  </w:footnote>
  <w:footnote w:id="48">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Bar-Khocva</w:t>
      </w:r>
      <w:r>
        <w:rPr>
          <w:rFonts w:ascii="Times New Roman" w:hAnsi="Times New Roman"/>
          <w:rtl w:val="0"/>
          <w:lang w:val="en-US"/>
        </w:rPr>
        <w:t xml:space="preserve">, </w:t>
      </w:r>
      <w:r>
        <w:rPr>
          <w:rFonts w:ascii="Times New Roman" w:hAnsi="Times New Roman"/>
          <w:rtl w:val="0"/>
        </w:rPr>
        <w:t>B. 1973</w:t>
      </w:r>
      <w:r>
        <w:rPr>
          <w:rFonts w:ascii="Times New Roman" w:hAnsi="Times New Roman"/>
          <w:rtl w:val="0"/>
          <w:lang w:val="en-US"/>
        </w:rPr>
        <w:t>.4.</w:t>
      </w:r>
    </w:p>
  </w:footnote>
  <w:footnote w:id="49">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Bar-Khocva, B. 1973</w:t>
      </w:r>
      <w:r>
        <w:rPr>
          <w:rFonts w:ascii="Times New Roman" w:hAnsi="Times New Roman"/>
          <w:rtl w:val="0"/>
          <w:lang w:val="en-US"/>
        </w:rPr>
        <w:t>.5</w:t>
      </w:r>
      <w:r>
        <w:rPr>
          <w:rFonts w:ascii="Times New Roman" w:hAnsi="Times New Roman"/>
          <w:rtl w:val="0"/>
        </w:rPr>
        <w:t>.</w:t>
      </w:r>
      <w:r>
        <w:rPr>
          <w:rFonts w:ascii="Times New Roman" w:hAnsi="Times New Roman"/>
          <w:rtl w:val="0"/>
          <w:lang w:val="en-US"/>
        </w:rPr>
        <w:t xml:space="preserve"> </w:t>
      </w:r>
    </w:p>
  </w:footnote>
  <w:footnote w:id="50">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es-ES_tradnl"/>
        </w:rPr>
        <w:t>Jones, C. P.  1993</w:t>
      </w:r>
      <w:r>
        <w:rPr>
          <w:rFonts w:ascii="Times New Roman" w:hAnsi="Times New Roman"/>
          <w:rtl w:val="0"/>
          <w:lang w:val="en-US"/>
        </w:rPr>
        <w:t>.90</w:t>
      </w:r>
      <w:r>
        <w:rPr>
          <w:rFonts w:ascii="Times New Roman" w:hAnsi="Times New Roman"/>
          <w:rtl w:val="0"/>
        </w:rPr>
        <w:t>.</w:t>
      </w:r>
    </w:p>
  </w:footnote>
  <w:footnote w:id="51">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es-ES_tradnl"/>
        </w:rPr>
        <w:t>Jones, C. P.  1993</w:t>
      </w:r>
      <w:r>
        <w:rPr>
          <w:rFonts w:ascii="Times New Roman" w:hAnsi="Times New Roman"/>
          <w:rtl w:val="0"/>
          <w:lang w:val="en-US"/>
        </w:rPr>
        <w:t>.</w:t>
      </w:r>
      <w:r>
        <w:rPr>
          <w:rFonts w:ascii="Times New Roman" w:hAnsi="Times New Roman"/>
          <w:rtl w:val="0"/>
        </w:rPr>
        <w:t>9</w:t>
      </w:r>
      <w:r>
        <w:rPr>
          <w:rFonts w:ascii="Times New Roman" w:hAnsi="Times New Roman"/>
          <w:rtl w:val="0"/>
          <w:lang w:val="en-US"/>
        </w:rPr>
        <w:t>1</w:t>
      </w:r>
      <w:r>
        <w:rPr>
          <w:rFonts w:ascii="Times New Roman" w:hAnsi="Times New Roman"/>
          <w:rtl w:val="0"/>
        </w:rPr>
        <w:t>.</w:t>
      </w:r>
    </w:p>
  </w:footnote>
  <w:footnote w:id="52">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da-DK"/>
        </w:rPr>
        <w:t>Grainger, J. D. 2010</w:t>
      </w:r>
      <w:r>
        <w:rPr>
          <w:rFonts w:ascii="Times New Roman" w:hAnsi="Times New Roman"/>
          <w:rtl w:val="0"/>
          <w:lang w:val="en-US"/>
        </w:rPr>
        <w:t>.</w:t>
      </w:r>
      <w:r>
        <w:rPr>
          <w:rFonts w:ascii="Times New Roman" w:hAnsi="Times New Roman"/>
          <w:rtl w:val="0"/>
          <w:lang w:val="en-US"/>
        </w:rPr>
        <w:t xml:space="preserve">80. </w:t>
      </w:r>
    </w:p>
  </w:footnote>
  <w:footnote w:id="53">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es-ES_tradnl"/>
        </w:rPr>
        <w:t>Jones, C. P. 1993</w:t>
      </w:r>
      <w:r>
        <w:rPr>
          <w:rFonts w:ascii="Times New Roman" w:hAnsi="Times New Roman"/>
          <w:rtl w:val="0"/>
          <w:lang w:val="en-US"/>
        </w:rPr>
        <w:t>.</w:t>
      </w:r>
      <w:r>
        <w:rPr>
          <w:rFonts w:ascii="Times New Roman" w:hAnsi="Times New Roman"/>
          <w:rtl w:val="0"/>
        </w:rPr>
        <w:t>9</w:t>
      </w:r>
      <w:r>
        <w:rPr>
          <w:rFonts w:ascii="Times New Roman" w:hAnsi="Times New Roman"/>
          <w:rtl w:val="0"/>
          <w:lang w:val="en-US"/>
        </w:rPr>
        <w:t>2</w:t>
      </w:r>
      <w:r>
        <w:rPr>
          <w:rFonts w:ascii="Times New Roman" w:hAnsi="Times New Roman"/>
          <w:rtl w:val="0"/>
        </w:rPr>
        <w:t>.</w:t>
      </w:r>
    </w:p>
  </w:footnote>
  <w:footnote w:id="54">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da-DK"/>
        </w:rPr>
        <w:t>Grainger, J. D. 2010</w:t>
      </w:r>
      <w:r>
        <w:rPr>
          <w:rFonts w:ascii="Times New Roman" w:hAnsi="Times New Roman"/>
          <w:rtl w:val="0"/>
          <w:lang w:val="en-US"/>
        </w:rPr>
        <w:t>.</w:t>
      </w:r>
      <w:r>
        <w:rPr>
          <w:rFonts w:ascii="Times New Roman" w:hAnsi="Times New Roman"/>
          <w:rtl w:val="0"/>
          <w:lang w:val="en-US"/>
        </w:rPr>
        <w:t xml:space="preserve">80. </w:t>
      </w:r>
    </w:p>
  </w:footnote>
  <w:footnote w:id="55">
    <w:p>
      <w:pPr>
        <w:pStyle w:val="Footnote"/>
      </w:pPr>
      <w:r>
        <w:rPr>
          <w:rFonts w:ascii="Times New Roman" w:cs="Times New Roman" w:hAnsi="Times New Roman" w:eastAsia="Times New Roman"/>
          <w:vertAlign w:val="superscript"/>
        </w:rPr>
        <w:footnoteRef/>
      </w:r>
      <w:r>
        <w:rPr>
          <w:rFonts w:ascii="Times New Roman" w:hAnsi="Times New Roman"/>
          <w:rtl w:val="0"/>
        </w:rPr>
        <w:t xml:space="preserve"> </w:t>
      </w:r>
      <w:r>
        <w:rPr>
          <w:rFonts w:ascii="Times New Roman" w:hAnsi="Times New Roman"/>
          <w:rtl w:val="0"/>
          <w:lang w:val="en-US"/>
        </w:rPr>
        <w:t>Jones, C. P. 1993.91.</w:t>
      </w:r>
    </w:p>
  </w:footnote>
  <w:footnote w:id="56">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nl-NL"/>
        </w:rPr>
        <w:t>Strootman</w:t>
      </w:r>
      <w:r>
        <w:rPr>
          <w:rFonts w:ascii="Times New Roman" w:hAnsi="Times New Roman"/>
          <w:rtl w:val="0"/>
        </w:rPr>
        <w:t xml:space="preserve"> R. 2005</w:t>
      </w:r>
      <w:r>
        <w:rPr>
          <w:rFonts w:ascii="Times New Roman" w:hAnsi="Times New Roman"/>
          <w:rtl w:val="0"/>
          <w:lang w:val="en-US"/>
        </w:rPr>
        <w:t xml:space="preserve">.14. </w:t>
      </w:r>
    </w:p>
  </w:footnote>
  <w:footnote w:id="57">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nl-NL"/>
        </w:rPr>
        <w:t>Strootman</w:t>
      </w:r>
      <w:r>
        <w:rPr>
          <w:rFonts w:ascii="Times New Roman" w:hAnsi="Times New Roman"/>
          <w:rtl w:val="0"/>
        </w:rPr>
        <w:t xml:space="preserve"> R. 2005</w:t>
      </w:r>
      <w:r>
        <w:rPr>
          <w:rFonts w:ascii="Times New Roman" w:hAnsi="Times New Roman"/>
          <w:rtl w:val="0"/>
          <w:lang w:val="en-US"/>
        </w:rPr>
        <w:t>.21.</w:t>
      </w:r>
    </w:p>
  </w:footnote>
  <w:footnote w:id="58">
    <w:p>
      <w:pPr>
        <w:pStyle w:val="Footnote"/>
      </w:pPr>
      <w:r>
        <w:rPr>
          <w:rFonts w:ascii="Times New Roman" w:cs="Times New Roman" w:hAnsi="Times New Roman" w:eastAsia="Times New Roman"/>
          <w:vertAlign w:val="superscript"/>
        </w:rPr>
        <w:footnoteRef/>
      </w:r>
      <w:r>
        <w:rPr>
          <w:rFonts w:ascii="Times New Roman" w:hAnsi="Times New Roman"/>
          <w:rtl w:val="0"/>
          <w:lang w:val="de-DE"/>
        </w:rPr>
        <w:t>Bevan, R. 1923</w:t>
      </w:r>
      <w:r>
        <w:rPr>
          <w:rFonts w:ascii="Times New Roman" w:hAnsi="Times New Roman"/>
          <w:rtl w:val="0"/>
          <w:lang w:val="en-US"/>
        </w:rPr>
        <w:t>.</w:t>
      </w:r>
      <w:r>
        <w:rPr>
          <w:rFonts w:ascii="Times New Roman" w:hAnsi="Times New Roman"/>
          <w:rtl w:val="0"/>
        </w:rPr>
        <w:t>6</w:t>
      </w:r>
      <w:r>
        <w:rPr>
          <w:rFonts w:ascii="Times New Roman" w:hAnsi="Times New Roman"/>
          <w:rtl w:val="0"/>
          <w:lang w:val="en-US"/>
        </w:rPr>
        <w:t>1.</w:t>
      </w:r>
    </w:p>
  </w:footnote>
  <w:footnote w:id="59">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fr-FR"/>
        </w:rPr>
        <w:t>Marquaille</w:t>
      </w:r>
      <w:r>
        <w:rPr>
          <w:rFonts w:ascii="Times New Roman" w:hAnsi="Times New Roman"/>
          <w:rtl w:val="0"/>
          <w:lang w:val="en-US"/>
        </w:rPr>
        <w:t xml:space="preserve">, C. 2008.43. </w:t>
      </w:r>
    </w:p>
  </w:footnote>
  <w:footnote w:id="60">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fr-FR"/>
        </w:rPr>
        <w:t>Marquaille, C. 2008</w:t>
      </w:r>
      <w:r>
        <w:rPr>
          <w:rFonts w:ascii="Times New Roman" w:hAnsi="Times New Roman"/>
          <w:rtl w:val="0"/>
          <w:lang w:val="en-US"/>
        </w:rPr>
        <w:t>.50</w:t>
      </w:r>
      <w:r>
        <w:rPr>
          <w:rFonts w:ascii="Times New Roman" w:hAnsi="Times New Roman"/>
          <w:rtl w:val="0"/>
        </w:rPr>
        <w:t xml:space="preserve">. </w:t>
      </w:r>
    </w:p>
  </w:footnote>
  <w:footnote w:id="61">
    <w:p>
      <w:pPr>
        <w:pStyle w:val="Footnote"/>
      </w:pPr>
      <w:r>
        <w:rPr>
          <w:rFonts w:ascii="Times New Roman" w:cs="Times New Roman" w:hAnsi="Times New Roman" w:eastAsia="Times New Roman"/>
          <w:vertAlign w:val="superscript"/>
        </w:rPr>
        <w:footnoteRef/>
      </w:r>
      <w:r>
        <w:rPr>
          <w:rFonts w:ascii="Times New Roman" w:hAnsi="Times New Roman"/>
          <w:u w:color="000000"/>
          <w:shd w:val="clear" w:color="auto" w:fill="ffffff"/>
          <w:rtl w:val="0"/>
          <w:lang w:val="en-US"/>
        </w:rPr>
        <w:t xml:space="preserve"> Theo. </w:t>
      </w:r>
      <w:r>
        <w:rPr>
          <w:rFonts w:ascii="Times New Roman" w:hAnsi="Times New Roman"/>
          <w:i w:val="1"/>
          <w:iCs w:val="1"/>
          <w:u w:color="000000"/>
          <w:shd w:val="clear" w:color="auto" w:fill="ffffff"/>
          <w:rtl w:val="0"/>
          <w:lang w:val="en-US"/>
        </w:rPr>
        <w:t>Enc.</w:t>
      </w:r>
      <w:r>
        <w:rPr>
          <w:rFonts w:ascii="Times New Roman" w:hAnsi="Times New Roman"/>
          <w:u w:color="000000"/>
          <w:shd w:val="clear" w:color="auto" w:fill="ffffff"/>
          <w:rtl w:val="0"/>
          <w:lang w:val="en-US"/>
        </w:rPr>
        <w:t xml:space="preserve"> 80 to 100</w:t>
      </w:r>
    </w:p>
  </w:footnote>
  <w:footnote w:id="62">
    <w:p>
      <w:pPr>
        <w:pStyle w:val="Footnote"/>
      </w:pPr>
      <w:r>
        <w:rPr>
          <w:rFonts w:ascii="Times New Roman" w:cs="Times New Roman" w:hAnsi="Times New Roman" w:eastAsia="Times New Roman"/>
          <w:vertAlign w:val="superscript"/>
        </w:rPr>
        <w:footnoteRef/>
      </w:r>
      <w:r>
        <w:rPr>
          <w:rFonts w:ascii="Times New Roman" w:hAnsi="Times New Roman"/>
          <w:u w:color="000000"/>
          <w:shd w:val="clear" w:color="auto" w:fill="ffffff"/>
          <w:rtl w:val="0"/>
          <w:lang w:val="en-US"/>
        </w:rPr>
        <w:t xml:space="preserve"> </w:t>
      </w:r>
      <w:r>
        <w:rPr>
          <w:rFonts w:ascii="Times New Roman" w:hAnsi="Times New Roman"/>
          <w:u w:color="000000"/>
          <w:shd w:val="clear" w:color="auto" w:fill="ffffff"/>
          <w:rtl w:val="0"/>
          <w:lang w:val="de-DE"/>
        </w:rPr>
        <w:t>Hunter, R. L. 2003</w:t>
      </w:r>
      <w:r>
        <w:rPr>
          <w:rFonts w:ascii="Times New Roman" w:hAnsi="Times New Roman"/>
          <w:u w:color="000000"/>
          <w:shd w:val="clear" w:color="auto" w:fill="ffffff"/>
          <w:rtl w:val="0"/>
          <w:lang w:val="en-US"/>
        </w:rPr>
        <w:t>.163.</w:t>
      </w:r>
    </w:p>
  </w:footnote>
  <w:footnote w:id="63">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Frost, F. J. 1971</w:t>
      </w:r>
      <w:r>
        <w:rPr>
          <w:rFonts w:ascii="Times New Roman" w:hAnsi="Times New Roman"/>
          <w:rtl w:val="0"/>
          <w:lang w:val="en-US"/>
        </w:rPr>
        <w:t xml:space="preserve">.170. </w:t>
      </w:r>
    </w:p>
  </w:footnote>
  <w:footnote w:id="64">
    <w:p>
      <w:pPr>
        <w:pStyle w:val="Footnote"/>
      </w:pPr>
      <w:r>
        <w:rPr>
          <w:rFonts w:ascii="Times New Roman" w:cs="Times New Roman" w:hAnsi="Times New Roman" w:eastAsia="Times New Roman"/>
          <w:vertAlign w:val="superscript"/>
        </w:rPr>
        <w:footnoteRef/>
      </w:r>
      <w:r>
        <w:rPr>
          <w:rFonts w:ascii="Times New Roman" w:hAnsi="Times New Roman"/>
          <w:u w:color="000000"/>
          <w:shd w:val="clear" w:color="auto" w:fill="ffffff"/>
          <w:rtl w:val="0"/>
          <w:lang w:val="en-US"/>
        </w:rPr>
        <w:t xml:space="preserve"> </w:t>
      </w:r>
      <w:r>
        <w:rPr>
          <w:rFonts w:ascii="Times New Roman" w:hAnsi="Times New Roman"/>
          <w:u w:color="000000"/>
          <w:shd w:val="clear" w:color="auto" w:fill="ffffff"/>
          <w:rtl w:val="0"/>
          <w:lang w:val="de-DE"/>
        </w:rPr>
        <w:t>Hunter, R. L. 2003</w:t>
      </w:r>
      <w:r>
        <w:rPr>
          <w:rFonts w:ascii="Times New Roman" w:hAnsi="Times New Roman"/>
          <w:u w:color="000000"/>
          <w:shd w:val="clear" w:color="auto" w:fill="ffffff"/>
          <w:rtl w:val="0"/>
          <w:lang w:val="en-US"/>
        </w:rPr>
        <w:t>.127.</w:t>
      </w:r>
    </w:p>
  </w:footnote>
  <w:footnote w:id="65">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e-DE"/>
        </w:rPr>
        <w:t>Bevan, R. 1923</w:t>
      </w:r>
      <w:r>
        <w:rPr>
          <w:rFonts w:ascii="Times New Roman" w:hAnsi="Times New Roman"/>
          <w:rtl w:val="0"/>
          <w:lang w:val="en-US"/>
        </w:rPr>
        <w:t>.</w:t>
      </w:r>
      <w:r>
        <w:rPr>
          <w:rFonts w:ascii="Times New Roman" w:hAnsi="Times New Roman"/>
          <w:rtl w:val="0"/>
        </w:rPr>
        <w:t>6</w:t>
      </w:r>
      <w:r>
        <w:rPr>
          <w:rFonts w:ascii="Times New Roman" w:hAnsi="Times New Roman"/>
          <w:rtl w:val="0"/>
          <w:lang w:val="en-US"/>
        </w:rPr>
        <w:t>2</w:t>
      </w:r>
      <w:r>
        <w:rPr>
          <w:rFonts w:ascii="Times New Roman" w:hAnsi="Times New Roman"/>
          <w:rtl w:val="0"/>
        </w:rPr>
        <w:t>.</w:t>
      </w:r>
    </w:p>
  </w:footnote>
  <w:footnote w:id="66">
    <w:p>
      <w:pPr>
        <w:pStyle w:val="Footnote"/>
      </w:pPr>
      <w:r>
        <w:rPr>
          <w:rFonts w:ascii="Times New Roman" w:cs="Times New Roman" w:hAnsi="Times New Roman" w:eastAsia="Times New Roman"/>
          <w:vertAlign w:val="superscript"/>
        </w:rPr>
        <w:footnoteRef/>
      </w:r>
      <w:r>
        <w:rPr>
          <w:rFonts w:ascii="Times New Roman" w:hAnsi="Times New Roman"/>
          <w:rtl w:val="0"/>
        </w:rPr>
        <w:t xml:space="preserve"> </w:t>
      </w:r>
      <w:r>
        <w:rPr>
          <w:rFonts w:ascii="Times New Roman" w:hAnsi="Times New Roman"/>
          <w:rtl w:val="0"/>
          <w:lang w:val="en-US"/>
        </w:rPr>
        <w:t xml:space="preserve">Hunter, R. L. 2003.165. </w:t>
      </w:r>
    </w:p>
  </w:footnote>
  <w:footnote w:id="67">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es-ES_tradnl"/>
        </w:rPr>
        <w:t xml:space="preserve">Jones, C. P., </w:t>
      </w:r>
      <w:r>
        <w:rPr>
          <w:rFonts w:ascii="Times New Roman" w:hAnsi="Times New Roman"/>
          <w:rtl w:val="0"/>
          <w:lang w:val="en-US"/>
        </w:rPr>
        <w:t>et all</w:t>
      </w:r>
      <w:r>
        <w:rPr>
          <w:rFonts w:ascii="Times New Roman" w:hAnsi="Times New Roman"/>
          <w:rtl w:val="0"/>
        </w:rPr>
        <w:t xml:space="preserve"> 1989</w:t>
      </w:r>
      <w:r>
        <w:rPr>
          <w:rFonts w:ascii="Times New Roman" w:hAnsi="Times New Roman"/>
          <w:rtl w:val="0"/>
          <w:lang w:val="en-US"/>
        </w:rPr>
        <w:t xml:space="preserve">.335-336. </w:t>
      </w:r>
    </w:p>
  </w:footnote>
  <w:footnote w:id="68">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e-DE"/>
        </w:rPr>
        <w:t>Bevan, R. 1923</w:t>
      </w:r>
      <w:r>
        <w:rPr>
          <w:rFonts w:ascii="Times New Roman" w:hAnsi="Times New Roman"/>
          <w:rtl w:val="0"/>
          <w:lang w:val="en-US"/>
        </w:rPr>
        <w:t>.</w:t>
      </w:r>
      <w:r>
        <w:rPr>
          <w:rFonts w:ascii="Times New Roman" w:hAnsi="Times New Roman"/>
          <w:rtl w:val="0"/>
        </w:rPr>
        <w:t>6</w:t>
      </w:r>
      <w:r>
        <w:rPr>
          <w:rFonts w:ascii="Times New Roman" w:hAnsi="Times New Roman"/>
          <w:rtl w:val="0"/>
          <w:lang w:val="en-US"/>
        </w:rPr>
        <w:t xml:space="preserve">3: The statue of </w:t>
      </w:r>
      <w:r>
        <w:rPr>
          <w:rFonts w:ascii="Times New Roman" w:hAnsi="Times New Roman"/>
          <w:rtl w:val="0"/>
          <w:lang w:val="en-US"/>
        </w:rPr>
        <w:t xml:space="preserve">Ptolemy's sister Philotera </w:t>
      </w:r>
      <w:r>
        <w:rPr>
          <w:rFonts w:ascii="Times New Roman" w:hAnsi="Times New Roman"/>
          <w:rtl w:val="0"/>
          <w:lang w:val="en-US"/>
        </w:rPr>
        <w:t xml:space="preserve">found at the </w:t>
      </w:r>
      <w:r>
        <w:rPr>
          <w:rFonts w:ascii="Times New Roman" w:hAnsi="Times New Roman"/>
          <w:rtl w:val="0"/>
          <w:lang w:val="en-US"/>
        </w:rPr>
        <w:t>shrine of Didymae</w:t>
      </w:r>
      <w:r>
        <w:rPr>
          <w:rFonts w:ascii="Times New Roman" w:hAnsi="Times New Roman"/>
          <w:rtl w:val="0"/>
          <w:lang w:val="en-US"/>
        </w:rPr>
        <w:t xml:space="preserve"> implies this.  </w:t>
      </w:r>
    </w:p>
  </w:footnote>
  <w:footnote w:id="69">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Foster, J. A. 2006</w:t>
      </w:r>
      <w:r>
        <w:rPr>
          <w:rFonts w:ascii="Times New Roman" w:hAnsi="Times New Roman"/>
          <w:rtl w:val="0"/>
          <w:lang w:val="en-US"/>
        </w:rPr>
        <w:t xml:space="preserve">.142. </w:t>
      </w:r>
    </w:p>
  </w:footnote>
  <w:footnote w:id="70">
    <w:p>
      <w:pPr>
        <w:pStyle w:val="Footnote"/>
      </w:pPr>
      <w:r>
        <w:rPr>
          <w:rFonts w:ascii="Times New Roman" w:cs="Times New Roman" w:hAnsi="Times New Roman" w:eastAsia="Times New Roman"/>
          <w:vertAlign w:val="superscript"/>
        </w:rPr>
        <w:footnoteRef/>
      </w:r>
      <w:r>
        <w:rPr>
          <w:rFonts w:ascii="Times New Roman" w:hAnsi="Times New Roman"/>
          <w:rtl w:val="0"/>
        </w:rPr>
        <w:t xml:space="preserve"> </w:t>
      </w:r>
      <w:r>
        <w:rPr>
          <w:rFonts w:ascii="Times New Roman" w:hAnsi="Times New Roman"/>
          <w:rtl w:val="0"/>
          <w:lang w:val="en-US"/>
        </w:rPr>
        <w:t xml:space="preserve">Hunter R. L. 2003.166. </w:t>
      </w:r>
    </w:p>
  </w:footnote>
  <w:footnote w:id="71">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1928</w:t>
      </w:r>
      <w:r>
        <w:rPr>
          <w:rFonts w:ascii="Times New Roman" w:hAnsi="Times New Roman"/>
          <w:rtl w:val="0"/>
          <w:lang w:val="en-US"/>
        </w:rPr>
        <w:t>.249.</w:t>
      </w:r>
    </w:p>
  </w:footnote>
  <w:footnote w:id="72">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Trundle, M. 2008</w:t>
      </w:r>
      <w:r>
        <w:rPr>
          <w:rFonts w:ascii="Times New Roman" w:hAnsi="Times New Roman"/>
          <w:rtl w:val="0"/>
          <w:lang w:val="en-US"/>
        </w:rPr>
        <w:t xml:space="preserve">.105. </w:t>
      </w:r>
    </w:p>
  </w:footnote>
  <w:footnote w:id="73">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fr-FR"/>
        </w:rPr>
        <w:t>Marquaille</w:t>
      </w:r>
      <w:r>
        <w:rPr>
          <w:rFonts w:ascii="Times New Roman" w:hAnsi="Times New Roman"/>
          <w:rtl w:val="0"/>
          <w:lang w:val="en-US"/>
        </w:rPr>
        <w:t xml:space="preserve">, C. 2008.40. </w:t>
      </w:r>
    </w:p>
  </w:footnote>
  <w:footnote w:id="74">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fr-FR"/>
        </w:rPr>
        <w:t>Marquaille, C. 2008</w:t>
      </w:r>
      <w:r>
        <w:rPr>
          <w:rFonts w:ascii="Times New Roman" w:hAnsi="Times New Roman"/>
          <w:rtl w:val="0"/>
          <w:lang w:val="en-US"/>
        </w:rPr>
        <w:t>.</w:t>
      </w:r>
      <w:r>
        <w:rPr>
          <w:rFonts w:ascii="Times New Roman" w:hAnsi="Times New Roman"/>
          <w:rtl w:val="0"/>
        </w:rPr>
        <w:t>4</w:t>
      </w:r>
      <w:r>
        <w:rPr>
          <w:rFonts w:ascii="Times New Roman" w:hAnsi="Times New Roman"/>
          <w:rtl w:val="0"/>
          <w:lang w:val="en-US"/>
        </w:rPr>
        <w:t>2</w:t>
      </w:r>
      <w:r>
        <w:rPr>
          <w:rFonts w:ascii="Times New Roman" w:hAnsi="Times New Roman"/>
          <w:rtl w:val="0"/>
        </w:rPr>
        <w:t xml:space="preserve">. </w:t>
      </w:r>
    </w:p>
  </w:footnote>
  <w:footnote w:id="75">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.6.</w:t>
      </w:r>
    </w:p>
  </w:footnote>
  <w:footnote w:id="76">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w:t>
      </w:r>
      <w:r>
        <w:rPr>
          <w:rFonts w:ascii="Times New Roman" w:hAnsi="Times New Roman"/>
          <w:rtl w:val="0"/>
        </w:rPr>
        <w:t>6.</w:t>
      </w:r>
    </w:p>
  </w:footnote>
  <w:footnote w:id="77">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da-DK"/>
        </w:rPr>
        <w:t>Grainger, J. D. 2010</w:t>
      </w:r>
      <w:r>
        <w:rPr>
          <w:rFonts w:ascii="Times New Roman" w:hAnsi="Times New Roman"/>
          <w:rtl w:val="0"/>
          <w:lang w:val="en-US"/>
        </w:rPr>
        <w:t xml:space="preserve">.84. </w:t>
      </w:r>
    </w:p>
  </w:footnote>
  <w:footnote w:id="78">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.84</w:t>
      </w:r>
      <w:r>
        <w:rPr>
          <w:rFonts w:ascii="Times New Roman" w:hAnsi="Times New Roman"/>
          <w:rtl w:val="0"/>
        </w:rPr>
        <w:t>.</w:t>
      </w:r>
    </w:p>
  </w:footnote>
  <w:footnote w:id="79">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da-DK"/>
        </w:rPr>
        <w:t>Grainger, J. D. 2010</w:t>
      </w:r>
      <w:r>
        <w:rPr>
          <w:rFonts w:ascii="Times New Roman" w:hAnsi="Times New Roman"/>
          <w:rtl w:val="0"/>
          <w:lang w:val="en-US"/>
        </w:rPr>
        <w:t>.84.</w:t>
      </w:r>
    </w:p>
  </w:footnote>
  <w:footnote w:id="80">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da-DK"/>
        </w:rPr>
        <w:t>Grainger, J. D. 2010</w:t>
      </w:r>
      <w:r>
        <w:rPr>
          <w:rFonts w:ascii="Times New Roman" w:hAnsi="Times New Roman"/>
          <w:rtl w:val="0"/>
          <w:lang w:val="en-US"/>
        </w:rPr>
        <w:t>.84.</w:t>
      </w:r>
    </w:p>
  </w:footnote>
  <w:footnote w:id="81">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1928</w:t>
      </w:r>
      <w:r>
        <w:rPr>
          <w:rFonts w:ascii="Times New Roman" w:hAnsi="Times New Roman"/>
          <w:rtl w:val="0"/>
          <w:lang w:val="en-US"/>
        </w:rPr>
        <w:t>.</w:t>
      </w:r>
      <w:r>
        <w:rPr>
          <w:rFonts w:ascii="Times New Roman" w:hAnsi="Times New Roman"/>
          <w:rtl w:val="0"/>
        </w:rPr>
        <w:t>249.</w:t>
      </w:r>
    </w:p>
  </w:footnote>
  <w:footnote w:id="82">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da-DK"/>
        </w:rPr>
        <w:t>Grainger, J. D. 2010</w:t>
      </w:r>
      <w:r>
        <w:rPr>
          <w:rFonts w:ascii="Times New Roman" w:hAnsi="Times New Roman"/>
          <w:rtl w:val="0"/>
          <w:lang w:val="en-US"/>
        </w:rPr>
        <w:t>.</w:t>
      </w:r>
      <w:r>
        <w:rPr>
          <w:rFonts w:ascii="Times New Roman" w:hAnsi="Times New Roman"/>
          <w:rtl w:val="0"/>
          <w:lang w:val="en-US"/>
        </w:rPr>
        <w:t xml:space="preserve">75. </w:t>
      </w:r>
    </w:p>
  </w:footnote>
  <w:footnote w:id="83">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.77</w:t>
      </w:r>
      <w:r>
        <w:rPr>
          <w:rFonts w:ascii="Times New Roman" w:hAnsi="Times New Roman"/>
          <w:rtl w:val="0"/>
        </w:rPr>
        <w:t xml:space="preserve">. </w:t>
      </w:r>
    </w:p>
  </w:footnote>
  <w:footnote w:id="84">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da-DK"/>
        </w:rPr>
        <w:t>Grainger, J. D. 2010</w:t>
      </w:r>
      <w:r>
        <w:rPr>
          <w:rFonts w:ascii="Times New Roman" w:hAnsi="Times New Roman"/>
          <w:rtl w:val="0"/>
          <w:lang w:val="en-US"/>
        </w:rPr>
        <w:t>.</w:t>
      </w:r>
      <w:r>
        <w:rPr>
          <w:rFonts w:ascii="Times New Roman" w:hAnsi="Times New Roman"/>
          <w:rtl w:val="0"/>
          <w:lang w:val="en-US"/>
        </w:rPr>
        <w:t xml:space="preserve">77. </w:t>
      </w:r>
    </w:p>
  </w:footnote>
  <w:footnote w:id="85">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1930</w:t>
      </w:r>
      <w:r>
        <w:rPr>
          <w:rFonts w:ascii="Times New Roman" w:hAnsi="Times New Roman"/>
          <w:rtl w:val="0"/>
          <w:lang w:val="en-US"/>
        </w:rPr>
        <w:t>.</w:t>
      </w:r>
      <w:r>
        <w:rPr>
          <w:rFonts w:ascii="Times New Roman" w:hAnsi="Times New Roman"/>
          <w:rtl w:val="0"/>
        </w:rPr>
        <w:t>44</w:t>
      </w:r>
      <w:r>
        <w:rPr>
          <w:rFonts w:ascii="Times New Roman" w:hAnsi="Times New Roman"/>
          <w:rtl w:val="0"/>
          <w:lang w:val="en-US"/>
        </w:rPr>
        <w:t>8</w:t>
      </w:r>
      <w:r>
        <w:rPr>
          <w:rFonts w:ascii="Times New Roman" w:hAnsi="Times New Roman"/>
          <w:rtl w:val="0"/>
        </w:rPr>
        <w:t>.</w:t>
      </w:r>
    </w:p>
  </w:footnote>
  <w:footnote w:id="86">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Tarn, W. W. 1926.155. </w:t>
      </w:r>
    </w:p>
  </w:footnote>
  <w:footnote w:id="87">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w:t>
      </w:r>
      <w:r>
        <w:rPr>
          <w:rFonts w:ascii="Times New Roman" w:hAnsi="Times New Roman"/>
          <w:rtl w:val="0"/>
          <w:lang w:val="en-US"/>
        </w:rPr>
        <w:t>30.447</w:t>
      </w:r>
      <w:r>
        <w:rPr>
          <w:rFonts w:ascii="Times New Roman" w:hAnsi="Times New Roman"/>
          <w:rtl w:val="0"/>
        </w:rPr>
        <w:t>.</w:t>
      </w:r>
    </w:p>
  </w:footnote>
  <w:footnote w:id="88">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1926</w:t>
      </w:r>
      <w:r>
        <w:rPr>
          <w:rFonts w:ascii="Times New Roman" w:hAnsi="Times New Roman"/>
          <w:rtl w:val="0"/>
          <w:lang w:val="en-US"/>
        </w:rPr>
        <w:t>.</w:t>
      </w:r>
      <w:r>
        <w:rPr>
          <w:rFonts w:ascii="Times New Roman" w:hAnsi="Times New Roman"/>
          <w:rtl w:val="0"/>
        </w:rPr>
        <w:t xml:space="preserve">155. </w:t>
      </w:r>
    </w:p>
  </w:footnote>
  <w:footnote w:id="89">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da-DK"/>
        </w:rPr>
        <w:t>Grainger, J. D. 2010</w:t>
      </w:r>
      <w:r>
        <w:rPr>
          <w:rFonts w:ascii="Times New Roman" w:hAnsi="Times New Roman"/>
          <w:rtl w:val="0"/>
          <w:lang w:val="en-US"/>
        </w:rPr>
        <w:t>.</w:t>
      </w:r>
      <w:r>
        <w:rPr>
          <w:rFonts w:ascii="Times New Roman" w:hAnsi="Times New Roman"/>
          <w:rtl w:val="0"/>
          <w:lang w:val="en-US"/>
        </w:rPr>
        <w:t xml:space="preserve">80. </w:t>
      </w:r>
    </w:p>
  </w:footnote>
  <w:footnote w:id="90">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1930</w:t>
      </w:r>
      <w:r>
        <w:rPr>
          <w:rFonts w:ascii="Times New Roman" w:hAnsi="Times New Roman"/>
          <w:rtl w:val="0"/>
          <w:lang w:val="en-US"/>
        </w:rPr>
        <w:t>.</w:t>
      </w:r>
      <w:r>
        <w:rPr>
          <w:rFonts w:ascii="Times New Roman" w:hAnsi="Times New Roman"/>
          <w:rtl w:val="0"/>
        </w:rPr>
        <w:t>4</w:t>
      </w:r>
      <w:r>
        <w:rPr>
          <w:rFonts w:ascii="Times New Roman" w:hAnsi="Times New Roman"/>
          <w:rtl w:val="0"/>
          <w:lang w:val="en-US"/>
        </w:rPr>
        <w:t>50</w:t>
      </w:r>
      <w:r>
        <w:rPr>
          <w:rFonts w:ascii="Times New Roman" w:hAnsi="Times New Roman"/>
          <w:rtl w:val="0"/>
        </w:rPr>
        <w:t>.</w:t>
      </w:r>
    </w:p>
  </w:footnote>
  <w:footnote w:id="91">
    <w:p>
      <w:pPr>
        <w:pStyle w:val="Footnote"/>
      </w:pPr>
      <w:r>
        <w:rPr>
          <w:rFonts w:ascii="Times New Roman" w:cs="Times New Roman" w:hAnsi="Times New Roman" w:eastAsia="Times New Roman"/>
          <w:vertAlign w:val="superscript"/>
        </w:rPr>
        <w:footnoteRef/>
      </w:r>
      <w:r>
        <w:rPr>
          <w:rFonts w:ascii="Times New Roman" w:hAnsi="Times New Roman"/>
          <w:rtl w:val="0"/>
        </w:rPr>
        <w:t xml:space="preserve"> </w:t>
      </w:r>
      <w:r>
        <w:rPr>
          <w:rFonts w:ascii="Times New Roman" w:hAnsi="Times New Roman"/>
          <w:rtl w:val="0"/>
          <w:lang w:val="en-US"/>
        </w:rPr>
        <w:t xml:space="preserve">Tarn W. W. 1926.160. </w:t>
      </w:r>
    </w:p>
  </w:footnote>
  <w:footnote w:id="92">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1930</w:t>
      </w:r>
      <w:r>
        <w:rPr>
          <w:rFonts w:ascii="Times New Roman" w:hAnsi="Times New Roman"/>
          <w:rtl w:val="0"/>
          <w:lang w:val="en-US"/>
        </w:rPr>
        <w:t>.</w:t>
      </w:r>
      <w:r>
        <w:rPr>
          <w:rFonts w:ascii="Times New Roman" w:hAnsi="Times New Roman"/>
          <w:rtl w:val="0"/>
        </w:rPr>
        <w:t>45</w:t>
      </w:r>
      <w:r>
        <w:rPr>
          <w:rFonts w:ascii="Times New Roman" w:hAnsi="Times New Roman"/>
          <w:rtl w:val="0"/>
          <w:lang w:val="en-US"/>
        </w:rPr>
        <w:t>1</w:t>
      </w:r>
      <w:r>
        <w:rPr>
          <w:rFonts w:ascii="Times New Roman" w:hAnsi="Times New Roman"/>
          <w:rtl w:val="0"/>
        </w:rPr>
        <w:t>.</w:t>
      </w:r>
    </w:p>
  </w:footnote>
  <w:footnote w:id="93">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1926</w:t>
      </w:r>
      <w:r>
        <w:rPr>
          <w:rFonts w:ascii="Times New Roman" w:hAnsi="Times New Roman"/>
          <w:rtl w:val="0"/>
          <w:lang w:val="en-US"/>
        </w:rPr>
        <w:t>.</w:t>
      </w:r>
      <w:r>
        <w:rPr>
          <w:rFonts w:ascii="Times New Roman" w:hAnsi="Times New Roman"/>
          <w:rtl w:val="0"/>
        </w:rPr>
        <w:t>15</w:t>
      </w:r>
      <w:r>
        <w:rPr>
          <w:rFonts w:ascii="Times New Roman" w:hAnsi="Times New Roman"/>
          <w:rtl w:val="0"/>
          <w:lang w:val="en-US"/>
        </w:rPr>
        <w:t>6</w:t>
      </w:r>
      <w:r>
        <w:rPr>
          <w:rFonts w:ascii="Times New Roman" w:hAnsi="Times New Roman"/>
          <w:rtl w:val="0"/>
        </w:rPr>
        <w:t xml:space="preserve">. </w:t>
      </w:r>
    </w:p>
  </w:footnote>
  <w:footnote w:id="94">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1926</w:t>
      </w:r>
      <w:r>
        <w:rPr>
          <w:rFonts w:ascii="Times New Roman" w:hAnsi="Times New Roman"/>
          <w:rtl w:val="0"/>
          <w:lang w:val="en-US"/>
        </w:rPr>
        <w:t>.</w:t>
      </w:r>
      <w:r>
        <w:rPr>
          <w:rFonts w:ascii="Times New Roman" w:hAnsi="Times New Roman"/>
          <w:rtl w:val="0"/>
        </w:rPr>
        <w:t xml:space="preserve">156. </w:t>
      </w:r>
    </w:p>
  </w:footnote>
  <w:footnote w:id="95">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1926</w:t>
      </w:r>
      <w:r>
        <w:rPr>
          <w:rFonts w:ascii="Times New Roman" w:hAnsi="Times New Roman"/>
          <w:rtl w:val="0"/>
          <w:lang w:val="en-US"/>
        </w:rPr>
        <w:t>.</w:t>
      </w:r>
      <w:r>
        <w:rPr>
          <w:rFonts w:ascii="Times New Roman" w:hAnsi="Times New Roman"/>
          <w:rtl w:val="0"/>
        </w:rPr>
        <w:t>1</w:t>
      </w:r>
      <w:r>
        <w:rPr>
          <w:rFonts w:ascii="Times New Roman" w:hAnsi="Times New Roman"/>
          <w:rtl w:val="0"/>
          <w:lang w:val="en-US"/>
        </w:rPr>
        <w:t>60</w:t>
      </w:r>
      <w:r>
        <w:rPr>
          <w:rFonts w:ascii="Times New Roman" w:hAnsi="Times New Roman"/>
          <w:rtl w:val="0"/>
        </w:rPr>
        <w:t xml:space="preserve">. </w:t>
      </w:r>
    </w:p>
  </w:footnote>
  <w:footnote w:id="96">
    <w:p>
      <w:pPr>
        <w:pStyle w:val="Footnote"/>
      </w:pPr>
      <w:r>
        <w:rPr>
          <w:rFonts w:ascii="Times New Roman" w:cs="Times New Roman" w:hAnsi="Times New Roman" w:eastAsia="Times New Roman"/>
          <w:vertAlign w:val="superscript"/>
        </w:rPr>
        <w:footnoteRef/>
      </w:r>
      <w:r>
        <w:rPr>
          <w:rFonts w:ascii="Times New Roman" w:hAnsi="Times New Roman"/>
          <w:rtl w:val="0"/>
        </w:rPr>
        <w:t xml:space="preserve"> </w:t>
      </w:r>
      <w:r>
        <w:rPr>
          <w:rFonts w:ascii="Times New Roman" w:hAnsi="Times New Roman"/>
          <w:rtl w:val="0"/>
          <w:lang w:val="en-US"/>
        </w:rPr>
        <w:t>Tarn W. W. 1926.156: By Ptolemy II son, might mean Lysimachus and Arsinoe</w:t>
      </w:r>
      <w:r>
        <w:rPr>
          <w:rFonts w:ascii="Times New Roman" w:hAnsi="Times New Roman" w:hint="default"/>
          <w:rtl w:val="0"/>
          <w:lang w:val="en-US"/>
        </w:rPr>
        <w:t>’</w:t>
      </w:r>
      <w:r>
        <w:rPr>
          <w:rFonts w:ascii="Times New Roman" w:hAnsi="Times New Roman"/>
          <w:rtl w:val="0"/>
          <w:lang w:val="en-US"/>
        </w:rPr>
        <w:t xml:space="preserve">s son, Ptolemaeus, who perhaps was adopted by Philadelphus. </w:t>
      </w:r>
    </w:p>
  </w:footnote>
  <w:footnote w:id="97">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1926</w:t>
      </w:r>
      <w:r>
        <w:rPr>
          <w:rFonts w:ascii="Times New Roman" w:hAnsi="Times New Roman"/>
          <w:rtl w:val="0"/>
          <w:lang w:val="en-US"/>
        </w:rPr>
        <w:t>.</w:t>
      </w:r>
      <w:r>
        <w:rPr>
          <w:rFonts w:ascii="Times New Roman" w:hAnsi="Times New Roman"/>
          <w:rtl w:val="0"/>
        </w:rPr>
        <w:t xml:space="preserve">156. </w:t>
      </w:r>
    </w:p>
  </w:footnote>
  <w:footnote w:id="98">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1926</w:t>
      </w:r>
      <w:r>
        <w:rPr>
          <w:rFonts w:ascii="Times New Roman" w:hAnsi="Times New Roman"/>
          <w:rtl w:val="0"/>
          <w:lang w:val="en-US"/>
        </w:rPr>
        <w:t>.</w:t>
      </w:r>
      <w:r>
        <w:rPr>
          <w:rFonts w:ascii="Times New Roman" w:hAnsi="Times New Roman"/>
          <w:rtl w:val="0"/>
        </w:rPr>
        <w:t xml:space="preserve">156. </w:t>
      </w:r>
    </w:p>
  </w:footnote>
  <w:footnote w:id="99">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fr-FR"/>
        </w:rPr>
        <w:t>Marquaille</w:t>
      </w:r>
      <w:r>
        <w:rPr>
          <w:rFonts w:ascii="Times New Roman" w:hAnsi="Times New Roman"/>
          <w:rtl w:val="0"/>
          <w:lang w:val="en-US"/>
        </w:rPr>
        <w:t xml:space="preserve">, C. 2008.44. </w:t>
      </w:r>
    </w:p>
  </w:footnote>
  <w:footnote w:id="100">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.83</w:t>
      </w:r>
      <w:r>
        <w:rPr>
          <w:rFonts w:ascii="Times New Roman" w:hAnsi="Times New Roman"/>
          <w:rtl w:val="0"/>
        </w:rPr>
        <w:t xml:space="preserve">. </w:t>
      </w:r>
    </w:p>
  </w:footnote>
  <w:footnote w:id="101">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Foertmeyer, V. 1988</w:t>
      </w:r>
      <w:r>
        <w:rPr>
          <w:rFonts w:ascii="Times New Roman" w:hAnsi="Times New Roman"/>
          <w:rtl w:val="0"/>
          <w:lang w:val="en-US"/>
        </w:rPr>
        <w:t xml:space="preserve">.103.  </w:t>
      </w:r>
    </w:p>
  </w:footnote>
  <w:footnote w:id="102">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.91</w:t>
      </w:r>
      <w:r>
        <w:rPr>
          <w:rFonts w:ascii="Times New Roman" w:hAnsi="Times New Roman"/>
          <w:rtl w:val="0"/>
        </w:rPr>
        <w:t xml:space="preserve">. </w:t>
      </w:r>
    </w:p>
  </w:footnote>
  <w:footnote w:id="103">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w:t>
      </w:r>
      <w:r>
        <w:rPr>
          <w:rFonts w:ascii="Times New Roman" w:hAnsi="Times New Roman"/>
          <w:rtl w:val="0"/>
        </w:rPr>
        <w:t>8</w:t>
      </w:r>
      <w:r>
        <w:rPr>
          <w:rFonts w:ascii="Times New Roman" w:hAnsi="Times New Roman"/>
          <w:rtl w:val="0"/>
          <w:lang w:val="en-US"/>
        </w:rPr>
        <w:t>5</w:t>
      </w:r>
      <w:r>
        <w:rPr>
          <w:rFonts w:ascii="Times New Roman" w:hAnsi="Times New Roman"/>
          <w:rtl w:val="0"/>
        </w:rPr>
        <w:t xml:space="preserve">. </w:t>
      </w:r>
    </w:p>
  </w:footnote>
  <w:footnote w:id="104">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1928</w:t>
      </w:r>
      <w:r>
        <w:rPr>
          <w:rFonts w:ascii="Times New Roman" w:hAnsi="Times New Roman"/>
          <w:rtl w:val="0"/>
          <w:lang w:val="en-US"/>
        </w:rPr>
        <w:t>.</w:t>
      </w:r>
      <w:r>
        <w:rPr>
          <w:rFonts w:ascii="Times New Roman" w:hAnsi="Times New Roman"/>
          <w:rtl w:val="0"/>
        </w:rPr>
        <w:t>249.</w:t>
      </w:r>
    </w:p>
  </w:footnote>
  <w:footnote w:id="105">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e-DE"/>
        </w:rPr>
        <w:t>Habicht, C. 1992</w:t>
      </w:r>
      <w:r>
        <w:rPr>
          <w:rFonts w:ascii="Times New Roman" w:hAnsi="Times New Roman"/>
          <w:rtl w:val="0"/>
          <w:lang w:val="en-US"/>
        </w:rPr>
        <w:t xml:space="preserve">.77. </w:t>
      </w:r>
    </w:p>
  </w:footnote>
  <w:footnote w:id="106">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da-DK"/>
        </w:rPr>
        <w:t>Grainger, J. D. 2010</w:t>
      </w:r>
      <w:r>
        <w:rPr>
          <w:rFonts w:ascii="Times New Roman" w:hAnsi="Times New Roman"/>
          <w:rtl w:val="0"/>
          <w:lang w:val="en-US"/>
        </w:rPr>
        <w:t>.</w:t>
      </w:r>
      <w:r>
        <w:rPr>
          <w:rFonts w:ascii="Times New Roman" w:hAnsi="Times New Roman"/>
          <w:rtl w:val="0"/>
          <w:lang w:val="en-US"/>
        </w:rPr>
        <w:t>80.</w:t>
      </w:r>
    </w:p>
  </w:footnote>
  <w:footnote w:id="107">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da-DK"/>
        </w:rPr>
        <w:t>Grainger, J. D. 2010</w:t>
      </w:r>
      <w:r>
        <w:rPr>
          <w:rFonts w:ascii="Times New Roman" w:hAnsi="Times New Roman"/>
          <w:rtl w:val="0"/>
          <w:lang w:val="en-US"/>
        </w:rPr>
        <w:t>.</w:t>
      </w:r>
      <w:r>
        <w:rPr>
          <w:rFonts w:ascii="Times New Roman" w:hAnsi="Times New Roman"/>
          <w:rtl w:val="0"/>
          <w:lang w:val="en-US"/>
        </w:rPr>
        <w:t>80.</w:t>
      </w:r>
    </w:p>
  </w:footnote>
  <w:footnote w:id="108">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w:t>
      </w:r>
      <w:r>
        <w:rPr>
          <w:rFonts w:ascii="Times New Roman" w:hAnsi="Times New Roman"/>
          <w:rtl w:val="0"/>
        </w:rPr>
        <w:t>8</w:t>
      </w:r>
      <w:r>
        <w:rPr>
          <w:rFonts w:ascii="Times New Roman" w:hAnsi="Times New Roman"/>
          <w:rtl w:val="0"/>
          <w:lang w:val="en-US"/>
        </w:rPr>
        <w:t>2</w:t>
      </w:r>
      <w:r>
        <w:rPr>
          <w:rFonts w:ascii="Times New Roman" w:hAnsi="Times New Roman"/>
          <w:rtl w:val="0"/>
        </w:rPr>
        <w:t xml:space="preserve">. </w:t>
      </w:r>
    </w:p>
  </w:footnote>
  <w:footnote w:id="109">
    <w:p>
      <w:pPr>
        <w:pStyle w:val="Footnote"/>
      </w:pPr>
      <w:r>
        <w:rPr>
          <w:rFonts w:ascii="Times New Roman" w:cs="Times New Roman" w:hAnsi="Times New Roman" w:eastAsia="Times New Roman"/>
          <w:vertAlign w:val="superscript"/>
        </w:rPr>
        <w:footnoteRef/>
      </w:r>
      <w:r>
        <w:rPr>
          <w:rFonts w:ascii="Times New Roman" w:hAnsi="Times New Roman"/>
          <w:rtl w:val="0"/>
        </w:rPr>
        <w:t xml:space="preserve"> </w:t>
      </w:r>
      <w:r>
        <w:rPr>
          <w:rFonts w:ascii="Times New Roman" w:hAnsi="Times New Roman"/>
          <w:rtl w:val="0"/>
          <w:lang w:val="en-US"/>
        </w:rPr>
        <w:t>Hunter, R. L. 2003.164.</w:t>
      </w:r>
    </w:p>
  </w:footnote>
  <w:footnote w:id="110">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da-DK"/>
        </w:rPr>
        <w:t>Grainger, J. D. 2010</w:t>
      </w:r>
      <w:r>
        <w:rPr>
          <w:rFonts w:ascii="Times New Roman" w:hAnsi="Times New Roman"/>
          <w:rtl w:val="0"/>
          <w:lang w:val="en-US"/>
        </w:rPr>
        <w:t>.</w:t>
      </w:r>
      <w:r>
        <w:rPr>
          <w:rFonts w:ascii="Times New Roman" w:hAnsi="Times New Roman"/>
          <w:rtl w:val="0"/>
          <w:lang w:val="en-US"/>
        </w:rPr>
        <w:t>83.</w:t>
      </w:r>
    </w:p>
  </w:footnote>
  <w:footnote w:id="111">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da-DK"/>
        </w:rPr>
        <w:t>Grainger, J. D. 2010</w:t>
      </w:r>
      <w:r>
        <w:rPr>
          <w:rFonts w:ascii="Times New Roman" w:hAnsi="Times New Roman"/>
          <w:rtl w:val="0"/>
          <w:lang w:val="en-US"/>
        </w:rPr>
        <w:t>.</w:t>
      </w:r>
      <w:r>
        <w:rPr>
          <w:rFonts w:ascii="Times New Roman" w:hAnsi="Times New Roman"/>
          <w:rtl w:val="0"/>
          <w:lang w:val="en-US"/>
        </w:rPr>
        <w:t xml:space="preserve">84. </w:t>
      </w:r>
    </w:p>
  </w:footnote>
  <w:footnote w:id="112">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da-DK"/>
        </w:rPr>
        <w:t>Grainger, J. D. 2010</w:t>
      </w:r>
      <w:r>
        <w:rPr>
          <w:rFonts w:ascii="Times New Roman" w:hAnsi="Times New Roman"/>
          <w:rtl w:val="0"/>
          <w:lang w:val="en-US"/>
        </w:rPr>
        <w:t>.</w:t>
      </w:r>
      <w:r>
        <w:rPr>
          <w:rFonts w:ascii="Times New Roman" w:hAnsi="Times New Roman"/>
          <w:rtl w:val="0"/>
          <w:lang w:val="en-US"/>
        </w:rPr>
        <w:t xml:space="preserve">84. </w:t>
      </w:r>
    </w:p>
  </w:footnote>
  <w:footnote w:id="113">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e-DE"/>
        </w:rPr>
        <w:t>Bevan, R. 1923</w:t>
      </w:r>
      <w:r>
        <w:rPr>
          <w:rFonts w:ascii="Times New Roman" w:hAnsi="Times New Roman"/>
          <w:rtl w:val="0"/>
          <w:lang w:val="en-US"/>
        </w:rPr>
        <w:t>.60</w:t>
      </w:r>
      <w:r>
        <w:rPr>
          <w:rFonts w:ascii="Times New Roman" w:hAnsi="Times New Roman"/>
          <w:rtl w:val="0"/>
        </w:rPr>
        <w:t>.</w:t>
      </w:r>
    </w:p>
  </w:footnote>
  <w:footnote w:id="114">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Lorton, D. 1971</w:t>
      </w:r>
      <w:r>
        <w:rPr>
          <w:rFonts w:ascii="Times New Roman" w:hAnsi="Times New Roman"/>
          <w:rtl w:val="0"/>
          <w:lang w:val="en-US"/>
        </w:rPr>
        <w:t xml:space="preserve">.160. </w:t>
      </w:r>
    </w:p>
  </w:footnote>
  <w:footnote w:id="115">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Thompson, D. B. 1955.200.</w:t>
      </w:r>
    </w:p>
  </w:footnote>
  <w:footnote w:id="116">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1928</w:t>
      </w:r>
      <w:r>
        <w:rPr>
          <w:rFonts w:ascii="Times New Roman" w:hAnsi="Times New Roman"/>
          <w:rtl w:val="0"/>
          <w:lang w:val="en-US"/>
        </w:rPr>
        <w:t>.</w:t>
      </w:r>
      <w:r>
        <w:rPr>
          <w:rFonts w:ascii="Times New Roman" w:hAnsi="Times New Roman"/>
          <w:rtl w:val="0"/>
        </w:rPr>
        <w:t>249.</w:t>
      </w:r>
    </w:p>
  </w:footnote>
  <w:footnote w:id="117">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e-DE"/>
        </w:rPr>
        <w:t>Bevan, R. 1923</w:t>
      </w:r>
      <w:r>
        <w:rPr>
          <w:rFonts w:ascii="Times New Roman" w:hAnsi="Times New Roman"/>
          <w:rtl w:val="0"/>
          <w:lang w:val="en-US"/>
        </w:rPr>
        <w:t>.</w:t>
      </w:r>
      <w:r>
        <w:rPr>
          <w:rFonts w:ascii="Times New Roman" w:hAnsi="Times New Roman"/>
          <w:rtl w:val="0"/>
        </w:rPr>
        <w:t>6</w:t>
      </w:r>
      <w:r>
        <w:rPr>
          <w:rFonts w:ascii="Times New Roman" w:hAnsi="Times New Roman"/>
          <w:rtl w:val="0"/>
          <w:lang w:val="en-US"/>
        </w:rPr>
        <w:t>3</w:t>
      </w:r>
      <w:r>
        <w:rPr>
          <w:rFonts w:ascii="Times New Roman" w:hAnsi="Times New Roman"/>
          <w:rtl w:val="0"/>
        </w:rPr>
        <w:t>.</w:t>
      </w:r>
    </w:p>
  </w:footnote>
  <w:footnote w:id="118">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da-DK"/>
        </w:rPr>
        <w:t>Grainger, J. D. 2010</w:t>
      </w:r>
      <w:r>
        <w:rPr>
          <w:rFonts w:ascii="Times New Roman" w:hAnsi="Times New Roman"/>
          <w:rtl w:val="0"/>
          <w:lang w:val="en-US"/>
        </w:rPr>
        <w:t>.</w:t>
      </w:r>
      <w:r>
        <w:rPr>
          <w:rFonts w:ascii="Times New Roman" w:hAnsi="Times New Roman"/>
          <w:rtl w:val="0"/>
          <w:lang w:val="en-US"/>
        </w:rPr>
        <w:t xml:space="preserve">86. </w:t>
      </w:r>
    </w:p>
  </w:footnote>
  <w:footnote w:id="119">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fr-FR"/>
        </w:rPr>
        <w:t>Marquaille</w:t>
      </w:r>
      <w:r>
        <w:rPr>
          <w:rFonts w:ascii="Times New Roman" w:hAnsi="Times New Roman"/>
          <w:rtl w:val="0"/>
          <w:lang w:val="en-US"/>
        </w:rPr>
        <w:t xml:space="preserve">, C. 2008.44.  </w:t>
      </w:r>
    </w:p>
  </w:footnote>
  <w:footnote w:id="120">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.85</w:t>
      </w:r>
      <w:r>
        <w:rPr>
          <w:rFonts w:ascii="Times New Roman" w:hAnsi="Times New Roman"/>
          <w:rtl w:val="0"/>
        </w:rPr>
        <w:t>.</w:t>
      </w:r>
    </w:p>
  </w:footnote>
  <w:footnote w:id="121">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.92</w:t>
      </w:r>
      <w:r>
        <w:rPr>
          <w:rFonts w:ascii="Times New Roman" w:hAnsi="Times New Roman"/>
          <w:rtl w:val="0"/>
        </w:rPr>
        <w:t>.</w:t>
      </w:r>
    </w:p>
  </w:footnote>
  <w:footnote w:id="122">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1929</w:t>
      </w:r>
      <w:r>
        <w:rPr>
          <w:rFonts w:ascii="Times New Roman" w:hAnsi="Times New Roman"/>
          <w:rtl w:val="0"/>
          <w:lang w:val="en-US"/>
        </w:rPr>
        <w:t>.11</w:t>
      </w:r>
      <w:r>
        <w:rPr>
          <w:rFonts w:ascii="Times New Roman" w:hAnsi="Times New Roman"/>
          <w:rtl w:val="0"/>
        </w:rPr>
        <w:t xml:space="preserve">. </w:t>
      </w:r>
    </w:p>
  </w:footnote>
  <w:footnote w:id="123">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1929</w:t>
      </w:r>
      <w:r>
        <w:rPr>
          <w:rFonts w:ascii="Times New Roman" w:hAnsi="Times New Roman"/>
          <w:rtl w:val="0"/>
          <w:lang w:val="en-US"/>
        </w:rPr>
        <w:t>.</w:t>
      </w:r>
      <w:r>
        <w:rPr>
          <w:rFonts w:ascii="Times New Roman" w:hAnsi="Times New Roman"/>
          <w:rtl w:val="0"/>
        </w:rPr>
        <w:t>1</w:t>
      </w:r>
      <w:r>
        <w:rPr>
          <w:rFonts w:ascii="Times New Roman" w:hAnsi="Times New Roman"/>
          <w:rtl w:val="0"/>
          <w:lang w:val="en-US"/>
        </w:rPr>
        <w:t>4</w:t>
      </w:r>
      <w:r>
        <w:rPr>
          <w:rFonts w:ascii="Times New Roman" w:hAnsi="Times New Roman"/>
          <w:rtl w:val="0"/>
        </w:rPr>
        <w:t xml:space="preserve">. </w:t>
      </w:r>
    </w:p>
  </w:footnote>
  <w:footnote w:id="124">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fr-FR"/>
        </w:rPr>
        <w:t>Marquaille</w:t>
      </w:r>
      <w:r>
        <w:rPr>
          <w:rFonts w:ascii="Times New Roman" w:hAnsi="Times New Roman"/>
          <w:rtl w:val="0"/>
          <w:lang w:val="en-US"/>
        </w:rPr>
        <w:t xml:space="preserve">, C. 2008.50. </w:t>
      </w:r>
    </w:p>
  </w:footnote>
  <w:footnote w:id="125">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1929</w:t>
      </w:r>
      <w:r>
        <w:rPr>
          <w:rFonts w:ascii="Times New Roman" w:hAnsi="Times New Roman"/>
          <w:rtl w:val="0"/>
          <w:lang w:val="en-US"/>
        </w:rPr>
        <w:t>.20</w:t>
      </w:r>
      <w:r>
        <w:rPr>
          <w:rFonts w:ascii="Times New Roman" w:hAnsi="Times New Roman"/>
          <w:rtl w:val="0"/>
        </w:rPr>
        <w:t xml:space="preserve">. </w:t>
      </w:r>
    </w:p>
  </w:footnote>
  <w:footnote w:id="126">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1929</w:t>
      </w:r>
      <w:r>
        <w:rPr>
          <w:rFonts w:ascii="Times New Roman" w:hAnsi="Times New Roman"/>
          <w:rtl w:val="0"/>
          <w:lang w:val="en-US"/>
        </w:rPr>
        <w:t>.</w:t>
      </w:r>
      <w:r>
        <w:rPr>
          <w:rFonts w:ascii="Times New Roman" w:hAnsi="Times New Roman"/>
          <w:rtl w:val="0"/>
        </w:rPr>
        <w:t>2</w:t>
      </w:r>
      <w:r>
        <w:rPr>
          <w:rFonts w:ascii="Times New Roman" w:hAnsi="Times New Roman"/>
          <w:rtl w:val="0"/>
          <w:lang w:val="en-US"/>
        </w:rPr>
        <w:t>2</w:t>
      </w:r>
      <w:r>
        <w:rPr>
          <w:rFonts w:ascii="Times New Roman" w:hAnsi="Times New Roman"/>
          <w:rtl w:val="0"/>
        </w:rPr>
        <w:t xml:space="preserve">. </w:t>
      </w:r>
    </w:p>
  </w:footnote>
  <w:footnote w:id="127">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1928</w:t>
      </w:r>
      <w:r>
        <w:rPr>
          <w:rFonts w:ascii="Times New Roman" w:hAnsi="Times New Roman"/>
          <w:rtl w:val="0"/>
          <w:lang w:val="en-US"/>
        </w:rPr>
        <w:t>.</w:t>
      </w:r>
      <w:r>
        <w:rPr>
          <w:rFonts w:ascii="Times New Roman" w:hAnsi="Times New Roman"/>
          <w:rtl w:val="0"/>
        </w:rPr>
        <w:t xml:space="preserve">251. </w:t>
      </w:r>
    </w:p>
  </w:footnote>
  <w:footnote w:id="128">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1929</w:t>
      </w:r>
      <w:r>
        <w:rPr>
          <w:rFonts w:ascii="Times New Roman" w:hAnsi="Times New Roman"/>
          <w:rtl w:val="0"/>
          <w:lang w:val="en-US"/>
        </w:rPr>
        <w:t>.</w:t>
      </w:r>
      <w:r>
        <w:rPr>
          <w:rFonts w:ascii="Times New Roman" w:hAnsi="Times New Roman"/>
          <w:rtl w:val="0"/>
        </w:rPr>
        <w:t>1</w:t>
      </w:r>
      <w:r>
        <w:rPr>
          <w:rFonts w:ascii="Times New Roman" w:hAnsi="Times New Roman"/>
          <w:rtl w:val="0"/>
          <w:lang w:val="en-US"/>
        </w:rPr>
        <w:t>6</w:t>
      </w:r>
      <w:r>
        <w:rPr>
          <w:rFonts w:ascii="Times New Roman" w:hAnsi="Times New Roman"/>
          <w:rtl w:val="0"/>
        </w:rPr>
        <w:t xml:space="preserve">. </w:t>
      </w:r>
    </w:p>
  </w:footnote>
  <w:footnote w:id="129">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fr-FR"/>
        </w:rPr>
        <w:t>Naville, E.</w:t>
      </w:r>
      <w:r>
        <w:rPr>
          <w:rFonts w:ascii="Times New Roman" w:hAnsi="Times New Roman"/>
          <w:rtl w:val="0"/>
          <w:lang w:val="en-US"/>
        </w:rPr>
        <w:t xml:space="preserve"> </w:t>
      </w:r>
      <w:r>
        <w:rPr>
          <w:rFonts w:ascii="Times New Roman" w:hAnsi="Times New Roman"/>
          <w:rtl w:val="0"/>
        </w:rPr>
        <w:t>2015</w:t>
      </w:r>
      <w:r>
        <w:rPr>
          <w:rFonts w:ascii="Times New Roman" w:hAnsi="Times New Roman"/>
          <w:rtl w:val="0"/>
          <w:lang w:val="en-US"/>
        </w:rPr>
        <w:t>.145.</w:t>
      </w:r>
    </w:p>
  </w:footnote>
  <w:footnote w:id="130">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1929</w:t>
      </w:r>
      <w:r>
        <w:rPr>
          <w:rFonts w:ascii="Times New Roman" w:hAnsi="Times New Roman"/>
          <w:rtl w:val="0"/>
          <w:lang w:val="en-US"/>
        </w:rPr>
        <w:t xml:space="preserve">.9. </w:t>
      </w:r>
    </w:p>
  </w:footnote>
  <w:footnote w:id="131">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1929</w:t>
      </w:r>
      <w:r>
        <w:rPr>
          <w:rFonts w:ascii="Times New Roman" w:hAnsi="Times New Roman"/>
          <w:rtl w:val="0"/>
          <w:lang w:val="en-US"/>
        </w:rPr>
        <w:t>.</w:t>
      </w:r>
      <w:r>
        <w:rPr>
          <w:rFonts w:ascii="Times New Roman" w:hAnsi="Times New Roman"/>
          <w:rtl w:val="0"/>
        </w:rPr>
        <w:t xml:space="preserve">9. </w:t>
      </w:r>
    </w:p>
  </w:footnote>
  <w:footnote w:id="132">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Adams, G. W. 2008</w:t>
      </w:r>
      <w:r>
        <w:rPr>
          <w:rFonts w:ascii="Times New Roman" w:hAnsi="Times New Roman"/>
          <w:rtl w:val="0"/>
          <w:lang w:val="en-US"/>
        </w:rPr>
        <w:t xml:space="preserve">.94. </w:t>
      </w:r>
    </w:p>
  </w:footnote>
  <w:footnote w:id="133">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Justinus, M. J., Sabellico, ., Zanis, B. ., &amp; Trogus, P. 1503</w:t>
      </w:r>
      <w:r>
        <w:rPr>
          <w:rFonts w:ascii="Times New Roman" w:hAnsi="Times New Roman"/>
          <w:rtl w:val="0"/>
          <w:lang w:val="en-US"/>
        </w:rPr>
        <w:t xml:space="preserve">.27.2.  </w:t>
      </w:r>
    </w:p>
  </w:footnote>
  <w:footnote w:id="134">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en-US"/>
        </w:rPr>
        <w:t>Hammond, N. G. L. 1988</w:t>
      </w:r>
      <w:r>
        <w:rPr>
          <w:rFonts w:ascii="Times New Roman" w:hAnsi="Times New Roman"/>
          <w:rtl w:val="0"/>
          <w:lang w:val="en-US"/>
        </w:rPr>
        <w:t xml:space="preserve">.405. </w:t>
      </w:r>
    </w:p>
  </w:footnote>
  <w:footnote w:id="135">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Adams, G. W. 2008</w:t>
      </w:r>
      <w:r>
        <w:rPr>
          <w:rFonts w:ascii="Times New Roman" w:hAnsi="Times New Roman"/>
          <w:rtl w:val="0"/>
          <w:lang w:val="en-US"/>
        </w:rPr>
        <w:t xml:space="preserve">.97. </w:t>
      </w:r>
    </w:p>
  </w:footnote>
  <w:footnote w:id="136">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Adams, G. W. 2008</w:t>
      </w:r>
      <w:r>
        <w:rPr>
          <w:rFonts w:ascii="Times New Roman" w:hAnsi="Times New Roman"/>
          <w:rtl w:val="0"/>
          <w:lang w:val="en-US"/>
        </w:rPr>
        <w:t>.101</w:t>
      </w:r>
      <w:r>
        <w:rPr>
          <w:rFonts w:ascii="Times New Roman" w:hAnsi="Times New Roman"/>
          <w:rtl w:val="0"/>
        </w:rPr>
        <w:t xml:space="preserve">. </w:t>
      </w:r>
    </w:p>
  </w:footnote>
  <w:footnote w:id="137">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Burstein S. M. 2008</w:t>
      </w:r>
      <w:r>
        <w:rPr>
          <w:rFonts w:ascii="Times New Roman" w:hAnsi="Times New Roman"/>
          <w:rtl w:val="0"/>
          <w:lang w:val="en-US"/>
        </w:rPr>
        <w:t xml:space="preserve">.135-136. </w:t>
      </w:r>
    </w:p>
  </w:footnote>
  <w:footnote w:id="138">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Burstein S. M. 2008.13</w:t>
      </w:r>
      <w:r>
        <w:rPr>
          <w:rFonts w:ascii="Times New Roman" w:hAnsi="Times New Roman"/>
          <w:rtl w:val="0"/>
          <w:lang w:val="en-US"/>
        </w:rPr>
        <w:t>6-137.</w:t>
      </w:r>
    </w:p>
  </w:footnote>
  <w:footnote w:id="139">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Burstein S. M. 2008.13</w:t>
      </w:r>
      <w:r>
        <w:rPr>
          <w:rFonts w:ascii="Times New Roman" w:hAnsi="Times New Roman"/>
          <w:rtl w:val="0"/>
          <w:lang w:val="en-US"/>
        </w:rPr>
        <w:t>9</w:t>
      </w:r>
      <w:r>
        <w:rPr>
          <w:rFonts w:ascii="Times New Roman" w:hAnsi="Times New Roman"/>
          <w:rtl w:val="0"/>
        </w:rPr>
        <w:t>.</w:t>
      </w:r>
    </w:p>
  </w:footnote>
  <w:footnote w:id="140">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Burstein S. M. 2008</w:t>
      </w:r>
      <w:r>
        <w:rPr>
          <w:rFonts w:ascii="Times New Roman" w:hAnsi="Times New Roman"/>
          <w:rtl w:val="0"/>
          <w:lang w:val="en-US"/>
        </w:rPr>
        <w:t xml:space="preserve">:139. </w:t>
      </w:r>
    </w:p>
  </w:footnote>
  <w:footnote w:id="141">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fr-FR"/>
        </w:rPr>
        <w:t>Marquaille, C. 2008</w:t>
      </w:r>
      <w:r>
        <w:rPr>
          <w:rFonts w:ascii="Times New Roman" w:hAnsi="Times New Roman"/>
          <w:rtl w:val="0"/>
          <w:lang w:val="en-US"/>
        </w:rPr>
        <w:t>.5</w:t>
      </w:r>
      <w:r>
        <w:rPr>
          <w:rFonts w:ascii="Times New Roman" w:hAnsi="Times New Roman"/>
          <w:rtl w:val="0"/>
        </w:rPr>
        <w:t xml:space="preserve">0. </w:t>
      </w:r>
    </w:p>
  </w:footnote>
  <w:footnote w:id="142">
    <w:p>
      <w:pPr>
        <w:pStyle w:val="Footnote"/>
      </w:pPr>
      <w:r>
        <w:rPr>
          <w:rFonts w:ascii="Times New Roman" w:cs="Times New Roman" w:hAnsi="Times New Roman" w:eastAsia="Times New Roman"/>
          <w:vertAlign w:val="superscript"/>
        </w:rPr>
        <w:footnoteRef/>
      </w:r>
      <w:r>
        <w:rPr>
          <w:rFonts w:ascii="Times New Roman" w:hAnsi="Times New Roman"/>
          <w:rtl w:val="0"/>
        </w:rPr>
        <w:t xml:space="preserve"> </w:t>
      </w:r>
      <w:r>
        <w:rPr>
          <w:rFonts w:ascii="Times New Roman" w:hAnsi="Times New Roman"/>
          <w:rtl w:val="0"/>
          <w:lang w:val="en-US"/>
        </w:rPr>
        <w:t xml:space="preserve">Hunter, R. L. 2003.165. </w:t>
      </w:r>
    </w:p>
  </w:footnote>
  <w:footnote w:id="143">
    <w:p>
      <w:pPr>
        <w:pStyle w:val="Footnote"/>
      </w:pPr>
      <w:r>
        <w:rPr>
          <w:rFonts w:ascii="Times New Roman" w:cs="Times New Roman" w:hAnsi="Times New Roman" w:eastAsia="Times New Roman"/>
          <w:vertAlign w:val="superscript"/>
        </w:rPr>
        <w:footnoteRef/>
      </w:r>
      <w:r>
        <w:rPr>
          <w:rFonts w:ascii="Times New Roman" w:hAnsi="Times New Roman"/>
          <w:rtl w:val="0"/>
        </w:rPr>
        <w:t xml:space="preserve"> </w:t>
      </w:r>
      <w:r>
        <w:rPr>
          <w:rFonts w:ascii="Times New Roman" w:hAnsi="Times New Roman"/>
          <w:rtl w:val="0"/>
          <w:lang w:val="en-US"/>
        </w:rPr>
        <w:t xml:space="preserve">Hunter, R. L. 2003.189. </w:t>
      </w:r>
    </w:p>
  </w:footnote>
  <w:footnote w:id="144">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Diod</w:t>
      </w:r>
      <w:r>
        <w:rPr>
          <w:rFonts w:ascii="Times New Roman" w:hAnsi="Times New Roman" w:hint="default"/>
          <w:rtl w:val="0"/>
        </w:rPr>
        <w:t>ō</w:t>
      </w:r>
      <w:r>
        <w:rPr>
          <w:rFonts w:ascii="Times New Roman" w:hAnsi="Times New Roman"/>
          <w:rtl w:val="0"/>
        </w:rPr>
        <w:t>rus.</w:t>
      </w:r>
      <w:r>
        <w:rPr>
          <w:rFonts w:ascii="Times New Roman" w:hAnsi="Times New Roman" w:hint="default"/>
          <w:rtl w:val="0"/>
        </w:rPr>
        <w:t> </w:t>
      </w:r>
      <w:r>
        <w:rPr>
          <w:rFonts w:ascii="Times New Roman" w:hAnsi="Times New Roman"/>
          <w:rtl w:val="0"/>
        </w:rPr>
        <w:t>In</w:t>
      </w:r>
      <w:r>
        <w:rPr>
          <w:rFonts w:ascii="Times New Roman" w:hAnsi="Times New Roman" w:hint="default"/>
          <w:rtl w:val="0"/>
        </w:rPr>
        <w:t> </w:t>
      </w:r>
      <w:r>
        <w:rPr>
          <w:rFonts w:ascii="Times New Roman" w:hAnsi="Times New Roman"/>
          <w:rtl w:val="0"/>
        </w:rPr>
        <w:t>Roberts, J. 2017</w:t>
      </w:r>
      <w:r>
        <w:rPr>
          <w:rFonts w:ascii="Times New Roman" w:hAnsi="Times New Roman"/>
          <w:rtl w:val="0"/>
          <w:lang w:val="en-US"/>
        </w:rPr>
        <w:t>.187.</w:t>
      </w:r>
    </w:p>
  </w:footnote>
  <w:footnote w:id="145">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Cust, R. 1882</w:t>
      </w:r>
      <w:r>
        <w:rPr>
          <w:rFonts w:ascii="Times New Roman" w:hAnsi="Times New Roman"/>
          <w:rtl w:val="0"/>
          <w:lang w:val="en-US"/>
        </w:rPr>
        <w:t xml:space="preserve">.10. </w:t>
      </w:r>
      <w:r>
        <w:rPr>
          <w:rFonts w:ascii="Times New Roman" w:hAnsi="Times New Roman"/>
          <w:rtl w:val="0"/>
        </w:rPr>
        <w:t xml:space="preserve"> </w:t>
      </w:r>
    </w:p>
  </w:footnote>
  <w:footnote w:id="146">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Casson, L. 1993</w:t>
      </w:r>
      <w:r>
        <w:rPr>
          <w:rFonts w:ascii="Times New Roman" w:hAnsi="Times New Roman"/>
          <w:rtl w:val="0"/>
          <w:lang w:val="en-US"/>
        </w:rPr>
        <w:t xml:space="preserve">.248. </w:t>
      </w:r>
    </w:p>
  </w:footnote>
  <w:footnote w:id="147">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.100</w:t>
      </w:r>
      <w:r>
        <w:rPr>
          <w:rFonts w:ascii="Times New Roman" w:hAnsi="Times New Roman"/>
          <w:rtl w:val="0"/>
        </w:rPr>
        <w:t xml:space="preserve">. </w:t>
      </w:r>
    </w:p>
  </w:footnote>
  <w:footnote w:id="148">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Burstein S. M. 2008</w:t>
      </w:r>
      <w:r>
        <w:rPr>
          <w:rFonts w:ascii="Times New Roman" w:hAnsi="Times New Roman"/>
          <w:rtl w:val="0"/>
          <w:lang w:val="en-US"/>
        </w:rPr>
        <w:t>.</w:t>
      </w:r>
      <w:r>
        <w:rPr>
          <w:rFonts w:ascii="Times New Roman" w:hAnsi="Times New Roman"/>
          <w:rtl w:val="0"/>
        </w:rPr>
        <w:t>139.</w:t>
      </w:r>
    </w:p>
  </w:footnote>
  <w:footnote w:id="149">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Casson, L. 1993</w:t>
      </w:r>
      <w:r>
        <w:rPr>
          <w:rFonts w:ascii="Times New Roman" w:hAnsi="Times New Roman"/>
          <w:rtl w:val="0"/>
          <w:lang w:val="en-US"/>
        </w:rPr>
        <w:t xml:space="preserve">.259. </w:t>
      </w:r>
    </w:p>
  </w:footnote>
  <w:footnote w:id="150">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Seland, E. H. 2009</w:t>
      </w:r>
      <w:r>
        <w:rPr>
          <w:rFonts w:ascii="Times New Roman" w:hAnsi="Times New Roman"/>
          <w:rtl w:val="0"/>
          <w:lang w:val="en-US"/>
        </w:rPr>
        <w:t xml:space="preserve">.180. </w:t>
      </w:r>
    </w:p>
  </w:footnote>
  <w:footnote w:id="151">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1928</w:t>
      </w:r>
      <w:r>
        <w:rPr>
          <w:rFonts w:ascii="Times New Roman" w:hAnsi="Times New Roman"/>
          <w:rtl w:val="0"/>
          <w:lang w:val="en-US"/>
        </w:rPr>
        <w:t>.</w:t>
      </w:r>
      <w:r>
        <w:rPr>
          <w:rFonts w:ascii="Times New Roman" w:hAnsi="Times New Roman"/>
          <w:rtl w:val="0"/>
        </w:rPr>
        <w:t>2</w:t>
      </w:r>
      <w:r>
        <w:rPr>
          <w:rFonts w:ascii="Times New Roman" w:hAnsi="Times New Roman"/>
          <w:rtl w:val="0"/>
          <w:lang w:val="en-US"/>
        </w:rPr>
        <w:t>51</w:t>
      </w:r>
      <w:r>
        <w:rPr>
          <w:rFonts w:ascii="Times New Roman" w:hAnsi="Times New Roman"/>
          <w:rtl w:val="0"/>
        </w:rPr>
        <w:t xml:space="preserve">. </w:t>
      </w:r>
    </w:p>
  </w:footnote>
  <w:footnote w:id="152">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Cust, R. 1882</w:t>
      </w:r>
      <w:r>
        <w:rPr>
          <w:rFonts w:ascii="Times New Roman" w:hAnsi="Times New Roman"/>
          <w:rtl w:val="0"/>
          <w:lang w:val="en-US"/>
        </w:rPr>
        <w:t xml:space="preserve">.13.  </w:t>
      </w:r>
    </w:p>
  </w:footnote>
  <w:footnote w:id="153">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Cust, R. 1882</w:t>
      </w:r>
      <w:r>
        <w:rPr>
          <w:rFonts w:ascii="Times New Roman" w:hAnsi="Times New Roman"/>
          <w:rtl w:val="0"/>
          <w:lang w:val="en-US"/>
        </w:rPr>
        <w:t>.11</w:t>
      </w:r>
      <w:r>
        <w:rPr>
          <w:rFonts w:ascii="Times New Roman" w:hAnsi="Times New Roman"/>
          <w:rtl w:val="0"/>
        </w:rPr>
        <w:t xml:space="preserve">. </w:t>
      </w:r>
    </w:p>
  </w:footnote>
  <w:footnote w:id="154">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Casson, L. 1993</w:t>
      </w:r>
      <w:r>
        <w:rPr>
          <w:rFonts w:ascii="Times New Roman" w:hAnsi="Times New Roman"/>
          <w:rtl w:val="0"/>
          <w:lang w:val="en-US"/>
        </w:rPr>
        <w:t xml:space="preserve">.247. </w:t>
      </w:r>
    </w:p>
  </w:footnote>
  <w:footnote w:id="155">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Casson, L. 1993</w:t>
      </w:r>
      <w:r>
        <w:rPr>
          <w:rFonts w:ascii="Times New Roman" w:hAnsi="Times New Roman"/>
          <w:rtl w:val="0"/>
          <w:lang w:val="en-US"/>
        </w:rPr>
        <w:t>.</w:t>
      </w:r>
      <w:r>
        <w:rPr>
          <w:rFonts w:ascii="Times New Roman" w:hAnsi="Times New Roman"/>
          <w:rtl w:val="0"/>
        </w:rPr>
        <w:t xml:space="preserve">247. </w:t>
      </w:r>
    </w:p>
  </w:footnote>
  <w:footnote w:id="156">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Burstein S. M. 2008</w:t>
      </w:r>
      <w:r>
        <w:rPr>
          <w:rFonts w:ascii="Times New Roman" w:hAnsi="Times New Roman"/>
          <w:rtl w:val="0"/>
          <w:lang w:val="en-US"/>
        </w:rPr>
        <w:t>.</w:t>
      </w:r>
      <w:r>
        <w:rPr>
          <w:rFonts w:ascii="Times New Roman" w:hAnsi="Times New Roman"/>
          <w:rtl w:val="0"/>
        </w:rPr>
        <w:t>139.</w:t>
      </w:r>
    </w:p>
  </w:footnote>
  <w:footnote w:id="157">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.100</w:t>
      </w:r>
      <w:r>
        <w:rPr>
          <w:rFonts w:ascii="Times New Roman" w:hAnsi="Times New Roman"/>
          <w:rtl w:val="0"/>
        </w:rPr>
        <w:t xml:space="preserve">. </w:t>
      </w:r>
    </w:p>
  </w:footnote>
  <w:footnote w:id="158">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Casson, L. 1993</w:t>
      </w:r>
      <w:r>
        <w:rPr>
          <w:rFonts w:ascii="Times New Roman" w:hAnsi="Times New Roman"/>
          <w:rtl w:val="0"/>
          <w:lang w:val="en-US"/>
        </w:rPr>
        <w:t>.</w:t>
      </w:r>
      <w:r>
        <w:rPr>
          <w:rFonts w:ascii="Times New Roman" w:hAnsi="Times New Roman"/>
          <w:rtl w:val="0"/>
        </w:rPr>
        <w:t>24</w:t>
      </w:r>
      <w:r>
        <w:rPr>
          <w:rFonts w:ascii="Times New Roman" w:hAnsi="Times New Roman"/>
          <w:rtl w:val="0"/>
          <w:lang w:val="en-US"/>
        </w:rPr>
        <w:t>8</w:t>
      </w:r>
      <w:r>
        <w:rPr>
          <w:rFonts w:ascii="Times New Roman" w:hAnsi="Times New Roman"/>
          <w:rtl w:val="0"/>
        </w:rPr>
        <w:t xml:space="preserve">. </w:t>
      </w:r>
    </w:p>
  </w:footnote>
  <w:footnote w:id="159">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Tarn, W. W. 1934</w:t>
      </w:r>
      <w:r>
        <w:rPr>
          <w:rFonts w:ascii="Times New Roman" w:hAnsi="Times New Roman"/>
          <w:rtl w:val="0"/>
          <w:lang w:val="en-US"/>
        </w:rPr>
        <w:t xml:space="preserve">.37. </w:t>
      </w:r>
    </w:p>
  </w:footnote>
  <w:footnote w:id="160">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Burstein, S. M. 1996</w:t>
      </w:r>
      <w:r>
        <w:rPr>
          <w:rFonts w:ascii="Times New Roman" w:hAnsi="Times New Roman"/>
          <w:rtl w:val="0"/>
          <w:lang w:val="en-US"/>
        </w:rPr>
        <w:t xml:space="preserve">.800. </w:t>
      </w:r>
    </w:p>
  </w:footnote>
  <w:footnote w:id="161">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Burstein, S. M. 1996</w:t>
      </w:r>
      <w:r>
        <w:rPr>
          <w:rFonts w:ascii="Times New Roman" w:hAnsi="Times New Roman"/>
          <w:rtl w:val="0"/>
          <w:lang w:val="en-US"/>
        </w:rPr>
        <w:t>.800.</w:t>
      </w:r>
    </w:p>
  </w:footnote>
  <w:footnote w:id="162">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Burstein S. M. 2008.14</w:t>
      </w:r>
      <w:r>
        <w:rPr>
          <w:rFonts w:ascii="Times New Roman" w:hAnsi="Times New Roman"/>
          <w:rtl w:val="0"/>
          <w:lang w:val="en-US"/>
        </w:rPr>
        <w:t>4</w:t>
      </w:r>
      <w:r>
        <w:rPr>
          <w:rFonts w:ascii="Times New Roman" w:hAnsi="Times New Roman"/>
          <w:rtl w:val="0"/>
        </w:rPr>
        <w:t>.</w:t>
      </w:r>
    </w:p>
  </w:footnote>
  <w:footnote w:id="163">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Burstein S. M. 2008.1</w:t>
      </w:r>
      <w:r>
        <w:rPr>
          <w:rFonts w:ascii="Times New Roman" w:hAnsi="Times New Roman"/>
          <w:rtl w:val="0"/>
          <w:lang w:val="en-US"/>
        </w:rPr>
        <w:t>41</w:t>
      </w:r>
      <w:r>
        <w:rPr>
          <w:rFonts w:ascii="Times New Roman" w:hAnsi="Times New Roman"/>
          <w:rtl w:val="0"/>
        </w:rPr>
        <w:t>.</w:t>
      </w:r>
    </w:p>
  </w:footnote>
  <w:footnote w:id="164">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Casson, L. 1993.</w:t>
      </w:r>
      <w:r>
        <w:rPr>
          <w:rFonts w:ascii="Times New Roman" w:hAnsi="Times New Roman"/>
          <w:rtl w:val="0"/>
          <w:lang w:val="en-US"/>
        </w:rPr>
        <w:t xml:space="preserve">250. </w:t>
      </w:r>
    </w:p>
  </w:footnote>
  <w:footnote w:id="165">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Casson, L. 1993.25</w:t>
      </w:r>
      <w:r>
        <w:rPr>
          <w:rFonts w:ascii="Times New Roman" w:hAnsi="Times New Roman"/>
          <w:rtl w:val="0"/>
          <w:lang w:val="en-US"/>
        </w:rPr>
        <w:t>4</w:t>
      </w:r>
      <w:r>
        <w:rPr>
          <w:rFonts w:ascii="Times New Roman" w:hAnsi="Times New Roman"/>
          <w:rtl w:val="0"/>
        </w:rPr>
        <w:t xml:space="preserve">. </w:t>
      </w:r>
    </w:p>
  </w:footnote>
  <w:footnote w:id="166">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Burstein S. M. 2008.14</w:t>
      </w:r>
      <w:r>
        <w:rPr>
          <w:rFonts w:ascii="Times New Roman" w:hAnsi="Times New Roman"/>
          <w:rtl w:val="0"/>
          <w:lang w:val="en-US"/>
        </w:rPr>
        <w:t>6</w:t>
      </w:r>
      <w:r>
        <w:rPr>
          <w:rFonts w:ascii="Times New Roman" w:hAnsi="Times New Roman"/>
          <w:rtl w:val="0"/>
        </w:rPr>
        <w:t>.</w:t>
      </w:r>
    </w:p>
  </w:footnote>
  <w:footnote w:id="167">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Casson, L. 1993</w:t>
      </w:r>
      <w:r>
        <w:rPr>
          <w:rFonts w:ascii="Times New Roman" w:hAnsi="Times New Roman"/>
          <w:rtl w:val="0"/>
          <w:lang w:val="en-US"/>
        </w:rPr>
        <w:t xml:space="preserve">.259. </w:t>
      </w:r>
    </w:p>
  </w:footnote>
  <w:footnote w:id="168">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e-DE"/>
        </w:rPr>
        <w:t xml:space="preserve">Chrubasik, B. </w:t>
      </w:r>
      <w:r>
        <w:rPr>
          <w:rFonts w:ascii="Times New Roman" w:hAnsi="Times New Roman"/>
          <w:rtl w:val="0"/>
          <w:lang w:val="en-US"/>
        </w:rPr>
        <w:t xml:space="preserve">2013.83.  </w:t>
      </w:r>
    </w:p>
  </w:footnote>
  <w:footnote w:id="169">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e-DE"/>
        </w:rPr>
        <w:t>Bevan, R. 1923</w:t>
      </w:r>
      <w:r>
        <w:rPr>
          <w:rFonts w:ascii="Times New Roman" w:hAnsi="Times New Roman"/>
          <w:rtl w:val="0"/>
          <w:lang w:val="en-US"/>
        </w:rPr>
        <w:t>.</w:t>
      </w:r>
      <w:r>
        <w:rPr>
          <w:rFonts w:ascii="Times New Roman" w:hAnsi="Times New Roman"/>
          <w:rtl w:val="0"/>
        </w:rPr>
        <w:t>6</w:t>
      </w:r>
      <w:r>
        <w:rPr>
          <w:rFonts w:ascii="Times New Roman" w:hAnsi="Times New Roman"/>
          <w:rtl w:val="0"/>
          <w:lang w:val="en-US"/>
        </w:rPr>
        <w:t>8</w:t>
      </w:r>
      <w:r>
        <w:rPr>
          <w:rFonts w:ascii="Times New Roman" w:hAnsi="Times New Roman"/>
          <w:rtl w:val="0"/>
        </w:rPr>
        <w:t>.</w:t>
      </w:r>
    </w:p>
  </w:footnote>
  <w:footnote w:id="170">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da-DK"/>
        </w:rPr>
        <w:t>Grainger, J. D. 2010</w:t>
      </w:r>
      <w:r>
        <w:rPr>
          <w:rFonts w:ascii="Times New Roman" w:hAnsi="Times New Roman"/>
          <w:rtl w:val="0"/>
          <w:lang w:val="en-US"/>
        </w:rPr>
        <w:t>.</w:t>
      </w:r>
      <w:r>
        <w:rPr>
          <w:rFonts w:ascii="Times New Roman" w:hAnsi="Times New Roman"/>
          <w:rtl w:val="0"/>
          <w:lang w:val="en-US"/>
        </w:rPr>
        <w:t xml:space="preserve">78. </w:t>
      </w:r>
    </w:p>
  </w:footnote>
  <w:footnote w:id="171">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.78</w:t>
      </w:r>
      <w:r>
        <w:rPr>
          <w:rFonts w:ascii="Times New Roman" w:hAnsi="Times New Roman"/>
          <w:rtl w:val="0"/>
        </w:rPr>
        <w:t>.</w:t>
      </w:r>
    </w:p>
  </w:footnote>
  <w:footnote w:id="172">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.99</w:t>
      </w:r>
      <w:r>
        <w:rPr>
          <w:rFonts w:ascii="Times New Roman" w:hAnsi="Times New Roman"/>
          <w:rtl w:val="0"/>
        </w:rPr>
        <w:t xml:space="preserve">. </w:t>
      </w:r>
    </w:p>
  </w:footnote>
  <w:footnote w:id="173">
    <w:p>
      <w:pPr>
        <w:pStyle w:val="Footnote"/>
      </w:pPr>
      <w:r>
        <w:rPr>
          <w:rFonts w:ascii="Times New Roman" w:cs="Times New Roman" w:hAnsi="Times New Roman" w:eastAsia="Times New Roman"/>
          <w:vertAlign w:val="superscript"/>
        </w:rPr>
        <w:footnoteRef/>
      </w:r>
      <w:r>
        <w:rPr>
          <w:rFonts w:ascii="Times New Roman" w:hAnsi="Times New Roman"/>
          <w:u w:color="000000"/>
          <w:shd w:val="clear" w:color="auto" w:fill="ffffff"/>
          <w:rtl w:val="0"/>
          <w:lang w:val="en-US"/>
        </w:rPr>
        <w:t xml:space="preserve"> </w:t>
      </w:r>
      <w:r>
        <w:rPr>
          <w:rFonts w:ascii="Times New Roman" w:hAnsi="Times New Roman"/>
          <w:u w:color="000000"/>
          <w:shd w:val="clear" w:color="auto" w:fill="ffffff"/>
          <w:rtl w:val="0"/>
          <w:lang w:val="de-DE"/>
        </w:rPr>
        <w:t>Hunter, R. L. 2003</w:t>
      </w:r>
      <w:r>
        <w:rPr>
          <w:rFonts w:ascii="Times New Roman" w:hAnsi="Times New Roman"/>
          <w:u w:color="000000"/>
          <w:shd w:val="clear" w:color="auto" w:fill="ffffff"/>
          <w:rtl w:val="0"/>
          <w:lang w:val="en-US"/>
        </w:rPr>
        <w:t>.164.</w:t>
      </w:r>
    </w:p>
  </w:footnote>
  <w:footnote w:id="174">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.117</w:t>
      </w:r>
      <w:r>
        <w:rPr>
          <w:rFonts w:ascii="Times New Roman" w:hAnsi="Times New Roman"/>
          <w:rtl w:val="0"/>
        </w:rPr>
        <w:t xml:space="preserve">. </w:t>
      </w:r>
    </w:p>
  </w:footnote>
  <w:footnote w:id="175">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w:t>
      </w:r>
      <w:r>
        <w:rPr>
          <w:rFonts w:ascii="Times New Roman" w:hAnsi="Times New Roman"/>
          <w:rtl w:val="0"/>
        </w:rPr>
        <w:t>1</w:t>
      </w:r>
      <w:r>
        <w:rPr>
          <w:rFonts w:ascii="Times New Roman" w:hAnsi="Times New Roman"/>
          <w:rtl w:val="0"/>
          <w:lang w:val="en-US"/>
        </w:rPr>
        <w:t>20</w:t>
      </w:r>
      <w:r>
        <w:rPr>
          <w:rFonts w:ascii="Times New Roman" w:hAnsi="Times New Roman"/>
          <w:rtl w:val="0"/>
        </w:rPr>
        <w:t xml:space="preserve">. </w:t>
      </w:r>
    </w:p>
  </w:footnote>
  <w:footnote w:id="176">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fr-FR"/>
        </w:rPr>
        <w:t>Naville, E. 2015</w:t>
      </w:r>
      <w:r>
        <w:rPr>
          <w:rFonts w:ascii="Times New Roman" w:hAnsi="Times New Roman"/>
          <w:rtl w:val="0"/>
          <w:lang w:val="en-US"/>
        </w:rPr>
        <w:t>.</w:t>
      </w:r>
      <w:r>
        <w:rPr>
          <w:rFonts w:ascii="Times New Roman" w:hAnsi="Times New Roman"/>
          <w:rtl w:val="0"/>
        </w:rPr>
        <w:t>14</w:t>
      </w:r>
      <w:r>
        <w:rPr>
          <w:rFonts w:ascii="Times New Roman" w:hAnsi="Times New Roman"/>
          <w:rtl w:val="0"/>
          <w:lang w:val="en-US"/>
        </w:rPr>
        <w:t>9</w:t>
      </w:r>
      <w:r>
        <w:rPr>
          <w:rFonts w:ascii="Times New Roman" w:hAnsi="Times New Roman"/>
          <w:rtl w:val="0"/>
        </w:rPr>
        <w:t>.</w:t>
      </w:r>
      <w:r>
        <w:rPr>
          <w:rFonts w:ascii="Times New Roman" w:hAnsi="Times New Roman"/>
          <w:rtl w:val="0"/>
          <w:lang w:val="en-US"/>
        </w:rPr>
        <w:t xml:space="preserve"> </w:t>
      </w:r>
    </w:p>
  </w:footnote>
  <w:footnote w:id="177">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fr-FR"/>
        </w:rPr>
        <w:t>Naville, E. 2015</w:t>
      </w:r>
      <w:r>
        <w:rPr>
          <w:rFonts w:ascii="Times New Roman" w:hAnsi="Times New Roman"/>
          <w:rtl w:val="0"/>
          <w:lang w:val="en-US"/>
        </w:rPr>
        <w:t>.148.</w:t>
      </w:r>
    </w:p>
  </w:footnote>
  <w:footnote w:id="178">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w:t>
      </w:r>
      <w:r>
        <w:rPr>
          <w:rFonts w:ascii="Times New Roman" w:hAnsi="Times New Roman"/>
          <w:rtl w:val="0"/>
        </w:rPr>
        <w:t>12</w:t>
      </w:r>
      <w:r>
        <w:rPr>
          <w:rFonts w:ascii="Times New Roman" w:hAnsi="Times New Roman"/>
          <w:rtl w:val="0"/>
          <w:lang w:val="en-US"/>
        </w:rPr>
        <w:t>2</w:t>
      </w:r>
      <w:r>
        <w:rPr>
          <w:rFonts w:ascii="Times New Roman" w:hAnsi="Times New Roman"/>
          <w:rtl w:val="0"/>
        </w:rPr>
        <w:t xml:space="preserve">. </w:t>
      </w:r>
    </w:p>
  </w:footnote>
  <w:footnote w:id="179">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e-DE"/>
        </w:rPr>
        <w:t>Bevan, R. 1923</w:t>
      </w:r>
      <w:r>
        <w:rPr>
          <w:rFonts w:ascii="Times New Roman" w:hAnsi="Times New Roman"/>
          <w:rtl w:val="0"/>
          <w:lang w:val="en-US"/>
        </w:rPr>
        <w:t>.</w:t>
      </w:r>
      <w:r>
        <w:rPr>
          <w:rFonts w:ascii="Times New Roman" w:hAnsi="Times New Roman"/>
          <w:rtl w:val="0"/>
        </w:rPr>
        <w:t>68.</w:t>
      </w:r>
    </w:p>
  </w:footnote>
  <w:footnote w:id="180">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w:t>
      </w:r>
      <w:r>
        <w:rPr>
          <w:rFonts w:ascii="Times New Roman" w:hAnsi="Times New Roman"/>
          <w:rtl w:val="0"/>
        </w:rPr>
        <w:t>12</w:t>
      </w:r>
      <w:r>
        <w:rPr>
          <w:rFonts w:ascii="Times New Roman" w:hAnsi="Times New Roman"/>
          <w:rtl w:val="0"/>
          <w:lang w:val="en-US"/>
        </w:rPr>
        <w:t>5</w:t>
      </w:r>
      <w:r>
        <w:rPr>
          <w:rFonts w:ascii="Times New Roman" w:hAnsi="Times New Roman"/>
          <w:rtl w:val="0"/>
        </w:rPr>
        <w:t xml:space="preserve">. </w:t>
      </w:r>
    </w:p>
  </w:footnote>
  <w:footnote w:id="181">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w:t>
      </w:r>
      <w:r>
        <w:rPr>
          <w:rFonts w:ascii="Times New Roman" w:hAnsi="Times New Roman"/>
          <w:rtl w:val="0"/>
        </w:rPr>
        <w:t>12</w:t>
      </w:r>
      <w:r>
        <w:rPr>
          <w:rFonts w:ascii="Times New Roman" w:hAnsi="Times New Roman"/>
          <w:rtl w:val="0"/>
          <w:lang w:val="en-US"/>
        </w:rPr>
        <w:t>6</w:t>
      </w:r>
      <w:r>
        <w:rPr>
          <w:rFonts w:ascii="Times New Roman" w:hAnsi="Times New Roman"/>
          <w:rtl w:val="0"/>
        </w:rPr>
        <w:t xml:space="preserve">. </w:t>
      </w:r>
    </w:p>
  </w:footnote>
  <w:footnote w:id="182">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w:t>
      </w:r>
      <w:r>
        <w:rPr>
          <w:rFonts w:ascii="Times New Roman" w:hAnsi="Times New Roman"/>
          <w:rtl w:val="0"/>
        </w:rPr>
        <w:t>12</w:t>
      </w:r>
      <w:r>
        <w:rPr>
          <w:rFonts w:ascii="Times New Roman" w:hAnsi="Times New Roman"/>
          <w:rtl w:val="0"/>
          <w:lang w:val="en-US"/>
        </w:rPr>
        <w:t>7</w:t>
      </w:r>
      <w:r>
        <w:rPr>
          <w:rFonts w:ascii="Times New Roman" w:hAnsi="Times New Roman"/>
          <w:rtl w:val="0"/>
        </w:rPr>
        <w:t xml:space="preserve">. </w:t>
      </w:r>
    </w:p>
  </w:footnote>
  <w:footnote w:id="183">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w:t>
      </w:r>
      <w:r>
        <w:rPr>
          <w:rFonts w:ascii="Times New Roman" w:hAnsi="Times New Roman"/>
          <w:rtl w:val="0"/>
        </w:rPr>
        <w:t>12</w:t>
      </w:r>
      <w:r>
        <w:rPr>
          <w:rFonts w:ascii="Times New Roman" w:hAnsi="Times New Roman"/>
          <w:rtl w:val="0"/>
          <w:lang w:val="en-US"/>
        </w:rPr>
        <w:t>8</w:t>
      </w:r>
      <w:r>
        <w:rPr>
          <w:rFonts w:ascii="Times New Roman" w:hAnsi="Times New Roman"/>
          <w:rtl w:val="0"/>
        </w:rPr>
        <w:t xml:space="preserve">. </w:t>
      </w:r>
    </w:p>
  </w:footnote>
  <w:footnote w:id="184">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O</w:t>
      </w:r>
      <w:r>
        <w:rPr>
          <w:rFonts w:ascii="Times New Roman" w:hAnsi="Times New Roman" w:hint="default"/>
          <w:rtl w:val="0"/>
          <w:lang w:val="fr-FR"/>
        </w:rPr>
        <w:t>’</w:t>
      </w:r>
      <w:r>
        <w:rPr>
          <w:rFonts w:ascii="Times New Roman" w:hAnsi="Times New Roman"/>
          <w:rtl w:val="0"/>
        </w:rPr>
        <w:t>Neil, J. L. 2008</w:t>
      </w:r>
      <w:r>
        <w:rPr>
          <w:rFonts w:ascii="Times New Roman" w:hAnsi="Times New Roman"/>
          <w:rtl w:val="0"/>
          <w:lang w:val="en-US"/>
        </w:rPr>
        <w:t xml:space="preserve">.84. </w:t>
      </w:r>
    </w:p>
  </w:footnote>
  <w:footnote w:id="185">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fr-FR"/>
        </w:rPr>
        <w:t>Marquaille</w:t>
      </w:r>
      <w:r>
        <w:rPr>
          <w:rFonts w:ascii="Times New Roman" w:hAnsi="Times New Roman"/>
          <w:rtl w:val="0"/>
          <w:lang w:val="en-US"/>
        </w:rPr>
        <w:t xml:space="preserve">, C. 2008.43. </w:t>
      </w:r>
    </w:p>
  </w:footnote>
  <w:footnote w:id="186">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w:t>
      </w:r>
      <w:r>
        <w:rPr>
          <w:rFonts w:ascii="Times New Roman" w:hAnsi="Times New Roman"/>
          <w:rtl w:val="0"/>
        </w:rPr>
        <w:t xml:space="preserve">122. </w:t>
      </w:r>
    </w:p>
  </w:footnote>
  <w:footnote w:id="187">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fr-FR"/>
        </w:rPr>
        <w:t>Marquaille</w:t>
      </w:r>
      <w:r>
        <w:rPr>
          <w:rFonts w:ascii="Times New Roman" w:hAnsi="Times New Roman"/>
          <w:rtl w:val="0"/>
          <w:lang w:val="en-US"/>
        </w:rPr>
        <w:t>, C. 2008.45</w:t>
      </w:r>
    </w:p>
  </w:footnote>
  <w:footnote w:id="188">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nl-NL"/>
        </w:rPr>
        <w:t>Ogden, D. 1999</w:t>
      </w:r>
      <w:r>
        <w:rPr>
          <w:rFonts w:ascii="Times New Roman" w:hAnsi="Times New Roman"/>
          <w:rtl w:val="0"/>
          <w:lang w:val="en-US"/>
        </w:rPr>
        <w:t>.128.</w:t>
      </w:r>
    </w:p>
  </w:footnote>
  <w:footnote w:id="189">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nl-NL"/>
        </w:rPr>
        <w:t>Ogden, D. 1999</w:t>
      </w:r>
      <w:r>
        <w:rPr>
          <w:rFonts w:ascii="Times New Roman" w:hAnsi="Times New Roman"/>
          <w:rtl w:val="0"/>
          <w:lang w:val="en-US"/>
        </w:rPr>
        <w:t>.129.</w:t>
      </w:r>
    </w:p>
  </w:footnote>
  <w:footnote w:id="190">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w:t>
      </w:r>
      <w:r>
        <w:rPr>
          <w:rFonts w:ascii="Times New Roman" w:hAnsi="Times New Roman"/>
          <w:rtl w:val="0"/>
        </w:rPr>
        <w:t>1</w:t>
      </w:r>
      <w:r>
        <w:rPr>
          <w:rFonts w:ascii="Times New Roman" w:hAnsi="Times New Roman"/>
          <w:rtl w:val="0"/>
          <w:lang w:val="en-US"/>
        </w:rPr>
        <w:t>33</w:t>
      </w:r>
      <w:r>
        <w:rPr>
          <w:rFonts w:ascii="Times New Roman" w:hAnsi="Times New Roman"/>
          <w:rtl w:val="0"/>
        </w:rPr>
        <w:t xml:space="preserve">. </w:t>
      </w:r>
    </w:p>
  </w:footnote>
  <w:footnote w:id="191">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e-DE"/>
        </w:rPr>
        <w:t>Bevan, R. 1923</w:t>
      </w:r>
      <w:r>
        <w:rPr>
          <w:rFonts w:ascii="Times New Roman" w:hAnsi="Times New Roman"/>
          <w:rtl w:val="0"/>
          <w:lang w:val="en-US"/>
        </w:rPr>
        <w:t>.</w:t>
      </w:r>
      <w:r>
        <w:rPr>
          <w:rFonts w:ascii="Times New Roman" w:hAnsi="Times New Roman"/>
          <w:rtl w:val="0"/>
        </w:rPr>
        <w:t>7</w:t>
      </w:r>
      <w:r>
        <w:rPr>
          <w:rFonts w:ascii="Times New Roman" w:hAnsi="Times New Roman"/>
          <w:rtl w:val="0"/>
          <w:lang w:val="en-US"/>
        </w:rPr>
        <w:t>3</w:t>
      </w:r>
      <w:r>
        <w:rPr>
          <w:rFonts w:ascii="Times New Roman" w:hAnsi="Times New Roman"/>
          <w:rtl w:val="0"/>
        </w:rPr>
        <w:t>.</w:t>
      </w:r>
    </w:p>
  </w:footnote>
  <w:footnote w:id="192">
    <w:p>
      <w:pPr>
        <w:pStyle w:val="Footnote"/>
      </w:pPr>
      <w:r>
        <w:rPr>
          <w:rFonts w:ascii="Times New Roman" w:cs="Times New Roman" w:hAnsi="Times New Roman" w:eastAsia="Times New Roman"/>
          <w:vertAlign w:val="superscript"/>
        </w:rPr>
        <w:footnoteRef/>
      </w:r>
      <w:r>
        <w:rPr>
          <w:rFonts w:ascii="Times New Roman" w:hAnsi="Times New Roman"/>
          <w:rtl w:val="0"/>
        </w:rPr>
        <w:t xml:space="preserve"> </w:t>
      </w:r>
      <w:r>
        <w:rPr>
          <w:rFonts w:ascii="Times New Roman" w:hAnsi="Times New Roman"/>
          <w:rtl w:val="0"/>
          <w:lang w:val="en-US"/>
        </w:rPr>
        <w:t xml:space="preserve">Wenghofer, R. 2018.162.  </w:t>
      </w:r>
    </w:p>
  </w:footnote>
  <w:footnote w:id="193">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e-DE"/>
        </w:rPr>
        <w:t>Bevan, R. 1923</w:t>
      </w:r>
      <w:r>
        <w:rPr>
          <w:rFonts w:ascii="Times New Roman" w:hAnsi="Times New Roman"/>
          <w:rtl w:val="0"/>
          <w:lang w:val="en-US"/>
        </w:rPr>
        <w:t>.70</w:t>
      </w:r>
      <w:r>
        <w:rPr>
          <w:rFonts w:ascii="Times New Roman" w:hAnsi="Times New Roman"/>
          <w:rtl w:val="0"/>
        </w:rPr>
        <w:t>.</w:t>
      </w:r>
    </w:p>
  </w:footnote>
  <w:footnote w:id="194">
    <w:p>
      <w:pPr>
        <w:pStyle w:val="Footnote"/>
      </w:pPr>
      <w:r>
        <w:rPr>
          <w:rFonts w:ascii="Times New Roman" w:cs="Times New Roman" w:hAnsi="Times New Roman" w:eastAsia="Times New Roman"/>
          <w:vertAlign w:val="superscript"/>
        </w:rPr>
        <w:footnoteRef/>
      </w:r>
      <w:r>
        <w:rPr>
          <w:rFonts w:ascii="Times New Roman" w:hAnsi="Times New Roman"/>
          <w:rtl w:val="0"/>
        </w:rPr>
        <w:t xml:space="preserve"> </w:t>
      </w:r>
      <w:r>
        <w:rPr>
          <w:rFonts w:ascii="Times New Roman" w:hAnsi="Times New Roman"/>
          <w:rtl w:val="0"/>
          <w:lang w:val="en-US"/>
        </w:rPr>
        <w:t xml:space="preserve">Engels D. 2008.1. </w:t>
      </w:r>
    </w:p>
  </w:footnote>
  <w:footnote w:id="195">
    <w:p>
      <w:pPr>
        <w:pStyle w:val="Footnote"/>
      </w:pPr>
      <w:r>
        <w:rPr>
          <w:rFonts w:ascii="Times New Roman" w:cs="Times New Roman" w:hAnsi="Times New Roman" w:eastAsia="Times New Roman"/>
          <w:vertAlign w:val="superscript"/>
        </w:rPr>
        <w:footnoteRef/>
      </w:r>
      <w:r>
        <w:rPr>
          <w:rFonts w:ascii="Times New Roman" w:hAnsi="Times New Roman"/>
          <w:color w:val="ff2600"/>
          <w:rtl w:val="0"/>
          <w:lang w:val="en-US"/>
        </w:rPr>
        <w:t xml:space="preserve"> </w:t>
      </w:r>
      <w:r>
        <w:rPr>
          <w:rFonts w:ascii="Times New Roman" w:hAnsi="Times New Roman"/>
          <w:rtl w:val="0"/>
          <w:lang w:val="nl-NL"/>
        </w:rPr>
        <w:t>Ogden, D. 1999</w:t>
      </w:r>
      <w:r>
        <w:rPr>
          <w:rFonts w:ascii="Times New Roman" w:hAnsi="Times New Roman"/>
          <w:rtl w:val="0"/>
          <w:lang w:val="en-US"/>
        </w:rPr>
        <w:t>.128.</w:t>
      </w:r>
    </w:p>
  </w:footnote>
  <w:footnote w:id="196">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sv-SE"/>
        </w:rPr>
        <w:t>Erickson, K. (ed). 2018</w:t>
      </w:r>
      <w:r>
        <w:rPr>
          <w:rFonts w:ascii="Times New Roman" w:hAnsi="Times New Roman"/>
          <w:rtl w:val="0"/>
          <w:lang w:val="en-US"/>
        </w:rPr>
        <w:t xml:space="preserve">.269. </w:t>
      </w:r>
    </w:p>
  </w:footnote>
  <w:footnote w:id="197">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rPr>
        <w:t>Coskun</w:t>
      </w:r>
      <w:r>
        <w:rPr>
          <w:rFonts w:ascii="Times New Roman" w:hAnsi="Times New Roman"/>
          <w:rtl w:val="0"/>
          <w:lang w:val="en-US"/>
        </w:rPr>
        <w:t xml:space="preserve">, A., </w:t>
      </w:r>
      <w:r>
        <w:rPr>
          <w:rFonts w:ascii="Times New Roman" w:hAnsi="Times New Roman"/>
          <w:rtl w:val="0"/>
          <w:lang w:val="sv-SE"/>
        </w:rPr>
        <w:t>Erickson, K. (ed). 2018</w:t>
      </w:r>
      <w:r>
        <w:rPr>
          <w:rFonts w:ascii="Times New Roman" w:hAnsi="Times New Roman"/>
          <w:rtl w:val="0"/>
          <w:lang w:val="en-US"/>
        </w:rPr>
        <w:t xml:space="preserve">.229.  </w:t>
      </w:r>
    </w:p>
  </w:footnote>
  <w:footnote w:id="198">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da-DK"/>
        </w:rPr>
        <w:t>Grainger, J. D., et all. 1939</w:t>
      </w:r>
      <w:r>
        <w:rPr>
          <w:rFonts w:ascii="Times New Roman" w:hAnsi="Times New Roman"/>
          <w:rtl w:val="0"/>
          <w:lang w:val="en-US"/>
        </w:rPr>
        <w:t>.</w:t>
      </w:r>
      <w:r>
        <w:rPr>
          <w:rFonts w:ascii="Times New Roman" w:hAnsi="Times New Roman"/>
          <w:rtl w:val="0"/>
        </w:rPr>
        <w:t>13</w:t>
      </w:r>
      <w:r>
        <w:rPr>
          <w:rFonts w:ascii="Times New Roman" w:hAnsi="Times New Roman"/>
          <w:rtl w:val="0"/>
          <w:lang w:val="en-US"/>
        </w:rPr>
        <w:t>6</w:t>
      </w:r>
      <w:r>
        <w:rPr>
          <w:rFonts w:ascii="Times New Roman" w:hAnsi="Times New Roman"/>
          <w:rtl w:val="0"/>
        </w:rPr>
        <w:t xml:space="preserve">. </w:t>
      </w:r>
    </w:p>
  </w:footnote>
  <w:footnote w:id="199">
    <w:p>
      <w:pPr>
        <w:pStyle w:val="Footnote"/>
      </w:pPr>
      <w:r>
        <w:rPr>
          <w:rFonts w:ascii="Times New Roman" w:cs="Times New Roman" w:hAnsi="Times New Roman" w:eastAsia="Times New Roman"/>
          <w:vertAlign w:val="superscript"/>
        </w:rPr>
        <w:footnoteRef/>
      </w:r>
      <w:r>
        <w:rPr>
          <w:rFonts w:ascii="Times New Roman" w:hAnsi="Times New Roman"/>
          <w:rtl w:val="0"/>
          <w:lang w:val="en-US"/>
        </w:rPr>
        <w:t xml:space="preserve"> </w:t>
      </w:r>
      <w:r>
        <w:rPr>
          <w:rFonts w:ascii="Times New Roman" w:hAnsi="Times New Roman"/>
          <w:rtl w:val="0"/>
          <w:lang w:val="fr-FR"/>
        </w:rPr>
        <w:t>Marquaille, C. 2008</w:t>
      </w:r>
      <w:r>
        <w:rPr>
          <w:rFonts w:ascii="Times New Roman" w:hAnsi="Times New Roman"/>
          <w:rtl w:val="0"/>
          <w:lang w:val="en-US"/>
        </w:rPr>
        <w:t>.</w:t>
      </w:r>
      <w:r>
        <w:rPr>
          <w:rFonts w:ascii="Times New Roman" w:hAnsi="Times New Roman"/>
          <w:rtl w:val="0"/>
        </w:rPr>
        <w:t>4</w:t>
      </w:r>
      <w:r>
        <w:rPr>
          <w:rFonts w:ascii="Times New Roman" w:hAnsi="Times New Roman"/>
          <w:rtl w:val="0"/>
          <w:lang w:val="en-US"/>
        </w:rPr>
        <w:t xml:space="preserve">4.  </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Lettered"/>
  </w:abstractNum>
  <w:abstractNum w:abstractNumId="1">
    <w:multiLevelType w:val="hybridMultilevel"/>
    <w:styleLink w:val="Lettered"/>
    <w:lvl w:ilvl="0">
      <w:start w:val="1"/>
      <w:numFmt w:val="upperLetter"/>
      <w:suff w:val="tab"/>
      <w:lvlText w:val="%1."/>
      <w:lvlJc w:val="left"/>
      <w:pPr>
        <w:ind w:left="524" w:hanging="52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upperLetter"/>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upperLetter"/>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upperLetter"/>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upperLetter"/>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upperLetter"/>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upperLetter"/>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upperLetter"/>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upperLetter"/>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justify">
    <w:name w:val="justify"/>
    <w:next w:val="justify"/>
    <w:pPr>
      <w:keepNext w:val="0"/>
      <w:keepLines w:val="0"/>
      <w:pageBreakBefore w:val="0"/>
      <w:widowControl w:val="1"/>
      <w:shd w:val="clear" w:color="auto" w:fill="auto"/>
      <w:suppressAutoHyphens w:val="0"/>
      <w:bidi w:val="0"/>
      <w:spacing w:before="100" w:after="100" w:line="240" w:lineRule="auto"/>
      <w:ind w:left="0" w:right="0" w:firstLine="0"/>
      <w:jc w:val="center"/>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Lettered">
    <w:name w:val="Lettered"/>
    <w:pPr>
      <w:numPr>
        <w:numId w:val="1"/>
      </w:numPr>
    </w:p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character" w:styleId="Link">
    <w:name w:val="Link"/>
    <w:rPr>
      <w:u w:val="single"/>
    </w:rPr>
  </w:style>
  <w:style w:type="character" w:styleId="Hyperlink.0">
    <w:name w:val="Hyperlink.0"/>
    <w:basedOn w:val="Link"/>
    <w:next w:val="Hyperlink.0"/>
    <w:rPr>
      <w:rFonts w:ascii="Times New Roman" w:cs="Times New Roman" w:hAnsi="Times New Roman" w:eastAsia="Times New Roman"/>
      <w:color w:val="000000"/>
      <w:sz w:val="24"/>
      <w:szCs w:val="24"/>
      <w:u w:val="none" w:color="000000"/>
      <w:vertAlign w:val="superscript"/>
    </w:rPr>
  </w:style>
  <w:style w:type="character" w:styleId="Hyperlink.1">
    <w:name w:val="Hyperlink.1"/>
    <w:basedOn w:val="Link"/>
    <w:next w:val="Hyperlink.1"/>
    <w:rPr>
      <w:rFonts w:ascii="Times New Roman" w:cs="Times New Roman" w:hAnsi="Times New Roman" w:eastAsia="Times New Roman"/>
      <w:color w:val="000000"/>
      <w:sz w:val="24"/>
      <w:szCs w:val="24"/>
      <w:u w:color="000000"/>
      <w:vertAlign w:val="superscript"/>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2">
    <w:name w:val="Hyperlink.2"/>
    <w:basedOn w:val="Link"/>
    <w:next w:val="Hyperlink.2"/>
    <w:rPr>
      <w:rFonts w:ascii="Times New Roman" w:cs="Times New Roman" w:hAnsi="Times New Roman" w:eastAsia="Times New Roman"/>
      <w:color w:val="000000"/>
      <w:sz w:val="24"/>
      <w:szCs w:val="24"/>
      <w:u w:val="none" w:color="0000ff"/>
    </w:rPr>
  </w:style>
  <w:style w:type="character" w:styleId="Hyperlink.3">
    <w:name w:val="Hyperlink.3"/>
    <w:basedOn w:val="Link"/>
    <w:next w:val="Hyperlink.3"/>
    <w:rPr>
      <w:rFonts w:ascii="Times New Roman" w:cs="Times New Roman" w:hAnsi="Times New Roman" w:eastAsia="Times New Roman"/>
      <w:color w:val="000000"/>
      <w:sz w:val="24"/>
      <w:szCs w:val="24"/>
      <w:u w:val="none" w:color="0000ff"/>
    </w:rPr>
  </w:style>
  <w:style w:type="character" w:styleId="None">
    <w:name w:val="None"/>
  </w:style>
  <w:style w:type="character" w:styleId="Hyperlink.4">
    <w:name w:val="Hyperlink.4"/>
    <w:basedOn w:val="None"/>
    <w:next w:val="Hyperlink.4"/>
    <w:rPr>
      <w:i w:val="1"/>
      <w:iCs w:val="1"/>
    </w:rPr>
  </w:style>
  <w:style w:type="character" w:styleId="Hyperlink.5">
    <w:name w:val="Hyperlink.5"/>
    <w:basedOn w:val="Link"/>
    <w:next w:val="Hyperlink.5"/>
    <w:rPr>
      <w:rFonts w:ascii="Times New Roman" w:cs="Times New Roman" w:hAnsi="Times New Roman" w:eastAsia="Times New Roman"/>
      <w:color w:val="000000"/>
      <w:sz w:val="24"/>
      <w:szCs w:val="24"/>
      <w:u w:val="none" w:color="0000ff"/>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character" w:styleId="Hyperlink.6">
    <w:name w:val="Hyperlink.6"/>
    <w:basedOn w:val="Link"/>
    <w:next w:val="Hyperlink.6"/>
    <w:rPr>
      <w:rFonts w:ascii="Times New Roman" w:cs="Times New Roman" w:hAnsi="Times New Roman" w:eastAsia="Times New Roman"/>
      <w:color w:val="000000"/>
      <w:sz w:val="24"/>
      <w:szCs w:val="24"/>
      <w:u w:val="none" w:color="0000ff"/>
    </w:rPr>
  </w:style>
  <w:style w:type="character" w:styleId="Hyperlink.7">
    <w:name w:val="Hyperlink.7"/>
    <w:basedOn w:val="Hyperlink"/>
    <w:next w:val="Hyperlink.7"/>
    <w:rPr/>
  </w:style>
  <w:style w:type="character" w:styleId="Hyperlink.8">
    <w:name w:val="Hyperlink.8"/>
    <w:basedOn w:val="Hyperlink"/>
    <w:next w:val="Hyperlink.8"/>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