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42694C" w14:textId="77777777" w:rsidR="00FE6690" w:rsidRPr="00382CBA" w:rsidRDefault="00FE6690">
      <w:pPr>
        <w:jc w:val="both"/>
        <w:rPr>
          <w:lang w:val="en-GB"/>
        </w:rPr>
      </w:pPr>
    </w:p>
    <w:p w14:paraId="6DCE7ED8" w14:textId="77777777" w:rsidR="00FE6690" w:rsidRPr="00382CBA" w:rsidRDefault="00FE6690">
      <w:pPr>
        <w:jc w:val="both"/>
        <w:rPr>
          <w:lang w:val="en-GB"/>
        </w:rPr>
      </w:pPr>
    </w:p>
    <w:p w14:paraId="25E51696" w14:textId="77777777" w:rsidR="00FE6690" w:rsidRPr="00382CBA" w:rsidRDefault="00FE6690">
      <w:pPr>
        <w:jc w:val="both"/>
        <w:rPr>
          <w:lang w:val="en-GB"/>
        </w:rPr>
      </w:pPr>
    </w:p>
    <w:p w14:paraId="60A0448B" w14:textId="2402FACD" w:rsidR="00FE6690" w:rsidRPr="00382CBA" w:rsidRDefault="00393471" w:rsidP="00393471">
      <w:pPr>
        <w:jc w:val="center"/>
        <w:rPr>
          <w:lang w:val="en-GB"/>
        </w:rPr>
      </w:pPr>
      <w:r w:rsidRPr="00382CBA">
        <w:rPr>
          <w:noProof/>
          <w:lang w:val="en-GB"/>
        </w:rPr>
        <w:drawing>
          <wp:inline distT="0" distB="0" distL="0" distR="0" wp14:anchorId="478A1B36" wp14:editId="5B38FD6B">
            <wp:extent cx="4099560" cy="2277533"/>
            <wp:effectExtent l="0" t="0" r="0" b="8890"/>
            <wp:docPr id="12614000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05049" cy="2280583"/>
                    </a:xfrm>
                    <a:prstGeom prst="rect">
                      <a:avLst/>
                    </a:prstGeom>
                    <a:noFill/>
                  </pic:spPr>
                </pic:pic>
              </a:graphicData>
            </a:graphic>
          </wp:inline>
        </w:drawing>
      </w:r>
    </w:p>
    <w:p w14:paraId="7F727058" w14:textId="0064AA46" w:rsidR="002D068E" w:rsidRPr="00382CBA" w:rsidRDefault="00393471" w:rsidP="00393471">
      <w:pPr>
        <w:jc w:val="center"/>
        <w:rPr>
          <w:b/>
          <w:bCs/>
          <w:sz w:val="40"/>
          <w:szCs w:val="40"/>
          <w:lang w:val="en-GB"/>
        </w:rPr>
      </w:pPr>
      <w:r w:rsidRPr="00382CBA">
        <w:rPr>
          <w:b/>
          <w:bCs/>
          <w:sz w:val="40"/>
          <w:szCs w:val="40"/>
          <w:lang w:val="en-GB"/>
        </w:rPr>
        <w:t>Masters of Business Administration</w:t>
      </w:r>
    </w:p>
    <w:p w14:paraId="58255886" w14:textId="77777777" w:rsidR="00393471" w:rsidRPr="00382CBA" w:rsidRDefault="00393471" w:rsidP="00393471">
      <w:pPr>
        <w:jc w:val="center"/>
        <w:rPr>
          <w:rFonts w:ascii="Arial"/>
          <w:b/>
          <w:spacing w:val="-2"/>
          <w:sz w:val="32"/>
          <w:szCs w:val="28"/>
          <w:lang w:val="en-GB"/>
        </w:rPr>
      </w:pPr>
    </w:p>
    <w:p w14:paraId="644CD6BA" w14:textId="30E4E4AC" w:rsidR="002D068E" w:rsidRPr="00382CBA" w:rsidRDefault="00FE6690" w:rsidP="00393471">
      <w:pPr>
        <w:jc w:val="center"/>
        <w:rPr>
          <w:rFonts w:ascii="Arial"/>
          <w:b/>
          <w:spacing w:val="-2"/>
          <w:sz w:val="32"/>
          <w:szCs w:val="28"/>
          <w:lang w:val="en-GB"/>
        </w:rPr>
      </w:pPr>
      <w:r w:rsidRPr="00382CBA">
        <w:rPr>
          <w:rFonts w:ascii="Arial"/>
          <w:b/>
          <w:spacing w:val="-2"/>
          <w:sz w:val="32"/>
          <w:szCs w:val="28"/>
          <w:lang w:val="en-GB"/>
        </w:rPr>
        <w:t xml:space="preserve">LCMB7002 </w:t>
      </w:r>
      <w:r w:rsidRPr="00382CBA">
        <w:rPr>
          <w:rFonts w:ascii="Arial"/>
          <w:b/>
          <w:sz w:val="32"/>
          <w:szCs w:val="28"/>
          <w:lang w:val="en-GB"/>
        </w:rPr>
        <w:t>Financial</w:t>
      </w:r>
      <w:r w:rsidRPr="00382CBA">
        <w:rPr>
          <w:rFonts w:ascii="Arial"/>
          <w:b/>
          <w:spacing w:val="-7"/>
          <w:sz w:val="32"/>
          <w:szCs w:val="28"/>
          <w:lang w:val="en-GB"/>
        </w:rPr>
        <w:t xml:space="preserve"> </w:t>
      </w:r>
      <w:r w:rsidRPr="00382CBA">
        <w:rPr>
          <w:rFonts w:ascii="Arial"/>
          <w:b/>
          <w:spacing w:val="-2"/>
          <w:sz w:val="32"/>
          <w:szCs w:val="28"/>
          <w:lang w:val="en-GB"/>
        </w:rPr>
        <w:t>Management</w:t>
      </w:r>
    </w:p>
    <w:p w14:paraId="4FD79E63" w14:textId="77777777" w:rsidR="008E4747" w:rsidRPr="00382CBA" w:rsidRDefault="008E4747" w:rsidP="00393471">
      <w:pPr>
        <w:jc w:val="center"/>
        <w:rPr>
          <w:rFonts w:ascii="Arial"/>
          <w:b/>
          <w:spacing w:val="-2"/>
          <w:sz w:val="32"/>
          <w:szCs w:val="28"/>
          <w:lang w:val="en-GB"/>
        </w:rPr>
      </w:pPr>
    </w:p>
    <w:p w14:paraId="070610E0" w14:textId="57E9B7EE" w:rsidR="00393471" w:rsidRPr="00382CBA" w:rsidRDefault="00393471" w:rsidP="00393471">
      <w:pPr>
        <w:jc w:val="center"/>
        <w:rPr>
          <w:rFonts w:ascii="Arial"/>
          <w:b/>
          <w:spacing w:val="-2"/>
          <w:sz w:val="40"/>
          <w:szCs w:val="36"/>
          <w:lang w:val="en-GB"/>
        </w:rPr>
      </w:pPr>
      <w:r w:rsidRPr="00382CBA">
        <w:rPr>
          <w:rFonts w:ascii="Arial"/>
          <w:b/>
          <w:spacing w:val="-2"/>
          <w:sz w:val="40"/>
          <w:szCs w:val="36"/>
          <w:lang w:val="en-GB"/>
        </w:rPr>
        <w:t xml:space="preserve">Student Name: </w:t>
      </w:r>
      <w:r w:rsidR="00713FB2" w:rsidRPr="00382CBA">
        <w:rPr>
          <w:rFonts w:ascii="Arial"/>
          <w:b/>
          <w:spacing w:val="-2"/>
          <w:sz w:val="40"/>
          <w:szCs w:val="36"/>
          <w:lang w:val="en-GB"/>
        </w:rPr>
        <w:t>Darshana Malviya</w:t>
      </w:r>
    </w:p>
    <w:p w14:paraId="534A8451" w14:textId="1C94FA27" w:rsidR="008E4747" w:rsidRPr="00382CBA" w:rsidRDefault="008E4747" w:rsidP="00393471">
      <w:pPr>
        <w:jc w:val="center"/>
        <w:rPr>
          <w:rFonts w:ascii="Arial"/>
          <w:b/>
          <w:spacing w:val="-2"/>
          <w:sz w:val="40"/>
          <w:szCs w:val="36"/>
          <w:lang w:val="en-GB"/>
        </w:rPr>
      </w:pPr>
      <w:r w:rsidRPr="00382CBA">
        <w:rPr>
          <w:rFonts w:ascii="Arial"/>
          <w:b/>
          <w:spacing w:val="-2"/>
          <w:sz w:val="40"/>
          <w:szCs w:val="36"/>
          <w:lang w:val="en-GB"/>
        </w:rPr>
        <w:t xml:space="preserve">Student ID: </w:t>
      </w:r>
      <w:r w:rsidR="00713FB2" w:rsidRPr="00382CBA">
        <w:rPr>
          <w:rFonts w:ascii="Arial"/>
          <w:b/>
          <w:spacing w:val="-2"/>
          <w:sz w:val="40"/>
          <w:szCs w:val="36"/>
          <w:lang w:val="en-GB"/>
        </w:rPr>
        <w:t>2543479</w:t>
      </w:r>
    </w:p>
    <w:p w14:paraId="72D69A06" w14:textId="77777777" w:rsidR="00FE6690" w:rsidRPr="00382CBA" w:rsidRDefault="00FE6690">
      <w:pPr>
        <w:jc w:val="both"/>
        <w:rPr>
          <w:rFonts w:ascii="Arial"/>
          <w:b/>
          <w:spacing w:val="-2"/>
          <w:sz w:val="22"/>
          <w:lang w:val="en-GB"/>
        </w:rPr>
      </w:pPr>
    </w:p>
    <w:p w14:paraId="2DDFCD12" w14:textId="77777777" w:rsidR="00FE6690" w:rsidRPr="00382CBA" w:rsidRDefault="00FE6690">
      <w:pPr>
        <w:jc w:val="both"/>
        <w:rPr>
          <w:rFonts w:ascii="Arial"/>
          <w:b/>
          <w:spacing w:val="-2"/>
          <w:sz w:val="22"/>
          <w:lang w:val="en-GB"/>
        </w:rPr>
      </w:pPr>
    </w:p>
    <w:p w14:paraId="7DCAECCC" w14:textId="77777777" w:rsidR="00FE6690" w:rsidRPr="00382CBA" w:rsidRDefault="00FE6690">
      <w:pPr>
        <w:jc w:val="both"/>
        <w:rPr>
          <w:rFonts w:ascii="Arial"/>
          <w:b/>
          <w:spacing w:val="-2"/>
          <w:sz w:val="22"/>
          <w:lang w:val="en-GB"/>
        </w:rPr>
      </w:pPr>
    </w:p>
    <w:p w14:paraId="6CEB5654" w14:textId="77777777" w:rsidR="00FE6690" w:rsidRPr="00382CBA" w:rsidRDefault="00FE6690">
      <w:pPr>
        <w:jc w:val="both"/>
        <w:rPr>
          <w:rFonts w:ascii="Arial"/>
          <w:b/>
          <w:spacing w:val="-2"/>
          <w:sz w:val="22"/>
          <w:lang w:val="en-GB"/>
        </w:rPr>
      </w:pPr>
    </w:p>
    <w:p w14:paraId="1B5BB70D" w14:textId="77777777" w:rsidR="00FE6690" w:rsidRPr="00382CBA" w:rsidRDefault="00FE6690">
      <w:pPr>
        <w:jc w:val="both"/>
        <w:rPr>
          <w:rFonts w:ascii="Arial"/>
          <w:b/>
          <w:spacing w:val="-2"/>
          <w:sz w:val="22"/>
          <w:lang w:val="en-GB"/>
        </w:rPr>
      </w:pPr>
    </w:p>
    <w:p w14:paraId="288A1BCE" w14:textId="77777777" w:rsidR="00FE6690" w:rsidRPr="00382CBA" w:rsidRDefault="00FE6690">
      <w:pPr>
        <w:jc w:val="both"/>
        <w:rPr>
          <w:rFonts w:ascii="Arial"/>
          <w:b/>
          <w:spacing w:val="-2"/>
          <w:sz w:val="22"/>
          <w:lang w:val="en-GB"/>
        </w:rPr>
      </w:pPr>
    </w:p>
    <w:p w14:paraId="55597C82" w14:textId="77777777" w:rsidR="00FE6690" w:rsidRPr="00382CBA" w:rsidRDefault="00FE6690">
      <w:pPr>
        <w:jc w:val="both"/>
        <w:rPr>
          <w:rFonts w:ascii="Arial"/>
          <w:b/>
          <w:spacing w:val="-2"/>
          <w:sz w:val="22"/>
          <w:lang w:val="en-GB"/>
        </w:rPr>
      </w:pPr>
    </w:p>
    <w:p w14:paraId="650A7CCA" w14:textId="77777777" w:rsidR="00FE6690" w:rsidRPr="00382CBA" w:rsidRDefault="00FE6690">
      <w:pPr>
        <w:jc w:val="both"/>
        <w:rPr>
          <w:rFonts w:ascii="Arial"/>
          <w:b/>
          <w:spacing w:val="-2"/>
          <w:sz w:val="22"/>
          <w:lang w:val="en-GB"/>
        </w:rPr>
      </w:pPr>
    </w:p>
    <w:p w14:paraId="5E622AFF" w14:textId="77777777" w:rsidR="00FE6690" w:rsidRPr="00382CBA" w:rsidRDefault="00FE6690">
      <w:pPr>
        <w:jc w:val="both"/>
        <w:rPr>
          <w:rFonts w:ascii="Arial"/>
          <w:b/>
          <w:spacing w:val="-2"/>
          <w:sz w:val="22"/>
          <w:lang w:val="en-GB"/>
        </w:rPr>
      </w:pPr>
    </w:p>
    <w:p w14:paraId="77185BC4" w14:textId="77777777" w:rsidR="00FE6690" w:rsidRPr="00382CBA" w:rsidRDefault="00FE6690">
      <w:pPr>
        <w:jc w:val="both"/>
        <w:rPr>
          <w:rFonts w:ascii="Arial"/>
          <w:b/>
          <w:spacing w:val="-2"/>
          <w:sz w:val="22"/>
          <w:lang w:val="en-GB"/>
        </w:rPr>
      </w:pPr>
    </w:p>
    <w:p w14:paraId="7C8553F4" w14:textId="77777777" w:rsidR="00FE6690" w:rsidRPr="00382CBA" w:rsidRDefault="00FE6690">
      <w:pPr>
        <w:jc w:val="both"/>
        <w:rPr>
          <w:rFonts w:ascii="Arial"/>
          <w:b/>
          <w:spacing w:val="-2"/>
          <w:sz w:val="22"/>
          <w:lang w:val="en-GB"/>
        </w:rPr>
      </w:pPr>
    </w:p>
    <w:p w14:paraId="21F2AB42" w14:textId="77777777" w:rsidR="00FE6690" w:rsidRPr="00382CBA" w:rsidRDefault="00FE6690">
      <w:pPr>
        <w:jc w:val="both"/>
        <w:rPr>
          <w:rFonts w:ascii="Arial"/>
          <w:b/>
          <w:spacing w:val="-2"/>
          <w:sz w:val="22"/>
          <w:lang w:val="en-GB"/>
        </w:rPr>
      </w:pPr>
    </w:p>
    <w:p w14:paraId="75A0C0F0" w14:textId="77777777" w:rsidR="00FE6690" w:rsidRPr="00382CBA" w:rsidRDefault="00FE6690">
      <w:pPr>
        <w:jc w:val="both"/>
        <w:rPr>
          <w:rFonts w:ascii="Arial"/>
          <w:b/>
          <w:spacing w:val="-2"/>
          <w:sz w:val="22"/>
          <w:lang w:val="en-GB"/>
        </w:rPr>
      </w:pPr>
    </w:p>
    <w:p w14:paraId="3316BFB5" w14:textId="77777777" w:rsidR="00FE6690" w:rsidRPr="00382CBA" w:rsidRDefault="00FE6690">
      <w:pPr>
        <w:jc w:val="both"/>
        <w:rPr>
          <w:rFonts w:ascii="Arial"/>
          <w:b/>
          <w:spacing w:val="-2"/>
          <w:sz w:val="22"/>
          <w:lang w:val="en-GB"/>
        </w:rPr>
      </w:pPr>
    </w:p>
    <w:p w14:paraId="13EA3509" w14:textId="77777777" w:rsidR="00FE6690" w:rsidRPr="00382CBA" w:rsidRDefault="00FE6690" w:rsidP="00A10F2E">
      <w:pPr>
        <w:jc w:val="both"/>
        <w:rPr>
          <w:rFonts w:ascii="Arial"/>
          <w:b/>
          <w:spacing w:val="-2"/>
          <w:sz w:val="22"/>
          <w:lang w:val="en-GB"/>
        </w:rPr>
      </w:pPr>
    </w:p>
    <w:p w14:paraId="1B015DB5" w14:textId="77777777" w:rsidR="00FE6690" w:rsidRPr="00382CBA" w:rsidRDefault="00FE6690" w:rsidP="00A10F2E">
      <w:pPr>
        <w:jc w:val="both"/>
        <w:rPr>
          <w:b/>
          <w:bCs/>
          <w:lang w:val="en-GB"/>
        </w:rPr>
      </w:pPr>
    </w:p>
    <w:p w14:paraId="1E74AE84" w14:textId="77777777" w:rsidR="002D068E" w:rsidRPr="00382CBA" w:rsidRDefault="001F1C34" w:rsidP="00A10F2E">
      <w:pPr>
        <w:pStyle w:val="TOC1"/>
        <w:tabs>
          <w:tab w:val="right" w:leader="dot" w:pos="8306"/>
        </w:tabs>
        <w:jc w:val="both"/>
        <w:rPr>
          <w:rFonts w:ascii="Arial Regular" w:hAnsi="Arial Regular" w:cs="Arial Regular"/>
          <w:b/>
          <w:bCs/>
          <w:szCs w:val="24"/>
          <w:lang w:val="en-GB"/>
        </w:rPr>
      </w:pPr>
      <w:r w:rsidRPr="00382CBA">
        <w:rPr>
          <w:rFonts w:ascii="Arial Regular" w:hAnsi="Arial Regular" w:cs="Arial Regular"/>
          <w:b/>
          <w:bCs/>
          <w:szCs w:val="24"/>
          <w:lang w:val="en-GB"/>
        </w:rPr>
        <w:t>Table of Contents</w:t>
      </w:r>
    </w:p>
    <w:p w14:paraId="463C9305" w14:textId="662D511F" w:rsidR="00A10F2E" w:rsidRPr="00382CBA" w:rsidRDefault="001F1C34" w:rsidP="00A10F2E">
      <w:pPr>
        <w:pStyle w:val="TOC1"/>
        <w:tabs>
          <w:tab w:val="right" w:leader="dot" w:pos="8296"/>
        </w:tabs>
        <w:rPr>
          <w:noProof/>
          <w:kern w:val="2"/>
          <w:szCs w:val="24"/>
          <w:lang w:val="en-GB" w:eastAsia="en-US"/>
          <w14:ligatures w14:val="standardContextual"/>
        </w:rPr>
      </w:pPr>
      <w:r w:rsidRPr="00382CBA">
        <w:rPr>
          <w:rFonts w:ascii="Arial Regular" w:hAnsi="Arial Regular" w:cs="Arial Regular"/>
          <w:szCs w:val="24"/>
          <w:lang w:val="en-GB"/>
        </w:rPr>
        <w:fldChar w:fldCharType="begin"/>
      </w:r>
      <w:r w:rsidRPr="00382CBA">
        <w:rPr>
          <w:rFonts w:ascii="Arial Regular" w:hAnsi="Arial Regular" w:cs="Arial Regular"/>
          <w:szCs w:val="24"/>
          <w:lang w:val="en-GB"/>
        </w:rPr>
        <w:instrText xml:space="preserve">TOC \o "1-3" \h \u </w:instrText>
      </w:r>
      <w:r w:rsidRPr="00382CBA">
        <w:rPr>
          <w:rFonts w:ascii="Arial Regular" w:hAnsi="Arial Regular" w:cs="Arial Regular"/>
          <w:szCs w:val="24"/>
          <w:lang w:val="en-GB"/>
        </w:rPr>
        <w:fldChar w:fldCharType="separate"/>
      </w:r>
      <w:hyperlink w:anchor="_Toc237532009" w:history="1">
        <w:r w:rsidR="00A10F2E" w:rsidRPr="00382CBA">
          <w:rPr>
            <w:rStyle w:val="Hyperlink"/>
            <w:rFonts w:ascii="Arial Regular" w:hAnsi="Arial Regular" w:cs="Arial Regular"/>
            <w:noProof/>
            <w:lang w:val="en-GB"/>
          </w:rPr>
          <w:t>1. Introduction</w:t>
        </w:r>
        <w:r w:rsidR="00A10F2E" w:rsidRPr="00382CBA">
          <w:rPr>
            <w:noProof/>
            <w:lang w:val="en-GB"/>
          </w:rPr>
          <w:tab/>
        </w:r>
        <w:r w:rsidR="00A10F2E" w:rsidRPr="00382CBA">
          <w:rPr>
            <w:noProof/>
            <w:lang w:val="en-GB"/>
          </w:rPr>
          <w:fldChar w:fldCharType="begin"/>
        </w:r>
        <w:r w:rsidR="00A10F2E" w:rsidRPr="00382CBA">
          <w:rPr>
            <w:noProof/>
            <w:lang w:val="en-GB"/>
          </w:rPr>
          <w:instrText xml:space="preserve"> PAGEREF _Toc237532009 \h </w:instrText>
        </w:r>
        <w:r w:rsidR="00A10F2E" w:rsidRPr="00382CBA">
          <w:rPr>
            <w:noProof/>
            <w:lang w:val="en-GB"/>
          </w:rPr>
        </w:r>
        <w:r w:rsidR="00A10F2E" w:rsidRPr="00382CBA">
          <w:rPr>
            <w:noProof/>
            <w:lang w:val="en-GB"/>
          </w:rPr>
          <w:fldChar w:fldCharType="separate"/>
        </w:r>
        <w:r w:rsidR="00A10F2E" w:rsidRPr="00382CBA">
          <w:rPr>
            <w:noProof/>
            <w:lang w:val="en-GB"/>
          </w:rPr>
          <w:t>3</w:t>
        </w:r>
        <w:r w:rsidR="00A10F2E" w:rsidRPr="00382CBA">
          <w:rPr>
            <w:noProof/>
            <w:lang w:val="en-GB"/>
          </w:rPr>
          <w:fldChar w:fldCharType="end"/>
        </w:r>
      </w:hyperlink>
    </w:p>
    <w:p w14:paraId="1CE10681" w14:textId="2800639A" w:rsidR="00A10F2E" w:rsidRPr="00382CBA" w:rsidRDefault="00A10F2E" w:rsidP="00A10F2E">
      <w:pPr>
        <w:pStyle w:val="TOC1"/>
        <w:tabs>
          <w:tab w:val="right" w:leader="dot" w:pos="8296"/>
        </w:tabs>
        <w:rPr>
          <w:noProof/>
          <w:kern w:val="2"/>
          <w:szCs w:val="24"/>
          <w:lang w:val="en-GB" w:eastAsia="en-US"/>
          <w14:ligatures w14:val="standardContextual"/>
        </w:rPr>
      </w:pPr>
      <w:hyperlink w:anchor="_Toc237532010" w:history="1">
        <w:r w:rsidRPr="00382CBA">
          <w:rPr>
            <w:rStyle w:val="Hyperlink"/>
            <w:rFonts w:ascii="Arial Regular" w:hAnsi="Arial Regular" w:cs="Arial Regular"/>
            <w:noProof/>
            <w:lang w:val="en-GB"/>
          </w:rPr>
          <w:t>2. Financial Health Check</w:t>
        </w:r>
        <w:r w:rsidRPr="00382CBA">
          <w:rPr>
            <w:noProof/>
            <w:lang w:val="en-GB"/>
          </w:rPr>
          <w:tab/>
        </w:r>
        <w:r w:rsidRPr="00382CBA">
          <w:rPr>
            <w:noProof/>
            <w:lang w:val="en-GB"/>
          </w:rPr>
          <w:fldChar w:fldCharType="begin"/>
        </w:r>
        <w:r w:rsidRPr="00382CBA">
          <w:rPr>
            <w:noProof/>
            <w:lang w:val="en-GB"/>
          </w:rPr>
          <w:instrText xml:space="preserve"> PAGEREF _Toc237532010 \h </w:instrText>
        </w:r>
        <w:r w:rsidRPr="00382CBA">
          <w:rPr>
            <w:noProof/>
            <w:lang w:val="en-GB"/>
          </w:rPr>
        </w:r>
        <w:r w:rsidRPr="00382CBA">
          <w:rPr>
            <w:noProof/>
            <w:lang w:val="en-GB"/>
          </w:rPr>
          <w:fldChar w:fldCharType="separate"/>
        </w:r>
        <w:r w:rsidRPr="00382CBA">
          <w:rPr>
            <w:noProof/>
            <w:lang w:val="en-GB"/>
          </w:rPr>
          <w:t>3</w:t>
        </w:r>
        <w:r w:rsidRPr="00382CBA">
          <w:rPr>
            <w:noProof/>
            <w:lang w:val="en-GB"/>
          </w:rPr>
          <w:fldChar w:fldCharType="end"/>
        </w:r>
      </w:hyperlink>
    </w:p>
    <w:p w14:paraId="7FC3349D" w14:textId="55A0802E" w:rsidR="00A10F2E" w:rsidRPr="00382CBA" w:rsidRDefault="00A10F2E" w:rsidP="00A10F2E">
      <w:pPr>
        <w:pStyle w:val="TOC1"/>
        <w:tabs>
          <w:tab w:val="right" w:leader="dot" w:pos="8296"/>
        </w:tabs>
        <w:rPr>
          <w:noProof/>
          <w:kern w:val="2"/>
          <w:szCs w:val="24"/>
          <w:lang w:val="en-GB" w:eastAsia="en-US"/>
          <w14:ligatures w14:val="standardContextual"/>
        </w:rPr>
      </w:pPr>
      <w:hyperlink w:anchor="_Toc237532011" w:history="1">
        <w:r w:rsidRPr="00382CBA">
          <w:rPr>
            <w:rStyle w:val="Hyperlink"/>
            <w:rFonts w:ascii="Arial Regular" w:hAnsi="Arial Regular" w:cs="Arial Regular"/>
            <w:noProof/>
            <w:lang w:val="en-GB"/>
          </w:rPr>
          <w:t>3. Working Capital Management Analysis</w:t>
        </w:r>
        <w:r w:rsidRPr="00382CBA">
          <w:rPr>
            <w:noProof/>
            <w:lang w:val="en-GB"/>
          </w:rPr>
          <w:tab/>
        </w:r>
        <w:r w:rsidRPr="00382CBA">
          <w:rPr>
            <w:noProof/>
            <w:lang w:val="en-GB"/>
          </w:rPr>
          <w:fldChar w:fldCharType="begin"/>
        </w:r>
        <w:r w:rsidRPr="00382CBA">
          <w:rPr>
            <w:noProof/>
            <w:lang w:val="en-GB"/>
          </w:rPr>
          <w:instrText xml:space="preserve"> PAGEREF _Toc237532011 \h </w:instrText>
        </w:r>
        <w:r w:rsidRPr="00382CBA">
          <w:rPr>
            <w:noProof/>
            <w:lang w:val="en-GB"/>
          </w:rPr>
        </w:r>
        <w:r w:rsidRPr="00382CBA">
          <w:rPr>
            <w:noProof/>
            <w:lang w:val="en-GB"/>
          </w:rPr>
          <w:fldChar w:fldCharType="separate"/>
        </w:r>
        <w:r w:rsidRPr="00382CBA">
          <w:rPr>
            <w:noProof/>
            <w:lang w:val="en-GB"/>
          </w:rPr>
          <w:t>9</w:t>
        </w:r>
        <w:r w:rsidRPr="00382CBA">
          <w:rPr>
            <w:noProof/>
            <w:lang w:val="en-GB"/>
          </w:rPr>
          <w:fldChar w:fldCharType="end"/>
        </w:r>
      </w:hyperlink>
    </w:p>
    <w:p w14:paraId="7EC65C40" w14:textId="1B569E42" w:rsidR="00A10F2E" w:rsidRPr="00382CBA" w:rsidRDefault="00A10F2E" w:rsidP="00A10F2E">
      <w:pPr>
        <w:pStyle w:val="TOC1"/>
        <w:tabs>
          <w:tab w:val="right" w:leader="dot" w:pos="8296"/>
        </w:tabs>
        <w:rPr>
          <w:noProof/>
          <w:kern w:val="2"/>
          <w:szCs w:val="24"/>
          <w:lang w:val="en-GB" w:eastAsia="en-US"/>
          <w14:ligatures w14:val="standardContextual"/>
        </w:rPr>
      </w:pPr>
      <w:hyperlink w:anchor="_Toc237532012" w:history="1">
        <w:r w:rsidRPr="00382CBA">
          <w:rPr>
            <w:rStyle w:val="Hyperlink"/>
            <w:rFonts w:ascii="Arial Regular" w:hAnsi="Arial Regular" w:cs="Arial Regular"/>
            <w:noProof/>
            <w:lang w:val="en-GB"/>
          </w:rPr>
          <w:t>4. Strategic Financial restructuring Plan</w:t>
        </w:r>
        <w:r w:rsidRPr="00382CBA">
          <w:rPr>
            <w:noProof/>
            <w:lang w:val="en-GB"/>
          </w:rPr>
          <w:tab/>
        </w:r>
        <w:r w:rsidRPr="00382CBA">
          <w:rPr>
            <w:noProof/>
            <w:lang w:val="en-GB"/>
          </w:rPr>
          <w:fldChar w:fldCharType="begin"/>
        </w:r>
        <w:r w:rsidRPr="00382CBA">
          <w:rPr>
            <w:noProof/>
            <w:lang w:val="en-GB"/>
          </w:rPr>
          <w:instrText xml:space="preserve"> PAGEREF _Toc237532012 \h </w:instrText>
        </w:r>
        <w:r w:rsidRPr="00382CBA">
          <w:rPr>
            <w:noProof/>
            <w:lang w:val="en-GB"/>
          </w:rPr>
        </w:r>
        <w:r w:rsidRPr="00382CBA">
          <w:rPr>
            <w:noProof/>
            <w:lang w:val="en-GB"/>
          </w:rPr>
          <w:fldChar w:fldCharType="separate"/>
        </w:r>
        <w:r w:rsidRPr="00382CBA">
          <w:rPr>
            <w:noProof/>
            <w:lang w:val="en-GB"/>
          </w:rPr>
          <w:t>11</w:t>
        </w:r>
        <w:r w:rsidRPr="00382CBA">
          <w:rPr>
            <w:noProof/>
            <w:lang w:val="en-GB"/>
          </w:rPr>
          <w:fldChar w:fldCharType="end"/>
        </w:r>
      </w:hyperlink>
    </w:p>
    <w:p w14:paraId="1ACDEEC6" w14:textId="17962620" w:rsidR="00A10F2E" w:rsidRPr="00382CBA" w:rsidRDefault="00A10F2E" w:rsidP="00A10F2E">
      <w:pPr>
        <w:pStyle w:val="TOC1"/>
        <w:tabs>
          <w:tab w:val="right" w:leader="dot" w:pos="8296"/>
        </w:tabs>
        <w:rPr>
          <w:noProof/>
          <w:kern w:val="2"/>
          <w:szCs w:val="24"/>
          <w:lang w:val="en-GB" w:eastAsia="en-US"/>
          <w14:ligatures w14:val="standardContextual"/>
        </w:rPr>
      </w:pPr>
      <w:hyperlink w:anchor="_Toc237532013" w:history="1">
        <w:r w:rsidRPr="00382CBA">
          <w:rPr>
            <w:rStyle w:val="Hyperlink"/>
            <w:rFonts w:ascii="Arial Regular" w:hAnsi="Arial Regular" w:cs="Arial Regular"/>
            <w:noProof/>
            <w:lang w:val="en-GB"/>
          </w:rPr>
          <w:t>5. Investment Appraisal and Capital Budgeting</w:t>
        </w:r>
        <w:r w:rsidRPr="00382CBA">
          <w:rPr>
            <w:noProof/>
            <w:lang w:val="en-GB"/>
          </w:rPr>
          <w:tab/>
        </w:r>
        <w:r w:rsidRPr="00382CBA">
          <w:rPr>
            <w:noProof/>
            <w:lang w:val="en-GB"/>
          </w:rPr>
          <w:fldChar w:fldCharType="begin"/>
        </w:r>
        <w:r w:rsidRPr="00382CBA">
          <w:rPr>
            <w:noProof/>
            <w:lang w:val="en-GB"/>
          </w:rPr>
          <w:instrText xml:space="preserve"> PAGEREF _Toc237532013 \h </w:instrText>
        </w:r>
        <w:r w:rsidRPr="00382CBA">
          <w:rPr>
            <w:noProof/>
            <w:lang w:val="en-GB"/>
          </w:rPr>
        </w:r>
        <w:r w:rsidRPr="00382CBA">
          <w:rPr>
            <w:noProof/>
            <w:lang w:val="en-GB"/>
          </w:rPr>
          <w:fldChar w:fldCharType="separate"/>
        </w:r>
        <w:r w:rsidRPr="00382CBA">
          <w:rPr>
            <w:noProof/>
            <w:lang w:val="en-GB"/>
          </w:rPr>
          <w:t>13</w:t>
        </w:r>
        <w:r w:rsidRPr="00382CBA">
          <w:rPr>
            <w:noProof/>
            <w:lang w:val="en-GB"/>
          </w:rPr>
          <w:fldChar w:fldCharType="end"/>
        </w:r>
      </w:hyperlink>
    </w:p>
    <w:p w14:paraId="694DEE94" w14:textId="465F4044" w:rsidR="00A10F2E" w:rsidRPr="00382CBA" w:rsidRDefault="00A10F2E" w:rsidP="00A10F2E">
      <w:pPr>
        <w:pStyle w:val="TOC1"/>
        <w:tabs>
          <w:tab w:val="right" w:leader="dot" w:pos="8296"/>
        </w:tabs>
        <w:rPr>
          <w:noProof/>
          <w:kern w:val="2"/>
          <w:szCs w:val="24"/>
          <w:lang w:val="en-GB" w:eastAsia="en-US"/>
          <w14:ligatures w14:val="standardContextual"/>
        </w:rPr>
      </w:pPr>
      <w:hyperlink w:anchor="_Toc237532014" w:history="1">
        <w:r w:rsidRPr="00382CBA">
          <w:rPr>
            <w:rStyle w:val="Hyperlink"/>
            <w:rFonts w:ascii="Arial Regular" w:hAnsi="Arial Regular" w:cs="Arial Regular"/>
            <w:noProof/>
            <w:lang w:val="en-GB"/>
          </w:rPr>
          <w:t>6. Critical Reflection on AI Usage</w:t>
        </w:r>
        <w:r w:rsidRPr="00382CBA">
          <w:rPr>
            <w:noProof/>
            <w:lang w:val="en-GB"/>
          </w:rPr>
          <w:tab/>
        </w:r>
        <w:r w:rsidRPr="00382CBA">
          <w:rPr>
            <w:noProof/>
            <w:lang w:val="en-GB"/>
          </w:rPr>
          <w:fldChar w:fldCharType="begin"/>
        </w:r>
        <w:r w:rsidRPr="00382CBA">
          <w:rPr>
            <w:noProof/>
            <w:lang w:val="en-GB"/>
          </w:rPr>
          <w:instrText xml:space="preserve"> PAGEREF _Toc237532014 \h </w:instrText>
        </w:r>
        <w:r w:rsidRPr="00382CBA">
          <w:rPr>
            <w:noProof/>
            <w:lang w:val="en-GB"/>
          </w:rPr>
        </w:r>
        <w:r w:rsidRPr="00382CBA">
          <w:rPr>
            <w:noProof/>
            <w:lang w:val="en-GB"/>
          </w:rPr>
          <w:fldChar w:fldCharType="separate"/>
        </w:r>
        <w:r w:rsidRPr="00382CBA">
          <w:rPr>
            <w:noProof/>
            <w:lang w:val="en-GB"/>
          </w:rPr>
          <w:t>16</w:t>
        </w:r>
        <w:r w:rsidRPr="00382CBA">
          <w:rPr>
            <w:noProof/>
            <w:lang w:val="en-GB"/>
          </w:rPr>
          <w:fldChar w:fldCharType="end"/>
        </w:r>
      </w:hyperlink>
    </w:p>
    <w:p w14:paraId="6DC69CFF" w14:textId="3269F822" w:rsidR="00A10F2E" w:rsidRPr="00382CBA" w:rsidRDefault="00A10F2E" w:rsidP="00A10F2E">
      <w:pPr>
        <w:pStyle w:val="TOC1"/>
        <w:tabs>
          <w:tab w:val="right" w:leader="dot" w:pos="8296"/>
        </w:tabs>
        <w:rPr>
          <w:noProof/>
          <w:kern w:val="2"/>
          <w:szCs w:val="24"/>
          <w:lang w:val="en-GB" w:eastAsia="en-US"/>
          <w14:ligatures w14:val="standardContextual"/>
        </w:rPr>
      </w:pPr>
      <w:hyperlink w:anchor="_Toc237532015" w:history="1">
        <w:r w:rsidRPr="00382CBA">
          <w:rPr>
            <w:rStyle w:val="Hyperlink"/>
            <w:rFonts w:ascii="Arial Regular" w:hAnsi="Arial Regular" w:cs="Arial Regular"/>
            <w:noProof/>
            <w:lang w:val="en-GB"/>
          </w:rPr>
          <w:t>7. Conclusion</w:t>
        </w:r>
        <w:r w:rsidRPr="00382CBA">
          <w:rPr>
            <w:noProof/>
            <w:lang w:val="en-GB"/>
          </w:rPr>
          <w:tab/>
        </w:r>
        <w:r w:rsidRPr="00382CBA">
          <w:rPr>
            <w:noProof/>
            <w:lang w:val="en-GB"/>
          </w:rPr>
          <w:fldChar w:fldCharType="begin"/>
        </w:r>
        <w:r w:rsidRPr="00382CBA">
          <w:rPr>
            <w:noProof/>
            <w:lang w:val="en-GB"/>
          </w:rPr>
          <w:instrText xml:space="preserve"> PAGEREF _Toc237532015 \h </w:instrText>
        </w:r>
        <w:r w:rsidRPr="00382CBA">
          <w:rPr>
            <w:noProof/>
            <w:lang w:val="en-GB"/>
          </w:rPr>
        </w:r>
        <w:r w:rsidRPr="00382CBA">
          <w:rPr>
            <w:noProof/>
            <w:lang w:val="en-GB"/>
          </w:rPr>
          <w:fldChar w:fldCharType="separate"/>
        </w:r>
        <w:r w:rsidRPr="00382CBA">
          <w:rPr>
            <w:noProof/>
            <w:lang w:val="en-GB"/>
          </w:rPr>
          <w:t>17</w:t>
        </w:r>
        <w:r w:rsidRPr="00382CBA">
          <w:rPr>
            <w:noProof/>
            <w:lang w:val="en-GB"/>
          </w:rPr>
          <w:fldChar w:fldCharType="end"/>
        </w:r>
      </w:hyperlink>
    </w:p>
    <w:p w14:paraId="7781DECA" w14:textId="71E82175" w:rsidR="00A10F2E" w:rsidRPr="00382CBA" w:rsidRDefault="00A10F2E" w:rsidP="00A10F2E">
      <w:pPr>
        <w:pStyle w:val="TOC1"/>
        <w:tabs>
          <w:tab w:val="right" w:leader="dot" w:pos="8296"/>
        </w:tabs>
        <w:rPr>
          <w:noProof/>
          <w:kern w:val="2"/>
          <w:szCs w:val="24"/>
          <w:lang w:val="en-GB" w:eastAsia="en-US"/>
          <w14:ligatures w14:val="standardContextual"/>
        </w:rPr>
      </w:pPr>
      <w:hyperlink w:anchor="_Toc237532016" w:history="1">
        <w:r w:rsidRPr="00382CBA">
          <w:rPr>
            <w:rStyle w:val="Hyperlink"/>
            <w:rFonts w:ascii="Arial Regular" w:eastAsia="SimSun" w:hAnsi="Arial Regular" w:cs="Arial Regular"/>
            <w:noProof/>
            <w:lang w:val="en-GB" w:bidi="ar"/>
          </w:rPr>
          <w:t>8.</w:t>
        </w:r>
        <w:r w:rsidRPr="00382CBA">
          <w:rPr>
            <w:rStyle w:val="Hyperlink"/>
            <w:rFonts w:ascii="Arial Regular" w:hAnsi="Arial Regular" w:cs="Arial Regular"/>
            <w:noProof/>
            <w:lang w:val="en-GB"/>
          </w:rPr>
          <w:t xml:space="preserve"> References</w:t>
        </w:r>
        <w:r w:rsidRPr="00382CBA">
          <w:rPr>
            <w:noProof/>
            <w:lang w:val="en-GB"/>
          </w:rPr>
          <w:tab/>
        </w:r>
        <w:r w:rsidRPr="00382CBA">
          <w:rPr>
            <w:noProof/>
            <w:lang w:val="en-GB"/>
          </w:rPr>
          <w:fldChar w:fldCharType="begin"/>
        </w:r>
        <w:r w:rsidRPr="00382CBA">
          <w:rPr>
            <w:noProof/>
            <w:lang w:val="en-GB"/>
          </w:rPr>
          <w:instrText xml:space="preserve"> PAGEREF _Toc237532016 \h </w:instrText>
        </w:r>
        <w:r w:rsidRPr="00382CBA">
          <w:rPr>
            <w:noProof/>
            <w:lang w:val="en-GB"/>
          </w:rPr>
        </w:r>
        <w:r w:rsidRPr="00382CBA">
          <w:rPr>
            <w:noProof/>
            <w:lang w:val="en-GB"/>
          </w:rPr>
          <w:fldChar w:fldCharType="separate"/>
        </w:r>
        <w:r w:rsidRPr="00382CBA">
          <w:rPr>
            <w:noProof/>
            <w:lang w:val="en-GB"/>
          </w:rPr>
          <w:t>18</w:t>
        </w:r>
        <w:r w:rsidRPr="00382CBA">
          <w:rPr>
            <w:noProof/>
            <w:lang w:val="en-GB"/>
          </w:rPr>
          <w:fldChar w:fldCharType="end"/>
        </w:r>
      </w:hyperlink>
    </w:p>
    <w:p w14:paraId="4C4CEAD6" w14:textId="67BE7429" w:rsidR="00A10F2E" w:rsidRPr="00382CBA" w:rsidRDefault="00A10F2E" w:rsidP="00A10F2E">
      <w:pPr>
        <w:pStyle w:val="TOC1"/>
        <w:tabs>
          <w:tab w:val="right" w:leader="dot" w:pos="8296"/>
        </w:tabs>
        <w:rPr>
          <w:noProof/>
          <w:kern w:val="2"/>
          <w:szCs w:val="24"/>
          <w:lang w:val="en-GB" w:eastAsia="en-US"/>
          <w14:ligatures w14:val="standardContextual"/>
        </w:rPr>
      </w:pPr>
      <w:hyperlink w:anchor="_Toc237532017" w:history="1">
        <w:r w:rsidRPr="00382CBA">
          <w:rPr>
            <w:rStyle w:val="Hyperlink"/>
            <w:rFonts w:ascii="Arial Regular" w:eastAsia="SimSun" w:hAnsi="Arial Regular" w:cs="Arial Regular"/>
            <w:noProof/>
            <w:lang w:val="en-GB" w:bidi="ar"/>
          </w:rPr>
          <w:t>9.</w:t>
        </w:r>
        <w:r w:rsidRPr="00382CBA">
          <w:rPr>
            <w:rStyle w:val="Hyperlink"/>
            <w:rFonts w:ascii="Arial Regular" w:hAnsi="Arial Regular" w:cs="Arial Regular"/>
            <w:noProof/>
            <w:lang w:val="en-GB"/>
          </w:rPr>
          <w:t xml:space="preserve"> Appendices</w:t>
        </w:r>
        <w:r w:rsidRPr="00382CBA">
          <w:rPr>
            <w:noProof/>
            <w:lang w:val="en-GB"/>
          </w:rPr>
          <w:tab/>
        </w:r>
        <w:r w:rsidRPr="00382CBA">
          <w:rPr>
            <w:noProof/>
            <w:lang w:val="en-GB"/>
          </w:rPr>
          <w:fldChar w:fldCharType="begin"/>
        </w:r>
        <w:r w:rsidRPr="00382CBA">
          <w:rPr>
            <w:noProof/>
            <w:lang w:val="en-GB"/>
          </w:rPr>
          <w:instrText xml:space="preserve"> PAGEREF _Toc237532017 \h </w:instrText>
        </w:r>
        <w:r w:rsidRPr="00382CBA">
          <w:rPr>
            <w:noProof/>
            <w:lang w:val="en-GB"/>
          </w:rPr>
        </w:r>
        <w:r w:rsidRPr="00382CBA">
          <w:rPr>
            <w:noProof/>
            <w:lang w:val="en-GB"/>
          </w:rPr>
          <w:fldChar w:fldCharType="separate"/>
        </w:r>
        <w:r w:rsidRPr="00382CBA">
          <w:rPr>
            <w:noProof/>
            <w:lang w:val="en-GB"/>
          </w:rPr>
          <w:t>21</w:t>
        </w:r>
        <w:r w:rsidRPr="00382CBA">
          <w:rPr>
            <w:noProof/>
            <w:lang w:val="en-GB"/>
          </w:rPr>
          <w:fldChar w:fldCharType="end"/>
        </w:r>
      </w:hyperlink>
    </w:p>
    <w:p w14:paraId="22CBE289" w14:textId="3DD9EC88" w:rsidR="002D068E" w:rsidRPr="00382CBA" w:rsidRDefault="001F1C34" w:rsidP="00A10F2E">
      <w:pPr>
        <w:jc w:val="both"/>
        <w:rPr>
          <w:rFonts w:ascii="Arial Regular" w:hAnsi="Arial Regular" w:cs="Arial Regular"/>
          <w:szCs w:val="24"/>
          <w:lang w:val="en-GB"/>
        </w:rPr>
      </w:pPr>
      <w:r w:rsidRPr="00382CBA">
        <w:rPr>
          <w:rFonts w:ascii="Arial Regular" w:hAnsi="Arial Regular" w:cs="Arial Regular"/>
          <w:szCs w:val="24"/>
          <w:lang w:val="en-GB"/>
        </w:rPr>
        <w:fldChar w:fldCharType="end"/>
      </w:r>
    </w:p>
    <w:p w14:paraId="02BE600A" w14:textId="77777777" w:rsidR="00FE6690" w:rsidRPr="00382CBA" w:rsidRDefault="00FE6690">
      <w:pPr>
        <w:jc w:val="both"/>
        <w:rPr>
          <w:rFonts w:ascii="Arial"/>
          <w:b/>
          <w:spacing w:val="-2"/>
          <w:sz w:val="22"/>
          <w:lang w:val="en-GB"/>
        </w:rPr>
      </w:pPr>
    </w:p>
    <w:p w14:paraId="5C7710EF" w14:textId="77777777" w:rsidR="00FE6690" w:rsidRPr="00382CBA" w:rsidRDefault="00FE6690">
      <w:pPr>
        <w:jc w:val="both"/>
        <w:rPr>
          <w:rFonts w:ascii="Arial"/>
          <w:b/>
          <w:spacing w:val="-2"/>
          <w:sz w:val="22"/>
          <w:lang w:val="en-GB"/>
        </w:rPr>
      </w:pPr>
    </w:p>
    <w:p w14:paraId="5ED18E98" w14:textId="77777777" w:rsidR="002D068E" w:rsidRPr="00382CBA" w:rsidRDefault="001F1C34">
      <w:pPr>
        <w:jc w:val="both"/>
        <w:rPr>
          <w:rFonts w:ascii="Arial Regular" w:hAnsi="Arial Regular" w:cs="Arial Regular"/>
          <w:b/>
          <w:bCs/>
          <w:szCs w:val="24"/>
          <w:lang w:val="en-GB"/>
        </w:rPr>
      </w:pPr>
      <w:r w:rsidRPr="00382CBA">
        <w:rPr>
          <w:rFonts w:ascii="Arial Regular" w:hAnsi="Arial Regular" w:cs="Arial Regular"/>
          <w:b/>
          <w:bCs/>
          <w:szCs w:val="24"/>
          <w:lang w:val="en-GB"/>
        </w:rPr>
        <w:br w:type="page"/>
      </w:r>
    </w:p>
    <w:p w14:paraId="28585209" w14:textId="77777777" w:rsidR="002D068E" w:rsidRPr="00382CBA" w:rsidRDefault="001F1C34">
      <w:pPr>
        <w:pStyle w:val="Heading1"/>
        <w:numPr>
          <w:ilvl w:val="0"/>
          <w:numId w:val="1"/>
        </w:numPr>
        <w:spacing w:before="0" w:after="0" w:line="360" w:lineRule="auto"/>
        <w:jc w:val="both"/>
        <w:rPr>
          <w:rFonts w:ascii="Arial Regular" w:hAnsi="Arial Regular" w:cs="Arial Regular"/>
          <w:sz w:val="24"/>
          <w:szCs w:val="24"/>
          <w:lang w:val="en-GB"/>
        </w:rPr>
      </w:pPr>
      <w:bookmarkStart w:id="0" w:name="_Toc237532009"/>
      <w:r w:rsidRPr="00382CBA">
        <w:rPr>
          <w:rFonts w:ascii="Arial Regular" w:hAnsi="Arial Regular" w:cs="Arial Regular"/>
          <w:sz w:val="24"/>
          <w:szCs w:val="24"/>
          <w:lang w:val="en-GB"/>
        </w:rPr>
        <w:lastRenderedPageBreak/>
        <w:t>Introduction</w:t>
      </w:r>
      <w:bookmarkEnd w:id="0"/>
    </w:p>
    <w:p w14:paraId="5F4FDD90"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The presented report aims to analyse the financial performance to identify core problems and propose a suitable financial strategy for the company. For the same purpose, the reporter has selected Wyndham Hotels &amp; Resorts Inc., a US-based hotel operating worldwide. It is listed on the New York Stock Exchange and has more than 8,400 hotels in more than 100 countries (Wyndham, 2026). The report will check financial health through ratio analysis. Similarly, the report will also carry out working capital management analysis and propose a strategic financial restructuring plan. Besides this, proposed investments in several projects will also be evaluated using different investment appraisal techniques.</w:t>
      </w:r>
    </w:p>
    <w:p w14:paraId="15F3C34B" w14:textId="77777777" w:rsidR="002D068E" w:rsidRPr="00382CBA" w:rsidRDefault="001F1C34">
      <w:pPr>
        <w:pStyle w:val="Heading1"/>
        <w:numPr>
          <w:ilvl w:val="0"/>
          <w:numId w:val="1"/>
        </w:numPr>
        <w:spacing w:before="0" w:after="0" w:line="360" w:lineRule="auto"/>
        <w:jc w:val="both"/>
        <w:rPr>
          <w:rFonts w:ascii="Arial Regular" w:hAnsi="Arial Regular" w:cs="Arial Regular"/>
          <w:sz w:val="24"/>
          <w:szCs w:val="24"/>
          <w:lang w:val="en-GB"/>
        </w:rPr>
      </w:pPr>
      <w:bookmarkStart w:id="1" w:name="_Toc237532010"/>
      <w:r w:rsidRPr="00382CBA">
        <w:rPr>
          <w:rFonts w:ascii="Arial Regular" w:hAnsi="Arial Regular" w:cs="Arial Regular"/>
          <w:sz w:val="24"/>
          <w:szCs w:val="24"/>
          <w:lang w:val="en-GB"/>
        </w:rPr>
        <w:t>Financial Health Check</w:t>
      </w:r>
      <w:bookmarkEnd w:id="1"/>
      <w:r w:rsidRPr="00382CBA">
        <w:rPr>
          <w:rFonts w:ascii="Arial Regular" w:hAnsi="Arial Regular" w:cs="Arial Regular"/>
          <w:sz w:val="24"/>
          <w:szCs w:val="24"/>
          <w:lang w:val="en-GB"/>
        </w:rPr>
        <w:t xml:space="preserve"> </w:t>
      </w:r>
    </w:p>
    <w:p w14:paraId="4397CFE4"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b/>
          <w:bCs/>
          <w:i/>
          <w:iCs/>
          <w:szCs w:val="24"/>
          <w:lang w:val="en-GB" w:bidi="ar"/>
        </w:rPr>
        <w:t>Analysis of financial statements</w:t>
      </w:r>
    </w:p>
    <w:p w14:paraId="320F27C9" w14:textId="77777777" w:rsidR="002D068E" w:rsidRPr="00382CBA" w:rsidRDefault="00A64D72">
      <w:pPr>
        <w:jc w:val="both"/>
        <w:rPr>
          <w:rFonts w:ascii="Arial Regular" w:hAnsi="Arial Regular" w:cs="Arial Regular"/>
          <w:szCs w:val="24"/>
          <w:lang w:val="en-GB"/>
        </w:rPr>
      </w:pPr>
      <w:r w:rsidRPr="00382CBA">
        <w:rPr>
          <w:rFonts w:ascii="Arial Regular" w:eastAsia="SimSun" w:hAnsi="Arial Regular" w:cs="Arial Regular"/>
          <w:szCs w:val="24"/>
          <w:lang w:val="en-GB" w:bidi="ar"/>
        </w:rPr>
        <w:t>Based on the financial statement evaluation, Wyndham Hotels &amp; Resorts Inc experienced declines in revenue and profits for the past 5 years.</w:t>
      </w:r>
      <w:r w:rsidR="001F1C34" w:rsidRPr="00382CBA">
        <w:rPr>
          <w:rFonts w:ascii="Arial Regular" w:eastAsia="SimSun" w:hAnsi="Arial Regular" w:cs="Arial Regular"/>
          <w:szCs w:val="24"/>
          <w:lang w:val="en-GB" w:bidi="ar"/>
        </w:rPr>
        <w:t xml:space="preserve"> Although the company’s revenues rose from $446 million to $558 million in 2022, they again began to fall and decreased to $402 million in 2025. The profits also dropped from $355 million to $193 million in 2025. </w:t>
      </w:r>
      <w:r w:rsidRPr="00382CBA">
        <w:rPr>
          <w:rFonts w:ascii="Arial Regular" w:eastAsia="SimSun" w:hAnsi="Arial Regular" w:cs="Arial Regular"/>
          <w:szCs w:val="24"/>
          <w:lang w:val="en-GB" w:bidi="ar"/>
        </w:rPr>
        <w:t>This indicates that over the past 5 years the company's profitability position has been seriously impacted.</w:t>
      </w:r>
      <w:r w:rsidR="001F1C34" w:rsidRPr="00382CBA">
        <w:rPr>
          <w:rFonts w:ascii="Arial Regular" w:eastAsia="SimSun" w:hAnsi="Arial Regular" w:cs="Arial Regular"/>
          <w:szCs w:val="24"/>
          <w:lang w:val="en-GB" w:bidi="ar"/>
        </w:rPr>
        <w:t xml:space="preserve"> A rise in current liabilities as well as long-term debt is also a sign of the company’s weakness, which can be considered a threat for the company due to the inability to meet obligations satisfactorily. A fall in equity and a rise in debts also reflect a sign of high financial risk of the company.</w:t>
      </w:r>
    </w:p>
    <w:p w14:paraId="0A760837"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b/>
          <w:bCs/>
          <w:i/>
          <w:iCs/>
          <w:szCs w:val="24"/>
          <w:lang w:val="en-GB" w:bidi="ar"/>
        </w:rPr>
        <w:t>Ratio analysis along with strengths, weaknesses, and threats</w:t>
      </w:r>
    </w:p>
    <w:p w14:paraId="6D25D050" w14:textId="77777777" w:rsidR="002D068E" w:rsidRPr="00382CBA" w:rsidRDefault="001F1C34">
      <w:pPr>
        <w:jc w:val="both"/>
        <w:rPr>
          <w:rFonts w:ascii="Arial Regular" w:eastAsia="SimSun" w:hAnsi="Arial Regular" w:cs="Arial Regular"/>
          <w:szCs w:val="24"/>
          <w:lang w:val="en-GB" w:bidi="ar"/>
        </w:rPr>
      </w:pPr>
      <w:r w:rsidRPr="00382CBA">
        <w:rPr>
          <w:rFonts w:ascii="Arial Regular" w:eastAsia="SimSun" w:hAnsi="Arial Regular" w:cs="Arial Regular"/>
          <w:szCs w:val="24"/>
          <w:lang w:val="en-GB" w:bidi="ar"/>
        </w:rPr>
        <w:t>(see appendix 1 for detailed calculations)</w:t>
      </w:r>
    </w:p>
    <w:p w14:paraId="5EB57EF4"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 xml:space="preserve">Ratio refers to a financial metric that enables business entities to gain detailed and valuable insights about business performance. It assists in determining the profitability, solvency, gearing, and liquidity position of business entities. Profitability ratios like net profit margin, operating profit margin, and others are used for evaluating the profitability position; whereas, liquidity position helps in determining the ability to meet current business obligations. In addition to this, efficiency ratios are used for evaluating how efficiently resources are being used by the business. Gearing ratios evaluates relationship between debt and equity to determine financial leverage or risk of businesses (Schmidt, 2020; ACCA, 2026). </w:t>
      </w:r>
      <w:r w:rsidR="00A64D72" w:rsidRPr="00382CBA">
        <w:rPr>
          <w:rFonts w:ascii="Arial Regular" w:eastAsia="SimSun" w:hAnsi="Arial Regular" w:cs="Arial Regular"/>
          <w:szCs w:val="24"/>
          <w:lang w:val="en-GB" w:bidi="ar"/>
        </w:rPr>
        <w:t xml:space="preserve">The following section in this context </w:t>
      </w:r>
      <w:r w:rsidRPr="00382CBA">
        <w:rPr>
          <w:rFonts w:ascii="Arial Regular" w:eastAsia="SimSun" w:hAnsi="Arial Regular" w:cs="Arial Regular"/>
          <w:szCs w:val="24"/>
          <w:lang w:val="en-GB" w:bidi="ar"/>
        </w:rPr>
        <w:t xml:space="preserve">will conduct ratio analysis of Wyndham Hotels &amp; Resorts Inc for </w:t>
      </w:r>
      <w:r w:rsidRPr="00382CBA">
        <w:rPr>
          <w:rFonts w:ascii="Arial Regular" w:eastAsia="SimSun" w:hAnsi="Arial Regular" w:cs="Arial Regular"/>
          <w:szCs w:val="24"/>
          <w:lang w:val="en-GB" w:bidi="ar"/>
        </w:rPr>
        <w:lastRenderedPageBreak/>
        <w:t>identifying financial performance, detecting core problems and proposing a financial strategy.</w:t>
      </w:r>
    </w:p>
    <w:p w14:paraId="73D43413"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i/>
          <w:iCs/>
          <w:szCs w:val="24"/>
          <w:lang w:val="en-GB" w:bidi="ar"/>
        </w:rPr>
        <w:t>Profitability</w:t>
      </w:r>
    </w:p>
    <w:p w14:paraId="2EDEAA26" w14:textId="77777777" w:rsidR="002D068E" w:rsidRPr="00382CBA" w:rsidRDefault="001F1C34">
      <w:pPr>
        <w:jc w:val="center"/>
        <w:rPr>
          <w:rFonts w:ascii="Arial Regular" w:eastAsia="SimSun" w:hAnsi="Arial Regular" w:cs="Arial Regular"/>
          <w:szCs w:val="24"/>
          <w:lang w:val="en-GB" w:bidi="ar"/>
        </w:rPr>
      </w:pPr>
      <w:r w:rsidRPr="00382CBA">
        <w:rPr>
          <w:rFonts w:ascii="Arial Regular" w:hAnsi="Arial Regular" w:cs="Arial Regular"/>
          <w:noProof/>
          <w:szCs w:val="24"/>
          <w:lang w:val="en-GB" w:eastAsia="en-IN"/>
        </w:rPr>
        <w:drawing>
          <wp:inline distT="0" distB="0" distL="114300" distR="114300" wp14:anchorId="2F7134FD" wp14:editId="250A9B17">
            <wp:extent cx="4800600" cy="2885440"/>
            <wp:effectExtent l="6350" t="6350" r="19050" b="2921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F32475A" w14:textId="77777777" w:rsidR="002D068E" w:rsidRPr="00382CBA" w:rsidRDefault="001F1C34">
      <w:pPr>
        <w:jc w:val="center"/>
        <w:rPr>
          <w:rFonts w:ascii="Arial Regular" w:hAnsi="Arial Regular" w:cs="Arial Regular"/>
          <w:szCs w:val="24"/>
          <w:lang w:val="en-GB"/>
        </w:rPr>
      </w:pPr>
      <w:r w:rsidRPr="00382CBA">
        <w:rPr>
          <w:rFonts w:ascii="Arial Regular" w:eastAsia="SimSun" w:hAnsi="Arial Regular" w:cs="Arial Regular"/>
          <w:szCs w:val="24"/>
          <w:lang w:val="en-GB" w:bidi="ar"/>
        </w:rPr>
        <w:t>Figure 1: Profitability ratios of Wyndham Hotels &amp; Resorts Inc from 2021 to 2025</w:t>
      </w:r>
    </w:p>
    <w:p w14:paraId="36E80F7A" w14:textId="77777777" w:rsidR="002D068E" w:rsidRPr="00382CBA" w:rsidRDefault="00CB5B87">
      <w:pPr>
        <w:jc w:val="both"/>
        <w:rPr>
          <w:rFonts w:ascii="Arial Regular" w:hAnsi="Arial Regular" w:cs="Arial Regular"/>
          <w:szCs w:val="24"/>
          <w:lang w:val="en-GB"/>
        </w:rPr>
      </w:pPr>
      <w:r w:rsidRPr="00382CBA">
        <w:rPr>
          <w:rFonts w:ascii="Arial Regular" w:eastAsia="SimSun" w:hAnsi="Arial Regular" w:cs="Arial Regular"/>
          <w:szCs w:val="24"/>
          <w:lang w:val="en-GB" w:bidi="ar"/>
        </w:rPr>
        <w:t>Growing operating profit margin of the company during 2022 from 28.50% to 37.25%, it began to decline from 2023 onwards.</w:t>
      </w:r>
      <w:r w:rsidR="001F1C34" w:rsidRPr="00382CBA">
        <w:rPr>
          <w:rFonts w:ascii="Arial Regular" w:eastAsia="SimSun" w:hAnsi="Arial Regular" w:cs="Arial Regular"/>
          <w:szCs w:val="24"/>
          <w:lang w:val="en-GB" w:bidi="ar"/>
        </w:rPr>
        <w:t xml:space="preserve"> The company’s operating profit margin dropped to 35.16% and 28.13% during 2024 and 2025. Although the company has reported positive operating profit margin; however, declining revenues is key weakness of the company. </w:t>
      </w:r>
      <w:r w:rsidRPr="00382CBA">
        <w:rPr>
          <w:rFonts w:ascii="Arial Regular" w:eastAsia="SimSun" w:hAnsi="Arial Regular" w:cs="Arial Regular"/>
          <w:szCs w:val="24"/>
          <w:lang w:val="en-GB" w:bidi="ar"/>
        </w:rPr>
        <w:t>Besides this, the net profit margin of the company is in the positive growth graph in the year 2022, but it is declining since 2023.</w:t>
      </w:r>
      <w:r w:rsidR="001F1C34" w:rsidRPr="00382CBA">
        <w:rPr>
          <w:rFonts w:ascii="Arial Regular" w:eastAsia="SimSun" w:hAnsi="Arial Regular" w:cs="Arial Regular"/>
          <w:szCs w:val="24"/>
          <w:lang w:val="en-GB" w:bidi="ar"/>
        </w:rPr>
        <w:t xml:space="preserve"> The company’s net profit margin during 2023 was 20.69%, which dropped to 13.51% in the year 2025 (Wyndham Hotels &amp; Resorts Inc, 2025). A rise in operational expenses causes a fall in net profits, which is also one of the key problems or weaknesses of the company. Overall, it can be deduced that fall in revenues as well as rising operating expenses are the main weakness of the company, which has affected the profitability position of the company.</w:t>
      </w:r>
    </w:p>
    <w:p w14:paraId="7FA6959B"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i/>
          <w:iCs/>
          <w:szCs w:val="24"/>
          <w:lang w:val="en-GB" w:bidi="ar"/>
        </w:rPr>
        <w:t>Liquidity</w:t>
      </w:r>
    </w:p>
    <w:p w14:paraId="34C656CB" w14:textId="77777777" w:rsidR="002D068E" w:rsidRPr="00382CBA" w:rsidRDefault="001F1C34">
      <w:pPr>
        <w:jc w:val="center"/>
        <w:rPr>
          <w:rFonts w:ascii="Arial Regular" w:eastAsia="SimSun" w:hAnsi="Arial Regular" w:cs="Arial Regular"/>
          <w:szCs w:val="24"/>
          <w:lang w:val="en-GB" w:bidi="ar"/>
        </w:rPr>
      </w:pPr>
      <w:r w:rsidRPr="00382CBA">
        <w:rPr>
          <w:rFonts w:ascii="Arial Regular" w:hAnsi="Arial Regular" w:cs="Arial Regular"/>
          <w:noProof/>
          <w:szCs w:val="24"/>
          <w:lang w:val="en-GB" w:eastAsia="en-IN"/>
        </w:rPr>
        <w:lastRenderedPageBreak/>
        <w:drawing>
          <wp:inline distT="0" distB="0" distL="114300" distR="114300" wp14:anchorId="22EC7848" wp14:editId="64CF1B1A">
            <wp:extent cx="4800600" cy="2885440"/>
            <wp:effectExtent l="6350" t="6350" r="19050" b="29210"/>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7FC6A69" w14:textId="77777777" w:rsidR="002D068E" w:rsidRPr="00382CBA" w:rsidRDefault="001F1C34">
      <w:pPr>
        <w:jc w:val="center"/>
        <w:rPr>
          <w:rFonts w:ascii="Arial Regular" w:hAnsi="Arial Regular" w:cs="Arial Regular"/>
          <w:szCs w:val="24"/>
          <w:lang w:val="en-GB"/>
        </w:rPr>
      </w:pPr>
      <w:r w:rsidRPr="00382CBA">
        <w:rPr>
          <w:rFonts w:ascii="Arial Regular" w:eastAsia="SimSun" w:hAnsi="Arial Regular" w:cs="Arial Regular"/>
          <w:szCs w:val="24"/>
          <w:lang w:val="en-GB" w:bidi="ar"/>
        </w:rPr>
        <w:t>Figure 2: Liquidity ratios of Wyndham Hotels &amp; Resorts Inc from 2021 to 2025</w:t>
      </w:r>
    </w:p>
    <w:p w14:paraId="698B0E9E" w14:textId="77777777" w:rsidR="002D068E" w:rsidRPr="00382CBA" w:rsidRDefault="00CB5B87" w:rsidP="00CB5B87">
      <w:pPr>
        <w:jc w:val="both"/>
        <w:rPr>
          <w:rFonts w:ascii="Arial Regular" w:eastAsia="SimSun" w:hAnsi="Arial Regular" w:cs="Arial Regular"/>
          <w:szCs w:val="24"/>
          <w:lang w:val="en-GB" w:bidi="ar"/>
        </w:rPr>
      </w:pPr>
      <w:r w:rsidRPr="00382CBA">
        <w:rPr>
          <w:rFonts w:ascii="Arial Regular" w:eastAsia="SimSun" w:hAnsi="Arial Regular" w:cs="Arial Regular"/>
          <w:szCs w:val="24"/>
          <w:lang w:val="en-GB" w:bidi="ar"/>
        </w:rPr>
        <w:t>These quick and current ratios were decreasing in the past 5 years</w:t>
      </w:r>
      <w:r w:rsidR="001F1C34" w:rsidRPr="00382CBA">
        <w:rPr>
          <w:rFonts w:ascii="Arial Regular" w:eastAsia="SimSun" w:hAnsi="Arial Regular" w:cs="Arial Regular"/>
          <w:szCs w:val="24"/>
          <w:lang w:val="en-GB" w:bidi="ar"/>
        </w:rPr>
        <w:t xml:space="preserve">. The company reported a current ratio of 1.81 in the year 2021, which started falling from 2022 and dropped to 0.86 in the year 2025. Similarly, the quick ratio of the company during 2021 was 1.81, which also declined to 0.86 in the year 2025. Both current and quick ratios are same as there is no inventory since company is engaged in service industry. </w:t>
      </w:r>
      <w:r w:rsidRPr="00382CBA">
        <w:rPr>
          <w:rFonts w:ascii="Arial Regular" w:eastAsia="SimSun" w:hAnsi="Arial Regular" w:cs="Arial Regular"/>
          <w:szCs w:val="24"/>
          <w:lang w:val="en-GB" w:bidi="ar"/>
        </w:rPr>
        <w:t>A decrease in a company's current ratio may indicate that the company is becoming weak and the primary causes of its decline in the current ratio are an increase in current liabilities, or a decrease of current assets. The current ratio is 0.86 that means the company has $0.86 of current assets to $1 of current liabilities. In other words, the company has few assets to satisfy any short term liabilities. In general, it seems that the liquidity situation of the company has been negatively influenced during the past 5 years, and this one is considered to be one of the weaknesses or threats.</w:t>
      </w:r>
      <w:r w:rsidR="001F1C34" w:rsidRPr="00382CBA">
        <w:rPr>
          <w:rFonts w:ascii="Arial Regular" w:eastAsia="SimSun" w:hAnsi="Arial Regular" w:cs="Arial Regular"/>
          <w:szCs w:val="24"/>
          <w:lang w:val="en-GB" w:bidi="ar"/>
        </w:rPr>
        <w:t xml:space="preserve"> Further, the competitor firm, namely Marriott International, also reported declining current ratios in the last 5 years. Marriott reported a current ratio of 0.43 during 2025, which is lower than Wyndham Hotels &amp; Resorts Inc’s current ratio (Macro Trend, 2025). This shows that the liquidity position of the company is better than industry standards and is more capable to meet current obligations than Marriott International.</w:t>
      </w:r>
    </w:p>
    <w:p w14:paraId="16BCA063"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i/>
          <w:iCs/>
          <w:szCs w:val="24"/>
          <w:lang w:val="en-GB" w:bidi="ar"/>
        </w:rPr>
        <w:t>Efficiency</w:t>
      </w:r>
    </w:p>
    <w:p w14:paraId="5D61B966" w14:textId="77777777" w:rsidR="002D068E" w:rsidRPr="00382CBA" w:rsidRDefault="001F1C34">
      <w:pPr>
        <w:jc w:val="center"/>
        <w:rPr>
          <w:rFonts w:ascii="Arial Regular" w:eastAsia="SimSun" w:hAnsi="Arial Regular" w:cs="Arial Regular"/>
          <w:szCs w:val="24"/>
          <w:lang w:val="en-GB" w:bidi="ar"/>
        </w:rPr>
      </w:pPr>
      <w:r w:rsidRPr="00382CBA">
        <w:rPr>
          <w:rFonts w:ascii="Arial Regular" w:hAnsi="Arial Regular" w:cs="Arial Regular"/>
          <w:noProof/>
          <w:szCs w:val="24"/>
          <w:lang w:val="en-GB" w:eastAsia="en-IN"/>
        </w:rPr>
        <w:lastRenderedPageBreak/>
        <w:drawing>
          <wp:inline distT="0" distB="0" distL="114300" distR="114300" wp14:anchorId="784F9014" wp14:editId="1F575517">
            <wp:extent cx="4800600" cy="2885440"/>
            <wp:effectExtent l="6350" t="6350" r="19050" b="29210"/>
            <wp:docPr id="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9126A2E" w14:textId="77777777" w:rsidR="002D068E" w:rsidRPr="00382CBA" w:rsidRDefault="001F1C34">
      <w:pPr>
        <w:jc w:val="center"/>
        <w:rPr>
          <w:rFonts w:ascii="Arial Regular" w:hAnsi="Arial Regular" w:cs="Arial Regular"/>
          <w:szCs w:val="24"/>
          <w:lang w:val="en-GB"/>
        </w:rPr>
      </w:pPr>
      <w:r w:rsidRPr="00382CBA">
        <w:rPr>
          <w:rFonts w:ascii="Arial Regular" w:eastAsia="SimSun" w:hAnsi="Arial Regular" w:cs="Arial Regular"/>
          <w:szCs w:val="24"/>
          <w:lang w:val="en-GB" w:bidi="ar"/>
        </w:rPr>
        <w:t>Figure 3: Efficiency ratios of Wyndham Hotels &amp; Resorts Inc from 2021 to 2025</w:t>
      </w:r>
    </w:p>
    <w:p w14:paraId="22801E4F"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 xml:space="preserve">The efficiency ratio, namely the asset turnover ratio, of the company also declined in the last 5 years. The company reported an asset turnover ratio of 0.37 in the year 2021, which reduced to 0.34 in the year 2025 (Wyndham Hotels &amp; Resorts Inc, 2025). </w:t>
      </w:r>
      <w:r w:rsidR="00CB5B87" w:rsidRPr="00382CBA">
        <w:rPr>
          <w:rFonts w:ascii="Arial Regular" w:eastAsia="SimSun" w:hAnsi="Arial Regular" w:cs="Arial Regular"/>
          <w:szCs w:val="24"/>
          <w:lang w:val="en-GB" w:bidi="ar"/>
        </w:rPr>
        <w:t>A decrease in asset turnover is not good and is risky for the company.</w:t>
      </w:r>
      <w:r w:rsidRPr="00382CBA">
        <w:rPr>
          <w:rFonts w:ascii="Arial Regular" w:eastAsia="SimSun" w:hAnsi="Arial Regular" w:cs="Arial Regular"/>
          <w:szCs w:val="24"/>
          <w:lang w:val="en-GB" w:bidi="ar"/>
        </w:rPr>
        <w:t xml:space="preserve"> The company is not utilising assets in an effective manner to boost business revenues. The assets value remained almost stable, but revenues dropped sharply in the last 5 years, which caused a fall in the asset turnover ratio. Underutilisation of assets reflects the company’s weakness in generating strong sales. </w:t>
      </w:r>
      <w:r w:rsidR="00765E17" w:rsidRPr="00382CBA">
        <w:rPr>
          <w:rFonts w:ascii="Arial Regular" w:eastAsia="SimSun" w:hAnsi="Arial Regular" w:cs="Arial Regular"/>
          <w:szCs w:val="24"/>
          <w:lang w:val="en-GB" w:bidi="ar"/>
        </w:rPr>
        <w:t>From this, one can conclude that the enterprise is not using assets well in the operations that generate business revenues.</w:t>
      </w:r>
    </w:p>
    <w:p w14:paraId="28178E00"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i/>
          <w:iCs/>
          <w:szCs w:val="24"/>
          <w:lang w:val="en-GB" w:bidi="ar"/>
        </w:rPr>
        <w:t>Gearing</w:t>
      </w:r>
    </w:p>
    <w:p w14:paraId="2AAF4C8D" w14:textId="77777777" w:rsidR="002D068E" w:rsidRPr="00382CBA" w:rsidRDefault="001F1C34">
      <w:pPr>
        <w:jc w:val="center"/>
        <w:rPr>
          <w:rFonts w:ascii="Arial Regular" w:eastAsia="SimSun" w:hAnsi="Arial Regular" w:cs="Arial Regular"/>
          <w:szCs w:val="24"/>
          <w:lang w:val="en-GB" w:bidi="ar"/>
        </w:rPr>
      </w:pPr>
      <w:r w:rsidRPr="00382CBA">
        <w:rPr>
          <w:rFonts w:ascii="Arial Regular" w:hAnsi="Arial Regular" w:cs="Arial Regular"/>
          <w:noProof/>
          <w:szCs w:val="24"/>
          <w:lang w:val="en-GB" w:eastAsia="en-IN"/>
        </w:rPr>
        <w:drawing>
          <wp:inline distT="0" distB="0" distL="114300" distR="114300" wp14:anchorId="746816B7" wp14:editId="583C4FA2">
            <wp:extent cx="4800600" cy="2885440"/>
            <wp:effectExtent l="6350" t="6350" r="19050" b="29210"/>
            <wp:docPr id="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21879B1" w14:textId="77777777" w:rsidR="002D068E" w:rsidRPr="00382CBA" w:rsidRDefault="001F1C34">
      <w:pPr>
        <w:jc w:val="center"/>
        <w:rPr>
          <w:rFonts w:ascii="Arial Regular" w:hAnsi="Arial Regular" w:cs="Arial Regular"/>
          <w:szCs w:val="24"/>
          <w:lang w:val="en-GB"/>
        </w:rPr>
      </w:pPr>
      <w:r w:rsidRPr="00382CBA">
        <w:rPr>
          <w:rFonts w:ascii="Arial Regular" w:eastAsia="SimSun" w:hAnsi="Arial Regular" w:cs="Arial Regular"/>
          <w:szCs w:val="24"/>
          <w:lang w:val="en-GB" w:bidi="ar"/>
        </w:rPr>
        <w:lastRenderedPageBreak/>
        <w:t>Figure 4: Gearing ratios of Wyndham Hotels &amp; Resorts Inc from 2021 to 2025</w:t>
      </w:r>
    </w:p>
    <w:p w14:paraId="2001452F"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The debt-equity ratio shows an upward trend in last 5 years. During 2021, Wyndham Hotels &amp; Resorts Inc reported debt-equity ratio of 2.92, which significantly increased to 7.94 in the year 2025. A sharp rise in debt as well as a fall in equity cause rise in debt-equity ratio. This implies that the company mainly focus on debt rather than equity for business purposes. Such high dependency on debts also reflects high financial leverage and risk for the company. It is the biggest threat as the company might face severe issues to meet financial obligations during uncertain economic times. On the other hand, the interest coverage ratio of the company also shown negative trend as the same declined from 4.60 to 2.89. A fall in profits as well as a rise in interest charges are the main causes behind the fall in the interest coverage ratio. This also suggests a key threat for the company as it might face issues in meeting interest obligations effectively. Overall, the financial health of Wyndham Hotels &amp; Resorts Inc is not good, and the company is facing high financial risk due to heavy debts.</w:t>
      </w:r>
    </w:p>
    <w:p w14:paraId="6BC7D34B"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i/>
          <w:iCs/>
          <w:szCs w:val="24"/>
          <w:lang w:val="en-GB" w:bidi="ar"/>
        </w:rPr>
        <w:t xml:space="preserve">Investment </w:t>
      </w:r>
    </w:p>
    <w:p w14:paraId="6C01DF6D" w14:textId="77777777" w:rsidR="002D068E" w:rsidRPr="00382CBA" w:rsidRDefault="001F1C34">
      <w:pPr>
        <w:jc w:val="center"/>
        <w:rPr>
          <w:rFonts w:ascii="Arial Regular" w:eastAsia="SimSun" w:hAnsi="Arial Regular" w:cs="Arial Regular"/>
          <w:szCs w:val="24"/>
          <w:lang w:val="en-GB" w:bidi="ar"/>
        </w:rPr>
      </w:pPr>
      <w:r w:rsidRPr="00382CBA">
        <w:rPr>
          <w:rFonts w:ascii="Arial Regular" w:hAnsi="Arial Regular" w:cs="Arial Regular"/>
          <w:noProof/>
          <w:szCs w:val="24"/>
          <w:lang w:val="en-GB" w:eastAsia="en-IN"/>
        </w:rPr>
        <w:drawing>
          <wp:inline distT="0" distB="0" distL="114300" distR="114300" wp14:anchorId="1CC7DC16" wp14:editId="3A52F07D">
            <wp:extent cx="4800600" cy="2885440"/>
            <wp:effectExtent l="6350" t="6350" r="19050" b="29210"/>
            <wp:docPr id="6"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EE54A1E" w14:textId="77777777" w:rsidR="002D068E" w:rsidRPr="00382CBA" w:rsidRDefault="001F1C34">
      <w:pPr>
        <w:jc w:val="center"/>
        <w:rPr>
          <w:rFonts w:ascii="Arial Regular" w:hAnsi="Arial Regular" w:cs="Arial Regular"/>
          <w:szCs w:val="24"/>
          <w:lang w:val="en-GB"/>
        </w:rPr>
      </w:pPr>
      <w:r w:rsidRPr="00382CBA">
        <w:rPr>
          <w:rFonts w:ascii="Arial Regular" w:eastAsia="SimSun" w:hAnsi="Arial Regular" w:cs="Arial Regular"/>
          <w:szCs w:val="24"/>
          <w:lang w:val="en-GB" w:bidi="ar"/>
        </w:rPr>
        <w:t>Figure 5: Investment ratios of Wyndham Hotels &amp; Resorts Inc from 2021 to 2025</w:t>
      </w:r>
    </w:p>
    <w:p w14:paraId="5D591B91"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A fall in EPS is another issue, which reflects the company’s ability in generating sufficient profits for the shareholders. A fall in profits cause fall in EPS in the last 5 years. However, one of the key strengths of the company is a rise in return on equity, as the proportion of profit has significantly improved company-to-equity growth, which is favourable for gaining investors' attention.  </w:t>
      </w:r>
    </w:p>
    <w:p w14:paraId="3E836C22"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i/>
          <w:iCs/>
          <w:szCs w:val="24"/>
          <w:lang w:val="en-GB" w:bidi="ar"/>
        </w:rPr>
        <w:lastRenderedPageBreak/>
        <w:t>Cash Flow</w:t>
      </w:r>
    </w:p>
    <w:p w14:paraId="52D821C0" w14:textId="77777777" w:rsidR="002D068E" w:rsidRPr="00382CBA" w:rsidRDefault="001F1C34">
      <w:pPr>
        <w:jc w:val="center"/>
        <w:rPr>
          <w:rFonts w:ascii="Arial Regular" w:eastAsia="SimSun" w:hAnsi="Arial Regular" w:cs="Arial Regular"/>
          <w:szCs w:val="24"/>
          <w:lang w:val="en-GB" w:bidi="ar"/>
        </w:rPr>
      </w:pPr>
      <w:r w:rsidRPr="00382CBA">
        <w:rPr>
          <w:rFonts w:ascii="Arial Regular" w:hAnsi="Arial Regular" w:cs="Arial Regular"/>
          <w:noProof/>
          <w:szCs w:val="24"/>
          <w:lang w:val="en-GB" w:eastAsia="en-IN"/>
        </w:rPr>
        <w:drawing>
          <wp:inline distT="0" distB="0" distL="114300" distR="114300" wp14:anchorId="1AE0C39A" wp14:editId="3BBCBCC5">
            <wp:extent cx="4800600" cy="2885440"/>
            <wp:effectExtent l="6350" t="6350" r="19050" b="29210"/>
            <wp:docPr id="7"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893B4F1" w14:textId="77777777" w:rsidR="002D068E" w:rsidRPr="00382CBA" w:rsidRDefault="001F1C34">
      <w:pPr>
        <w:jc w:val="center"/>
        <w:rPr>
          <w:rFonts w:ascii="Arial Regular" w:hAnsi="Arial Regular" w:cs="Arial Regular"/>
          <w:szCs w:val="24"/>
          <w:lang w:val="en-GB"/>
        </w:rPr>
      </w:pPr>
      <w:r w:rsidRPr="00382CBA">
        <w:rPr>
          <w:rFonts w:ascii="Arial Regular" w:eastAsia="SimSun" w:hAnsi="Arial Regular" w:cs="Arial Regular"/>
          <w:szCs w:val="24"/>
          <w:lang w:val="en-GB" w:bidi="ar"/>
        </w:rPr>
        <w:t>Figure 6: Cash flow ratios of Wyndham Hotels &amp; Resorts Inc from 2021 to 2025</w:t>
      </w:r>
    </w:p>
    <w:p w14:paraId="6591547F" w14:textId="77777777" w:rsidR="002D068E" w:rsidRPr="00382CBA" w:rsidRDefault="00765E17" w:rsidP="00765E17">
      <w:pPr>
        <w:jc w:val="both"/>
        <w:rPr>
          <w:rFonts w:ascii="Arial Regular" w:eastAsia="SimSun" w:hAnsi="Arial Regular" w:cs="Arial Regular"/>
          <w:szCs w:val="24"/>
          <w:lang w:val="en-GB" w:bidi="ar"/>
        </w:rPr>
      </w:pPr>
      <w:r w:rsidRPr="00382CBA">
        <w:rPr>
          <w:rFonts w:ascii="Arial Regular" w:eastAsia="SimSun" w:hAnsi="Arial Regular" w:cs="Arial Regular"/>
          <w:szCs w:val="24"/>
          <w:lang w:val="en-GB" w:bidi="ar"/>
        </w:rPr>
        <w:t>The cash ratio of the company has decreased over the past 5 years, as has operating cash flow. The ratio of operating cash flow to cash has fallen from 1.07 to 0.72 while cash ratio has fallen from 0.43 to 0.13 over the past 5 years.</w:t>
      </w:r>
      <w:r w:rsidR="001F1C34" w:rsidRPr="00382CBA">
        <w:rPr>
          <w:rFonts w:ascii="Arial Regular" w:eastAsia="SimSun" w:hAnsi="Arial Regular" w:cs="Arial Regular"/>
          <w:szCs w:val="24"/>
          <w:lang w:val="en-GB" w:bidi="ar"/>
        </w:rPr>
        <w:t xml:space="preserve"> A fall in cash and a rise in current liabilities caused a fall in cash ratios. This is a weakness as the company is unable to meet obligations from liquid assets or cash.</w:t>
      </w:r>
    </w:p>
    <w:p w14:paraId="136368E7" w14:textId="77777777" w:rsidR="002D068E" w:rsidRPr="00382CBA" w:rsidRDefault="001F1C34">
      <w:pPr>
        <w:jc w:val="both"/>
        <w:rPr>
          <w:rFonts w:ascii="Arial Regular" w:hAnsi="Arial Regular" w:cs="Arial Regular"/>
          <w:szCs w:val="24"/>
          <w:lang w:val="en-GB"/>
        </w:rPr>
      </w:pPr>
      <w:r w:rsidRPr="00382CBA">
        <w:rPr>
          <w:rFonts w:ascii="Arial Bold Italic" w:eastAsia="SimSun" w:hAnsi="Arial Bold Italic" w:cs="Arial Bold Italic"/>
          <w:b/>
          <w:bCs/>
          <w:i/>
          <w:iCs/>
          <w:szCs w:val="24"/>
          <w:lang w:val="en-GB" w:bidi="ar"/>
        </w:rPr>
        <w:t>Strategy</w:t>
      </w:r>
    </w:p>
    <w:p w14:paraId="67BC1472"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 xml:space="preserve">The company needs to focus on adopting different strategies to address core problems of low sales, high operational expenses, ineffective asset usage, high debt, and others. More emphasis on marketing and adopting different pricing strategies can assist the company in  boosting revenues and profits as well as addressing low margin problem. Customer engagement on social media can also assist in grasping the attention of a large number of customers and boosting revenues. Similarly, integrating technology with operations will also improve asset efficiency and help in reducing operational expenses (Ali, 2021; </w:t>
      </w:r>
      <w:proofErr w:type="spellStart"/>
      <w:r w:rsidRPr="00382CBA">
        <w:rPr>
          <w:rFonts w:ascii="Arial Regular" w:eastAsia="SimSun" w:hAnsi="Arial Regular" w:cs="Arial Regular"/>
          <w:szCs w:val="24"/>
          <w:lang w:val="en-GB" w:bidi="ar"/>
        </w:rPr>
        <w:t>Tiag</w:t>
      </w:r>
      <w:proofErr w:type="spellEnd"/>
      <w:r w:rsidRPr="00382CBA">
        <w:rPr>
          <w:rFonts w:ascii="Arial Regular" w:eastAsia="SimSun" w:hAnsi="Arial Regular" w:cs="Arial Regular"/>
          <w:szCs w:val="24"/>
          <w:lang w:val="en-GB" w:bidi="ar"/>
        </w:rPr>
        <w:t xml:space="preserve">, n.d.). The company can also implement Total Quality Management (TQM) for eliminating non-value-added activities and reducing business inefficiencies. Further, debt reduction through tightening credit terms and avoiding additional credit extension is also one of the best strategies that can assist in addressing the core problem of high debts and improving financial leverage (Nab, 2025). </w:t>
      </w:r>
    </w:p>
    <w:p w14:paraId="356951E6" w14:textId="77777777" w:rsidR="002D068E" w:rsidRPr="00382CBA" w:rsidRDefault="001F1C34">
      <w:pPr>
        <w:pStyle w:val="Heading1"/>
        <w:numPr>
          <w:ilvl w:val="0"/>
          <w:numId w:val="1"/>
        </w:numPr>
        <w:spacing w:before="0" w:after="0" w:line="360" w:lineRule="auto"/>
        <w:jc w:val="both"/>
        <w:rPr>
          <w:rFonts w:ascii="Arial Regular" w:hAnsi="Arial Regular" w:cs="Arial Regular"/>
          <w:sz w:val="24"/>
          <w:szCs w:val="24"/>
          <w:lang w:val="en-GB"/>
        </w:rPr>
      </w:pPr>
      <w:bookmarkStart w:id="2" w:name="_Toc237532011"/>
      <w:r w:rsidRPr="00382CBA">
        <w:rPr>
          <w:rFonts w:ascii="Arial Regular" w:hAnsi="Arial Regular" w:cs="Arial Regular"/>
          <w:sz w:val="24"/>
          <w:szCs w:val="24"/>
          <w:lang w:val="en-GB"/>
        </w:rPr>
        <w:lastRenderedPageBreak/>
        <w:t>Working Capital Management Analysis</w:t>
      </w:r>
      <w:bookmarkEnd w:id="2"/>
    </w:p>
    <w:p w14:paraId="2477C165" w14:textId="77777777" w:rsidR="002D068E" w:rsidRPr="00382CBA" w:rsidRDefault="001F1C34">
      <w:pPr>
        <w:jc w:val="both"/>
        <w:rPr>
          <w:rFonts w:ascii="Arial Regular" w:hAnsi="Arial Regular" w:cs="Arial Regular"/>
          <w:szCs w:val="24"/>
          <w:lang w:val="en-GB"/>
        </w:rPr>
      </w:pPr>
      <w:r w:rsidRPr="00382CBA">
        <w:rPr>
          <w:rFonts w:ascii="Arial Regular" w:hAnsi="Arial Regular" w:cs="Arial Regular"/>
          <w:b/>
          <w:bCs/>
          <w:i/>
          <w:iCs/>
          <w:szCs w:val="24"/>
          <w:lang w:val="en-GB"/>
        </w:rPr>
        <w:t>Cash Operating Cycle</w:t>
      </w:r>
    </w:p>
    <w:p w14:paraId="2142F531" w14:textId="77777777" w:rsidR="002D068E" w:rsidRPr="00382CBA" w:rsidRDefault="001F1C34">
      <w:pPr>
        <w:jc w:val="both"/>
        <w:rPr>
          <w:rFonts w:ascii="Arial Regular" w:eastAsia="SimSun" w:hAnsi="Arial Regular" w:cs="Arial Regular"/>
          <w:szCs w:val="24"/>
          <w:lang w:val="en-GB" w:bidi="ar"/>
        </w:rPr>
      </w:pPr>
      <w:r w:rsidRPr="00382CBA">
        <w:rPr>
          <w:rFonts w:ascii="Arial Regular" w:eastAsia="SimSun" w:hAnsi="Arial Regular" w:cs="Arial Regular"/>
          <w:szCs w:val="24"/>
          <w:lang w:val="en-GB" w:bidi="ar"/>
        </w:rPr>
        <w:t>(see appendix 2 for detailed calculations)</w:t>
      </w:r>
    </w:p>
    <w:p w14:paraId="20C526CE" w14:textId="77777777" w:rsidR="002D068E" w:rsidRPr="00382CBA" w:rsidRDefault="0068718B">
      <w:pPr>
        <w:jc w:val="both"/>
        <w:rPr>
          <w:rFonts w:ascii="Arial Regular" w:hAnsi="Arial Regular" w:cs="Arial Regular"/>
          <w:szCs w:val="24"/>
          <w:lang w:val="en-GB"/>
        </w:rPr>
      </w:pPr>
      <w:r w:rsidRPr="00382CBA">
        <w:rPr>
          <w:rFonts w:ascii="Arial Regular" w:eastAsia="SimSun" w:hAnsi="Arial Regular" w:cs="Arial Regular"/>
          <w:szCs w:val="24"/>
          <w:lang w:val="en-GB" w:bidi="ar"/>
        </w:rPr>
        <w:t>The cash operating cycle is the time period that business entities require to convert the inventories into sales</w:t>
      </w:r>
      <w:r w:rsidR="001F1C34" w:rsidRPr="00382CBA">
        <w:rPr>
          <w:rFonts w:ascii="Arial Regular" w:eastAsia="SimSun" w:hAnsi="Arial Regular" w:cs="Arial Regular"/>
          <w:szCs w:val="24"/>
          <w:lang w:val="en-GB" w:bidi="ar"/>
        </w:rPr>
        <w:t xml:space="preserve">. In simple words, it reflects the time from purchasing of material till sales. It has mainly three components, namely inventory, receivables, and payables. </w:t>
      </w:r>
      <w:r w:rsidRPr="00382CBA">
        <w:rPr>
          <w:rFonts w:ascii="Arial Regular" w:eastAsia="SimSun" w:hAnsi="Arial Regular" w:cs="Arial Regular"/>
          <w:szCs w:val="24"/>
          <w:lang w:val="en-GB" w:bidi="ar"/>
        </w:rPr>
        <w:t>While inventory days show how long it takes to turn over inventory, receivable days say how long it takes to collect outstanding cash from debtors.</w:t>
      </w:r>
      <w:r w:rsidR="001F1C34" w:rsidRPr="00382CBA">
        <w:rPr>
          <w:rFonts w:ascii="Arial Regular" w:eastAsia="SimSun" w:hAnsi="Arial Regular" w:cs="Arial Regular"/>
          <w:szCs w:val="24"/>
          <w:lang w:val="en-GB" w:bidi="ar"/>
        </w:rPr>
        <w:t xml:space="preserve"> Similarly, payable days show the time to meet suppliers' obligations (Ethan, 2025). It was found that the company has reported a negative cash operating cycle in the last five years. During 2021, the company reported a cash operating cycle of -28, which further rose to -96 during 2024. The key reason behind the negative cash operating cycle of the company is high payable days and low receivable days. For instance, receivable days during 2024 were only 70; however, payable days is 167. There is also no inventory since the company operates in the service industry. The negative cash operating cycle is healthy for the company as it shows that the company gives much emphasis on collecting funds from debtors before meeting suppliers' obligations. It can also be considered as beneficial for the company as it assists in improving cash flows by delaying suppliers' payments.</w:t>
      </w:r>
    </w:p>
    <w:p w14:paraId="466E63AF" w14:textId="77777777" w:rsidR="002D068E" w:rsidRPr="00382CBA" w:rsidRDefault="001F1C34">
      <w:pPr>
        <w:jc w:val="both"/>
        <w:rPr>
          <w:rFonts w:ascii="Arial Regular" w:hAnsi="Arial Regular" w:cs="Arial Regular"/>
          <w:szCs w:val="24"/>
          <w:lang w:val="en-GB"/>
        </w:rPr>
      </w:pPr>
      <w:r w:rsidRPr="00382CBA">
        <w:rPr>
          <w:rFonts w:ascii="Arial Regular" w:hAnsi="Arial Regular" w:cs="Arial Regular"/>
          <w:b/>
          <w:bCs/>
          <w:i/>
          <w:iCs/>
          <w:szCs w:val="24"/>
          <w:lang w:val="en-GB"/>
        </w:rPr>
        <w:t xml:space="preserve">Strategies to improve liquidity </w:t>
      </w:r>
    </w:p>
    <w:p w14:paraId="13F308EB"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 xml:space="preserve">The company can take different measures or implement </w:t>
      </w:r>
      <w:r w:rsidR="0068718B" w:rsidRPr="00382CBA">
        <w:rPr>
          <w:rFonts w:ascii="Arial Regular" w:eastAsia="SimSun" w:hAnsi="Arial Regular" w:cs="Arial Regular"/>
          <w:szCs w:val="24"/>
          <w:lang w:val="en-GB" w:bidi="ar"/>
        </w:rPr>
        <w:t>strategies for enhanced liquidity due to working capital reforms</w:t>
      </w:r>
      <w:r w:rsidRPr="00382CBA">
        <w:rPr>
          <w:rFonts w:ascii="Arial Regular" w:eastAsia="SimSun" w:hAnsi="Arial Regular" w:cs="Arial Regular"/>
          <w:szCs w:val="24"/>
          <w:lang w:val="en-GB" w:bidi="ar"/>
        </w:rPr>
        <w:t>. Some of the strategies that Wyndham Hotels &amp; Resorts Inc can implement to improve liquidity are highlighted hereunder:</w:t>
      </w:r>
    </w:p>
    <w:p w14:paraId="6DA9D8C4"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b/>
          <w:bCs/>
          <w:szCs w:val="24"/>
          <w:lang w:val="en-GB" w:bidi="ar"/>
        </w:rPr>
        <w:t>Managing accounts payable</w:t>
      </w:r>
      <w:r w:rsidRPr="00382CBA">
        <w:rPr>
          <w:rFonts w:ascii="Arial Regular" w:eastAsia="SimSun" w:hAnsi="Arial Regular" w:cs="Arial Regular"/>
          <w:szCs w:val="24"/>
          <w:lang w:val="en-GB" w:bidi="ar"/>
        </w:rPr>
        <w:t>: Asking for early payment discounts or making favourable payment terms can assist the company in improving cash flows and liquidity.</w:t>
      </w:r>
    </w:p>
    <w:p w14:paraId="27EDB64A"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b/>
          <w:bCs/>
          <w:szCs w:val="24"/>
          <w:lang w:val="en-GB" w:bidi="ar"/>
        </w:rPr>
        <w:t>Receivables management</w:t>
      </w:r>
      <w:r w:rsidRPr="00382CBA">
        <w:rPr>
          <w:rFonts w:ascii="Arial Regular" w:eastAsia="SimSun" w:hAnsi="Arial Regular" w:cs="Arial Regular"/>
          <w:szCs w:val="24"/>
          <w:lang w:val="en-GB" w:bidi="ar"/>
        </w:rPr>
        <w:t>: Managing receivables effectively can also prove to be highly effective for improving liquidity. It can be done through offering early payment discounts to the customers. The digitisation of payments can also be effective for collecting faster payments and improving the company’s liquidity.</w:t>
      </w:r>
    </w:p>
    <w:p w14:paraId="6576FBB0"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b/>
          <w:bCs/>
          <w:szCs w:val="24"/>
          <w:lang w:val="en-GB" w:bidi="ar"/>
        </w:rPr>
        <w:t>Financing options</w:t>
      </w:r>
      <w:r w:rsidRPr="00382CBA">
        <w:rPr>
          <w:rFonts w:ascii="Arial Regular" w:eastAsia="SimSun" w:hAnsi="Arial Regular" w:cs="Arial Regular"/>
          <w:szCs w:val="24"/>
          <w:lang w:val="en-GB" w:bidi="ar"/>
        </w:rPr>
        <w:t xml:space="preserve">: The company can focus on different </w:t>
      </w:r>
      <w:r w:rsidR="0068718B" w:rsidRPr="00382CBA">
        <w:rPr>
          <w:rFonts w:ascii="Arial Regular" w:eastAsia="SimSun" w:hAnsi="Arial Regular" w:cs="Arial Regular"/>
          <w:szCs w:val="24"/>
          <w:lang w:val="en-GB" w:bidi="ar"/>
        </w:rPr>
        <w:t>Short-term financing options, like short-term loans,</w:t>
      </w:r>
      <w:r w:rsidRPr="00382CBA">
        <w:rPr>
          <w:rFonts w:ascii="Arial Regular" w:eastAsia="SimSun" w:hAnsi="Arial Regular" w:cs="Arial Regular"/>
          <w:szCs w:val="24"/>
          <w:lang w:val="en-GB" w:bidi="ar"/>
        </w:rPr>
        <w:t xml:space="preserve"> credit line, and others for bridging cash gaps in business.</w:t>
      </w:r>
    </w:p>
    <w:p w14:paraId="20A281BB"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b/>
          <w:bCs/>
          <w:szCs w:val="24"/>
          <w:lang w:val="en-GB" w:bidi="ar"/>
        </w:rPr>
        <w:t>Reducing operational expenses</w:t>
      </w:r>
      <w:r w:rsidRPr="00382CBA">
        <w:rPr>
          <w:rFonts w:ascii="Arial Regular" w:eastAsia="SimSun" w:hAnsi="Arial Regular" w:cs="Arial Regular"/>
          <w:szCs w:val="24"/>
          <w:lang w:val="en-GB" w:bidi="ar"/>
        </w:rPr>
        <w:t xml:space="preserve">: Identification of areas where the business can reduce cost can also help in improving cash flows and liquidity. The company can </w:t>
      </w:r>
      <w:r w:rsidRPr="00382CBA">
        <w:rPr>
          <w:rFonts w:ascii="Arial Regular" w:eastAsia="SimSun" w:hAnsi="Arial Regular" w:cs="Arial Regular"/>
          <w:szCs w:val="24"/>
          <w:lang w:val="en-GB" w:bidi="ar"/>
        </w:rPr>
        <w:lastRenderedPageBreak/>
        <w:t>even outsource some areas without compromising quality for making efficient system and improve cash flows (Golembieski, 2025).</w:t>
      </w:r>
    </w:p>
    <w:p w14:paraId="1557A0E7"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Overall, above discussed are some of the strategies that Wyndham Hotels &amp; Resorts Inc can implement for improving liquidity through working capital reforms.</w:t>
      </w:r>
    </w:p>
    <w:p w14:paraId="5DC479B6" w14:textId="77777777" w:rsidR="002D068E" w:rsidRPr="00382CBA" w:rsidRDefault="001F1C34">
      <w:pPr>
        <w:jc w:val="both"/>
        <w:rPr>
          <w:rFonts w:ascii="Arial Regular" w:hAnsi="Arial Regular" w:cs="Arial Regular"/>
          <w:szCs w:val="24"/>
          <w:lang w:val="en-GB"/>
        </w:rPr>
      </w:pPr>
      <w:r w:rsidRPr="00382CBA">
        <w:rPr>
          <w:rFonts w:ascii="Arial Regular" w:hAnsi="Arial Regular" w:cs="Arial Regular"/>
          <w:b/>
          <w:bCs/>
          <w:i/>
          <w:iCs/>
          <w:szCs w:val="24"/>
          <w:lang w:val="en-GB"/>
        </w:rPr>
        <w:t>Comparison among short and long-term financing options</w:t>
      </w:r>
    </w:p>
    <w:p w14:paraId="557E1302"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 xml:space="preserve">Financing is considered the blood for every business, as it is required at every stage of the business cycle. Funds can be short- or long-term based on business requirements. </w:t>
      </w:r>
      <w:r w:rsidR="009A4171" w:rsidRPr="00382CBA">
        <w:rPr>
          <w:rFonts w:ascii="Arial Regular" w:eastAsia="SimSun" w:hAnsi="Arial Regular" w:cs="Arial Regular"/>
          <w:szCs w:val="24"/>
          <w:lang w:val="en-GB" w:bidi="ar"/>
        </w:rPr>
        <w:t>The short-term financing sources are: Trade credit, short-term loans, overdraft and others.</w:t>
      </w:r>
      <w:r w:rsidRPr="00382CBA">
        <w:rPr>
          <w:rFonts w:ascii="Arial Regular" w:eastAsia="SimSun" w:hAnsi="Arial Regular" w:cs="Arial Regular"/>
          <w:szCs w:val="24"/>
          <w:lang w:val="en-GB" w:bidi="ar"/>
        </w:rPr>
        <w:t xml:space="preserve"> Trade credit refers to the amount that a company owes to suppliers. The company takes time and makes delays in making payments to suppliers. Additionally, overdraft is another short-term financing option, which allows businesses to withdraw funds from banks up to a certain limit. </w:t>
      </w:r>
      <w:r w:rsidR="009A4171" w:rsidRPr="00382CBA">
        <w:rPr>
          <w:rFonts w:ascii="Arial Regular" w:eastAsia="SimSun" w:hAnsi="Arial Regular" w:cs="Arial Regular"/>
          <w:szCs w:val="24"/>
          <w:lang w:val="en-GB" w:bidi="ar"/>
        </w:rPr>
        <w:t>In addition, short term loans is another source through which businesses can borrow from the banks against the consideration of interest charges.</w:t>
      </w:r>
      <w:r w:rsidRPr="00382CBA">
        <w:rPr>
          <w:rFonts w:ascii="Arial Regular" w:eastAsia="SimSun" w:hAnsi="Arial Regular" w:cs="Arial Regular"/>
          <w:szCs w:val="24"/>
          <w:lang w:val="en-GB" w:bidi="ar"/>
        </w:rPr>
        <w:t xml:space="preserve"> Besides this, factoring is also one of the financing options; whereas, businesses can collect a specific portion of invoices through factoring. This enables in improving cash flows (</w:t>
      </w:r>
      <w:proofErr w:type="spellStart"/>
      <w:r w:rsidRPr="00382CBA">
        <w:rPr>
          <w:rFonts w:ascii="Arial Regular" w:eastAsia="SimSun" w:hAnsi="Arial Regular" w:cs="Arial Regular"/>
          <w:szCs w:val="24"/>
          <w:lang w:val="en-GB" w:bidi="ar"/>
        </w:rPr>
        <w:t>Yakhshibaev</w:t>
      </w:r>
      <w:proofErr w:type="spellEnd"/>
      <w:r w:rsidRPr="00382CBA">
        <w:rPr>
          <w:rFonts w:ascii="Arial Regular" w:eastAsia="SimSun" w:hAnsi="Arial Regular" w:cs="Arial Regular"/>
          <w:szCs w:val="24"/>
          <w:lang w:val="en-GB" w:bidi="ar"/>
        </w:rPr>
        <w:t>, 2011).</w:t>
      </w:r>
    </w:p>
    <w:p w14:paraId="60AC1009"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 xml:space="preserve">In addition to short-term financing options, there are several long-term financing options that businesses can take for business purposes. Generally, long-term financing options are considered for major capital investments, business growth, as well as managing working capital requirements. Some long-term financing sources of finance includes equity finance, long-term loans, debentures, and others. Equity financing refers to the collection of funds from the market through issuing securities. Similarly, debentures refer to an instrument that allows businesses to collect </w:t>
      </w:r>
      <w:r w:rsidR="00971E88" w:rsidRPr="00382CBA">
        <w:rPr>
          <w:rFonts w:ascii="Arial Regular" w:eastAsia="SimSun" w:hAnsi="Arial Regular" w:cs="Arial Regular"/>
          <w:szCs w:val="24"/>
          <w:lang w:val="en-GB" w:bidi="ar"/>
        </w:rPr>
        <w:t>mobilize it by selling instruments on the market against fixed rates of interest</w:t>
      </w:r>
      <w:r w:rsidRPr="00382CBA">
        <w:rPr>
          <w:rFonts w:ascii="Arial Regular" w:eastAsia="SimSun" w:hAnsi="Arial Regular" w:cs="Arial Regular"/>
          <w:szCs w:val="24"/>
          <w:lang w:val="en-GB" w:bidi="ar"/>
        </w:rPr>
        <w:t xml:space="preserve"> for a fixed period of time. Further, long-term loans are another source, which allows businesses to borrow funds in consideration of interest charges (Ramya and Sumathi, 2023).</w:t>
      </w:r>
    </w:p>
    <w:p w14:paraId="43F02114" w14:textId="77777777" w:rsidR="002D068E" w:rsidRPr="00382CBA" w:rsidRDefault="001F1C34">
      <w:pPr>
        <w:jc w:val="both"/>
        <w:rPr>
          <w:rFonts w:ascii="Arial Regular" w:hAnsi="Arial Regular" w:cs="Arial Regular"/>
          <w:b/>
          <w:bCs/>
          <w:szCs w:val="24"/>
          <w:lang w:val="en-GB"/>
        </w:rPr>
      </w:pPr>
      <w:r w:rsidRPr="00382CBA">
        <w:rPr>
          <w:rFonts w:ascii="Arial Regular" w:eastAsia="SimSun" w:hAnsi="Arial Regular" w:cs="Arial Regular"/>
          <w:szCs w:val="24"/>
          <w:lang w:val="en-GB" w:bidi="ar"/>
        </w:rPr>
        <w:t xml:space="preserve">Equity is a highly expensive option compared to long-term loans and debentures; however, it does not enhance financial obligations on businesses. </w:t>
      </w:r>
      <w:r w:rsidR="00971E88" w:rsidRPr="00382CBA">
        <w:rPr>
          <w:rFonts w:ascii="Arial Regular" w:eastAsia="SimSun" w:hAnsi="Arial Regular" w:cs="Arial Regular"/>
          <w:szCs w:val="24"/>
          <w:lang w:val="en-GB" w:bidi="ar"/>
        </w:rPr>
        <w:t>Similarly, debentures and long-term loans are inexpensive and offer tax advantage in respect of interest payments; but both increase financial commitments. Moreover as a comparison with both short term financing and long term financing, financing by short term is riskier. There is a difference between the interest rates for short-term financing (such as short term loans) and long-term loans.</w:t>
      </w:r>
      <w:r w:rsidRPr="00382CBA">
        <w:rPr>
          <w:rFonts w:ascii="Arial Regular" w:eastAsia="SimSun" w:hAnsi="Arial Regular" w:cs="Arial Regular"/>
          <w:szCs w:val="24"/>
          <w:lang w:val="en-GB" w:bidi="ar"/>
        </w:rPr>
        <w:t xml:space="preserve"> High dependency on short-term financing options is also dangerous as it might affect the ability to meet short-</w:t>
      </w:r>
      <w:r w:rsidRPr="00382CBA">
        <w:rPr>
          <w:rFonts w:ascii="Arial Regular" w:eastAsia="SimSun" w:hAnsi="Arial Regular" w:cs="Arial Regular"/>
          <w:szCs w:val="24"/>
          <w:lang w:val="en-GB" w:bidi="ar"/>
        </w:rPr>
        <w:lastRenderedPageBreak/>
        <w:t>term obligations effectively. The same will not only affect reputation but also create difficulty in getting short-term loans due to lack of proper creditworthiness (Banerjee, 2015).</w:t>
      </w:r>
    </w:p>
    <w:p w14:paraId="6E31E71C" w14:textId="77777777" w:rsidR="002D068E" w:rsidRPr="00382CBA" w:rsidRDefault="001F1C34">
      <w:pPr>
        <w:pStyle w:val="Heading1"/>
        <w:numPr>
          <w:ilvl w:val="0"/>
          <w:numId w:val="1"/>
        </w:numPr>
        <w:spacing w:before="0" w:after="0" w:line="360" w:lineRule="auto"/>
        <w:jc w:val="both"/>
        <w:rPr>
          <w:rFonts w:ascii="Arial Regular" w:hAnsi="Arial Regular" w:cs="Arial Regular"/>
          <w:sz w:val="24"/>
          <w:szCs w:val="24"/>
          <w:lang w:val="en-GB"/>
        </w:rPr>
      </w:pPr>
      <w:bookmarkStart w:id="3" w:name="_Toc237532012"/>
      <w:r w:rsidRPr="00382CBA">
        <w:rPr>
          <w:rFonts w:ascii="Arial Regular" w:hAnsi="Arial Regular" w:cs="Arial Regular"/>
          <w:sz w:val="24"/>
          <w:szCs w:val="24"/>
          <w:lang w:val="en-GB"/>
        </w:rPr>
        <w:t>Strategic Financial restructuring Plan</w:t>
      </w:r>
      <w:bookmarkEnd w:id="3"/>
    </w:p>
    <w:p w14:paraId="0B7C1E21" w14:textId="77777777" w:rsidR="002D068E" w:rsidRPr="00382CBA" w:rsidRDefault="001F1C34">
      <w:pPr>
        <w:jc w:val="both"/>
        <w:rPr>
          <w:rFonts w:ascii="Arial Regular" w:hAnsi="Arial Regular" w:cs="Arial Regular"/>
          <w:b/>
          <w:szCs w:val="24"/>
          <w:lang w:val="en-GB"/>
        </w:rPr>
      </w:pPr>
      <w:r w:rsidRPr="00382CBA">
        <w:rPr>
          <w:rFonts w:ascii="Arial Regular" w:hAnsi="Arial Regular" w:cs="Arial Regular"/>
          <w:b/>
          <w:i/>
          <w:iCs/>
          <w:szCs w:val="24"/>
          <w:lang w:val="en-GB"/>
        </w:rPr>
        <w:t>Recommending Financial Restructuring Options</w:t>
      </w:r>
    </w:p>
    <w:p w14:paraId="339C7C54" w14:textId="77777777" w:rsidR="002D068E" w:rsidRPr="00382CBA" w:rsidRDefault="001F1C34">
      <w:pPr>
        <w:jc w:val="both"/>
        <w:rPr>
          <w:rFonts w:ascii="Arial Regular" w:hAnsi="Arial Regular" w:cs="Arial Regular"/>
          <w:szCs w:val="24"/>
          <w:lang w:val="en-GB"/>
        </w:rPr>
      </w:pPr>
      <w:r w:rsidRPr="00382CBA">
        <w:rPr>
          <w:rFonts w:ascii="Arial Regular" w:hAnsi="Arial Regular" w:cs="Arial Regular"/>
          <w:szCs w:val="24"/>
          <w:lang w:val="en-GB"/>
        </w:rPr>
        <w:t>On the basis of overall financial analysis, Wyndham Hotels &amp; Resorts must use a balanced financial restructuring approach to strengthen liquidity, decrease financial risk, and advance long-term shareholder confidence. The first suggestion is an equity injection through the issuance of new shares or the use of retained earnings (Haque, 2023). Moreover, the debt-to-equity ratio has enhanced considerably over the years, showing excessive reliability on debt financing. Thereby, raising additional equity will fix the capital structure, decrease leverage, and offer funds to accomplish short-term liabilities without enhancing interest costs. Secondly, the hotel chain must undertake debt restructuring by refinancing high-interest debt with long-term borrowing at lower interest rates. Thereby, extending borrowing maturities and renegotiating debt terms would advance cash flow and decrease financial pressure.</w:t>
      </w:r>
    </w:p>
    <w:p w14:paraId="155A8007" w14:textId="77777777" w:rsidR="002D068E" w:rsidRPr="00382CBA" w:rsidRDefault="001F1C34">
      <w:pPr>
        <w:jc w:val="both"/>
        <w:rPr>
          <w:rFonts w:ascii="Arial Regular" w:hAnsi="Arial Regular" w:cs="Arial Regular"/>
          <w:szCs w:val="24"/>
          <w:lang w:val="en-GB"/>
        </w:rPr>
      </w:pPr>
      <w:r w:rsidRPr="00382CBA">
        <w:rPr>
          <w:rFonts w:ascii="Arial Regular" w:hAnsi="Arial Regular" w:cs="Arial Regular"/>
          <w:szCs w:val="24"/>
          <w:lang w:val="en-GB"/>
        </w:rPr>
        <w:t xml:space="preserve">Further, a strategic divestiture of non-core or underperforming assets must also be considered. Selling fixed assets that do not contribute significantly to income generation can get immediate cash, advance liquidity, and allow management to focus on profitable business areas. The revenue may be utilised to invest in technology or repay debt, digital transformation, and overall customer experience initiatives. Moreover, instead of going for a full-scale merger, the hotel chain may benefit from strategic acquisitions or partnerships that strengthen its worldwide hotel network without considerably increasing debt. Collaborations with regional hospitality companies or technology providers can expand market image while sharing operational expenses (Attah </w:t>
      </w:r>
      <w:r w:rsidRPr="00382CBA">
        <w:rPr>
          <w:rFonts w:ascii="Arial Regular" w:hAnsi="Arial Regular" w:cs="Arial Regular"/>
          <w:i/>
          <w:szCs w:val="24"/>
          <w:lang w:val="en-GB"/>
        </w:rPr>
        <w:t>et al</w:t>
      </w:r>
      <w:r w:rsidRPr="00382CBA">
        <w:rPr>
          <w:rFonts w:ascii="Arial Regular" w:hAnsi="Arial Regular" w:cs="Arial Regular"/>
          <w:szCs w:val="24"/>
          <w:lang w:val="en-GB"/>
        </w:rPr>
        <w:t>., 2024). Finally, the hotel chain must strengthen its overall working capital management by advancing cash flow forecasting, controlling operational expenses, and optimising receivables.</w:t>
      </w:r>
    </w:p>
    <w:p w14:paraId="4BEE5A65" w14:textId="77777777" w:rsidR="002D068E" w:rsidRPr="00382CBA" w:rsidRDefault="001F1C34">
      <w:pPr>
        <w:jc w:val="both"/>
        <w:rPr>
          <w:rFonts w:ascii="Arial Regular" w:hAnsi="Arial Regular" w:cs="Arial Regular"/>
          <w:b/>
          <w:szCs w:val="24"/>
          <w:lang w:val="en-GB"/>
        </w:rPr>
      </w:pPr>
      <w:r w:rsidRPr="00382CBA">
        <w:rPr>
          <w:rFonts w:ascii="Arial Regular" w:hAnsi="Arial Regular" w:cs="Arial Regular"/>
          <w:b/>
          <w:i/>
          <w:iCs/>
          <w:szCs w:val="24"/>
          <w:lang w:val="en-GB"/>
        </w:rPr>
        <w:t>Evaluating impact on Shareholder Value, Debt Structure, and Operational Flexibility</w:t>
      </w:r>
    </w:p>
    <w:p w14:paraId="120EA3F8" w14:textId="77777777" w:rsidR="002D068E" w:rsidRPr="00382CBA" w:rsidRDefault="001F1C34">
      <w:pPr>
        <w:jc w:val="both"/>
        <w:rPr>
          <w:rFonts w:ascii="Arial Regular" w:hAnsi="Arial Regular" w:cs="Arial Regular"/>
          <w:szCs w:val="24"/>
          <w:lang w:val="en-GB"/>
        </w:rPr>
      </w:pPr>
      <w:r w:rsidRPr="00382CBA">
        <w:rPr>
          <w:rFonts w:ascii="Arial Regular" w:hAnsi="Arial Regular" w:cs="Arial Regular"/>
          <w:szCs w:val="24"/>
          <w:lang w:val="en-GB"/>
        </w:rPr>
        <w:t xml:space="preserve">The recommended restructuring approach is anticipated to form positive long-run shareholder value along with improving the financial strategy of the hotel chain. Although the equity injection may dilute current shareholders’ ownership, the additional money will decrease reliance on debt sources, strengthen the financial </w:t>
      </w:r>
      <w:r w:rsidRPr="00382CBA">
        <w:rPr>
          <w:rFonts w:ascii="Arial Regular" w:hAnsi="Arial Regular" w:cs="Arial Regular"/>
          <w:szCs w:val="24"/>
          <w:lang w:val="en-GB"/>
        </w:rPr>
        <w:lastRenderedPageBreak/>
        <w:t xml:space="preserve">position, and decrease financial risk. Moreover, investors commonly view a robust capital structure positively, especially when the funds are used in profitable growth segments (Brown </w:t>
      </w:r>
      <w:r w:rsidRPr="00382CBA">
        <w:rPr>
          <w:rFonts w:ascii="Arial Regular" w:hAnsi="Arial Regular" w:cs="Arial Regular"/>
          <w:i/>
          <w:szCs w:val="24"/>
          <w:lang w:val="en-GB"/>
        </w:rPr>
        <w:t>et al</w:t>
      </w:r>
      <w:r w:rsidRPr="00382CBA">
        <w:rPr>
          <w:rFonts w:ascii="Arial Regular" w:hAnsi="Arial Regular" w:cs="Arial Regular"/>
          <w:szCs w:val="24"/>
          <w:lang w:val="en-GB"/>
        </w:rPr>
        <w:t>., 2019). Further, improved financial stability may also enhance market confidence and assist in higher share valuations over time. Debt restructuring will considerably advance the debt profile. Thereby, refinancing expensive loans with lower-cost, long-term debt will decrease annual interest costs and advance the interest coverage ratio. Lower financial liabilities will also decrease the overall risk of financial distress and increase the hotel's creditworthiness, which enables easier access to external funds in the future.</w:t>
      </w:r>
    </w:p>
    <w:p w14:paraId="56B51B50" w14:textId="77777777" w:rsidR="002D068E" w:rsidRPr="00382CBA" w:rsidRDefault="001F1C34">
      <w:pPr>
        <w:jc w:val="both"/>
        <w:rPr>
          <w:rFonts w:ascii="Arial Regular" w:hAnsi="Arial Regular" w:cs="Arial Regular"/>
          <w:szCs w:val="24"/>
          <w:lang w:val="en-GB"/>
        </w:rPr>
      </w:pPr>
      <w:r w:rsidRPr="00382CBA">
        <w:rPr>
          <w:rFonts w:ascii="Arial Regular" w:hAnsi="Arial Regular" w:cs="Arial Regular"/>
          <w:szCs w:val="24"/>
          <w:lang w:val="en-GB"/>
        </w:rPr>
        <w:t>In addition, operational flexibility will also enhance as robust liquidity and sound cash flow offer management with higher freedom to invest in strategic initiatives. Thereby, instead of allocating considerable cash towards debt repayments, the hotel could invest in its renovation, customer service improvements, digital technologies, and global expansion opportunities. Moreover, divesting non-core assets will further simplify operations and allow management to target resources on high-performing business segments (</w:t>
      </w:r>
      <w:proofErr w:type="spellStart"/>
      <w:r w:rsidRPr="00382CBA">
        <w:rPr>
          <w:rFonts w:ascii="Arial Regular" w:hAnsi="Arial Regular" w:cs="Arial Regular"/>
          <w:szCs w:val="24"/>
          <w:lang w:val="en-GB"/>
        </w:rPr>
        <w:t>Atere</w:t>
      </w:r>
      <w:proofErr w:type="spellEnd"/>
      <w:r w:rsidRPr="00382CBA">
        <w:rPr>
          <w:rFonts w:ascii="Arial Regular" w:hAnsi="Arial Regular" w:cs="Arial Regular"/>
          <w:szCs w:val="24"/>
          <w:lang w:val="en-GB"/>
        </w:rPr>
        <w:t xml:space="preserve"> </w:t>
      </w:r>
      <w:r w:rsidRPr="00382CBA">
        <w:rPr>
          <w:rFonts w:ascii="Arial Regular" w:hAnsi="Arial Regular" w:cs="Arial Regular"/>
          <w:i/>
          <w:szCs w:val="24"/>
          <w:lang w:val="en-GB"/>
        </w:rPr>
        <w:t>et al</w:t>
      </w:r>
      <w:r w:rsidRPr="00382CBA">
        <w:rPr>
          <w:rFonts w:ascii="Arial Regular" w:hAnsi="Arial Regular" w:cs="Arial Regular"/>
          <w:szCs w:val="24"/>
          <w:lang w:val="en-GB"/>
        </w:rPr>
        <w:t>., 2019). Hence, the restructuring plan controls short-run financial discipline with long-run strategic growth. While some initiatives may involve temporary expenses or shareholder dilution, the long-run benefits involve lower financial risk, improved profitability, robust liquidity, increased operational efficiency, and greater shareholder value through sustainable business performance.</w:t>
      </w:r>
    </w:p>
    <w:p w14:paraId="7CE5AB11" w14:textId="77777777" w:rsidR="002D068E" w:rsidRPr="00382CBA" w:rsidRDefault="001F1C34">
      <w:pPr>
        <w:jc w:val="both"/>
        <w:rPr>
          <w:rFonts w:ascii="Arial Regular" w:hAnsi="Arial Regular" w:cs="Arial Regular"/>
          <w:b/>
          <w:szCs w:val="24"/>
          <w:lang w:val="en-GB"/>
        </w:rPr>
      </w:pPr>
      <w:r w:rsidRPr="00382CBA">
        <w:rPr>
          <w:rFonts w:ascii="Arial Regular" w:hAnsi="Arial Regular" w:cs="Arial Regular"/>
          <w:b/>
          <w:i/>
          <w:iCs/>
          <w:szCs w:val="24"/>
          <w:lang w:val="en-GB"/>
        </w:rPr>
        <w:t>International and Ethical Considerations</w:t>
      </w:r>
    </w:p>
    <w:p w14:paraId="11E0B7AB" w14:textId="77777777" w:rsidR="002D068E" w:rsidRPr="00382CBA" w:rsidRDefault="001F1C34">
      <w:pPr>
        <w:jc w:val="both"/>
        <w:rPr>
          <w:rFonts w:ascii="Arial Regular" w:hAnsi="Arial Regular" w:cs="Arial Regular"/>
          <w:szCs w:val="24"/>
          <w:lang w:val="en-GB"/>
        </w:rPr>
      </w:pPr>
      <w:r w:rsidRPr="00382CBA">
        <w:rPr>
          <w:rFonts w:ascii="Arial Regular" w:hAnsi="Arial Regular" w:cs="Arial Regular"/>
          <w:szCs w:val="24"/>
          <w:lang w:val="en-GB"/>
        </w:rPr>
        <w:t xml:space="preserve">As a worldwide hospitality company, financial restructuring must incorporate foreign financial risk and overall ethical business practice to make sure sustainable long-run performance. One essential consideration is taxation, as different nations have different tax regimes that make it important to keep tax efficiency along with aligning with global tax laws. Clear tax planning assists in avoiding legal regulations and safeguards the corporate reputation of the company (Suganda </w:t>
      </w:r>
      <w:r w:rsidRPr="00382CBA">
        <w:rPr>
          <w:rFonts w:ascii="Arial Regular" w:hAnsi="Arial Regular" w:cs="Arial Regular"/>
          <w:i/>
          <w:szCs w:val="24"/>
          <w:lang w:val="en-GB"/>
        </w:rPr>
        <w:t>et al</w:t>
      </w:r>
      <w:r w:rsidRPr="00382CBA">
        <w:rPr>
          <w:rFonts w:ascii="Arial Regular" w:hAnsi="Arial Regular" w:cs="Arial Regular"/>
          <w:szCs w:val="24"/>
          <w:lang w:val="en-GB"/>
        </w:rPr>
        <w:t>., 2024). Another essential factor is currency risk, as expenses and revenues are generated in various currencies and exchange rate fluctuations can considerably impact cash flows and earnings. Therefore, applying hedging approaches through natural hedging and forward contracts can decrease foreign exchange risk and advance financial stability. Moreover, effective currency risk management becomes essential during periods of worldwide economic uncertainty.</w:t>
      </w:r>
    </w:p>
    <w:p w14:paraId="74F2E4C6" w14:textId="77777777" w:rsidR="002D068E" w:rsidRPr="00382CBA" w:rsidRDefault="001F1C34">
      <w:pPr>
        <w:jc w:val="both"/>
        <w:rPr>
          <w:rFonts w:ascii="Arial Regular" w:hAnsi="Arial Regular" w:cs="Arial Regular"/>
          <w:szCs w:val="24"/>
          <w:lang w:val="en-GB"/>
        </w:rPr>
      </w:pPr>
      <w:r w:rsidRPr="00382CBA">
        <w:rPr>
          <w:rFonts w:ascii="Arial Regular" w:hAnsi="Arial Regular" w:cs="Arial Regular"/>
          <w:szCs w:val="24"/>
          <w:lang w:val="en-GB"/>
        </w:rPr>
        <w:lastRenderedPageBreak/>
        <w:t xml:space="preserve">Further, inflation also impacts overall operational expenses, involving utilities, employee wages, maintenance costs, and construction expenses. Higher inflation can decrease profit ratios if higher expenses cannot be passed to customers through pricing approaches. Thus, the company must regularly monitor inflation patterns, advance cost efficiency, and diversify suppliers to decrease cost pressure. Besides, from an ethical viewpoint, restructuring must align with robust CSR and ESG principles. Cost reduction strategy must avoid unnecessary workforce reductions that can inversely impact employee service quality and morale. Moreover, environmental approaches like energy-efficient hotels. Waste reduction, water conservation, and sustainable procurement can decrease operational expenses while increasing brand image (Bruns-Smith </w:t>
      </w:r>
      <w:r w:rsidRPr="00382CBA">
        <w:rPr>
          <w:rFonts w:ascii="Arial Regular" w:hAnsi="Arial Regular" w:cs="Arial Regular"/>
          <w:i/>
          <w:szCs w:val="24"/>
          <w:lang w:val="en-GB"/>
        </w:rPr>
        <w:t>et al</w:t>
      </w:r>
      <w:r w:rsidRPr="00382CBA">
        <w:rPr>
          <w:rFonts w:ascii="Arial Regular" w:hAnsi="Arial Regular" w:cs="Arial Regular"/>
          <w:szCs w:val="24"/>
          <w:lang w:val="en-GB"/>
        </w:rPr>
        <w:t>., 2015). Thus, integrating financial restructuring with global risk management and ESG practices will strengthen overall stakeholder trust, increase corporate resilience, attract socially responsible investors, and assist sustainable long-run business growth.</w:t>
      </w:r>
    </w:p>
    <w:p w14:paraId="253F6EFA" w14:textId="77777777" w:rsidR="002D068E" w:rsidRPr="00382CBA" w:rsidRDefault="001F1C34">
      <w:pPr>
        <w:pStyle w:val="Heading1"/>
        <w:numPr>
          <w:ilvl w:val="0"/>
          <w:numId w:val="1"/>
        </w:numPr>
        <w:spacing w:before="0" w:after="0" w:line="360" w:lineRule="auto"/>
        <w:jc w:val="both"/>
        <w:rPr>
          <w:rFonts w:ascii="Arial Regular" w:hAnsi="Arial Regular" w:cs="Arial Regular"/>
          <w:sz w:val="24"/>
          <w:szCs w:val="24"/>
          <w:lang w:val="en-GB"/>
        </w:rPr>
      </w:pPr>
      <w:bookmarkStart w:id="4" w:name="_Toc237532013"/>
      <w:r w:rsidRPr="00382CBA">
        <w:rPr>
          <w:rFonts w:ascii="Arial Regular" w:hAnsi="Arial Regular" w:cs="Arial Regular"/>
          <w:sz w:val="24"/>
          <w:szCs w:val="24"/>
          <w:lang w:val="en-GB"/>
        </w:rPr>
        <w:t>Investment Appraisal and Capital Budgeting</w:t>
      </w:r>
      <w:bookmarkEnd w:id="4"/>
    </w:p>
    <w:p w14:paraId="0D9127CB" w14:textId="77777777" w:rsidR="002D068E" w:rsidRPr="00382CBA" w:rsidRDefault="001F1C34">
      <w:pPr>
        <w:jc w:val="both"/>
        <w:rPr>
          <w:rFonts w:ascii="Arial Regular" w:hAnsi="Arial Regular" w:cs="Arial Regular"/>
          <w:szCs w:val="24"/>
          <w:lang w:val="en-GB"/>
        </w:rPr>
      </w:pPr>
      <w:r w:rsidRPr="00382CBA">
        <w:rPr>
          <w:rFonts w:ascii="Arial Regular" w:hAnsi="Arial Regular" w:cs="Arial Regular"/>
          <w:b/>
          <w:bCs/>
          <w:i/>
          <w:iCs/>
          <w:szCs w:val="24"/>
          <w:lang w:val="en-GB"/>
        </w:rPr>
        <w:t>Investment appraisal techniques</w:t>
      </w:r>
    </w:p>
    <w:p w14:paraId="14B0485A" w14:textId="77777777" w:rsidR="002D068E" w:rsidRPr="00382CBA" w:rsidRDefault="0055373A">
      <w:pPr>
        <w:jc w:val="both"/>
        <w:rPr>
          <w:rFonts w:ascii="Arial Regular" w:hAnsi="Arial Regular" w:cs="Arial Regular"/>
          <w:szCs w:val="24"/>
          <w:lang w:val="en-GB"/>
        </w:rPr>
      </w:pPr>
      <w:r w:rsidRPr="00382CBA">
        <w:rPr>
          <w:rFonts w:ascii="Arial Regular" w:eastAsia="SimSun" w:hAnsi="Arial Regular" w:cs="Arial Regular"/>
          <w:szCs w:val="24"/>
          <w:lang w:val="en-GB" w:bidi="ar"/>
        </w:rPr>
        <w:t>Investment appraisal techniques are the techniques used in attempt to assess the feasibility of an investment.</w:t>
      </w:r>
      <w:r w:rsidR="001F1C34" w:rsidRPr="00382CBA">
        <w:rPr>
          <w:rFonts w:ascii="Arial Regular" w:eastAsia="SimSun" w:hAnsi="Arial Regular" w:cs="Arial Regular"/>
          <w:szCs w:val="24"/>
          <w:lang w:val="en-GB" w:bidi="ar"/>
        </w:rPr>
        <w:t xml:space="preserve"> The evaluation of project feasibility is crucial since it requires heavy investment. Several techniques can be used for evaluating investment viability </w:t>
      </w:r>
      <w:r w:rsidRPr="00382CBA">
        <w:rPr>
          <w:rFonts w:ascii="Arial Regular" w:eastAsia="SimSun" w:hAnsi="Arial Regular" w:cs="Arial Regular"/>
          <w:szCs w:val="24"/>
          <w:lang w:val="en-GB" w:bidi="ar"/>
        </w:rPr>
        <w:t>For instance, payback period, Accounting Rate of Return (ARR), Net Present Value (NPV), Profitability Index (PI), and Internal Rate of Return (IRR).</w:t>
      </w:r>
      <w:r w:rsidR="001F1C34" w:rsidRPr="00382CBA">
        <w:rPr>
          <w:rFonts w:ascii="Arial Regular" w:eastAsia="SimSun" w:hAnsi="Arial Regular" w:cs="Arial Regular"/>
          <w:szCs w:val="24"/>
          <w:lang w:val="en-GB" w:bidi="ar"/>
        </w:rPr>
        <w:t xml:space="preserve"> Payback period refers to the technique that helps in calculating the time that a project takes to recoup initial investment. </w:t>
      </w:r>
      <w:r w:rsidRPr="00382CBA">
        <w:rPr>
          <w:rFonts w:ascii="Arial Regular" w:eastAsia="SimSun" w:hAnsi="Arial Regular" w:cs="Arial Regular"/>
          <w:szCs w:val="24"/>
          <w:lang w:val="en-GB" w:bidi="ar"/>
        </w:rPr>
        <w:t>It is used to determine the time required for a project to recover the initial investment.</w:t>
      </w:r>
      <w:r w:rsidR="001F1C34" w:rsidRPr="00382CBA">
        <w:rPr>
          <w:rFonts w:ascii="Arial Regular" w:eastAsia="SimSun" w:hAnsi="Arial Regular" w:cs="Arial Regular"/>
          <w:szCs w:val="24"/>
          <w:lang w:val="en-GB" w:bidi="ar"/>
        </w:rPr>
        <w:t xml:space="preserve"> It is easy to calculate and assists in measuring liquidity; however, it has several drawbacks. It ignores after-payback period cash flows as well as the time value of money (Drake, Fabozzi and Fabozzi, 2022).</w:t>
      </w:r>
    </w:p>
    <w:p w14:paraId="49D4619D" w14:textId="77777777" w:rsidR="002D068E" w:rsidRPr="00382CBA" w:rsidRDefault="0055373A">
      <w:pPr>
        <w:jc w:val="both"/>
        <w:rPr>
          <w:rFonts w:ascii="Arial Regular" w:hAnsi="Arial Regular" w:cs="Arial Regular"/>
          <w:szCs w:val="24"/>
          <w:lang w:val="en-GB"/>
        </w:rPr>
      </w:pPr>
      <w:r w:rsidRPr="00382CBA">
        <w:rPr>
          <w:rFonts w:ascii="Arial Regular" w:eastAsia="SimSun" w:hAnsi="Arial Regular" w:cs="Arial Regular"/>
          <w:szCs w:val="24"/>
          <w:lang w:val="en-GB" w:bidi="ar"/>
        </w:rPr>
        <w:t>Another tool is Accounting Rate of Return (ARR) and is used to measure profitability of an investment.</w:t>
      </w:r>
      <w:r w:rsidR="001F1C34" w:rsidRPr="00382CBA">
        <w:rPr>
          <w:rFonts w:ascii="Arial Regular" w:eastAsia="SimSun" w:hAnsi="Arial Regular" w:cs="Arial Regular"/>
          <w:szCs w:val="24"/>
          <w:lang w:val="en-GB" w:bidi="ar"/>
        </w:rPr>
        <w:t xml:space="preserve"> It is the only investment appraisal technique that considers profits and ignores cash flows. It can also be used for comparing with the required rate of return to select the highest profitable product. The higher the ARR, the more feasible it is to invest in the project. It is also easy to compute; however, ignorance of time value as well as profit timing are some of the key drawbacks of ARR (Birt et al., 2020).</w:t>
      </w:r>
    </w:p>
    <w:p w14:paraId="73B1915C" w14:textId="77777777" w:rsidR="002D068E" w:rsidRPr="00382CBA" w:rsidRDefault="0055373A">
      <w:pPr>
        <w:jc w:val="both"/>
        <w:rPr>
          <w:rFonts w:ascii="Arial Regular" w:hAnsi="Arial Regular" w:cs="Arial Regular"/>
          <w:szCs w:val="24"/>
          <w:lang w:val="en-GB"/>
        </w:rPr>
      </w:pPr>
      <w:r w:rsidRPr="00382CBA">
        <w:rPr>
          <w:rFonts w:ascii="Arial Regular" w:eastAsia="SimSun" w:hAnsi="Arial Regular" w:cs="Arial Regular"/>
          <w:szCs w:val="24"/>
          <w:lang w:val="en-GB" w:bidi="ar"/>
        </w:rPr>
        <w:lastRenderedPageBreak/>
        <w:t>One of the most useful techniques that takes into consideration the time value of money concept is Net Present Value (NPV). NPV can be used to decide the value of a project. It is only a reflection of the difference between present value of cash inflows and cash outflows.</w:t>
      </w:r>
      <w:r w:rsidR="001F1C34" w:rsidRPr="00382CBA">
        <w:rPr>
          <w:rFonts w:ascii="Arial Regular" w:eastAsia="SimSun" w:hAnsi="Arial Regular" w:cs="Arial Regular"/>
          <w:szCs w:val="24"/>
          <w:lang w:val="en-GB" w:bidi="ar"/>
        </w:rPr>
        <w:t xml:space="preserve"> The investment in a project with positive NPV is favourable; however, investing in negative NPV is not favourable as it does not create any value addition. The consideration of future cash flow risks and time value are the main advantages of NPV. However, estimation of discount rate is one of the major weakness of NPV.</w:t>
      </w:r>
    </w:p>
    <w:p w14:paraId="7E2261A4"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 xml:space="preserve">Profitability Index (PI) reflects the ration of cash flows and investment, which helps in identifying how much value is created on each unit of investment. </w:t>
      </w:r>
      <w:r w:rsidR="0055373A" w:rsidRPr="00382CBA">
        <w:rPr>
          <w:rFonts w:ascii="Arial Regular" w:eastAsia="SimSun" w:hAnsi="Arial Regular" w:cs="Arial Regular"/>
          <w:szCs w:val="24"/>
          <w:lang w:val="en-GB" w:bidi="ar"/>
        </w:rPr>
        <w:t>It accounts for time value and all future cash flows</w:t>
      </w:r>
      <w:r w:rsidRPr="00382CBA">
        <w:rPr>
          <w:rFonts w:ascii="Arial Regular" w:eastAsia="SimSun" w:hAnsi="Arial Regular" w:cs="Arial Regular"/>
          <w:szCs w:val="24"/>
          <w:lang w:val="en-GB" w:bidi="ar"/>
        </w:rPr>
        <w:t xml:space="preserve">; however, it also requires estimation of discount rate, which is major drawback of PI. </w:t>
      </w:r>
      <w:r w:rsidR="0055373A" w:rsidRPr="00382CBA">
        <w:rPr>
          <w:rFonts w:ascii="Arial Regular" w:eastAsia="SimSun" w:hAnsi="Arial Regular" w:cs="Arial Regular"/>
          <w:szCs w:val="24"/>
          <w:lang w:val="en-GB" w:bidi="ar"/>
        </w:rPr>
        <w:t>In addition, another method to check the chance of profitable investment is the internal rate of return (IRR). Cost of the project at which it comes to break even or neither makes profit or loss.</w:t>
      </w:r>
      <w:r w:rsidRPr="00382CBA">
        <w:rPr>
          <w:rFonts w:ascii="Arial Regular" w:eastAsia="SimSun" w:hAnsi="Arial Regular" w:cs="Arial Regular"/>
          <w:szCs w:val="24"/>
          <w:lang w:val="en-GB" w:bidi="ar"/>
        </w:rPr>
        <w:t xml:space="preserve"> It is quite difficult to compute IRR, and the same can also be used for selecting the best among different projects (Berk et al., 2013).</w:t>
      </w:r>
    </w:p>
    <w:p w14:paraId="0808CE16" w14:textId="77777777" w:rsidR="002D068E" w:rsidRPr="00382CBA" w:rsidRDefault="001F1C34">
      <w:pPr>
        <w:jc w:val="both"/>
        <w:rPr>
          <w:rFonts w:ascii="Arial Regular" w:hAnsi="Arial Regular" w:cs="Arial Regular"/>
          <w:szCs w:val="24"/>
          <w:lang w:val="en-GB"/>
        </w:rPr>
      </w:pPr>
      <w:r w:rsidRPr="00382CBA">
        <w:rPr>
          <w:rFonts w:ascii="Arial Regular" w:hAnsi="Arial Regular" w:cs="Arial Regular"/>
          <w:b/>
          <w:bCs/>
          <w:i/>
          <w:iCs/>
          <w:szCs w:val="24"/>
          <w:lang w:val="en-GB"/>
        </w:rPr>
        <w:t>Evaluation of results</w:t>
      </w:r>
    </w:p>
    <w:p w14:paraId="54D6DF0F" w14:textId="77777777" w:rsidR="002D068E" w:rsidRPr="00382CBA" w:rsidRDefault="001F1C34">
      <w:pPr>
        <w:jc w:val="both"/>
        <w:rPr>
          <w:rFonts w:ascii="Arial Regular" w:eastAsia="SimSun" w:hAnsi="Arial Regular" w:cs="Arial Regular"/>
          <w:szCs w:val="24"/>
          <w:lang w:val="en-GB" w:bidi="ar"/>
        </w:rPr>
      </w:pPr>
      <w:r w:rsidRPr="00382CBA">
        <w:rPr>
          <w:rFonts w:ascii="Arial Regular" w:eastAsia="SimSun" w:hAnsi="Arial Regular" w:cs="Arial Regular"/>
          <w:szCs w:val="24"/>
          <w:lang w:val="en-GB" w:bidi="ar"/>
        </w:rPr>
        <w:t>(see appendix 3 for detailed calculations)</w:t>
      </w:r>
    </w:p>
    <w:p w14:paraId="52381DB6" w14:textId="77777777" w:rsidR="002D068E" w:rsidRPr="00382CBA" w:rsidRDefault="0055373A">
      <w:pPr>
        <w:jc w:val="both"/>
        <w:rPr>
          <w:rFonts w:ascii="Arial Regular" w:hAnsi="Arial Regular" w:cs="Arial Regular"/>
          <w:szCs w:val="24"/>
          <w:lang w:val="en-GB"/>
        </w:rPr>
      </w:pPr>
      <w:r w:rsidRPr="00382CBA">
        <w:rPr>
          <w:rFonts w:ascii="Arial Regular" w:eastAsia="SimSun" w:hAnsi="Arial Regular" w:cs="Arial Regular"/>
          <w:szCs w:val="24"/>
          <w:lang w:val="en-GB" w:bidi="ar"/>
        </w:rPr>
        <w:t>When results were subjected to evaluation, it was determined that the payback period for project A, B and C is 4.5 years, 4.55 years and 3.60 years respectively. Project B will take the longest time; whereas, project C will take the least time to recoup the initial investment. Thus, based on payback period, investing in project C is feasible as it will enable the company to recover funds faster</w:t>
      </w:r>
      <w:r w:rsidR="001F1C34" w:rsidRPr="00382CBA">
        <w:rPr>
          <w:rFonts w:ascii="Arial Regular" w:eastAsia="SimSun" w:hAnsi="Arial Regular" w:cs="Arial Regular"/>
          <w:szCs w:val="24"/>
          <w:lang w:val="en-GB" w:bidi="ar"/>
        </w:rPr>
        <w:t>. Investing in the lowest payback period project is also beneficial as it assists in reducing investment risk as well as improving liquidity.</w:t>
      </w:r>
    </w:p>
    <w:p w14:paraId="4DD8B219"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Project A has reported an ARR of 1.60%, project B’s ARR is only 2%, and project C’s ARR is around 6%. Among the three projects, project C has reported the highest ARR, which implies that project C will generate more profits as compared to the other projects. Thus, it can be stated that the investment in project C is more beneficial as compared to project A and B.</w:t>
      </w:r>
    </w:p>
    <w:p w14:paraId="0D3540E7" w14:textId="77777777" w:rsidR="002D068E" w:rsidRPr="00382CBA" w:rsidRDefault="0055373A">
      <w:pPr>
        <w:jc w:val="both"/>
        <w:rPr>
          <w:rFonts w:ascii="Arial Regular" w:hAnsi="Arial Regular" w:cs="Arial Regular"/>
          <w:szCs w:val="24"/>
          <w:lang w:val="en-GB"/>
        </w:rPr>
      </w:pPr>
      <w:r w:rsidRPr="00382CBA">
        <w:rPr>
          <w:rFonts w:ascii="Arial Regular" w:eastAsia="SimSun" w:hAnsi="Arial Regular" w:cs="Arial Regular"/>
          <w:szCs w:val="24"/>
          <w:lang w:val="en-GB" w:bidi="ar"/>
        </w:rPr>
        <w:t>Project c is the only project that has not had a negative NPV.</w:t>
      </w:r>
      <w:r w:rsidR="001F1C34" w:rsidRPr="00382CBA">
        <w:rPr>
          <w:rFonts w:ascii="Arial Regular" w:eastAsia="SimSun" w:hAnsi="Arial Regular" w:cs="Arial Regular"/>
          <w:szCs w:val="24"/>
          <w:lang w:val="en-GB" w:bidi="ar"/>
        </w:rPr>
        <w:t xml:space="preserve"> Project A’s NPV is -£6.54 million, project B's NPV is -£6.08 million, and project C’s NPV is £0.86 million. Among the three projects, project C has generated positive NPV. </w:t>
      </w:r>
      <w:r w:rsidRPr="00382CBA">
        <w:rPr>
          <w:rFonts w:ascii="Arial Regular" w:eastAsia="SimSun" w:hAnsi="Arial Regular" w:cs="Arial Regular"/>
          <w:szCs w:val="24"/>
          <w:lang w:val="en-GB" w:bidi="ar"/>
        </w:rPr>
        <w:t>Even if the project has a negative NPV it is not desirable;</w:t>
      </w:r>
      <w:r w:rsidR="001F1C34" w:rsidRPr="00382CBA">
        <w:rPr>
          <w:rFonts w:ascii="Arial Regular" w:eastAsia="SimSun" w:hAnsi="Arial Regular" w:cs="Arial Regular"/>
          <w:szCs w:val="24"/>
          <w:lang w:val="en-GB" w:bidi="ar"/>
        </w:rPr>
        <w:t xml:space="preserve"> however, based on comparison with </w:t>
      </w:r>
      <w:r w:rsidR="001F1C34" w:rsidRPr="00382CBA">
        <w:rPr>
          <w:rFonts w:ascii="Arial Regular" w:eastAsia="SimSun" w:hAnsi="Arial Regular" w:cs="Arial Regular"/>
          <w:szCs w:val="24"/>
          <w:lang w:val="en-GB" w:bidi="ar"/>
        </w:rPr>
        <w:lastRenderedPageBreak/>
        <w:t>other projects, project C is suitable as it is the only project with positive NPV. It will assist in improving shareholder value as compared to other projects.</w:t>
      </w:r>
    </w:p>
    <w:p w14:paraId="4F078CE6"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 xml:space="preserve">Profitability index of all projects except project C is also less than 1. Project A reported a PI of 0.87, project B reported a PI of 0.88, and project C reported PI of 1.02. </w:t>
      </w:r>
      <w:r w:rsidR="0055373A" w:rsidRPr="00382CBA">
        <w:rPr>
          <w:rFonts w:ascii="Arial Regular" w:eastAsia="SimSun" w:hAnsi="Arial Regular" w:cs="Arial Regular"/>
          <w:szCs w:val="24"/>
          <w:lang w:val="en-GB" w:bidi="ar"/>
        </w:rPr>
        <w:t>The project C is compared with the other projects and the project C value of the PI is higher than 1.</w:t>
      </w:r>
      <w:r w:rsidRPr="00382CBA">
        <w:rPr>
          <w:rFonts w:ascii="Arial Regular" w:eastAsia="SimSun" w:hAnsi="Arial Regular" w:cs="Arial Regular"/>
          <w:szCs w:val="24"/>
          <w:lang w:val="en-GB" w:bidi="ar"/>
        </w:rPr>
        <w:t xml:space="preserve"> This shows that project C is very close to generating returns and covering the investment faster. Thus, based on PI, investing in project C is effective, and the company should ignore investment in project A and B.</w:t>
      </w:r>
    </w:p>
    <w:p w14:paraId="6FB5291F"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Internal rate of return (IRR) of projects A, B and C are 2.72%, 3.26%, and 8.59%. Both projects, namely A and B’s IRR less than the discount rate of 8%. However, project C’s IRR exceeds the discount rate, which implies that the investment will help in creating value addition for the company and its shareholders. Thus, based on IRR, it is suitable to invest in project C due to its high IRR.</w:t>
      </w:r>
    </w:p>
    <w:p w14:paraId="13F774BD"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Overall, it can be stated that no project meets the target of positive NPV; however, based on favourable payback period, ARR, PI and IRR, investing in project C is feasible. Investing in project C can be considered as strategic potential for the company in the long run as it will minimise the company’s financial losses.</w:t>
      </w:r>
    </w:p>
    <w:p w14:paraId="17462E7C" w14:textId="77777777" w:rsidR="002D068E" w:rsidRPr="00382CBA" w:rsidRDefault="001F1C34">
      <w:pPr>
        <w:jc w:val="both"/>
        <w:rPr>
          <w:rFonts w:ascii="Arial Regular" w:hAnsi="Arial Regular" w:cs="Arial Regular"/>
          <w:szCs w:val="24"/>
          <w:lang w:val="en-GB"/>
        </w:rPr>
      </w:pPr>
      <w:r w:rsidRPr="00382CBA">
        <w:rPr>
          <w:rFonts w:ascii="Arial Regular" w:hAnsi="Arial Regular" w:cs="Arial Regular"/>
          <w:b/>
          <w:bCs/>
          <w:i/>
          <w:iCs/>
          <w:szCs w:val="24"/>
          <w:lang w:val="en-GB"/>
        </w:rPr>
        <w:t>Recommendation through justifying financial performance and non-financial risk</w:t>
      </w:r>
    </w:p>
    <w:p w14:paraId="7A720AE2" w14:textId="77777777" w:rsidR="002D068E" w:rsidRPr="00382CBA" w:rsidRDefault="0055373A">
      <w:pPr>
        <w:jc w:val="both"/>
        <w:rPr>
          <w:rFonts w:ascii="Arial Regular" w:hAnsi="Arial Regular" w:cs="Arial Regular"/>
          <w:szCs w:val="24"/>
          <w:lang w:val="en-GB"/>
        </w:rPr>
      </w:pPr>
      <w:r w:rsidRPr="00382CBA">
        <w:rPr>
          <w:rFonts w:ascii="Arial Regular" w:eastAsia="SimSun" w:hAnsi="Arial Regular" w:cs="Arial Regular"/>
          <w:szCs w:val="24"/>
          <w:lang w:val="en-GB" w:bidi="ar"/>
        </w:rPr>
        <w:t>In the estimation of the financial performance, it was observed that the profitability position of the company has been negatively affected in the past 5 years due to decrease in profits and increase in operational expenses</w:t>
      </w:r>
      <w:r w:rsidR="001F1C34" w:rsidRPr="00382CBA">
        <w:rPr>
          <w:rFonts w:ascii="Arial Regular" w:eastAsia="SimSun" w:hAnsi="Arial Regular" w:cs="Arial Regular"/>
          <w:szCs w:val="24"/>
          <w:lang w:val="en-GB" w:bidi="ar"/>
        </w:rPr>
        <w:t xml:space="preserve">. Similarly, the liquidity has also been affected due to a rise in current liabilities, which makes it difficult to meet obligations on time. A rise in debt levels compared to equity has also increased the financial burden and risk on the company. The cash position of the company has also reduced over a period of time. </w:t>
      </w:r>
      <w:r w:rsidR="00006D6B" w:rsidRPr="00382CBA">
        <w:rPr>
          <w:rFonts w:ascii="Arial Regular" w:eastAsia="SimSun" w:hAnsi="Arial Regular" w:cs="Arial Regular"/>
          <w:szCs w:val="24"/>
          <w:lang w:val="en-GB" w:bidi="ar"/>
        </w:rPr>
        <w:t xml:space="preserve">This indicates a negative impact on the financial performance over the past 5 years, </w:t>
      </w:r>
      <w:r w:rsidR="001F1C34" w:rsidRPr="00382CBA">
        <w:rPr>
          <w:rFonts w:ascii="Arial Regular" w:eastAsia="SimSun" w:hAnsi="Arial Regular" w:cs="Arial Regular"/>
          <w:szCs w:val="24"/>
          <w:lang w:val="en-GB" w:bidi="ar"/>
        </w:rPr>
        <w:t>which requires a careful investment plan that can help in generating sufficient cash flows to improve liquidity and overall financial performance of the company. Project C seems to be a better investment opportunity due to the highest profitability and faster investment recovery. Faster recovery can help the company in improving liquidity as well as preserving cash flows.</w:t>
      </w:r>
    </w:p>
    <w:p w14:paraId="04187704"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 xml:space="preserve">In addition to this, there are also several non-financial factors of the company that support investment in Project C. The hotel operates in a competitive business environment, wherein several factors affect profitability, such as innovation, sustainability, and others. Investment in projects that improve satisfaction, innovation, </w:t>
      </w:r>
      <w:r w:rsidRPr="00382CBA">
        <w:rPr>
          <w:rFonts w:ascii="Arial Regular" w:eastAsia="SimSun" w:hAnsi="Arial Regular" w:cs="Arial Regular"/>
          <w:szCs w:val="24"/>
          <w:lang w:val="en-GB" w:bidi="ar"/>
        </w:rPr>
        <w:lastRenderedPageBreak/>
        <w:t>and sustainability can prove to be helpful for gaining a competitive advantage in the long run. Similarly, investment in a feasible project can also prove to be favourable for addressing different non-financial risks like changing regulations, political instability, and others.</w:t>
      </w:r>
    </w:p>
    <w:p w14:paraId="399A921F"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Thus, it can be stated that project C is feasible despite the negative NPV as it will help in gaining strategic advantage in the long run.</w:t>
      </w:r>
    </w:p>
    <w:p w14:paraId="79E4758B" w14:textId="77777777" w:rsidR="002D068E" w:rsidRPr="00382CBA" w:rsidRDefault="001F1C34">
      <w:pPr>
        <w:jc w:val="both"/>
        <w:rPr>
          <w:rFonts w:ascii="Arial Regular" w:hAnsi="Arial Regular" w:cs="Arial Regular"/>
          <w:szCs w:val="24"/>
          <w:lang w:val="en-GB"/>
        </w:rPr>
      </w:pPr>
      <w:r w:rsidRPr="00382CBA">
        <w:rPr>
          <w:rFonts w:ascii="Arial Regular" w:hAnsi="Arial Regular" w:cs="Arial Regular"/>
          <w:b/>
          <w:bCs/>
          <w:i/>
          <w:iCs/>
          <w:szCs w:val="24"/>
          <w:lang w:val="en-GB"/>
        </w:rPr>
        <w:t>Suggestion for capital rationing</w:t>
      </w:r>
    </w:p>
    <w:p w14:paraId="4C7E3DDF"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In case of capital rationing of £100 million, a proper evaluation is required for achieving maximum benefits. Based on the results, it can be said that the combination of projects B and C helps gain the highest benefits. Project C will provide stable cash flows, and project C will provide higher cash flows to the company. Project C has a positive NPV and high IRR, which can prove to be beneficial in creating value addition. It will also help in generating higher profits compared to investing in projects A and B.</w:t>
      </w:r>
    </w:p>
    <w:p w14:paraId="22186EE7"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szCs w:val="24"/>
          <w:lang w:val="en-GB" w:bidi="ar"/>
        </w:rPr>
        <w:t>Similarly, investing in project A and B is not worthwhile for the company. Both projects have generated adverse results like negative NPV, high payback, and low ARR. Therefore, it can be stated that the optimal capital rationing is to invest cumulatively in project B and C. This will cover a £100 million investment and help in achieving strategic as well as financial benefits.</w:t>
      </w:r>
    </w:p>
    <w:p w14:paraId="1E63540F" w14:textId="77777777" w:rsidR="002D068E" w:rsidRPr="00382CBA" w:rsidRDefault="001F1C34">
      <w:pPr>
        <w:pStyle w:val="Heading1"/>
        <w:numPr>
          <w:ilvl w:val="0"/>
          <w:numId w:val="1"/>
        </w:numPr>
        <w:spacing w:before="0" w:after="0" w:line="360" w:lineRule="auto"/>
        <w:jc w:val="both"/>
        <w:rPr>
          <w:rFonts w:ascii="Arial Regular" w:hAnsi="Arial Regular" w:cs="Arial Regular"/>
          <w:sz w:val="24"/>
          <w:szCs w:val="24"/>
          <w:lang w:val="en-GB"/>
        </w:rPr>
      </w:pPr>
      <w:bookmarkStart w:id="5" w:name="_Toc237532014"/>
      <w:r w:rsidRPr="00382CBA">
        <w:rPr>
          <w:rFonts w:ascii="Arial Regular" w:hAnsi="Arial Regular" w:cs="Arial Regular"/>
          <w:sz w:val="24"/>
          <w:szCs w:val="24"/>
          <w:lang w:val="en-GB"/>
        </w:rPr>
        <w:t>Critical Reflection on AI Usage</w:t>
      </w:r>
      <w:bookmarkEnd w:id="5"/>
    </w:p>
    <w:p w14:paraId="639C8981"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b/>
          <w:bCs/>
          <w:szCs w:val="24"/>
          <w:lang w:val="en-GB" w:bidi="ar"/>
        </w:rPr>
        <w:t>Tool Disclosure</w:t>
      </w:r>
      <w:r w:rsidRPr="00382CBA">
        <w:rPr>
          <w:rFonts w:ascii="Arial Regular" w:eastAsia="SimSun" w:hAnsi="Arial Regular" w:cs="Arial Regular"/>
          <w:szCs w:val="24"/>
          <w:lang w:val="en-GB" w:bidi="ar"/>
        </w:rPr>
        <w:t xml:space="preserve">: AI like ChatGPT has been used for the current report, wherein different tasks have been assigned to the AI. For instance, AI helped in explaining ratios, improving writing quality, identifying core problems, and others. However, </w:t>
      </w:r>
      <w:proofErr w:type="spellStart"/>
      <w:r w:rsidRPr="00382CBA">
        <w:rPr>
          <w:rFonts w:ascii="Arial Regular" w:eastAsia="SimSun" w:hAnsi="Arial Regular" w:cs="Arial Regular"/>
          <w:szCs w:val="24"/>
          <w:lang w:val="en-GB" w:bidi="ar"/>
        </w:rPr>
        <w:t>self calculations</w:t>
      </w:r>
      <w:proofErr w:type="spellEnd"/>
      <w:r w:rsidRPr="00382CBA">
        <w:rPr>
          <w:rFonts w:ascii="Arial Regular" w:eastAsia="SimSun" w:hAnsi="Arial Regular" w:cs="Arial Regular"/>
          <w:szCs w:val="24"/>
          <w:lang w:val="en-GB" w:bidi="ar"/>
        </w:rPr>
        <w:t xml:space="preserve"> has been made for ratio analysis and investment appraisal techniques. The company’s annual report has been used for carrying out ratio analysis.</w:t>
      </w:r>
    </w:p>
    <w:p w14:paraId="075413B3"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b/>
          <w:bCs/>
          <w:szCs w:val="24"/>
          <w:lang w:val="en-GB" w:bidi="ar"/>
        </w:rPr>
        <w:t>Evaluation of AI output</w:t>
      </w:r>
      <w:r w:rsidRPr="00382CBA">
        <w:rPr>
          <w:rFonts w:ascii="Arial Regular" w:eastAsia="SimSun" w:hAnsi="Arial Regular" w:cs="Arial Regular"/>
          <w:szCs w:val="24"/>
          <w:lang w:val="en-GB" w:bidi="ar"/>
        </w:rPr>
        <w:t>: AI can help in generating fast results; however, its accuracy cannot be guaranteed. Figures used in ratio analysis have been cross-verified with financial statements, and independent calculations have helped in verifying the accuracy of AI response. AI also provided some generic recommendations as part of financial strategy; however, several recommendations has been changed in alignment with the sector in which the company operates.</w:t>
      </w:r>
    </w:p>
    <w:p w14:paraId="3F847AD7"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b/>
          <w:bCs/>
          <w:szCs w:val="24"/>
          <w:lang w:val="en-GB" w:bidi="ar"/>
        </w:rPr>
        <w:t>Contribution Analysis</w:t>
      </w:r>
      <w:r w:rsidRPr="00382CBA">
        <w:rPr>
          <w:rFonts w:ascii="Arial Regular" w:eastAsia="SimSun" w:hAnsi="Arial Regular" w:cs="Arial Regular"/>
          <w:szCs w:val="24"/>
          <w:lang w:val="en-GB" w:bidi="ar"/>
        </w:rPr>
        <w:t xml:space="preserve">: The report reflects the result of both AI and individual analysis. AI is being used for making structure and refinement of the report; whereas, individual analysis has been carried out for interpreting ratios and investment </w:t>
      </w:r>
      <w:r w:rsidRPr="00382CBA">
        <w:rPr>
          <w:rFonts w:ascii="Arial Regular" w:eastAsia="SimSun" w:hAnsi="Arial Regular" w:cs="Arial Regular"/>
          <w:szCs w:val="24"/>
          <w:lang w:val="en-GB" w:bidi="ar"/>
        </w:rPr>
        <w:lastRenderedPageBreak/>
        <w:t>appraisal technique results. Each ratio has been analysed in detail for identifying core problems like falling profit, liquidity issues, and debt issues. Similarly, investment appraisal result analysis is also carried out by the author and linked with the hotel industry. No part of any information has been directly taken from AI response.</w:t>
      </w:r>
    </w:p>
    <w:p w14:paraId="58696884" w14:textId="77777777" w:rsidR="002D068E" w:rsidRPr="00382CBA" w:rsidRDefault="001F1C34">
      <w:pPr>
        <w:jc w:val="both"/>
        <w:rPr>
          <w:rFonts w:ascii="Arial Regular" w:hAnsi="Arial Regular" w:cs="Arial Regular"/>
          <w:szCs w:val="24"/>
          <w:lang w:val="en-GB"/>
        </w:rPr>
      </w:pPr>
      <w:r w:rsidRPr="00382CBA">
        <w:rPr>
          <w:rFonts w:ascii="Arial Regular" w:eastAsia="SimSun" w:hAnsi="Arial Regular" w:cs="Arial Regular"/>
          <w:b/>
          <w:bCs/>
          <w:szCs w:val="24"/>
          <w:lang w:val="en-GB" w:bidi="ar"/>
        </w:rPr>
        <w:t>Ethical and Professional Reflection</w:t>
      </w:r>
      <w:r w:rsidRPr="00382CBA">
        <w:rPr>
          <w:rFonts w:ascii="Arial Regular" w:eastAsia="SimSun" w:hAnsi="Arial Regular" w:cs="Arial Regular"/>
          <w:szCs w:val="24"/>
          <w:lang w:val="en-GB" w:bidi="ar"/>
        </w:rPr>
        <w:t>: Although Ai can prove to be highly effective as it summarize large information in a short time and automates calculations; however, over reliance on AI can affect professional scepticism, as it can create risks due to algorithmic bias or wrong analysis. A finance manager is ethically responsible for ensuring that results generated by AI are matched with reliable sources of evidence. Besides this, decisions like financial restructuring and others also require qualitative considerations that sometimes AI fails to evaluate. It is also a company's duty to protect data while using AI tools. Similarly, transparency and AI disclosure are also crucial as it helps in enhancing accountability and stakeholders' confidence. Therefore, it can be said that AI assisted in enhancing report efficiency; however, the credibility of the entire information covered in the report mainly depends on self-research and critical evaluation of the company’s information.</w:t>
      </w:r>
    </w:p>
    <w:p w14:paraId="5EDB64B2" w14:textId="77777777" w:rsidR="002D068E" w:rsidRPr="00382CBA" w:rsidRDefault="001F1C34">
      <w:pPr>
        <w:pStyle w:val="Heading1"/>
        <w:numPr>
          <w:ilvl w:val="0"/>
          <w:numId w:val="1"/>
        </w:numPr>
        <w:spacing w:before="0" w:after="0" w:line="360" w:lineRule="auto"/>
        <w:jc w:val="both"/>
        <w:rPr>
          <w:rFonts w:ascii="Arial Regular" w:hAnsi="Arial Regular" w:cs="Arial Regular"/>
          <w:sz w:val="24"/>
          <w:szCs w:val="24"/>
          <w:lang w:val="en-GB"/>
        </w:rPr>
      </w:pPr>
      <w:bookmarkStart w:id="6" w:name="_Toc237532015"/>
      <w:r w:rsidRPr="00382CBA">
        <w:rPr>
          <w:rFonts w:ascii="Arial Regular" w:hAnsi="Arial Regular" w:cs="Arial Regular"/>
          <w:sz w:val="24"/>
          <w:szCs w:val="24"/>
          <w:lang w:val="en-GB"/>
        </w:rPr>
        <w:t>Conclusion</w:t>
      </w:r>
      <w:bookmarkEnd w:id="6"/>
    </w:p>
    <w:p w14:paraId="21B2EB37" w14:textId="77777777" w:rsidR="002D068E" w:rsidRPr="00382CBA" w:rsidRDefault="001F1C34">
      <w:pPr>
        <w:jc w:val="both"/>
        <w:rPr>
          <w:rFonts w:ascii="Arial Regular" w:eastAsia="SimSun" w:hAnsi="Arial Regular" w:cs="Arial Regular"/>
          <w:szCs w:val="24"/>
          <w:lang w:val="en-GB" w:bidi="ar"/>
        </w:rPr>
      </w:pPr>
      <w:r w:rsidRPr="00382CBA">
        <w:rPr>
          <w:rFonts w:ascii="Arial Regular" w:eastAsia="SimSun" w:hAnsi="Arial Regular" w:cs="Arial Regular"/>
          <w:szCs w:val="24"/>
          <w:lang w:val="en-GB" w:bidi="ar"/>
        </w:rPr>
        <w:t xml:space="preserve">It can be deduced from the analysis of the above report that the financial health of the company has degraded over the last 5 years. A fall in profits, low liquidity, high debts, and others are some of the main core problems. However, a negative cash operating cycle reflects that the company is managing working capital effectively. Improving customer engagement, marketing, and reducing expenses can help in improving profits, liquidity and financial risk. Further, the proposed financial restructuring plan focuses on decreasing leverage, improving operational efficiency, strengthening liquidity, and assisting sustainable growth. By integrating debt restructuring, equity financing, strategic asset optimisation, and robust ESG practices, the hotel chain can increase shareholder value, advance financial resilience and keep long-run competitiveness in the worldwide hospitality industry. </w:t>
      </w:r>
      <w:r w:rsidR="00006D6B" w:rsidRPr="00382CBA">
        <w:rPr>
          <w:rFonts w:ascii="Arial Regular" w:eastAsia="SimSun" w:hAnsi="Arial Regular" w:cs="Arial Regular"/>
          <w:szCs w:val="24"/>
          <w:lang w:val="en-GB" w:bidi="ar"/>
        </w:rPr>
        <w:t>Besides this, use of investment appraisal techniques showed that investment in project C is better because it is the only project with positive NPV.</w:t>
      </w:r>
      <w:r w:rsidRPr="00382CBA">
        <w:rPr>
          <w:rFonts w:ascii="Arial Regular" w:eastAsia="SimSun" w:hAnsi="Arial Regular" w:cs="Arial Regular"/>
          <w:szCs w:val="24"/>
          <w:lang w:val="en-GB" w:bidi="ar"/>
        </w:rPr>
        <w:t xml:space="preserve"> However, in case of capital rationing, the company can invest in project B and C as the same will provide strategic benefits in the long run and help in gaining a competitive edge in the hotel industry.</w:t>
      </w:r>
    </w:p>
    <w:p w14:paraId="67F65BB1" w14:textId="77777777" w:rsidR="002D068E" w:rsidRPr="00382CBA" w:rsidRDefault="001F1C34">
      <w:pPr>
        <w:jc w:val="both"/>
        <w:rPr>
          <w:rFonts w:ascii="Arial Regular" w:eastAsia="SimSun" w:hAnsi="Arial Regular" w:cs="Arial Regular"/>
          <w:b/>
          <w:bCs/>
          <w:szCs w:val="24"/>
          <w:lang w:val="en-GB" w:bidi="ar"/>
        </w:rPr>
      </w:pPr>
      <w:r w:rsidRPr="00382CBA">
        <w:rPr>
          <w:rFonts w:ascii="Arial Regular" w:eastAsia="SimSun" w:hAnsi="Arial Regular" w:cs="Arial Regular"/>
          <w:b/>
          <w:bCs/>
          <w:szCs w:val="24"/>
          <w:lang w:val="en-GB" w:bidi="ar"/>
        </w:rPr>
        <w:br w:type="page"/>
      </w:r>
    </w:p>
    <w:p w14:paraId="712896C6" w14:textId="77777777" w:rsidR="002D068E" w:rsidRPr="00382CBA" w:rsidRDefault="001F1C34">
      <w:pPr>
        <w:pStyle w:val="Heading1"/>
        <w:numPr>
          <w:ilvl w:val="0"/>
          <w:numId w:val="1"/>
        </w:numPr>
        <w:spacing w:before="0" w:after="0" w:line="360" w:lineRule="auto"/>
        <w:jc w:val="both"/>
        <w:rPr>
          <w:rFonts w:ascii="Arial Regular" w:eastAsia="SimSun" w:hAnsi="Arial Regular" w:cs="Arial Regular"/>
          <w:kern w:val="0"/>
          <w:sz w:val="24"/>
          <w:szCs w:val="24"/>
          <w:lang w:val="en-GB" w:bidi="ar"/>
        </w:rPr>
      </w:pPr>
      <w:bookmarkStart w:id="7" w:name="_Toc237532016"/>
      <w:r w:rsidRPr="00382CBA">
        <w:rPr>
          <w:rFonts w:ascii="Arial Regular" w:hAnsi="Arial Regular" w:cs="Arial Regular"/>
          <w:sz w:val="24"/>
          <w:szCs w:val="24"/>
          <w:lang w:val="en-GB"/>
        </w:rPr>
        <w:lastRenderedPageBreak/>
        <w:t>References</w:t>
      </w:r>
      <w:bookmarkEnd w:id="7"/>
    </w:p>
    <w:p w14:paraId="3D2D2556" w14:textId="77777777" w:rsidR="002D068E" w:rsidRPr="00382CBA" w:rsidRDefault="001F1C34" w:rsidP="00FB4151">
      <w:pPr>
        <w:spacing w:beforeLines="100" w:before="240" w:afterLines="100" w:after="240"/>
        <w:jc w:val="both"/>
        <w:rPr>
          <w:rFonts w:ascii="Arial Regular" w:hAnsi="Arial Regular" w:cs="Arial Regular"/>
          <w:szCs w:val="24"/>
          <w:lang w:val="en-GB"/>
        </w:rPr>
      </w:pPr>
      <w:r w:rsidRPr="00382CBA">
        <w:rPr>
          <w:rFonts w:ascii="Arial Regular" w:hAnsi="Arial Regular" w:cs="Arial Regular"/>
          <w:szCs w:val="24"/>
          <w:lang w:val="en-GB"/>
        </w:rPr>
        <w:t xml:space="preserve">ACCA. (2026) ‘Ratio analysis’, Available at: </w:t>
      </w:r>
      <w:hyperlink r:id="rId15" w:history="1">
        <w:r w:rsidRPr="00382CBA">
          <w:rPr>
            <w:rStyle w:val="Hyperlink"/>
            <w:rFonts w:ascii="Arial Regular" w:hAnsi="Arial Regular" w:cs="Arial Regular"/>
            <w:szCs w:val="24"/>
            <w:lang w:val="en-GB"/>
          </w:rPr>
          <w:t>https://www.accaglobal.com/in/en/student/exam-support-resources/fundamentals-exams-study-resources/f2/technical-articles/ratio-analysis.html</w:t>
        </w:r>
      </w:hyperlink>
      <w:r w:rsidRPr="00382CBA">
        <w:rPr>
          <w:rFonts w:ascii="Arial Regular" w:hAnsi="Arial Regular" w:cs="Arial Regular"/>
          <w:szCs w:val="24"/>
          <w:lang w:val="en-GB"/>
        </w:rPr>
        <w:t xml:space="preserve"> (Accessed: 22 July 2026).</w:t>
      </w:r>
    </w:p>
    <w:p w14:paraId="07FE3461" w14:textId="77777777" w:rsidR="002D068E" w:rsidRPr="00382CBA" w:rsidRDefault="001F1C34" w:rsidP="00FB4151">
      <w:pPr>
        <w:spacing w:beforeLines="100" w:before="240" w:afterLines="100" w:after="240"/>
        <w:jc w:val="both"/>
        <w:rPr>
          <w:rFonts w:ascii="Arial Regular" w:hAnsi="Arial Regular" w:cs="Arial Regular"/>
          <w:szCs w:val="24"/>
          <w:lang w:val="en-GB"/>
        </w:rPr>
      </w:pPr>
      <w:r w:rsidRPr="00382CBA">
        <w:rPr>
          <w:rFonts w:ascii="Arial Regular" w:hAnsi="Arial Regular" w:cs="Arial Regular"/>
          <w:szCs w:val="24"/>
          <w:lang w:val="en-GB"/>
        </w:rPr>
        <w:t xml:space="preserve">Ali, R. (2021) ‘How to Improve Your Business’s Financial Performance’, Available at: </w:t>
      </w:r>
      <w:hyperlink r:id="rId16" w:history="1">
        <w:r w:rsidRPr="00382CBA">
          <w:rPr>
            <w:rStyle w:val="Hyperlink"/>
            <w:rFonts w:ascii="Arial Regular" w:hAnsi="Arial Regular" w:cs="Arial Regular"/>
            <w:szCs w:val="24"/>
            <w:lang w:val="en-GB"/>
          </w:rPr>
          <w:t>https://www.netsuite.com/portal/resource/articles/financial-management/improve-financial-performance.shtml</w:t>
        </w:r>
      </w:hyperlink>
      <w:r w:rsidRPr="00382CBA">
        <w:rPr>
          <w:rFonts w:ascii="Arial Regular" w:hAnsi="Arial Regular" w:cs="Arial Regular"/>
          <w:szCs w:val="24"/>
          <w:lang w:val="en-GB"/>
        </w:rPr>
        <w:t xml:space="preserve"> (Accessed: 22 July 2026).</w:t>
      </w:r>
    </w:p>
    <w:p w14:paraId="3E2C2270" w14:textId="77777777" w:rsidR="002D068E" w:rsidRPr="00382CBA" w:rsidRDefault="001F1C34" w:rsidP="00FB4151">
      <w:pPr>
        <w:spacing w:beforeLines="100" w:before="240" w:afterLines="100" w:after="240"/>
        <w:jc w:val="both"/>
        <w:rPr>
          <w:rFonts w:ascii="Arial Regular" w:hAnsi="Arial Regular" w:cs="Arial Regular"/>
          <w:szCs w:val="24"/>
          <w:lang w:val="en-GB"/>
        </w:rPr>
      </w:pPr>
      <w:proofErr w:type="spellStart"/>
      <w:r w:rsidRPr="00382CBA">
        <w:rPr>
          <w:rFonts w:ascii="Arial Regular" w:hAnsi="Arial Regular" w:cs="Arial Regular"/>
          <w:szCs w:val="24"/>
          <w:lang w:val="en-GB"/>
        </w:rPr>
        <w:t>Atere</w:t>
      </w:r>
      <w:proofErr w:type="spellEnd"/>
      <w:r w:rsidRPr="00382CBA">
        <w:rPr>
          <w:rFonts w:ascii="Arial Regular" w:hAnsi="Arial Regular" w:cs="Arial Regular"/>
          <w:szCs w:val="24"/>
          <w:lang w:val="en-GB"/>
        </w:rPr>
        <w:t xml:space="preserve">, D.E.B.O.R.A.H., </w:t>
      </w:r>
      <w:proofErr w:type="spellStart"/>
      <w:r w:rsidRPr="00382CBA">
        <w:rPr>
          <w:rFonts w:ascii="Arial Regular" w:hAnsi="Arial Regular" w:cs="Arial Regular"/>
          <w:szCs w:val="24"/>
          <w:lang w:val="en-GB"/>
        </w:rPr>
        <w:t>Shobande</w:t>
      </w:r>
      <w:proofErr w:type="spellEnd"/>
      <w:r w:rsidRPr="00382CBA">
        <w:rPr>
          <w:rFonts w:ascii="Arial Regular" w:hAnsi="Arial Regular" w:cs="Arial Regular"/>
          <w:szCs w:val="24"/>
          <w:lang w:val="en-GB"/>
        </w:rPr>
        <w:t xml:space="preserve">, A.O. and </w:t>
      </w:r>
      <w:proofErr w:type="spellStart"/>
      <w:r w:rsidRPr="00382CBA">
        <w:rPr>
          <w:rFonts w:ascii="Arial Regular" w:hAnsi="Arial Regular" w:cs="Arial Regular"/>
          <w:szCs w:val="24"/>
          <w:lang w:val="en-GB"/>
        </w:rPr>
        <w:t>Toluwase</w:t>
      </w:r>
      <w:proofErr w:type="spellEnd"/>
      <w:r w:rsidRPr="00382CBA">
        <w:rPr>
          <w:rFonts w:ascii="Arial Regular" w:hAnsi="Arial Regular" w:cs="Arial Regular"/>
          <w:szCs w:val="24"/>
          <w:lang w:val="en-GB"/>
        </w:rPr>
        <w:t xml:space="preserve">, I.H. (2019). ‘Framework for designing effective corporate restructuring strategies to optimize liquidity and working capital’ </w:t>
      </w:r>
      <w:r w:rsidRPr="00382CBA">
        <w:rPr>
          <w:rFonts w:ascii="Arial Regular" w:hAnsi="Arial Regular" w:cs="Arial Regular"/>
          <w:i/>
          <w:szCs w:val="24"/>
          <w:lang w:val="en-GB"/>
        </w:rPr>
        <w:t>IRE Journals</w:t>
      </w:r>
      <w:r w:rsidRPr="00382CBA">
        <w:rPr>
          <w:rFonts w:ascii="Arial Regular" w:hAnsi="Arial Regular" w:cs="Arial Regular"/>
          <w:szCs w:val="24"/>
          <w:lang w:val="en-GB"/>
        </w:rPr>
        <w:t xml:space="preserve">, 2(10), pp.555-562. Available at: </w:t>
      </w:r>
      <w:hyperlink r:id="rId17" w:history="1">
        <w:r w:rsidRPr="00382CBA">
          <w:rPr>
            <w:rStyle w:val="Hyperlink"/>
            <w:rFonts w:ascii="Arial Regular" w:hAnsi="Arial Regular" w:cs="Arial Regular"/>
            <w:szCs w:val="24"/>
            <w:lang w:val="en-GB"/>
          </w:rPr>
          <w:t>https://www.researchgate.net/profile/Deborah-Atere-2/publication/399419573_Framework_for_Designing_Effective_Corporate_Restructuring_Strategies_to_Optimize_Liquidity_and_Working_Capital/links/6959b11a27359023a013262d/Framework-for-Designing-Effective-Corporate-Restructuring-Strategies-to-Optimize-Liquidity-and-Working-Capital.pdf</w:t>
        </w:r>
      </w:hyperlink>
      <w:r w:rsidRPr="00382CBA">
        <w:rPr>
          <w:rFonts w:ascii="Arial Regular" w:hAnsi="Arial Regular" w:cs="Arial Regular"/>
          <w:szCs w:val="24"/>
          <w:lang w:val="en-GB"/>
        </w:rPr>
        <w:t xml:space="preserve"> </w:t>
      </w:r>
    </w:p>
    <w:p w14:paraId="3E31FB2E" w14:textId="77777777" w:rsidR="002D068E" w:rsidRPr="00382CBA" w:rsidRDefault="001F1C34" w:rsidP="00FB4151">
      <w:pPr>
        <w:spacing w:beforeLines="100" w:before="240" w:afterLines="100" w:after="240"/>
        <w:jc w:val="both"/>
        <w:rPr>
          <w:rFonts w:ascii="Arial Regular" w:hAnsi="Arial Regular" w:cs="Arial Regular"/>
          <w:color w:val="222222"/>
          <w:szCs w:val="24"/>
          <w:shd w:val="clear" w:color="auto" w:fill="FFFFFF"/>
          <w:lang w:val="en-GB"/>
        </w:rPr>
      </w:pPr>
      <w:r w:rsidRPr="00382CBA">
        <w:rPr>
          <w:rFonts w:ascii="Arial Regular" w:hAnsi="Arial Regular" w:cs="Arial Regular"/>
          <w:color w:val="222222"/>
          <w:szCs w:val="24"/>
          <w:shd w:val="clear" w:color="auto" w:fill="FFFFFF"/>
          <w:lang w:val="en-GB"/>
        </w:rPr>
        <w:t>Attah, R.U., Garba, B.M.P., Gil-</w:t>
      </w:r>
      <w:proofErr w:type="spellStart"/>
      <w:r w:rsidRPr="00382CBA">
        <w:rPr>
          <w:rFonts w:ascii="Arial Regular" w:hAnsi="Arial Regular" w:cs="Arial Regular"/>
          <w:color w:val="222222"/>
          <w:szCs w:val="24"/>
          <w:shd w:val="clear" w:color="auto" w:fill="FFFFFF"/>
          <w:lang w:val="en-GB"/>
        </w:rPr>
        <w:t>Ozoudeh</w:t>
      </w:r>
      <w:proofErr w:type="spellEnd"/>
      <w:r w:rsidRPr="00382CBA">
        <w:rPr>
          <w:rFonts w:ascii="Arial Regular" w:hAnsi="Arial Regular" w:cs="Arial Regular"/>
          <w:color w:val="222222"/>
          <w:szCs w:val="24"/>
          <w:shd w:val="clear" w:color="auto" w:fill="FFFFFF"/>
          <w:lang w:val="en-GB"/>
        </w:rPr>
        <w:t xml:space="preserve">, I. and </w:t>
      </w:r>
      <w:proofErr w:type="spellStart"/>
      <w:r w:rsidRPr="00382CBA">
        <w:rPr>
          <w:rFonts w:ascii="Arial Regular" w:hAnsi="Arial Regular" w:cs="Arial Regular"/>
          <w:color w:val="222222"/>
          <w:szCs w:val="24"/>
          <w:shd w:val="clear" w:color="auto" w:fill="FFFFFF"/>
          <w:lang w:val="en-GB"/>
        </w:rPr>
        <w:t>Iwuanyanwu</w:t>
      </w:r>
      <w:proofErr w:type="spellEnd"/>
      <w:r w:rsidRPr="00382CBA">
        <w:rPr>
          <w:rFonts w:ascii="Arial Regular" w:hAnsi="Arial Regular" w:cs="Arial Regular"/>
          <w:color w:val="222222"/>
          <w:szCs w:val="24"/>
          <w:shd w:val="clear" w:color="auto" w:fill="FFFFFF"/>
          <w:lang w:val="en-GB"/>
        </w:rPr>
        <w:t>, O. (2024). ‘Evaluating strategic technology partnerships: Providing conceptual insights into their role in corporate strategy and technological innovation’ </w:t>
      </w:r>
      <w:r w:rsidRPr="00382CBA">
        <w:rPr>
          <w:rFonts w:ascii="Arial Regular" w:hAnsi="Arial Regular" w:cs="Arial Regular"/>
          <w:i/>
          <w:iCs/>
          <w:color w:val="222222"/>
          <w:szCs w:val="24"/>
          <w:shd w:val="clear" w:color="auto" w:fill="FFFFFF"/>
          <w:lang w:val="en-GB"/>
        </w:rPr>
        <w:t xml:space="preserve">Int J Front Sci </w:t>
      </w:r>
      <w:proofErr w:type="spellStart"/>
      <w:r w:rsidRPr="00382CBA">
        <w:rPr>
          <w:rFonts w:ascii="Arial Regular" w:hAnsi="Arial Regular" w:cs="Arial Regular"/>
          <w:i/>
          <w:iCs/>
          <w:color w:val="222222"/>
          <w:szCs w:val="24"/>
          <w:shd w:val="clear" w:color="auto" w:fill="FFFFFF"/>
          <w:lang w:val="en-GB"/>
        </w:rPr>
        <w:t>Technol</w:t>
      </w:r>
      <w:proofErr w:type="spellEnd"/>
      <w:r w:rsidRPr="00382CBA">
        <w:rPr>
          <w:rFonts w:ascii="Arial Regular" w:hAnsi="Arial Regular" w:cs="Arial Regular"/>
          <w:i/>
          <w:iCs/>
          <w:color w:val="222222"/>
          <w:szCs w:val="24"/>
          <w:shd w:val="clear" w:color="auto" w:fill="FFFFFF"/>
          <w:lang w:val="en-GB"/>
        </w:rPr>
        <w:t xml:space="preserve"> Res</w:t>
      </w:r>
      <w:r w:rsidRPr="00382CBA">
        <w:rPr>
          <w:rFonts w:ascii="Arial Regular" w:hAnsi="Arial Regular" w:cs="Arial Regular"/>
          <w:color w:val="222222"/>
          <w:szCs w:val="24"/>
          <w:shd w:val="clear" w:color="auto" w:fill="FFFFFF"/>
          <w:lang w:val="en-GB"/>
        </w:rPr>
        <w:t>, </w:t>
      </w:r>
      <w:r w:rsidRPr="00382CBA">
        <w:rPr>
          <w:rFonts w:ascii="Arial Regular" w:hAnsi="Arial Regular" w:cs="Arial Regular"/>
          <w:iCs/>
          <w:color w:val="222222"/>
          <w:szCs w:val="24"/>
          <w:shd w:val="clear" w:color="auto" w:fill="FFFFFF"/>
          <w:lang w:val="en-GB"/>
        </w:rPr>
        <w:t>7</w:t>
      </w:r>
      <w:r w:rsidRPr="00382CBA">
        <w:rPr>
          <w:rFonts w:ascii="Arial Regular" w:hAnsi="Arial Regular" w:cs="Arial Regular"/>
          <w:color w:val="222222"/>
          <w:szCs w:val="24"/>
          <w:shd w:val="clear" w:color="auto" w:fill="FFFFFF"/>
          <w:lang w:val="en-GB"/>
        </w:rPr>
        <w:t>(2), pp.77-89.</w:t>
      </w:r>
      <w:r w:rsidRPr="00382CBA">
        <w:rPr>
          <w:rFonts w:ascii="Arial Regular" w:hAnsi="Arial Regular" w:cs="Arial Regular"/>
          <w:szCs w:val="24"/>
          <w:lang w:val="en-GB"/>
        </w:rPr>
        <w:t xml:space="preserve"> </w:t>
      </w:r>
      <w:r w:rsidRPr="00382CBA">
        <w:rPr>
          <w:rFonts w:ascii="Arial Regular" w:hAnsi="Arial Regular" w:cs="Arial Regular"/>
          <w:color w:val="222222"/>
          <w:szCs w:val="24"/>
          <w:shd w:val="clear" w:color="auto" w:fill="FFFFFF"/>
          <w:lang w:val="en-GB"/>
        </w:rPr>
        <w:t>Available at:</w:t>
      </w:r>
      <w:r w:rsidRPr="00382CBA">
        <w:rPr>
          <w:rFonts w:ascii="Arial Regular" w:hAnsi="Arial Regular" w:cs="Arial Regular"/>
          <w:szCs w:val="24"/>
          <w:lang w:val="en-GB"/>
        </w:rPr>
        <w:t xml:space="preserve"> </w:t>
      </w:r>
      <w:hyperlink r:id="rId18" w:history="1">
        <w:r w:rsidRPr="00382CBA">
          <w:rPr>
            <w:rStyle w:val="Hyperlink"/>
            <w:rFonts w:ascii="Arial Regular" w:hAnsi="Arial Regular" w:cs="Arial Regular"/>
            <w:szCs w:val="24"/>
            <w:shd w:val="clear" w:color="auto" w:fill="FFFFFF"/>
            <w:lang w:val="en-GB"/>
          </w:rPr>
          <w:t>https://www.researchgate.net/profile/Ifechukwu-Gil-Ozoudeh/publication/386278181_Evaluating_strategic_technology_partnerships_Providing_conceptual_insights_into_their_role_in_corporate_strategy_and_technological_innovation/links/674d8c8a359dcb4d9d4b6e4b/Evaluating-strategic-technology-partnerships-Providing-conceptual-insights-into-their-role-in-corporate-strategy-and-technological-innovation.pdf</w:t>
        </w:r>
      </w:hyperlink>
      <w:r w:rsidRPr="00382CBA">
        <w:rPr>
          <w:rFonts w:ascii="Arial Regular" w:hAnsi="Arial Regular" w:cs="Arial Regular"/>
          <w:color w:val="222222"/>
          <w:szCs w:val="24"/>
          <w:shd w:val="clear" w:color="auto" w:fill="FFFFFF"/>
          <w:lang w:val="en-GB"/>
        </w:rPr>
        <w:t xml:space="preserve"> </w:t>
      </w:r>
    </w:p>
    <w:p w14:paraId="1E7DDB0C" w14:textId="77777777" w:rsidR="002D068E" w:rsidRPr="00382CBA" w:rsidRDefault="001F1C34" w:rsidP="00FB4151">
      <w:pPr>
        <w:spacing w:beforeLines="100" w:before="240" w:afterLines="100" w:after="240"/>
        <w:jc w:val="both"/>
        <w:rPr>
          <w:rFonts w:ascii="Arial Regular" w:hAnsi="Arial Regular" w:cs="Arial Regular"/>
          <w:szCs w:val="24"/>
          <w:lang w:val="en-GB"/>
        </w:rPr>
      </w:pPr>
      <w:r w:rsidRPr="00382CBA">
        <w:rPr>
          <w:rFonts w:ascii="Arial Regular" w:hAnsi="Arial Regular" w:cs="Arial Regular"/>
          <w:szCs w:val="24"/>
          <w:lang w:val="en-GB"/>
        </w:rPr>
        <w:t>Banerjee, B. (2015) ‘FUNDAMENTALS OF FINANCIAL MANAGEMENT’. ND: PHI learning.</w:t>
      </w:r>
    </w:p>
    <w:p w14:paraId="5D490BD6" w14:textId="77777777" w:rsidR="002D068E" w:rsidRPr="00382CBA" w:rsidRDefault="001F1C34" w:rsidP="00FB4151">
      <w:pPr>
        <w:spacing w:beforeLines="100" w:before="240" w:afterLines="100" w:after="240"/>
        <w:jc w:val="both"/>
        <w:rPr>
          <w:rFonts w:ascii="Arial Regular" w:eastAsia="SimSun" w:hAnsi="Arial Regular" w:cs="Arial Regular"/>
          <w:color w:val="222222"/>
          <w:szCs w:val="24"/>
          <w:shd w:val="clear" w:color="auto" w:fill="FFFFFF"/>
          <w:lang w:val="en-GB" w:bidi="ar"/>
        </w:rPr>
      </w:pPr>
      <w:r w:rsidRPr="00382CBA">
        <w:rPr>
          <w:rFonts w:ascii="Arial Regular" w:eastAsia="SimSun" w:hAnsi="Arial Regular" w:cs="Arial Regular"/>
          <w:color w:val="222222"/>
          <w:szCs w:val="24"/>
          <w:shd w:val="clear" w:color="auto" w:fill="FFFFFF"/>
          <w:lang w:val="en-GB" w:bidi="ar"/>
        </w:rPr>
        <w:t>Berk, J., DeMarzo, P., Harford, J., Ford, G., Mollica, V. and Finch, N. (2013) ‘Fundamentals of corporate finance’. Australia: Pearson Higher Education AU.</w:t>
      </w:r>
    </w:p>
    <w:p w14:paraId="5657FE96" w14:textId="77777777" w:rsidR="002D068E" w:rsidRPr="00382CBA" w:rsidRDefault="001F1C34" w:rsidP="00FB4151">
      <w:pPr>
        <w:spacing w:beforeLines="100" w:before="240" w:afterLines="100" w:after="240"/>
        <w:jc w:val="both"/>
        <w:rPr>
          <w:rFonts w:ascii="Arial Regular" w:hAnsi="Arial Regular" w:cs="Arial Regular"/>
          <w:szCs w:val="24"/>
          <w:lang w:val="en-GB"/>
        </w:rPr>
      </w:pPr>
      <w:r w:rsidRPr="00382CBA">
        <w:rPr>
          <w:rFonts w:ascii="Arial Regular" w:eastAsia="SimSun" w:hAnsi="Arial Regular" w:cs="Arial Regular"/>
          <w:color w:val="222222"/>
          <w:szCs w:val="24"/>
          <w:shd w:val="clear" w:color="auto" w:fill="FFFFFF"/>
          <w:lang w:val="en-GB" w:bidi="ar"/>
        </w:rPr>
        <w:lastRenderedPageBreak/>
        <w:t>Birt, J., Chalmers, K., Maloney, S., Brooks, A., Oliver, J. and Bond, D. (2020)  ‘Accounting: Business reporting for decision making’. John Wiley &amp; Sons.</w:t>
      </w:r>
    </w:p>
    <w:p w14:paraId="08CEA546" w14:textId="77777777" w:rsidR="002D068E" w:rsidRPr="00382CBA" w:rsidRDefault="001F1C34" w:rsidP="00FB4151">
      <w:pPr>
        <w:spacing w:beforeLines="100" w:before="240" w:afterLines="100" w:after="240"/>
        <w:jc w:val="both"/>
        <w:rPr>
          <w:rFonts w:ascii="Arial Regular" w:hAnsi="Arial Regular" w:cs="Arial Regular"/>
          <w:szCs w:val="24"/>
          <w:lang w:val="en-GB"/>
        </w:rPr>
      </w:pPr>
      <w:r w:rsidRPr="00382CBA">
        <w:rPr>
          <w:rFonts w:ascii="Arial Regular" w:hAnsi="Arial Regular" w:cs="Arial Regular"/>
          <w:szCs w:val="24"/>
          <w:lang w:val="en-GB"/>
        </w:rPr>
        <w:t xml:space="preserve">Brown, S., </w:t>
      </w:r>
      <w:proofErr w:type="spellStart"/>
      <w:r w:rsidRPr="00382CBA">
        <w:rPr>
          <w:rFonts w:ascii="Arial Regular" w:hAnsi="Arial Regular" w:cs="Arial Regular"/>
          <w:szCs w:val="24"/>
          <w:lang w:val="en-GB"/>
        </w:rPr>
        <w:t>Dutordoir</w:t>
      </w:r>
      <w:proofErr w:type="spellEnd"/>
      <w:r w:rsidRPr="00382CBA">
        <w:rPr>
          <w:rFonts w:ascii="Arial Regular" w:hAnsi="Arial Regular" w:cs="Arial Regular"/>
          <w:szCs w:val="24"/>
          <w:lang w:val="en-GB"/>
        </w:rPr>
        <w:t>, M., Veld, C. and Veld-</w:t>
      </w:r>
      <w:proofErr w:type="spellStart"/>
      <w:r w:rsidRPr="00382CBA">
        <w:rPr>
          <w:rFonts w:ascii="Arial Regular" w:hAnsi="Arial Regular" w:cs="Arial Regular"/>
          <w:szCs w:val="24"/>
          <w:lang w:val="en-GB"/>
        </w:rPr>
        <w:t>Merkoulova</w:t>
      </w:r>
      <w:proofErr w:type="spellEnd"/>
      <w:r w:rsidRPr="00382CBA">
        <w:rPr>
          <w:rFonts w:ascii="Arial Regular" w:hAnsi="Arial Regular" w:cs="Arial Regular"/>
          <w:szCs w:val="24"/>
          <w:lang w:val="en-GB"/>
        </w:rPr>
        <w:t xml:space="preserve">, Y. (2019). ‘What is the role of institutional investors in corporate capital structure decisions? A survey analysis’ </w:t>
      </w:r>
      <w:r w:rsidRPr="00382CBA">
        <w:rPr>
          <w:rFonts w:ascii="Arial Regular" w:hAnsi="Arial Regular" w:cs="Arial Regular"/>
          <w:i/>
          <w:szCs w:val="24"/>
          <w:lang w:val="en-GB"/>
        </w:rPr>
        <w:t>Journal of Corporate Finance</w:t>
      </w:r>
      <w:r w:rsidRPr="00382CBA">
        <w:rPr>
          <w:rFonts w:ascii="Arial Regular" w:hAnsi="Arial Regular" w:cs="Arial Regular"/>
          <w:szCs w:val="24"/>
          <w:lang w:val="en-GB"/>
        </w:rPr>
        <w:t xml:space="preserve">, 58, pp.270-286. Available at: </w:t>
      </w:r>
      <w:hyperlink r:id="rId19" w:history="1">
        <w:r w:rsidRPr="00382CBA">
          <w:rPr>
            <w:rStyle w:val="Hyperlink"/>
            <w:rFonts w:ascii="Arial Regular" w:hAnsi="Arial Regular" w:cs="Arial Regular"/>
            <w:szCs w:val="24"/>
            <w:lang w:val="en-GB"/>
          </w:rPr>
          <w:t>https://papers.ssrn.com/sol3/Delivery.cfm?abstractid=3197968</w:t>
        </w:r>
      </w:hyperlink>
      <w:r w:rsidRPr="00382CBA">
        <w:rPr>
          <w:rFonts w:ascii="Arial Regular" w:hAnsi="Arial Regular" w:cs="Arial Regular"/>
          <w:szCs w:val="24"/>
          <w:lang w:val="en-GB"/>
        </w:rPr>
        <w:t xml:space="preserve"> </w:t>
      </w:r>
    </w:p>
    <w:p w14:paraId="7AA72DAA" w14:textId="77777777" w:rsidR="002D068E" w:rsidRPr="00382CBA" w:rsidRDefault="001F1C34" w:rsidP="00FB4151">
      <w:pPr>
        <w:spacing w:beforeLines="100" w:before="240" w:afterLines="100" w:after="240"/>
        <w:jc w:val="both"/>
        <w:rPr>
          <w:rFonts w:ascii="Arial Regular" w:hAnsi="Arial Regular" w:cs="Arial Regular"/>
          <w:szCs w:val="24"/>
          <w:lang w:val="en-GB"/>
        </w:rPr>
      </w:pPr>
      <w:r w:rsidRPr="00382CBA">
        <w:rPr>
          <w:rFonts w:ascii="Arial Regular" w:hAnsi="Arial Regular" w:cs="Arial Regular"/>
          <w:szCs w:val="24"/>
          <w:lang w:val="en-GB"/>
        </w:rPr>
        <w:t xml:space="preserve">Bruns-Smith, A., Choy, V., Chong, H. and Verma, R. (2015). ‘Environmental sustainability in the hospitality industry: Best practices, guest participation, and customer satisfaction.’ Available at: </w:t>
      </w:r>
      <w:hyperlink r:id="rId20" w:history="1">
        <w:r w:rsidRPr="00382CBA">
          <w:rPr>
            <w:rStyle w:val="Hyperlink"/>
            <w:rFonts w:ascii="Arial Regular" w:hAnsi="Arial Regular" w:cs="Arial Regular"/>
            <w:szCs w:val="24"/>
            <w:lang w:val="en-GB"/>
          </w:rPr>
          <w:t>https://ecommons.cornell.edu/bitstream/1813/71174/1/BrunsSmith_2015_Enviro_Sustain.pdf</w:t>
        </w:r>
      </w:hyperlink>
      <w:r w:rsidRPr="00382CBA">
        <w:rPr>
          <w:rFonts w:ascii="Arial Regular" w:hAnsi="Arial Regular" w:cs="Arial Regular"/>
          <w:szCs w:val="24"/>
          <w:lang w:val="en-GB"/>
        </w:rPr>
        <w:t xml:space="preserve">  </w:t>
      </w:r>
    </w:p>
    <w:p w14:paraId="7A8FDEA5" w14:textId="77777777" w:rsidR="002D068E" w:rsidRPr="00382CBA" w:rsidRDefault="001F1C34" w:rsidP="00FB4151">
      <w:pPr>
        <w:spacing w:beforeLines="100" w:before="240" w:afterLines="100" w:after="240"/>
        <w:jc w:val="both"/>
        <w:rPr>
          <w:rFonts w:ascii="Arial Regular" w:hAnsi="Arial Regular" w:cs="Arial Regular"/>
          <w:szCs w:val="24"/>
          <w:lang w:val="en-GB"/>
        </w:rPr>
      </w:pPr>
      <w:r w:rsidRPr="00382CBA">
        <w:rPr>
          <w:rFonts w:ascii="Arial Regular" w:eastAsia="SimSun" w:hAnsi="Arial Regular" w:cs="Arial Regular"/>
          <w:color w:val="222222"/>
          <w:szCs w:val="24"/>
          <w:shd w:val="clear" w:color="auto" w:fill="FFFFFF"/>
          <w:lang w:val="en-GB" w:bidi="ar"/>
        </w:rPr>
        <w:t>Drake, P.P., Fabozzi, F.J. and Fabozzi, F.A. (2022) ‘INTRODUCTION TO FINANCE: Financial Management and Investment Management’. Singapore: World Scientific Publishing.</w:t>
      </w:r>
    </w:p>
    <w:p w14:paraId="7C5D64F0" w14:textId="77777777" w:rsidR="002D068E" w:rsidRPr="00382CBA" w:rsidRDefault="001F1C34" w:rsidP="00FB4151">
      <w:pPr>
        <w:spacing w:beforeLines="100" w:before="240" w:afterLines="100" w:after="240"/>
        <w:jc w:val="both"/>
        <w:rPr>
          <w:rFonts w:ascii="Arial Regular" w:hAnsi="Arial Regular" w:cs="Arial Regular"/>
          <w:szCs w:val="24"/>
          <w:lang w:val="en-GB"/>
        </w:rPr>
      </w:pPr>
      <w:r w:rsidRPr="00382CBA">
        <w:rPr>
          <w:rFonts w:ascii="Arial Regular" w:hAnsi="Arial Regular" w:cs="Arial Regular"/>
          <w:szCs w:val="24"/>
          <w:lang w:val="en-GB"/>
        </w:rPr>
        <w:t xml:space="preserve">Ethan, R. (2025) ‘Cash Science’. Amsterdam: </w:t>
      </w:r>
      <w:proofErr w:type="spellStart"/>
      <w:r w:rsidRPr="00382CBA">
        <w:rPr>
          <w:rFonts w:ascii="Arial Regular" w:hAnsi="Arial Regular" w:cs="Arial Regular"/>
          <w:szCs w:val="24"/>
          <w:lang w:val="en-GB"/>
        </w:rPr>
        <w:t>Pubifye</w:t>
      </w:r>
      <w:proofErr w:type="spellEnd"/>
      <w:r w:rsidRPr="00382CBA">
        <w:rPr>
          <w:rFonts w:ascii="Arial Regular" w:hAnsi="Arial Regular" w:cs="Arial Regular"/>
          <w:szCs w:val="24"/>
          <w:lang w:val="en-GB"/>
        </w:rPr>
        <w:t xml:space="preserve"> Publishers.</w:t>
      </w:r>
    </w:p>
    <w:p w14:paraId="25F634EA" w14:textId="77777777" w:rsidR="002D068E" w:rsidRPr="00382CBA" w:rsidRDefault="001F1C34" w:rsidP="00FB4151">
      <w:pPr>
        <w:spacing w:beforeLines="100" w:before="240" w:afterLines="100" w:after="240"/>
        <w:jc w:val="both"/>
        <w:rPr>
          <w:rFonts w:ascii="Arial Regular" w:hAnsi="Arial Regular" w:cs="Arial Regular"/>
          <w:szCs w:val="24"/>
          <w:lang w:val="en-GB"/>
        </w:rPr>
      </w:pPr>
      <w:r w:rsidRPr="00382CBA">
        <w:rPr>
          <w:rFonts w:ascii="Arial Regular" w:hAnsi="Arial Regular" w:cs="Arial Regular"/>
          <w:szCs w:val="24"/>
          <w:lang w:val="en-GB"/>
        </w:rPr>
        <w:t xml:space="preserve">Golembieski, M. (2025) ‘6 ways to improve working capital’, Available at: </w:t>
      </w:r>
      <w:hyperlink r:id="rId21" w:history="1">
        <w:r w:rsidRPr="00382CBA">
          <w:rPr>
            <w:rStyle w:val="Hyperlink"/>
            <w:rFonts w:ascii="Arial Regular" w:hAnsi="Arial Regular" w:cs="Arial Regular"/>
            <w:szCs w:val="24"/>
            <w:lang w:val="en-GB"/>
          </w:rPr>
          <w:t>https://www.jpmorgan.com/insights/treasury/treasury-management/6-ways-to-increase-working-capital</w:t>
        </w:r>
      </w:hyperlink>
      <w:r w:rsidRPr="00382CBA">
        <w:rPr>
          <w:rFonts w:ascii="Arial Regular" w:hAnsi="Arial Regular" w:cs="Arial Regular"/>
          <w:szCs w:val="24"/>
          <w:lang w:val="en-GB"/>
        </w:rPr>
        <w:t xml:space="preserve"> (Accessed: 22 July 2026).</w:t>
      </w:r>
    </w:p>
    <w:p w14:paraId="7158B3DF" w14:textId="77777777" w:rsidR="002D068E" w:rsidRPr="00382CBA" w:rsidRDefault="001F1C34" w:rsidP="00FB4151">
      <w:pPr>
        <w:spacing w:beforeLines="100" w:before="240" w:afterLines="100" w:after="240"/>
        <w:jc w:val="both"/>
        <w:rPr>
          <w:rFonts w:ascii="Arial Regular" w:hAnsi="Arial Regular" w:cs="Arial Regular"/>
          <w:color w:val="222222"/>
          <w:szCs w:val="24"/>
          <w:shd w:val="clear" w:color="auto" w:fill="FFFFFF"/>
          <w:lang w:val="en-GB"/>
        </w:rPr>
      </w:pPr>
      <w:r w:rsidRPr="00382CBA">
        <w:rPr>
          <w:rFonts w:ascii="Arial Regular" w:hAnsi="Arial Regular" w:cs="Arial Regular"/>
          <w:color w:val="222222"/>
          <w:szCs w:val="24"/>
          <w:shd w:val="clear" w:color="auto" w:fill="FFFFFF"/>
          <w:lang w:val="en-GB"/>
        </w:rPr>
        <w:t>Haque, S. (2023). ‘Does private equity over-lever portfolio companies?.’</w:t>
      </w:r>
      <w:r w:rsidRPr="00382CBA">
        <w:rPr>
          <w:rFonts w:ascii="Arial Regular" w:hAnsi="Arial Regular" w:cs="Arial Regular"/>
          <w:szCs w:val="24"/>
          <w:lang w:val="en-GB"/>
        </w:rPr>
        <w:t xml:space="preserve"> </w:t>
      </w:r>
      <w:r w:rsidRPr="00382CBA">
        <w:rPr>
          <w:rFonts w:ascii="Arial Regular" w:hAnsi="Arial Regular" w:cs="Arial Regular"/>
          <w:color w:val="222222"/>
          <w:szCs w:val="24"/>
          <w:shd w:val="clear" w:color="auto" w:fill="FFFFFF"/>
          <w:lang w:val="en-GB"/>
        </w:rPr>
        <w:t>Available at:</w:t>
      </w:r>
      <w:r w:rsidRPr="00382CBA">
        <w:rPr>
          <w:rFonts w:ascii="Arial Regular" w:hAnsi="Arial Regular" w:cs="Arial Regular"/>
          <w:szCs w:val="24"/>
          <w:lang w:val="en-GB"/>
        </w:rPr>
        <w:t xml:space="preserve"> </w:t>
      </w:r>
      <w:hyperlink r:id="rId22" w:history="1">
        <w:r w:rsidRPr="00382CBA">
          <w:rPr>
            <w:rStyle w:val="Hyperlink"/>
            <w:rFonts w:ascii="Arial Regular" w:hAnsi="Arial Regular" w:cs="Arial Regular"/>
            <w:szCs w:val="24"/>
            <w:shd w:val="clear" w:color="auto" w:fill="FFFFFF"/>
            <w:lang w:val="en-GB"/>
          </w:rPr>
          <w:t>https://papers.ssrn.com/sol3/Delivery.cfm?abstractid=4438761</w:t>
        </w:r>
      </w:hyperlink>
      <w:r w:rsidRPr="00382CBA">
        <w:rPr>
          <w:rFonts w:ascii="Arial Regular" w:hAnsi="Arial Regular" w:cs="Arial Regular"/>
          <w:color w:val="222222"/>
          <w:szCs w:val="24"/>
          <w:shd w:val="clear" w:color="auto" w:fill="FFFFFF"/>
          <w:lang w:val="en-GB"/>
        </w:rPr>
        <w:t xml:space="preserve"> </w:t>
      </w:r>
    </w:p>
    <w:p w14:paraId="72F95B0F" w14:textId="77777777" w:rsidR="002D068E" w:rsidRPr="00382CBA" w:rsidRDefault="001F1C34" w:rsidP="00FB4151">
      <w:pPr>
        <w:spacing w:beforeLines="100" w:before="240" w:afterLines="100" w:after="240"/>
        <w:jc w:val="both"/>
        <w:rPr>
          <w:rFonts w:ascii="Arial Regular" w:hAnsi="Arial Regular" w:cs="Arial Regular"/>
          <w:szCs w:val="24"/>
          <w:lang w:val="en-GB"/>
        </w:rPr>
      </w:pPr>
      <w:r w:rsidRPr="00382CBA">
        <w:rPr>
          <w:rFonts w:ascii="Arial Regular" w:hAnsi="Arial Regular" w:cs="Arial Regular"/>
          <w:szCs w:val="24"/>
          <w:lang w:val="en-GB"/>
        </w:rPr>
        <w:t xml:space="preserve">Macro Trend. (2025) ‘Marriott Financial Ratios for Analysis 2011-2026 | MAR’, Available at: </w:t>
      </w:r>
      <w:hyperlink r:id="rId23" w:history="1">
        <w:r w:rsidRPr="00382CBA">
          <w:rPr>
            <w:rStyle w:val="Hyperlink"/>
            <w:rFonts w:ascii="Arial Regular" w:hAnsi="Arial Regular" w:cs="Arial Regular"/>
            <w:szCs w:val="24"/>
            <w:lang w:val="en-GB"/>
          </w:rPr>
          <w:t>https://www.macrotrends.net/stocks/charts/MAR/marriott/financial-ratios</w:t>
        </w:r>
      </w:hyperlink>
      <w:r w:rsidRPr="00382CBA">
        <w:rPr>
          <w:rFonts w:ascii="Arial Regular" w:hAnsi="Arial Regular" w:cs="Arial Regular"/>
          <w:szCs w:val="24"/>
          <w:lang w:val="en-GB"/>
        </w:rPr>
        <w:t xml:space="preserve"> (Accessed: 22 July 2026).</w:t>
      </w:r>
    </w:p>
    <w:p w14:paraId="632741C3" w14:textId="77777777" w:rsidR="002D068E" w:rsidRPr="00382CBA" w:rsidRDefault="001F1C34" w:rsidP="00FB4151">
      <w:pPr>
        <w:spacing w:beforeLines="100" w:before="240" w:afterLines="100" w:after="240"/>
        <w:jc w:val="both"/>
        <w:rPr>
          <w:rFonts w:ascii="Arial Regular" w:hAnsi="Arial Regular" w:cs="Arial Regular"/>
          <w:szCs w:val="24"/>
          <w:lang w:val="en-GB"/>
        </w:rPr>
      </w:pPr>
      <w:r w:rsidRPr="00382CBA">
        <w:rPr>
          <w:rFonts w:ascii="Arial Regular" w:hAnsi="Arial Regular" w:cs="Arial Regular"/>
          <w:szCs w:val="24"/>
          <w:lang w:val="en-GB"/>
        </w:rPr>
        <w:t xml:space="preserve">Nab. (2025) ‘Managing cash flow and avoiding bad debt in business’ Available at: </w:t>
      </w:r>
      <w:hyperlink r:id="rId24" w:history="1">
        <w:r w:rsidRPr="00382CBA">
          <w:rPr>
            <w:rStyle w:val="Hyperlink"/>
            <w:rFonts w:ascii="Arial Regular" w:hAnsi="Arial Regular" w:cs="Arial Regular"/>
            <w:szCs w:val="24"/>
            <w:lang w:val="en-GB"/>
          </w:rPr>
          <w:t>https://www.nab.com.au/business/small-business/moments/manage/planning/avoid-bad-debts</w:t>
        </w:r>
      </w:hyperlink>
      <w:r w:rsidRPr="00382CBA">
        <w:rPr>
          <w:rFonts w:ascii="Arial Regular" w:hAnsi="Arial Regular" w:cs="Arial Regular"/>
          <w:szCs w:val="24"/>
          <w:lang w:val="en-GB"/>
        </w:rPr>
        <w:t xml:space="preserve"> (Accessed: 22 July 2026).</w:t>
      </w:r>
    </w:p>
    <w:p w14:paraId="7412C4A8" w14:textId="77777777" w:rsidR="002D068E" w:rsidRPr="00382CBA" w:rsidRDefault="001F1C34" w:rsidP="00FB4151">
      <w:pPr>
        <w:spacing w:beforeLines="100" w:before="240" w:afterLines="100" w:after="240"/>
        <w:jc w:val="both"/>
        <w:rPr>
          <w:rFonts w:ascii="Arial Regular" w:hAnsi="Arial Regular" w:cs="Arial Regular"/>
          <w:szCs w:val="24"/>
          <w:lang w:val="en-GB"/>
        </w:rPr>
      </w:pPr>
      <w:r w:rsidRPr="00382CBA">
        <w:rPr>
          <w:rFonts w:ascii="Arial Regular" w:hAnsi="Arial Regular" w:cs="Arial Regular"/>
          <w:szCs w:val="24"/>
          <w:lang w:val="en-GB"/>
        </w:rPr>
        <w:t>Ramya, S. and Sumathi, S. (2023) ‘FINANCIAL MANAGEMENT - THEORY AND PRACTICE’. ND: SK Research.</w:t>
      </w:r>
    </w:p>
    <w:p w14:paraId="0F0F53AD" w14:textId="77777777" w:rsidR="002D068E" w:rsidRPr="00382CBA" w:rsidRDefault="001F1C34" w:rsidP="00FB4151">
      <w:pPr>
        <w:spacing w:beforeLines="100" w:before="240" w:afterLines="100" w:after="240"/>
        <w:jc w:val="both"/>
        <w:rPr>
          <w:rFonts w:ascii="Arial Regular" w:hAnsi="Arial Regular" w:cs="Arial Regular"/>
          <w:szCs w:val="24"/>
          <w:lang w:val="en-GB"/>
        </w:rPr>
      </w:pPr>
      <w:r w:rsidRPr="00382CBA">
        <w:rPr>
          <w:rFonts w:ascii="Arial Regular" w:hAnsi="Arial Regular" w:cs="Arial Regular"/>
          <w:szCs w:val="24"/>
          <w:lang w:val="en-GB"/>
        </w:rPr>
        <w:lastRenderedPageBreak/>
        <w:t xml:space="preserve">Schmidt, J. (2020)’Financial Ratios: Definition, Types, and Examples’, Available at: </w:t>
      </w:r>
      <w:hyperlink r:id="rId25" w:history="1">
        <w:r w:rsidRPr="00382CBA">
          <w:rPr>
            <w:rStyle w:val="Hyperlink"/>
            <w:rFonts w:ascii="Arial Regular" w:hAnsi="Arial Regular" w:cs="Arial Regular"/>
            <w:szCs w:val="24"/>
            <w:lang w:val="en-GB"/>
          </w:rPr>
          <w:t>https://corporatefinanceinstitute.com/resources/accounting/financial-ratios/</w:t>
        </w:r>
      </w:hyperlink>
      <w:r w:rsidRPr="00382CBA">
        <w:rPr>
          <w:rFonts w:ascii="Arial Regular" w:hAnsi="Arial Regular" w:cs="Arial Regular"/>
          <w:szCs w:val="24"/>
          <w:lang w:val="en-GB"/>
        </w:rPr>
        <w:t xml:space="preserve"> (Accessed: 22 July 2026).</w:t>
      </w:r>
    </w:p>
    <w:p w14:paraId="5A09C406" w14:textId="77777777" w:rsidR="002D068E" w:rsidRPr="00382CBA" w:rsidRDefault="001F1C34" w:rsidP="00FB4151">
      <w:pPr>
        <w:spacing w:beforeLines="100" w:before="240" w:afterLines="100" w:after="240"/>
        <w:jc w:val="both"/>
        <w:rPr>
          <w:rStyle w:val="Hyperlink"/>
          <w:rFonts w:ascii="Arial Regular" w:hAnsi="Arial Regular" w:cs="Arial Regular"/>
          <w:szCs w:val="24"/>
          <w:lang w:val="en-GB"/>
        </w:rPr>
      </w:pPr>
      <w:r w:rsidRPr="00382CBA">
        <w:rPr>
          <w:rFonts w:ascii="Arial Regular" w:hAnsi="Arial Regular" w:cs="Arial Regular"/>
          <w:szCs w:val="24"/>
          <w:lang w:val="en-GB"/>
        </w:rPr>
        <w:t xml:space="preserve">Suganda, U.K., </w:t>
      </w:r>
      <w:proofErr w:type="spellStart"/>
      <w:r w:rsidRPr="00382CBA">
        <w:rPr>
          <w:rFonts w:ascii="Arial Regular" w:hAnsi="Arial Regular" w:cs="Arial Regular"/>
          <w:szCs w:val="24"/>
          <w:lang w:val="en-GB"/>
        </w:rPr>
        <w:t>Buchory</w:t>
      </w:r>
      <w:proofErr w:type="spellEnd"/>
      <w:r w:rsidRPr="00382CBA">
        <w:rPr>
          <w:rFonts w:ascii="Arial Regular" w:hAnsi="Arial Regular" w:cs="Arial Regular"/>
          <w:szCs w:val="24"/>
          <w:lang w:val="en-GB"/>
        </w:rPr>
        <w:t xml:space="preserve">, H.A. and Riana, N. (2024). ‘Exploring the role of tax planning in enhancing corporate financial performance and compliance.’ </w:t>
      </w:r>
      <w:r w:rsidRPr="00382CBA">
        <w:rPr>
          <w:rFonts w:ascii="Arial Regular" w:hAnsi="Arial Regular" w:cs="Arial Regular"/>
          <w:i/>
          <w:szCs w:val="24"/>
          <w:lang w:val="en-GB"/>
        </w:rPr>
        <w:t>KRIEZ ACADEMY: Journal of development and community service</w:t>
      </w:r>
      <w:r w:rsidRPr="00382CBA">
        <w:rPr>
          <w:rFonts w:ascii="Arial Regular" w:hAnsi="Arial Regular" w:cs="Arial Regular"/>
          <w:szCs w:val="24"/>
          <w:lang w:val="en-GB"/>
        </w:rPr>
        <w:t xml:space="preserve">, 1(10), pp.1-18. Available at: </w:t>
      </w:r>
      <w:hyperlink r:id="rId26" w:history="1">
        <w:r w:rsidRPr="00382CBA">
          <w:rPr>
            <w:rStyle w:val="Hyperlink"/>
            <w:rFonts w:ascii="Arial Regular" w:hAnsi="Arial Regular" w:cs="Arial Regular"/>
            <w:szCs w:val="24"/>
            <w:lang w:val="en-GB"/>
          </w:rPr>
          <w:t>https://kriezacademy.com/index.php/kriezacademy/article/download/42/46</w:t>
        </w:r>
      </w:hyperlink>
    </w:p>
    <w:p w14:paraId="43B21284" w14:textId="77777777" w:rsidR="002D068E" w:rsidRPr="00382CBA" w:rsidRDefault="001F1C34" w:rsidP="00FB4151">
      <w:pPr>
        <w:spacing w:beforeLines="100" w:before="240" w:afterLines="100" w:after="240"/>
        <w:jc w:val="both"/>
        <w:rPr>
          <w:rFonts w:ascii="Arial Regular" w:hAnsi="Arial Regular" w:cs="Arial Regular"/>
          <w:szCs w:val="24"/>
          <w:lang w:val="en-GB"/>
        </w:rPr>
      </w:pPr>
      <w:proofErr w:type="spellStart"/>
      <w:r w:rsidRPr="00382CBA">
        <w:rPr>
          <w:rFonts w:ascii="Arial Regular" w:hAnsi="Arial Regular" w:cs="Arial Regular"/>
          <w:szCs w:val="24"/>
          <w:lang w:val="en-GB"/>
        </w:rPr>
        <w:t>Tiag</w:t>
      </w:r>
      <w:proofErr w:type="spellEnd"/>
      <w:r w:rsidRPr="00382CBA">
        <w:rPr>
          <w:rFonts w:ascii="Arial Regular" w:hAnsi="Arial Regular" w:cs="Arial Regular"/>
          <w:szCs w:val="24"/>
          <w:lang w:val="en-GB"/>
        </w:rPr>
        <w:t xml:space="preserve"> (n.d.) ‘20 Strategies For Managing Operational Costs And Driving Growth’, Available at: </w:t>
      </w:r>
      <w:hyperlink r:id="rId27" w:history="1">
        <w:r w:rsidRPr="00382CBA">
          <w:rPr>
            <w:rStyle w:val="Hyperlink"/>
            <w:rFonts w:ascii="Arial Regular" w:hAnsi="Arial Regular" w:cs="Arial Regular"/>
            <w:szCs w:val="24"/>
            <w:lang w:val="en-GB"/>
          </w:rPr>
          <w:t>https://tiag.net/20-strategies-for-managing-operational-costs-and-driving-growth/</w:t>
        </w:r>
      </w:hyperlink>
      <w:r w:rsidRPr="00382CBA">
        <w:rPr>
          <w:rFonts w:ascii="Arial Regular" w:hAnsi="Arial Regular" w:cs="Arial Regular"/>
          <w:szCs w:val="24"/>
          <w:lang w:val="en-GB"/>
        </w:rPr>
        <w:t xml:space="preserve"> (Accessed: 22 July 2026).</w:t>
      </w:r>
    </w:p>
    <w:p w14:paraId="217D20DB" w14:textId="77777777" w:rsidR="002D068E" w:rsidRPr="00382CBA" w:rsidRDefault="001F1C34" w:rsidP="00FB4151">
      <w:pPr>
        <w:spacing w:beforeLines="100" w:before="240" w:afterLines="100" w:after="240"/>
        <w:jc w:val="both"/>
        <w:rPr>
          <w:rFonts w:ascii="Arial Regular" w:hAnsi="Arial Regular" w:cs="Arial Regular"/>
          <w:szCs w:val="24"/>
          <w:lang w:val="en-GB"/>
        </w:rPr>
      </w:pPr>
      <w:r w:rsidRPr="00382CBA">
        <w:rPr>
          <w:rFonts w:ascii="Arial Regular" w:hAnsi="Arial Regular" w:cs="Arial Regular"/>
          <w:szCs w:val="24"/>
          <w:lang w:val="en-GB"/>
        </w:rPr>
        <w:t xml:space="preserve">Wyndham Hotels &amp; Resorts Inc. (2025) ‘Annual Report’, Available at: </w:t>
      </w:r>
      <w:hyperlink r:id="rId28" w:history="1">
        <w:r w:rsidRPr="00382CBA">
          <w:rPr>
            <w:rStyle w:val="Hyperlink"/>
            <w:rFonts w:ascii="Arial Regular" w:hAnsi="Arial Regular" w:cs="Arial Regular"/>
            <w:szCs w:val="24"/>
            <w:lang w:val="en-GB"/>
          </w:rPr>
          <w:t>https://investor.wyndhamhotels.com/financial-information/all-sec-filings/content/0001722684-26-000052/a2025annualreport.pdf</w:t>
        </w:r>
      </w:hyperlink>
      <w:r w:rsidRPr="00382CBA">
        <w:rPr>
          <w:rFonts w:ascii="Arial Regular" w:hAnsi="Arial Regular" w:cs="Arial Regular"/>
          <w:szCs w:val="24"/>
          <w:lang w:val="en-GB"/>
        </w:rPr>
        <w:t xml:space="preserve"> (Accessed: 22 July 2026).</w:t>
      </w:r>
    </w:p>
    <w:p w14:paraId="58622F4C" w14:textId="77777777" w:rsidR="002D068E" w:rsidRPr="00382CBA" w:rsidRDefault="001F1C34" w:rsidP="00FB4151">
      <w:pPr>
        <w:spacing w:beforeLines="100" w:before="240" w:afterLines="100" w:after="240"/>
        <w:jc w:val="both"/>
        <w:rPr>
          <w:rFonts w:ascii="Arial Regular" w:hAnsi="Arial Regular" w:cs="Arial Regular"/>
          <w:szCs w:val="24"/>
          <w:lang w:val="en-GB"/>
        </w:rPr>
      </w:pPr>
      <w:r w:rsidRPr="00382CBA">
        <w:rPr>
          <w:rFonts w:ascii="Arial Regular" w:hAnsi="Arial Regular" w:cs="Arial Regular"/>
          <w:szCs w:val="24"/>
          <w:lang w:val="en-GB"/>
        </w:rPr>
        <w:t xml:space="preserve">Wyndham. (2026) ‘Company Information’, Available at: </w:t>
      </w:r>
      <w:hyperlink r:id="rId29" w:history="1">
        <w:r w:rsidRPr="00382CBA">
          <w:rPr>
            <w:rStyle w:val="Hyperlink"/>
            <w:rFonts w:ascii="Arial Regular" w:hAnsi="Arial Regular" w:cs="Arial Regular"/>
            <w:szCs w:val="24"/>
            <w:lang w:val="en-GB"/>
          </w:rPr>
          <w:t>https://investor.wyndhamhotels.com/company-information</w:t>
        </w:r>
      </w:hyperlink>
      <w:r w:rsidRPr="00382CBA">
        <w:rPr>
          <w:rFonts w:ascii="Arial Regular" w:hAnsi="Arial Regular" w:cs="Arial Regular"/>
          <w:szCs w:val="24"/>
          <w:lang w:val="en-GB"/>
        </w:rPr>
        <w:t xml:space="preserve"> (Accessed: 22 July 2026).</w:t>
      </w:r>
    </w:p>
    <w:p w14:paraId="49BD6A39" w14:textId="77777777" w:rsidR="002D068E" w:rsidRPr="00382CBA" w:rsidRDefault="001F1C34" w:rsidP="00FB4151">
      <w:pPr>
        <w:spacing w:beforeLines="100" w:before="240" w:afterLines="100" w:after="240"/>
        <w:jc w:val="both"/>
        <w:rPr>
          <w:rFonts w:ascii="Arial Regular" w:eastAsia="SimSun" w:hAnsi="Arial Regular" w:cs="Arial Regular"/>
          <w:color w:val="222222"/>
          <w:szCs w:val="24"/>
          <w:shd w:val="clear" w:color="auto" w:fill="FFFFFF"/>
          <w:lang w:val="en-GB" w:bidi="ar"/>
        </w:rPr>
      </w:pPr>
      <w:proofErr w:type="spellStart"/>
      <w:r w:rsidRPr="00382CBA">
        <w:rPr>
          <w:rFonts w:ascii="Arial Regular" w:eastAsia="SimSun" w:hAnsi="Arial Regular" w:cs="Arial Regular"/>
          <w:color w:val="222222"/>
          <w:szCs w:val="24"/>
          <w:shd w:val="clear" w:color="auto" w:fill="FFFFFF"/>
          <w:lang w:val="en-GB" w:bidi="ar"/>
        </w:rPr>
        <w:t>Yakhshibaev</w:t>
      </w:r>
      <w:proofErr w:type="spellEnd"/>
      <w:r w:rsidRPr="00382CBA">
        <w:rPr>
          <w:rFonts w:ascii="Arial Regular" w:eastAsia="SimSun" w:hAnsi="Arial Regular" w:cs="Arial Regular"/>
          <w:color w:val="222222"/>
          <w:szCs w:val="24"/>
          <w:shd w:val="clear" w:color="auto" w:fill="FFFFFF"/>
          <w:lang w:val="en-GB" w:bidi="ar"/>
        </w:rPr>
        <w:t xml:space="preserve">, G. (2011) ‘Sources Of Short-Term Finance And Investment </w:t>
      </w:r>
      <w:proofErr w:type="spellStart"/>
      <w:r w:rsidRPr="00382CBA">
        <w:rPr>
          <w:rFonts w:ascii="Arial Regular" w:eastAsia="SimSun" w:hAnsi="Arial Regular" w:cs="Arial Regular"/>
          <w:color w:val="222222"/>
          <w:szCs w:val="24"/>
          <w:shd w:val="clear" w:color="auto" w:fill="FFFFFF"/>
          <w:lang w:val="en-GB" w:bidi="ar"/>
        </w:rPr>
        <w:t>Opportunaties</w:t>
      </w:r>
      <w:proofErr w:type="spellEnd"/>
      <w:r w:rsidRPr="00382CBA">
        <w:rPr>
          <w:rFonts w:ascii="Arial Regular" w:eastAsia="SimSun" w:hAnsi="Arial Regular" w:cs="Arial Regular"/>
          <w:color w:val="222222"/>
          <w:szCs w:val="24"/>
          <w:shd w:val="clear" w:color="auto" w:fill="FFFFFF"/>
          <w:lang w:val="en-GB" w:bidi="ar"/>
        </w:rPr>
        <w:t>’, </w:t>
      </w:r>
      <w:r w:rsidRPr="00382CBA">
        <w:rPr>
          <w:rFonts w:ascii="Arial Regular" w:eastAsia="SimSun" w:hAnsi="Arial Regular" w:cs="Arial Regular"/>
          <w:i/>
          <w:iCs/>
          <w:color w:val="222222"/>
          <w:szCs w:val="24"/>
          <w:shd w:val="clear" w:color="auto" w:fill="FFFFFF"/>
          <w:lang w:val="en-GB" w:bidi="ar"/>
        </w:rPr>
        <w:t>European Journal of Business and Economics</w:t>
      </w:r>
      <w:r w:rsidRPr="00382CBA">
        <w:rPr>
          <w:rFonts w:ascii="Arial Regular" w:eastAsia="SimSun" w:hAnsi="Arial Regular" w:cs="Arial Regular"/>
          <w:color w:val="222222"/>
          <w:szCs w:val="24"/>
          <w:shd w:val="clear" w:color="auto" w:fill="FFFFFF"/>
          <w:lang w:val="en-GB" w:bidi="ar"/>
        </w:rPr>
        <w:t xml:space="preserve">, pp. 60-621. Available at: </w:t>
      </w:r>
      <w:hyperlink r:id="rId30" w:history="1">
        <w:r w:rsidRPr="00382CBA">
          <w:rPr>
            <w:rStyle w:val="Hyperlink"/>
            <w:rFonts w:ascii="Arial Regular" w:eastAsia="SimSun" w:hAnsi="Arial Regular" w:cs="Arial Regular"/>
            <w:szCs w:val="24"/>
            <w:shd w:val="clear" w:color="auto" w:fill="FFFFFF"/>
            <w:lang w:val="en-GB" w:bidi="ar"/>
          </w:rPr>
          <w:t>https://www.researchgate.net/publication/270622676_Sources_Of_Short-Term_Finance_And_Investment_Opportunaties</w:t>
        </w:r>
      </w:hyperlink>
    </w:p>
    <w:p w14:paraId="02A0F0F7" w14:textId="77777777" w:rsidR="002D068E" w:rsidRPr="00382CBA" w:rsidRDefault="002D068E">
      <w:pPr>
        <w:rPr>
          <w:rFonts w:ascii="Arial Regular" w:eastAsia="SimSun" w:hAnsi="Arial Regular" w:cs="Arial Regular"/>
          <w:szCs w:val="24"/>
          <w:lang w:val="en-GB" w:bidi="ar"/>
        </w:rPr>
      </w:pPr>
    </w:p>
    <w:p w14:paraId="7348E88D" w14:textId="77777777" w:rsidR="002D068E" w:rsidRPr="00382CBA" w:rsidRDefault="001F1C34">
      <w:pPr>
        <w:rPr>
          <w:rFonts w:ascii="Arial Regular" w:eastAsia="SimSun" w:hAnsi="Arial Regular" w:cs="Arial Regular"/>
          <w:b/>
          <w:bCs/>
          <w:szCs w:val="24"/>
          <w:lang w:val="en-GB" w:bidi="ar"/>
        </w:rPr>
      </w:pPr>
      <w:r w:rsidRPr="00382CBA">
        <w:rPr>
          <w:rFonts w:ascii="Arial Regular" w:eastAsia="SimSun" w:hAnsi="Arial Regular" w:cs="Arial Regular"/>
          <w:b/>
          <w:bCs/>
          <w:szCs w:val="24"/>
          <w:lang w:val="en-GB" w:bidi="ar"/>
        </w:rPr>
        <w:br w:type="page"/>
      </w:r>
    </w:p>
    <w:p w14:paraId="4F0E6B9A" w14:textId="77777777" w:rsidR="002D068E" w:rsidRPr="00382CBA" w:rsidRDefault="002D068E">
      <w:pPr>
        <w:pStyle w:val="Heading1"/>
        <w:numPr>
          <w:ilvl w:val="0"/>
          <w:numId w:val="1"/>
        </w:numPr>
        <w:spacing w:before="0" w:after="0" w:line="360" w:lineRule="auto"/>
        <w:rPr>
          <w:rFonts w:ascii="Arial Regular" w:eastAsia="SimSun" w:hAnsi="Arial Regular" w:cs="Arial Regular"/>
          <w:kern w:val="0"/>
          <w:sz w:val="24"/>
          <w:szCs w:val="24"/>
          <w:lang w:val="en-GB" w:bidi="ar"/>
        </w:rPr>
        <w:sectPr w:rsidR="002D068E" w:rsidRPr="00382CBA">
          <w:footerReference w:type="default" r:id="rId31"/>
          <w:pgSz w:w="11906" w:h="16838"/>
          <w:pgMar w:top="1440" w:right="1800" w:bottom="1440" w:left="1800" w:header="720" w:footer="720" w:gutter="0"/>
          <w:cols w:space="720"/>
          <w:docGrid w:linePitch="360"/>
        </w:sectPr>
      </w:pPr>
    </w:p>
    <w:p w14:paraId="7742BF98" w14:textId="77777777" w:rsidR="002D068E" w:rsidRPr="00382CBA" w:rsidRDefault="001F1C34">
      <w:pPr>
        <w:pStyle w:val="Heading1"/>
        <w:numPr>
          <w:ilvl w:val="0"/>
          <w:numId w:val="1"/>
        </w:numPr>
        <w:spacing w:before="0" w:after="0" w:line="360" w:lineRule="auto"/>
        <w:rPr>
          <w:rFonts w:ascii="Arial Regular" w:eastAsia="SimSun" w:hAnsi="Arial Regular" w:cs="Arial Regular"/>
          <w:kern w:val="0"/>
          <w:sz w:val="24"/>
          <w:szCs w:val="24"/>
          <w:lang w:val="en-GB" w:bidi="ar"/>
        </w:rPr>
      </w:pPr>
      <w:bookmarkStart w:id="8" w:name="_Toc237532017"/>
      <w:r w:rsidRPr="00382CBA">
        <w:rPr>
          <w:rFonts w:ascii="Arial Regular" w:hAnsi="Arial Regular" w:cs="Arial Regular"/>
          <w:sz w:val="24"/>
          <w:szCs w:val="24"/>
          <w:lang w:val="en-GB"/>
        </w:rPr>
        <w:lastRenderedPageBreak/>
        <w:t>Appendices</w:t>
      </w:r>
      <w:bookmarkEnd w:id="8"/>
    </w:p>
    <w:p w14:paraId="56BD2374" w14:textId="77777777" w:rsidR="002D068E" w:rsidRPr="00382CBA" w:rsidRDefault="001F1C34">
      <w:pPr>
        <w:rPr>
          <w:rFonts w:ascii="Arial Regular" w:eastAsia="SimSun" w:hAnsi="Arial Regular" w:cs="Arial Regular"/>
          <w:b/>
          <w:bCs/>
          <w:szCs w:val="24"/>
          <w:lang w:val="en-GB" w:bidi="ar"/>
        </w:rPr>
      </w:pPr>
      <w:r w:rsidRPr="00382CBA">
        <w:rPr>
          <w:rFonts w:ascii="Arial Regular" w:eastAsia="SimSun" w:hAnsi="Arial Regular" w:cs="Arial Regular"/>
          <w:b/>
          <w:bCs/>
          <w:szCs w:val="24"/>
          <w:lang w:val="en-GB" w:bidi="ar"/>
        </w:rPr>
        <w:t>Ratios</w:t>
      </w:r>
    </w:p>
    <w:tbl>
      <w:tblPr>
        <w:tblW w:w="5000" w:type="pct"/>
        <w:tblLook w:val="04A0" w:firstRow="1" w:lastRow="0" w:firstColumn="1" w:lastColumn="0" w:noHBand="0" w:noVBand="1"/>
      </w:tblPr>
      <w:tblGrid>
        <w:gridCol w:w="6470"/>
        <w:gridCol w:w="1539"/>
        <w:gridCol w:w="1539"/>
        <w:gridCol w:w="1539"/>
        <w:gridCol w:w="1539"/>
        <w:gridCol w:w="1548"/>
      </w:tblGrid>
      <w:tr w:rsidR="002D068E" w:rsidRPr="00382CBA" w14:paraId="4BB1DF94" w14:textId="77777777">
        <w:trPr>
          <w:trHeight w:val="336"/>
        </w:trPr>
        <w:tc>
          <w:tcPr>
            <w:tcW w:w="5000" w:type="pct"/>
            <w:gridSpan w:val="6"/>
            <w:tcBorders>
              <w:top w:val="single" w:sz="4" w:space="0" w:color="000000"/>
              <w:left w:val="single" w:sz="4" w:space="0" w:color="000000"/>
              <w:bottom w:val="single" w:sz="4" w:space="0" w:color="000000"/>
              <w:right w:val="single" w:sz="4" w:space="0" w:color="000000"/>
            </w:tcBorders>
            <w:noWrap/>
            <w:vAlign w:val="center"/>
          </w:tcPr>
          <w:p w14:paraId="3105EF16" w14:textId="77777777" w:rsidR="002D068E" w:rsidRPr="00382CBA" w:rsidRDefault="001F1C34">
            <w:pPr>
              <w:jc w:val="cente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WYNDHAM HOTELS &amp; RESORTS, INC RATIOS</w:t>
            </w:r>
          </w:p>
        </w:tc>
      </w:tr>
      <w:tr w:rsidR="002D068E" w:rsidRPr="00382CBA" w14:paraId="27B4DD0B"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01DB20A3"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Profitability Ratios</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E7FC7F5"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726EB6F"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2022</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B22BB3E"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2023</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E762307"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2024</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652A6D6D"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2025</w:t>
            </w:r>
          </w:p>
        </w:tc>
      </w:tr>
      <w:tr w:rsidR="002D068E" w:rsidRPr="00382CBA" w14:paraId="2F75F073"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6090BECB"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Operating profit</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2BF45CBF"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446</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5896CD8C"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558</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2C585C9C"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503</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54E5A3F6"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495</w:t>
            </w:r>
          </w:p>
        </w:tc>
        <w:tc>
          <w:tcPr>
            <w:tcW w:w="544" w:type="pct"/>
            <w:tcBorders>
              <w:top w:val="single" w:sz="4" w:space="0" w:color="000000"/>
              <w:left w:val="single" w:sz="4" w:space="0" w:color="000000"/>
              <w:bottom w:val="single" w:sz="4" w:space="0" w:color="000000"/>
              <w:right w:val="single" w:sz="4" w:space="0" w:color="000000"/>
            </w:tcBorders>
            <w:noWrap/>
            <w:vAlign w:val="bottom"/>
          </w:tcPr>
          <w:p w14:paraId="08D005AA"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402</w:t>
            </w:r>
          </w:p>
        </w:tc>
      </w:tr>
      <w:tr w:rsidR="002D068E" w:rsidRPr="00382CBA" w14:paraId="5D14AC84"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5A962D43"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Sales</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4E535A1A"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1,565</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6EB46D76"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1,498</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1AD835CA"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1,397</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73944BD7"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1,408</w:t>
            </w:r>
          </w:p>
        </w:tc>
        <w:tc>
          <w:tcPr>
            <w:tcW w:w="544" w:type="pct"/>
            <w:tcBorders>
              <w:top w:val="single" w:sz="4" w:space="0" w:color="000000"/>
              <w:left w:val="single" w:sz="4" w:space="0" w:color="000000"/>
              <w:bottom w:val="single" w:sz="4" w:space="0" w:color="000000"/>
              <w:right w:val="single" w:sz="4" w:space="0" w:color="000000"/>
            </w:tcBorders>
            <w:noWrap/>
            <w:vAlign w:val="bottom"/>
          </w:tcPr>
          <w:p w14:paraId="1B2E5F8F"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1,429</w:t>
            </w:r>
          </w:p>
        </w:tc>
      </w:tr>
      <w:tr w:rsidR="002D068E" w:rsidRPr="00382CBA" w14:paraId="3B69689D"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7D2B2D4D"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Operating profit margin</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C75CBA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28.50%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E126FB4"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37.25%</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454227C"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36.01%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ABBBD9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35.16%</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2F6471A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28.13%</w:t>
            </w:r>
          </w:p>
        </w:tc>
      </w:tr>
      <w:tr w:rsidR="002D068E" w:rsidRPr="00382CBA" w14:paraId="5D0451D2"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55DF316A"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(Operating profit)/sales*100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E779C4D"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DB42C48"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413BF2B"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4999596"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130C617A"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49436688"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09C3D097"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825E887"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1565B50"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8F9BE7E"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00DA49D"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567107C1"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22196705"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39C14D11"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Net profit</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47B660F6"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244</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3AB2AAC3"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355</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734DDC2B"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289</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0D045BF4"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289</w:t>
            </w:r>
          </w:p>
        </w:tc>
        <w:tc>
          <w:tcPr>
            <w:tcW w:w="544" w:type="pct"/>
            <w:tcBorders>
              <w:top w:val="single" w:sz="4" w:space="0" w:color="000000"/>
              <w:left w:val="single" w:sz="4" w:space="0" w:color="000000"/>
              <w:bottom w:val="single" w:sz="4" w:space="0" w:color="000000"/>
              <w:right w:val="single" w:sz="4" w:space="0" w:color="000000"/>
            </w:tcBorders>
            <w:noWrap/>
            <w:vAlign w:val="bottom"/>
          </w:tcPr>
          <w:p w14:paraId="7B485CB4"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193</w:t>
            </w:r>
          </w:p>
        </w:tc>
      </w:tr>
      <w:tr w:rsidR="002D068E" w:rsidRPr="00382CBA" w14:paraId="28B5A098"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4391E795"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Sales</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F6E24E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1,565</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F89BF34"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1,498</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279043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1,397</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7A348B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1,408</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3E283CEA"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1,429</w:t>
            </w:r>
          </w:p>
        </w:tc>
      </w:tr>
      <w:tr w:rsidR="002D068E" w:rsidRPr="00382CBA" w14:paraId="5C95860B"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5ADEBAEA"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Net profit margin</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DB578BA"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15.59%</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5E5499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23.70%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8460844"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20.69%</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1B7F8A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20.53%</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69CC459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13.51%</w:t>
            </w:r>
          </w:p>
        </w:tc>
      </w:tr>
      <w:tr w:rsidR="002D068E" w:rsidRPr="00382CBA" w14:paraId="6733A0E6"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6F4440F0"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(Net profit/sales)*100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87C3B70"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1010217"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EBA145B"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3ABC565"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0FC08178"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15B06B66"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42B07C42"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79BCE9D"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F522051"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CAEC7FA"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83A81BC"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678FE0D0"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39D11DEB"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2C14E7BF"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Liquidity Ratios</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90B4D00"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195BED6"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2022</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8C6D64E"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2023</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F1861E1"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2024</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556FB720"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2025</w:t>
            </w:r>
          </w:p>
        </w:tc>
      </w:tr>
      <w:tr w:rsidR="002D068E" w:rsidRPr="00382CBA" w14:paraId="738798C7"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26758B4D"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Current assets</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066DD507"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720</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3E922F08"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545</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0923164F"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373</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221B845B"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467</w:t>
            </w:r>
          </w:p>
        </w:tc>
        <w:tc>
          <w:tcPr>
            <w:tcW w:w="544" w:type="pct"/>
            <w:tcBorders>
              <w:top w:val="single" w:sz="4" w:space="0" w:color="000000"/>
              <w:left w:val="single" w:sz="4" w:space="0" w:color="000000"/>
              <w:bottom w:val="single" w:sz="4" w:space="0" w:color="000000"/>
              <w:right w:val="single" w:sz="4" w:space="0" w:color="000000"/>
            </w:tcBorders>
            <w:noWrap/>
            <w:vAlign w:val="bottom"/>
          </w:tcPr>
          <w:p w14:paraId="14B15E9E"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435</w:t>
            </w:r>
          </w:p>
        </w:tc>
      </w:tr>
      <w:tr w:rsidR="002D068E" w:rsidRPr="00382CBA" w14:paraId="52B61162"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33FD1224"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Current liabilities</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0EADAEB2"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397</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38139E4F"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406</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63AD06A7"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459</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7FE51938"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466</w:t>
            </w:r>
          </w:p>
        </w:tc>
        <w:tc>
          <w:tcPr>
            <w:tcW w:w="544" w:type="pct"/>
            <w:tcBorders>
              <w:top w:val="single" w:sz="4" w:space="0" w:color="000000"/>
              <w:left w:val="single" w:sz="4" w:space="0" w:color="000000"/>
              <w:bottom w:val="single" w:sz="4" w:space="0" w:color="000000"/>
              <w:right w:val="single" w:sz="4" w:space="0" w:color="000000"/>
            </w:tcBorders>
            <w:noWrap/>
            <w:vAlign w:val="bottom"/>
          </w:tcPr>
          <w:p w14:paraId="13057068"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507</w:t>
            </w:r>
          </w:p>
        </w:tc>
      </w:tr>
      <w:tr w:rsidR="002D068E" w:rsidRPr="00382CBA" w14:paraId="67807F0F"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2DC5C102"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Current ratio</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68A2C7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1.81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DD98B2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1.34</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DBD406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0.81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05C56F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1.00</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0181B16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0.86</w:t>
            </w:r>
          </w:p>
        </w:tc>
      </w:tr>
      <w:tr w:rsidR="002D068E" w:rsidRPr="00382CBA" w14:paraId="31960BE3"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479741D5"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(CA/CL)</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0C57674"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25DED1A"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85DB152"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D687D71"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5CA1430C"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70E11484"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6452C5D9"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67D137C"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7616D57"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FAC6EA9"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51E0AE1"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4C945080"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01B0D560"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05DCF9E0"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Current assets</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96ACBD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720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11A92D4"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545</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37FB0CC"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373</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4AE5D8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467</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1046A83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435</w:t>
            </w:r>
          </w:p>
        </w:tc>
      </w:tr>
      <w:tr w:rsidR="002D068E" w:rsidRPr="00382CBA" w14:paraId="4D1565F6"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77F6739A"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Inventory</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44BDCFD6"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40DB1D15"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30F78E63"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241E4B0D"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544" w:type="pct"/>
            <w:tcBorders>
              <w:top w:val="single" w:sz="4" w:space="0" w:color="000000"/>
              <w:left w:val="single" w:sz="4" w:space="0" w:color="000000"/>
              <w:bottom w:val="single" w:sz="4" w:space="0" w:color="000000"/>
              <w:right w:val="single" w:sz="4" w:space="0" w:color="000000"/>
            </w:tcBorders>
            <w:noWrap/>
            <w:vAlign w:val="bottom"/>
          </w:tcPr>
          <w:p w14:paraId="3931F875"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r>
      <w:tr w:rsidR="002D068E" w:rsidRPr="00382CBA" w14:paraId="50CCA38A"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48F576D1"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Current liabilities</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BDC11B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397</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4A0282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406</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F31C42C"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459</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33FC1E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466</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0FFF50D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507</w:t>
            </w:r>
          </w:p>
        </w:tc>
      </w:tr>
      <w:tr w:rsidR="002D068E" w:rsidRPr="00382CBA" w14:paraId="5EF11AFB"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55AACCC2"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Quick ratio</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47E105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1.81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3456F4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1.34</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9CA23C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0.81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ACB32E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1.00</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206BB45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0.86</w:t>
            </w:r>
          </w:p>
        </w:tc>
      </w:tr>
      <w:tr w:rsidR="002D068E" w:rsidRPr="00382CBA" w14:paraId="25EA2A85"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62A4F8AE"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(CA- inventory)/ CL</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DE521D2"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A4F63BD"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2B1F33F"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FCD8A76"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2B458ACA"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263A7262" w14:textId="77777777">
        <w:trPr>
          <w:trHeight w:val="336"/>
        </w:trPr>
        <w:tc>
          <w:tcPr>
            <w:tcW w:w="2282" w:type="pct"/>
            <w:tcBorders>
              <w:top w:val="nil"/>
              <w:left w:val="nil"/>
              <w:bottom w:val="nil"/>
              <w:right w:val="nil"/>
            </w:tcBorders>
            <w:noWrap/>
            <w:vAlign w:val="center"/>
          </w:tcPr>
          <w:p w14:paraId="236E0091"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nil"/>
              <w:left w:val="nil"/>
              <w:bottom w:val="nil"/>
              <w:right w:val="nil"/>
            </w:tcBorders>
            <w:noWrap/>
            <w:vAlign w:val="center"/>
          </w:tcPr>
          <w:p w14:paraId="4E1882C2"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nil"/>
              <w:left w:val="nil"/>
              <w:bottom w:val="nil"/>
              <w:right w:val="nil"/>
            </w:tcBorders>
            <w:noWrap/>
            <w:vAlign w:val="center"/>
          </w:tcPr>
          <w:p w14:paraId="1D5D1C47"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nil"/>
              <w:left w:val="nil"/>
              <w:bottom w:val="nil"/>
              <w:right w:val="nil"/>
            </w:tcBorders>
            <w:noWrap/>
            <w:vAlign w:val="center"/>
          </w:tcPr>
          <w:p w14:paraId="1812946E"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nil"/>
              <w:left w:val="nil"/>
              <w:bottom w:val="nil"/>
              <w:right w:val="nil"/>
            </w:tcBorders>
            <w:noWrap/>
            <w:vAlign w:val="center"/>
          </w:tcPr>
          <w:p w14:paraId="1BD50220"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nil"/>
              <w:left w:val="nil"/>
              <w:bottom w:val="nil"/>
              <w:right w:val="nil"/>
            </w:tcBorders>
            <w:noWrap/>
            <w:vAlign w:val="center"/>
          </w:tcPr>
          <w:p w14:paraId="55BF4803"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23BC3F9F"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2B42E488"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Efficiency Ratios</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0460175"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8B2CD5A"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2022</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E7CEC75"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2023</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9881A85"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2024</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756E4E3C"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2025</w:t>
            </w:r>
          </w:p>
        </w:tc>
      </w:tr>
      <w:tr w:rsidR="002D068E" w:rsidRPr="00382CBA" w14:paraId="240866C2"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07E178ED"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Sales</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FE8DE7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1,565</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3AC125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1,498</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B485E9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1,397</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26259B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1,408</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4217BF0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1,429</w:t>
            </w:r>
          </w:p>
        </w:tc>
      </w:tr>
      <w:tr w:rsidR="002D068E" w:rsidRPr="00382CBA" w14:paraId="36E511AC"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715AD393"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Total assets</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4473A9F6"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4,269</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244C0A13"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4,123</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142B4E3A"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4,033</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5C64B9F2"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4,223</w:t>
            </w:r>
          </w:p>
        </w:tc>
        <w:tc>
          <w:tcPr>
            <w:tcW w:w="544" w:type="pct"/>
            <w:tcBorders>
              <w:top w:val="single" w:sz="4" w:space="0" w:color="000000"/>
              <w:left w:val="single" w:sz="4" w:space="0" w:color="000000"/>
              <w:bottom w:val="single" w:sz="4" w:space="0" w:color="000000"/>
              <w:right w:val="single" w:sz="4" w:space="0" w:color="000000"/>
            </w:tcBorders>
            <w:noWrap/>
            <w:vAlign w:val="bottom"/>
          </w:tcPr>
          <w:p w14:paraId="1F3E5F91"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4,182</w:t>
            </w:r>
          </w:p>
        </w:tc>
      </w:tr>
      <w:tr w:rsidR="002D068E" w:rsidRPr="00382CBA" w14:paraId="027C9120"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0CE3BEB7"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Asset turnover ratio</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818340C"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0.37</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391615C"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0.36</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B50FEA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0.35</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D474794"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0.33</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1291E7F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0.34</w:t>
            </w:r>
          </w:p>
        </w:tc>
      </w:tr>
      <w:tr w:rsidR="002D068E" w:rsidRPr="00382CBA" w14:paraId="1130EE5A"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7FD83A69"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Sales/ Total assets</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545BA6C"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F0D7767"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2AAB722"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A4071FD"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0561BA33"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0636DC08"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1D34B289"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9B20252"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D0FC162"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07A8BEB"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8567C80"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58F33B4D"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04891138"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01A3D755"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COS</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058882BE"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132</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610C629A"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106</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332FA065"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94</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4529133D"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81</w:t>
            </w:r>
          </w:p>
        </w:tc>
        <w:tc>
          <w:tcPr>
            <w:tcW w:w="544" w:type="pct"/>
            <w:tcBorders>
              <w:top w:val="single" w:sz="4" w:space="0" w:color="000000"/>
              <w:left w:val="single" w:sz="4" w:space="0" w:color="000000"/>
              <w:bottom w:val="single" w:sz="4" w:space="0" w:color="000000"/>
              <w:right w:val="single" w:sz="4" w:space="0" w:color="000000"/>
            </w:tcBorders>
            <w:noWrap/>
            <w:vAlign w:val="bottom"/>
          </w:tcPr>
          <w:p w14:paraId="53D3EF1D"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168</w:t>
            </w:r>
          </w:p>
        </w:tc>
      </w:tr>
      <w:tr w:rsidR="002D068E" w:rsidRPr="00382CBA" w14:paraId="2A251530"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1966311E"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Average inventory</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076FFFA"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046D68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8A03E6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685C5B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34FEB2F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r>
      <w:tr w:rsidR="002D068E" w:rsidRPr="00382CBA" w14:paraId="7020DA6A"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6BAA8948"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Inventory turnover ratio</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8618DD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0.00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18C10C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0.00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56BA22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0.00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D390E3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0.00</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70E3D9A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0.00</w:t>
            </w:r>
          </w:p>
        </w:tc>
      </w:tr>
      <w:tr w:rsidR="002D068E" w:rsidRPr="00382CBA" w14:paraId="732716F9"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3768081F"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(COS/ average inventory)</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D0C7198"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16E9003"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9979AFC"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8216B7E"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6525B895"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6247CB33" w14:textId="77777777">
        <w:trPr>
          <w:trHeight w:val="336"/>
        </w:trPr>
        <w:tc>
          <w:tcPr>
            <w:tcW w:w="2282" w:type="pct"/>
            <w:tcBorders>
              <w:top w:val="nil"/>
              <w:left w:val="nil"/>
              <w:bottom w:val="nil"/>
              <w:right w:val="nil"/>
            </w:tcBorders>
            <w:noWrap/>
            <w:vAlign w:val="center"/>
          </w:tcPr>
          <w:p w14:paraId="3DA94F69"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nil"/>
              <w:left w:val="nil"/>
              <w:bottom w:val="nil"/>
              <w:right w:val="nil"/>
            </w:tcBorders>
            <w:noWrap/>
            <w:vAlign w:val="center"/>
          </w:tcPr>
          <w:p w14:paraId="235839DA"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nil"/>
              <w:left w:val="nil"/>
              <w:bottom w:val="nil"/>
              <w:right w:val="nil"/>
            </w:tcBorders>
            <w:noWrap/>
            <w:vAlign w:val="center"/>
          </w:tcPr>
          <w:p w14:paraId="0AB01759"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nil"/>
              <w:left w:val="nil"/>
              <w:bottom w:val="nil"/>
              <w:right w:val="nil"/>
            </w:tcBorders>
            <w:noWrap/>
            <w:vAlign w:val="center"/>
          </w:tcPr>
          <w:p w14:paraId="207C58D2"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nil"/>
              <w:left w:val="nil"/>
              <w:bottom w:val="nil"/>
              <w:right w:val="nil"/>
            </w:tcBorders>
            <w:noWrap/>
            <w:vAlign w:val="center"/>
          </w:tcPr>
          <w:p w14:paraId="5D683F90"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nil"/>
              <w:left w:val="nil"/>
              <w:bottom w:val="nil"/>
              <w:right w:val="nil"/>
            </w:tcBorders>
            <w:noWrap/>
            <w:vAlign w:val="center"/>
          </w:tcPr>
          <w:p w14:paraId="035B57E6"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246B2E7F"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774B49A7"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Gearing Ratios</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E557B9D"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073F7E5"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2022</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BF9FF6F"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2023</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0C906BD"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2024</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0B144A18"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2025</w:t>
            </w:r>
          </w:p>
        </w:tc>
      </w:tr>
      <w:tr w:rsidR="002D068E" w:rsidRPr="00382CBA" w14:paraId="313B1933"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3EE38552"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lastRenderedPageBreak/>
              <w:t>Debt</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397E63B2"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3,180</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40C37363"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3,161</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252E80FF"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3,287</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04177CEC"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3,573</w:t>
            </w:r>
          </w:p>
        </w:tc>
        <w:tc>
          <w:tcPr>
            <w:tcW w:w="544" w:type="pct"/>
            <w:tcBorders>
              <w:top w:val="single" w:sz="4" w:space="0" w:color="000000"/>
              <w:left w:val="single" w:sz="4" w:space="0" w:color="000000"/>
              <w:bottom w:val="single" w:sz="4" w:space="0" w:color="000000"/>
              <w:right w:val="single" w:sz="4" w:space="0" w:color="000000"/>
            </w:tcBorders>
            <w:noWrap/>
            <w:vAlign w:val="bottom"/>
          </w:tcPr>
          <w:p w14:paraId="14202BC0"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3,714</w:t>
            </w:r>
          </w:p>
        </w:tc>
      </w:tr>
      <w:tr w:rsidR="002D068E" w:rsidRPr="00382CBA" w14:paraId="5A5B3F5E"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43429910"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Equity</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CF6C4F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1,089</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1F0175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962</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2BD5BE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746</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57C405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650</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7ABDB1C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468</w:t>
            </w:r>
          </w:p>
        </w:tc>
      </w:tr>
      <w:tr w:rsidR="002D068E" w:rsidRPr="00382CBA" w14:paraId="25E2E68B"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799AEC03"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Debt-equity ratio</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75D1A6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2.92</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9CA260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3.29</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B20A644"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4.41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E97577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5.50</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3F045FF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7.94</w:t>
            </w:r>
          </w:p>
        </w:tc>
      </w:tr>
      <w:tr w:rsidR="002D068E" w:rsidRPr="00382CBA" w14:paraId="3DD0A9A2"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0CB32B7B"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(Debt/equity)</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097BE03"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86158FF"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9A01BA7"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E51E0E3"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762D2AD2"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3FFEE05A"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090882B2"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68AAE26"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147A639"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4C097F3"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B920472"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7BC1419B"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0F2A9D1B"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2FF1BF14"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EBIT</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683C28B2"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428</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66F22AF9"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556</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73678B63"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500</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665B5B9C"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492</w:t>
            </w:r>
          </w:p>
        </w:tc>
        <w:tc>
          <w:tcPr>
            <w:tcW w:w="544" w:type="pct"/>
            <w:tcBorders>
              <w:top w:val="single" w:sz="4" w:space="0" w:color="000000"/>
              <w:left w:val="single" w:sz="4" w:space="0" w:color="000000"/>
              <w:bottom w:val="single" w:sz="4" w:space="0" w:color="000000"/>
              <w:right w:val="single" w:sz="4" w:space="0" w:color="000000"/>
            </w:tcBorders>
            <w:noWrap/>
            <w:vAlign w:val="bottom"/>
          </w:tcPr>
          <w:p w14:paraId="59D6593F"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402</w:t>
            </w:r>
          </w:p>
        </w:tc>
      </w:tr>
      <w:tr w:rsidR="002D068E" w:rsidRPr="00382CBA" w14:paraId="3423085F"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70D9D8C4"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Interest</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705DCDBD"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93</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59AAB349"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80</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04ACD974"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102</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761EFA20"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124</w:t>
            </w:r>
          </w:p>
        </w:tc>
        <w:tc>
          <w:tcPr>
            <w:tcW w:w="544" w:type="pct"/>
            <w:tcBorders>
              <w:top w:val="single" w:sz="4" w:space="0" w:color="000000"/>
              <w:left w:val="single" w:sz="4" w:space="0" w:color="000000"/>
              <w:bottom w:val="single" w:sz="4" w:space="0" w:color="000000"/>
              <w:right w:val="single" w:sz="4" w:space="0" w:color="000000"/>
            </w:tcBorders>
            <w:noWrap/>
            <w:vAlign w:val="bottom"/>
          </w:tcPr>
          <w:p w14:paraId="1D6E864D"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139</w:t>
            </w:r>
          </w:p>
        </w:tc>
      </w:tr>
      <w:tr w:rsidR="002D068E" w:rsidRPr="00382CBA" w14:paraId="3998B728"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3F04FA88"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Interest coverage ratio</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D0BFAF7"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4.60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FA79B1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6.95</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BF6890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4.90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BF3445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3.97</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2E923219"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2.89</w:t>
            </w:r>
          </w:p>
        </w:tc>
      </w:tr>
      <w:tr w:rsidR="002D068E" w:rsidRPr="00382CBA" w14:paraId="72BF7DCA"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32B75DB6"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EBIT/ interest</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F92E356"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1283A61"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F54506F"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09EB12D"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430004A8"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38DF6D59" w14:textId="77777777">
        <w:trPr>
          <w:trHeight w:val="336"/>
        </w:trPr>
        <w:tc>
          <w:tcPr>
            <w:tcW w:w="2282" w:type="pct"/>
            <w:tcBorders>
              <w:top w:val="nil"/>
              <w:left w:val="nil"/>
              <w:bottom w:val="nil"/>
              <w:right w:val="nil"/>
            </w:tcBorders>
            <w:noWrap/>
            <w:vAlign w:val="center"/>
          </w:tcPr>
          <w:p w14:paraId="3749A9A4"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nil"/>
              <w:left w:val="nil"/>
              <w:bottom w:val="nil"/>
              <w:right w:val="nil"/>
            </w:tcBorders>
            <w:noWrap/>
            <w:vAlign w:val="center"/>
          </w:tcPr>
          <w:p w14:paraId="1FFDCAC7"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nil"/>
              <w:left w:val="nil"/>
              <w:bottom w:val="nil"/>
              <w:right w:val="nil"/>
            </w:tcBorders>
            <w:noWrap/>
            <w:vAlign w:val="center"/>
          </w:tcPr>
          <w:p w14:paraId="6658F1BB"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nil"/>
              <w:left w:val="nil"/>
              <w:bottom w:val="nil"/>
              <w:right w:val="nil"/>
            </w:tcBorders>
            <w:noWrap/>
            <w:vAlign w:val="center"/>
          </w:tcPr>
          <w:p w14:paraId="7D3E9109"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nil"/>
              <w:left w:val="nil"/>
              <w:bottom w:val="nil"/>
              <w:right w:val="nil"/>
            </w:tcBorders>
            <w:noWrap/>
            <w:vAlign w:val="center"/>
          </w:tcPr>
          <w:p w14:paraId="644EFB02"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nil"/>
              <w:left w:val="nil"/>
              <w:bottom w:val="nil"/>
              <w:right w:val="nil"/>
            </w:tcBorders>
            <w:noWrap/>
            <w:vAlign w:val="center"/>
          </w:tcPr>
          <w:p w14:paraId="45005591"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69DECC7C"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6E72C8B8"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Investment Ratios</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48B2F6F"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AA78114"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2022</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70FA83D"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2023</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EB63368"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2024</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1EDEF161"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2025</w:t>
            </w:r>
          </w:p>
        </w:tc>
      </w:tr>
      <w:tr w:rsidR="002D068E" w:rsidRPr="00382CBA" w14:paraId="508680C6"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23579E5F"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Earnings</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73635682"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244</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44FABBAD"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355</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61FEBED4"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289</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04EBA2D6"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289</w:t>
            </w:r>
          </w:p>
        </w:tc>
        <w:tc>
          <w:tcPr>
            <w:tcW w:w="544" w:type="pct"/>
            <w:tcBorders>
              <w:top w:val="single" w:sz="4" w:space="0" w:color="000000"/>
              <w:left w:val="single" w:sz="4" w:space="0" w:color="000000"/>
              <w:bottom w:val="single" w:sz="4" w:space="0" w:color="000000"/>
              <w:right w:val="single" w:sz="4" w:space="0" w:color="000000"/>
            </w:tcBorders>
            <w:noWrap/>
            <w:vAlign w:val="bottom"/>
          </w:tcPr>
          <w:p w14:paraId="5ED29AB8"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193</w:t>
            </w:r>
          </w:p>
        </w:tc>
      </w:tr>
      <w:tr w:rsidR="002D068E" w:rsidRPr="00382CBA" w14:paraId="10171E8F"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53071667"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Outstanding shares</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51F34B87"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93</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7DA55946"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90</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4B5ECD76"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84</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0EFD0B9A"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79</w:t>
            </w:r>
          </w:p>
        </w:tc>
        <w:tc>
          <w:tcPr>
            <w:tcW w:w="544" w:type="pct"/>
            <w:tcBorders>
              <w:top w:val="single" w:sz="4" w:space="0" w:color="000000"/>
              <w:left w:val="single" w:sz="4" w:space="0" w:color="000000"/>
              <w:bottom w:val="single" w:sz="4" w:space="0" w:color="000000"/>
              <w:right w:val="single" w:sz="4" w:space="0" w:color="000000"/>
            </w:tcBorders>
            <w:noWrap/>
            <w:vAlign w:val="bottom"/>
          </w:tcPr>
          <w:p w14:paraId="1CB2BD5B"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77</w:t>
            </w:r>
          </w:p>
        </w:tc>
      </w:tr>
      <w:tr w:rsidR="002D068E" w:rsidRPr="00382CBA" w14:paraId="4BCE7AB3"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61FC06E6"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EPS</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CA1932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2.61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D97F53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3.93</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9A7574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3.43</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3CD562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3.64</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676FEC7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2.51</w:t>
            </w:r>
          </w:p>
        </w:tc>
      </w:tr>
      <w:tr w:rsidR="002D068E" w:rsidRPr="00382CBA" w14:paraId="628F92A4"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4B460217"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(Earnings/ outstanding shares)</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7CAF6C2"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069587B"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4741EA9"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5C8E0CE"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36652D82"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378779F2"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38F9832F"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72A613D"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FE13FB9"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F565886"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E8EEEFC"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0C731F61"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4F42FD35"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635E0B1C"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Equity</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9DD14FA"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1,089</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17A929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962</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6556CA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746</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63775A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650</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58A8654C"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468</w:t>
            </w:r>
          </w:p>
        </w:tc>
      </w:tr>
      <w:tr w:rsidR="002D068E" w:rsidRPr="00382CBA" w14:paraId="6CDF9BE4"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57F8C9F9"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Net profit</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E6928A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244</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34873C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355</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D8EFB5A"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289</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14D85E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289</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761709C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193</w:t>
            </w:r>
          </w:p>
        </w:tc>
      </w:tr>
      <w:tr w:rsidR="002D068E" w:rsidRPr="00382CBA" w14:paraId="0EBFA23E"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596C7070"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Return on equity</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022673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22.41%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2DE330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36.90%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1582DB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38.74%</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EDDC83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44.46%</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1D5631C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41.24%</w:t>
            </w:r>
          </w:p>
        </w:tc>
      </w:tr>
      <w:tr w:rsidR="002D068E" w:rsidRPr="00382CBA" w14:paraId="7AC4BD9F"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68BFD1EE"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lastRenderedPageBreak/>
              <w:t>Net profit/ equity</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1E57426"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AA5A3BA"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F87132D"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BF781E2"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213EA175"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6DBB1A1E" w14:textId="77777777">
        <w:trPr>
          <w:trHeight w:val="336"/>
        </w:trPr>
        <w:tc>
          <w:tcPr>
            <w:tcW w:w="2282" w:type="pct"/>
            <w:tcBorders>
              <w:top w:val="nil"/>
              <w:left w:val="nil"/>
              <w:bottom w:val="nil"/>
              <w:right w:val="nil"/>
            </w:tcBorders>
            <w:noWrap/>
            <w:vAlign w:val="center"/>
          </w:tcPr>
          <w:p w14:paraId="68AB7ED6"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nil"/>
              <w:left w:val="nil"/>
              <w:bottom w:val="nil"/>
              <w:right w:val="nil"/>
            </w:tcBorders>
            <w:noWrap/>
            <w:vAlign w:val="center"/>
          </w:tcPr>
          <w:p w14:paraId="162DBE2C"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nil"/>
              <w:left w:val="nil"/>
              <w:bottom w:val="nil"/>
              <w:right w:val="nil"/>
            </w:tcBorders>
            <w:noWrap/>
            <w:vAlign w:val="center"/>
          </w:tcPr>
          <w:p w14:paraId="73E55D12"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nil"/>
              <w:left w:val="nil"/>
              <w:bottom w:val="nil"/>
              <w:right w:val="nil"/>
            </w:tcBorders>
            <w:noWrap/>
            <w:vAlign w:val="center"/>
          </w:tcPr>
          <w:p w14:paraId="4130797E"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nil"/>
              <w:left w:val="nil"/>
              <w:bottom w:val="nil"/>
              <w:right w:val="nil"/>
            </w:tcBorders>
            <w:noWrap/>
            <w:vAlign w:val="center"/>
          </w:tcPr>
          <w:p w14:paraId="7BB1BDA6"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nil"/>
              <w:left w:val="nil"/>
              <w:bottom w:val="nil"/>
              <w:right w:val="nil"/>
            </w:tcBorders>
            <w:noWrap/>
            <w:vAlign w:val="center"/>
          </w:tcPr>
          <w:p w14:paraId="6CC57234"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391DC71E"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3DE5DA06"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Cash Flow Ratios</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5E9EC06"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A1085D5"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2022</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6EB2C8D"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2023</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718CD7A"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2024</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6D8F9A42"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2025</w:t>
            </w:r>
          </w:p>
        </w:tc>
      </w:tr>
      <w:tr w:rsidR="002D068E" w:rsidRPr="00382CBA" w14:paraId="3A55ABF2"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466CAE87"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Operating cash flow</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527048B5"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426</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38A23586"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399</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41EC337D"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376</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1D802C23"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290</w:t>
            </w:r>
          </w:p>
        </w:tc>
        <w:tc>
          <w:tcPr>
            <w:tcW w:w="544" w:type="pct"/>
            <w:tcBorders>
              <w:top w:val="single" w:sz="4" w:space="0" w:color="000000"/>
              <w:left w:val="single" w:sz="4" w:space="0" w:color="000000"/>
              <w:bottom w:val="single" w:sz="4" w:space="0" w:color="000000"/>
              <w:right w:val="single" w:sz="4" w:space="0" w:color="000000"/>
            </w:tcBorders>
            <w:noWrap/>
            <w:vAlign w:val="bottom"/>
          </w:tcPr>
          <w:p w14:paraId="5929F981"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367</w:t>
            </w:r>
          </w:p>
        </w:tc>
      </w:tr>
      <w:tr w:rsidR="002D068E" w:rsidRPr="00382CBA" w14:paraId="7F3774B6"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03B233D7"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Current liabilities</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67B792C"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397</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9E4846C"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406</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EB8EB3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459</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725725A"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466</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52A0D5D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507</w:t>
            </w:r>
          </w:p>
        </w:tc>
      </w:tr>
      <w:tr w:rsidR="002D068E" w:rsidRPr="00382CBA" w14:paraId="5DADA413"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0D855664"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Operating cash flow ratio</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F4FFFF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1.07</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B1A6A3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0.98</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F69732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0.82</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B73A1B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0.62</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3E0EED2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0.72</w:t>
            </w:r>
          </w:p>
        </w:tc>
      </w:tr>
      <w:tr w:rsidR="002D068E" w:rsidRPr="00382CBA" w14:paraId="1B2650CE"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697C46BD"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(Operating cash flow/ current liabilities)</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FB2B8B2"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6645E0D"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3790D50"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60081D1"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1C80FAE8"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67989717"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27F69CFE"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AF191EB"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077AF73"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A92A8C4"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76146D0"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09E66AB7"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270F1FA8"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63E9386D"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Cash</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05269D18"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171</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35655FFC"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161</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0D201E37"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66</w:t>
            </w:r>
          </w:p>
        </w:tc>
        <w:tc>
          <w:tcPr>
            <w:tcW w:w="543" w:type="pct"/>
            <w:tcBorders>
              <w:top w:val="single" w:sz="4" w:space="0" w:color="000000"/>
              <w:left w:val="single" w:sz="4" w:space="0" w:color="000000"/>
              <w:bottom w:val="single" w:sz="4" w:space="0" w:color="000000"/>
              <w:right w:val="single" w:sz="4" w:space="0" w:color="000000"/>
            </w:tcBorders>
            <w:noWrap/>
            <w:vAlign w:val="bottom"/>
          </w:tcPr>
          <w:p w14:paraId="2433EB64"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103</w:t>
            </w:r>
          </w:p>
        </w:tc>
        <w:tc>
          <w:tcPr>
            <w:tcW w:w="544" w:type="pct"/>
            <w:tcBorders>
              <w:top w:val="single" w:sz="4" w:space="0" w:color="000000"/>
              <w:left w:val="single" w:sz="4" w:space="0" w:color="000000"/>
              <w:bottom w:val="single" w:sz="4" w:space="0" w:color="000000"/>
              <w:right w:val="single" w:sz="4" w:space="0" w:color="000000"/>
            </w:tcBorders>
            <w:noWrap/>
            <w:vAlign w:val="bottom"/>
          </w:tcPr>
          <w:p w14:paraId="76DA12C6"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64</w:t>
            </w:r>
          </w:p>
        </w:tc>
      </w:tr>
      <w:tr w:rsidR="002D068E" w:rsidRPr="00382CBA" w14:paraId="479A376B"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0A3E2EE6"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Current liabilities</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E99F03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397</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2A2475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406</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6971BF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459</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E1879E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466</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1C0A062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507</w:t>
            </w:r>
          </w:p>
        </w:tc>
      </w:tr>
      <w:tr w:rsidR="002D068E" w:rsidRPr="00382CBA" w14:paraId="148384D7"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024CE163"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Cash ratio</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A6F3A7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0.43</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822436A"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0.40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581311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0.14</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8453BA9"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0.22</w:t>
            </w: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730EA95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0.13</w:t>
            </w:r>
          </w:p>
        </w:tc>
      </w:tr>
      <w:tr w:rsidR="002D068E" w:rsidRPr="00382CBA" w14:paraId="557F7CEF" w14:textId="77777777">
        <w:trPr>
          <w:trHeight w:val="336"/>
        </w:trPr>
        <w:tc>
          <w:tcPr>
            <w:tcW w:w="2282" w:type="pct"/>
            <w:tcBorders>
              <w:top w:val="single" w:sz="4" w:space="0" w:color="000000"/>
              <w:left w:val="single" w:sz="4" w:space="0" w:color="000000"/>
              <w:bottom w:val="single" w:sz="4" w:space="0" w:color="000000"/>
              <w:right w:val="single" w:sz="4" w:space="0" w:color="000000"/>
            </w:tcBorders>
            <w:noWrap/>
            <w:vAlign w:val="center"/>
          </w:tcPr>
          <w:p w14:paraId="148BE6ED"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(Cash flow/ current liabilities)</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626DC20"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2BD7A326"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A9AB563"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C2D3C80" w14:textId="77777777" w:rsidR="002D068E" w:rsidRPr="00382CBA" w:rsidRDefault="002D068E">
            <w:pPr>
              <w:rPr>
                <w:rFonts w:ascii="Arial Regular" w:eastAsia="Times New Roman Regular" w:hAnsi="Arial Regular" w:cs="Arial Regular"/>
                <w:color w:val="000000"/>
                <w:szCs w:val="24"/>
                <w:lang w:val="en-GB"/>
              </w:rPr>
            </w:pPr>
          </w:p>
        </w:tc>
        <w:tc>
          <w:tcPr>
            <w:tcW w:w="544" w:type="pct"/>
            <w:tcBorders>
              <w:top w:val="single" w:sz="4" w:space="0" w:color="000000"/>
              <w:left w:val="single" w:sz="4" w:space="0" w:color="000000"/>
              <w:bottom w:val="single" w:sz="4" w:space="0" w:color="000000"/>
              <w:right w:val="single" w:sz="4" w:space="0" w:color="000000"/>
            </w:tcBorders>
            <w:noWrap/>
            <w:vAlign w:val="center"/>
          </w:tcPr>
          <w:p w14:paraId="1E76FAC8" w14:textId="77777777" w:rsidR="002D068E" w:rsidRPr="00382CBA" w:rsidRDefault="002D068E">
            <w:pPr>
              <w:rPr>
                <w:rFonts w:ascii="Arial Regular" w:eastAsia="Times New Roman Regular" w:hAnsi="Arial Regular" w:cs="Arial Regular"/>
                <w:color w:val="000000"/>
                <w:szCs w:val="24"/>
                <w:lang w:val="en-GB"/>
              </w:rPr>
            </w:pPr>
          </w:p>
        </w:tc>
      </w:tr>
    </w:tbl>
    <w:p w14:paraId="16E8B218" w14:textId="77777777" w:rsidR="002D068E" w:rsidRPr="00382CBA" w:rsidRDefault="002D068E">
      <w:pPr>
        <w:rPr>
          <w:rFonts w:ascii="Arial Regular" w:eastAsia="SimSun" w:hAnsi="Arial Regular" w:cs="Arial Regular"/>
          <w:b/>
          <w:bCs/>
          <w:szCs w:val="24"/>
          <w:lang w:val="en-GB" w:bidi="ar"/>
        </w:rPr>
      </w:pPr>
    </w:p>
    <w:p w14:paraId="78051151" w14:textId="77777777" w:rsidR="002D068E" w:rsidRPr="00382CBA" w:rsidRDefault="001F1C34">
      <w:pPr>
        <w:rPr>
          <w:rFonts w:ascii="Arial Regular" w:eastAsia="SimSun" w:hAnsi="Arial Regular" w:cs="Arial Regular"/>
          <w:b/>
          <w:bCs/>
          <w:szCs w:val="24"/>
          <w:lang w:val="en-GB" w:bidi="ar"/>
        </w:rPr>
      </w:pPr>
      <w:r w:rsidRPr="00382CBA">
        <w:rPr>
          <w:rFonts w:ascii="Arial Regular" w:eastAsia="SimSun" w:hAnsi="Arial Regular" w:cs="Arial Regular"/>
          <w:b/>
          <w:bCs/>
          <w:szCs w:val="24"/>
          <w:lang w:val="en-GB" w:bidi="ar"/>
        </w:rPr>
        <w:t>Cash Operating Cycle</w:t>
      </w:r>
    </w:p>
    <w:tbl>
      <w:tblPr>
        <w:tblW w:w="5000" w:type="pct"/>
        <w:tblLook w:val="04A0" w:firstRow="1" w:lastRow="0" w:firstColumn="1" w:lastColumn="0" w:noHBand="0" w:noVBand="1"/>
      </w:tblPr>
      <w:tblGrid>
        <w:gridCol w:w="7818"/>
        <w:gridCol w:w="1270"/>
        <w:gridCol w:w="1270"/>
        <w:gridCol w:w="1270"/>
        <w:gridCol w:w="1270"/>
        <w:gridCol w:w="1276"/>
      </w:tblGrid>
      <w:tr w:rsidR="002D068E" w:rsidRPr="00382CBA" w14:paraId="545C808D" w14:textId="77777777">
        <w:trPr>
          <w:trHeight w:val="336"/>
        </w:trPr>
        <w:tc>
          <w:tcPr>
            <w:tcW w:w="5000" w:type="pct"/>
            <w:gridSpan w:val="6"/>
            <w:tcBorders>
              <w:top w:val="single" w:sz="4" w:space="0" w:color="000000"/>
              <w:left w:val="single" w:sz="4" w:space="0" w:color="000000"/>
              <w:bottom w:val="single" w:sz="4" w:space="0" w:color="000000"/>
              <w:right w:val="single" w:sz="4" w:space="0" w:color="000000"/>
            </w:tcBorders>
            <w:noWrap/>
            <w:vAlign w:val="center"/>
          </w:tcPr>
          <w:p w14:paraId="75763F04" w14:textId="77777777" w:rsidR="002D068E" w:rsidRPr="00382CBA" w:rsidRDefault="001F1C34">
            <w:pPr>
              <w:jc w:val="cente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Cash Operating Cycle</w:t>
            </w:r>
          </w:p>
        </w:tc>
      </w:tr>
      <w:tr w:rsidR="002D068E" w:rsidRPr="00382CBA" w14:paraId="3010A1DD"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7BBC840D" w14:textId="77777777" w:rsidR="002D068E" w:rsidRPr="00382CBA" w:rsidRDefault="002D068E">
            <w:pPr>
              <w:rPr>
                <w:rFonts w:ascii="Arial Regular" w:eastAsia="Times New Roman Regular" w:hAnsi="Arial Regular" w:cs="Arial Regular"/>
                <w:b/>
                <w:bCs/>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0A22D6F8"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2021</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759D9F76"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2022</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3AFB7AFD"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2023</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5CA9FEF8"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2024</w:t>
            </w: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00A75FBE"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2025</w:t>
            </w:r>
          </w:p>
        </w:tc>
      </w:tr>
      <w:tr w:rsidR="002D068E" w:rsidRPr="00382CBA" w14:paraId="7F496923"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091E6AB7"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Average inventory</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6EF09BC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1F94E059"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2D6F774C"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2840649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495FE7B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r>
      <w:tr w:rsidR="002D068E" w:rsidRPr="00382CBA" w14:paraId="652E05C0"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3E53681D"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COS</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20CDF8E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132</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18D1892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106</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3986BC7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94</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00F7DB6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81</w:t>
            </w: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3FA983B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168</w:t>
            </w:r>
          </w:p>
        </w:tc>
      </w:tr>
      <w:tr w:rsidR="002D068E" w:rsidRPr="00382CBA" w14:paraId="68511EFE"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319F83FF"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Inventory days</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4F97A10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0709901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14EA8B1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04E5DF8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01BDC59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r>
      <w:tr w:rsidR="002D068E" w:rsidRPr="00382CBA" w14:paraId="297A7534"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0B1EF5E2"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lastRenderedPageBreak/>
              <w:t>(Average inventory/COS)*365</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3DCB9008"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45614DD6"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40F3D6CB"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65841198" w14:textId="77777777" w:rsidR="002D068E" w:rsidRPr="00382CBA" w:rsidRDefault="002D068E">
            <w:pPr>
              <w:rPr>
                <w:rFonts w:ascii="Arial Regular" w:eastAsia="Times New Roman Regular" w:hAnsi="Arial Regular" w:cs="Arial Regular"/>
                <w:color w:val="000000"/>
                <w:szCs w:val="24"/>
                <w:lang w:val="en-GB"/>
              </w:rPr>
            </w:pP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16A3EAFC"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113581D3"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59EF1372"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43C9E829"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33DC4E61"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25B79EC8"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10531356" w14:textId="77777777" w:rsidR="002D068E" w:rsidRPr="00382CBA" w:rsidRDefault="002D068E">
            <w:pPr>
              <w:rPr>
                <w:rFonts w:ascii="Arial Regular" w:eastAsia="Times New Roman Regular" w:hAnsi="Arial Regular" w:cs="Arial Regular"/>
                <w:color w:val="000000"/>
                <w:szCs w:val="24"/>
                <w:lang w:val="en-GB"/>
              </w:rPr>
            </w:pP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5E1971F4"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186E70A6"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4CC22982"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Receivables</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4FBF405C"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246</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7714E4F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234</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77A17009"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241</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0753F70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271</w:t>
            </w: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3B39188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291</w:t>
            </w:r>
          </w:p>
        </w:tc>
      </w:tr>
      <w:tr w:rsidR="002D068E" w:rsidRPr="00382CBA" w14:paraId="3EE0359B"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5FE44AF9"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Sales</w:t>
            </w:r>
          </w:p>
        </w:tc>
        <w:tc>
          <w:tcPr>
            <w:tcW w:w="448" w:type="pct"/>
            <w:tcBorders>
              <w:top w:val="single" w:sz="4" w:space="0" w:color="000000"/>
              <w:left w:val="single" w:sz="4" w:space="0" w:color="000000"/>
              <w:bottom w:val="single" w:sz="4" w:space="0" w:color="000000"/>
              <w:right w:val="single" w:sz="4" w:space="0" w:color="000000"/>
            </w:tcBorders>
            <w:noWrap/>
            <w:vAlign w:val="bottom"/>
          </w:tcPr>
          <w:p w14:paraId="541D14E9"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1,565</w:t>
            </w:r>
          </w:p>
        </w:tc>
        <w:tc>
          <w:tcPr>
            <w:tcW w:w="448" w:type="pct"/>
            <w:tcBorders>
              <w:top w:val="single" w:sz="4" w:space="0" w:color="000000"/>
              <w:left w:val="single" w:sz="4" w:space="0" w:color="000000"/>
              <w:bottom w:val="single" w:sz="4" w:space="0" w:color="000000"/>
              <w:right w:val="single" w:sz="4" w:space="0" w:color="000000"/>
            </w:tcBorders>
            <w:noWrap/>
            <w:vAlign w:val="bottom"/>
          </w:tcPr>
          <w:p w14:paraId="7AB82268"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1,498</w:t>
            </w:r>
          </w:p>
        </w:tc>
        <w:tc>
          <w:tcPr>
            <w:tcW w:w="448" w:type="pct"/>
            <w:tcBorders>
              <w:top w:val="single" w:sz="4" w:space="0" w:color="000000"/>
              <w:left w:val="single" w:sz="4" w:space="0" w:color="000000"/>
              <w:bottom w:val="single" w:sz="4" w:space="0" w:color="000000"/>
              <w:right w:val="single" w:sz="4" w:space="0" w:color="000000"/>
            </w:tcBorders>
            <w:noWrap/>
            <w:vAlign w:val="bottom"/>
          </w:tcPr>
          <w:p w14:paraId="050CE1FA"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1,397</w:t>
            </w:r>
          </w:p>
        </w:tc>
        <w:tc>
          <w:tcPr>
            <w:tcW w:w="448" w:type="pct"/>
            <w:tcBorders>
              <w:top w:val="single" w:sz="4" w:space="0" w:color="000000"/>
              <w:left w:val="single" w:sz="4" w:space="0" w:color="000000"/>
              <w:bottom w:val="single" w:sz="4" w:space="0" w:color="000000"/>
              <w:right w:val="single" w:sz="4" w:space="0" w:color="000000"/>
            </w:tcBorders>
            <w:noWrap/>
            <w:vAlign w:val="bottom"/>
          </w:tcPr>
          <w:p w14:paraId="5A45E067"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1,408</w:t>
            </w:r>
          </w:p>
        </w:tc>
        <w:tc>
          <w:tcPr>
            <w:tcW w:w="449" w:type="pct"/>
            <w:tcBorders>
              <w:top w:val="single" w:sz="4" w:space="0" w:color="000000"/>
              <w:left w:val="single" w:sz="4" w:space="0" w:color="000000"/>
              <w:bottom w:val="single" w:sz="4" w:space="0" w:color="000000"/>
              <w:right w:val="single" w:sz="4" w:space="0" w:color="000000"/>
            </w:tcBorders>
            <w:noWrap/>
            <w:vAlign w:val="bottom"/>
          </w:tcPr>
          <w:p w14:paraId="45BEAC2E"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1,429</w:t>
            </w:r>
          </w:p>
        </w:tc>
      </w:tr>
      <w:tr w:rsidR="002D068E" w:rsidRPr="00382CBA" w14:paraId="35DBE90C"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3A754D6E"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Receivable days</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412851CC"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57</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42D6DAF9"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57</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479B507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63</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2C6A75B7"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70</w:t>
            </w: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0B32C5D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74</w:t>
            </w:r>
          </w:p>
        </w:tc>
      </w:tr>
      <w:tr w:rsidR="002D068E" w:rsidRPr="00382CBA" w14:paraId="7FF42ED1"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50885071"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(Receivables/Sales)*365</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1882EC26"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71AA3343"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297D79CB"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4DB61C50" w14:textId="77777777" w:rsidR="002D068E" w:rsidRPr="00382CBA" w:rsidRDefault="002D068E">
            <w:pPr>
              <w:rPr>
                <w:rFonts w:ascii="Arial Regular" w:eastAsia="Times New Roman Regular" w:hAnsi="Arial Regular" w:cs="Arial Regular"/>
                <w:color w:val="000000"/>
                <w:szCs w:val="24"/>
                <w:lang w:val="en-GB"/>
              </w:rPr>
            </w:pP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5E691269"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16F54FDB"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55B4FE9C"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1B989C16"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48A8C3AB"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0D67627F"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523A60C7" w14:textId="77777777" w:rsidR="002D068E" w:rsidRPr="00382CBA" w:rsidRDefault="002D068E">
            <w:pPr>
              <w:rPr>
                <w:rFonts w:ascii="Arial Regular" w:eastAsia="Times New Roman Regular" w:hAnsi="Arial Regular" w:cs="Arial Regular"/>
                <w:color w:val="000000"/>
                <w:szCs w:val="24"/>
                <w:lang w:val="en-GB"/>
              </w:rPr>
            </w:pP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249F8670"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2EDC5D2C"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5C053DE1"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Payables</w:t>
            </w:r>
          </w:p>
        </w:tc>
        <w:tc>
          <w:tcPr>
            <w:tcW w:w="448" w:type="pct"/>
            <w:tcBorders>
              <w:top w:val="single" w:sz="4" w:space="0" w:color="000000"/>
              <w:left w:val="single" w:sz="4" w:space="0" w:color="000000"/>
              <w:bottom w:val="single" w:sz="4" w:space="0" w:color="000000"/>
              <w:right w:val="single" w:sz="4" w:space="0" w:color="000000"/>
            </w:tcBorders>
            <w:noWrap/>
            <w:vAlign w:val="bottom"/>
          </w:tcPr>
          <w:p w14:paraId="5023B8DA"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31</w:t>
            </w:r>
          </w:p>
        </w:tc>
        <w:tc>
          <w:tcPr>
            <w:tcW w:w="448" w:type="pct"/>
            <w:tcBorders>
              <w:top w:val="single" w:sz="4" w:space="0" w:color="000000"/>
              <w:left w:val="single" w:sz="4" w:space="0" w:color="000000"/>
              <w:bottom w:val="single" w:sz="4" w:space="0" w:color="000000"/>
              <w:right w:val="single" w:sz="4" w:space="0" w:color="000000"/>
            </w:tcBorders>
            <w:noWrap/>
            <w:vAlign w:val="bottom"/>
          </w:tcPr>
          <w:p w14:paraId="0577746A"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39</w:t>
            </w:r>
          </w:p>
        </w:tc>
        <w:tc>
          <w:tcPr>
            <w:tcW w:w="448" w:type="pct"/>
            <w:tcBorders>
              <w:top w:val="single" w:sz="4" w:space="0" w:color="000000"/>
              <w:left w:val="single" w:sz="4" w:space="0" w:color="000000"/>
              <w:bottom w:val="single" w:sz="4" w:space="0" w:color="000000"/>
              <w:right w:val="single" w:sz="4" w:space="0" w:color="000000"/>
            </w:tcBorders>
            <w:noWrap/>
            <w:vAlign w:val="bottom"/>
          </w:tcPr>
          <w:p w14:paraId="52B9CB97"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32</w:t>
            </w:r>
          </w:p>
        </w:tc>
        <w:tc>
          <w:tcPr>
            <w:tcW w:w="448" w:type="pct"/>
            <w:tcBorders>
              <w:top w:val="single" w:sz="4" w:space="0" w:color="000000"/>
              <w:left w:val="single" w:sz="4" w:space="0" w:color="000000"/>
              <w:bottom w:val="single" w:sz="4" w:space="0" w:color="000000"/>
              <w:right w:val="single" w:sz="4" w:space="0" w:color="000000"/>
            </w:tcBorders>
            <w:noWrap/>
            <w:vAlign w:val="bottom"/>
          </w:tcPr>
          <w:p w14:paraId="3CC44BD4"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37</w:t>
            </w:r>
          </w:p>
        </w:tc>
        <w:tc>
          <w:tcPr>
            <w:tcW w:w="449" w:type="pct"/>
            <w:tcBorders>
              <w:top w:val="single" w:sz="4" w:space="0" w:color="000000"/>
              <w:left w:val="single" w:sz="4" w:space="0" w:color="000000"/>
              <w:bottom w:val="single" w:sz="4" w:space="0" w:color="000000"/>
              <w:right w:val="single" w:sz="4" w:space="0" w:color="000000"/>
            </w:tcBorders>
            <w:noWrap/>
            <w:vAlign w:val="bottom"/>
          </w:tcPr>
          <w:p w14:paraId="519DD40A" w14:textId="77777777" w:rsidR="002D068E" w:rsidRPr="00382CBA" w:rsidRDefault="001F1C34">
            <w:pPr>
              <w:jc w:val="right"/>
              <w:textAlignment w:val="bottom"/>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38</w:t>
            </w:r>
          </w:p>
        </w:tc>
      </w:tr>
      <w:tr w:rsidR="002D068E" w:rsidRPr="00382CBA" w14:paraId="241D7BA4"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56EF3D25"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COS</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33099E5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132</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130B562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106</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34F4F00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94</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33A84E6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81</w:t>
            </w: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5AD4787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168</w:t>
            </w:r>
          </w:p>
        </w:tc>
      </w:tr>
      <w:tr w:rsidR="002D068E" w:rsidRPr="00382CBA" w14:paraId="041BA1A9"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1A1D0E55"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Payable days</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67BB9ED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86</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23CA187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134</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1B187B9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124</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154965A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167</w:t>
            </w: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3BCEB5A7"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83</w:t>
            </w:r>
          </w:p>
        </w:tc>
      </w:tr>
      <w:tr w:rsidR="002D068E" w:rsidRPr="00382CBA" w14:paraId="602AE4EA"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331589A4"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(Payables/ COS)*365</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5C4E29B9"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3DA3938C"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47602692"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4EB4782B" w14:textId="77777777" w:rsidR="002D068E" w:rsidRPr="00382CBA" w:rsidRDefault="002D068E">
            <w:pPr>
              <w:rPr>
                <w:rFonts w:ascii="Arial Regular" w:eastAsia="Times New Roman Regular" w:hAnsi="Arial Regular" w:cs="Arial Regular"/>
                <w:color w:val="000000"/>
                <w:szCs w:val="24"/>
                <w:lang w:val="en-GB"/>
              </w:rPr>
            </w:pP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7C72EE3F"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2AA824D5"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689CD2ED"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6354B9D8"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446A74F3"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4315742E"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2916E3C0" w14:textId="77777777" w:rsidR="002D068E" w:rsidRPr="00382CBA" w:rsidRDefault="002D068E">
            <w:pPr>
              <w:rPr>
                <w:rFonts w:ascii="Arial Regular" w:eastAsia="Times New Roman Regular" w:hAnsi="Arial Regular" w:cs="Arial Regular"/>
                <w:color w:val="000000"/>
                <w:szCs w:val="24"/>
                <w:lang w:val="en-GB"/>
              </w:rPr>
            </w:pP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6E2C0AD3"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74FC0710"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0F99D3AD"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1B5A5497"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736BD5EE"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0AFB0AB1"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5BD5EC42" w14:textId="77777777" w:rsidR="002D068E" w:rsidRPr="00382CBA" w:rsidRDefault="002D068E">
            <w:pPr>
              <w:rPr>
                <w:rFonts w:ascii="Arial Regular" w:eastAsia="Times New Roman Regular" w:hAnsi="Arial Regular" w:cs="Arial Regular"/>
                <w:color w:val="000000"/>
                <w:szCs w:val="24"/>
                <w:lang w:val="en-GB"/>
              </w:rPr>
            </w:pP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38D59684"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66B9856F"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03A7EB19"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Inventory days</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5BF2E257"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0FE20FA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6E7F50A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254638D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11FE601A"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r>
      <w:tr w:rsidR="002D068E" w:rsidRPr="00382CBA" w14:paraId="3CB1BAED"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7640D1CE"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Receivable days</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2FBDCDEA"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57</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1F914A1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57</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23D379F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63</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02FBDCD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70</w:t>
            </w: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1354F117"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74</w:t>
            </w:r>
          </w:p>
        </w:tc>
      </w:tr>
      <w:tr w:rsidR="002D068E" w:rsidRPr="00382CBA" w14:paraId="76B2F6FD"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095CF017"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Payable days</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4D735B9A"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86</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5D8DF417"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134</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29DA0BB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124</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2CFF706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167</w:t>
            </w: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5E86DC0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83</w:t>
            </w:r>
          </w:p>
        </w:tc>
      </w:tr>
      <w:tr w:rsidR="002D068E" w:rsidRPr="00382CBA" w14:paraId="051F646A"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4ABA45F0"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Cash Operating Cycle</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6719F61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-28</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6A03558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-77</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1CF60A1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-61</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25ED141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-96</w:t>
            </w: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13281E4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-8</w:t>
            </w:r>
          </w:p>
        </w:tc>
      </w:tr>
      <w:tr w:rsidR="002D068E" w:rsidRPr="00382CBA" w14:paraId="6CAC527D" w14:textId="77777777">
        <w:trPr>
          <w:trHeight w:val="336"/>
        </w:trPr>
        <w:tc>
          <w:tcPr>
            <w:tcW w:w="2758" w:type="pct"/>
            <w:tcBorders>
              <w:top w:val="single" w:sz="4" w:space="0" w:color="000000"/>
              <w:left w:val="single" w:sz="4" w:space="0" w:color="000000"/>
              <w:bottom w:val="single" w:sz="4" w:space="0" w:color="000000"/>
              <w:right w:val="single" w:sz="4" w:space="0" w:color="000000"/>
            </w:tcBorders>
            <w:noWrap/>
            <w:vAlign w:val="center"/>
          </w:tcPr>
          <w:p w14:paraId="205BF453"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(Inventory </w:t>
            </w:r>
            <w:proofErr w:type="spellStart"/>
            <w:r w:rsidRPr="00382CBA">
              <w:rPr>
                <w:rFonts w:ascii="Arial Regular" w:eastAsia="Times New Roman Regular" w:hAnsi="Arial Regular" w:cs="Arial Regular"/>
                <w:color w:val="000000"/>
                <w:szCs w:val="24"/>
                <w:lang w:val="en-GB" w:bidi="ar"/>
              </w:rPr>
              <w:t>days+receivable</w:t>
            </w:r>
            <w:proofErr w:type="spellEnd"/>
            <w:r w:rsidRPr="00382CBA">
              <w:rPr>
                <w:rFonts w:ascii="Arial Regular" w:eastAsia="Times New Roman Regular" w:hAnsi="Arial Regular" w:cs="Arial Regular"/>
                <w:color w:val="000000"/>
                <w:szCs w:val="24"/>
                <w:lang w:val="en-GB" w:bidi="ar"/>
              </w:rPr>
              <w:t xml:space="preserve"> days-payable days)</w:t>
            </w: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02B8E860"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0AB764A6"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389CE982" w14:textId="77777777" w:rsidR="002D068E" w:rsidRPr="00382CBA" w:rsidRDefault="002D068E">
            <w:pPr>
              <w:rPr>
                <w:rFonts w:ascii="Arial Regular" w:eastAsia="Times New Roman Regular" w:hAnsi="Arial Regular" w:cs="Arial Regular"/>
                <w:color w:val="000000"/>
                <w:szCs w:val="24"/>
                <w:lang w:val="en-GB"/>
              </w:rPr>
            </w:pPr>
          </w:p>
        </w:tc>
        <w:tc>
          <w:tcPr>
            <w:tcW w:w="448" w:type="pct"/>
            <w:tcBorders>
              <w:top w:val="single" w:sz="4" w:space="0" w:color="000000"/>
              <w:left w:val="single" w:sz="4" w:space="0" w:color="000000"/>
              <w:bottom w:val="single" w:sz="4" w:space="0" w:color="000000"/>
              <w:right w:val="single" w:sz="4" w:space="0" w:color="000000"/>
            </w:tcBorders>
            <w:noWrap/>
            <w:vAlign w:val="center"/>
          </w:tcPr>
          <w:p w14:paraId="76B6E958" w14:textId="77777777" w:rsidR="002D068E" w:rsidRPr="00382CBA" w:rsidRDefault="002D068E">
            <w:pPr>
              <w:rPr>
                <w:rFonts w:ascii="Arial Regular" w:eastAsia="Times New Roman Regular" w:hAnsi="Arial Regular" w:cs="Arial Regular"/>
                <w:color w:val="000000"/>
                <w:szCs w:val="24"/>
                <w:lang w:val="en-GB"/>
              </w:rPr>
            </w:pPr>
          </w:p>
        </w:tc>
        <w:tc>
          <w:tcPr>
            <w:tcW w:w="449" w:type="pct"/>
            <w:tcBorders>
              <w:top w:val="single" w:sz="4" w:space="0" w:color="000000"/>
              <w:left w:val="single" w:sz="4" w:space="0" w:color="000000"/>
              <w:bottom w:val="single" w:sz="4" w:space="0" w:color="000000"/>
              <w:right w:val="single" w:sz="4" w:space="0" w:color="000000"/>
            </w:tcBorders>
            <w:noWrap/>
            <w:vAlign w:val="center"/>
          </w:tcPr>
          <w:p w14:paraId="6222D0AC" w14:textId="77777777" w:rsidR="002D068E" w:rsidRPr="00382CBA" w:rsidRDefault="002D068E">
            <w:pPr>
              <w:rPr>
                <w:rFonts w:ascii="Arial Regular" w:eastAsia="Times New Roman Regular" w:hAnsi="Arial Regular" w:cs="Arial Regular"/>
                <w:color w:val="000000"/>
                <w:szCs w:val="24"/>
                <w:lang w:val="en-GB"/>
              </w:rPr>
            </w:pPr>
          </w:p>
        </w:tc>
      </w:tr>
    </w:tbl>
    <w:p w14:paraId="29E576DA" w14:textId="77777777" w:rsidR="002D068E" w:rsidRPr="00382CBA" w:rsidRDefault="002D068E">
      <w:pPr>
        <w:rPr>
          <w:rFonts w:ascii="Arial Regular" w:eastAsia="SimSun" w:hAnsi="Arial Regular" w:cs="Arial Regular"/>
          <w:b/>
          <w:bCs/>
          <w:szCs w:val="24"/>
          <w:lang w:val="en-GB" w:bidi="ar"/>
        </w:rPr>
      </w:pPr>
    </w:p>
    <w:p w14:paraId="630D6355" w14:textId="77777777" w:rsidR="002D068E" w:rsidRPr="00382CBA" w:rsidRDefault="001F1C34">
      <w:pPr>
        <w:rPr>
          <w:rFonts w:ascii="Arial Regular" w:eastAsia="SimSun" w:hAnsi="Arial Regular" w:cs="Arial Regular"/>
          <w:szCs w:val="24"/>
          <w:lang w:val="en-GB" w:bidi="ar"/>
        </w:rPr>
      </w:pPr>
      <w:r w:rsidRPr="00382CBA">
        <w:rPr>
          <w:rFonts w:ascii="Arial Regular" w:eastAsia="SimSun" w:hAnsi="Arial Regular" w:cs="Arial Regular"/>
          <w:b/>
          <w:bCs/>
          <w:szCs w:val="24"/>
          <w:lang w:val="en-GB" w:bidi="ar"/>
        </w:rPr>
        <w:lastRenderedPageBreak/>
        <w:t>Investment Appraisal Techniques</w:t>
      </w:r>
    </w:p>
    <w:tbl>
      <w:tblPr>
        <w:tblW w:w="5000" w:type="pct"/>
        <w:tblLook w:val="04A0" w:firstRow="1" w:lastRow="0" w:firstColumn="1" w:lastColumn="0" w:noHBand="0" w:noVBand="1"/>
      </w:tblPr>
      <w:tblGrid>
        <w:gridCol w:w="2250"/>
        <w:gridCol w:w="2324"/>
        <w:gridCol w:w="1647"/>
        <w:gridCol w:w="2325"/>
        <w:gridCol w:w="1647"/>
        <w:gridCol w:w="2325"/>
        <w:gridCol w:w="1656"/>
      </w:tblGrid>
      <w:tr w:rsidR="002D068E" w:rsidRPr="00382CBA" w14:paraId="47459B81" w14:textId="77777777">
        <w:trPr>
          <w:trHeight w:val="336"/>
        </w:trPr>
        <w:tc>
          <w:tcPr>
            <w:tcW w:w="5000" w:type="pct"/>
            <w:gridSpan w:val="7"/>
            <w:tcBorders>
              <w:top w:val="single" w:sz="4" w:space="0" w:color="000000"/>
              <w:left w:val="single" w:sz="4" w:space="0" w:color="000000"/>
              <w:bottom w:val="single" w:sz="4" w:space="0" w:color="000000"/>
              <w:right w:val="single" w:sz="4" w:space="0" w:color="000000"/>
            </w:tcBorders>
            <w:noWrap/>
            <w:vAlign w:val="center"/>
          </w:tcPr>
          <w:p w14:paraId="13A8A16D" w14:textId="77777777" w:rsidR="002D068E" w:rsidRPr="00382CBA" w:rsidRDefault="001F1C34">
            <w:pPr>
              <w:jc w:val="cente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Payback period</w:t>
            </w:r>
          </w:p>
        </w:tc>
      </w:tr>
      <w:tr w:rsidR="002D068E" w:rsidRPr="00382CBA" w14:paraId="3D57C7D6" w14:textId="77777777">
        <w:trPr>
          <w:trHeight w:val="336"/>
        </w:trPr>
        <w:tc>
          <w:tcPr>
            <w:tcW w:w="794" w:type="pct"/>
            <w:tcBorders>
              <w:top w:val="single" w:sz="4" w:space="0" w:color="000000"/>
              <w:left w:val="single" w:sz="4" w:space="0" w:color="000000"/>
              <w:bottom w:val="single" w:sz="4" w:space="0" w:color="000000"/>
              <w:right w:val="single" w:sz="4" w:space="0" w:color="000000"/>
            </w:tcBorders>
            <w:noWrap/>
            <w:vAlign w:val="center"/>
          </w:tcPr>
          <w:p w14:paraId="546B7396"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Projects</w:t>
            </w:r>
          </w:p>
        </w:tc>
        <w:tc>
          <w:tcPr>
            <w:tcW w:w="1401" w:type="pct"/>
            <w:gridSpan w:val="2"/>
            <w:tcBorders>
              <w:top w:val="single" w:sz="4" w:space="0" w:color="000000"/>
              <w:left w:val="single" w:sz="4" w:space="0" w:color="000000"/>
              <w:bottom w:val="single" w:sz="4" w:space="0" w:color="000000"/>
              <w:right w:val="single" w:sz="4" w:space="0" w:color="000000"/>
            </w:tcBorders>
            <w:noWrap/>
            <w:vAlign w:val="center"/>
          </w:tcPr>
          <w:p w14:paraId="393E2586" w14:textId="77777777" w:rsidR="002D068E" w:rsidRPr="00382CBA" w:rsidRDefault="001F1C34">
            <w:pPr>
              <w:jc w:val="cente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A</w:t>
            </w:r>
          </w:p>
        </w:tc>
        <w:tc>
          <w:tcPr>
            <w:tcW w:w="1401" w:type="pct"/>
            <w:gridSpan w:val="2"/>
            <w:tcBorders>
              <w:top w:val="single" w:sz="4" w:space="0" w:color="000000"/>
              <w:left w:val="single" w:sz="4" w:space="0" w:color="000000"/>
              <w:bottom w:val="single" w:sz="4" w:space="0" w:color="000000"/>
              <w:right w:val="single" w:sz="4" w:space="0" w:color="000000"/>
            </w:tcBorders>
            <w:noWrap/>
            <w:vAlign w:val="center"/>
          </w:tcPr>
          <w:p w14:paraId="20324BF7" w14:textId="77777777" w:rsidR="002D068E" w:rsidRPr="00382CBA" w:rsidRDefault="001F1C34">
            <w:pPr>
              <w:jc w:val="cente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B</w:t>
            </w:r>
          </w:p>
        </w:tc>
        <w:tc>
          <w:tcPr>
            <w:tcW w:w="1402" w:type="pct"/>
            <w:gridSpan w:val="2"/>
            <w:tcBorders>
              <w:top w:val="single" w:sz="4" w:space="0" w:color="000000"/>
              <w:left w:val="single" w:sz="4" w:space="0" w:color="000000"/>
              <w:bottom w:val="single" w:sz="4" w:space="0" w:color="000000"/>
              <w:right w:val="single" w:sz="4" w:space="0" w:color="000000"/>
            </w:tcBorders>
            <w:noWrap/>
            <w:vAlign w:val="center"/>
          </w:tcPr>
          <w:p w14:paraId="449904BE" w14:textId="77777777" w:rsidR="002D068E" w:rsidRPr="00382CBA" w:rsidRDefault="001F1C34">
            <w:pPr>
              <w:jc w:val="cente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C</w:t>
            </w:r>
          </w:p>
        </w:tc>
      </w:tr>
      <w:tr w:rsidR="002D068E" w:rsidRPr="00382CBA" w14:paraId="45627E99" w14:textId="77777777">
        <w:trPr>
          <w:trHeight w:val="336"/>
        </w:trPr>
        <w:tc>
          <w:tcPr>
            <w:tcW w:w="794" w:type="pct"/>
            <w:tcBorders>
              <w:top w:val="single" w:sz="4" w:space="0" w:color="000000"/>
              <w:left w:val="single" w:sz="4" w:space="0" w:color="000000"/>
              <w:bottom w:val="single" w:sz="4" w:space="0" w:color="000000"/>
              <w:right w:val="single" w:sz="4" w:space="0" w:color="000000"/>
            </w:tcBorders>
            <w:noWrap/>
            <w:vAlign w:val="center"/>
          </w:tcPr>
          <w:p w14:paraId="6B9A3C46"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Year</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170739FA"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Cash Flows (£M)</w:t>
            </w:r>
          </w:p>
        </w:tc>
        <w:tc>
          <w:tcPr>
            <w:tcW w:w="580" w:type="pct"/>
            <w:tcBorders>
              <w:top w:val="single" w:sz="4" w:space="0" w:color="000000"/>
              <w:left w:val="single" w:sz="4" w:space="0" w:color="000000"/>
              <w:bottom w:val="single" w:sz="4" w:space="0" w:color="000000"/>
              <w:right w:val="single" w:sz="4" w:space="0" w:color="000000"/>
            </w:tcBorders>
            <w:noWrap/>
            <w:vAlign w:val="center"/>
          </w:tcPr>
          <w:p w14:paraId="0B47D8B5"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Cumulative</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5E5143A9"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Cash Flows (£M)</w:t>
            </w:r>
          </w:p>
        </w:tc>
        <w:tc>
          <w:tcPr>
            <w:tcW w:w="580" w:type="pct"/>
            <w:tcBorders>
              <w:top w:val="single" w:sz="4" w:space="0" w:color="000000"/>
              <w:left w:val="single" w:sz="4" w:space="0" w:color="000000"/>
              <w:bottom w:val="single" w:sz="4" w:space="0" w:color="000000"/>
              <w:right w:val="single" w:sz="4" w:space="0" w:color="000000"/>
            </w:tcBorders>
            <w:noWrap/>
            <w:vAlign w:val="center"/>
          </w:tcPr>
          <w:p w14:paraId="6E9D952A"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Cumulative</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2E70663E"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Cash Flows (£M)</w:t>
            </w:r>
          </w:p>
        </w:tc>
        <w:tc>
          <w:tcPr>
            <w:tcW w:w="581" w:type="pct"/>
            <w:tcBorders>
              <w:top w:val="single" w:sz="4" w:space="0" w:color="000000"/>
              <w:left w:val="single" w:sz="4" w:space="0" w:color="000000"/>
              <w:bottom w:val="single" w:sz="4" w:space="0" w:color="000000"/>
              <w:right w:val="single" w:sz="4" w:space="0" w:color="000000"/>
            </w:tcBorders>
            <w:noWrap/>
            <w:vAlign w:val="center"/>
          </w:tcPr>
          <w:p w14:paraId="290F2746"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Cumulative</w:t>
            </w:r>
          </w:p>
        </w:tc>
      </w:tr>
      <w:tr w:rsidR="002D068E" w:rsidRPr="00382CBA" w14:paraId="30BEC518" w14:textId="77777777">
        <w:trPr>
          <w:trHeight w:val="336"/>
        </w:trPr>
        <w:tc>
          <w:tcPr>
            <w:tcW w:w="794" w:type="pct"/>
            <w:tcBorders>
              <w:top w:val="single" w:sz="4" w:space="0" w:color="000000"/>
              <w:left w:val="single" w:sz="4" w:space="0" w:color="000000"/>
              <w:bottom w:val="single" w:sz="4" w:space="0" w:color="000000"/>
              <w:right w:val="single" w:sz="4" w:space="0" w:color="000000"/>
            </w:tcBorders>
            <w:noWrap/>
            <w:vAlign w:val="center"/>
          </w:tcPr>
          <w:p w14:paraId="6E9F891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795A8167"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580" w:type="pct"/>
            <w:tcBorders>
              <w:top w:val="single" w:sz="4" w:space="0" w:color="000000"/>
              <w:left w:val="single" w:sz="4" w:space="0" w:color="000000"/>
              <w:bottom w:val="single" w:sz="4" w:space="0" w:color="000000"/>
              <w:right w:val="single" w:sz="4" w:space="0" w:color="000000"/>
            </w:tcBorders>
            <w:noWrap/>
            <w:vAlign w:val="center"/>
          </w:tcPr>
          <w:p w14:paraId="20235504"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06813307"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580" w:type="pct"/>
            <w:tcBorders>
              <w:top w:val="single" w:sz="4" w:space="0" w:color="000000"/>
              <w:left w:val="single" w:sz="4" w:space="0" w:color="000000"/>
              <w:bottom w:val="single" w:sz="4" w:space="0" w:color="000000"/>
              <w:right w:val="single" w:sz="4" w:space="0" w:color="000000"/>
            </w:tcBorders>
            <w:noWrap/>
            <w:vAlign w:val="center"/>
          </w:tcPr>
          <w:p w14:paraId="258F4C57"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0570734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581" w:type="pct"/>
            <w:tcBorders>
              <w:top w:val="single" w:sz="4" w:space="0" w:color="000000"/>
              <w:left w:val="single" w:sz="4" w:space="0" w:color="000000"/>
              <w:bottom w:val="single" w:sz="4" w:space="0" w:color="000000"/>
              <w:right w:val="single" w:sz="4" w:space="0" w:color="000000"/>
            </w:tcBorders>
            <w:noWrap/>
            <w:vAlign w:val="center"/>
          </w:tcPr>
          <w:p w14:paraId="46045F09"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r>
      <w:tr w:rsidR="002D068E" w:rsidRPr="00382CBA" w14:paraId="3BF5538C" w14:textId="77777777">
        <w:trPr>
          <w:trHeight w:val="336"/>
        </w:trPr>
        <w:tc>
          <w:tcPr>
            <w:tcW w:w="794" w:type="pct"/>
            <w:tcBorders>
              <w:top w:val="single" w:sz="4" w:space="0" w:color="000000"/>
              <w:left w:val="single" w:sz="4" w:space="0" w:color="000000"/>
              <w:bottom w:val="single" w:sz="4" w:space="0" w:color="000000"/>
              <w:right w:val="single" w:sz="4" w:space="0" w:color="000000"/>
            </w:tcBorders>
            <w:noWrap/>
            <w:vAlign w:val="center"/>
          </w:tcPr>
          <w:p w14:paraId="219C07F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79EAEEF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580" w:type="pct"/>
            <w:tcBorders>
              <w:top w:val="single" w:sz="4" w:space="0" w:color="000000"/>
              <w:left w:val="single" w:sz="4" w:space="0" w:color="000000"/>
              <w:bottom w:val="single" w:sz="4" w:space="0" w:color="000000"/>
              <w:right w:val="single" w:sz="4" w:space="0" w:color="000000"/>
            </w:tcBorders>
            <w:noWrap/>
            <w:vAlign w:val="center"/>
          </w:tcPr>
          <w:p w14:paraId="44DF52B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-40</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4674815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580" w:type="pct"/>
            <w:tcBorders>
              <w:top w:val="single" w:sz="4" w:space="0" w:color="000000"/>
              <w:left w:val="single" w:sz="4" w:space="0" w:color="000000"/>
              <w:bottom w:val="single" w:sz="4" w:space="0" w:color="000000"/>
              <w:right w:val="single" w:sz="4" w:space="0" w:color="000000"/>
            </w:tcBorders>
            <w:noWrap/>
            <w:vAlign w:val="center"/>
          </w:tcPr>
          <w:p w14:paraId="7E93623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-39</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772BAFD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w:t>
            </w:r>
          </w:p>
        </w:tc>
        <w:tc>
          <w:tcPr>
            <w:tcW w:w="581" w:type="pct"/>
            <w:tcBorders>
              <w:top w:val="single" w:sz="4" w:space="0" w:color="000000"/>
              <w:left w:val="single" w:sz="4" w:space="0" w:color="000000"/>
              <w:bottom w:val="single" w:sz="4" w:space="0" w:color="000000"/>
              <w:right w:val="single" w:sz="4" w:space="0" w:color="000000"/>
            </w:tcBorders>
            <w:noWrap/>
            <w:vAlign w:val="center"/>
          </w:tcPr>
          <w:p w14:paraId="6206DA6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-45</w:t>
            </w:r>
          </w:p>
        </w:tc>
      </w:tr>
      <w:tr w:rsidR="002D068E" w:rsidRPr="00382CBA" w14:paraId="2B0B3816" w14:textId="77777777">
        <w:trPr>
          <w:trHeight w:val="336"/>
        </w:trPr>
        <w:tc>
          <w:tcPr>
            <w:tcW w:w="794" w:type="pct"/>
            <w:tcBorders>
              <w:top w:val="single" w:sz="4" w:space="0" w:color="000000"/>
              <w:left w:val="single" w:sz="4" w:space="0" w:color="000000"/>
              <w:bottom w:val="single" w:sz="4" w:space="0" w:color="000000"/>
              <w:right w:val="single" w:sz="4" w:space="0" w:color="000000"/>
            </w:tcBorders>
            <w:noWrap/>
            <w:vAlign w:val="center"/>
          </w:tcPr>
          <w:p w14:paraId="4D92E93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1808D3A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12</w:t>
            </w:r>
          </w:p>
        </w:tc>
        <w:tc>
          <w:tcPr>
            <w:tcW w:w="580" w:type="pct"/>
            <w:tcBorders>
              <w:top w:val="single" w:sz="4" w:space="0" w:color="000000"/>
              <w:left w:val="single" w:sz="4" w:space="0" w:color="000000"/>
              <w:bottom w:val="single" w:sz="4" w:space="0" w:color="000000"/>
              <w:right w:val="single" w:sz="4" w:space="0" w:color="000000"/>
            </w:tcBorders>
            <w:noWrap/>
            <w:vAlign w:val="center"/>
          </w:tcPr>
          <w:p w14:paraId="25AC286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-28</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58979C0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580" w:type="pct"/>
            <w:tcBorders>
              <w:top w:val="single" w:sz="4" w:space="0" w:color="000000"/>
              <w:left w:val="single" w:sz="4" w:space="0" w:color="000000"/>
              <w:bottom w:val="single" w:sz="4" w:space="0" w:color="000000"/>
              <w:right w:val="single" w:sz="4" w:space="0" w:color="000000"/>
            </w:tcBorders>
            <w:noWrap/>
            <w:vAlign w:val="center"/>
          </w:tcPr>
          <w:p w14:paraId="4B4904B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-28</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4B45DFD4"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581" w:type="pct"/>
            <w:tcBorders>
              <w:top w:val="single" w:sz="4" w:space="0" w:color="000000"/>
              <w:left w:val="single" w:sz="4" w:space="0" w:color="000000"/>
              <w:bottom w:val="single" w:sz="4" w:space="0" w:color="000000"/>
              <w:right w:val="single" w:sz="4" w:space="0" w:color="000000"/>
            </w:tcBorders>
            <w:noWrap/>
            <w:vAlign w:val="center"/>
          </w:tcPr>
          <w:p w14:paraId="52A8A69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-35</w:t>
            </w:r>
          </w:p>
        </w:tc>
      </w:tr>
      <w:tr w:rsidR="002D068E" w:rsidRPr="00382CBA" w14:paraId="194FB690" w14:textId="77777777">
        <w:trPr>
          <w:trHeight w:val="336"/>
        </w:trPr>
        <w:tc>
          <w:tcPr>
            <w:tcW w:w="794" w:type="pct"/>
            <w:tcBorders>
              <w:top w:val="single" w:sz="4" w:space="0" w:color="000000"/>
              <w:left w:val="single" w:sz="4" w:space="0" w:color="000000"/>
              <w:bottom w:val="single" w:sz="4" w:space="0" w:color="000000"/>
              <w:right w:val="single" w:sz="4" w:space="0" w:color="000000"/>
            </w:tcBorders>
            <w:noWrap/>
            <w:vAlign w:val="center"/>
          </w:tcPr>
          <w:p w14:paraId="68735FE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2D3439A7"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14</w:t>
            </w:r>
          </w:p>
        </w:tc>
        <w:tc>
          <w:tcPr>
            <w:tcW w:w="580" w:type="pct"/>
            <w:tcBorders>
              <w:top w:val="single" w:sz="4" w:space="0" w:color="000000"/>
              <w:left w:val="single" w:sz="4" w:space="0" w:color="000000"/>
              <w:bottom w:val="single" w:sz="4" w:space="0" w:color="000000"/>
              <w:right w:val="single" w:sz="4" w:space="0" w:color="000000"/>
            </w:tcBorders>
            <w:noWrap/>
            <w:vAlign w:val="center"/>
          </w:tcPr>
          <w:p w14:paraId="47948FB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-14</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295B17DC"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580" w:type="pct"/>
            <w:tcBorders>
              <w:top w:val="single" w:sz="4" w:space="0" w:color="000000"/>
              <w:left w:val="single" w:sz="4" w:space="0" w:color="000000"/>
              <w:bottom w:val="single" w:sz="4" w:space="0" w:color="000000"/>
              <w:right w:val="single" w:sz="4" w:space="0" w:color="000000"/>
            </w:tcBorders>
            <w:noWrap/>
            <w:vAlign w:val="center"/>
          </w:tcPr>
          <w:p w14:paraId="26AF105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-17</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25139787"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20</w:t>
            </w:r>
          </w:p>
        </w:tc>
        <w:tc>
          <w:tcPr>
            <w:tcW w:w="581" w:type="pct"/>
            <w:tcBorders>
              <w:top w:val="single" w:sz="4" w:space="0" w:color="000000"/>
              <w:left w:val="single" w:sz="4" w:space="0" w:color="000000"/>
              <w:bottom w:val="single" w:sz="4" w:space="0" w:color="000000"/>
              <w:right w:val="single" w:sz="4" w:space="0" w:color="000000"/>
            </w:tcBorders>
            <w:noWrap/>
            <w:vAlign w:val="center"/>
          </w:tcPr>
          <w:p w14:paraId="7BA8E46A"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-15</w:t>
            </w:r>
          </w:p>
        </w:tc>
      </w:tr>
      <w:tr w:rsidR="002D068E" w:rsidRPr="00382CBA" w14:paraId="44F21E36" w14:textId="77777777">
        <w:trPr>
          <w:trHeight w:val="336"/>
        </w:trPr>
        <w:tc>
          <w:tcPr>
            <w:tcW w:w="794" w:type="pct"/>
            <w:tcBorders>
              <w:top w:val="single" w:sz="4" w:space="0" w:color="000000"/>
              <w:left w:val="single" w:sz="4" w:space="0" w:color="000000"/>
              <w:bottom w:val="single" w:sz="4" w:space="0" w:color="000000"/>
              <w:right w:val="single" w:sz="4" w:space="0" w:color="000000"/>
            </w:tcBorders>
            <w:noWrap/>
            <w:vAlign w:val="center"/>
          </w:tcPr>
          <w:p w14:paraId="221B762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128F6BD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580" w:type="pct"/>
            <w:tcBorders>
              <w:top w:val="single" w:sz="4" w:space="0" w:color="000000"/>
              <w:left w:val="single" w:sz="4" w:space="0" w:color="000000"/>
              <w:bottom w:val="single" w:sz="4" w:space="0" w:color="000000"/>
              <w:right w:val="single" w:sz="4" w:space="0" w:color="000000"/>
            </w:tcBorders>
            <w:noWrap/>
            <w:vAlign w:val="center"/>
          </w:tcPr>
          <w:p w14:paraId="2329C6A4"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14B654C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580" w:type="pct"/>
            <w:tcBorders>
              <w:top w:val="single" w:sz="4" w:space="0" w:color="000000"/>
              <w:left w:val="single" w:sz="4" w:space="0" w:color="000000"/>
              <w:bottom w:val="single" w:sz="4" w:space="0" w:color="000000"/>
              <w:right w:val="single" w:sz="4" w:space="0" w:color="000000"/>
            </w:tcBorders>
            <w:noWrap/>
            <w:vAlign w:val="center"/>
          </w:tcPr>
          <w:p w14:paraId="31DE150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-6</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2FDA829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25</w:t>
            </w:r>
          </w:p>
        </w:tc>
        <w:tc>
          <w:tcPr>
            <w:tcW w:w="581" w:type="pct"/>
            <w:tcBorders>
              <w:top w:val="single" w:sz="4" w:space="0" w:color="000000"/>
              <w:left w:val="single" w:sz="4" w:space="0" w:color="000000"/>
              <w:bottom w:val="single" w:sz="4" w:space="0" w:color="000000"/>
              <w:right w:val="single" w:sz="4" w:space="0" w:color="000000"/>
            </w:tcBorders>
            <w:noWrap/>
            <w:vAlign w:val="center"/>
          </w:tcPr>
          <w:p w14:paraId="6CD1BAA4"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r>
      <w:tr w:rsidR="002D068E" w:rsidRPr="00382CBA" w14:paraId="6E3BB736" w14:textId="77777777">
        <w:trPr>
          <w:trHeight w:val="336"/>
        </w:trPr>
        <w:tc>
          <w:tcPr>
            <w:tcW w:w="794" w:type="pct"/>
            <w:tcBorders>
              <w:top w:val="single" w:sz="4" w:space="0" w:color="000000"/>
              <w:left w:val="single" w:sz="4" w:space="0" w:color="000000"/>
              <w:bottom w:val="single" w:sz="4" w:space="0" w:color="000000"/>
              <w:right w:val="single" w:sz="4" w:space="0" w:color="000000"/>
            </w:tcBorders>
            <w:noWrap/>
            <w:vAlign w:val="center"/>
          </w:tcPr>
          <w:p w14:paraId="177DE88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544ED7B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8</w:t>
            </w:r>
          </w:p>
        </w:tc>
        <w:tc>
          <w:tcPr>
            <w:tcW w:w="580" w:type="pct"/>
            <w:tcBorders>
              <w:top w:val="single" w:sz="4" w:space="0" w:color="000000"/>
              <w:left w:val="single" w:sz="4" w:space="0" w:color="000000"/>
              <w:bottom w:val="single" w:sz="4" w:space="0" w:color="000000"/>
              <w:right w:val="single" w:sz="4" w:space="0" w:color="000000"/>
            </w:tcBorders>
            <w:noWrap/>
            <w:vAlign w:val="center"/>
          </w:tcPr>
          <w:p w14:paraId="6FB567C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1D5C471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580" w:type="pct"/>
            <w:tcBorders>
              <w:top w:val="single" w:sz="4" w:space="0" w:color="000000"/>
              <w:left w:val="single" w:sz="4" w:space="0" w:color="000000"/>
              <w:bottom w:val="single" w:sz="4" w:space="0" w:color="000000"/>
              <w:right w:val="single" w:sz="4" w:space="0" w:color="000000"/>
            </w:tcBorders>
            <w:noWrap/>
            <w:vAlign w:val="center"/>
          </w:tcPr>
          <w:p w14:paraId="7821185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28AFEEF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w:t>
            </w:r>
          </w:p>
        </w:tc>
        <w:tc>
          <w:tcPr>
            <w:tcW w:w="581" w:type="pct"/>
            <w:tcBorders>
              <w:top w:val="single" w:sz="4" w:space="0" w:color="000000"/>
              <w:left w:val="single" w:sz="4" w:space="0" w:color="000000"/>
              <w:bottom w:val="single" w:sz="4" w:space="0" w:color="000000"/>
              <w:right w:val="single" w:sz="4" w:space="0" w:color="000000"/>
            </w:tcBorders>
            <w:noWrap/>
            <w:vAlign w:val="center"/>
          </w:tcPr>
          <w:p w14:paraId="0070460B"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14202D8A" w14:textId="77777777">
        <w:trPr>
          <w:trHeight w:val="336"/>
        </w:trPr>
        <w:tc>
          <w:tcPr>
            <w:tcW w:w="794" w:type="pct"/>
            <w:tcBorders>
              <w:top w:val="single" w:sz="4" w:space="0" w:color="000000"/>
              <w:left w:val="single" w:sz="4" w:space="0" w:color="000000"/>
              <w:bottom w:val="single" w:sz="4" w:space="0" w:color="000000"/>
              <w:right w:val="single" w:sz="4" w:space="0" w:color="000000"/>
            </w:tcBorders>
            <w:noWrap/>
            <w:vAlign w:val="center"/>
          </w:tcPr>
          <w:p w14:paraId="03F07AB3"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Payback Period</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3B9FC938" w14:textId="77777777" w:rsidR="002D068E" w:rsidRPr="00382CBA" w:rsidRDefault="002D068E">
            <w:pPr>
              <w:rPr>
                <w:rFonts w:ascii="Arial Regular" w:eastAsia="Times New Roman Regular" w:hAnsi="Arial Regular" w:cs="Arial Regular"/>
                <w:b/>
                <w:bCs/>
                <w:color w:val="000000"/>
                <w:szCs w:val="24"/>
                <w:lang w:val="en-GB"/>
              </w:rPr>
            </w:pPr>
          </w:p>
        </w:tc>
        <w:tc>
          <w:tcPr>
            <w:tcW w:w="580" w:type="pct"/>
            <w:tcBorders>
              <w:top w:val="single" w:sz="4" w:space="0" w:color="000000"/>
              <w:left w:val="single" w:sz="4" w:space="0" w:color="000000"/>
              <w:bottom w:val="single" w:sz="4" w:space="0" w:color="000000"/>
              <w:right w:val="single" w:sz="4" w:space="0" w:color="000000"/>
            </w:tcBorders>
            <w:noWrap/>
            <w:vAlign w:val="center"/>
          </w:tcPr>
          <w:p w14:paraId="7BF738EA"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 xml:space="preserve">4.50 </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564F6576" w14:textId="77777777" w:rsidR="002D068E" w:rsidRPr="00382CBA" w:rsidRDefault="002D068E">
            <w:pPr>
              <w:rPr>
                <w:rFonts w:ascii="Arial Regular" w:eastAsia="Times New Roman Regular" w:hAnsi="Arial Regular" w:cs="Arial Regular"/>
                <w:b/>
                <w:bCs/>
                <w:color w:val="000000"/>
                <w:szCs w:val="24"/>
                <w:lang w:val="en-GB"/>
              </w:rPr>
            </w:pPr>
          </w:p>
        </w:tc>
        <w:tc>
          <w:tcPr>
            <w:tcW w:w="580" w:type="pct"/>
            <w:tcBorders>
              <w:top w:val="single" w:sz="4" w:space="0" w:color="000000"/>
              <w:left w:val="single" w:sz="4" w:space="0" w:color="000000"/>
              <w:bottom w:val="single" w:sz="4" w:space="0" w:color="000000"/>
              <w:right w:val="single" w:sz="4" w:space="0" w:color="000000"/>
            </w:tcBorders>
            <w:noWrap/>
            <w:vAlign w:val="center"/>
          </w:tcPr>
          <w:p w14:paraId="3EF454D5"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 xml:space="preserve">4.55 </w:t>
            </w:r>
          </w:p>
        </w:tc>
        <w:tc>
          <w:tcPr>
            <w:tcW w:w="820" w:type="pct"/>
            <w:tcBorders>
              <w:top w:val="single" w:sz="4" w:space="0" w:color="000000"/>
              <w:left w:val="single" w:sz="4" w:space="0" w:color="000000"/>
              <w:bottom w:val="single" w:sz="4" w:space="0" w:color="000000"/>
              <w:right w:val="single" w:sz="4" w:space="0" w:color="000000"/>
            </w:tcBorders>
            <w:noWrap/>
            <w:vAlign w:val="center"/>
          </w:tcPr>
          <w:p w14:paraId="3E67379C" w14:textId="77777777" w:rsidR="002D068E" w:rsidRPr="00382CBA" w:rsidRDefault="002D068E">
            <w:pPr>
              <w:rPr>
                <w:rFonts w:ascii="Arial Regular" w:eastAsia="Times New Roman Regular" w:hAnsi="Arial Regular" w:cs="Arial Regular"/>
                <w:b/>
                <w:bCs/>
                <w:color w:val="000000"/>
                <w:szCs w:val="24"/>
                <w:lang w:val="en-GB"/>
              </w:rPr>
            </w:pPr>
          </w:p>
        </w:tc>
        <w:tc>
          <w:tcPr>
            <w:tcW w:w="581" w:type="pct"/>
            <w:tcBorders>
              <w:top w:val="single" w:sz="4" w:space="0" w:color="000000"/>
              <w:left w:val="single" w:sz="4" w:space="0" w:color="000000"/>
              <w:bottom w:val="single" w:sz="4" w:space="0" w:color="000000"/>
              <w:right w:val="single" w:sz="4" w:space="0" w:color="000000"/>
            </w:tcBorders>
            <w:noWrap/>
            <w:vAlign w:val="center"/>
          </w:tcPr>
          <w:p w14:paraId="18CD3969"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 xml:space="preserve">3.60 </w:t>
            </w:r>
          </w:p>
        </w:tc>
      </w:tr>
    </w:tbl>
    <w:p w14:paraId="317FCA0C" w14:textId="77777777" w:rsidR="002D068E" w:rsidRPr="00382CBA" w:rsidRDefault="002D068E">
      <w:pPr>
        <w:rPr>
          <w:rFonts w:ascii="Arial Regular" w:eastAsia="SimSun" w:hAnsi="Arial Regular" w:cs="Arial Regular"/>
          <w:szCs w:val="24"/>
          <w:lang w:val="en-GB" w:bidi="ar"/>
        </w:rPr>
      </w:pPr>
    </w:p>
    <w:tbl>
      <w:tblPr>
        <w:tblW w:w="5000" w:type="pct"/>
        <w:tblLook w:val="04A0" w:firstRow="1" w:lastRow="0" w:firstColumn="1" w:lastColumn="0" w:noHBand="0" w:noVBand="1"/>
      </w:tblPr>
      <w:tblGrid>
        <w:gridCol w:w="2448"/>
        <w:gridCol w:w="1537"/>
        <w:gridCol w:w="1636"/>
        <w:gridCol w:w="735"/>
        <w:gridCol w:w="1538"/>
        <w:gridCol w:w="1636"/>
        <w:gridCol w:w="735"/>
        <w:gridCol w:w="1538"/>
        <w:gridCol w:w="1636"/>
        <w:gridCol w:w="735"/>
      </w:tblGrid>
      <w:tr w:rsidR="002D068E" w:rsidRPr="00382CBA" w14:paraId="02F072D7" w14:textId="77777777">
        <w:trPr>
          <w:trHeight w:val="336"/>
        </w:trPr>
        <w:tc>
          <w:tcPr>
            <w:tcW w:w="5000" w:type="pct"/>
            <w:gridSpan w:val="10"/>
            <w:tcBorders>
              <w:top w:val="single" w:sz="4" w:space="0" w:color="000000"/>
              <w:left w:val="single" w:sz="4" w:space="0" w:color="000000"/>
              <w:bottom w:val="single" w:sz="4" w:space="0" w:color="000000"/>
              <w:right w:val="single" w:sz="4" w:space="0" w:color="000000"/>
            </w:tcBorders>
            <w:noWrap/>
            <w:vAlign w:val="center"/>
          </w:tcPr>
          <w:p w14:paraId="0E76E9B5" w14:textId="77777777" w:rsidR="002D068E" w:rsidRPr="00382CBA" w:rsidRDefault="001F1C34">
            <w:pPr>
              <w:jc w:val="cente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Accounting Rate of Return</w:t>
            </w:r>
          </w:p>
        </w:tc>
      </w:tr>
      <w:tr w:rsidR="002D068E" w:rsidRPr="00382CBA" w14:paraId="430EC2CC" w14:textId="77777777">
        <w:trPr>
          <w:trHeight w:val="336"/>
        </w:trPr>
        <w:tc>
          <w:tcPr>
            <w:tcW w:w="871" w:type="pct"/>
            <w:tcBorders>
              <w:top w:val="single" w:sz="4" w:space="0" w:color="000000"/>
              <w:left w:val="single" w:sz="4" w:space="0" w:color="000000"/>
              <w:bottom w:val="single" w:sz="4" w:space="0" w:color="000000"/>
              <w:right w:val="single" w:sz="4" w:space="0" w:color="000000"/>
            </w:tcBorders>
            <w:noWrap/>
            <w:vAlign w:val="center"/>
          </w:tcPr>
          <w:p w14:paraId="5D724A6A"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Projects</w:t>
            </w:r>
          </w:p>
        </w:tc>
        <w:tc>
          <w:tcPr>
            <w:tcW w:w="1376" w:type="pct"/>
            <w:gridSpan w:val="3"/>
            <w:tcBorders>
              <w:top w:val="single" w:sz="4" w:space="0" w:color="000000"/>
              <w:left w:val="single" w:sz="4" w:space="0" w:color="000000"/>
              <w:bottom w:val="single" w:sz="4" w:space="0" w:color="000000"/>
              <w:right w:val="single" w:sz="4" w:space="0" w:color="000000"/>
            </w:tcBorders>
            <w:noWrap/>
            <w:vAlign w:val="center"/>
          </w:tcPr>
          <w:p w14:paraId="049DBA14" w14:textId="77777777" w:rsidR="002D068E" w:rsidRPr="00382CBA" w:rsidRDefault="001F1C34">
            <w:pPr>
              <w:jc w:val="cente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A</w:t>
            </w:r>
          </w:p>
        </w:tc>
        <w:tc>
          <w:tcPr>
            <w:tcW w:w="1376" w:type="pct"/>
            <w:gridSpan w:val="3"/>
            <w:tcBorders>
              <w:top w:val="single" w:sz="4" w:space="0" w:color="000000"/>
              <w:left w:val="single" w:sz="4" w:space="0" w:color="000000"/>
              <w:bottom w:val="single" w:sz="4" w:space="0" w:color="000000"/>
              <w:right w:val="single" w:sz="4" w:space="0" w:color="000000"/>
            </w:tcBorders>
            <w:noWrap/>
            <w:vAlign w:val="center"/>
          </w:tcPr>
          <w:p w14:paraId="31F83528" w14:textId="77777777" w:rsidR="002D068E" w:rsidRPr="00382CBA" w:rsidRDefault="001F1C34">
            <w:pPr>
              <w:jc w:val="cente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B</w:t>
            </w:r>
          </w:p>
        </w:tc>
        <w:tc>
          <w:tcPr>
            <w:tcW w:w="1376" w:type="pct"/>
            <w:gridSpan w:val="3"/>
            <w:tcBorders>
              <w:top w:val="single" w:sz="4" w:space="0" w:color="000000"/>
              <w:left w:val="single" w:sz="4" w:space="0" w:color="000000"/>
              <w:bottom w:val="single" w:sz="4" w:space="0" w:color="000000"/>
              <w:right w:val="single" w:sz="4" w:space="0" w:color="000000"/>
            </w:tcBorders>
            <w:noWrap/>
            <w:vAlign w:val="center"/>
          </w:tcPr>
          <w:p w14:paraId="1A1C1999" w14:textId="77777777" w:rsidR="002D068E" w:rsidRPr="00382CBA" w:rsidRDefault="001F1C34">
            <w:pPr>
              <w:jc w:val="cente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C</w:t>
            </w:r>
          </w:p>
        </w:tc>
      </w:tr>
      <w:tr w:rsidR="002D068E" w:rsidRPr="00382CBA" w14:paraId="1EE670DD" w14:textId="77777777">
        <w:trPr>
          <w:trHeight w:val="336"/>
        </w:trPr>
        <w:tc>
          <w:tcPr>
            <w:tcW w:w="871" w:type="pct"/>
            <w:tcBorders>
              <w:top w:val="single" w:sz="4" w:space="0" w:color="000000"/>
              <w:left w:val="single" w:sz="4" w:space="0" w:color="000000"/>
              <w:bottom w:val="single" w:sz="4" w:space="0" w:color="000000"/>
              <w:right w:val="single" w:sz="4" w:space="0" w:color="000000"/>
            </w:tcBorders>
            <w:noWrap/>
            <w:vAlign w:val="center"/>
          </w:tcPr>
          <w:p w14:paraId="2853D923"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Year</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3BDE311"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Cash Flows (£M)</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16BCC45E"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Less: Depreciation</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62C5FEAC"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Profit</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0C7F2FC"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Cash Flows (£M)</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71C199F7"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Less: Depreciation</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2B3C9291"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Profit</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DCF85A3"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Cash Flows (£M)</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2D46AA90"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Less: Depreciation</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0B0A22D1"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Profit</w:t>
            </w:r>
          </w:p>
        </w:tc>
      </w:tr>
      <w:tr w:rsidR="002D068E" w:rsidRPr="00382CBA" w14:paraId="0F2C152A" w14:textId="77777777">
        <w:trPr>
          <w:trHeight w:val="336"/>
        </w:trPr>
        <w:tc>
          <w:tcPr>
            <w:tcW w:w="871" w:type="pct"/>
            <w:tcBorders>
              <w:top w:val="single" w:sz="4" w:space="0" w:color="000000"/>
              <w:left w:val="single" w:sz="4" w:space="0" w:color="000000"/>
              <w:bottom w:val="single" w:sz="4" w:space="0" w:color="000000"/>
              <w:right w:val="single" w:sz="4" w:space="0" w:color="000000"/>
            </w:tcBorders>
            <w:noWrap/>
            <w:vAlign w:val="center"/>
          </w:tcPr>
          <w:p w14:paraId="098485F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C13E04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618F8FD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5B8EA7C3"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AC6D09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083BED4C" w14:textId="77777777" w:rsidR="002D068E" w:rsidRPr="00382CBA" w:rsidRDefault="002D068E">
            <w:pPr>
              <w:rPr>
                <w:rFonts w:ascii="Arial Regular" w:eastAsia="Times New Roman Regular" w:hAnsi="Arial Regular" w:cs="Arial Regular"/>
                <w:color w:val="000000"/>
                <w:szCs w:val="24"/>
                <w:lang w:val="en-GB"/>
              </w:rPr>
            </w:pP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7E0B2CEF"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DC7D319"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45FA2CBD" w14:textId="77777777" w:rsidR="002D068E" w:rsidRPr="00382CBA" w:rsidRDefault="002D068E">
            <w:pPr>
              <w:rPr>
                <w:rFonts w:ascii="Arial Regular" w:eastAsia="Times New Roman Regular" w:hAnsi="Arial Regular" w:cs="Arial Regular"/>
                <w:color w:val="000000"/>
                <w:szCs w:val="24"/>
                <w:lang w:val="en-GB"/>
              </w:rPr>
            </w:pP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29933384" w14:textId="77777777" w:rsidR="002D068E" w:rsidRPr="00382CBA" w:rsidRDefault="002D068E">
            <w:pPr>
              <w:rPr>
                <w:rFonts w:ascii="Arial Regular" w:eastAsia="Times New Roman Regular" w:hAnsi="Arial Regular" w:cs="Arial Regular"/>
                <w:color w:val="000000"/>
                <w:szCs w:val="24"/>
                <w:lang w:val="en-GB"/>
              </w:rPr>
            </w:pPr>
          </w:p>
        </w:tc>
      </w:tr>
      <w:tr w:rsidR="002D068E" w:rsidRPr="00382CBA" w14:paraId="69BA6090" w14:textId="77777777">
        <w:trPr>
          <w:trHeight w:val="336"/>
        </w:trPr>
        <w:tc>
          <w:tcPr>
            <w:tcW w:w="871" w:type="pct"/>
            <w:tcBorders>
              <w:top w:val="single" w:sz="4" w:space="0" w:color="000000"/>
              <w:left w:val="single" w:sz="4" w:space="0" w:color="000000"/>
              <w:bottom w:val="single" w:sz="4" w:space="0" w:color="000000"/>
              <w:right w:val="single" w:sz="4" w:space="0" w:color="000000"/>
            </w:tcBorders>
            <w:noWrap/>
            <w:vAlign w:val="center"/>
          </w:tcPr>
          <w:p w14:paraId="2934A74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40313E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651F8A7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060EDEC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3845374"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06824B9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4F9B3134"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FBB851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27EC833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37739F7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w:t>
            </w:r>
          </w:p>
        </w:tc>
      </w:tr>
      <w:tr w:rsidR="002D068E" w:rsidRPr="00382CBA" w14:paraId="4DB1039D" w14:textId="77777777">
        <w:trPr>
          <w:trHeight w:val="336"/>
        </w:trPr>
        <w:tc>
          <w:tcPr>
            <w:tcW w:w="871" w:type="pct"/>
            <w:tcBorders>
              <w:top w:val="single" w:sz="4" w:space="0" w:color="000000"/>
              <w:left w:val="single" w:sz="4" w:space="0" w:color="000000"/>
              <w:bottom w:val="single" w:sz="4" w:space="0" w:color="000000"/>
              <w:right w:val="single" w:sz="4" w:space="0" w:color="000000"/>
            </w:tcBorders>
            <w:noWrap/>
            <w:vAlign w:val="center"/>
          </w:tcPr>
          <w:p w14:paraId="2E17729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549300F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12</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2699BB5C"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72B57CE7"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785AAD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1DF8F7B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734404F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380522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3CDB64F9"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47BD8C0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r>
      <w:tr w:rsidR="002D068E" w:rsidRPr="00382CBA" w14:paraId="5E512196" w14:textId="77777777">
        <w:trPr>
          <w:trHeight w:val="336"/>
        </w:trPr>
        <w:tc>
          <w:tcPr>
            <w:tcW w:w="871" w:type="pct"/>
            <w:tcBorders>
              <w:top w:val="single" w:sz="4" w:space="0" w:color="000000"/>
              <w:left w:val="single" w:sz="4" w:space="0" w:color="000000"/>
              <w:bottom w:val="single" w:sz="4" w:space="0" w:color="000000"/>
              <w:right w:val="single" w:sz="4" w:space="0" w:color="000000"/>
            </w:tcBorders>
            <w:noWrap/>
            <w:vAlign w:val="center"/>
          </w:tcPr>
          <w:p w14:paraId="1AE4848A"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lastRenderedPageBreak/>
              <w:t>3</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BBD683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14</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3C52F34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554B853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D4379E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30A99A9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759B9739"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6D054AC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20</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7F12DC34"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1196B95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r>
      <w:tr w:rsidR="002D068E" w:rsidRPr="00382CBA" w14:paraId="47F092F0" w14:textId="77777777">
        <w:trPr>
          <w:trHeight w:val="336"/>
        </w:trPr>
        <w:tc>
          <w:tcPr>
            <w:tcW w:w="871" w:type="pct"/>
            <w:tcBorders>
              <w:top w:val="single" w:sz="4" w:space="0" w:color="000000"/>
              <w:left w:val="single" w:sz="4" w:space="0" w:color="000000"/>
              <w:bottom w:val="single" w:sz="4" w:space="0" w:color="000000"/>
              <w:right w:val="single" w:sz="4" w:space="0" w:color="000000"/>
            </w:tcBorders>
            <w:noWrap/>
            <w:vAlign w:val="center"/>
          </w:tcPr>
          <w:p w14:paraId="69824F4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7295F0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192FFE9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6145C4C9"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C9B312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78B89E3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5D9AC56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592D79C"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25</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3D66261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12CFC62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15</w:t>
            </w:r>
          </w:p>
        </w:tc>
      </w:tr>
      <w:tr w:rsidR="002D068E" w:rsidRPr="00382CBA" w14:paraId="50635AED" w14:textId="77777777">
        <w:trPr>
          <w:trHeight w:val="336"/>
        </w:trPr>
        <w:tc>
          <w:tcPr>
            <w:tcW w:w="871" w:type="pct"/>
            <w:tcBorders>
              <w:top w:val="single" w:sz="4" w:space="0" w:color="000000"/>
              <w:left w:val="single" w:sz="4" w:space="0" w:color="000000"/>
              <w:bottom w:val="single" w:sz="4" w:space="0" w:color="000000"/>
              <w:right w:val="single" w:sz="4" w:space="0" w:color="000000"/>
            </w:tcBorders>
            <w:noWrap/>
            <w:vAlign w:val="center"/>
          </w:tcPr>
          <w:p w14:paraId="7341EEC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3734B1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8</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3913E3A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4B11700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7702DD9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43FC7E3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4881F37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C65277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w:t>
            </w: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0FA8E6C4"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5DA9A67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w:t>
            </w:r>
          </w:p>
        </w:tc>
      </w:tr>
      <w:tr w:rsidR="002D068E" w:rsidRPr="00382CBA" w14:paraId="6B793A62" w14:textId="77777777">
        <w:trPr>
          <w:trHeight w:val="336"/>
        </w:trPr>
        <w:tc>
          <w:tcPr>
            <w:tcW w:w="871" w:type="pct"/>
            <w:tcBorders>
              <w:top w:val="single" w:sz="4" w:space="0" w:color="000000"/>
              <w:left w:val="single" w:sz="4" w:space="0" w:color="000000"/>
              <w:bottom w:val="single" w:sz="4" w:space="0" w:color="000000"/>
              <w:right w:val="single" w:sz="4" w:space="0" w:color="000000"/>
            </w:tcBorders>
            <w:noWrap/>
            <w:vAlign w:val="center"/>
          </w:tcPr>
          <w:p w14:paraId="0EA40513"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Average profit</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5636E9D" w14:textId="77777777" w:rsidR="002D068E" w:rsidRPr="00382CBA" w:rsidRDefault="002D068E">
            <w:pPr>
              <w:rPr>
                <w:rFonts w:ascii="Arial Regular" w:eastAsia="Times New Roman Regular" w:hAnsi="Arial Regular" w:cs="Arial Regular"/>
                <w:color w:val="000000"/>
                <w:szCs w:val="24"/>
                <w:lang w:val="en-GB"/>
              </w:rPr>
            </w:pP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1297462B" w14:textId="77777777" w:rsidR="002D068E" w:rsidRPr="00382CBA" w:rsidRDefault="002D068E">
            <w:pPr>
              <w:rPr>
                <w:rFonts w:ascii="Arial Regular" w:eastAsia="Times New Roman Regular" w:hAnsi="Arial Regular" w:cs="Arial Regular"/>
                <w:color w:val="000000"/>
                <w:szCs w:val="24"/>
                <w:lang w:val="en-GB"/>
              </w:rPr>
            </w:pP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506B9DE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0.8</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B94E521" w14:textId="77777777" w:rsidR="002D068E" w:rsidRPr="00382CBA" w:rsidRDefault="002D068E">
            <w:pPr>
              <w:rPr>
                <w:rFonts w:ascii="Arial Regular" w:eastAsia="Times New Roman Regular" w:hAnsi="Arial Regular" w:cs="Arial Regular"/>
                <w:color w:val="000000"/>
                <w:szCs w:val="24"/>
                <w:lang w:val="en-GB"/>
              </w:rPr>
            </w:pP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2A2710C3" w14:textId="77777777" w:rsidR="002D068E" w:rsidRPr="00382CBA" w:rsidRDefault="002D068E">
            <w:pPr>
              <w:rPr>
                <w:rFonts w:ascii="Arial Regular" w:eastAsia="Times New Roman Regular" w:hAnsi="Arial Regular" w:cs="Arial Regular"/>
                <w:color w:val="000000"/>
                <w:szCs w:val="24"/>
                <w:lang w:val="en-GB"/>
              </w:rPr>
            </w:pP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37BAC04A"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26F9A3F" w14:textId="77777777" w:rsidR="002D068E" w:rsidRPr="00382CBA" w:rsidRDefault="002D068E">
            <w:pPr>
              <w:rPr>
                <w:rFonts w:ascii="Arial Regular" w:eastAsia="Times New Roman Regular" w:hAnsi="Arial Regular" w:cs="Arial Regular"/>
                <w:color w:val="000000"/>
                <w:szCs w:val="24"/>
                <w:lang w:val="en-GB"/>
              </w:rPr>
            </w:pP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5E7D21AD" w14:textId="77777777" w:rsidR="002D068E" w:rsidRPr="00382CBA" w:rsidRDefault="002D068E">
            <w:pPr>
              <w:rPr>
                <w:rFonts w:ascii="Arial Regular" w:eastAsia="Times New Roman Regular" w:hAnsi="Arial Regular" w:cs="Arial Regular"/>
                <w:color w:val="000000"/>
                <w:szCs w:val="24"/>
                <w:lang w:val="en-GB"/>
              </w:rPr>
            </w:pP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0181CBE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w:t>
            </w:r>
          </w:p>
        </w:tc>
      </w:tr>
      <w:tr w:rsidR="002D068E" w:rsidRPr="00382CBA" w14:paraId="786BB57C" w14:textId="77777777">
        <w:trPr>
          <w:trHeight w:val="336"/>
        </w:trPr>
        <w:tc>
          <w:tcPr>
            <w:tcW w:w="871" w:type="pct"/>
            <w:tcBorders>
              <w:top w:val="single" w:sz="4" w:space="0" w:color="000000"/>
              <w:left w:val="single" w:sz="4" w:space="0" w:color="000000"/>
              <w:bottom w:val="single" w:sz="4" w:space="0" w:color="000000"/>
              <w:right w:val="single" w:sz="4" w:space="0" w:color="000000"/>
            </w:tcBorders>
            <w:noWrap/>
            <w:vAlign w:val="center"/>
          </w:tcPr>
          <w:p w14:paraId="24C1A20A"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Investment</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3720FF5" w14:textId="77777777" w:rsidR="002D068E" w:rsidRPr="00382CBA" w:rsidRDefault="002D068E">
            <w:pPr>
              <w:rPr>
                <w:rFonts w:ascii="Arial Regular" w:eastAsia="Times New Roman Regular" w:hAnsi="Arial Regular" w:cs="Arial Regular"/>
                <w:color w:val="000000"/>
                <w:szCs w:val="24"/>
                <w:lang w:val="en-GB"/>
              </w:rPr>
            </w:pP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39DAF7EE" w14:textId="77777777" w:rsidR="002D068E" w:rsidRPr="00382CBA" w:rsidRDefault="002D068E">
            <w:pPr>
              <w:rPr>
                <w:rFonts w:ascii="Arial Regular" w:eastAsia="Times New Roman Regular" w:hAnsi="Arial Regular" w:cs="Arial Regular"/>
                <w:color w:val="000000"/>
                <w:szCs w:val="24"/>
                <w:lang w:val="en-GB"/>
              </w:rPr>
            </w:pP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20663BB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D0D44DB" w14:textId="77777777" w:rsidR="002D068E" w:rsidRPr="00382CBA" w:rsidRDefault="002D068E">
            <w:pPr>
              <w:rPr>
                <w:rFonts w:ascii="Arial Regular" w:eastAsia="Times New Roman Regular" w:hAnsi="Arial Regular" w:cs="Arial Regular"/>
                <w:color w:val="000000"/>
                <w:szCs w:val="24"/>
                <w:lang w:val="en-GB"/>
              </w:rPr>
            </w:pP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51173E94" w14:textId="77777777" w:rsidR="002D068E" w:rsidRPr="00382CBA" w:rsidRDefault="002D068E">
            <w:pPr>
              <w:rPr>
                <w:rFonts w:ascii="Arial Regular" w:eastAsia="Times New Roman Regular" w:hAnsi="Arial Regular" w:cs="Arial Regular"/>
                <w:color w:val="000000"/>
                <w:szCs w:val="24"/>
                <w:lang w:val="en-GB"/>
              </w:rPr>
            </w:pP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03C8966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13D95D9" w14:textId="77777777" w:rsidR="002D068E" w:rsidRPr="00382CBA" w:rsidRDefault="002D068E">
            <w:pPr>
              <w:rPr>
                <w:rFonts w:ascii="Arial Regular" w:eastAsia="Times New Roman Regular" w:hAnsi="Arial Regular" w:cs="Arial Regular"/>
                <w:color w:val="000000"/>
                <w:szCs w:val="24"/>
                <w:lang w:val="en-GB"/>
              </w:rPr>
            </w:pP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72AA8FC7" w14:textId="77777777" w:rsidR="002D068E" w:rsidRPr="00382CBA" w:rsidRDefault="002D068E">
            <w:pPr>
              <w:rPr>
                <w:rFonts w:ascii="Arial Regular" w:eastAsia="Times New Roman Regular" w:hAnsi="Arial Regular" w:cs="Arial Regular"/>
                <w:color w:val="000000"/>
                <w:szCs w:val="24"/>
                <w:lang w:val="en-GB"/>
              </w:rPr>
            </w:pP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145ABF5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r>
      <w:tr w:rsidR="002D068E" w:rsidRPr="00382CBA" w14:paraId="25D3582D" w14:textId="77777777">
        <w:trPr>
          <w:trHeight w:val="336"/>
        </w:trPr>
        <w:tc>
          <w:tcPr>
            <w:tcW w:w="871" w:type="pct"/>
            <w:tcBorders>
              <w:top w:val="single" w:sz="4" w:space="0" w:color="000000"/>
              <w:left w:val="single" w:sz="4" w:space="0" w:color="000000"/>
              <w:bottom w:val="single" w:sz="4" w:space="0" w:color="000000"/>
              <w:right w:val="single" w:sz="4" w:space="0" w:color="000000"/>
            </w:tcBorders>
            <w:noWrap/>
            <w:vAlign w:val="center"/>
          </w:tcPr>
          <w:p w14:paraId="571E556D"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ARR</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1C00858" w14:textId="77777777" w:rsidR="002D068E" w:rsidRPr="00382CBA" w:rsidRDefault="002D068E">
            <w:pPr>
              <w:rPr>
                <w:rFonts w:ascii="Arial Regular" w:eastAsia="Times New Roman Regular" w:hAnsi="Arial Regular" w:cs="Arial Regular"/>
                <w:b/>
                <w:bCs/>
                <w:color w:val="000000"/>
                <w:szCs w:val="24"/>
                <w:lang w:val="en-GB"/>
              </w:rPr>
            </w:pP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7F0CF853" w14:textId="77777777" w:rsidR="002D068E" w:rsidRPr="00382CBA" w:rsidRDefault="002D068E">
            <w:pPr>
              <w:rPr>
                <w:rFonts w:ascii="Arial Regular" w:eastAsia="Times New Roman Regular" w:hAnsi="Arial Regular" w:cs="Arial Regular"/>
                <w:b/>
                <w:bCs/>
                <w:color w:val="000000"/>
                <w:szCs w:val="24"/>
                <w:lang w:val="en-GB"/>
              </w:rPr>
            </w:pP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2F9F789F"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1.60%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13E337F8" w14:textId="77777777" w:rsidR="002D068E" w:rsidRPr="00382CBA" w:rsidRDefault="002D068E">
            <w:pPr>
              <w:rPr>
                <w:rFonts w:ascii="Arial Regular" w:eastAsia="Times New Roman Regular" w:hAnsi="Arial Regular" w:cs="Arial Regular"/>
                <w:b/>
                <w:bCs/>
                <w:color w:val="000000"/>
                <w:szCs w:val="24"/>
                <w:lang w:val="en-GB"/>
              </w:rPr>
            </w:pP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0EE6CE28" w14:textId="77777777" w:rsidR="002D068E" w:rsidRPr="00382CBA" w:rsidRDefault="002D068E">
            <w:pPr>
              <w:rPr>
                <w:rFonts w:ascii="Arial Regular" w:eastAsia="Times New Roman Regular" w:hAnsi="Arial Regular" w:cs="Arial Regular"/>
                <w:b/>
                <w:bCs/>
                <w:color w:val="000000"/>
                <w:szCs w:val="24"/>
                <w:lang w:val="en-GB"/>
              </w:rPr>
            </w:pP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477F9CB0"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2.00%</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5AAE2B5" w14:textId="77777777" w:rsidR="002D068E" w:rsidRPr="00382CBA" w:rsidRDefault="002D068E">
            <w:pPr>
              <w:rPr>
                <w:rFonts w:ascii="Arial Regular" w:eastAsia="Times New Roman Regular" w:hAnsi="Arial Regular" w:cs="Arial Regular"/>
                <w:b/>
                <w:bCs/>
                <w:color w:val="000000"/>
                <w:szCs w:val="24"/>
                <w:lang w:val="en-GB"/>
              </w:rPr>
            </w:pP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07C7FA45" w14:textId="77777777" w:rsidR="002D068E" w:rsidRPr="00382CBA" w:rsidRDefault="002D068E">
            <w:pPr>
              <w:rPr>
                <w:rFonts w:ascii="Arial Regular" w:eastAsia="Times New Roman Regular" w:hAnsi="Arial Regular" w:cs="Arial Regular"/>
                <w:b/>
                <w:bCs/>
                <w:color w:val="000000"/>
                <w:szCs w:val="24"/>
                <w:lang w:val="en-GB"/>
              </w:rPr>
            </w:pP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1DD8EB9B"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6.00%</w:t>
            </w:r>
          </w:p>
        </w:tc>
      </w:tr>
      <w:tr w:rsidR="002D068E" w:rsidRPr="00382CBA" w14:paraId="0E3B9B22" w14:textId="77777777">
        <w:trPr>
          <w:trHeight w:val="336"/>
        </w:trPr>
        <w:tc>
          <w:tcPr>
            <w:tcW w:w="871" w:type="pct"/>
            <w:tcBorders>
              <w:top w:val="single" w:sz="4" w:space="0" w:color="000000"/>
              <w:left w:val="single" w:sz="4" w:space="0" w:color="000000"/>
              <w:bottom w:val="single" w:sz="4" w:space="0" w:color="000000"/>
              <w:right w:val="single" w:sz="4" w:space="0" w:color="000000"/>
            </w:tcBorders>
            <w:noWrap/>
            <w:vAlign w:val="center"/>
          </w:tcPr>
          <w:p w14:paraId="37EA7909"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(Average profits/ investment)</w:t>
            </w: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39321B12" w14:textId="77777777" w:rsidR="002D068E" w:rsidRPr="00382CBA" w:rsidRDefault="002D068E">
            <w:pPr>
              <w:rPr>
                <w:rFonts w:ascii="Arial Regular" w:eastAsia="Times New Roman Regular" w:hAnsi="Arial Regular" w:cs="Arial Regular"/>
                <w:color w:val="000000"/>
                <w:szCs w:val="24"/>
                <w:lang w:val="en-GB"/>
              </w:rPr>
            </w:pP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52456258" w14:textId="77777777" w:rsidR="002D068E" w:rsidRPr="00382CBA" w:rsidRDefault="002D068E">
            <w:pPr>
              <w:rPr>
                <w:rFonts w:ascii="Arial Regular" w:eastAsia="Times New Roman Regular" w:hAnsi="Arial Regular" w:cs="Arial Regular"/>
                <w:color w:val="000000"/>
                <w:szCs w:val="24"/>
                <w:lang w:val="en-GB"/>
              </w:rPr>
            </w:pP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4ADABDE2"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44B360DE" w14:textId="77777777" w:rsidR="002D068E" w:rsidRPr="00382CBA" w:rsidRDefault="002D068E">
            <w:pPr>
              <w:rPr>
                <w:rFonts w:ascii="Arial Regular" w:eastAsia="Times New Roman Regular" w:hAnsi="Arial Regular" w:cs="Arial Regular"/>
                <w:color w:val="000000"/>
                <w:szCs w:val="24"/>
                <w:lang w:val="en-GB"/>
              </w:rPr>
            </w:pP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3097EF5A" w14:textId="77777777" w:rsidR="002D068E" w:rsidRPr="00382CBA" w:rsidRDefault="002D068E">
            <w:pPr>
              <w:rPr>
                <w:rFonts w:ascii="Arial Regular" w:eastAsia="Times New Roman Regular" w:hAnsi="Arial Regular" w:cs="Arial Regular"/>
                <w:color w:val="000000"/>
                <w:szCs w:val="24"/>
                <w:lang w:val="en-GB"/>
              </w:rPr>
            </w:pP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4FC62D35" w14:textId="77777777" w:rsidR="002D068E" w:rsidRPr="00382CBA" w:rsidRDefault="002D068E">
            <w:pPr>
              <w:rPr>
                <w:rFonts w:ascii="Arial Regular" w:eastAsia="Times New Roman Regular" w:hAnsi="Arial Regular" w:cs="Arial Regular"/>
                <w:color w:val="000000"/>
                <w:szCs w:val="24"/>
                <w:lang w:val="en-GB"/>
              </w:rPr>
            </w:pPr>
          </w:p>
        </w:tc>
        <w:tc>
          <w:tcPr>
            <w:tcW w:w="543" w:type="pct"/>
            <w:tcBorders>
              <w:top w:val="single" w:sz="4" w:space="0" w:color="000000"/>
              <w:left w:val="single" w:sz="4" w:space="0" w:color="000000"/>
              <w:bottom w:val="single" w:sz="4" w:space="0" w:color="000000"/>
              <w:right w:val="single" w:sz="4" w:space="0" w:color="000000"/>
            </w:tcBorders>
            <w:noWrap/>
            <w:vAlign w:val="center"/>
          </w:tcPr>
          <w:p w14:paraId="00C1181C" w14:textId="77777777" w:rsidR="002D068E" w:rsidRPr="00382CBA" w:rsidRDefault="002D068E">
            <w:pPr>
              <w:rPr>
                <w:rFonts w:ascii="Arial Regular" w:eastAsia="Times New Roman Regular" w:hAnsi="Arial Regular" w:cs="Arial Regular"/>
                <w:color w:val="000000"/>
                <w:szCs w:val="24"/>
                <w:lang w:val="en-GB"/>
              </w:rPr>
            </w:pPr>
          </w:p>
        </w:tc>
        <w:tc>
          <w:tcPr>
            <w:tcW w:w="578" w:type="pct"/>
            <w:tcBorders>
              <w:top w:val="single" w:sz="4" w:space="0" w:color="000000"/>
              <w:left w:val="single" w:sz="4" w:space="0" w:color="000000"/>
              <w:bottom w:val="single" w:sz="4" w:space="0" w:color="000000"/>
              <w:right w:val="single" w:sz="4" w:space="0" w:color="000000"/>
            </w:tcBorders>
            <w:noWrap/>
            <w:vAlign w:val="center"/>
          </w:tcPr>
          <w:p w14:paraId="0AC69316" w14:textId="77777777" w:rsidR="002D068E" w:rsidRPr="00382CBA" w:rsidRDefault="002D068E">
            <w:pPr>
              <w:rPr>
                <w:rFonts w:ascii="Arial Regular" w:eastAsia="Times New Roman Regular" w:hAnsi="Arial Regular" w:cs="Arial Regular"/>
                <w:color w:val="000000"/>
                <w:szCs w:val="24"/>
                <w:lang w:val="en-GB"/>
              </w:rPr>
            </w:pPr>
          </w:p>
        </w:tc>
        <w:tc>
          <w:tcPr>
            <w:tcW w:w="253" w:type="pct"/>
            <w:tcBorders>
              <w:top w:val="single" w:sz="4" w:space="0" w:color="000000"/>
              <w:left w:val="single" w:sz="4" w:space="0" w:color="000000"/>
              <w:bottom w:val="single" w:sz="4" w:space="0" w:color="000000"/>
              <w:right w:val="single" w:sz="4" w:space="0" w:color="000000"/>
            </w:tcBorders>
            <w:noWrap/>
            <w:vAlign w:val="center"/>
          </w:tcPr>
          <w:p w14:paraId="7F056D36" w14:textId="77777777" w:rsidR="002D068E" w:rsidRPr="00382CBA" w:rsidRDefault="002D068E">
            <w:pPr>
              <w:rPr>
                <w:rFonts w:ascii="Arial Regular" w:eastAsia="Times New Roman Regular" w:hAnsi="Arial Regular" w:cs="Arial Regular"/>
                <w:color w:val="000000"/>
                <w:szCs w:val="24"/>
                <w:lang w:val="en-GB"/>
              </w:rPr>
            </w:pPr>
          </w:p>
        </w:tc>
      </w:tr>
    </w:tbl>
    <w:p w14:paraId="1FBB0F71" w14:textId="77777777" w:rsidR="002D068E" w:rsidRPr="00382CBA" w:rsidRDefault="002D068E">
      <w:pPr>
        <w:rPr>
          <w:rFonts w:ascii="Arial Regular" w:eastAsia="SimSun" w:hAnsi="Arial Regular" w:cs="Arial Regular"/>
          <w:szCs w:val="24"/>
          <w:lang w:val="en-GB" w:bidi="ar"/>
        </w:rPr>
      </w:pPr>
    </w:p>
    <w:tbl>
      <w:tblPr>
        <w:tblW w:w="5000" w:type="pct"/>
        <w:tblLook w:val="04A0" w:firstRow="1" w:lastRow="0" w:firstColumn="1" w:lastColumn="0" w:noHBand="0" w:noVBand="1"/>
      </w:tblPr>
      <w:tblGrid>
        <w:gridCol w:w="1293"/>
        <w:gridCol w:w="3030"/>
        <w:gridCol w:w="2387"/>
        <w:gridCol w:w="1349"/>
        <w:gridCol w:w="1701"/>
        <w:gridCol w:w="1352"/>
        <w:gridCol w:w="1701"/>
        <w:gridCol w:w="1361"/>
      </w:tblGrid>
      <w:tr w:rsidR="002D068E" w:rsidRPr="00382CBA" w14:paraId="10E841F3" w14:textId="77777777">
        <w:trPr>
          <w:trHeight w:val="336"/>
        </w:trPr>
        <w:tc>
          <w:tcPr>
            <w:tcW w:w="5000" w:type="pct"/>
            <w:gridSpan w:val="8"/>
            <w:tcBorders>
              <w:top w:val="single" w:sz="4" w:space="0" w:color="000000"/>
              <w:left w:val="single" w:sz="4" w:space="0" w:color="000000"/>
              <w:bottom w:val="single" w:sz="4" w:space="0" w:color="000000"/>
              <w:right w:val="single" w:sz="4" w:space="0" w:color="000000"/>
            </w:tcBorders>
            <w:noWrap/>
            <w:vAlign w:val="center"/>
          </w:tcPr>
          <w:p w14:paraId="664C1C58" w14:textId="77777777" w:rsidR="002D068E" w:rsidRPr="00382CBA" w:rsidRDefault="001F1C34">
            <w:pPr>
              <w:jc w:val="cente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Net Present Value</w:t>
            </w:r>
          </w:p>
        </w:tc>
      </w:tr>
      <w:tr w:rsidR="002D068E" w:rsidRPr="00382CBA" w14:paraId="49E5127B" w14:textId="77777777">
        <w:trPr>
          <w:trHeight w:val="336"/>
        </w:trPr>
        <w:tc>
          <w:tcPr>
            <w:tcW w:w="456" w:type="pct"/>
            <w:tcBorders>
              <w:top w:val="single" w:sz="4" w:space="0" w:color="000000"/>
              <w:left w:val="single" w:sz="4" w:space="0" w:color="000000"/>
              <w:bottom w:val="single" w:sz="4" w:space="0" w:color="000000"/>
              <w:right w:val="single" w:sz="4" w:space="0" w:color="000000"/>
            </w:tcBorders>
            <w:noWrap/>
            <w:vAlign w:val="center"/>
          </w:tcPr>
          <w:p w14:paraId="3936C2EC"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Projects</w:t>
            </w:r>
          </w:p>
        </w:tc>
        <w:tc>
          <w:tcPr>
            <w:tcW w:w="1069" w:type="pct"/>
            <w:tcBorders>
              <w:top w:val="single" w:sz="4" w:space="0" w:color="000000"/>
              <w:left w:val="single" w:sz="4" w:space="0" w:color="000000"/>
              <w:bottom w:val="single" w:sz="4" w:space="0" w:color="000000"/>
              <w:right w:val="single" w:sz="4" w:space="0" w:color="000000"/>
            </w:tcBorders>
            <w:noWrap/>
            <w:vAlign w:val="center"/>
          </w:tcPr>
          <w:p w14:paraId="04E0A1B1" w14:textId="77777777" w:rsidR="002D068E" w:rsidRPr="00382CBA" w:rsidRDefault="002D068E">
            <w:pPr>
              <w:rPr>
                <w:rFonts w:ascii="Arial Regular" w:eastAsia="Times New Roman Regular" w:hAnsi="Arial Regular" w:cs="Arial Regular"/>
                <w:b/>
                <w:bCs/>
                <w:color w:val="000000"/>
                <w:szCs w:val="24"/>
                <w:lang w:val="en-GB"/>
              </w:rPr>
            </w:pPr>
          </w:p>
        </w:tc>
        <w:tc>
          <w:tcPr>
            <w:tcW w:w="1318" w:type="pct"/>
            <w:gridSpan w:val="2"/>
            <w:tcBorders>
              <w:top w:val="single" w:sz="4" w:space="0" w:color="000000"/>
              <w:left w:val="single" w:sz="4" w:space="0" w:color="000000"/>
              <w:bottom w:val="single" w:sz="4" w:space="0" w:color="000000"/>
              <w:right w:val="single" w:sz="4" w:space="0" w:color="000000"/>
            </w:tcBorders>
            <w:noWrap/>
            <w:vAlign w:val="center"/>
          </w:tcPr>
          <w:p w14:paraId="38A7C17E" w14:textId="77777777" w:rsidR="002D068E" w:rsidRPr="00382CBA" w:rsidRDefault="001F1C34">
            <w:pPr>
              <w:jc w:val="cente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A</w:t>
            </w:r>
          </w:p>
        </w:tc>
        <w:tc>
          <w:tcPr>
            <w:tcW w:w="1077" w:type="pct"/>
            <w:gridSpan w:val="2"/>
            <w:tcBorders>
              <w:top w:val="single" w:sz="4" w:space="0" w:color="000000"/>
              <w:left w:val="single" w:sz="4" w:space="0" w:color="000000"/>
              <w:bottom w:val="single" w:sz="4" w:space="0" w:color="000000"/>
              <w:right w:val="single" w:sz="4" w:space="0" w:color="000000"/>
            </w:tcBorders>
            <w:noWrap/>
            <w:vAlign w:val="center"/>
          </w:tcPr>
          <w:p w14:paraId="16B6CF79" w14:textId="77777777" w:rsidR="002D068E" w:rsidRPr="00382CBA" w:rsidRDefault="001F1C34">
            <w:pPr>
              <w:jc w:val="cente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B</w:t>
            </w:r>
          </w:p>
        </w:tc>
        <w:tc>
          <w:tcPr>
            <w:tcW w:w="1078" w:type="pct"/>
            <w:gridSpan w:val="2"/>
            <w:tcBorders>
              <w:top w:val="single" w:sz="4" w:space="0" w:color="000000"/>
              <w:left w:val="single" w:sz="4" w:space="0" w:color="000000"/>
              <w:bottom w:val="single" w:sz="4" w:space="0" w:color="000000"/>
              <w:right w:val="single" w:sz="4" w:space="0" w:color="000000"/>
            </w:tcBorders>
            <w:noWrap/>
            <w:vAlign w:val="center"/>
          </w:tcPr>
          <w:p w14:paraId="7E42207B" w14:textId="77777777" w:rsidR="002D068E" w:rsidRPr="00382CBA" w:rsidRDefault="001F1C34">
            <w:pPr>
              <w:jc w:val="cente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C</w:t>
            </w:r>
          </w:p>
        </w:tc>
      </w:tr>
      <w:tr w:rsidR="002D068E" w:rsidRPr="00382CBA" w14:paraId="67D785A4" w14:textId="77777777">
        <w:trPr>
          <w:trHeight w:val="336"/>
        </w:trPr>
        <w:tc>
          <w:tcPr>
            <w:tcW w:w="456" w:type="pct"/>
            <w:tcBorders>
              <w:top w:val="single" w:sz="4" w:space="0" w:color="000000"/>
              <w:left w:val="single" w:sz="4" w:space="0" w:color="000000"/>
              <w:bottom w:val="single" w:sz="4" w:space="0" w:color="000000"/>
              <w:right w:val="single" w:sz="4" w:space="0" w:color="000000"/>
            </w:tcBorders>
            <w:noWrap/>
            <w:vAlign w:val="center"/>
          </w:tcPr>
          <w:p w14:paraId="7402E600"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Year</w:t>
            </w:r>
          </w:p>
        </w:tc>
        <w:tc>
          <w:tcPr>
            <w:tcW w:w="1069" w:type="pct"/>
            <w:tcBorders>
              <w:top w:val="single" w:sz="4" w:space="0" w:color="000000"/>
              <w:left w:val="single" w:sz="4" w:space="0" w:color="000000"/>
              <w:bottom w:val="single" w:sz="4" w:space="0" w:color="000000"/>
              <w:right w:val="single" w:sz="4" w:space="0" w:color="000000"/>
            </w:tcBorders>
            <w:noWrap/>
            <w:vAlign w:val="center"/>
          </w:tcPr>
          <w:p w14:paraId="2E3E8EBA"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Discount factor @ 8%</w:t>
            </w:r>
          </w:p>
        </w:tc>
        <w:tc>
          <w:tcPr>
            <w:tcW w:w="842" w:type="pct"/>
            <w:tcBorders>
              <w:top w:val="single" w:sz="4" w:space="0" w:color="000000"/>
              <w:left w:val="single" w:sz="4" w:space="0" w:color="000000"/>
              <w:bottom w:val="single" w:sz="4" w:space="0" w:color="000000"/>
              <w:right w:val="single" w:sz="4" w:space="0" w:color="000000"/>
            </w:tcBorders>
            <w:noWrap/>
            <w:vAlign w:val="center"/>
          </w:tcPr>
          <w:p w14:paraId="30F651CF"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Cash Flows (£M)</w:t>
            </w:r>
          </w:p>
        </w:tc>
        <w:tc>
          <w:tcPr>
            <w:tcW w:w="476" w:type="pct"/>
            <w:tcBorders>
              <w:top w:val="single" w:sz="4" w:space="0" w:color="000000"/>
              <w:left w:val="single" w:sz="4" w:space="0" w:color="000000"/>
              <w:bottom w:val="single" w:sz="4" w:space="0" w:color="000000"/>
              <w:right w:val="single" w:sz="4" w:space="0" w:color="000000"/>
            </w:tcBorders>
            <w:noWrap/>
            <w:vAlign w:val="center"/>
          </w:tcPr>
          <w:p w14:paraId="74AD3CAD"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PV (£M)</w:t>
            </w: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34FDA7D1"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Cash Flows</w:t>
            </w:r>
          </w:p>
        </w:tc>
        <w:tc>
          <w:tcPr>
            <w:tcW w:w="476" w:type="pct"/>
            <w:tcBorders>
              <w:top w:val="single" w:sz="4" w:space="0" w:color="000000"/>
              <w:left w:val="single" w:sz="4" w:space="0" w:color="000000"/>
              <w:bottom w:val="single" w:sz="4" w:space="0" w:color="000000"/>
              <w:right w:val="single" w:sz="4" w:space="0" w:color="000000"/>
            </w:tcBorders>
            <w:noWrap/>
            <w:vAlign w:val="center"/>
          </w:tcPr>
          <w:p w14:paraId="021BD738"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PV (£M)</w:t>
            </w: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011C2E1A"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Cash Flows</w:t>
            </w:r>
          </w:p>
        </w:tc>
        <w:tc>
          <w:tcPr>
            <w:tcW w:w="477" w:type="pct"/>
            <w:tcBorders>
              <w:top w:val="single" w:sz="4" w:space="0" w:color="000000"/>
              <w:left w:val="single" w:sz="4" w:space="0" w:color="000000"/>
              <w:bottom w:val="single" w:sz="4" w:space="0" w:color="000000"/>
              <w:right w:val="single" w:sz="4" w:space="0" w:color="000000"/>
            </w:tcBorders>
            <w:noWrap/>
            <w:vAlign w:val="center"/>
          </w:tcPr>
          <w:p w14:paraId="31215C1D"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PV (£M)</w:t>
            </w:r>
          </w:p>
        </w:tc>
      </w:tr>
      <w:tr w:rsidR="002D068E" w:rsidRPr="00382CBA" w14:paraId="5CCBCD13" w14:textId="77777777">
        <w:trPr>
          <w:trHeight w:val="336"/>
        </w:trPr>
        <w:tc>
          <w:tcPr>
            <w:tcW w:w="456" w:type="pct"/>
            <w:tcBorders>
              <w:top w:val="single" w:sz="4" w:space="0" w:color="000000"/>
              <w:left w:val="single" w:sz="4" w:space="0" w:color="000000"/>
              <w:bottom w:val="single" w:sz="4" w:space="0" w:color="000000"/>
              <w:right w:val="single" w:sz="4" w:space="0" w:color="000000"/>
            </w:tcBorders>
            <w:noWrap/>
            <w:vAlign w:val="center"/>
          </w:tcPr>
          <w:p w14:paraId="522ECBB7"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1069" w:type="pct"/>
            <w:tcBorders>
              <w:top w:val="single" w:sz="4" w:space="0" w:color="000000"/>
              <w:left w:val="single" w:sz="4" w:space="0" w:color="000000"/>
              <w:bottom w:val="single" w:sz="4" w:space="0" w:color="000000"/>
              <w:right w:val="single" w:sz="4" w:space="0" w:color="000000"/>
            </w:tcBorders>
            <w:noWrap/>
            <w:vAlign w:val="center"/>
          </w:tcPr>
          <w:p w14:paraId="684A199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w:t>
            </w:r>
          </w:p>
        </w:tc>
        <w:tc>
          <w:tcPr>
            <w:tcW w:w="842" w:type="pct"/>
            <w:tcBorders>
              <w:top w:val="single" w:sz="4" w:space="0" w:color="000000"/>
              <w:left w:val="single" w:sz="4" w:space="0" w:color="000000"/>
              <w:bottom w:val="single" w:sz="4" w:space="0" w:color="000000"/>
              <w:right w:val="single" w:sz="4" w:space="0" w:color="000000"/>
            </w:tcBorders>
            <w:noWrap/>
            <w:vAlign w:val="center"/>
          </w:tcPr>
          <w:p w14:paraId="7DC5E969"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476" w:type="pct"/>
            <w:tcBorders>
              <w:top w:val="single" w:sz="4" w:space="0" w:color="000000"/>
              <w:left w:val="single" w:sz="4" w:space="0" w:color="000000"/>
              <w:bottom w:val="single" w:sz="4" w:space="0" w:color="000000"/>
              <w:right w:val="single" w:sz="4" w:space="0" w:color="000000"/>
            </w:tcBorders>
            <w:noWrap/>
            <w:vAlign w:val="center"/>
          </w:tcPr>
          <w:p w14:paraId="2C985CA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6C264D2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476" w:type="pct"/>
            <w:tcBorders>
              <w:top w:val="single" w:sz="4" w:space="0" w:color="000000"/>
              <w:left w:val="single" w:sz="4" w:space="0" w:color="000000"/>
              <w:bottom w:val="single" w:sz="4" w:space="0" w:color="000000"/>
              <w:right w:val="single" w:sz="4" w:space="0" w:color="000000"/>
            </w:tcBorders>
            <w:noWrap/>
            <w:vAlign w:val="center"/>
          </w:tcPr>
          <w:p w14:paraId="146AA1A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59C7EDB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477" w:type="pct"/>
            <w:tcBorders>
              <w:top w:val="single" w:sz="4" w:space="0" w:color="000000"/>
              <w:left w:val="single" w:sz="4" w:space="0" w:color="000000"/>
              <w:bottom w:val="single" w:sz="4" w:space="0" w:color="000000"/>
              <w:right w:val="single" w:sz="4" w:space="0" w:color="000000"/>
            </w:tcBorders>
            <w:noWrap/>
            <w:vAlign w:val="center"/>
          </w:tcPr>
          <w:p w14:paraId="65F756DA"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r>
      <w:tr w:rsidR="002D068E" w:rsidRPr="00382CBA" w14:paraId="6799EFC6" w14:textId="77777777">
        <w:trPr>
          <w:trHeight w:val="336"/>
        </w:trPr>
        <w:tc>
          <w:tcPr>
            <w:tcW w:w="456" w:type="pct"/>
            <w:tcBorders>
              <w:top w:val="single" w:sz="4" w:space="0" w:color="000000"/>
              <w:left w:val="single" w:sz="4" w:space="0" w:color="000000"/>
              <w:bottom w:val="single" w:sz="4" w:space="0" w:color="000000"/>
              <w:right w:val="single" w:sz="4" w:space="0" w:color="000000"/>
            </w:tcBorders>
            <w:noWrap/>
            <w:vAlign w:val="center"/>
          </w:tcPr>
          <w:p w14:paraId="1187309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w:t>
            </w:r>
          </w:p>
        </w:tc>
        <w:tc>
          <w:tcPr>
            <w:tcW w:w="1069" w:type="pct"/>
            <w:tcBorders>
              <w:top w:val="single" w:sz="4" w:space="0" w:color="000000"/>
              <w:left w:val="single" w:sz="4" w:space="0" w:color="000000"/>
              <w:bottom w:val="single" w:sz="4" w:space="0" w:color="000000"/>
              <w:right w:val="single" w:sz="4" w:space="0" w:color="000000"/>
            </w:tcBorders>
            <w:noWrap/>
            <w:vAlign w:val="center"/>
          </w:tcPr>
          <w:p w14:paraId="0A60C14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0.93 </w:t>
            </w:r>
          </w:p>
        </w:tc>
        <w:tc>
          <w:tcPr>
            <w:tcW w:w="842" w:type="pct"/>
            <w:tcBorders>
              <w:top w:val="single" w:sz="4" w:space="0" w:color="000000"/>
              <w:left w:val="single" w:sz="4" w:space="0" w:color="000000"/>
              <w:bottom w:val="single" w:sz="4" w:space="0" w:color="000000"/>
              <w:right w:val="single" w:sz="4" w:space="0" w:color="000000"/>
            </w:tcBorders>
            <w:noWrap/>
            <w:vAlign w:val="center"/>
          </w:tcPr>
          <w:p w14:paraId="3CE40DF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476" w:type="pct"/>
            <w:tcBorders>
              <w:top w:val="single" w:sz="4" w:space="0" w:color="000000"/>
              <w:left w:val="single" w:sz="4" w:space="0" w:color="000000"/>
              <w:bottom w:val="single" w:sz="4" w:space="0" w:color="000000"/>
              <w:right w:val="single" w:sz="4" w:space="0" w:color="000000"/>
            </w:tcBorders>
            <w:noWrap/>
            <w:vAlign w:val="center"/>
          </w:tcPr>
          <w:p w14:paraId="13F7E37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9.26 </w:t>
            </w: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27DF25C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476" w:type="pct"/>
            <w:tcBorders>
              <w:top w:val="single" w:sz="4" w:space="0" w:color="000000"/>
              <w:left w:val="single" w:sz="4" w:space="0" w:color="000000"/>
              <w:bottom w:val="single" w:sz="4" w:space="0" w:color="000000"/>
              <w:right w:val="single" w:sz="4" w:space="0" w:color="000000"/>
            </w:tcBorders>
            <w:noWrap/>
            <w:vAlign w:val="center"/>
          </w:tcPr>
          <w:p w14:paraId="36B9F8D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10.19 </w:t>
            </w: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178B77D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w:t>
            </w:r>
          </w:p>
        </w:tc>
        <w:tc>
          <w:tcPr>
            <w:tcW w:w="477" w:type="pct"/>
            <w:tcBorders>
              <w:top w:val="single" w:sz="4" w:space="0" w:color="000000"/>
              <w:left w:val="single" w:sz="4" w:space="0" w:color="000000"/>
              <w:bottom w:val="single" w:sz="4" w:space="0" w:color="000000"/>
              <w:right w:val="single" w:sz="4" w:space="0" w:color="000000"/>
            </w:tcBorders>
            <w:noWrap/>
            <w:vAlign w:val="center"/>
          </w:tcPr>
          <w:p w14:paraId="5C814DF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4.63 </w:t>
            </w:r>
          </w:p>
        </w:tc>
      </w:tr>
      <w:tr w:rsidR="002D068E" w:rsidRPr="00382CBA" w14:paraId="5C346E2E" w14:textId="77777777">
        <w:trPr>
          <w:trHeight w:val="336"/>
        </w:trPr>
        <w:tc>
          <w:tcPr>
            <w:tcW w:w="456" w:type="pct"/>
            <w:tcBorders>
              <w:top w:val="single" w:sz="4" w:space="0" w:color="000000"/>
              <w:left w:val="single" w:sz="4" w:space="0" w:color="000000"/>
              <w:bottom w:val="single" w:sz="4" w:space="0" w:color="000000"/>
              <w:right w:val="single" w:sz="4" w:space="0" w:color="000000"/>
            </w:tcBorders>
            <w:noWrap/>
            <w:vAlign w:val="center"/>
          </w:tcPr>
          <w:p w14:paraId="17906B5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w:t>
            </w:r>
          </w:p>
        </w:tc>
        <w:tc>
          <w:tcPr>
            <w:tcW w:w="1069" w:type="pct"/>
            <w:tcBorders>
              <w:top w:val="single" w:sz="4" w:space="0" w:color="000000"/>
              <w:left w:val="single" w:sz="4" w:space="0" w:color="000000"/>
              <w:bottom w:val="single" w:sz="4" w:space="0" w:color="000000"/>
              <w:right w:val="single" w:sz="4" w:space="0" w:color="000000"/>
            </w:tcBorders>
            <w:noWrap/>
            <w:vAlign w:val="center"/>
          </w:tcPr>
          <w:p w14:paraId="1A732F2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0.86 </w:t>
            </w:r>
          </w:p>
        </w:tc>
        <w:tc>
          <w:tcPr>
            <w:tcW w:w="842" w:type="pct"/>
            <w:tcBorders>
              <w:top w:val="single" w:sz="4" w:space="0" w:color="000000"/>
              <w:left w:val="single" w:sz="4" w:space="0" w:color="000000"/>
              <w:bottom w:val="single" w:sz="4" w:space="0" w:color="000000"/>
              <w:right w:val="single" w:sz="4" w:space="0" w:color="000000"/>
            </w:tcBorders>
            <w:noWrap/>
            <w:vAlign w:val="center"/>
          </w:tcPr>
          <w:p w14:paraId="4FE5456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12</w:t>
            </w:r>
          </w:p>
        </w:tc>
        <w:tc>
          <w:tcPr>
            <w:tcW w:w="476" w:type="pct"/>
            <w:tcBorders>
              <w:top w:val="single" w:sz="4" w:space="0" w:color="000000"/>
              <w:left w:val="single" w:sz="4" w:space="0" w:color="000000"/>
              <w:bottom w:val="single" w:sz="4" w:space="0" w:color="000000"/>
              <w:right w:val="single" w:sz="4" w:space="0" w:color="000000"/>
            </w:tcBorders>
            <w:noWrap/>
            <w:vAlign w:val="center"/>
          </w:tcPr>
          <w:p w14:paraId="29A591BC"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10.29 </w:t>
            </w: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4FD4AE0A"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476" w:type="pct"/>
            <w:tcBorders>
              <w:top w:val="single" w:sz="4" w:space="0" w:color="000000"/>
              <w:left w:val="single" w:sz="4" w:space="0" w:color="000000"/>
              <w:bottom w:val="single" w:sz="4" w:space="0" w:color="000000"/>
              <w:right w:val="single" w:sz="4" w:space="0" w:color="000000"/>
            </w:tcBorders>
            <w:noWrap/>
            <w:vAlign w:val="center"/>
          </w:tcPr>
          <w:p w14:paraId="2D25A02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9.43 </w:t>
            </w: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177EE9C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477" w:type="pct"/>
            <w:tcBorders>
              <w:top w:val="single" w:sz="4" w:space="0" w:color="000000"/>
              <w:left w:val="single" w:sz="4" w:space="0" w:color="000000"/>
              <w:bottom w:val="single" w:sz="4" w:space="0" w:color="000000"/>
              <w:right w:val="single" w:sz="4" w:space="0" w:color="000000"/>
            </w:tcBorders>
            <w:noWrap/>
            <w:vAlign w:val="center"/>
          </w:tcPr>
          <w:p w14:paraId="7ADBC57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8.57 </w:t>
            </w:r>
          </w:p>
        </w:tc>
      </w:tr>
      <w:tr w:rsidR="002D068E" w:rsidRPr="00382CBA" w14:paraId="4FA6B01E" w14:textId="77777777">
        <w:trPr>
          <w:trHeight w:val="336"/>
        </w:trPr>
        <w:tc>
          <w:tcPr>
            <w:tcW w:w="456" w:type="pct"/>
            <w:tcBorders>
              <w:top w:val="single" w:sz="4" w:space="0" w:color="000000"/>
              <w:left w:val="single" w:sz="4" w:space="0" w:color="000000"/>
              <w:bottom w:val="single" w:sz="4" w:space="0" w:color="000000"/>
              <w:right w:val="single" w:sz="4" w:space="0" w:color="000000"/>
            </w:tcBorders>
            <w:noWrap/>
            <w:vAlign w:val="center"/>
          </w:tcPr>
          <w:p w14:paraId="6273BAD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w:t>
            </w:r>
          </w:p>
        </w:tc>
        <w:tc>
          <w:tcPr>
            <w:tcW w:w="1069" w:type="pct"/>
            <w:tcBorders>
              <w:top w:val="single" w:sz="4" w:space="0" w:color="000000"/>
              <w:left w:val="single" w:sz="4" w:space="0" w:color="000000"/>
              <w:bottom w:val="single" w:sz="4" w:space="0" w:color="000000"/>
              <w:right w:val="single" w:sz="4" w:space="0" w:color="000000"/>
            </w:tcBorders>
            <w:noWrap/>
            <w:vAlign w:val="center"/>
          </w:tcPr>
          <w:p w14:paraId="0CD3CC09"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0.79 </w:t>
            </w:r>
          </w:p>
        </w:tc>
        <w:tc>
          <w:tcPr>
            <w:tcW w:w="842" w:type="pct"/>
            <w:tcBorders>
              <w:top w:val="single" w:sz="4" w:space="0" w:color="000000"/>
              <w:left w:val="single" w:sz="4" w:space="0" w:color="000000"/>
              <w:bottom w:val="single" w:sz="4" w:space="0" w:color="000000"/>
              <w:right w:val="single" w:sz="4" w:space="0" w:color="000000"/>
            </w:tcBorders>
            <w:noWrap/>
            <w:vAlign w:val="center"/>
          </w:tcPr>
          <w:p w14:paraId="3447276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14</w:t>
            </w:r>
          </w:p>
        </w:tc>
        <w:tc>
          <w:tcPr>
            <w:tcW w:w="476" w:type="pct"/>
            <w:tcBorders>
              <w:top w:val="single" w:sz="4" w:space="0" w:color="000000"/>
              <w:left w:val="single" w:sz="4" w:space="0" w:color="000000"/>
              <w:bottom w:val="single" w:sz="4" w:space="0" w:color="000000"/>
              <w:right w:val="single" w:sz="4" w:space="0" w:color="000000"/>
            </w:tcBorders>
            <w:noWrap/>
            <w:vAlign w:val="center"/>
          </w:tcPr>
          <w:p w14:paraId="28BF3B6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11.11 </w:t>
            </w: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4B561BC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476" w:type="pct"/>
            <w:tcBorders>
              <w:top w:val="single" w:sz="4" w:space="0" w:color="000000"/>
              <w:left w:val="single" w:sz="4" w:space="0" w:color="000000"/>
              <w:bottom w:val="single" w:sz="4" w:space="0" w:color="000000"/>
              <w:right w:val="single" w:sz="4" w:space="0" w:color="000000"/>
            </w:tcBorders>
            <w:noWrap/>
            <w:vAlign w:val="center"/>
          </w:tcPr>
          <w:p w14:paraId="41759BA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8.73 </w:t>
            </w: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57E246F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20</w:t>
            </w:r>
          </w:p>
        </w:tc>
        <w:tc>
          <w:tcPr>
            <w:tcW w:w="477" w:type="pct"/>
            <w:tcBorders>
              <w:top w:val="single" w:sz="4" w:space="0" w:color="000000"/>
              <w:left w:val="single" w:sz="4" w:space="0" w:color="000000"/>
              <w:bottom w:val="single" w:sz="4" w:space="0" w:color="000000"/>
              <w:right w:val="single" w:sz="4" w:space="0" w:color="000000"/>
            </w:tcBorders>
            <w:noWrap/>
            <w:vAlign w:val="center"/>
          </w:tcPr>
          <w:p w14:paraId="1ECA3D84"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15.88 </w:t>
            </w:r>
          </w:p>
        </w:tc>
      </w:tr>
      <w:tr w:rsidR="002D068E" w:rsidRPr="00382CBA" w14:paraId="3F48888D" w14:textId="77777777">
        <w:trPr>
          <w:trHeight w:val="336"/>
        </w:trPr>
        <w:tc>
          <w:tcPr>
            <w:tcW w:w="456" w:type="pct"/>
            <w:tcBorders>
              <w:top w:val="single" w:sz="4" w:space="0" w:color="000000"/>
              <w:left w:val="single" w:sz="4" w:space="0" w:color="000000"/>
              <w:bottom w:val="single" w:sz="4" w:space="0" w:color="000000"/>
              <w:right w:val="single" w:sz="4" w:space="0" w:color="000000"/>
            </w:tcBorders>
            <w:noWrap/>
            <w:vAlign w:val="center"/>
          </w:tcPr>
          <w:p w14:paraId="48BF4D7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w:t>
            </w:r>
          </w:p>
        </w:tc>
        <w:tc>
          <w:tcPr>
            <w:tcW w:w="1069" w:type="pct"/>
            <w:tcBorders>
              <w:top w:val="single" w:sz="4" w:space="0" w:color="000000"/>
              <w:left w:val="single" w:sz="4" w:space="0" w:color="000000"/>
              <w:bottom w:val="single" w:sz="4" w:space="0" w:color="000000"/>
              <w:right w:val="single" w:sz="4" w:space="0" w:color="000000"/>
            </w:tcBorders>
            <w:noWrap/>
            <w:vAlign w:val="center"/>
          </w:tcPr>
          <w:p w14:paraId="6E0B642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0.74 </w:t>
            </w:r>
          </w:p>
        </w:tc>
        <w:tc>
          <w:tcPr>
            <w:tcW w:w="842" w:type="pct"/>
            <w:tcBorders>
              <w:top w:val="single" w:sz="4" w:space="0" w:color="000000"/>
              <w:left w:val="single" w:sz="4" w:space="0" w:color="000000"/>
              <w:bottom w:val="single" w:sz="4" w:space="0" w:color="000000"/>
              <w:right w:val="single" w:sz="4" w:space="0" w:color="000000"/>
            </w:tcBorders>
            <w:noWrap/>
            <w:vAlign w:val="center"/>
          </w:tcPr>
          <w:p w14:paraId="460F416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476" w:type="pct"/>
            <w:tcBorders>
              <w:top w:val="single" w:sz="4" w:space="0" w:color="000000"/>
              <w:left w:val="single" w:sz="4" w:space="0" w:color="000000"/>
              <w:bottom w:val="single" w:sz="4" w:space="0" w:color="000000"/>
              <w:right w:val="single" w:sz="4" w:space="0" w:color="000000"/>
            </w:tcBorders>
            <w:noWrap/>
            <w:vAlign w:val="center"/>
          </w:tcPr>
          <w:p w14:paraId="524C0C1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7.35 </w:t>
            </w: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4A77BC3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476" w:type="pct"/>
            <w:tcBorders>
              <w:top w:val="single" w:sz="4" w:space="0" w:color="000000"/>
              <w:left w:val="single" w:sz="4" w:space="0" w:color="000000"/>
              <w:bottom w:val="single" w:sz="4" w:space="0" w:color="000000"/>
              <w:right w:val="single" w:sz="4" w:space="0" w:color="000000"/>
            </w:tcBorders>
            <w:noWrap/>
            <w:vAlign w:val="center"/>
          </w:tcPr>
          <w:p w14:paraId="6E7D8F1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8.09 </w:t>
            </w: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61E6FC6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25</w:t>
            </w:r>
          </w:p>
        </w:tc>
        <w:tc>
          <w:tcPr>
            <w:tcW w:w="477" w:type="pct"/>
            <w:tcBorders>
              <w:top w:val="single" w:sz="4" w:space="0" w:color="000000"/>
              <w:left w:val="single" w:sz="4" w:space="0" w:color="000000"/>
              <w:bottom w:val="single" w:sz="4" w:space="0" w:color="000000"/>
              <w:right w:val="single" w:sz="4" w:space="0" w:color="000000"/>
            </w:tcBorders>
            <w:noWrap/>
            <w:vAlign w:val="center"/>
          </w:tcPr>
          <w:p w14:paraId="756F0610"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18.38 </w:t>
            </w:r>
          </w:p>
        </w:tc>
      </w:tr>
      <w:tr w:rsidR="002D068E" w:rsidRPr="00382CBA" w14:paraId="3545E1B1" w14:textId="77777777">
        <w:trPr>
          <w:trHeight w:val="336"/>
        </w:trPr>
        <w:tc>
          <w:tcPr>
            <w:tcW w:w="456" w:type="pct"/>
            <w:tcBorders>
              <w:top w:val="single" w:sz="4" w:space="0" w:color="000000"/>
              <w:left w:val="single" w:sz="4" w:space="0" w:color="000000"/>
              <w:bottom w:val="single" w:sz="4" w:space="0" w:color="000000"/>
              <w:right w:val="single" w:sz="4" w:space="0" w:color="000000"/>
            </w:tcBorders>
            <w:noWrap/>
            <w:vAlign w:val="center"/>
          </w:tcPr>
          <w:p w14:paraId="5CAB630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w:t>
            </w:r>
          </w:p>
        </w:tc>
        <w:tc>
          <w:tcPr>
            <w:tcW w:w="1069" w:type="pct"/>
            <w:tcBorders>
              <w:top w:val="single" w:sz="4" w:space="0" w:color="000000"/>
              <w:left w:val="single" w:sz="4" w:space="0" w:color="000000"/>
              <w:bottom w:val="single" w:sz="4" w:space="0" w:color="000000"/>
              <w:right w:val="single" w:sz="4" w:space="0" w:color="000000"/>
            </w:tcBorders>
            <w:noWrap/>
            <w:vAlign w:val="center"/>
          </w:tcPr>
          <w:p w14:paraId="36042E7C"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0.68 </w:t>
            </w:r>
          </w:p>
        </w:tc>
        <w:tc>
          <w:tcPr>
            <w:tcW w:w="842" w:type="pct"/>
            <w:tcBorders>
              <w:top w:val="single" w:sz="4" w:space="0" w:color="000000"/>
              <w:left w:val="single" w:sz="4" w:space="0" w:color="000000"/>
              <w:bottom w:val="single" w:sz="4" w:space="0" w:color="000000"/>
              <w:right w:val="single" w:sz="4" w:space="0" w:color="000000"/>
            </w:tcBorders>
            <w:noWrap/>
            <w:vAlign w:val="center"/>
          </w:tcPr>
          <w:p w14:paraId="5978246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8</w:t>
            </w:r>
          </w:p>
        </w:tc>
        <w:tc>
          <w:tcPr>
            <w:tcW w:w="476" w:type="pct"/>
            <w:tcBorders>
              <w:top w:val="single" w:sz="4" w:space="0" w:color="000000"/>
              <w:left w:val="single" w:sz="4" w:space="0" w:color="000000"/>
              <w:bottom w:val="single" w:sz="4" w:space="0" w:color="000000"/>
              <w:right w:val="single" w:sz="4" w:space="0" w:color="000000"/>
            </w:tcBorders>
            <w:noWrap/>
            <w:vAlign w:val="center"/>
          </w:tcPr>
          <w:p w14:paraId="711AAAE9"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5.44 </w:t>
            </w: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271B9EC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476" w:type="pct"/>
            <w:tcBorders>
              <w:top w:val="single" w:sz="4" w:space="0" w:color="000000"/>
              <w:left w:val="single" w:sz="4" w:space="0" w:color="000000"/>
              <w:bottom w:val="single" w:sz="4" w:space="0" w:color="000000"/>
              <w:right w:val="single" w:sz="4" w:space="0" w:color="000000"/>
            </w:tcBorders>
            <w:noWrap/>
            <w:vAlign w:val="center"/>
          </w:tcPr>
          <w:p w14:paraId="69A66AE4"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7.49 </w:t>
            </w: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305F94A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w:t>
            </w:r>
          </w:p>
        </w:tc>
        <w:tc>
          <w:tcPr>
            <w:tcW w:w="477" w:type="pct"/>
            <w:tcBorders>
              <w:top w:val="single" w:sz="4" w:space="0" w:color="000000"/>
              <w:left w:val="single" w:sz="4" w:space="0" w:color="000000"/>
              <w:bottom w:val="single" w:sz="4" w:space="0" w:color="000000"/>
              <w:right w:val="single" w:sz="4" w:space="0" w:color="000000"/>
            </w:tcBorders>
            <w:noWrap/>
            <w:vAlign w:val="center"/>
          </w:tcPr>
          <w:p w14:paraId="5DD7A79C"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3.40 </w:t>
            </w:r>
          </w:p>
        </w:tc>
      </w:tr>
      <w:tr w:rsidR="002D068E" w:rsidRPr="00382CBA" w14:paraId="369C7165" w14:textId="77777777">
        <w:trPr>
          <w:trHeight w:val="336"/>
        </w:trPr>
        <w:tc>
          <w:tcPr>
            <w:tcW w:w="456" w:type="pct"/>
            <w:tcBorders>
              <w:top w:val="single" w:sz="4" w:space="0" w:color="000000"/>
              <w:left w:val="single" w:sz="4" w:space="0" w:color="000000"/>
              <w:bottom w:val="single" w:sz="4" w:space="0" w:color="000000"/>
              <w:right w:val="single" w:sz="4" w:space="0" w:color="000000"/>
            </w:tcBorders>
            <w:noWrap/>
            <w:vAlign w:val="center"/>
          </w:tcPr>
          <w:p w14:paraId="54F00ADB"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lastRenderedPageBreak/>
              <w:t>NPV</w:t>
            </w:r>
          </w:p>
        </w:tc>
        <w:tc>
          <w:tcPr>
            <w:tcW w:w="1069" w:type="pct"/>
            <w:tcBorders>
              <w:top w:val="single" w:sz="4" w:space="0" w:color="000000"/>
              <w:left w:val="single" w:sz="4" w:space="0" w:color="000000"/>
              <w:bottom w:val="single" w:sz="4" w:space="0" w:color="000000"/>
              <w:right w:val="single" w:sz="4" w:space="0" w:color="000000"/>
            </w:tcBorders>
            <w:noWrap/>
            <w:vAlign w:val="center"/>
          </w:tcPr>
          <w:p w14:paraId="17DD5F4F" w14:textId="77777777" w:rsidR="002D068E" w:rsidRPr="00382CBA" w:rsidRDefault="002D068E">
            <w:pPr>
              <w:rPr>
                <w:rFonts w:ascii="Arial Regular" w:eastAsia="Times New Roman Regular" w:hAnsi="Arial Regular" w:cs="Arial Regular"/>
                <w:b/>
                <w:bCs/>
                <w:color w:val="000000"/>
                <w:szCs w:val="24"/>
                <w:lang w:val="en-GB"/>
              </w:rPr>
            </w:pPr>
          </w:p>
        </w:tc>
        <w:tc>
          <w:tcPr>
            <w:tcW w:w="842" w:type="pct"/>
            <w:tcBorders>
              <w:top w:val="single" w:sz="4" w:space="0" w:color="000000"/>
              <w:left w:val="single" w:sz="4" w:space="0" w:color="000000"/>
              <w:bottom w:val="single" w:sz="4" w:space="0" w:color="000000"/>
              <w:right w:val="single" w:sz="4" w:space="0" w:color="000000"/>
            </w:tcBorders>
            <w:noWrap/>
            <w:vAlign w:val="center"/>
          </w:tcPr>
          <w:p w14:paraId="229E14D2" w14:textId="77777777" w:rsidR="002D068E" w:rsidRPr="00382CBA" w:rsidRDefault="002D068E">
            <w:pPr>
              <w:rPr>
                <w:rFonts w:ascii="Arial Regular" w:eastAsia="Times New Roman Regular" w:hAnsi="Arial Regular" w:cs="Arial Regular"/>
                <w:b/>
                <w:bCs/>
                <w:color w:val="000000"/>
                <w:szCs w:val="24"/>
                <w:lang w:val="en-GB"/>
              </w:rPr>
            </w:pPr>
          </w:p>
        </w:tc>
        <w:tc>
          <w:tcPr>
            <w:tcW w:w="476" w:type="pct"/>
            <w:tcBorders>
              <w:top w:val="single" w:sz="4" w:space="0" w:color="000000"/>
              <w:left w:val="single" w:sz="4" w:space="0" w:color="000000"/>
              <w:bottom w:val="single" w:sz="4" w:space="0" w:color="000000"/>
              <w:right w:val="single" w:sz="4" w:space="0" w:color="000000"/>
            </w:tcBorders>
            <w:noWrap/>
            <w:vAlign w:val="center"/>
          </w:tcPr>
          <w:p w14:paraId="25917BD5"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 xml:space="preserve">-6.54 </w:t>
            </w: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59484F0D" w14:textId="77777777" w:rsidR="002D068E" w:rsidRPr="00382CBA" w:rsidRDefault="002D068E">
            <w:pPr>
              <w:rPr>
                <w:rFonts w:ascii="Arial Regular" w:eastAsia="Times New Roman Regular" w:hAnsi="Arial Regular" w:cs="Arial Regular"/>
                <w:b/>
                <w:bCs/>
                <w:color w:val="000000"/>
                <w:szCs w:val="24"/>
                <w:lang w:val="en-GB"/>
              </w:rPr>
            </w:pPr>
          </w:p>
        </w:tc>
        <w:tc>
          <w:tcPr>
            <w:tcW w:w="476" w:type="pct"/>
            <w:tcBorders>
              <w:top w:val="single" w:sz="4" w:space="0" w:color="000000"/>
              <w:left w:val="single" w:sz="4" w:space="0" w:color="000000"/>
              <w:bottom w:val="single" w:sz="4" w:space="0" w:color="000000"/>
              <w:right w:val="single" w:sz="4" w:space="0" w:color="000000"/>
            </w:tcBorders>
            <w:noWrap/>
            <w:vAlign w:val="center"/>
          </w:tcPr>
          <w:p w14:paraId="460D9A29"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 xml:space="preserve">-6.08 </w:t>
            </w: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12DFFB14" w14:textId="77777777" w:rsidR="002D068E" w:rsidRPr="00382CBA" w:rsidRDefault="002D068E">
            <w:pPr>
              <w:rPr>
                <w:rFonts w:ascii="Arial Regular" w:eastAsia="Times New Roman Regular" w:hAnsi="Arial Regular" w:cs="Arial Regular"/>
                <w:b/>
                <w:bCs/>
                <w:color w:val="000000"/>
                <w:szCs w:val="24"/>
                <w:lang w:val="en-GB"/>
              </w:rPr>
            </w:pPr>
          </w:p>
        </w:tc>
        <w:tc>
          <w:tcPr>
            <w:tcW w:w="477" w:type="pct"/>
            <w:tcBorders>
              <w:top w:val="single" w:sz="4" w:space="0" w:color="000000"/>
              <w:left w:val="single" w:sz="4" w:space="0" w:color="000000"/>
              <w:bottom w:val="single" w:sz="4" w:space="0" w:color="000000"/>
              <w:right w:val="single" w:sz="4" w:space="0" w:color="000000"/>
            </w:tcBorders>
            <w:noWrap/>
            <w:vAlign w:val="center"/>
          </w:tcPr>
          <w:p w14:paraId="35AFDC1F"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 xml:space="preserve">0.86 </w:t>
            </w:r>
          </w:p>
        </w:tc>
      </w:tr>
    </w:tbl>
    <w:p w14:paraId="2AB70B41" w14:textId="77777777" w:rsidR="002D068E" w:rsidRPr="00382CBA" w:rsidRDefault="002D068E">
      <w:pPr>
        <w:rPr>
          <w:rFonts w:ascii="Arial Regular" w:eastAsia="SimSun" w:hAnsi="Arial Regular" w:cs="Arial Regular"/>
          <w:szCs w:val="24"/>
          <w:lang w:val="en-GB" w:bidi="ar"/>
        </w:rPr>
      </w:pPr>
    </w:p>
    <w:tbl>
      <w:tblPr>
        <w:tblW w:w="12380" w:type="dxa"/>
        <w:tblInd w:w="88" w:type="dxa"/>
        <w:tblLook w:val="04A0" w:firstRow="1" w:lastRow="0" w:firstColumn="1" w:lastColumn="0" w:noHBand="0" w:noVBand="1"/>
      </w:tblPr>
      <w:tblGrid>
        <w:gridCol w:w="5586"/>
        <w:gridCol w:w="2266"/>
        <w:gridCol w:w="2266"/>
        <w:gridCol w:w="2266"/>
      </w:tblGrid>
      <w:tr w:rsidR="002D068E" w:rsidRPr="00382CBA" w14:paraId="2E5FF424" w14:textId="77777777">
        <w:trPr>
          <w:trHeight w:val="336"/>
        </w:trPr>
        <w:tc>
          <w:tcPr>
            <w:tcW w:w="12384" w:type="dxa"/>
            <w:gridSpan w:val="4"/>
            <w:tcBorders>
              <w:top w:val="single" w:sz="4" w:space="0" w:color="000000"/>
              <w:left w:val="single" w:sz="4" w:space="0" w:color="000000"/>
              <w:bottom w:val="single" w:sz="4" w:space="0" w:color="000000"/>
              <w:right w:val="single" w:sz="4" w:space="0" w:color="000000"/>
            </w:tcBorders>
            <w:noWrap/>
            <w:vAlign w:val="center"/>
          </w:tcPr>
          <w:p w14:paraId="4B37951A" w14:textId="77777777" w:rsidR="002D068E" w:rsidRPr="00382CBA" w:rsidRDefault="001F1C34">
            <w:pPr>
              <w:jc w:val="cente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Profitability Index</w:t>
            </w:r>
          </w:p>
        </w:tc>
      </w:tr>
      <w:tr w:rsidR="002D068E" w:rsidRPr="00382CBA" w14:paraId="215056AB" w14:textId="77777777">
        <w:trPr>
          <w:trHeight w:val="336"/>
        </w:trPr>
        <w:tc>
          <w:tcPr>
            <w:tcW w:w="0" w:type="auto"/>
            <w:tcBorders>
              <w:top w:val="single" w:sz="4" w:space="0" w:color="000000"/>
              <w:left w:val="single" w:sz="4" w:space="0" w:color="000000"/>
              <w:bottom w:val="single" w:sz="4" w:space="0" w:color="000000"/>
              <w:right w:val="single" w:sz="4" w:space="0" w:color="000000"/>
            </w:tcBorders>
            <w:noWrap/>
            <w:vAlign w:val="center"/>
          </w:tcPr>
          <w:p w14:paraId="3225DFEC" w14:textId="77777777" w:rsidR="002D068E" w:rsidRPr="00382CBA" w:rsidRDefault="002D068E">
            <w:pPr>
              <w:rPr>
                <w:rFonts w:ascii="Arial Regular" w:eastAsia="Times New Roman Regular" w:hAnsi="Arial Regular" w:cs="Arial Regular"/>
                <w:b/>
                <w:bCs/>
                <w:color w:val="000000"/>
                <w:szCs w:val="24"/>
                <w:lang w:val="en-GB"/>
              </w:rPr>
            </w:pPr>
          </w:p>
        </w:tc>
        <w:tc>
          <w:tcPr>
            <w:tcW w:w="0" w:type="auto"/>
            <w:tcBorders>
              <w:top w:val="single" w:sz="4" w:space="0" w:color="000000"/>
              <w:left w:val="single" w:sz="4" w:space="0" w:color="000000"/>
              <w:bottom w:val="single" w:sz="4" w:space="0" w:color="000000"/>
              <w:right w:val="single" w:sz="4" w:space="0" w:color="000000"/>
            </w:tcBorders>
            <w:noWrap/>
            <w:vAlign w:val="center"/>
          </w:tcPr>
          <w:p w14:paraId="720C2837"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A</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576FAAC2"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B</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71F6BA27"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C</w:t>
            </w:r>
          </w:p>
        </w:tc>
      </w:tr>
      <w:tr w:rsidR="002D068E" w:rsidRPr="00382CBA" w14:paraId="4D6F768F" w14:textId="77777777">
        <w:trPr>
          <w:trHeight w:val="336"/>
        </w:trPr>
        <w:tc>
          <w:tcPr>
            <w:tcW w:w="0" w:type="auto"/>
            <w:tcBorders>
              <w:top w:val="single" w:sz="4" w:space="0" w:color="000000"/>
              <w:left w:val="single" w:sz="4" w:space="0" w:color="000000"/>
              <w:bottom w:val="single" w:sz="4" w:space="0" w:color="000000"/>
              <w:right w:val="single" w:sz="4" w:space="0" w:color="000000"/>
            </w:tcBorders>
            <w:noWrap/>
            <w:vAlign w:val="center"/>
          </w:tcPr>
          <w:p w14:paraId="22199233"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PV of cash flows</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4A0A6B3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43.46 </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0CC0222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43.92 </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41EA1D3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 xml:space="preserve">50.86 </w:t>
            </w:r>
          </w:p>
        </w:tc>
      </w:tr>
      <w:tr w:rsidR="002D068E" w:rsidRPr="00382CBA" w14:paraId="273EA830" w14:textId="77777777">
        <w:trPr>
          <w:trHeight w:val="336"/>
        </w:trPr>
        <w:tc>
          <w:tcPr>
            <w:tcW w:w="0" w:type="auto"/>
            <w:tcBorders>
              <w:top w:val="single" w:sz="4" w:space="0" w:color="000000"/>
              <w:left w:val="single" w:sz="4" w:space="0" w:color="000000"/>
              <w:bottom w:val="single" w:sz="4" w:space="0" w:color="000000"/>
              <w:right w:val="single" w:sz="4" w:space="0" w:color="000000"/>
            </w:tcBorders>
            <w:noWrap/>
            <w:vAlign w:val="center"/>
          </w:tcPr>
          <w:p w14:paraId="482432E7"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Investment</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2FC1916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2FF4BD5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5B109C07"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r>
      <w:tr w:rsidR="002D068E" w:rsidRPr="00382CBA" w14:paraId="52A37FA8" w14:textId="77777777">
        <w:trPr>
          <w:trHeight w:val="336"/>
        </w:trPr>
        <w:tc>
          <w:tcPr>
            <w:tcW w:w="0" w:type="auto"/>
            <w:tcBorders>
              <w:top w:val="single" w:sz="4" w:space="0" w:color="000000"/>
              <w:left w:val="single" w:sz="4" w:space="0" w:color="000000"/>
              <w:bottom w:val="single" w:sz="4" w:space="0" w:color="000000"/>
              <w:right w:val="single" w:sz="4" w:space="0" w:color="000000"/>
            </w:tcBorders>
            <w:noWrap/>
            <w:vAlign w:val="center"/>
          </w:tcPr>
          <w:p w14:paraId="29C705A4"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PI</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53303400"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 xml:space="preserve">0.87 </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7B47D284"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 xml:space="preserve">0.88 </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0D640F16"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 xml:space="preserve">1.02 </w:t>
            </w:r>
          </w:p>
        </w:tc>
      </w:tr>
    </w:tbl>
    <w:p w14:paraId="65652081" w14:textId="77777777" w:rsidR="002D068E" w:rsidRPr="00382CBA" w:rsidRDefault="002D068E">
      <w:pPr>
        <w:rPr>
          <w:rFonts w:ascii="Arial Regular" w:eastAsia="SimSun" w:hAnsi="Arial Regular" w:cs="Arial Regular"/>
          <w:szCs w:val="24"/>
          <w:lang w:val="en-GB" w:bidi="ar"/>
        </w:rPr>
      </w:pPr>
    </w:p>
    <w:tbl>
      <w:tblPr>
        <w:tblW w:w="12380" w:type="dxa"/>
        <w:tblInd w:w="88" w:type="dxa"/>
        <w:tblLook w:val="04A0" w:firstRow="1" w:lastRow="0" w:firstColumn="1" w:lastColumn="0" w:noHBand="0" w:noVBand="1"/>
      </w:tblPr>
      <w:tblGrid>
        <w:gridCol w:w="1884"/>
        <w:gridCol w:w="3500"/>
        <w:gridCol w:w="3500"/>
        <w:gridCol w:w="3500"/>
      </w:tblGrid>
      <w:tr w:rsidR="002D068E" w:rsidRPr="00382CBA" w14:paraId="622B5BA1" w14:textId="77777777">
        <w:trPr>
          <w:trHeight w:val="336"/>
        </w:trPr>
        <w:tc>
          <w:tcPr>
            <w:tcW w:w="12384" w:type="dxa"/>
            <w:gridSpan w:val="4"/>
            <w:tcBorders>
              <w:top w:val="single" w:sz="4" w:space="0" w:color="000000"/>
              <w:left w:val="single" w:sz="4" w:space="0" w:color="000000"/>
              <w:bottom w:val="single" w:sz="4" w:space="0" w:color="000000"/>
              <w:right w:val="single" w:sz="4" w:space="0" w:color="000000"/>
            </w:tcBorders>
            <w:noWrap/>
            <w:vAlign w:val="center"/>
          </w:tcPr>
          <w:p w14:paraId="739CD1D9" w14:textId="77777777" w:rsidR="002D068E" w:rsidRPr="00382CBA" w:rsidRDefault="001F1C34">
            <w:pPr>
              <w:jc w:val="cente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Internal Rate of Return</w:t>
            </w:r>
          </w:p>
        </w:tc>
      </w:tr>
      <w:tr w:rsidR="002D068E" w:rsidRPr="00382CBA" w14:paraId="6303DE2E" w14:textId="77777777">
        <w:trPr>
          <w:trHeight w:val="336"/>
        </w:trPr>
        <w:tc>
          <w:tcPr>
            <w:tcW w:w="0" w:type="auto"/>
            <w:tcBorders>
              <w:top w:val="single" w:sz="4" w:space="0" w:color="000000"/>
              <w:left w:val="single" w:sz="4" w:space="0" w:color="000000"/>
              <w:bottom w:val="single" w:sz="4" w:space="0" w:color="000000"/>
              <w:right w:val="single" w:sz="4" w:space="0" w:color="000000"/>
            </w:tcBorders>
            <w:noWrap/>
            <w:vAlign w:val="center"/>
          </w:tcPr>
          <w:p w14:paraId="34671B9C"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Projects</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729B0DA1"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A</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4166D126"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B</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20727BCB"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C</w:t>
            </w:r>
          </w:p>
        </w:tc>
      </w:tr>
      <w:tr w:rsidR="002D068E" w:rsidRPr="00382CBA" w14:paraId="342766D9" w14:textId="77777777">
        <w:trPr>
          <w:trHeight w:val="336"/>
        </w:trPr>
        <w:tc>
          <w:tcPr>
            <w:tcW w:w="0" w:type="auto"/>
            <w:tcBorders>
              <w:top w:val="single" w:sz="4" w:space="0" w:color="000000"/>
              <w:left w:val="single" w:sz="4" w:space="0" w:color="000000"/>
              <w:bottom w:val="single" w:sz="4" w:space="0" w:color="000000"/>
              <w:right w:val="single" w:sz="4" w:space="0" w:color="000000"/>
            </w:tcBorders>
            <w:noWrap/>
            <w:vAlign w:val="center"/>
          </w:tcPr>
          <w:p w14:paraId="266F76D6" w14:textId="77777777" w:rsidR="002D068E" w:rsidRPr="00382CBA" w:rsidRDefault="001F1C34">
            <w:pPr>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Year</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1D2EA757"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Cash Flows (£M)</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21D685E8"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Cash Flows (£M)</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3DDBCBD4"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Cash Flows (£M)</w:t>
            </w:r>
          </w:p>
        </w:tc>
      </w:tr>
      <w:tr w:rsidR="002D068E" w:rsidRPr="00382CBA" w14:paraId="64840986" w14:textId="77777777">
        <w:trPr>
          <w:trHeight w:val="336"/>
        </w:trPr>
        <w:tc>
          <w:tcPr>
            <w:tcW w:w="0" w:type="auto"/>
            <w:tcBorders>
              <w:top w:val="single" w:sz="4" w:space="0" w:color="000000"/>
              <w:left w:val="single" w:sz="4" w:space="0" w:color="000000"/>
              <w:bottom w:val="single" w:sz="4" w:space="0" w:color="000000"/>
              <w:right w:val="single" w:sz="4" w:space="0" w:color="000000"/>
            </w:tcBorders>
            <w:noWrap/>
            <w:vAlign w:val="center"/>
          </w:tcPr>
          <w:p w14:paraId="66A15CB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0</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576E8FB4"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478BC13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577FFFC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-50</w:t>
            </w:r>
          </w:p>
        </w:tc>
      </w:tr>
      <w:tr w:rsidR="002D068E" w:rsidRPr="00382CBA" w14:paraId="45FC4345" w14:textId="77777777">
        <w:trPr>
          <w:trHeight w:val="336"/>
        </w:trPr>
        <w:tc>
          <w:tcPr>
            <w:tcW w:w="0" w:type="auto"/>
            <w:tcBorders>
              <w:top w:val="single" w:sz="4" w:space="0" w:color="000000"/>
              <w:left w:val="single" w:sz="4" w:space="0" w:color="000000"/>
              <w:bottom w:val="single" w:sz="4" w:space="0" w:color="000000"/>
              <w:right w:val="single" w:sz="4" w:space="0" w:color="000000"/>
            </w:tcBorders>
            <w:noWrap/>
            <w:vAlign w:val="center"/>
          </w:tcPr>
          <w:p w14:paraId="386E352B"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76FA8424"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03AC4AE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03C209B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w:t>
            </w:r>
          </w:p>
        </w:tc>
      </w:tr>
      <w:tr w:rsidR="002D068E" w:rsidRPr="00382CBA" w14:paraId="31F3C73B" w14:textId="77777777">
        <w:trPr>
          <w:trHeight w:val="336"/>
        </w:trPr>
        <w:tc>
          <w:tcPr>
            <w:tcW w:w="0" w:type="auto"/>
            <w:tcBorders>
              <w:top w:val="single" w:sz="4" w:space="0" w:color="000000"/>
              <w:left w:val="single" w:sz="4" w:space="0" w:color="000000"/>
              <w:bottom w:val="single" w:sz="4" w:space="0" w:color="000000"/>
              <w:right w:val="single" w:sz="4" w:space="0" w:color="000000"/>
            </w:tcBorders>
            <w:noWrap/>
            <w:vAlign w:val="center"/>
          </w:tcPr>
          <w:p w14:paraId="79AD7CF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0F9FF3D7"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12</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065A25F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4B706587"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r>
      <w:tr w:rsidR="002D068E" w:rsidRPr="00382CBA" w14:paraId="086F3D71" w14:textId="77777777">
        <w:trPr>
          <w:trHeight w:val="336"/>
        </w:trPr>
        <w:tc>
          <w:tcPr>
            <w:tcW w:w="0" w:type="auto"/>
            <w:tcBorders>
              <w:top w:val="single" w:sz="4" w:space="0" w:color="000000"/>
              <w:left w:val="single" w:sz="4" w:space="0" w:color="000000"/>
              <w:bottom w:val="single" w:sz="4" w:space="0" w:color="000000"/>
              <w:right w:val="single" w:sz="4" w:space="0" w:color="000000"/>
            </w:tcBorders>
            <w:noWrap/>
            <w:vAlign w:val="center"/>
          </w:tcPr>
          <w:p w14:paraId="702EFE71"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3</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55E4375A"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14</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2F2C4CB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5188CEB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20</w:t>
            </w:r>
          </w:p>
        </w:tc>
      </w:tr>
      <w:tr w:rsidR="002D068E" w:rsidRPr="00382CBA" w14:paraId="5750E990" w14:textId="77777777">
        <w:trPr>
          <w:trHeight w:val="336"/>
        </w:trPr>
        <w:tc>
          <w:tcPr>
            <w:tcW w:w="0" w:type="auto"/>
            <w:tcBorders>
              <w:top w:val="single" w:sz="4" w:space="0" w:color="000000"/>
              <w:left w:val="single" w:sz="4" w:space="0" w:color="000000"/>
              <w:bottom w:val="single" w:sz="4" w:space="0" w:color="000000"/>
              <w:right w:val="single" w:sz="4" w:space="0" w:color="000000"/>
            </w:tcBorders>
            <w:noWrap/>
            <w:vAlign w:val="center"/>
          </w:tcPr>
          <w:p w14:paraId="2E94CE4D"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4</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1DBB26EF"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10</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2FD152D3"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0C6344BE"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25</w:t>
            </w:r>
          </w:p>
        </w:tc>
      </w:tr>
      <w:tr w:rsidR="002D068E" w:rsidRPr="00382CBA" w14:paraId="676F6B2F" w14:textId="77777777">
        <w:trPr>
          <w:trHeight w:val="336"/>
        </w:trPr>
        <w:tc>
          <w:tcPr>
            <w:tcW w:w="0" w:type="auto"/>
            <w:tcBorders>
              <w:top w:val="single" w:sz="4" w:space="0" w:color="000000"/>
              <w:left w:val="single" w:sz="4" w:space="0" w:color="000000"/>
              <w:bottom w:val="single" w:sz="4" w:space="0" w:color="000000"/>
              <w:right w:val="single" w:sz="4" w:space="0" w:color="000000"/>
            </w:tcBorders>
            <w:noWrap/>
            <w:vAlign w:val="center"/>
          </w:tcPr>
          <w:p w14:paraId="561D3086"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38DB5E25"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8</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52B786A2"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11</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65B4E2D8" w14:textId="77777777" w:rsidR="002D068E" w:rsidRPr="00382CBA" w:rsidRDefault="001F1C34">
            <w:pPr>
              <w:jc w:val="right"/>
              <w:textAlignment w:val="center"/>
              <w:rPr>
                <w:rFonts w:ascii="Arial Regular" w:eastAsia="Times New Roman Regular" w:hAnsi="Arial Regular" w:cs="Arial Regular"/>
                <w:color w:val="000000"/>
                <w:szCs w:val="24"/>
                <w:lang w:val="en-GB"/>
              </w:rPr>
            </w:pPr>
            <w:r w:rsidRPr="00382CBA">
              <w:rPr>
                <w:rFonts w:ascii="Arial Regular" w:eastAsia="Times New Roman Regular" w:hAnsi="Arial Regular" w:cs="Arial Regular"/>
                <w:color w:val="000000"/>
                <w:szCs w:val="24"/>
                <w:lang w:val="en-GB" w:bidi="ar"/>
              </w:rPr>
              <w:t>5</w:t>
            </w:r>
          </w:p>
        </w:tc>
      </w:tr>
      <w:tr w:rsidR="002D068E" w:rsidRPr="00382CBA" w14:paraId="452DF114" w14:textId="77777777">
        <w:trPr>
          <w:trHeight w:val="336"/>
        </w:trPr>
        <w:tc>
          <w:tcPr>
            <w:tcW w:w="0" w:type="auto"/>
            <w:tcBorders>
              <w:top w:val="single" w:sz="4" w:space="0" w:color="000000"/>
              <w:left w:val="single" w:sz="4" w:space="0" w:color="000000"/>
              <w:bottom w:val="single" w:sz="4" w:space="0" w:color="000000"/>
              <w:right w:val="single" w:sz="4" w:space="0" w:color="000000"/>
            </w:tcBorders>
            <w:noWrap/>
            <w:vAlign w:val="center"/>
          </w:tcPr>
          <w:p w14:paraId="386FC770" w14:textId="77777777" w:rsidR="002D068E" w:rsidRPr="00382CBA" w:rsidRDefault="001F1C34">
            <w:pPr>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IRR</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3342D39A"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2.72%</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25BC9277"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3.26%</w:t>
            </w:r>
          </w:p>
        </w:tc>
        <w:tc>
          <w:tcPr>
            <w:tcW w:w="0" w:type="auto"/>
            <w:tcBorders>
              <w:top w:val="single" w:sz="4" w:space="0" w:color="000000"/>
              <w:left w:val="single" w:sz="4" w:space="0" w:color="000000"/>
              <w:bottom w:val="single" w:sz="4" w:space="0" w:color="000000"/>
              <w:right w:val="single" w:sz="4" w:space="0" w:color="000000"/>
            </w:tcBorders>
            <w:noWrap/>
            <w:vAlign w:val="center"/>
          </w:tcPr>
          <w:p w14:paraId="4E4B98B3" w14:textId="77777777" w:rsidR="002D068E" w:rsidRPr="00382CBA" w:rsidRDefault="001F1C34">
            <w:pPr>
              <w:jc w:val="right"/>
              <w:textAlignment w:val="center"/>
              <w:rPr>
                <w:rFonts w:ascii="Arial Regular" w:eastAsia="Times New Roman Regular" w:hAnsi="Arial Regular" w:cs="Arial Regular"/>
                <w:b/>
                <w:bCs/>
                <w:color w:val="000000"/>
                <w:szCs w:val="24"/>
                <w:lang w:val="en-GB"/>
              </w:rPr>
            </w:pPr>
            <w:r w:rsidRPr="00382CBA">
              <w:rPr>
                <w:rFonts w:ascii="Arial Regular" w:eastAsia="Times New Roman Regular" w:hAnsi="Arial Regular" w:cs="Arial Regular"/>
                <w:b/>
                <w:bCs/>
                <w:color w:val="000000"/>
                <w:szCs w:val="24"/>
                <w:lang w:val="en-GB" w:bidi="ar"/>
              </w:rPr>
              <w:t>8.59%</w:t>
            </w:r>
          </w:p>
        </w:tc>
      </w:tr>
    </w:tbl>
    <w:p w14:paraId="0E86753E" w14:textId="77777777" w:rsidR="002D068E" w:rsidRPr="00382CBA" w:rsidRDefault="002D068E">
      <w:pPr>
        <w:rPr>
          <w:rFonts w:ascii="Arial Regular" w:eastAsia="SimSun" w:hAnsi="Arial Regular" w:cs="Arial Regular"/>
          <w:szCs w:val="24"/>
          <w:lang w:val="en-GB" w:bidi="ar"/>
        </w:rPr>
      </w:pPr>
    </w:p>
    <w:p w14:paraId="574C915B" w14:textId="77777777" w:rsidR="002D068E" w:rsidRPr="00382CBA" w:rsidRDefault="002D068E">
      <w:pPr>
        <w:rPr>
          <w:rFonts w:ascii="SimSun" w:eastAsia="SimSun" w:hAnsi="SimSun" w:cs="SimSun"/>
          <w:szCs w:val="24"/>
          <w:lang w:val="en-GB" w:bidi="ar"/>
        </w:rPr>
      </w:pPr>
    </w:p>
    <w:sectPr w:rsidR="002D068E" w:rsidRPr="00382CBA">
      <w:pgSz w:w="16838" w:h="11906" w:orient="landscape"/>
      <w:pgMar w:top="1800" w:right="1440" w:bottom="180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A6AC22" w14:textId="77777777" w:rsidR="00047541" w:rsidRDefault="00047541">
      <w:r>
        <w:separator/>
      </w:r>
    </w:p>
  </w:endnote>
  <w:endnote w:type="continuationSeparator" w:id="0">
    <w:p w14:paraId="3D6899F9" w14:textId="77777777" w:rsidR="00047541" w:rsidRDefault="000475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MT">
    <w:altName w:val="Arial"/>
    <w:charset w:val="01"/>
    <w:family w:val="swiss"/>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egular">
    <w:altName w:val="Times New Roman"/>
    <w:charset w:val="00"/>
    <w:family w:val="auto"/>
    <w:pitch w:val="default"/>
    <w:sig w:usb0="00000000" w:usb1="00007843" w:usb2="00000001" w:usb3="00000000" w:csb0="400001BF" w:csb1="DFF70000"/>
  </w:font>
  <w:font w:name="Arial Bold Italic">
    <w:panose1 w:val="020B0704020202090204"/>
    <w:charset w:val="00"/>
    <w:family w:val="auto"/>
    <w:pitch w:val="default"/>
    <w:sig w:usb0="E0000AFF" w:usb1="00007843" w:usb2="00000001" w:usb3="00000000" w:csb0="400001BF" w:csb1="DFF70000"/>
  </w:font>
  <w:font w:name="Times New Roman Regular">
    <w:charset w:val="00"/>
    <w:family w:val="auto"/>
    <w:pitch w:val="default"/>
    <w:sig w:usb0="E0000AFF" w:usb1="00007843" w:usb2="00000001" w:usb3="00000000" w:csb0="400001BF" w:csb1="DFF7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7790320"/>
      <w:docPartObj>
        <w:docPartGallery w:val="Page Numbers (Bottom of Page)"/>
        <w:docPartUnique/>
      </w:docPartObj>
    </w:sdtPr>
    <w:sdtEndPr>
      <w:rPr>
        <w:noProof/>
        <w:sz w:val="24"/>
        <w:szCs w:val="24"/>
      </w:rPr>
    </w:sdtEndPr>
    <w:sdtContent>
      <w:p w14:paraId="72B3F1E0" w14:textId="4BA8CAE3" w:rsidR="009D4DA0" w:rsidRPr="009D4DA0" w:rsidRDefault="009D4DA0">
        <w:pPr>
          <w:pStyle w:val="Footer"/>
          <w:jc w:val="center"/>
          <w:rPr>
            <w:sz w:val="24"/>
            <w:szCs w:val="24"/>
          </w:rPr>
        </w:pPr>
        <w:r w:rsidRPr="009D4DA0">
          <w:rPr>
            <w:sz w:val="24"/>
            <w:szCs w:val="24"/>
          </w:rPr>
          <w:fldChar w:fldCharType="begin"/>
        </w:r>
        <w:r w:rsidRPr="009D4DA0">
          <w:rPr>
            <w:sz w:val="24"/>
            <w:szCs w:val="24"/>
          </w:rPr>
          <w:instrText xml:space="preserve"> PAGE   \* MERGEFORMAT </w:instrText>
        </w:r>
        <w:r w:rsidRPr="009D4DA0">
          <w:rPr>
            <w:sz w:val="24"/>
            <w:szCs w:val="24"/>
          </w:rPr>
          <w:fldChar w:fldCharType="separate"/>
        </w:r>
        <w:r w:rsidRPr="009D4DA0">
          <w:rPr>
            <w:noProof/>
            <w:sz w:val="24"/>
            <w:szCs w:val="24"/>
          </w:rPr>
          <w:t>2</w:t>
        </w:r>
        <w:r w:rsidRPr="009D4DA0">
          <w:rPr>
            <w:noProof/>
            <w:sz w:val="24"/>
            <w:szCs w:val="24"/>
          </w:rPr>
          <w:fldChar w:fldCharType="end"/>
        </w:r>
      </w:p>
    </w:sdtContent>
  </w:sdt>
  <w:p w14:paraId="1D5B949F" w14:textId="77777777" w:rsidR="009D4DA0" w:rsidRDefault="009D4D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F3066" w14:textId="77777777" w:rsidR="00047541" w:rsidRDefault="00047541">
      <w:r>
        <w:separator/>
      </w:r>
    </w:p>
  </w:footnote>
  <w:footnote w:type="continuationSeparator" w:id="0">
    <w:p w14:paraId="5B538F43" w14:textId="77777777" w:rsidR="00047541" w:rsidRDefault="000475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EF1B5749"/>
    <w:multiLevelType w:val="singleLevel"/>
    <w:tmpl w:val="EF1B5749"/>
    <w:lvl w:ilvl="0">
      <w:start w:val="1"/>
      <w:numFmt w:val="decimal"/>
      <w:suff w:val="space"/>
      <w:lvlText w:val="%1."/>
      <w:lvlJc w:val="left"/>
    </w:lvl>
  </w:abstractNum>
  <w:num w:numId="1" w16cid:durableId="1499924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rawingGridVerticalSpacing w:val="156"/>
  <w:noPunctuationKerning/>
  <w:characterSpacingControl w:val="doNotCompress"/>
  <w:hdrShapeDefaults>
    <o:shapedefaults v:ext="edit" spidmax="2050"/>
  </w:hdrShapeDefault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71E5AF56"/>
    <w:rsid w:val="00006D6B"/>
    <w:rsid w:val="00047541"/>
    <w:rsid w:val="001F1C34"/>
    <w:rsid w:val="0023087B"/>
    <w:rsid w:val="002D068E"/>
    <w:rsid w:val="00382CBA"/>
    <w:rsid w:val="00393471"/>
    <w:rsid w:val="0055373A"/>
    <w:rsid w:val="0068718B"/>
    <w:rsid w:val="00713FB2"/>
    <w:rsid w:val="00765E17"/>
    <w:rsid w:val="008E4747"/>
    <w:rsid w:val="00971E88"/>
    <w:rsid w:val="009A4171"/>
    <w:rsid w:val="009D4DA0"/>
    <w:rsid w:val="00A10F2E"/>
    <w:rsid w:val="00A64D72"/>
    <w:rsid w:val="00AF2E47"/>
    <w:rsid w:val="00B6169B"/>
    <w:rsid w:val="00CB5B87"/>
    <w:rsid w:val="00E505E7"/>
    <w:rsid w:val="00FB4151"/>
    <w:rsid w:val="00FB7C22"/>
    <w:rsid w:val="00FE6690"/>
    <w:rsid w:val="00FF6096"/>
    <w:rsid w:val="03FF1700"/>
    <w:rsid w:val="075BA8DC"/>
    <w:rsid w:val="0ADCD663"/>
    <w:rsid w:val="0AEDB8E2"/>
    <w:rsid w:val="0EEED3F7"/>
    <w:rsid w:val="173371EB"/>
    <w:rsid w:val="1765EC85"/>
    <w:rsid w:val="1AFD77B1"/>
    <w:rsid w:val="1B4B222A"/>
    <w:rsid w:val="1CAE8F03"/>
    <w:rsid w:val="1CDEEE51"/>
    <w:rsid w:val="1DF05D34"/>
    <w:rsid w:val="1EA9CC75"/>
    <w:rsid w:val="1F67D57D"/>
    <w:rsid w:val="1F7F0BB3"/>
    <w:rsid w:val="1FFBFB53"/>
    <w:rsid w:val="1FFF1272"/>
    <w:rsid w:val="22B70620"/>
    <w:rsid w:val="243FF74E"/>
    <w:rsid w:val="25A63F36"/>
    <w:rsid w:val="25B77C43"/>
    <w:rsid w:val="26FA45D7"/>
    <w:rsid w:val="27F9C1CB"/>
    <w:rsid w:val="2922486D"/>
    <w:rsid w:val="29D8D350"/>
    <w:rsid w:val="2BDB49F7"/>
    <w:rsid w:val="2BFF93CB"/>
    <w:rsid w:val="2CFEE998"/>
    <w:rsid w:val="2CFFD34C"/>
    <w:rsid w:val="2DEBD862"/>
    <w:rsid w:val="2DEFCD4B"/>
    <w:rsid w:val="2E2FDB7D"/>
    <w:rsid w:val="2EAF376E"/>
    <w:rsid w:val="2ED53345"/>
    <w:rsid w:val="2EFFCE93"/>
    <w:rsid w:val="2F7EA7B0"/>
    <w:rsid w:val="2F8DA613"/>
    <w:rsid w:val="2FCA5F27"/>
    <w:rsid w:val="31BF9324"/>
    <w:rsid w:val="3336650C"/>
    <w:rsid w:val="33BBF2EE"/>
    <w:rsid w:val="33EDFE8A"/>
    <w:rsid w:val="35AF4129"/>
    <w:rsid w:val="3658908D"/>
    <w:rsid w:val="36BF20A5"/>
    <w:rsid w:val="36FF922A"/>
    <w:rsid w:val="37172BCF"/>
    <w:rsid w:val="3767D650"/>
    <w:rsid w:val="37BF6A27"/>
    <w:rsid w:val="37D56BB1"/>
    <w:rsid w:val="37FEA5E0"/>
    <w:rsid w:val="389FB251"/>
    <w:rsid w:val="395F7E71"/>
    <w:rsid w:val="39FFF98B"/>
    <w:rsid w:val="3A7D8C58"/>
    <w:rsid w:val="3ABD6A13"/>
    <w:rsid w:val="3AFFCF89"/>
    <w:rsid w:val="3B464EEA"/>
    <w:rsid w:val="3BAEBC0E"/>
    <w:rsid w:val="3BB5122C"/>
    <w:rsid w:val="3BD76295"/>
    <w:rsid w:val="3CBFE3C7"/>
    <w:rsid w:val="3D3E185B"/>
    <w:rsid w:val="3D4699B8"/>
    <w:rsid w:val="3D6F4005"/>
    <w:rsid w:val="3DEA3B50"/>
    <w:rsid w:val="3DEF07D0"/>
    <w:rsid w:val="3DEF5D44"/>
    <w:rsid w:val="3DF55EF9"/>
    <w:rsid w:val="3DF9E05A"/>
    <w:rsid w:val="3DFFA85B"/>
    <w:rsid w:val="3E51E8D9"/>
    <w:rsid w:val="3EC7C506"/>
    <w:rsid w:val="3F1974D0"/>
    <w:rsid w:val="3F3A6993"/>
    <w:rsid w:val="3F661EC9"/>
    <w:rsid w:val="3F6D4020"/>
    <w:rsid w:val="3FAED188"/>
    <w:rsid w:val="3FBB47D9"/>
    <w:rsid w:val="3FBF1029"/>
    <w:rsid w:val="3FC61821"/>
    <w:rsid w:val="3FCA6A36"/>
    <w:rsid w:val="3FCF4BEF"/>
    <w:rsid w:val="3FD79173"/>
    <w:rsid w:val="3FDFCAAD"/>
    <w:rsid w:val="3FE73C3A"/>
    <w:rsid w:val="3FF10148"/>
    <w:rsid w:val="3FF6E587"/>
    <w:rsid w:val="3FF92A68"/>
    <w:rsid w:val="3FF9997A"/>
    <w:rsid w:val="3FFB1B15"/>
    <w:rsid w:val="3FFC6761"/>
    <w:rsid w:val="3FFD5F99"/>
    <w:rsid w:val="3FFF11B3"/>
    <w:rsid w:val="41FDE9AF"/>
    <w:rsid w:val="43CFEDC5"/>
    <w:rsid w:val="43EFE513"/>
    <w:rsid w:val="43FB512C"/>
    <w:rsid w:val="44F70EAC"/>
    <w:rsid w:val="45D2D9E1"/>
    <w:rsid w:val="46BFA6F5"/>
    <w:rsid w:val="46FD0EBE"/>
    <w:rsid w:val="47D73C26"/>
    <w:rsid w:val="47FDB6A2"/>
    <w:rsid w:val="4AB19B55"/>
    <w:rsid w:val="4AFDC14B"/>
    <w:rsid w:val="4B7D8EB2"/>
    <w:rsid w:val="4B7F0AF7"/>
    <w:rsid w:val="4B9FF752"/>
    <w:rsid w:val="4BB5F6DC"/>
    <w:rsid w:val="4BD764AF"/>
    <w:rsid w:val="4BED700C"/>
    <w:rsid w:val="4BF7AB83"/>
    <w:rsid w:val="4BFFA172"/>
    <w:rsid w:val="4D972D2A"/>
    <w:rsid w:val="4E4D27E5"/>
    <w:rsid w:val="4EBE84F2"/>
    <w:rsid w:val="4F7FB18F"/>
    <w:rsid w:val="4FF8CCB8"/>
    <w:rsid w:val="4FFF9A7C"/>
    <w:rsid w:val="55D59AD5"/>
    <w:rsid w:val="567DAB64"/>
    <w:rsid w:val="56DB7BFC"/>
    <w:rsid w:val="56F5EDE8"/>
    <w:rsid w:val="56FFE4AD"/>
    <w:rsid w:val="572DDAA0"/>
    <w:rsid w:val="577F25C3"/>
    <w:rsid w:val="579BDA5A"/>
    <w:rsid w:val="57E93CBA"/>
    <w:rsid w:val="57F99CB4"/>
    <w:rsid w:val="57FB6370"/>
    <w:rsid w:val="58FBCC72"/>
    <w:rsid w:val="59DF6228"/>
    <w:rsid w:val="59FBEF9C"/>
    <w:rsid w:val="5AE51045"/>
    <w:rsid w:val="5AF72C4B"/>
    <w:rsid w:val="5B3DFB58"/>
    <w:rsid w:val="5B7FE435"/>
    <w:rsid w:val="5BA3A882"/>
    <w:rsid w:val="5BB4634D"/>
    <w:rsid w:val="5BBB5E4A"/>
    <w:rsid w:val="5BD68EC8"/>
    <w:rsid w:val="5BFAC58F"/>
    <w:rsid w:val="5C610B00"/>
    <w:rsid w:val="5CFE9A97"/>
    <w:rsid w:val="5D47FEBC"/>
    <w:rsid w:val="5D4F919B"/>
    <w:rsid w:val="5D590AE1"/>
    <w:rsid w:val="5DAF45DE"/>
    <w:rsid w:val="5DBF2AF1"/>
    <w:rsid w:val="5DFD3BE1"/>
    <w:rsid w:val="5EB3DC49"/>
    <w:rsid w:val="5EDD0FB9"/>
    <w:rsid w:val="5F2A2338"/>
    <w:rsid w:val="5F5A9C8A"/>
    <w:rsid w:val="5F655C56"/>
    <w:rsid w:val="5F7B1A19"/>
    <w:rsid w:val="5F7C709F"/>
    <w:rsid w:val="5F7D83C6"/>
    <w:rsid w:val="5F9E04F0"/>
    <w:rsid w:val="5F9F2432"/>
    <w:rsid w:val="5FA721B9"/>
    <w:rsid w:val="5FBA3FA3"/>
    <w:rsid w:val="5FC7BE6E"/>
    <w:rsid w:val="5FCEAB50"/>
    <w:rsid w:val="5FDF2790"/>
    <w:rsid w:val="5FDF5AB0"/>
    <w:rsid w:val="5FEFC734"/>
    <w:rsid w:val="5FEFD93D"/>
    <w:rsid w:val="5FF67EC3"/>
    <w:rsid w:val="5FFB7D49"/>
    <w:rsid w:val="5FFCDF55"/>
    <w:rsid w:val="5FFF35FF"/>
    <w:rsid w:val="5FFFA147"/>
    <w:rsid w:val="5FFFA3ED"/>
    <w:rsid w:val="5FFFEC72"/>
    <w:rsid w:val="5FFFF1A8"/>
    <w:rsid w:val="60DF8C41"/>
    <w:rsid w:val="617FEE90"/>
    <w:rsid w:val="62E34385"/>
    <w:rsid w:val="63706E6A"/>
    <w:rsid w:val="638DEE69"/>
    <w:rsid w:val="63ED4EDF"/>
    <w:rsid w:val="63F7C52D"/>
    <w:rsid w:val="63F9ECFA"/>
    <w:rsid w:val="63FD40A5"/>
    <w:rsid w:val="653D559B"/>
    <w:rsid w:val="66E6140D"/>
    <w:rsid w:val="677F2542"/>
    <w:rsid w:val="67991728"/>
    <w:rsid w:val="67E77541"/>
    <w:rsid w:val="67F3C8CA"/>
    <w:rsid w:val="67FAA7A4"/>
    <w:rsid w:val="689F91FC"/>
    <w:rsid w:val="6977D1CE"/>
    <w:rsid w:val="69D3F6B9"/>
    <w:rsid w:val="6A6F5772"/>
    <w:rsid w:val="6A7EDC9F"/>
    <w:rsid w:val="6BB649E3"/>
    <w:rsid w:val="6BEA3F3A"/>
    <w:rsid w:val="6BFBD50F"/>
    <w:rsid w:val="6BFE02CB"/>
    <w:rsid w:val="6BFEAD9A"/>
    <w:rsid w:val="6D7F0AF4"/>
    <w:rsid w:val="6DBD7D41"/>
    <w:rsid w:val="6DEB862D"/>
    <w:rsid w:val="6DF13003"/>
    <w:rsid w:val="6DF22460"/>
    <w:rsid w:val="6DF9DC9E"/>
    <w:rsid w:val="6DFB63B2"/>
    <w:rsid w:val="6DFD8FE2"/>
    <w:rsid w:val="6E3D5540"/>
    <w:rsid w:val="6E772109"/>
    <w:rsid w:val="6EAD2C5C"/>
    <w:rsid w:val="6EBD2B1C"/>
    <w:rsid w:val="6EBF7C7D"/>
    <w:rsid w:val="6EF10242"/>
    <w:rsid w:val="6EF31F94"/>
    <w:rsid w:val="6EFF8FCA"/>
    <w:rsid w:val="6EFFE2A7"/>
    <w:rsid w:val="6F0FE938"/>
    <w:rsid w:val="6F7A691D"/>
    <w:rsid w:val="6F7DAE0D"/>
    <w:rsid w:val="6FBDCC79"/>
    <w:rsid w:val="6FBFC3D2"/>
    <w:rsid w:val="6FC55376"/>
    <w:rsid w:val="6FCA82AD"/>
    <w:rsid w:val="6FDE0FC3"/>
    <w:rsid w:val="6FE44863"/>
    <w:rsid w:val="6FE5A087"/>
    <w:rsid w:val="6FEE4773"/>
    <w:rsid w:val="6FEF1E9B"/>
    <w:rsid w:val="6FF50336"/>
    <w:rsid w:val="6FF75587"/>
    <w:rsid w:val="6FFB3E9E"/>
    <w:rsid w:val="6FFB46A6"/>
    <w:rsid w:val="6FFD8984"/>
    <w:rsid w:val="6FFDF068"/>
    <w:rsid w:val="6FFE5835"/>
    <w:rsid w:val="6FFFFE58"/>
    <w:rsid w:val="71E5AF56"/>
    <w:rsid w:val="739F7652"/>
    <w:rsid w:val="73C7EA40"/>
    <w:rsid w:val="73FE6433"/>
    <w:rsid w:val="73FF70C7"/>
    <w:rsid w:val="73FFCD73"/>
    <w:rsid w:val="73FFFDE3"/>
    <w:rsid w:val="74DA32BC"/>
    <w:rsid w:val="753970EF"/>
    <w:rsid w:val="753D0061"/>
    <w:rsid w:val="757975DA"/>
    <w:rsid w:val="75AFC69D"/>
    <w:rsid w:val="75BA6FA7"/>
    <w:rsid w:val="75BF3B55"/>
    <w:rsid w:val="75E7A199"/>
    <w:rsid w:val="75EFBA6D"/>
    <w:rsid w:val="75FD9B42"/>
    <w:rsid w:val="75FFEB90"/>
    <w:rsid w:val="767F5226"/>
    <w:rsid w:val="767FA5A6"/>
    <w:rsid w:val="767FB266"/>
    <w:rsid w:val="769735D2"/>
    <w:rsid w:val="76D77588"/>
    <w:rsid w:val="76EFECAC"/>
    <w:rsid w:val="76F79008"/>
    <w:rsid w:val="76FD29C1"/>
    <w:rsid w:val="76FF24C9"/>
    <w:rsid w:val="7717D1C6"/>
    <w:rsid w:val="773C9D88"/>
    <w:rsid w:val="773E0177"/>
    <w:rsid w:val="774B4742"/>
    <w:rsid w:val="774DCF91"/>
    <w:rsid w:val="777B21A9"/>
    <w:rsid w:val="777FE846"/>
    <w:rsid w:val="77894780"/>
    <w:rsid w:val="7797336D"/>
    <w:rsid w:val="77AEA560"/>
    <w:rsid w:val="77B1A854"/>
    <w:rsid w:val="77B72687"/>
    <w:rsid w:val="77D23148"/>
    <w:rsid w:val="77DCEFDF"/>
    <w:rsid w:val="77E3C5A1"/>
    <w:rsid w:val="77EB1C9F"/>
    <w:rsid w:val="77EFC5AF"/>
    <w:rsid w:val="77F68302"/>
    <w:rsid w:val="77F736C7"/>
    <w:rsid w:val="77FB481B"/>
    <w:rsid w:val="77FC5F5E"/>
    <w:rsid w:val="77FCF873"/>
    <w:rsid w:val="77FEA221"/>
    <w:rsid w:val="77FF809A"/>
    <w:rsid w:val="78738CB3"/>
    <w:rsid w:val="78FB4970"/>
    <w:rsid w:val="7974A551"/>
    <w:rsid w:val="797745CC"/>
    <w:rsid w:val="797F3549"/>
    <w:rsid w:val="797FF08F"/>
    <w:rsid w:val="79F78BBA"/>
    <w:rsid w:val="79FFB076"/>
    <w:rsid w:val="7ADF4111"/>
    <w:rsid w:val="7AE7C194"/>
    <w:rsid w:val="7AF73CCF"/>
    <w:rsid w:val="7AF78B18"/>
    <w:rsid w:val="7AFA6B11"/>
    <w:rsid w:val="7AFC8752"/>
    <w:rsid w:val="7AFF530F"/>
    <w:rsid w:val="7B1F9D98"/>
    <w:rsid w:val="7B75A6C7"/>
    <w:rsid w:val="7B7FE921"/>
    <w:rsid w:val="7B8D7099"/>
    <w:rsid w:val="7B9F195C"/>
    <w:rsid w:val="7BAFC1C0"/>
    <w:rsid w:val="7BB3C50E"/>
    <w:rsid w:val="7BB9EE75"/>
    <w:rsid w:val="7BBF7D9B"/>
    <w:rsid w:val="7BF7C310"/>
    <w:rsid w:val="7BFBAB35"/>
    <w:rsid w:val="7BFDA37D"/>
    <w:rsid w:val="7BFF06FB"/>
    <w:rsid w:val="7BFF3815"/>
    <w:rsid w:val="7BFF7C01"/>
    <w:rsid w:val="7BFF8563"/>
    <w:rsid w:val="7C761E92"/>
    <w:rsid w:val="7CDD26C5"/>
    <w:rsid w:val="7CE71C81"/>
    <w:rsid w:val="7CFB1932"/>
    <w:rsid w:val="7D5F1EE8"/>
    <w:rsid w:val="7D5FEFDA"/>
    <w:rsid w:val="7D6490D8"/>
    <w:rsid w:val="7D6DA917"/>
    <w:rsid w:val="7D7E98A0"/>
    <w:rsid w:val="7D97993C"/>
    <w:rsid w:val="7D9FB488"/>
    <w:rsid w:val="7DAEDB04"/>
    <w:rsid w:val="7DBE0251"/>
    <w:rsid w:val="7DBF875B"/>
    <w:rsid w:val="7DBFBBEE"/>
    <w:rsid w:val="7DDB77FE"/>
    <w:rsid w:val="7DDBF4BC"/>
    <w:rsid w:val="7DDE1C68"/>
    <w:rsid w:val="7DE7A985"/>
    <w:rsid w:val="7DFD63C8"/>
    <w:rsid w:val="7DFF1C47"/>
    <w:rsid w:val="7DFF25C8"/>
    <w:rsid w:val="7DFF3B42"/>
    <w:rsid w:val="7DFFA16E"/>
    <w:rsid w:val="7DFFAE26"/>
    <w:rsid w:val="7DFFE160"/>
    <w:rsid w:val="7E56B015"/>
    <w:rsid w:val="7E6EDE77"/>
    <w:rsid w:val="7E73ADE4"/>
    <w:rsid w:val="7E7FBC01"/>
    <w:rsid w:val="7E7FDE08"/>
    <w:rsid w:val="7EAF5C63"/>
    <w:rsid w:val="7EB6AC80"/>
    <w:rsid w:val="7EBED4C3"/>
    <w:rsid w:val="7ED74A89"/>
    <w:rsid w:val="7EDECC95"/>
    <w:rsid w:val="7EEEDE10"/>
    <w:rsid w:val="7EF2C92F"/>
    <w:rsid w:val="7EF2DFB1"/>
    <w:rsid w:val="7EF31263"/>
    <w:rsid w:val="7EF3EA5F"/>
    <w:rsid w:val="7EFDC9E5"/>
    <w:rsid w:val="7EFEDDD7"/>
    <w:rsid w:val="7EFF181D"/>
    <w:rsid w:val="7EFF25A3"/>
    <w:rsid w:val="7EFFB85E"/>
    <w:rsid w:val="7EFFF724"/>
    <w:rsid w:val="7EFFFF61"/>
    <w:rsid w:val="7F1BBAC6"/>
    <w:rsid w:val="7F370CDC"/>
    <w:rsid w:val="7F55709F"/>
    <w:rsid w:val="7F5F9667"/>
    <w:rsid w:val="7F770C4B"/>
    <w:rsid w:val="7F774957"/>
    <w:rsid w:val="7F77F412"/>
    <w:rsid w:val="7F786C7B"/>
    <w:rsid w:val="7F8AAB73"/>
    <w:rsid w:val="7F8F7E2F"/>
    <w:rsid w:val="7F933F34"/>
    <w:rsid w:val="7F9E249A"/>
    <w:rsid w:val="7FAF27EA"/>
    <w:rsid w:val="7FB5188A"/>
    <w:rsid w:val="7FB5A709"/>
    <w:rsid w:val="7FB7413D"/>
    <w:rsid w:val="7FB78AD7"/>
    <w:rsid w:val="7FBB82D1"/>
    <w:rsid w:val="7FC7BA3F"/>
    <w:rsid w:val="7FCBF837"/>
    <w:rsid w:val="7FD329EF"/>
    <w:rsid w:val="7FDE8EE4"/>
    <w:rsid w:val="7FDF12A1"/>
    <w:rsid w:val="7FDFAC04"/>
    <w:rsid w:val="7FDFDAC6"/>
    <w:rsid w:val="7FDFDDA1"/>
    <w:rsid w:val="7FE34CA6"/>
    <w:rsid w:val="7FEBCAF8"/>
    <w:rsid w:val="7FED116A"/>
    <w:rsid w:val="7FEFE3DB"/>
    <w:rsid w:val="7FF19E69"/>
    <w:rsid w:val="7FF1D4AB"/>
    <w:rsid w:val="7FF1E055"/>
    <w:rsid w:val="7FF95D4B"/>
    <w:rsid w:val="7FF97FE2"/>
    <w:rsid w:val="7FFB0092"/>
    <w:rsid w:val="7FFB1090"/>
    <w:rsid w:val="7FFB4D6D"/>
    <w:rsid w:val="7FFB52CA"/>
    <w:rsid w:val="7FFB7B3B"/>
    <w:rsid w:val="7FFC490B"/>
    <w:rsid w:val="7FFCC570"/>
    <w:rsid w:val="7FFDCA02"/>
    <w:rsid w:val="7FFE1EE9"/>
    <w:rsid w:val="7FFECFFE"/>
    <w:rsid w:val="7FFF1872"/>
    <w:rsid w:val="7FFF20FA"/>
    <w:rsid w:val="7FFF7A1E"/>
    <w:rsid w:val="7FFFA903"/>
    <w:rsid w:val="7FFFB13D"/>
    <w:rsid w:val="7FFFB348"/>
    <w:rsid w:val="7FFFF34C"/>
    <w:rsid w:val="7FFFF950"/>
    <w:rsid w:val="816F5311"/>
    <w:rsid w:val="85FF2D66"/>
    <w:rsid w:val="8BFF3FDC"/>
    <w:rsid w:val="8EF59AA8"/>
    <w:rsid w:val="8F27E6E8"/>
    <w:rsid w:val="8FB77132"/>
    <w:rsid w:val="8FFF95A5"/>
    <w:rsid w:val="937F4FDE"/>
    <w:rsid w:val="973B1D58"/>
    <w:rsid w:val="976605EF"/>
    <w:rsid w:val="97EEAA41"/>
    <w:rsid w:val="97F72B73"/>
    <w:rsid w:val="97FB03AA"/>
    <w:rsid w:val="97FD2C88"/>
    <w:rsid w:val="97FF6094"/>
    <w:rsid w:val="9BFF1AAA"/>
    <w:rsid w:val="9C6DBF71"/>
    <w:rsid w:val="9D5740A3"/>
    <w:rsid w:val="9D798D73"/>
    <w:rsid w:val="9DAFC640"/>
    <w:rsid w:val="9E7FA712"/>
    <w:rsid w:val="9EFD5DDE"/>
    <w:rsid w:val="9F7E7941"/>
    <w:rsid w:val="9FBFB3CA"/>
    <w:rsid w:val="9FD27AD6"/>
    <w:rsid w:val="9FDF5A7C"/>
    <w:rsid w:val="9FE978F3"/>
    <w:rsid w:val="9FF40FCE"/>
    <w:rsid w:val="9FF9E83B"/>
    <w:rsid w:val="9FFB34CD"/>
    <w:rsid w:val="9FFB7D2B"/>
    <w:rsid w:val="A03F1FBC"/>
    <w:rsid w:val="A37A840D"/>
    <w:rsid w:val="A3D57446"/>
    <w:rsid w:val="A3F75044"/>
    <w:rsid w:val="A6F33536"/>
    <w:rsid w:val="A7631D50"/>
    <w:rsid w:val="A7F9F463"/>
    <w:rsid w:val="A7FFC605"/>
    <w:rsid w:val="AB7F05DF"/>
    <w:rsid w:val="ABFFD9F6"/>
    <w:rsid w:val="ACF9F453"/>
    <w:rsid w:val="ACFD23A3"/>
    <w:rsid w:val="AE7F8905"/>
    <w:rsid w:val="AEFF3F73"/>
    <w:rsid w:val="AFD7AB85"/>
    <w:rsid w:val="AFE7197A"/>
    <w:rsid w:val="AFEF9FDA"/>
    <w:rsid w:val="AFF643FD"/>
    <w:rsid w:val="AFFA1182"/>
    <w:rsid w:val="AFFF69FA"/>
    <w:rsid w:val="B37FFBB6"/>
    <w:rsid w:val="B3DDA0C8"/>
    <w:rsid w:val="B6A30DA4"/>
    <w:rsid w:val="B73DEDFD"/>
    <w:rsid w:val="B75F8E79"/>
    <w:rsid w:val="B77F68C2"/>
    <w:rsid w:val="B7EB72A4"/>
    <w:rsid w:val="B7F7B3B3"/>
    <w:rsid w:val="B7FB6A38"/>
    <w:rsid w:val="BA6B5F68"/>
    <w:rsid w:val="BABD1928"/>
    <w:rsid w:val="BADB151B"/>
    <w:rsid w:val="BB7D6666"/>
    <w:rsid w:val="BBB5F366"/>
    <w:rsid w:val="BBBF35D6"/>
    <w:rsid w:val="BBD96AE8"/>
    <w:rsid w:val="BBEF485C"/>
    <w:rsid w:val="BCBFBB1E"/>
    <w:rsid w:val="BCDBFD1E"/>
    <w:rsid w:val="BCFB4BA6"/>
    <w:rsid w:val="BD56E973"/>
    <w:rsid w:val="BD5B3038"/>
    <w:rsid w:val="BDFAF604"/>
    <w:rsid w:val="BE4B2F70"/>
    <w:rsid w:val="BEFD8B97"/>
    <w:rsid w:val="BF475E8D"/>
    <w:rsid w:val="BF7D9423"/>
    <w:rsid w:val="BF7E27B0"/>
    <w:rsid w:val="BF7FB52D"/>
    <w:rsid w:val="BF7FBDD0"/>
    <w:rsid w:val="BF9BF138"/>
    <w:rsid w:val="BFAB97A8"/>
    <w:rsid w:val="BFAF9B31"/>
    <w:rsid w:val="BFBE4C66"/>
    <w:rsid w:val="BFBFD12C"/>
    <w:rsid w:val="BFCED32E"/>
    <w:rsid w:val="BFCFC7B6"/>
    <w:rsid w:val="BFEBE194"/>
    <w:rsid w:val="BFF249AF"/>
    <w:rsid w:val="BFF9D0BB"/>
    <w:rsid w:val="BFFE3106"/>
    <w:rsid w:val="BFFED30F"/>
    <w:rsid w:val="BFFFAA2E"/>
    <w:rsid w:val="BFFFDDD0"/>
    <w:rsid w:val="C47615B7"/>
    <w:rsid w:val="C6DF8745"/>
    <w:rsid w:val="C9FF984B"/>
    <w:rsid w:val="CA44660B"/>
    <w:rsid w:val="CC5BD5F5"/>
    <w:rsid w:val="CCCF9277"/>
    <w:rsid w:val="CD7F5863"/>
    <w:rsid w:val="CDDF10B4"/>
    <w:rsid w:val="CDF2459B"/>
    <w:rsid w:val="CDF6A686"/>
    <w:rsid w:val="CDFB075D"/>
    <w:rsid w:val="CE7DDD7F"/>
    <w:rsid w:val="CEFFA416"/>
    <w:rsid w:val="CFB75543"/>
    <w:rsid w:val="CFBF8DDC"/>
    <w:rsid w:val="D12F5AFD"/>
    <w:rsid w:val="D3DBB93E"/>
    <w:rsid w:val="D3FE473B"/>
    <w:rsid w:val="D46BA139"/>
    <w:rsid w:val="D4F7581F"/>
    <w:rsid w:val="D55F8E7D"/>
    <w:rsid w:val="D5D3CF19"/>
    <w:rsid w:val="D5E69AF7"/>
    <w:rsid w:val="D5FE9B25"/>
    <w:rsid w:val="D5FF1C21"/>
    <w:rsid w:val="D6F35B27"/>
    <w:rsid w:val="D75E28FC"/>
    <w:rsid w:val="D77B6E1A"/>
    <w:rsid w:val="D77EFD15"/>
    <w:rsid w:val="D7A71C96"/>
    <w:rsid w:val="D7EE5029"/>
    <w:rsid w:val="D7F7382E"/>
    <w:rsid w:val="D7FDC7FC"/>
    <w:rsid w:val="D9BBC2A1"/>
    <w:rsid w:val="D9BED503"/>
    <w:rsid w:val="D9CF939F"/>
    <w:rsid w:val="DAFF042F"/>
    <w:rsid w:val="DB2F5019"/>
    <w:rsid w:val="DB7BAAA7"/>
    <w:rsid w:val="DBA7E649"/>
    <w:rsid w:val="DBED19B4"/>
    <w:rsid w:val="DBEF67B2"/>
    <w:rsid w:val="DBFA0E31"/>
    <w:rsid w:val="DBFEEF8E"/>
    <w:rsid w:val="DC7B46F2"/>
    <w:rsid w:val="DC9B27A9"/>
    <w:rsid w:val="DC9F71D7"/>
    <w:rsid w:val="DCF319B1"/>
    <w:rsid w:val="DCFD6008"/>
    <w:rsid w:val="DD28F8F8"/>
    <w:rsid w:val="DD6E52F7"/>
    <w:rsid w:val="DDD225C1"/>
    <w:rsid w:val="DDD24CA3"/>
    <w:rsid w:val="DDD3D21D"/>
    <w:rsid w:val="DDD53673"/>
    <w:rsid w:val="DDEFC8DB"/>
    <w:rsid w:val="DDFEDB3A"/>
    <w:rsid w:val="DDFEFC21"/>
    <w:rsid w:val="DE5FFF11"/>
    <w:rsid w:val="DE6FE1B7"/>
    <w:rsid w:val="DEF5831B"/>
    <w:rsid w:val="DEF75A94"/>
    <w:rsid w:val="DEF79CF9"/>
    <w:rsid w:val="DEFA640E"/>
    <w:rsid w:val="DEFBA9B9"/>
    <w:rsid w:val="DEFEE223"/>
    <w:rsid w:val="DF0E17F9"/>
    <w:rsid w:val="DF3ADF66"/>
    <w:rsid w:val="DF4EF0FE"/>
    <w:rsid w:val="DF6D6412"/>
    <w:rsid w:val="DF77659F"/>
    <w:rsid w:val="DF776CDF"/>
    <w:rsid w:val="DF7BF721"/>
    <w:rsid w:val="DF8733E8"/>
    <w:rsid w:val="DF9E8B08"/>
    <w:rsid w:val="DFAE0156"/>
    <w:rsid w:val="DFBE8395"/>
    <w:rsid w:val="DFC6E2A0"/>
    <w:rsid w:val="DFC72418"/>
    <w:rsid w:val="DFCF032E"/>
    <w:rsid w:val="DFCFE955"/>
    <w:rsid w:val="DFD79743"/>
    <w:rsid w:val="DFDFA7BA"/>
    <w:rsid w:val="DFE30EEB"/>
    <w:rsid w:val="DFF6FD51"/>
    <w:rsid w:val="DFF78609"/>
    <w:rsid w:val="DFF7EA6A"/>
    <w:rsid w:val="DFFD1CA6"/>
    <w:rsid w:val="DFFE7F27"/>
    <w:rsid w:val="DFFF0932"/>
    <w:rsid w:val="DFFF61BD"/>
    <w:rsid w:val="DFFFBF75"/>
    <w:rsid w:val="DFFFDF1B"/>
    <w:rsid w:val="E29F1D51"/>
    <w:rsid w:val="E3CE3DE1"/>
    <w:rsid w:val="E3DE5B5A"/>
    <w:rsid w:val="E3EEE0A5"/>
    <w:rsid w:val="E56C69B7"/>
    <w:rsid w:val="E5BF730F"/>
    <w:rsid w:val="E5DA2F36"/>
    <w:rsid w:val="E5EFFE00"/>
    <w:rsid w:val="E5FD1575"/>
    <w:rsid w:val="E5FF80F1"/>
    <w:rsid w:val="E657A3D0"/>
    <w:rsid w:val="E6CFC30E"/>
    <w:rsid w:val="E6E8B49C"/>
    <w:rsid w:val="E77C2AA0"/>
    <w:rsid w:val="E7D571AB"/>
    <w:rsid w:val="E7F68593"/>
    <w:rsid w:val="E7F7B9B2"/>
    <w:rsid w:val="E7FE2059"/>
    <w:rsid w:val="E8DD7830"/>
    <w:rsid w:val="E9DF201A"/>
    <w:rsid w:val="E9FF4A08"/>
    <w:rsid w:val="EA3FA457"/>
    <w:rsid w:val="EAA7304A"/>
    <w:rsid w:val="EAD66F14"/>
    <w:rsid w:val="EAEDBB1B"/>
    <w:rsid w:val="EAFDA960"/>
    <w:rsid w:val="EB3ED147"/>
    <w:rsid w:val="EB3F819E"/>
    <w:rsid w:val="EB97013E"/>
    <w:rsid w:val="EB9FA3D3"/>
    <w:rsid w:val="EBB8C151"/>
    <w:rsid w:val="EBD7EE3F"/>
    <w:rsid w:val="ECFEF193"/>
    <w:rsid w:val="ED771D25"/>
    <w:rsid w:val="EDAF1DCD"/>
    <w:rsid w:val="EDBE4F30"/>
    <w:rsid w:val="EDDF0D5E"/>
    <w:rsid w:val="EDDFD860"/>
    <w:rsid w:val="EE773473"/>
    <w:rsid w:val="EE7DB7FF"/>
    <w:rsid w:val="EE7E8E89"/>
    <w:rsid w:val="EF1FC396"/>
    <w:rsid w:val="EF7656F8"/>
    <w:rsid w:val="EF778A03"/>
    <w:rsid w:val="EF7D1614"/>
    <w:rsid w:val="EF7FF7F8"/>
    <w:rsid w:val="EFBE3898"/>
    <w:rsid w:val="EFC95A39"/>
    <w:rsid w:val="EFE57A2B"/>
    <w:rsid w:val="EFF65BE4"/>
    <w:rsid w:val="EFF70E8B"/>
    <w:rsid w:val="EFF8D63B"/>
    <w:rsid w:val="EFFCC324"/>
    <w:rsid w:val="EFFD9025"/>
    <w:rsid w:val="EFFFCAE2"/>
    <w:rsid w:val="F12EE90E"/>
    <w:rsid w:val="F17EA83E"/>
    <w:rsid w:val="F1B59331"/>
    <w:rsid w:val="F1DFD812"/>
    <w:rsid w:val="F28559ED"/>
    <w:rsid w:val="F2F7B9D6"/>
    <w:rsid w:val="F3CD55CB"/>
    <w:rsid w:val="F3FA33B2"/>
    <w:rsid w:val="F4FFAF0A"/>
    <w:rsid w:val="F57DBB8C"/>
    <w:rsid w:val="F5BBFA2A"/>
    <w:rsid w:val="F5EF1E86"/>
    <w:rsid w:val="F5FC7E49"/>
    <w:rsid w:val="F5FDD990"/>
    <w:rsid w:val="F5FE5C49"/>
    <w:rsid w:val="F5FFC6C9"/>
    <w:rsid w:val="F6B91046"/>
    <w:rsid w:val="F6BB0F94"/>
    <w:rsid w:val="F6CFB55D"/>
    <w:rsid w:val="F6D792E8"/>
    <w:rsid w:val="F6EE052C"/>
    <w:rsid w:val="F6EF9ED0"/>
    <w:rsid w:val="F6F52E7B"/>
    <w:rsid w:val="F6F9B577"/>
    <w:rsid w:val="F6FAF10D"/>
    <w:rsid w:val="F6FB17A3"/>
    <w:rsid w:val="F74ECF96"/>
    <w:rsid w:val="F75CE4D7"/>
    <w:rsid w:val="F76EC4DA"/>
    <w:rsid w:val="F77B2785"/>
    <w:rsid w:val="F7AB9A66"/>
    <w:rsid w:val="F7AD6FA4"/>
    <w:rsid w:val="F7AE1B56"/>
    <w:rsid w:val="F7BA2608"/>
    <w:rsid w:val="F7BD2D92"/>
    <w:rsid w:val="F7CCE8EC"/>
    <w:rsid w:val="F7D60631"/>
    <w:rsid w:val="F7DA584C"/>
    <w:rsid w:val="F7DBA842"/>
    <w:rsid w:val="F7EB0ED8"/>
    <w:rsid w:val="F7EB2A99"/>
    <w:rsid w:val="F7EF293D"/>
    <w:rsid w:val="F7EF3742"/>
    <w:rsid w:val="F7EF6FE7"/>
    <w:rsid w:val="F7EF7A33"/>
    <w:rsid w:val="F7EF9BD1"/>
    <w:rsid w:val="F7F6F02F"/>
    <w:rsid w:val="F7F71CFF"/>
    <w:rsid w:val="F7F741D0"/>
    <w:rsid w:val="F7F7791E"/>
    <w:rsid w:val="F7F874F9"/>
    <w:rsid w:val="F7FA91BB"/>
    <w:rsid w:val="F7FD6D22"/>
    <w:rsid w:val="F8BE9390"/>
    <w:rsid w:val="F8DB393D"/>
    <w:rsid w:val="F95F2283"/>
    <w:rsid w:val="F97FCAFA"/>
    <w:rsid w:val="F99F943F"/>
    <w:rsid w:val="F9C7A6D8"/>
    <w:rsid w:val="F9E3F64E"/>
    <w:rsid w:val="F9EFA208"/>
    <w:rsid w:val="F9FB9499"/>
    <w:rsid w:val="FA3D6724"/>
    <w:rsid w:val="FA78B845"/>
    <w:rsid w:val="FA9E0C00"/>
    <w:rsid w:val="FABBA2F6"/>
    <w:rsid w:val="FAD6F7FC"/>
    <w:rsid w:val="FADE8324"/>
    <w:rsid w:val="FAF73372"/>
    <w:rsid w:val="FAFFA3E6"/>
    <w:rsid w:val="FB1FB01E"/>
    <w:rsid w:val="FB5FC458"/>
    <w:rsid w:val="FB6D7078"/>
    <w:rsid w:val="FB7BBCF9"/>
    <w:rsid w:val="FB97DEA8"/>
    <w:rsid w:val="FB9AB495"/>
    <w:rsid w:val="FBBD0F04"/>
    <w:rsid w:val="FBBE4998"/>
    <w:rsid w:val="FBCFD864"/>
    <w:rsid w:val="FBD6831C"/>
    <w:rsid w:val="FBEE4138"/>
    <w:rsid w:val="FBEFF6EF"/>
    <w:rsid w:val="FBF6A180"/>
    <w:rsid w:val="FBF7C40F"/>
    <w:rsid w:val="FBF7C903"/>
    <w:rsid w:val="FBFBEBB1"/>
    <w:rsid w:val="FBFF6CDC"/>
    <w:rsid w:val="FBFFC59C"/>
    <w:rsid w:val="FC1F1EB7"/>
    <w:rsid w:val="FC59F35E"/>
    <w:rsid w:val="FCA34FA3"/>
    <w:rsid w:val="FCBDD7DD"/>
    <w:rsid w:val="FCDDAC6A"/>
    <w:rsid w:val="FCEE0C97"/>
    <w:rsid w:val="FCFFCE5A"/>
    <w:rsid w:val="FD2BF0E9"/>
    <w:rsid w:val="FD7E03A5"/>
    <w:rsid w:val="FDA77370"/>
    <w:rsid w:val="FDA7EEFF"/>
    <w:rsid w:val="FDBB091E"/>
    <w:rsid w:val="FDBFD3C7"/>
    <w:rsid w:val="FDC6CCDD"/>
    <w:rsid w:val="FDDB6AD5"/>
    <w:rsid w:val="FDDDC338"/>
    <w:rsid w:val="FDDF2F3B"/>
    <w:rsid w:val="FDF23EF6"/>
    <w:rsid w:val="FDF95A7D"/>
    <w:rsid w:val="FDFB5F7E"/>
    <w:rsid w:val="FDFD49B8"/>
    <w:rsid w:val="FDFD50A5"/>
    <w:rsid w:val="FDFF0F80"/>
    <w:rsid w:val="FDFF6236"/>
    <w:rsid w:val="FDFF9312"/>
    <w:rsid w:val="FDFFA92F"/>
    <w:rsid w:val="FE1961CC"/>
    <w:rsid w:val="FE3B942B"/>
    <w:rsid w:val="FE3DD4C1"/>
    <w:rsid w:val="FE5BCE47"/>
    <w:rsid w:val="FE5F5188"/>
    <w:rsid w:val="FE769B96"/>
    <w:rsid w:val="FE77C6D9"/>
    <w:rsid w:val="FE78DEAE"/>
    <w:rsid w:val="FE7944E3"/>
    <w:rsid w:val="FE7FC2F3"/>
    <w:rsid w:val="FEC38ABE"/>
    <w:rsid w:val="FEDC5931"/>
    <w:rsid w:val="FEDFBC41"/>
    <w:rsid w:val="FEE61AD5"/>
    <w:rsid w:val="FEEB95B8"/>
    <w:rsid w:val="FEEF8DDE"/>
    <w:rsid w:val="FEF3149A"/>
    <w:rsid w:val="FEF7A3DB"/>
    <w:rsid w:val="FEF90D99"/>
    <w:rsid w:val="FEF957D2"/>
    <w:rsid w:val="FEFD5324"/>
    <w:rsid w:val="FEFD72F0"/>
    <w:rsid w:val="FEFE4FDB"/>
    <w:rsid w:val="FEFF9C6A"/>
    <w:rsid w:val="FF1FD7A5"/>
    <w:rsid w:val="FF2EF6C7"/>
    <w:rsid w:val="FF378D1F"/>
    <w:rsid w:val="FF3D1801"/>
    <w:rsid w:val="FF4FCC68"/>
    <w:rsid w:val="FF5306E2"/>
    <w:rsid w:val="FF550B8B"/>
    <w:rsid w:val="FF5F702A"/>
    <w:rsid w:val="FF75949D"/>
    <w:rsid w:val="FF7F2570"/>
    <w:rsid w:val="FF7F9671"/>
    <w:rsid w:val="FF873732"/>
    <w:rsid w:val="FF95EF4A"/>
    <w:rsid w:val="FF965BEA"/>
    <w:rsid w:val="FF9F0951"/>
    <w:rsid w:val="FF9FCF05"/>
    <w:rsid w:val="FFB5E6AB"/>
    <w:rsid w:val="FFB6A284"/>
    <w:rsid w:val="FFBDD0D2"/>
    <w:rsid w:val="FFBEC4D5"/>
    <w:rsid w:val="FFBF7273"/>
    <w:rsid w:val="FFBFAE71"/>
    <w:rsid w:val="FFBFDF3B"/>
    <w:rsid w:val="FFCB507E"/>
    <w:rsid w:val="FFCDB971"/>
    <w:rsid w:val="FFD3EDE6"/>
    <w:rsid w:val="FFD7A938"/>
    <w:rsid w:val="FFD811A1"/>
    <w:rsid w:val="FFDBA3C1"/>
    <w:rsid w:val="FFDCAB05"/>
    <w:rsid w:val="FFDD7518"/>
    <w:rsid w:val="FFDDAEDE"/>
    <w:rsid w:val="FFDF8741"/>
    <w:rsid w:val="FFDF9A86"/>
    <w:rsid w:val="FFE3A28D"/>
    <w:rsid w:val="FFE81D0E"/>
    <w:rsid w:val="FFE914E7"/>
    <w:rsid w:val="FFEA2714"/>
    <w:rsid w:val="FFEBD42C"/>
    <w:rsid w:val="FFEE55CE"/>
    <w:rsid w:val="FFEEA2F5"/>
    <w:rsid w:val="FFEF4DB9"/>
    <w:rsid w:val="FFF6F4EF"/>
    <w:rsid w:val="FFF70D3C"/>
    <w:rsid w:val="FFF7293F"/>
    <w:rsid w:val="FFF732DA"/>
    <w:rsid w:val="FFF932DA"/>
    <w:rsid w:val="FFF997BF"/>
    <w:rsid w:val="FFF9FED9"/>
    <w:rsid w:val="FFFA34DA"/>
    <w:rsid w:val="FFFA7118"/>
    <w:rsid w:val="FFFBDF14"/>
    <w:rsid w:val="FFFD538B"/>
    <w:rsid w:val="FFFDB12F"/>
    <w:rsid w:val="FFFDEF26"/>
    <w:rsid w:val="FFFE5DB0"/>
    <w:rsid w:val="FFFEA075"/>
    <w:rsid w:val="FFFF1A40"/>
    <w:rsid w:val="FFFF2ADE"/>
    <w:rsid w:val="FFFF34AE"/>
    <w:rsid w:val="FFFF6C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EE7195"/>
  <w15:docId w15:val="{798C3295-7433-4CD7-8C2A-6F125F467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footer" w:uiPriority="99"/>
    <w:lsdException w:name="caption" w:semiHidden="1" w:unhideWhenUsed="1" w:qFormat="1"/>
    <w:lsdException w:name="Title" w:qFormat="1"/>
    <w:lsdException w:name="Default Paragraph Font" w:semiHidden="1"/>
    <w:lsdException w:name="Body Text" w:uiPriority="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D4DA0"/>
    <w:pPr>
      <w:spacing w:line="360" w:lineRule="auto"/>
    </w:pPr>
    <w:rPr>
      <w:rFonts w:eastAsiaTheme="minorEastAsia" w:cstheme="minorBidi"/>
      <w:sz w:val="24"/>
      <w:lang w:val="en-US" w:eastAsia="zh-CN"/>
    </w:rPr>
  </w:style>
  <w:style w:type="paragraph" w:styleId="Heading1">
    <w:name w:val="heading 1"/>
    <w:basedOn w:val="Normal"/>
    <w:qFormat/>
    <w:pPr>
      <w:keepNext/>
      <w:keepLines/>
      <w:spacing w:before="340" w:after="330" w:line="578" w:lineRule="auto"/>
      <w:outlineLvl w:val="0"/>
    </w:pPr>
    <w:rPr>
      <w:b/>
      <w:bCs/>
      <w:kern w:val="44"/>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Arial MT" w:eastAsia="Arial MT" w:hAnsi="Arial MT" w:cs="Arial MT"/>
      <w:sz w:val="22"/>
      <w:szCs w:val="22"/>
      <w:lang w:eastAsia="en-US"/>
    </w:rPr>
  </w:style>
  <w:style w:type="paragraph" w:styleId="Footer">
    <w:name w:val="footer"/>
    <w:basedOn w:val="Normal"/>
    <w:link w:val="FooterChar"/>
    <w:uiPriority w:val="99"/>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yperlink">
    <w:name w:val="Hyperlink"/>
    <w:basedOn w:val="DefaultParagraphFont"/>
    <w:uiPriority w:val="99"/>
    <w:rPr>
      <w:color w:val="0000FF"/>
      <w:u w:val="single"/>
    </w:rPr>
  </w:style>
  <w:style w:type="character" w:styleId="Strong">
    <w:name w:val="Strong"/>
    <w:basedOn w:val="DefaultParagraphFont"/>
    <w:qFormat/>
    <w:rPr>
      <w:b/>
      <w:bCs/>
    </w:rPr>
  </w:style>
  <w:style w:type="paragraph" w:styleId="TOC1">
    <w:name w:val="toc 1"/>
    <w:basedOn w:val="Normal"/>
    <w:next w:val="Normal"/>
    <w:uiPriority w:val="39"/>
  </w:style>
  <w:style w:type="paragraph" w:customStyle="1" w:styleId="TableParagraph">
    <w:name w:val="Table Paragraph"/>
    <w:basedOn w:val="Normal"/>
    <w:uiPriority w:val="1"/>
    <w:qFormat/>
    <w:rPr>
      <w:rFonts w:ascii="Arial MT" w:eastAsia="Arial MT" w:hAnsi="Arial MT" w:cs="Arial MT"/>
      <w:lang w:eastAsia="en-US"/>
    </w:rPr>
  </w:style>
  <w:style w:type="character" w:customStyle="1" w:styleId="FooterChar">
    <w:name w:val="Footer Char"/>
    <w:basedOn w:val="DefaultParagraphFont"/>
    <w:link w:val="Footer"/>
    <w:uiPriority w:val="99"/>
    <w:rsid w:val="009D4DA0"/>
    <w:rPr>
      <w:rFonts w:asciiTheme="minorHAnsi" w:eastAsiaTheme="minorEastAsia" w:hAnsiTheme="minorHAnsi" w:cstheme="minorBidi"/>
      <w:sz w:val="18"/>
      <w:szCs w:val="18"/>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hyperlink" Target="https://www.researchgate.net/profile/Ifechukwu-Gil-Ozoudeh/publication/386278181_Evaluating_strategic_technology_partnerships_Providing_conceptual_insights_into_their_role_in_corporate_strategy_and_technological_innovation/links/674d8c8a359dcb4d9d4b6e4b/Evaluating-strategic-technology-partnerships-Providing-conceptual-insights-into-their-role-in-corporate-strategy-and-technological-innovation.pdf" TargetMode="External"/><Relationship Id="rId26" Type="http://schemas.openxmlformats.org/officeDocument/2006/relationships/hyperlink" Target="https://kriezacademy.com/index.php/kriezacademy/article/download/42/46" TargetMode="External"/><Relationship Id="rId3" Type="http://schemas.openxmlformats.org/officeDocument/2006/relationships/styles" Target="styles.xml"/><Relationship Id="rId21" Type="http://schemas.openxmlformats.org/officeDocument/2006/relationships/hyperlink" Target="https://www.jpmorgan.com/insights/treasury/treasury-management/6-ways-to-increase-working-capital"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www.researchgate.net/profile/Deborah-Atere-2/publication/399419573_Framework_for_Designing_Effective_Corporate_Restructuring_Strategies_to_Optimize_Liquidity_and_Working_Capital/links/6959b11a27359023a013262d/Framework-for-Designing-Effective-Corporate-Restructuring-Strategies-to-Optimize-Liquidity-and-Working-Capital.pdf" TargetMode="External"/><Relationship Id="rId25" Type="http://schemas.openxmlformats.org/officeDocument/2006/relationships/hyperlink" Target="https://corporatefinanceinstitute.com/resources/accounting/financial-ratio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etsuite.com/portal/resource/articles/financial-management/improve-financial-performance.shtml" TargetMode="External"/><Relationship Id="rId20" Type="http://schemas.openxmlformats.org/officeDocument/2006/relationships/hyperlink" Target="https://ecommons.cornell.edu/bitstream/1813/71174/1/BrunsSmith_2015_Enviro_Sustain.pdf" TargetMode="External"/><Relationship Id="rId29" Type="http://schemas.openxmlformats.org/officeDocument/2006/relationships/hyperlink" Target="https://investor.wyndhamhotels.com/company-inform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www.nab.com.au/business/small-business/moments/manage/planning/avoid-bad-debt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ccaglobal.com/in/en/student/exam-support-resources/fundamentals-exams-study-resources/f2/technical-articles/ratio-analysis.html" TargetMode="External"/><Relationship Id="rId23" Type="http://schemas.openxmlformats.org/officeDocument/2006/relationships/hyperlink" Target="https://www.macrotrends.net/stocks/charts/MAR/marriott/financial-ratios" TargetMode="External"/><Relationship Id="rId28" Type="http://schemas.openxmlformats.org/officeDocument/2006/relationships/hyperlink" Target="https://investor.wyndhamhotels.com/financial-information/all-sec-filings/content/0001722684-26-000052/a2025annualreport.pdf" TargetMode="External"/><Relationship Id="rId10" Type="http://schemas.openxmlformats.org/officeDocument/2006/relationships/chart" Target="charts/chart2.xml"/><Relationship Id="rId19" Type="http://schemas.openxmlformats.org/officeDocument/2006/relationships/hyperlink" Target="https://papers.ssrn.com/sol3/Delivery.cfm?abstractid=3197968"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papers.ssrn.com/sol3/Delivery.cfm?abstractid=4438761" TargetMode="External"/><Relationship Id="rId27" Type="http://schemas.openxmlformats.org/officeDocument/2006/relationships/hyperlink" Target="https://tiag.net/20-strategies-for-managing-operational-costs-and-driving-growth/" TargetMode="External"/><Relationship Id="rId30" Type="http://schemas.openxmlformats.org/officeDocument/2006/relationships/hyperlink" Target="https://www.researchgate.net/publication/270622676_Sources_Of_Short-Term_Finance_And_Investment_Opportunaties" TargetMode="Externa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Users/vineet/Documents/N%20Square/July%202026/Draf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Users/vineet/Documents/N%20Square/July%202026/Draf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Users/vineet/Documents/N%20Square/July%202026/Draf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Users/vineet/Documents/N%20Square/July%202026/Draf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Users/vineet/Documents/N%20Square/July%202026/Draf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Users/vineet/Documents/N%20Square/July%202026/Draft.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r>
              <a:rPr lang="en-IN"/>
              <a:t>Profitability</a:t>
            </a:r>
          </a:p>
        </c:rich>
      </c:tx>
      <c:overlay val="0"/>
      <c:spPr>
        <a:noFill/>
        <a:ln>
          <a:noFill/>
        </a:ln>
        <a:effectLst/>
      </c:spPr>
      <c:txPr>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[Draft.xlsx]Chart!$B$3</c:f>
              <c:strCache>
                <c:ptCount val="1"/>
                <c:pt idx="0">
                  <c:v>Operating profit margin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[Draft.xlsx]Chart!$C$2:$G$2</c:f>
              <c:numCache>
                <c:formatCode>General</c:formatCode>
                <c:ptCount val="5"/>
                <c:pt idx="0">
                  <c:v>2021</c:v>
                </c:pt>
                <c:pt idx="1">
                  <c:v>2022</c:v>
                </c:pt>
                <c:pt idx="2">
                  <c:v>2023</c:v>
                </c:pt>
                <c:pt idx="3">
                  <c:v>2024</c:v>
                </c:pt>
                <c:pt idx="4">
                  <c:v>2025</c:v>
                </c:pt>
              </c:numCache>
            </c:numRef>
          </c:cat>
          <c:val>
            <c:numRef>
              <c:f>[Draft.xlsx]Chart!$C$3:$G$3</c:f>
              <c:numCache>
                <c:formatCode>0.00%</c:formatCode>
                <c:ptCount val="5"/>
                <c:pt idx="0">
                  <c:v>0.28498402555910501</c:v>
                </c:pt>
                <c:pt idx="1">
                  <c:v>0.37249666221628802</c:v>
                </c:pt>
                <c:pt idx="2">
                  <c:v>0.36005726556907702</c:v>
                </c:pt>
                <c:pt idx="3">
                  <c:v>0.3515625</c:v>
                </c:pt>
                <c:pt idx="4">
                  <c:v>0.28131560531840399</c:v>
                </c:pt>
              </c:numCache>
            </c:numRef>
          </c:val>
          <c:extLst>
            <c:ext xmlns:c16="http://schemas.microsoft.com/office/drawing/2014/chart" uri="{C3380CC4-5D6E-409C-BE32-E72D297353CC}">
              <c16:uniqueId val="{00000000-8748-475C-A561-C9A2A543E6AE}"/>
            </c:ext>
          </c:extLst>
        </c:ser>
        <c:ser>
          <c:idx val="1"/>
          <c:order val="1"/>
          <c:tx>
            <c:strRef>
              <c:f>[Draft.xlsx]Chart!$B$4</c:f>
              <c:strCache>
                <c:ptCount val="1"/>
                <c:pt idx="0">
                  <c:v>Net profit margin</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[Draft.xlsx]Chart!$C$2:$G$2</c:f>
              <c:numCache>
                <c:formatCode>General</c:formatCode>
                <c:ptCount val="5"/>
                <c:pt idx="0">
                  <c:v>2021</c:v>
                </c:pt>
                <c:pt idx="1">
                  <c:v>2022</c:v>
                </c:pt>
                <c:pt idx="2">
                  <c:v>2023</c:v>
                </c:pt>
                <c:pt idx="3">
                  <c:v>2024</c:v>
                </c:pt>
                <c:pt idx="4">
                  <c:v>2025</c:v>
                </c:pt>
              </c:numCache>
            </c:numRef>
          </c:cat>
          <c:val>
            <c:numRef>
              <c:f>[Draft.xlsx]Chart!$C$4:$G$4</c:f>
              <c:numCache>
                <c:formatCode>0.00%</c:formatCode>
                <c:ptCount val="5"/>
                <c:pt idx="0">
                  <c:v>0.15591054313099001</c:v>
                </c:pt>
                <c:pt idx="1">
                  <c:v>0.2369826435247</c:v>
                </c:pt>
                <c:pt idx="2">
                  <c:v>0.20687186828919099</c:v>
                </c:pt>
                <c:pt idx="3">
                  <c:v>0.20525568181818199</c:v>
                </c:pt>
                <c:pt idx="4">
                  <c:v>0.13505948215535299</c:v>
                </c:pt>
              </c:numCache>
            </c:numRef>
          </c:val>
          <c:extLst>
            <c:ext xmlns:c16="http://schemas.microsoft.com/office/drawing/2014/chart" uri="{C3380CC4-5D6E-409C-BE32-E72D297353CC}">
              <c16:uniqueId val="{00000001-8748-475C-A561-C9A2A543E6AE}"/>
            </c:ext>
          </c:extLst>
        </c:ser>
        <c:dLbls>
          <c:showLegendKey val="0"/>
          <c:showVal val="1"/>
          <c:showCatName val="0"/>
          <c:showSerName val="0"/>
          <c:showPercent val="0"/>
          <c:showBubbleSize val="0"/>
        </c:dLbls>
        <c:gapWidth val="246"/>
        <c:overlap val="-28"/>
        <c:axId val="523046744"/>
        <c:axId val="523045960"/>
      </c:barChart>
      <c:catAx>
        <c:axId val="523046744"/>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523045960"/>
        <c:crosses val="autoZero"/>
        <c:auto val="1"/>
        <c:lblAlgn val="ctr"/>
        <c:lblOffset val="100"/>
        <c:noMultiLvlLbl val="0"/>
      </c:catAx>
      <c:valAx>
        <c:axId val="523045960"/>
        <c:scaling>
          <c:orientation val="minMax"/>
        </c:scaling>
        <c:delete val="0"/>
        <c:axPos val="l"/>
        <c:majorGridlines>
          <c:spPr>
            <a:ln w="9525" cap="flat" cmpd="sng" algn="ctr">
              <a:solidFill>
                <a:schemeClr val="lt1">
                  <a:lumMod val="902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5230467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eed57d54-e658-4640-8d5c-c3f1fb97316c}"/>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r>
              <a:rPr lang="en-IN"/>
              <a:t>Liquidity </a:t>
            </a:r>
          </a:p>
        </c:rich>
      </c:tx>
      <c:overlay val="0"/>
      <c:spPr>
        <a:noFill/>
        <a:ln>
          <a:noFill/>
        </a:ln>
        <a:effectLst/>
      </c:spPr>
      <c:txPr>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[Draft.xlsx]Chart!$B$7</c:f>
              <c:strCache>
                <c:ptCount val="1"/>
                <c:pt idx="0">
                  <c:v>Current ratio</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[Draft.xlsx]Chart!$C$6:$G$6</c:f>
              <c:numCache>
                <c:formatCode>General</c:formatCode>
                <c:ptCount val="5"/>
                <c:pt idx="0">
                  <c:v>2021</c:v>
                </c:pt>
                <c:pt idx="1">
                  <c:v>2022</c:v>
                </c:pt>
                <c:pt idx="2">
                  <c:v>2023</c:v>
                </c:pt>
                <c:pt idx="3">
                  <c:v>2024</c:v>
                </c:pt>
                <c:pt idx="4">
                  <c:v>2025</c:v>
                </c:pt>
              </c:numCache>
            </c:numRef>
          </c:cat>
          <c:val>
            <c:numRef>
              <c:f>[Draft.xlsx]Chart!$C$7:$G$7</c:f>
              <c:numCache>
                <c:formatCode>0.00_ </c:formatCode>
                <c:ptCount val="5"/>
                <c:pt idx="0">
                  <c:v>1.8136020151133501</c:v>
                </c:pt>
                <c:pt idx="1">
                  <c:v>1.3423645320197</c:v>
                </c:pt>
                <c:pt idx="2">
                  <c:v>0.81263616557734197</c:v>
                </c:pt>
                <c:pt idx="3">
                  <c:v>1.0021459227467799</c:v>
                </c:pt>
                <c:pt idx="4">
                  <c:v>0.85798816568047298</c:v>
                </c:pt>
              </c:numCache>
            </c:numRef>
          </c:val>
          <c:smooth val="0"/>
          <c:extLst>
            <c:ext xmlns:c16="http://schemas.microsoft.com/office/drawing/2014/chart" uri="{C3380CC4-5D6E-409C-BE32-E72D297353CC}">
              <c16:uniqueId val="{00000000-7349-4EEE-B069-5BEB701FC5AD}"/>
            </c:ext>
          </c:extLst>
        </c:ser>
        <c:ser>
          <c:idx val="1"/>
          <c:order val="1"/>
          <c:tx>
            <c:strRef>
              <c:f>[Draft.xlsx]Chart!$B$8</c:f>
              <c:strCache>
                <c:ptCount val="1"/>
                <c:pt idx="0">
                  <c:v>Quick ratio</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[Draft.xlsx]Chart!$C$6:$G$6</c:f>
              <c:numCache>
                <c:formatCode>General</c:formatCode>
                <c:ptCount val="5"/>
                <c:pt idx="0">
                  <c:v>2021</c:v>
                </c:pt>
                <c:pt idx="1">
                  <c:v>2022</c:v>
                </c:pt>
                <c:pt idx="2">
                  <c:v>2023</c:v>
                </c:pt>
                <c:pt idx="3">
                  <c:v>2024</c:v>
                </c:pt>
                <c:pt idx="4">
                  <c:v>2025</c:v>
                </c:pt>
              </c:numCache>
            </c:numRef>
          </c:cat>
          <c:val>
            <c:numRef>
              <c:f>[Draft.xlsx]Chart!$C$8:$G$8</c:f>
              <c:numCache>
                <c:formatCode>0.00_ </c:formatCode>
                <c:ptCount val="5"/>
                <c:pt idx="0">
                  <c:v>1.8136020151133501</c:v>
                </c:pt>
                <c:pt idx="1">
                  <c:v>1.3423645320197</c:v>
                </c:pt>
                <c:pt idx="2">
                  <c:v>0.81263616557734197</c:v>
                </c:pt>
                <c:pt idx="3">
                  <c:v>1.0021459227467799</c:v>
                </c:pt>
                <c:pt idx="4">
                  <c:v>0.85798816568047298</c:v>
                </c:pt>
              </c:numCache>
            </c:numRef>
          </c:val>
          <c:smooth val="0"/>
          <c:extLst>
            <c:ext xmlns:c16="http://schemas.microsoft.com/office/drawing/2014/chart" uri="{C3380CC4-5D6E-409C-BE32-E72D297353CC}">
              <c16:uniqueId val="{00000001-7349-4EEE-B069-5BEB701FC5AD}"/>
            </c:ext>
          </c:extLst>
        </c:ser>
        <c:dLbls>
          <c:showLegendKey val="0"/>
          <c:showVal val="1"/>
          <c:showCatName val="0"/>
          <c:showSerName val="0"/>
          <c:showPercent val="0"/>
          <c:showBubbleSize val="0"/>
        </c:dLbls>
        <c:smooth val="0"/>
        <c:axId val="523047920"/>
        <c:axId val="514651400"/>
      </c:lineChart>
      <c:catAx>
        <c:axId val="523047920"/>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514651400"/>
        <c:crosses val="autoZero"/>
        <c:auto val="1"/>
        <c:lblAlgn val="ctr"/>
        <c:lblOffset val="100"/>
        <c:noMultiLvlLbl val="0"/>
      </c:catAx>
      <c:valAx>
        <c:axId val="514651400"/>
        <c:scaling>
          <c:orientation val="minMax"/>
        </c:scaling>
        <c:delete val="0"/>
        <c:axPos val="l"/>
        <c:majorGridlines>
          <c:spPr>
            <a:ln w="9525" cap="flat" cmpd="sng" algn="ctr">
              <a:solidFill>
                <a:schemeClr val="lt1">
                  <a:lumMod val="90200"/>
                </a:schemeClr>
              </a:solidFill>
              <a:round/>
            </a:ln>
            <a:effectLst/>
          </c:spPr>
        </c:majorGridlines>
        <c:numFmt formatCode="0.00_ "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5230479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c373e773-8310-46d1-9736-f0b05f6155b7}"/>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r>
              <a:rPr lang="en-IN"/>
              <a:t>Efficiency</a:t>
            </a:r>
          </a:p>
        </c:rich>
      </c:tx>
      <c:overlay val="0"/>
      <c:spPr>
        <a:noFill/>
        <a:ln>
          <a:noFill/>
        </a:ln>
        <a:effectLst/>
      </c:spPr>
      <c:txPr>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[Draft.xlsx]Chart!$B$11</c:f>
              <c:strCache>
                <c:ptCount val="1"/>
                <c:pt idx="0">
                  <c:v>Asset turnover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[Draft.xlsx]Chart!$C$10:$G$10</c:f>
              <c:numCache>
                <c:formatCode>General</c:formatCode>
                <c:ptCount val="5"/>
                <c:pt idx="0">
                  <c:v>2021</c:v>
                </c:pt>
                <c:pt idx="1">
                  <c:v>2022</c:v>
                </c:pt>
                <c:pt idx="2">
                  <c:v>2023</c:v>
                </c:pt>
                <c:pt idx="3">
                  <c:v>2024</c:v>
                </c:pt>
                <c:pt idx="4">
                  <c:v>2025</c:v>
                </c:pt>
              </c:numCache>
            </c:numRef>
          </c:cat>
          <c:val>
            <c:numRef>
              <c:f>[Draft.xlsx]Chart!$C$11:$G$11</c:f>
              <c:numCache>
                <c:formatCode>0.00_ </c:formatCode>
                <c:ptCount val="5"/>
                <c:pt idx="0">
                  <c:v>0.36659639259779803</c:v>
                </c:pt>
                <c:pt idx="1">
                  <c:v>0.36332767402376898</c:v>
                </c:pt>
                <c:pt idx="2">
                  <c:v>0.346392263823457</c:v>
                </c:pt>
                <c:pt idx="3">
                  <c:v>0.333412266161497</c:v>
                </c:pt>
                <c:pt idx="4">
                  <c:v>0.34170253467240602</c:v>
                </c:pt>
              </c:numCache>
            </c:numRef>
          </c:val>
          <c:extLst>
            <c:ext xmlns:c16="http://schemas.microsoft.com/office/drawing/2014/chart" uri="{C3380CC4-5D6E-409C-BE32-E72D297353CC}">
              <c16:uniqueId val="{00000000-5572-4334-8117-71DA874E97D0}"/>
            </c:ext>
          </c:extLst>
        </c:ser>
        <c:ser>
          <c:idx val="1"/>
          <c:order val="1"/>
          <c:tx>
            <c:strRef>
              <c:f>[Draft.xlsx]Chart!$B$12</c:f>
              <c:strCache>
                <c:ptCount val="1"/>
                <c:pt idx="0">
                  <c:v>Inventory turnover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[Draft.xlsx]Chart!$C$10:$G$10</c:f>
              <c:numCache>
                <c:formatCode>General</c:formatCode>
                <c:ptCount val="5"/>
                <c:pt idx="0">
                  <c:v>2021</c:v>
                </c:pt>
                <c:pt idx="1">
                  <c:v>2022</c:v>
                </c:pt>
                <c:pt idx="2">
                  <c:v>2023</c:v>
                </c:pt>
                <c:pt idx="3">
                  <c:v>2024</c:v>
                </c:pt>
                <c:pt idx="4">
                  <c:v>2025</c:v>
                </c:pt>
              </c:numCache>
            </c:numRef>
          </c:cat>
          <c:val>
            <c:numRef>
              <c:f>[Draft.xlsx]Chart!$C$12:$G$12</c:f>
              <c:numCache>
                <c:formatCode>0.00_ </c:formatCode>
                <c:ptCount val="5"/>
                <c:pt idx="0">
                  <c:v>0</c:v>
                </c:pt>
                <c:pt idx="1">
                  <c:v>0</c:v>
                </c:pt>
                <c:pt idx="2">
                  <c:v>0</c:v>
                </c:pt>
                <c:pt idx="3">
                  <c:v>0</c:v>
                </c:pt>
                <c:pt idx="4">
                  <c:v>0</c:v>
                </c:pt>
              </c:numCache>
            </c:numRef>
          </c:val>
          <c:extLst>
            <c:ext xmlns:c16="http://schemas.microsoft.com/office/drawing/2014/chart" uri="{C3380CC4-5D6E-409C-BE32-E72D297353CC}">
              <c16:uniqueId val="{00000001-5572-4334-8117-71DA874E97D0}"/>
            </c:ext>
          </c:extLst>
        </c:ser>
        <c:dLbls>
          <c:showLegendKey val="0"/>
          <c:showVal val="1"/>
          <c:showCatName val="0"/>
          <c:showSerName val="0"/>
          <c:showPercent val="0"/>
          <c:showBubbleSize val="0"/>
        </c:dLbls>
        <c:gapWidth val="246"/>
        <c:overlap val="-28"/>
        <c:axId val="514651008"/>
        <c:axId val="514650224"/>
      </c:barChart>
      <c:catAx>
        <c:axId val="514651008"/>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514650224"/>
        <c:crosses val="autoZero"/>
        <c:auto val="1"/>
        <c:lblAlgn val="ctr"/>
        <c:lblOffset val="100"/>
        <c:noMultiLvlLbl val="0"/>
      </c:catAx>
      <c:valAx>
        <c:axId val="514650224"/>
        <c:scaling>
          <c:orientation val="minMax"/>
        </c:scaling>
        <c:delete val="0"/>
        <c:axPos val="l"/>
        <c:majorGridlines>
          <c:spPr>
            <a:ln w="9525" cap="flat" cmpd="sng" algn="ctr">
              <a:solidFill>
                <a:schemeClr val="lt1">
                  <a:lumMod val="90200"/>
                </a:schemeClr>
              </a:solidFill>
              <a:round/>
            </a:ln>
            <a:effectLst/>
          </c:spPr>
        </c:majorGridlines>
        <c:numFmt formatCode="0.00_ "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5146510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396696f5-a05a-4490-861e-560c17ebd67e}"/>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r>
              <a:rPr lang="en-IN"/>
              <a:t>Gearing</a:t>
            </a:r>
          </a:p>
        </c:rich>
      </c:tx>
      <c:overlay val="0"/>
      <c:spPr>
        <a:noFill/>
        <a:ln>
          <a:noFill/>
        </a:ln>
        <a:effectLst/>
      </c:spPr>
      <c:txPr>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[Draft.xlsx]Chart!$B$15</c:f>
              <c:strCache>
                <c:ptCount val="1"/>
                <c:pt idx="0">
                  <c:v>Debt-equity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[Draft.xlsx]Chart!$C$14:$G$14</c:f>
              <c:numCache>
                <c:formatCode>General</c:formatCode>
                <c:ptCount val="5"/>
                <c:pt idx="0">
                  <c:v>2021</c:v>
                </c:pt>
                <c:pt idx="1">
                  <c:v>2022</c:v>
                </c:pt>
                <c:pt idx="2">
                  <c:v>2023</c:v>
                </c:pt>
                <c:pt idx="3">
                  <c:v>2024</c:v>
                </c:pt>
                <c:pt idx="4">
                  <c:v>2025</c:v>
                </c:pt>
              </c:numCache>
            </c:numRef>
          </c:cat>
          <c:val>
            <c:numRef>
              <c:f>[Draft.xlsx]Chart!$C$15:$G$15</c:f>
              <c:numCache>
                <c:formatCode>0.00_ </c:formatCode>
                <c:ptCount val="5"/>
                <c:pt idx="0">
                  <c:v>2.9201101928374702</c:v>
                </c:pt>
                <c:pt idx="1">
                  <c:v>3.2858627858627898</c:v>
                </c:pt>
                <c:pt idx="2">
                  <c:v>4.4061662198391396</c:v>
                </c:pt>
                <c:pt idx="3">
                  <c:v>5.4969230769230801</c:v>
                </c:pt>
                <c:pt idx="4">
                  <c:v>7.9358974358974397</c:v>
                </c:pt>
              </c:numCache>
            </c:numRef>
          </c:val>
          <c:extLst>
            <c:ext xmlns:c16="http://schemas.microsoft.com/office/drawing/2014/chart" uri="{C3380CC4-5D6E-409C-BE32-E72D297353CC}">
              <c16:uniqueId val="{00000000-4BD5-443E-9AA1-8F6AA2F00965}"/>
            </c:ext>
          </c:extLst>
        </c:ser>
        <c:ser>
          <c:idx val="1"/>
          <c:order val="1"/>
          <c:tx>
            <c:strRef>
              <c:f>[Draft.xlsx]Chart!$B$16</c:f>
              <c:strCache>
                <c:ptCount val="1"/>
                <c:pt idx="0">
                  <c:v>Interest coverage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[Draft.xlsx]Chart!$C$14:$G$14</c:f>
              <c:numCache>
                <c:formatCode>General</c:formatCode>
                <c:ptCount val="5"/>
                <c:pt idx="0">
                  <c:v>2021</c:v>
                </c:pt>
                <c:pt idx="1">
                  <c:v>2022</c:v>
                </c:pt>
                <c:pt idx="2">
                  <c:v>2023</c:v>
                </c:pt>
                <c:pt idx="3">
                  <c:v>2024</c:v>
                </c:pt>
                <c:pt idx="4">
                  <c:v>2025</c:v>
                </c:pt>
              </c:numCache>
            </c:numRef>
          </c:cat>
          <c:val>
            <c:numRef>
              <c:f>[Draft.xlsx]Chart!$C$16:$G$16</c:f>
              <c:numCache>
                <c:formatCode>0.00_ </c:formatCode>
                <c:ptCount val="5"/>
                <c:pt idx="0">
                  <c:v>4.6021505376344098</c:v>
                </c:pt>
                <c:pt idx="1">
                  <c:v>6.95</c:v>
                </c:pt>
                <c:pt idx="2">
                  <c:v>4.9019607843137303</c:v>
                </c:pt>
                <c:pt idx="3">
                  <c:v>3.9677419354838701</c:v>
                </c:pt>
                <c:pt idx="4">
                  <c:v>2.8920863309352498</c:v>
                </c:pt>
              </c:numCache>
            </c:numRef>
          </c:val>
          <c:extLst>
            <c:ext xmlns:c16="http://schemas.microsoft.com/office/drawing/2014/chart" uri="{C3380CC4-5D6E-409C-BE32-E72D297353CC}">
              <c16:uniqueId val="{00000001-4BD5-443E-9AA1-8F6AA2F00965}"/>
            </c:ext>
          </c:extLst>
        </c:ser>
        <c:dLbls>
          <c:showLegendKey val="0"/>
          <c:showVal val="1"/>
          <c:showCatName val="0"/>
          <c:showSerName val="0"/>
          <c:showPercent val="0"/>
          <c:showBubbleSize val="0"/>
        </c:dLbls>
        <c:gapWidth val="246"/>
        <c:overlap val="-28"/>
        <c:axId val="512423144"/>
        <c:axId val="514494680"/>
      </c:barChart>
      <c:catAx>
        <c:axId val="512423144"/>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514494680"/>
        <c:crosses val="autoZero"/>
        <c:auto val="1"/>
        <c:lblAlgn val="ctr"/>
        <c:lblOffset val="100"/>
        <c:noMultiLvlLbl val="0"/>
      </c:catAx>
      <c:valAx>
        <c:axId val="514494680"/>
        <c:scaling>
          <c:orientation val="minMax"/>
        </c:scaling>
        <c:delete val="0"/>
        <c:axPos val="l"/>
        <c:majorGridlines>
          <c:spPr>
            <a:ln w="9525" cap="flat" cmpd="sng" algn="ctr">
              <a:solidFill>
                <a:schemeClr val="lt1">
                  <a:lumMod val="90200"/>
                </a:schemeClr>
              </a:solidFill>
              <a:round/>
            </a:ln>
            <a:effectLst/>
          </c:spPr>
        </c:majorGridlines>
        <c:numFmt formatCode="0.00_ "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512423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83ee2a08-03d6-41c0-a408-898abfb16d86}"/>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r>
              <a:rPr lang="en-IN"/>
              <a:t>Investment</a:t>
            </a:r>
          </a:p>
        </c:rich>
      </c:tx>
      <c:overlay val="0"/>
      <c:spPr>
        <a:noFill/>
        <a:ln>
          <a:noFill/>
        </a:ln>
        <a:effectLst/>
      </c:spPr>
      <c:txPr>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[Draft.xlsx]Chart!$B$19</c:f>
              <c:strCache>
                <c:ptCount val="1"/>
                <c:pt idx="0">
                  <c:v>EPS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[Draft.xlsx]Chart!$C$18:$G$18</c:f>
              <c:numCache>
                <c:formatCode>General</c:formatCode>
                <c:ptCount val="5"/>
                <c:pt idx="0">
                  <c:v>2021</c:v>
                </c:pt>
                <c:pt idx="1">
                  <c:v>2022</c:v>
                </c:pt>
                <c:pt idx="2">
                  <c:v>2023</c:v>
                </c:pt>
                <c:pt idx="3">
                  <c:v>2024</c:v>
                </c:pt>
                <c:pt idx="4">
                  <c:v>2025</c:v>
                </c:pt>
              </c:numCache>
            </c:numRef>
          </c:cat>
          <c:val>
            <c:numRef>
              <c:f>[Draft.xlsx]Chart!$C$19:$G$19</c:f>
              <c:numCache>
                <c:formatCode>0.00_ </c:formatCode>
                <c:ptCount val="5"/>
                <c:pt idx="0">
                  <c:v>2.6101839965768101</c:v>
                </c:pt>
                <c:pt idx="1">
                  <c:v>3.9300343186095401</c:v>
                </c:pt>
                <c:pt idx="2">
                  <c:v>3.4298599572751001</c:v>
                </c:pt>
                <c:pt idx="3">
                  <c:v>3.6397984886649901</c:v>
                </c:pt>
                <c:pt idx="4">
                  <c:v>2.50975292587776</c:v>
                </c:pt>
              </c:numCache>
            </c:numRef>
          </c:val>
          <c:extLst>
            <c:ext xmlns:c16="http://schemas.microsoft.com/office/drawing/2014/chart" uri="{C3380CC4-5D6E-409C-BE32-E72D297353CC}">
              <c16:uniqueId val="{00000000-3E87-42BB-864C-8F934F6A22E1}"/>
            </c:ext>
          </c:extLst>
        </c:ser>
        <c:ser>
          <c:idx val="1"/>
          <c:order val="1"/>
          <c:tx>
            <c:strRef>
              <c:f>[Draft.xlsx]Chart!$B$20</c:f>
              <c:strCache>
                <c:ptCount val="1"/>
                <c:pt idx="0">
                  <c:v>Return on equity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[Draft.xlsx]Chart!$C$18:$G$18</c:f>
              <c:numCache>
                <c:formatCode>General</c:formatCode>
                <c:ptCount val="5"/>
                <c:pt idx="0">
                  <c:v>2021</c:v>
                </c:pt>
                <c:pt idx="1">
                  <c:v>2022</c:v>
                </c:pt>
                <c:pt idx="2">
                  <c:v>2023</c:v>
                </c:pt>
                <c:pt idx="3">
                  <c:v>2024</c:v>
                </c:pt>
                <c:pt idx="4">
                  <c:v>2025</c:v>
                </c:pt>
              </c:numCache>
            </c:numRef>
          </c:cat>
          <c:val>
            <c:numRef>
              <c:f>[Draft.xlsx]Chart!$C$20:$G$20</c:f>
              <c:numCache>
                <c:formatCode>0.00%</c:formatCode>
                <c:ptCount val="5"/>
                <c:pt idx="0">
                  <c:v>0.22405876951331499</c:v>
                </c:pt>
                <c:pt idx="1">
                  <c:v>0.36902286902286902</c:v>
                </c:pt>
                <c:pt idx="2">
                  <c:v>0.38739946380696999</c:v>
                </c:pt>
                <c:pt idx="3">
                  <c:v>0.44461538461538502</c:v>
                </c:pt>
                <c:pt idx="4">
                  <c:v>0.41239316239316198</c:v>
                </c:pt>
              </c:numCache>
            </c:numRef>
          </c:val>
          <c:extLst>
            <c:ext xmlns:c16="http://schemas.microsoft.com/office/drawing/2014/chart" uri="{C3380CC4-5D6E-409C-BE32-E72D297353CC}">
              <c16:uniqueId val="{00000001-3E87-42BB-864C-8F934F6A22E1}"/>
            </c:ext>
          </c:extLst>
        </c:ser>
        <c:dLbls>
          <c:showLegendKey val="0"/>
          <c:showVal val="1"/>
          <c:showCatName val="0"/>
          <c:showSerName val="0"/>
          <c:showPercent val="0"/>
          <c:showBubbleSize val="0"/>
        </c:dLbls>
        <c:gapWidth val="246"/>
        <c:overlap val="-28"/>
        <c:axId val="514496640"/>
        <c:axId val="514495072"/>
      </c:barChart>
      <c:catAx>
        <c:axId val="514496640"/>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514495072"/>
        <c:crosses val="autoZero"/>
        <c:auto val="1"/>
        <c:lblAlgn val="ctr"/>
        <c:lblOffset val="100"/>
        <c:noMultiLvlLbl val="0"/>
      </c:catAx>
      <c:valAx>
        <c:axId val="514495072"/>
        <c:scaling>
          <c:orientation val="minMax"/>
        </c:scaling>
        <c:delete val="0"/>
        <c:axPos val="l"/>
        <c:majorGridlines>
          <c:spPr>
            <a:ln w="9525" cap="flat" cmpd="sng" algn="ctr">
              <a:solidFill>
                <a:schemeClr val="lt1">
                  <a:lumMod val="90200"/>
                </a:schemeClr>
              </a:solidFill>
              <a:round/>
            </a:ln>
            <a:effectLst/>
          </c:spPr>
        </c:majorGridlines>
        <c:numFmt formatCode="0.00_ "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514496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d1fe8f92-db90-43ea-92aa-0b465aba8f2a}"/>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r>
              <a:rPr lang="en-IN"/>
              <a:t>Cash Flow</a:t>
            </a:r>
          </a:p>
        </c:rich>
      </c:tx>
      <c:overlay val="0"/>
      <c:spPr>
        <a:noFill/>
        <a:ln>
          <a:noFill/>
        </a:ln>
        <a:effectLst/>
      </c:spPr>
      <c:txPr>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[Draft.xlsx]Chart!$B$23</c:f>
              <c:strCache>
                <c:ptCount val="1"/>
                <c:pt idx="0">
                  <c:v>Operating cash flow ratio</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[Draft.xlsx]Chart!$C$22:$G$22</c:f>
              <c:numCache>
                <c:formatCode>General</c:formatCode>
                <c:ptCount val="5"/>
                <c:pt idx="0">
                  <c:v>2021</c:v>
                </c:pt>
                <c:pt idx="1">
                  <c:v>2022</c:v>
                </c:pt>
                <c:pt idx="2">
                  <c:v>2023</c:v>
                </c:pt>
                <c:pt idx="3">
                  <c:v>2024</c:v>
                </c:pt>
                <c:pt idx="4">
                  <c:v>2025</c:v>
                </c:pt>
              </c:numCache>
            </c:numRef>
          </c:cat>
          <c:val>
            <c:numRef>
              <c:f>[Draft.xlsx]Chart!$C$23:$G$23</c:f>
              <c:numCache>
                <c:formatCode>0.00_ </c:formatCode>
                <c:ptCount val="5"/>
                <c:pt idx="0">
                  <c:v>1.07304785894207</c:v>
                </c:pt>
                <c:pt idx="1">
                  <c:v>0.98275862068965503</c:v>
                </c:pt>
                <c:pt idx="2">
                  <c:v>0.81917211328976003</c:v>
                </c:pt>
                <c:pt idx="3">
                  <c:v>0.62231759656652397</c:v>
                </c:pt>
                <c:pt idx="4">
                  <c:v>0.72386587771203204</c:v>
                </c:pt>
              </c:numCache>
            </c:numRef>
          </c:val>
          <c:smooth val="0"/>
          <c:extLst>
            <c:ext xmlns:c16="http://schemas.microsoft.com/office/drawing/2014/chart" uri="{C3380CC4-5D6E-409C-BE32-E72D297353CC}">
              <c16:uniqueId val="{00000000-501F-4656-AC98-B487D025F3DD}"/>
            </c:ext>
          </c:extLst>
        </c:ser>
        <c:ser>
          <c:idx val="1"/>
          <c:order val="1"/>
          <c:tx>
            <c:strRef>
              <c:f>[Draft.xlsx]Chart!$B$24</c:f>
              <c:strCache>
                <c:ptCount val="1"/>
                <c:pt idx="0">
                  <c:v>Cash ratio</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[Draft.xlsx]Chart!$C$22:$G$22</c:f>
              <c:numCache>
                <c:formatCode>General</c:formatCode>
                <c:ptCount val="5"/>
                <c:pt idx="0">
                  <c:v>2021</c:v>
                </c:pt>
                <c:pt idx="1">
                  <c:v>2022</c:v>
                </c:pt>
                <c:pt idx="2">
                  <c:v>2023</c:v>
                </c:pt>
                <c:pt idx="3">
                  <c:v>2024</c:v>
                </c:pt>
                <c:pt idx="4">
                  <c:v>2025</c:v>
                </c:pt>
              </c:numCache>
            </c:numRef>
          </c:cat>
          <c:val>
            <c:numRef>
              <c:f>[Draft.xlsx]Chart!$C$24:$G$24</c:f>
              <c:numCache>
                <c:formatCode>0.00_ </c:formatCode>
                <c:ptCount val="5"/>
                <c:pt idx="0">
                  <c:v>0.43073047858942098</c:v>
                </c:pt>
                <c:pt idx="1">
                  <c:v>0.39655172413793099</c:v>
                </c:pt>
                <c:pt idx="2">
                  <c:v>0.14379084967320299</c:v>
                </c:pt>
                <c:pt idx="3">
                  <c:v>0.22103004291845499</c:v>
                </c:pt>
                <c:pt idx="4">
                  <c:v>0.12623274161735701</c:v>
                </c:pt>
              </c:numCache>
            </c:numRef>
          </c:val>
          <c:smooth val="0"/>
          <c:extLst>
            <c:ext xmlns:c16="http://schemas.microsoft.com/office/drawing/2014/chart" uri="{C3380CC4-5D6E-409C-BE32-E72D297353CC}">
              <c16:uniqueId val="{00000001-501F-4656-AC98-B487D025F3DD}"/>
            </c:ext>
          </c:extLst>
        </c:ser>
        <c:dLbls>
          <c:showLegendKey val="0"/>
          <c:showVal val="1"/>
          <c:showCatName val="0"/>
          <c:showSerName val="0"/>
          <c:showPercent val="0"/>
          <c:showBubbleSize val="0"/>
        </c:dLbls>
        <c:smooth val="0"/>
        <c:axId val="514494288"/>
        <c:axId val="514495856"/>
      </c:lineChart>
      <c:catAx>
        <c:axId val="514494288"/>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514495856"/>
        <c:crosses val="autoZero"/>
        <c:auto val="1"/>
        <c:lblAlgn val="ctr"/>
        <c:lblOffset val="100"/>
        <c:noMultiLvlLbl val="0"/>
      </c:catAx>
      <c:valAx>
        <c:axId val="514495856"/>
        <c:scaling>
          <c:orientation val="minMax"/>
        </c:scaling>
        <c:delete val="0"/>
        <c:axPos val="l"/>
        <c:majorGridlines>
          <c:spPr>
            <a:ln w="9525" cap="flat" cmpd="sng" algn="ctr">
              <a:solidFill>
                <a:schemeClr val="lt1">
                  <a:lumMod val="90200"/>
                </a:schemeClr>
              </a:solidFill>
              <a:round/>
            </a:ln>
            <a:effectLst/>
          </c:spPr>
        </c:majorGridlines>
        <c:numFmt formatCode="0.00_ "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514494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ddf3053a-72dd-490a-9167-029f497b4479}"/>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100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1">
      <cs:styleClr val="auto"/>
    </cs:fillRef>
    <cs:effectRef idx="0"/>
    <cs:fontRef idx="minor">
      <a:schemeClr val="dk1"/>
    </cs:fontRef>
    <cs:spPr>
      <a:ln>
        <a:noFill/>
      </a:ln>
      <a:effectLst/>
    </cs:spPr>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10028">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0">
      <cs:styleClr val="auto"/>
    </cs:fillRef>
    <cs:effectRef idx="0"/>
    <cs:fontRef idx="minor">
      <a:schemeClr val="dk1"/>
    </cs:fontRef>
    <cs:spPr>
      <a:ln w="28575" cap="rnd">
        <a:solidFill>
          <a:schemeClr val="phClr"/>
        </a:solidFill>
        <a:round/>
      </a:ln>
      <a:effectLst/>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100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1">
      <cs:styleClr val="auto"/>
    </cs:fillRef>
    <cs:effectRef idx="0"/>
    <cs:fontRef idx="minor">
      <a:schemeClr val="dk1"/>
    </cs:fontRef>
    <cs:spPr>
      <a:ln>
        <a:noFill/>
      </a:ln>
      <a:effectLst/>
    </cs:spPr>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100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1">
      <cs:styleClr val="auto"/>
    </cs:fillRef>
    <cs:effectRef idx="0"/>
    <cs:fontRef idx="minor">
      <a:schemeClr val="dk1"/>
    </cs:fontRef>
    <cs:spPr>
      <a:ln>
        <a:noFill/>
      </a:ln>
      <a:effectLst/>
    </cs:spPr>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100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1">
      <cs:styleClr val="auto"/>
    </cs:fillRef>
    <cs:effectRef idx="0"/>
    <cs:fontRef idx="minor">
      <a:schemeClr val="dk1"/>
    </cs:fontRef>
    <cs:spPr>
      <a:ln>
        <a:noFill/>
      </a:ln>
      <a:effectLst/>
    </cs:spPr>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10028">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0">
      <cs:styleClr val="auto"/>
    </cs:fillRef>
    <cs:effectRef idx="0"/>
    <cs:fontRef idx="minor">
      <a:schemeClr val="dk1"/>
    </cs:fontRef>
    <cs:spPr>
      <a:ln w="28575" cap="rnd">
        <a:solidFill>
          <a:schemeClr val="phClr"/>
        </a:solidFill>
        <a:round/>
      </a:ln>
      <a:effectLst/>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2520</TotalTime>
  <Pages>29</Pages>
  <Words>6709</Words>
  <Characters>38244</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19</cp:revision>
  <dcterms:created xsi:type="dcterms:W3CDTF">2026-07-08T15:16:25.000Z</dcterms:created>
  <dcterms:modified xsi:type="dcterms:W3CDTF">2026-08-13T11:17:00Z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1033-12.1.26015.26015</vt:lpwstr>
  </property>
  <property fmtid="{D5CDD505-2E9C-101B-9397-08002B2CF9AE}" pid="3" name="ICV">
    <vt:lpwstr>78E5F9958EE70375545D606A819C348F_41</vt:lpwstr>
  </property>
</Properties>
</file>