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77179422"/>
        <w:docPartObj>
          <w:docPartGallery w:val="Cover Pages"/>
          <w:docPartUnique/>
        </w:docPartObj>
      </w:sdtPr>
      <w:sdtEndPr>
        <w:rPr>
          <w:rFonts w:ascii="Calibri" w:hAnsi="Calibri" w:cs="Calibri"/>
          <w:b/>
          <w:bCs/>
          <w:color w:val="FF0000"/>
          <w:sz w:val="28"/>
          <w:szCs w:val="28"/>
        </w:rPr>
      </w:sdtEndPr>
      <w:sdtContent>
        <w:p w14:paraId="5E138F31" w14:textId="297794B1" w:rsidR="00C10F5A" w:rsidRDefault="003A61AA">
          <w:r>
            <w:rPr>
              <w:noProof/>
            </w:rPr>
            <mc:AlternateContent>
              <mc:Choice Requires="wpg">
                <w:drawing>
                  <wp:anchor distT="0" distB="0" distL="114300" distR="114300" simplePos="0" relativeHeight="251659264" behindDoc="1" locked="0" layoutInCell="1" allowOverlap="1" wp14:anchorId="2F693F2A" wp14:editId="0EDCB589">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AD1169E" w14:textId="0F22869B" w:rsidR="00C10F5A" w:rsidRPr="00BE672B" w:rsidRDefault="00C10F5A">
                                      <w:pPr>
                                        <w:pStyle w:val="NoSpacing"/>
                                        <w:spacing w:before="120"/>
                                        <w:jc w:val="center"/>
                                        <w:rPr>
                                          <w:color w:val="FFFFFF" w:themeColor="background1"/>
                                          <w:sz w:val="72"/>
                                          <w:szCs w:val="72"/>
                                        </w:rPr>
                                      </w:pPr>
                                      <w:r w:rsidRPr="00BE672B">
                                        <w:rPr>
                                          <w:color w:val="FFFFFF" w:themeColor="background1"/>
                                          <w:sz w:val="72"/>
                                          <w:szCs w:val="72"/>
                                        </w:rPr>
                                        <w:t>Donna Morgan</w:t>
                                      </w:r>
                                      <w:r w:rsidR="00442675">
                                        <w:rPr>
                                          <w:color w:val="FFFFFF" w:themeColor="background1"/>
                                          <w:sz w:val="72"/>
                                          <w:szCs w:val="72"/>
                                        </w:rPr>
                                        <w:t xml:space="preserve"> - 1051704</w:t>
                                      </w:r>
                                    </w:p>
                                  </w:sdtContent>
                                </w:sdt>
                                <w:p w14:paraId="025D8FE2" w14:textId="40E7DBEA" w:rsidR="00C10F5A" w:rsidRDefault="00F1741A">
                                  <w:pPr>
                                    <w:pStyle w:val="NoSpacing"/>
                                    <w:spacing w:before="120"/>
                                    <w:jc w:val="center"/>
                                    <w:rPr>
                                      <w:color w:val="FFFFFF" w:themeColor="background1"/>
                                    </w:rPr>
                                  </w:pPr>
                                  <w:sdt>
                                    <w:sdtPr>
                                      <w:rPr>
                                        <w:caps/>
                                        <w:color w:val="FFFFFF" w:themeColor="background1"/>
                                        <w:sz w:val="44"/>
                                        <w:szCs w:val="4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362C0" w:rsidRPr="00442675">
                                        <w:rPr>
                                          <w:caps/>
                                          <w:color w:val="FFFFFF" w:themeColor="background1"/>
                                          <w:sz w:val="44"/>
                                          <w:szCs w:val="44"/>
                                        </w:rPr>
                                        <w:t xml:space="preserve">                                                                               </w:t>
                                      </w:r>
                                      <w:r w:rsidR="00442675">
                                        <w:rPr>
                                          <w:caps/>
                                          <w:color w:val="FFFFFF" w:themeColor="background1"/>
                                          <w:sz w:val="44"/>
                                          <w:szCs w:val="44"/>
                                        </w:rPr>
                                        <w:t xml:space="preserve">        </w:t>
                                      </w:r>
                                      <w:r w:rsidR="003D1F5A" w:rsidRPr="00442675">
                                        <w:rPr>
                                          <w:caps/>
                                          <w:color w:val="FFFFFF" w:themeColor="background1"/>
                                          <w:sz w:val="44"/>
                                          <w:szCs w:val="44"/>
                                        </w:rPr>
                                        <w:t xml:space="preserve"> </w:t>
                                      </w:r>
                                      <w:r w:rsidR="00D31A17" w:rsidRPr="00442675">
                                        <w:rPr>
                                          <w:caps/>
                                          <w:color w:val="FFFFFF" w:themeColor="background1"/>
                                          <w:sz w:val="44"/>
                                          <w:szCs w:val="44"/>
                                        </w:rPr>
                                        <w:t xml:space="preserve">Word Count </w:t>
                                      </w:r>
                                      <w:r w:rsidR="001B552E" w:rsidRPr="00442675">
                                        <w:rPr>
                                          <w:caps/>
                                          <w:color w:val="FFFFFF" w:themeColor="background1"/>
                                          <w:sz w:val="44"/>
                                          <w:szCs w:val="44"/>
                                        </w:rPr>
                                        <w:t>–</w:t>
                                      </w:r>
                                      <w:r w:rsidR="003D1F5A" w:rsidRPr="00442675">
                                        <w:rPr>
                                          <w:caps/>
                                          <w:color w:val="FFFFFF" w:themeColor="background1"/>
                                          <w:sz w:val="44"/>
                                          <w:szCs w:val="44"/>
                                        </w:rPr>
                                        <w:t xml:space="preserve"> </w:t>
                                      </w:r>
                                      <w:r w:rsidR="001B552E" w:rsidRPr="00442675">
                                        <w:rPr>
                                          <w:caps/>
                                          <w:color w:val="FFFFFF" w:themeColor="background1"/>
                                          <w:sz w:val="44"/>
                                          <w:szCs w:val="44"/>
                                        </w:rPr>
                                        <w:t>3,431</w:t>
                                      </w:r>
                                    </w:sdtContent>
                                  </w:sdt>
                                  <w:r w:rsidR="00C10F5A">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131EF40" w14:textId="24FC57A9" w:rsidR="00C10F5A" w:rsidRDefault="00AE4FE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ECDE7012             Assessment Component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693F2A"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AD1169E" w14:textId="0F22869B" w:rsidR="00C10F5A" w:rsidRPr="00BE672B" w:rsidRDefault="00C10F5A">
                                <w:pPr>
                                  <w:pStyle w:val="NoSpacing"/>
                                  <w:spacing w:before="120"/>
                                  <w:jc w:val="center"/>
                                  <w:rPr>
                                    <w:color w:val="FFFFFF" w:themeColor="background1"/>
                                    <w:sz w:val="72"/>
                                    <w:szCs w:val="72"/>
                                  </w:rPr>
                                </w:pPr>
                                <w:r w:rsidRPr="00BE672B">
                                  <w:rPr>
                                    <w:color w:val="FFFFFF" w:themeColor="background1"/>
                                    <w:sz w:val="72"/>
                                    <w:szCs w:val="72"/>
                                  </w:rPr>
                                  <w:t>Donna Morgan</w:t>
                                </w:r>
                                <w:r w:rsidR="00442675">
                                  <w:rPr>
                                    <w:color w:val="FFFFFF" w:themeColor="background1"/>
                                    <w:sz w:val="72"/>
                                    <w:szCs w:val="72"/>
                                  </w:rPr>
                                  <w:t xml:space="preserve"> - 1051704</w:t>
                                </w:r>
                              </w:p>
                            </w:sdtContent>
                          </w:sdt>
                          <w:p w14:paraId="025D8FE2" w14:textId="40E7DBEA" w:rsidR="00C10F5A" w:rsidRDefault="00F1741A">
                            <w:pPr>
                              <w:pStyle w:val="NoSpacing"/>
                              <w:spacing w:before="120"/>
                              <w:jc w:val="center"/>
                              <w:rPr>
                                <w:color w:val="FFFFFF" w:themeColor="background1"/>
                              </w:rPr>
                            </w:pPr>
                            <w:sdt>
                              <w:sdtPr>
                                <w:rPr>
                                  <w:caps/>
                                  <w:color w:val="FFFFFF" w:themeColor="background1"/>
                                  <w:sz w:val="44"/>
                                  <w:szCs w:val="44"/>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362C0" w:rsidRPr="00442675">
                                  <w:rPr>
                                    <w:caps/>
                                    <w:color w:val="FFFFFF" w:themeColor="background1"/>
                                    <w:sz w:val="44"/>
                                    <w:szCs w:val="44"/>
                                  </w:rPr>
                                  <w:t xml:space="preserve">                                                                               </w:t>
                                </w:r>
                                <w:r w:rsidR="00442675">
                                  <w:rPr>
                                    <w:caps/>
                                    <w:color w:val="FFFFFF" w:themeColor="background1"/>
                                    <w:sz w:val="44"/>
                                    <w:szCs w:val="44"/>
                                  </w:rPr>
                                  <w:t xml:space="preserve">        </w:t>
                                </w:r>
                                <w:r w:rsidR="003D1F5A" w:rsidRPr="00442675">
                                  <w:rPr>
                                    <w:caps/>
                                    <w:color w:val="FFFFFF" w:themeColor="background1"/>
                                    <w:sz w:val="44"/>
                                    <w:szCs w:val="44"/>
                                  </w:rPr>
                                  <w:t xml:space="preserve"> </w:t>
                                </w:r>
                                <w:r w:rsidR="00D31A17" w:rsidRPr="00442675">
                                  <w:rPr>
                                    <w:caps/>
                                    <w:color w:val="FFFFFF" w:themeColor="background1"/>
                                    <w:sz w:val="44"/>
                                    <w:szCs w:val="44"/>
                                  </w:rPr>
                                  <w:t xml:space="preserve">Word Count </w:t>
                                </w:r>
                                <w:r w:rsidR="001B552E" w:rsidRPr="00442675">
                                  <w:rPr>
                                    <w:caps/>
                                    <w:color w:val="FFFFFF" w:themeColor="background1"/>
                                    <w:sz w:val="44"/>
                                    <w:szCs w:val="44"/>
                                  </w:rPr>
                                  <w:t>–</w:t>
                                </w:r>
                                <w:r w:rsidR="003D1F5A" w:rsidRPr="00442675">
                                  <w:rPr>
                                    <w:caps/>
                                    <w:color w:val="FFFFFF" w:themeColor="background1"/>
                                    <w:sz w:val="44"/>
                                    <w:szCs w:val="44"/>
                                  </w:rPr>
                                  <w:t xml:space="preserve"> </w:t>
                                </w:r>
                                <w:r w:rsidR="001B552E" w:rsidRPr="00442675">
                                  <w:rPr>
                                    <w:caps/>
                                    <w:color w:val="FFFFFF" w:themeColor="background1"/>
                                    <w:sz w:val="44"/>
                                    <w:szCs w:val="44"/>
                                  </w:rPr>
                                  <w:t>3,431</w:t>
                                </w:r>
                              </w:sdtContent>
                            </w:sdt>
                            <w:r w:rsidR="00C10F5A">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131EF40" w14:textId="24FC57A9" w:rsidR="00C10F5A" w:rsidRDefault="00AE4FE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ECDE7012             Assessment Component 1</w:t>
                                </w:r>
                              </w:p>
                            </w:sdtContent>
                          </w:sdt>
                        </w:txbxContent>
                      </v:textbox>
                    </v:shape>
                    <w10:wrap anchorx="page" anchory="page"/>
                  </v:group>
                </w:pict>
              </mc:Fallback>
            </mc:AlternateContent>
          </w:r>
        </w:p>
        <w:p w14:paraId="052360FB" w14:textId="705C8C19" w:rsidR="00C10F5A" w:rsidRDefault="00C10F5A">
          <w:pPr>
            <w:rPr>
              <w:rFonts w:ascii="Calibri" w:hAnsi="Calibri" w:cs="Calibri"/>
              <w:b/>
              <w:bCs/>
              <w:color w:val="FF0000"/>
              <w:sz w:val="28"/>
              <w:szCs w:val="28"/>
            </w:rPr>
          </w:pPr>
          <w:r>
            <w:rPr>
              <w:rFonts w:ascii="Calibri" w:hAnsi="Calibri" w:cs="Calibri"/>
              <w:b/>
              <w:bCs/>
              <w:color w:val="FF0000"/>
              <w:sz w:val="28"/>
              <w:szCs w:val="28"/>
            </w:rPr>
            <w:br w:type="page"/>
          </w:r>
        </w:p>
      </w:sdtContent>
    </w:sdt>
    <w:p w14:paraId="1596B11E" w14:textId="147BB30D" w:rsidR="00876C50" w:rsidRPr="003A7D44" w:rsidRDefault="005D151A" w:rsidP="00DA2F1C">
      <w:pPr>
        <w:rPr>
          <w:rFonts w:ascii="Calibri" w:hAnsi="Calibri" w:cs="Calibri"/>
          <w:b/>
          <w:bCs/>
          <w:color w:val="0D0D0D" w:themeColor="text1" w:themeTint="F2"/>
          <w:u w:val="single"/>
        </w:rPr>
      </w:pPr>
      <w:r w:rsidRPr="003A7D44">
        <w:rPr>
          <w:rFonts w:ascii="Calibri" w:hAnsi="Calibri" w:cs="Calibri"/>
          <w:b/>
          <w:bCs/>
          <w:color w:val="0D0D0D" w:themeColor="text1" w:themeTint="F2"/>
          <w:u w:val="single"/>
        </w:rPr>
        <w:lastRenderedPageBreak/>
        <w:t>Part 1 - Aim, focus and purpose of the research</w:t>
      </w:r>
    </w:p>
    <w:p w14:paraId="3188A4F6" w14:textId="73E33181" w:rsidR="00876C50" w:rsidRPr="003A7D44" w:rsidRDefault="00876C50" w:rsidP="00DA2F1C">
      <w:pPr>
        <w:rPr>
          <w:rFonts w:ascii="Calibri" w:hAnsi="Calibri" w:cs="Calibri"/>
          <w:color w:val="0D0D0D" w:themeColor="text1" w:themeTint="F2"/>
        </w:rPr>
      </w:pPr>
      <w:r w:rsidRPr="003A7D44">
        <w:rPr>
          <w:rFonts w:ascii="Calibri" w:hAnsi="Calibri" w:cs="Calibri"/>
          <w:color w:val="0D0D0D" w:themeColor="text1" w:themeTint="F2"/>
        </w:rPr>
        <w:t>A significant global nursing crisis persists, with the World Health Organization (2024) forecasting a 13 million nurse deficit worldwide, coupled with an expected four million retirements within the next decade.</w:t>
      </w:r>
      <w:r w:rsidR="00B83225"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In the United Kingdom</w:t>
      </w:r>
      <w:r w:rsidR="004C3A57" w:rsidRPr="003A7D44">
        <w:rPr>
          <w:rFonts w:ascii="Calibri" w:hAnsi="Calibri" w:cs="Calibri"/>
          <w:color w:val="0D0D0D" w:themeColor="text1" w:themeTint="F2"/>
        </w:rPr>
        <w:t xml:space="preserve"> (UK)</w:t>
      </w:r>
      <w:r w:rsidRPr="003A7D44">
        <w:rPr>
          <w:rFonts w:ascii="Calibri" w:hAnsi="Calibri" w:cs="Calibri"/>
          <w:color w:val="0D0D0D" w:themeColor="text1" w:themeTint="F2"/>
        </w:rPr>
        <w:t xml:space="preserve">, the Royal College of Nursing (2024) reports a current shortfall of 40,000 nurses, with Wales facing a deficit of 2,700. </w:t>
      </w:r>
      <w:r w:rsidR="00B83225" w:rsidRPr="003A7D44">
        <w:rPr>
          <w:rFonts w:ascii="Calibri" w:hAnsi="Calibri" w:cs="Calibri"/>
          <w:color w:val="0D0D0D" w:themeColor="text1" w:themeTint="F2"/>
        </w:rPr>
        <w:t xml:space="preserve"> </w:t>
      </w:r>
      <w:r w:rsidRPr="003A7D44">
        <w:rPr>
          <w:rFonts w:ascii="Calibri" w:hAnsi="Calibri" w:cs="Calibri"/>
          <w:color w:val="0D0D0D" w:themeColor="text1" w:themeTint="F2"/>
        </w:rPr>
        <w:t>The Nursing and Midwifery Council (NMC</w:t>
      </w:r>
      <w:proofErr w:type="gramStart"/>
      <w:r w:rsidRPr="003A7D44">
        <w:rPr>
          <w:rFonts w:ascii="Calibri" w:hAnsi="Calibri" w:cs="Calibri"/>
          <w:color w:val="0D0D0D" w:themeColor="text1" w:themeTint="F2"/>
        </w:rPr>
        <w:t>)</w:t>
      </w:r>
      <w:r w:rsidR="00B35F83" w:rsidRPr="003A7D44">
        <w:rPr>
          <w:rFonts w:ascii="Calibri" w:hAnsi="Calibri" w:cs="Calibri"/>
          <w:color w:val="0D0D0D" w:themeColor="text1" w:themeTint="F2"/>
        </w:rPr>
        <w:t>(</w:t>
      </w:r>
      <w:proofErr w:type="gramEnd"/>
      <w:r w:rsidR="00B35F83" w:rsidRPr="003A7D44">
        <w:rPr>
          <w:rFonts w:ascii="Calibri" w:hAnsi="Calibri" w:cs="Calibri"/>
          <w:color w:val="0D0D0D" w:themeColor="text1" w:themeTint="F2"/>
        </w:rPr>
        <w:t>2023) informs its</w:t>
      </w:r>
      <w:r w:rsidRPr="003A7D44">
        <w:rPr>
          <w:rFonts w:ascii="Calibri" w:hAnsi="Calibri" w:cs="Calibri"/>
          <w:color w:val="0D0D0D" w:themeColor="text1" w:themeTint="F2"/>
        </w:rPr>
        <w:t xml:space="preserve"> register lists approximately 705,000 nurses across the UK's four specialisms </w:t>
      </w:r>
      <w:r w:rsidR="00B83225" w:rsidRPr="003A7D44">
        <w:rPr>
          <w:rFonts w:ascii="Calibri" w:hAnsi="Calibri" w:cs="Calibri"/>
          <w:color w:val="0D0D0D" w:themeColor="text1" w:themeTint="F2"/>
        </w:rPr>
        <w:t xml:space="preserve">of </w:t>
      </w:r>
      <w:r w:rsidRPr="003A7D44">
        <w:rPr>
          <w:rFonts w:ascii="Calibri" w:hAnsi="Calibri" w:cs="Calibri"/>
          <w:color w:val="0D0D0D" w:themeColor="text1" w:themeTint="F2"/>
        </w:rPr>
        <w:t xml:space="preserve">adult, mental health, paediatric, and learning disability, with 38,300 of those based in Wales. </w:t>
      </w:r>
      <w:r w:rsidR="00B83225"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Notably, only 11% of UK nurses are male. </w:t>
      </w:r>
      <w:r w:rsidR="00B83225"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Addressing this shortage, as highlighted by Flaubert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w:t>
      </w:r>
      <w:r w:rsidR="00B83225" w:rsidRPr="003A7D44">
        <w:rPr>
          <w:rFonts w:ascii="Calibri" w:hAnsi="Calibri" w:cs="Calibri"/>
          <w:color w:val="0D0D0D" w:themeColor="text1" w:themeTint="F2"/>
        </w:rPr>
        <w:t xml:space="preserve"> (</w:t>
      </w:r>
      <w:r w:rsidR="00BE730B" w:rsidRPr="003A7D44">
        <w:rPr>
          <w:rFonts w:ascii="Calibri" w:hAnsi="Calibri" w:cs="Calibri"/>
          <w:color w:val="0D0D0D" w:themeColor="text1" w:themeTint="F2"/>
        </w:rPr>
        <w:t>2023</w:t>
      </w:r>
      <w:r w:rsidR="00B83225" w:rsidRPr="003A7D44">
        <w:rPr>
          <w:rFonts w:ascii="Calibri" w:hAnsi="Calibri" w:cs="Calibri"/>
          <w:color w:val="0D0D0D" w:themeColor="text1" w:themeTint="F2"/>
        </w:rPr>
        <w:t>)</w:t>
      </w:r>
      <w:r w:rsidRPr="003A7D44">
        <w:rPr>
          <w:rFonts w:ascii="Calibri" w:hAnsi="Calibri" w:cs="Calibri"/>
          <w:color w:val="0D0D0D" w:themeColor="text1" w:themeTint="F2"/>
        </w:rPr>
        <w:t>, requires building a strong pipeline of future nurses through effective recruitment into educational programmes.</w:t>
      </w:r>
    </w:p>
    <w:p w14:paraId="09A5C4A6" w14:textId="1A11FA73" w:rsidR="00F85887" w:rsidRPr="003A7D44" w:rsidRDefault="00876C50" w:rsidP="00DA2F1C">
      <w:pPr>
        <w:rPr>
          <w:rFonts w:ascii="Calibri" w:hAnsi="Calibri" w:cs="Calibri"/>
          <w:color w:val="0D0D0D" w:themeColor="text1" w:themeTint="F2"/>
        </w:rPr>
      </w:pPr>
      <w:r w:rsidRPr="003A7D44">
        <w:rPr>
          <w:rFonts w:ascii="Calibri" w:hAnsi="Calibri" w:cs="Calibri"/>
          <w:color w:val="0D0D0D" w:themeColor="text1" w:themeTint="F2"/>
        </w:rPr>
        <w:t xml:space="preserve">Researchers, however, such as Teresa-Morales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w:t>
      </w:r>
      <w:r w:rsidR="00B83225" w:rsidRPr="003A7D44">
        <w:rPr>
          <w:rFonts w:ascii="Calibri" w:hAnsi="Calibri" w:cs="Calibri"/>
          <w:color w:val="0D0D0D" w:themeColor="text1" w:themeTint="F2"/>
        </w:rPr>
        <w:t xml:space="preserve"> (</w:t>
      </w:r>
      <w:r w:rsidR="00496D6E" w:rsidRPr="003A7D44">
        <w:rPr>
          <w:rFonts w:ascii="Calibri" w:hAnsi="Calibri" w:cs="Calibri"/>
          <w:color w:val="0D0D0D" w:themeColor="text1" w:themeTint="F2"/>
        </w:rPr>
        <w:t>2022</w:t>
      </w:r>
      <w:r w:rsidR="00B83225" w:rsidRPr="003A7D44">
        <w:rPr>
          <w:rFonts w:ascii="Calibri" w:hAnsi="Calibri" w:cs="Calibri"/>
          <w:color w:val="0D0D0D" w:themeColor="text1" w:themeTint="F2"/>
        </w:rPr>
        <w:t>)</w:t>
      </w:r>
      <w:r w:rsidRPr="003A7D44">
        <w:rPr>
          <w:rFonts w:ascii="Calibri" w:hAnsi="Calibri" w:cs="Calibri"/>
          <w:color w:val="0D0D0D" w:themeColor="text1" w:themeTint="F2"/>
        </w:rPr>
        <w:t xml:space="preserve"> and Stanley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w:t>
      </w:r>
      <w:r w:rsidR="00B83225" w:rsidRPr="003A7D44">
        <w:rPr>
          <w:rFonts w:ascii="Calibri" w:hAnsi="Calibri" w:cs="Calibri"/>
          <w:color w:val="0D0D0D" w:themeColor="text1" w:themeTint="F2"/>
        </w:rPr>
        <w:t xml:space="preserve"> (</w:t>
      </w:r>
      <w:r w:rsidR="00BE730B" w:rsidRPr="003A7D44">
        <w:rPr>
          <w:rFonts w:ascii="Calibri" w:hAnsi="Calibri" w:cs="Calibri"/>
          <w:color w:val="0D0D0D" w:themeColor="text1" w:themeTint="F2"/>
        </w:rPr>
        <w:t>2017</w:t>
      </w:r>
      <w:r w:rsidR="00B83225" w:rsidRPr="003A7D44">
        <w:rPr>
          <w:rFonts w:ascii="Calibri" w:hAnsi="Calibri" w:cs="Calibri"/>
          <w:color w:val="0D0D0D" w:themeColor="text1" w:themeTint="F2"/>
        </w:rPr>
        <w:t>)</w:t>
      </w:r>
      <w:r w:rsidRPr="003A7D44">
        <w:rPr>
          <w:rFonts w:ascii="Calibri" w:hAnsi="Calibri" w:cs="Calibri"/>
          <w:color w:val="0D0D0D" w:themeColor="text1" w:themeTint="F2"/>
        </w:rPr>
        <w:t xml:space="preserve"> point to gender disparities in student nurse numbers as a major impediment to recruitment. </w:t>
      </w:r>
      <w:r w:rsidR="00B83225"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Data from the Health Education Standards Agency </w:t>
      </w:r>
      <w:r w:rsidR="00B83225" w:rsidRPr="003A7D44">
        <w:rPr>
          <w:rFonts w:ascii="Calibri" w:hAnsi="Calibri" w:cs="Calibri"/>
          <w:color w:val="0D0D0D" w:themeColor="text1" w:themeTint="F2"/>
        </w:rPr>
        <w:t>(</w:t>
      </w:r>
      <w:r w:rsidR="00496D6E" w:rsidRPr="003A7D44">
        <w:rPr>
          <w:rFonts w:ascii="Calibri" w:hAnsi="Calibri" w:cs="Calibri"/>
          <w:color w:val="0D0D0D" w:themeColor="text1" w:themeTint="F2"/>
        </w:rPr>
        <w:t>2024</w:t>
      </w:r>
      <w:r w:rsidR="00B83225"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indicates a widening gender gap in </w:t>
      </w:r>
      <w:r w:rsidR="004C3A57" w:rsidRPr="003A7D44">
        <w:rPr>
          <w:rFonts w:ascii="Calibri" w:hAnsi="Calibri" w:cs="Calibri"/>
          <w:color w:val="0D0D0D" w:themeColor="text1" w:themeTint="F2"/>
        </w:rPr>
        <w:t xml:space="preserve">UK </w:t>
      </w:r>
      <w:r w:rsidRPr="003A7D44">
        <w:rPr>
          <w:rFonts w:ascii="Calibri" w:hAnsi="Calibri" w:cs="Calibri"/>
          <w:color w:val="0D0D0D" w:themeColor="text1" w:themeTint="F2"/>
        </w:rPr>
        <w:t>nurse education</w:t>
      </w:r>
      <w:r w:rsidR="00B83225" w:rsidRPr="003A7D44">
        <w:rPr>
          <w:rFonts w:ascii="Calibri" w:hAnsi="Calibri" w:cs="Calibri"/>
          <w:color w:val="0D0D0D" w:themeColor="text1" w:themeTint="F2"/>
        </w:rPr>
        <w:t xml:space="preserve"> </w:t>
      </w:r>
      <w:r w:rsidR="004C3A57" w:rsidRPr="003A7D44">
        <w:rPr>
          <w:rFonts w:ascii="Calibri" w:hAnsi="Calibri" w:cs="Calibri"/>
          <w:color w:val="0D0D0D" w:themeColor="text1" w:themeTint="F2"/>
        </w:rPr>
        <w:t>with 10</w:t>
      </w:r>
      <w:r w:rsidR="008D57C7" w:rsidRPr="003A7D44">
        <w:rPr>
          <w:rFonts w:ascii="Calibri" w:hAnsi="Calibri" w:cs="Calibri"/>
          <w:color w:val="0D0D0D" w:themeColor="text1" w:themeTint="F2"/>
        </w:rPr>
        <w:t xml:space="preserve">.4 </w:t>
      </w:r>
      <w:r w:rsidR="004C3A57" w:rsidRPr="003A7D44">
        <w:rPr>
          <w:rFonts w:ascii="Calibri" w:hAnsi="Calibri" w:cs="Calibri"/>
          <w:color w:val="0D0D0D" w:themeColor="text1" w:themeTint="F2"/>
        </w:rPr>
        <w:t>% of the</w:t>
      </w:r>
      <w:r w:rsidR="00D827BA" w:rsidRPr="003A7D44">
        <w:rPr>
          <w:rFonts w:ascii="Calibri" w:hAnsi="Calibri" w:cs="Calibri"/>
          <w:color w:val="0D0D0D" w:themeColor="text1" w:themeTint="F2"/>
        </w:rPr>
        <w:t xml:space="preserve"> enrolled</w:t>
      </w:r>
      <w:r w:rsidR="004C3A57" w:rsidRPr="003A7D44">
        <w:rPr>
          <w:rFonts w:ascii="Calibri" w:hAnsi="Calibri" w:cs="Calibri"/>
          <w:color w:val="0D0D0D" w:themeColor="text1" w:themeTint="F2"/>
        </w:rPr>
        <w:t xml:space="preserve"> nursing cohort</w:t>
      </w:r>
      <w:r w:rsidR="008D57C7" w:rsidRPr="003A7D44">
        <w:rPr>
          <w:rFonts w:ascii="Calibri" w:hAnsi="Calibri" w:cs="Calibri"/>
          <w:color w:val="0D0D0D" w:themeColor="text1" w:themeTint="F2"/>
        </w:rPr>
        <w:t xml:space="preserve"> reported as male in </w:t>
      </w:r>
      <w:r w:rsidR="004162E4" w:rsidRPr="003A7D44">
        <w:rPr>
          <w:rFonts w:ascii="Calibri" w:hAnsi="Calibri" w:cs="Calibri"/>
          <w:color w:val="0D0D0D" w:themeColor="text1" w:themeTint="F2"/>
        </w:rPr>
        <w:t>2020 in comparison to 9.</w:t>
      </w:r>
      <w:r w:rsidR="00D827BA" w:rsidRPr="003A7D44">
        <w:rPr>
          <w:rFonts w:ascii="Calibri" w:hAnsi="Calibri" w:cs="Calibri"/>
          <w:color w:val="0D0D0D" w:themeColor="text1" w:themeTint="F2"/>
        </w:rPr>
        <w:t>6</w:t>
      </w:r>
      <w:r w:rsidR="00756384" w:rsidRPr="003A7D44">
        <w:rPr>
          <w:rFonts w:ascii="Calibri" w:hAnsi="Calibri" w:cs="Calibri"/>
          <w:color w:val="0D0D0D" w:themeColor="text1" w:themeTint="F2"/>
        </w:rPr>
        <w:t xml:space="preserve"> % in 2023</w:t>
      </w:r>
      <w:r w:rsidRPr="003A7D44">
        <w:rPr>
          <w:rFonts w:ascii="Calibri" w:hAnsi="Calibri" w:cs="Calibri"/>
          <w:color w:val="0D0D0D" w:themeColor="text1" w:themeTint="F2"/>
        </w:rPr>
        <w:t>.</w:t>
      </w:r>
      <w:r w:rsidR="00407988">
        <w:rPr>
          <w:rFonts w:ascii="Calibri" w:hAnsi="Calibri" w:cs="Calibri"/>
          <w:color w:val="0D0D0D" w:themeColor="text1" w:themeTint="F2"/>
        </w:rPr>
        <w:t xml:space="preserve"> </w:t>
      </w:r>
      <w:r w:rsidRPr="003A7D44">
        <w:rPr>
          <w:rFonts w:ascii="Calibri" w:hAnsi="Calibri" w:cs="Calibri"/>
          <w:color w:val="0D0D0D" w:themeColor="text1" w:themeTint="F2"/>
        </w:rPr>
        <w:t xml:space="preserve"> Th</w:t>
      </w:r>
      <w:r w:rsidR="006A5A19" w:rsidRPr="003A7D44">
        <w:rPr>
          <w:rFonts w:ascii="Calibri" w:hAnsi="Calibri" w:cs="Calibri"/>
          <w:color w:val="0D0D0D" w:themeColor="text1" w:themeTint="F2"/>
        </w:rPr>
        <w:t>ese statistics are</w:t>
      </w:r>
      <w:r w:rsidRPr="003A7D44">
        <w:rPr>
          <w:rFonts w:ascii="Calibri" w:hAnsi="Calibri" w:cs="Calibri"/>
          <w:color w:val="0D0D0D" w:themeColor="text1" w:themeTint="F2"/>
        </w:rPr>
        <w:t xml:space="preserve"> corroborated by the University and College Admissions Service's</w:t>
      </w:r>
      <w:r w:rsidR="00B83225" w:rsidRPr="003A7D44">
        <w:rPr>
          <w:rFonts w:ascii="Calibri" w:hAnsi="Calibri" w:cs="Calibri"/>
          <w:color w:val="0D0D0D" w:themeColor="text1" w:themeTint="F2"/>
        </w:rPr>
        <w:t xml:space="preserve"> (</w:t>
      </w:r>
      <w:r w:rsidR="00BE730B" w:rsidRPr="003A7D44">
        <w:rPr>
          <w:rFonts w:ascii="Calibri" w:hAnsi="Calibri" w:cs="Calibri"/>
          <w:color w:val="0D0D0D" w:themeColor="text1" w:themeTint="F2"/>
        </w:rPr>
        <w:t>2024</w:t>
      </w:r>
      <w:r w:rsidR="00B83225" w:rsidRPr="003A7D44">
        <w:rPr>
          <w:rFonts w:ascii="Calibri" w:hAnsi="Calibri" w:cs="Calibri"/>
          <w:color w:val="0D0D0D" w:themeColor="text1" w:themeTint="F2"/>
        </w:rPr>
        <w:t>)</w:t>
      </w:r>
      <w:r w:rsidRPr="003A7D44">
        <w:rPr>
          <w:rFonts w:ascii="Calibri" w:hAnsi="Calibri" w:cs="Calibri"/>
          <w:color w:val="0D0D0D" w:themeColor="text1" w:themeTint="F2"/>
        </w:rPr>
        <w:t xml:space="preserve"> longitudinal study, which revealed that the difference between female and male entrants to UK undergraduate nursing programmes increased from over 19,000 in 2011 to 25,000 by 2021.</w:t>
      </w:r>
      <w:r w:rsidR="00496D6E"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The NMC</w:t>
      </w:r>
      <w:r w:rsidR="00B83225" w:rsidRPr="003A7D44">
        <w:rPr>
          <w:rFonts w:ascii="Calibri" w:hAnsi="Calibri" w:cs="Calibri"/>
          <w:color w:val="0D0D0D" w:themeColor="text1" w:themeTint="F2"/>
        </w:rPr>
        <w:t xml:space="preserve"> (</w:t>
      </w:r>
      <w:r w:rsidR="00BE730B" w:rsidRPr="003A7D44">
        <w:rPr>
          <w:rFonts w:ascii="Calibri" w:hAnsi="Calibri" w:cs="Calibri"/>
          <w:color w:val="0D0D0D" w:themeColor="text1" w:themeTint="F2"/>
        </w:rPr>
        <w:t>202</w:t>
      </w:r>
      <w:r w:rsidR="00B35F83" w:rsidRPr="003A7D44">
        <w:rPr>
          <w:rFonts w:ascii="Calibri" w:hAnsi="Calibri" w:cs="Calibri"/>
          <w:color w:val="0D0D0D" w:themeColor="text1" w:themeTint="F2"/>
        </w:rPr>
        <w:t>4</w:t>
      </w:r>
      <w:r w:rsidR="00B83225" w:rsidRPr="003A7D44">
        <w:rPr>
          <w:rFonts w:ascii="Calibri" w:hAnsi="Calibri" w:cs="Calibri"/>
          <w:color w:val="0D0D0D" w:themeColor="text1" w:themeTint="F2"/>
        </w:rPr>
        <w:t>)</w:t>
      </w:r>
      <w:r w:rsidRPr="003A7D44">
        <w:rPr>
          <w:rFonts w:ascii="Calibri" w:hAnsi="Calibri" w:cs="Calibri"/>
          <w:color w:val="0D0D0D" w:themeColor="text1" w:themeTint="F2"/>
        </w:rPr>
        <w:t xml:space="preserve"> further emphasises that in Wales, men represent only 5% of nursing graduates, suggesting an attrition rate of almost 50%, and intensifying this imbalance. </w:t>
      </w:r>
      <w:r w:rsidR="00552CA3" w:rsidRPr="003A7D44">
        <w:rPr>
          <w:rFonts w:ascii="Calibri" w:hAnsi="Calibri" w:cs="Calibri"/>
          <w:color w:val="0D0D0D" w:themeColor="text1" w:themeTint="F2"/>
        </w:rPr>
        <w:t xml:space="preserve"> This gender disparity has significant consequences for universities, the nursing profession, and society (Andrew </w:t>
      </w:r>
      <w:r w:rsidR="00552CA3" w:rsidRPr="003A7D44">
        <w:rPr>
          <w:rFonts w:ascii="Calibri" w:hAnsi="Calibri" w:cs="Calibri"/>
          <w:i/>
          <w:iCs/>
          <w:color w:val="0D0D0D" w:themeColor="text1" w:themeTint="F2"/>
        </w:rPr>
        <w:t>et al</w:t>
      </w:r>
      <w:r w:rsidR="00552CA3" w:rsidRPr="003A7D44">
        <w:rPr>
          <w:rFonts w:ascii="Calibri" w:hAnsi="Calibri" w:cs="Calibri"/>
          <w:color w:val="0D0D0D" w:themeColor="text1" w:themeTint="F2"/>
        </w:rPr>
        <w:t>., 2023).  Cho and Jung (202</w:t>
      </w:r>
      <w:r w:rsidR="00B35F83" w:rsidRPr="003A7D44">
        <w:rPr>
          <w:rFonts w:ascii="Calibri" w:hAnsi="Calibri" w:cs="Calibri"/>
          <w:color w:val="0D0D0D" w:themeColor="text1" w:themeTint="F2"/>
        </w:rPr>
        <w:t>1</w:t>
      </w:r>
      <w:r w:rsidR="00552CA3" w:rsidRPr="003A7D44">
        <w:rPr>
          <w:rFonts w:ascii="Calibri" w:hAnsi="Calibri" w:cs="Calibri"/>
          <w:color w:val="0D0D0D" w:themeColor="text1" w:themeTint="F2"/>
        </w:rPr>
        <w:t>) found that a more balanced gender representation in nursing programmes correlates with improved job satisfaction, respect, and professional pride among nurses.  Consequently, addressing this imbalance is crucial for maintaining a sustainable and flourishing nursing workforce in the UK.</w:t>
      </w:r>
    </w:p>
    <w:p w14:paraId="5FD092EC" w14:textId="77777777" w:rsidR="00876C50" w:rsidRPr="003A7D44" w:rsidRDefault="00876C50" w:rsidP="00DA2F1C">
      <w:pPr>
        <w:rPr>
          <w:rFonts w:ascii="Calibri" w:hAnsi="Calibri" w:cs="Calibri"/>
          <w:color w:val="0D0D0D" w:themeColor="text1" w:themeTint="F2"/>
        </w:rPr>
      </w:pPr>
    </w:p>
    <w:p w14:paraId="6502573C" w14:textId="16C5DDC2" w:rsidR="00266280" w:rsidRPr="003A7D44" w:rsidRDefault="005D151A" w:rsidP="00DA2F1C">
      <w:pPr>
        <w:rPr>
          <w:rFonts w:ascii="Calibri" w:hAnsi="Calibri" w:cs="Calibri"/>
          <w:b/>
          <w:bCs/>
          <w:color w:val="0D0D0D" w:themeColor="text1" w:themeTint="F2"/>
          <w:u w:val="single"/>
        </w:rPr>
      </w:pPr>
      <w:r w:rsidRPr="003A7D44">
        <w:rPr>
          <w:rFonts w:ascii="Calibri" w:hAnsi="Calibri" w:cs="Calibri"/>
          <w:b/>
          <w:bCs/>
          <w:color w:val="0D0D0D" w:themeColor="text1" w:themeTint="F2"/>
          <w:u w:val="single"/>
        </w:rPr>
        <w:t>Part 2 - Overview of relevant literature</w:t>
      </w:r>
      <w:r w:rsidR="00250E7D" w:rsidRPr="003A7D44">
        <w:rPr>
          <w:rFonts w:ascii="Calibri" w:hAnsi="Calibri" w:cs="Calibri"/>
          <w:b/>
          <w:bCs/>
          <w:color w:val="0D0D0D" w:themeColor="text1" w:themeTint="F2"/>
          <w:u w:val="single"/>
        </w:rPr>
        <w:t xml:space="preserve">: </w:t>
      </w:r>
      <w:r w:rsidR="00266280" w:rsidRPr="003A7D44">
        <w:rPr>
          <w:rFonts w:ascii="Calibri" w:hAnsi="Calibri" w:cs="Calibri"/>
          <w:b/>
          <w:bCs/>
          <w:color w:val="0D0D0D" w:themeColor="text1" w:themeTint="F2"/>
          <w:u w:val="single"/>
        </w:rPr>
        <w:t>Gender Bias and Male Attrition in Welsh Nurse Education</w:t>
      </w:r>
    </w:p>
    <w:p w14:paraId="548E7F5B" w14:textId="1DFC896B" w:rsidR="006B3B2F" w:rsidRPr="003A7D44" w:rsidRDefault="006B3B2F" w:rsidP="00DA2F1C">
      <w:pPr>
        <w:rPr>
          <w:rFonts w:ascii="Calibri" w:hAnsi="Calibri" w:cs="Calibri"/>
          <w:color w:val="0D0D0D" w:themeColor="text1" w:themeTint="F2"/>
        </w:rPr>
      </w:pPr>
      <w:r w:rsidRPr="003A7D44">
        <w:rPr>
          <w:rFonts w:ascii="Calibri" w:hAnsi="Calibri" w:cs="Calibri"/>
          <w:color w:val="0D0D0D" w:themeColor="text1" w:themeTint="F2"/>
        </w:rPr>
        <w:t>The framework underpinning this literature review emerged through a systematic process, aligning with the principles of thematic analysis.</w:t>
      </w:r>
      <w:r w:rsidR="003370D5"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This approach was adopted to ensure a comprehensive understanding of the research landscape concerning men in nursing and to contribute to ongoing conceptual and theoretical developments within the field (Aveyard, 2021).</w:t>
      </w:r>
      <w:r w:rsidR="003370D5"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To capture a broad range of perspectives, a diverse body of literature was examined</w:t>
      </w:r>
      <w:r w:rsidR="00B213ED" w:rsidRPr="003A7D44">
        <w:rPr>
          <w:rFonts w:ascii="Calibri" w:hAnsi="Calibri" w:cs="Calibri"/>
          <w:color w:val="0D0D0D" w:themeColor="text1" w:themeTint="F2"/>
        </w:rPr>
        <w:t>; t</w:t>
      </w:r>
      <w:r w:rsidRPr="003A7D44">
        <w:rPr>
          <w:rFonts w:ascii="Calibri" w:hAnsi="Calibri" w:cs="Calibri"/>
          <w:color w:val="0D0D0D" w:themeColor="text1" w:themeTint="F2"/>
        </w:rPr>
        <w:t xml:space="preserve">his included a systematic search for both original empirical </w:t>
      </w:r>
      <w:proofErr w:type="gramStart"/>
      <w:r w:rsidRPr="003A7D44">
        <w:rPr>
          <w:rFonts w:ascii="Calibri" w:hAnsi="Calibri" w:cs="Calibri"/>
          <w:color w:val="0D0D0D" w:themeColor="text1" w:themeTint="F2"/>
        </w:rPr>
        <w:t>research</w:t>
      </w:r>
      <w:proofErr w:type="gramEnd"/>
      <w:r w:rsidRPr="003A7D44">
        <w:rPr>
          <w:rFonts w:ascii="Calibri" w:hAnsi="Calibri" w:cs="Calibri"/>
          <w:color w:val="0D0D0D" w:themeColor="text1" w:themeTint="F2"/>
        </w:rPr>
        <w:t>, employing established methodologies for new data collection, and non-empirical works such as discussion papers, reports from governing bodies, expert commentaries, and press releases.</w:t>
      </w:r>
      <w:r w:rsidR="00B213ED"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A deliberate </w:t>
      </w:r>
      <w:r w:rsidRPr="003A7D44">
        <w:rPr>
          <w:rFonts w:ascii="Calibri" w:hAnsi="Calibri" w:cs="Calibri"/>
          <w:color w:val="0D0D0D" w:themeColor="text1" w:themeTint="F2"/>
        </w:rPr>
        <w:lastRenderedPageBreak/>
        <w:t>decision was made to limit the scope to English language publications to ensure effective comprehension of the source material.</w:t>
      </w:r>
    </w:p>
    <w:p w14:paraId="79B8A54A" w14:textId="720257B4" w:rsidR="006B3B2F" w:rsidRPr="003A7D44" w:rsidRDefault="006B3B2F" w:rsidP="00DA2F1C">
      <w:pPr>
        <w:rPr>
          <w:rFonts w:ascii="Calibri" w:hAnsi="Calibri" w:cs="Calibri"/>
          <w:color w:val="0D0D0D" w:themeColor="text1" w:themeTint="F2"/>
        </w:rPr>
      </w:pPr>
      <w:r w:rsidRPr="003A7D44">
        <w:rPr>
          <w:rFonts w:ascii="Calibri" w:hAnsi="Calibri" w:cs="Calibri"/>
          <w:color w:val="0D0D0D" w:themeColor="text1" w:themeTint="F2"/>
        </w:rPr>
        <w:t>The use of thematic analysis within this literature review offers several benefits</w:t>
      </w:r>
      <w:r w:rsidR="002E1FDD" w:rsidRPr="003A7D44">
        <w:rPr>
          <w:rFonts w:ascii="Calibri" w:hAnsi="Calibri" w:cs="Calibri"/>
          <w:color w:val="0D0D0D" w:themeColor="text1" w:themeTint="F2"/>
        </w:rPr>
        <w:t xml:space="preserve"> </w:t>
      </w:r>
      <w:r w:rsidR="00F342AF" w:rsidRPr="003A7D44">
        <w:rPr>
          <w:rFonts w:ascii="Calibri" w:hAnsi="Calibri" w:cs="Calibri"/>
          <w:color w:val="0D0D0D" w:themeColor="text1" w:themeTint="F2"/>
        </w:rPr>
        <w:t xml:space="preserve">(Anderson </w:t>
      </w:r>
      <w:r w:rsidR="00F342AF" w:rsidRPr="003A7D44">
        <w:rPr>
          <w:rFonts w:ascii="Calibri" w:hAnsi="Calibri" w:cs="Calibri"/>
          <w:i/>
          <w:iCs/>
          <w:color w:val="0D0D0D" w:themeColor="text1" w:themeTint="F2"/>
        </w:rPr>
        <w:t xml:space="preserve">et </w:t>
      </w:r>
      <w:r w:rsidR="0077283E" w:rsidRPr="003A7D44">
        <w:rPr>
          <w:rFonts w:ascii="Calibri" w:hAnsi="Calibri" w:cs="Calibri"/>
          <w:i/>
          <w:iCs/>
          <w:color w:val="0D0D0D" w:themeColor="text1" w:themeTint="F2"/>
        </w:rPr>
        <w:t xml:space="preserve">al., </w:t>
      </w:r>
      <w:r w:rsidR="0077283E" w:rsidRPr="003A7D44">
        <w:rPr>
          <w:rFonts w:ascii="Calibri" w:hAnsi="Calibri" w:cs="Calibri"/>
          <w:color w:val="0D0D0D" w:themeColor="text1" w:themeTint="F2"/>
        </w:rPr>
        <w:t>2021)</w:t>
      </w:r>
      <w:r w:rsidR="00C3456F" w:rsidRPr="003A7D44">
        <w:rPr>
          <w:rFonts w:ascii="Calibri" w:hAnsi="Calibri" w:cs="Calibri"/>
          <w:color w:val="0D0D0D" w:themeColor="text1" w:themeTint="F2"/>
        </w:rPr>
        <w:t>; i</w:t>
      </w:r>
      <w:r w:rsidRPr="003A7D44">
        <w:rPr>
          <w:rFonts w:ascii="Calibri" w:hAnsi="Calibri" w:cs="Calibri"/>
          <w:color w:val="0D0D0D" w:themeColor="text1" w:themeTint="F2"/>
        </w:rPr>
        <w:t>t allows for the identification of recurring patterns and key themes across a diverse range of sources</w:t>
      </w:r>
      <w:r w:rsidR="00541D5F" w:rsidRPr="003A7D44">
        <w:rPr>
          <w:rFonts w:ascii="Calibri" w:hAnsi="Calibri" w:cs="Calibri"/>
          <w:color w:val="0D0D0D" w:themeColor="text1" w:themeTint="F2"/>
        </w:rPr>
        <w:t xml:space="preserve"> </w:t>
      </w:r>
      <w:r w:rsidR="00E72D10" w:rsidRPr="003A7D44">
        <w:rPr>
          <w:rFonts w:ascii="Calibri" w:hAnsi="Calibri" w:cs="Calibri"/>
          <w:color w:val="0D0D0D" w:themeColor="text1" w:themeTint="F2"/>
        </w:rPr>
        <w:t xml:space="preserve">(Naeem </w:t>
      </w:r>
      <w:r w:rsidR="00E72D10" w:rsidRPr="003A7D44">
        <w:rPr>
          <w:rFonts w:ascii="Calibri" w:hAnsi="Calibri" w:cs="Calibri"/>
          <w:i/>
          <w:iCs/>
          <w:color w:val="0D0D0D" w:themeColor="text1" w:themeTint="F2"/>
        </w:rPr>
        <w:t>et al</w:t>
      </w:r>
      <w:r w:rsidR="00E72D10" w:rsidRPr="003A7D44">
        <w:rPr>
          <w:rFonts w:ascii="Calibri" w:hAnsi="Calibri" w:cs="Calibri"/>
          <w:color w:val="0D0D0D" w:themeColor="text1" w:themeTint="F2"/>
        </w:rPr>
        <w:t>., 2023</w:t>
      </w:r>
      <w:r w:rsidR="000A508E" w:rsidRPr="003A7D44">
        <w:rPr>
          <w:rFonts w:ascii="Calibri" w:hAnsi="Calibri" w:cs="Calibri"/>
          <w:color w:val="0D0D0D" w:themeColor="text1" w:themeTint="F2"/>
        </w:rPr>
        <w:t>; Finlay, 2021</w:t>
      </w:r>
      <w:r w:rsidR="00E72D10" w:rsidRPr="003A7D44">
        <w:rPr>
          <w:rFonts w:ascii="Calibri" w:hAnsi="Calibri" w:cs="Calibri"/>
          <w:color w:val="0D0D0D" w:themeColor="text1" w:themeTint="F2"/>
        </w:rPr>
        <w:t>)</w:t>
      </w:r>
      <w:r w:rsidRPr="003A7D44">
        <w:rPr>
          <w:rFonts w:ascii="Calibri" w:hAnsi="Calibri" w:cs="Calibri"/>
          <w:color w:val="0D0D0D" w:themeColor="text1" w:themeTint="F2"/>
        </w:rPr>
        <w:t>, enabling a synthesis of findings and the development of a coherent understanding of the complex issues</w:t>
      </w:r>
      <w:r w:rsidR="00FC7B12" w:rsidRPr="003A7D44">
        <w:rPr>
          <w:rFonts w:ascii="Calibri" w:hAnsi="Calibri" w:cs="Calibri"/>
          <w:color w:val="0D0D0D" w:themeColor="text1" w:themeTint="F2"/>
        </w:rPr>
        <w:t xml:space="preserve"> (Braun and Clarke, 2014), which in this instance,</w:t>
      </w:r>
      <w:r w:rsidRPr="003A7D44">
        <w:rPr>
          <w:rFonts w:ascii="Calibri" w:hAnsi="Calibri" w:cs="Calibri"/>
          <w:color w:val="0D0D0D" w:themeColor="text1" w:themeTint="F2"/>
        </w:rPr>
        <w:t xml:space="preserve"> surround men in nursing education.</w:t>
      </w:r>
      <w:r w:rsidR="00E10253"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w:t>
      </w:r>
      <w:r w:rsidR="00F22CE6" w:rsidRPr="003A7D44">
        <w:rPr>
          <w:rFonts w:ascii="Calibri" w:hAnsi="Calibri" w:cs="Calibri"/>
          <w:color w:val="0D0D0D" w:themeColor="text1" w:themeTint="F2"/>
        </w:rPr>
        <w:t>According to Braun and Clarke</w:t>
      </w:r>
      <w:r w:rsidR="00E10253" w:rsidRPr="003A7D44">
        <w:rPr>
          <w:rFonts w:ascii="Calibri" w:hAnsi="Calibri" w:cs="Calibri"/>
          <w:color w:val="0D0D0D" w:themeColor="text1" w:themeTint="F2"/>
        </w:rPr>
        <w:t xml:space="preserve"> (2021) t</w:t>
      </w:r>
      <w:r w:rsidRPr="003A7D44">
        <w:rPr>
          <w:rFonts w:ascii="Calibri" w:hAnsi="Calibri" w:cs="Calibri"/>
          <w:color w:val="0D0D0D" w:themeColor="text1" w:themeTint="F2"/>
        </w:rPr>
        <w:t xml:space="preserve">his method facilitates the exploration of both explicit and implicit meanings within the literature, contributing to a richer analysis. </w:t>
      </w:r>
      <w:r w:rsidR="00536611" w:rsidRPr="003A7D44">
        <w:rPr>
          <w:rFonts w:ascii="Calibri" w:hAnsi="Calibri" w:cs="Calibri"/>
          <w:color w:val="0D0D0D" w:themeColor="text1" w:themeTint="F2"/>
        </w:rPr>
        <w:t xml:space="preserve"> </w:t>
      </w:r>
      <w:r w:rsidR="00BE1D3C" w:rsidRPr="003A7D44">
        <w:rPr>
          <w:rFonts w:ascii="Calibri" w:hAnsi="Calibri" w:cs="Calibri"/>
          <w:color w:val="0D0D0D" w:themeColor="text1" w:themeTint="F2"/>
        </w:rPr>
        <w:t>I</w:t>
      </w:r>
      <w:r w:rsidRPr="003A7D44">
        <w:rPr>
          <w:rFonts w:ascii="Calibri" w:hAnsi="Calibri" w:cs="Calibri"/>
          <w:color w:val="0D0D0D" w:themeColor="text1" w:themeTint="F2"/>
        </w:rPr>
        <w:t>t is</w:t>
      </w:r>
      <w:r w:rsidR="00BE1D3C" w:rsidRPr="003A7D44">
        <w:rPr>
          <w:rFonts w:ascii="Calibri" w:hAnsi="Calibri" w:cs="Calibri"/>
          <w:color w:val="0D0D0D" w:themeColor="text1" w:themeTint="F2"/>
        </w:rPr>
        <w:t xml:space="preserve">, however, </w:t>
      </w:r>
      <w:r w:rsidRPr="003A7D44">
        <w:rPr>
          <w:rFonts w:ascii="Calibri" w:hAnsi="Calibri" w:cs="Calibri"/>
          <w:color w:val="0D0D0D" w:themeColor="text1" w:themeTint="F2"/>
        </w:rPr>
        <w:t>important to acknowledge potential drawbacks</w:t>
      </w:r>
      <w:r w:rsidR="00BE1D3C" w:rsidRPr="003A7D44">
        <w:rPr>
          <w:rFonts w:ascii="Calibri" w:hAnsi="Calibri" w:cs="Calibri"/>
          <w:color w:val="0D0D0D" w:themeColor="text1" w:themeTint="F2"/>
        </w:rPr>
        <w:t>; t</w:t>
      </w:r>
      <w:r w:rsidRPr="003A7D44">
        <w:rPr>
          <w:rFonts w:ascii="Calibri" w:hAnsi="Calibri" w:cs="Calibri"/>
          <w:color w:val="0D0D0D" w:themeColor="text1" w:themeTint="F2"/>
        </w:rPr>
        <w:t>he subjective nature of thematic analysis means that the identification and interpretation of themes can be influenced by the researcher's own perspectives and biases</w:t>
      </w:r>
      <w:r w:rsidR="00F8041C" w:rsidRPr="003A7D44">
        <w:rPr>
          <w:rFonts w:ascii="Calibri" w:hAnsi="Calibri" w:cs="Calibri"/>
          <w:color w:val="0D0D0D" w:themeColor="text1" w:themeTint="F2"/>
        </w:rPr>
        <w:t xml:space="preserve"> </w:t>
      </w:r>
      <w:r w:rsidR="00BC2F85" w:rsidRPr="003A7D44">
        <w:rPr>
          <w:rFonts w:ascii="Calibri" w:hAnsi="Calibri" w:cs="Calibri"/>
          <w:color w:val="0D0D0D" w:themeColor="text1" w:themeTint="F2"/>
        </w:rPr>
        <w:t>(Braun and Clarke, 2022</w:t>
      </w:r>
      <w:r w:rsidR="007C1743" w:rsidRPr="003A7D44">
        <w:rPr>
          <w:rFonts w:ascii="Calibri" w:hAnsi="Calibri" w:cs="Calibri"/>
          <w:color w:val="0D0D0D" w:themeColor="text1" w:themeTint="F2"/>
        </w:rPr>
        <w:t xml:space="preserve">; </w:t>
      </w:r>
      <w:r w:rsidR="000F35E3" w:rsidRPr="003A7D44">
        <w:rPr>
          <w:rFonts w:ascii="Calibri" w:hAnsi="Calibri" w:cs="Calibri"/>
          <w:color w:val="0D0D0D" w:themeColor="text1" w:themeTint="F2"/>
        </w:rPr>
        <w:t>Roberts, Dowell and Nie, 2019</w:t>
      </w:r>
      <w:r w:rsidR="00BC2F85" w:rsidRPr="003A7D44">
        <w:rPr>
          <w:rFonts w:ascii="Calibri" w:hAnsi="Calibri" w:cs="Calibri"/>
          <w:color w:val="0D0D0D" w:themeColor="text1" w:themeTint="F2"/>
        </w:rPr>
        <w:t>)</w:t>
      </w:r>
      <w:r w:rsidRPr="003A7D44">
        <w:rPr>
          <w:rFonts w:ascii="Calibri" w:hAnsi="Calibri" w:cs="Calibri"/>
          <w:color w:val="0D0D0D" w:themeColor="text1" w:themeTint="F2"/>
        </w:rPr>
        <w:t>.</w:t>
      </w:r>
      <w:r w:rsidR="000F35E3"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To mitigate this, a rigorous and transparent approach to data extraction and theme development was employed, with careful consideration given to alternative interpretations.</w:t>
      </w:r>
    </w:p>
    <w:p w14:paraId="4C774C16" w14:textId="1B3D7AF6" w:rsidR="000F35E3" w:rsidRPr="003A7D44" w:rsidRDefault="003370D5" w:rsidP="00DA2F1C">
      <w:pPr>
        <w:rPr>
          <w:rFonts w:ascii="Calibri" w:hAnsi="Calibri" w:cs="Calibri"/>
          <w:color w:val="0D0D0D" w:themeColor="text1" w:themeTint="F2"/>
        </w:rPr>
      </w:pPr>
      <w:r w:rsidRPr="003A7D44">
        <w:rPr>
          <w:rFonts w:ascii="Calibri" w:hAnsi="Calibri" w:cs="Calibri"/>
          <w:color w:val="0D0D0D" w:themeColor="text1" w:themeTint="F2"/>
        </w:rPr>
        <w:t>The analysis will examine key themes including the lack of consideration of men's contributions to nursing, societal gender stereotypes and gender bias within education.</w:t>
      </w:r>
    </w:p>
    <w:p w14:paraId="27CD9D23" w14:textId="77777777" w:rsidR="00F53757" w:rsidRPr="003A7D44" w:rsidRDefault="00F53757" w:rsidP="00DA2F1C">
      <w:pPr>
        <w:rPr>
          <w:rFonts w:ascii="Calibri" w:hAnsi="Calibri" w:cs="Calibri"/>
          <w:color w:val="0D0D0D" w:themeColor="text1" w:themeTint="F2"/>
        </w:rPr>
      </w:pPr>
    </w:p>
    <w:p w14:paraId="23011E07" w14:textId="33289609" w:rsidR="00266280" w:rsidRPr="003A7D44" w:rsidRDefault="00AC7BD7" w:rsidP="00DA2F1C">
      <w:pPr>
        <w:rPr>
          <w:rFonts w:ascii="Calibri" w:hAnsi="Calibri" w:cs="Calibri"/>
          <w:color w:val="0D0D0D" w:themeColor="text1" w:themeTint="F2"/>
        </w:rPr>
      </w:pPr>
      <w:r w:rsidRPr="003A7D44">
        <w:rPr>
          <w:rFonts w:ascii="Calibri" w:hAnsi="Calibri" w:cs="Calibri"/>
          <w:b/>
          <w:bCs/>
          <w:color w:val="0D0D0D" w:themeColor="text1" w:themeTint="F2"/>
        </w:rPr>
        <w:t xml:space="preserve">Theme 1 - </w:t>
      </w:r>
      <w:r w:rsidR="00266280" w:rsidRPr="003A7D44">
        <w:rPr>
          <w:rFonts w:ascii="Calibri" w:hAnsi="Calibri" w:cs="Calibri"/>
          <w:b/>
          <w:bCs/>
          <w:color w:val="0D0D0D" w:themeColor="text1" w:themeTint="F2"/>
        </w:rPr>
        <w:t>Lack of Consideration of Men's Contribution to the Field of Nursing</w:t>
      </w:r>
    </w:p>
    <w:p w14:paraId="214EAC6A" w14:textId="5D7F28BA" w:rsidR="000C116C" w:rsidRPr="003A7D44" w:rsidRDefault="007C6C72" w:rsidP="00DA2F1C">
      <w:pPr>
        <w:rPr>
          <w:rFonts w:ascii="Calibri" w:hAnsi="Calibri" w:cs="Calibri"/>
          <w:color w:val="0D0D0D" w:themeColor="text1" w:themeTint="F2"/>
        </w:rPr>
      </w:pPr>
      <w:r w:rsidRPr="003A7D44">
        <w:rPr>
          <w:rFonts w:ascii="Calibri" w:hAnsi="Calibri" w:cs="Calibri"/>
          <w:color w:val="0D0D0D" w:themeColor="text1" w:themeTint="F2"/>
        </w:rPr>
        <w:t xml:space="preserve">Despite the persistent perception of nursing as a predominantly female profession, stemming from Florence Nightingale's era and her dismissive views on male nurses (Cude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Winfrey, 2007; Prosen, 2022; Holton, 1984; Ross, 2017), the historical record reveals a significant and often overlooked male contribution.</w:t>
      </w:r>
      <w:r w:rsidR="00FB63EB"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Nursing has its roots in ancient times, with evidence of male-dominated nursing schools dating back to 256 BC (Christensen</w:t>
      </w:r>
      <w:r w:rsidR="003F3823" w:rsidRPr="003A7D44">
        <w:rPr>
          <w:rFonts w:ascii="Calibri" w:hAnsi="Calibri" w:cs="Calibri"/>
          <w:color w:val="0D0D0D" w:themeColor="text1" w:themeTint="F2"/>
        </w:rPr>
        <w:t xml:space="preserve"> </w:t>
      </w:r>
      <w:r w:rsidR="003F3823" w:rsidRPr="003A7D44">
        <w:rPr>
          <w:rFonts w:ascii="Calibri" w:hAnsi="Calibri" w:cs="Calibri"/>
          <w:i/>
          <w:iCs/>
          <w:color w:val="0D0D0D" w:themeColor="text1" w:themeTint="F2"/>
        </w:rPr>
        <w:t>et al</w:t>
      </w:r>
      <w:r w:rsidR="00415043" w:rsidRPr="003A7D44">
        <w:rPr>
          <w:rFonts w:ascii="Calibri" w:hAnsi="Calibri" w:cs="Calibri"/>
          <w:i/>
          <w:iCs/>
          <w:color w:val="0D0D0D" w:themeColor="text1" w:themeTint="F2"/>
        </w:rPr>
        <w:t>.</w:t>
      </w:r>
      <w:r w:rsidRPr="003A7D44">
        <w:rPr>
          <w:rFonts w:ascii="Calibri" w:hAnsi="Calibri" w:cs="Calibri"/>
          <w:i/>
          <w:iCs/>
          <w:color w:val="0D0D0D" w:themeColor="text1" w:themeTint="F2"/>
        </w:rPr>
        <w:t>,</w:t>
      </w:r>
      <w:r w:rsidRPr="003A7D44">
        <w:rPr>
          <w:rFonts w:ascii="Calibri" w:hAnsi="Calibri" w:cs="Calibri"/>
          <w:color w:val="0D0D0D" w:themeColor="text1" w:themeTint="F2"/>
        </w:rPr>
        <w:t xml:space="preserve"> 20</w:t>
      </w:r>
      <w:r w:rsidR="00415043" w:rsidRPr="003A7D44">
        <w:rPr>
          <w:rFonts w:ascii="Calibri" w:hAnsi="Calibri" w:cs="Calibri"/>
          <w:color w:val="0D0D0D" w:themeColor="text1" w:themeTint="F2"/>
        </w:rPr>
        <w:t>21</w:t>
      </w:r>
      <w:r w:rsidRPr="003A7D44">
        <w:rPr>
          <w:rFonts w:ascii="Calibri" w:hAnsi="Calibri" w:cs="Calibri"/>
          <w:color w:val="0D0D0D" w:themeColor="text1" w:themeTint="F2"/>
        </w:rPr>
        <w:t xml:space="preserve">), and male caregivers playing crucial roles in biblical times when women were excluded from formal nursing education (Bullough, 1994). </w:t>
      </w:r>
      <w:r w:rsidR="00FB63EB"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Indeed, "men dominated nursing in early times" (Bullough, 1994), contributing to the vocation's development through monastic orders like the Knight Hospitallers of Saint John of Jerusalem (Brown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Stone, 1973; Verger, 1986) and the Benedictine monks who provided care during epidemics (Jezuit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2020). </w:t>
      </w:r>
      <w:r w:rsidR="00FB63EB" w:rsidRPr="003A7D44">
        <w:rPr>
          <w:rFonts w:ascii="Calibri" w:hAnsi="Calibri" w:cs="Calibri"/>
          <w:color w:val="0D0D0D" w:themeColor="text1" w:themeTint="F2"/>
        </w:rPr>
        <w:t xml:space="preserve"> T</w:t>
      </w:r>
      <w:r w:rsidRPr="003A7D44">
        <w:rPr>
          <w:rFonts w:ascii="Calibri" w:hAnsi="Calibri" w:cs="Calibri"/>
          <w:color w:val="0D0D0D" w:themeColor="text1" w:themeTint="F2"/>
        </w:rPr>
        <w:t xml:space="preserve">he 19th-century female nursing movement, spearheaded by Nightingale, overshadowed this legacy (Mackintosh, 1997), and her negative views on male military nurses further discouraged their participation (Masters, 2009; Brown, Nolan, </w:t>
      </w:r>
      <w:r w:rsidR="00FB63EB" w:rsidRPr="003A7D44">
        <w:rPr>
          <w:rFonts w:ascii="Calibri" w:hAnsi="Calibri" w:cs="Calibri"/>
          <w:color w:val="0D0D0D" w:themeColor="text1" w:themeTint="F2"/>
        </w:rPr>
        <w:t>and</w:t>
      </w:r>
      <w:r w:rsidRPr="003A7D44">
        <w:rPr>
          <w:rFonts w:ascii="Calibri" w:hAnsi="Calibri" w:cs="Calibri"/>
          <w:color w:val="0D0D0D" w:themeColor="text1" w:themeTint="F2"/>
        </w:rPr>
        <w:t xml:space="preserve"> Crawford, 2000). </w:t>
      </w:r>
      <w:r w:rsidR="00FB63EB"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While men continued to be involved in 18th-century voluntary hospitals, they were often relegated to roles as </w:t>
      </w:r>
      <w:r w:rsidR="00FB63EB" w:rsidRPr="003A7D44">
        <w:rPr>
          <w:rFonts w:ascii="Calibri" w:hAnsi="Calibri" w:cs="Calibri"/>
          <w:color w:val="0D0D0D" w:themeColor="text1" w:themeTint="F2"/>
        </w:rPr>
        <w:t>‘</w:t>
      </w:r>
      <w:r w:rsidRPr="003A7D44">
        <w:rPr>
          <w:rFonts w:ascii="Calibri" w:hAnsi="Calibri" w:cs="Calibri"/>
          <w:color w:val="0D0D0D" w:themeColor="text1" w:themeTint="F2"/>
        </w:rPr>
        <w:t>keepers</w:t>
      </w:r>
      <w:r w:rsidR="00FB63EB" w:rsidRPr="003A7D44">
        <w:rPr>
          <w:rFonts w:ascii="Calibri" w:hAnsi="Calibri" w:cs="Calibri"/>
          <w:color w:val="0D0D0D" w:themeColor="text1" w:themeTint="F2"/>
        </w:rPr>
        <w:t>’</w:t>
      </w:r>
      <w:r w:rsidRPr="003A7D44">
        <w:rPr>
          <w:rFonts w:ascii="Calibri" w:hAnsi="Calibri" w:cs="Calibri"/>
          <w:color w:val="0D0D0D" w:themeColor="text1" w:themeTint="F2"/>
        </w:rPr>
        <w:t xml:space="preserve"> or </w:t>
      </w:r>
      <w:r w:rsidR="00FB63EB" w:rsidRPr="003A7D44">
        <w:rPr>
          <w:rFonts w:ascii="Calibri" w:hAnsi="Calibri" w:cs="Calibri"/>
          <w:color w:val="0D0D0D" w:themeColor="text1" w:themeTint="F2"/>
        </w:rPr>
        <w:t>‘</w:t>
      </w:r>
      <w:r w:rsidRPr="003A7D44">
        <w:rPr>
          <w:rFonts w:ascii="Calibri" w:hAnsi="Calibri" w:cs="Calibri"/>
          <w:color w:val="0D0D0D" w:themeColor="text1" w:themeTint="F2"/>
        </w:rPr>
        <w:t>attendants</w:t>
      </w:r>
      <w:r w:rsidR="00FB63EB" w:rsidRPr="003A7D44">
        <w:rPr>
          <w:rFonts w:ascii="Calibri" w:hAnsi="Calibri" w:cs="Calibri"/>
          <w:color w:val="0D0D0D" w:themeColor="text1" w:themeTint="F2"/>
        </w:rPr>
        <w:t>’</w:t>
      </w:r>
      <w:r w:rsidRPr="003A7D44">
        <w:rPr>
          <w:rFonts w:ascii="Calibri" w:hAnsi="Calibri" w:cs="Calibri"/>
          <w:color w:val="0D0D0D" w:themeColor="text1" w:themeTint="F2"/>
        </w:rPr>
        <w:t xml:space="preserve"> in mental asylums and workhouses (Carpenter, 1980).</w:t>
      </w:r>
      <w:r w:rsidR="00FB63EB"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The mid-19th-century reformation of nursing, coinciding with the rise of female employment in the field, was accompanied by negative perceptions of these women's suitability for other roles (Williams, 1978). </w:t>
      </w:r>
      <w:r w:rsidR="00FB63EB"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The subsequent implementation of </w:t>
      </w:r>
      <w:r w:rsidR="00FB63EB" w:rsidRPr="003A7D44">
        <w:rPr>
          <w:rFonts w:ascii="Calibri" w:hAnsi="Calibri" w:cs="Calibri"/>
          <w:color w:val="0D0D0D" w:themeColor="text1" w:themeTint="F2"/>
        </w:rPr>
        <w:t>‘</w:t>
      </w:r>
      <w:r w:rsidRPr="003A7D44">
        <w:rPr>
          <w:rFonts w:ascii="Calibri" w:hAnsi="Calibri" w:cs="Calibri"/>
          <w:color w:val="0D0D0D" w:themeColor="text1" w:themeTint="F2"/>
        </w:rPr>
        <w:t>female-only</w:t>
      </w:r>
      <w:r w:rsidR="00FB63EB" w:rsidRPr="003A7D44">
        <w:rPr>
          <w:rFonts w:ascii="Calibri" w:hAnsi="Calibri" w:cs="Calibri"/>
          <w:color w:val="0D0D0D" w:themeColor="text1" w:themeTint="F2"/>
        </w:rPr>
        <w:t>’</w:t>
      </w:r>
      <w:r w:rsidRPr="003A7D44">
        <w:rPr>
          <w:rFonts w:ascii="Calibri" w:hAnsi="Calibri" w:cs="Calibri"/>
          <w:color w:val="0D0D0D" w:themeColor="text1" w:themeTint="F2"/>
        </w:rPr>
        <w:t xml:space="preserve"> policies in 20th-century nursing schools (</w:t>
      </w:r>
      <w:proofErr w:type="spellStart"/>
      <w:r w:rsidRPr="003A7D44">
        <w:rPr>
          <w:rFonts w:ascii="Calibri" w:hAnsi="Calibri" w:cs="Calibri"/>
          <w:color w:val="0D0D0D" w:themeColor="text1" w:themeTint="F2"/>
        </w:rPr>
        <w:t>Meadus</w:t>
      </w:r>
      <w:proofErr w:type="spellEnd"/>
      <w:r w:rsidR="00B9736A" w:rsidRPr="003A7D44">
        <w:rPr>
          <w:rFonts w:ascii="Calibri" w:hAnsi="Calibri" w:cs="Calibri"/>
          <w:color w:val="0D0D0D" w:themeColor="text1" w:themeTint="F2"/>
        </w:rPr>
        <w:t xml:space="preserve"> and Twomey</w:t>
      </w:r>
      <w:r w:rsidRPr="003A7D44">
        <w:rPr>
          <w:rFonts w:ascii="Calibri" w:hAnsi="Calibri" w:cs="Calibri"/>
          <w:color w:val="0D0D0D" w:themeColor="text1" w:themeTint="F2"/>
        </w:rPr>
        <w:t>, 20</w:t>
      </w:r>
      <w:r w:rsidR="00B9736A" w:rsidRPr="003A7D44">
        <w:rPr>
          <w:rFonts w:ascii="Calibri" w:hAnsi="Calibri" w:cs="Calibri"/>
          <w:color w:val="0D0D0D" w:themeColor="text1" w:themeTint="F2"/>
        </w:rPr>
        <w:t>11</w:t>
      </w:r>
      <w:r w:rsidRPr="003A7D44">
        <w:rPr>
          <w:rFonts w:ascii="Calibri" w:hAnsi="Calibri" w:cs="Calibri"/>
          <w:color w:val="0D0D0D" w:themeColor="text1" w:themeTint="F2"/>
        </w:rPr>
        <w:t xml:space="preserve">) solidified nursing's female identity, leading to the marginalisation of men's contributions (Dingwall, </w:t>
      </w:r>
      <w:r w:rsidRPr="003A7D44">
        <w:rPr>
          <w:rFonts w:ascii="Calibri" w:hAnsi="Calibri" w:cs="Calibri"/>
          <w:color w:val="0D0D0D" w:themeColor="text1" w:themeTint="F2"/>
        </w:rPr>
        <w:lastRenderedPageBreak/>
        <w:t xml:space="preserve">1977; Hardy, 1986; Mellish, 1984; </w:t>
      </w:r>
      <w:proofErr w:type="spellStart"/>
      <w:r w:rsidRPr="003A7D44">
        <w:rPr>
          <w:rFonts w:ascii="Calibri" w:hAnsi="Calibri" w:cs="Calibri"/>
          <w:color w:val="0D0D0D" w:themeColor="text1" w:themeTint="F2"/>
        </w:rPr>
        <w:t>Z</w:t>
      </w:r>
      <w:r w:rsidR="008E7B80" w:rsidRPr="003A7D44">
        <w:rPr>
          <w:rFonts w:ascii="Calibri" w:hAnsi="Calibri" w:cs="Calibri"/>
          <w:color w:val="0D0D0D" w:themeColor="text1" w:themeTint="F2"/>
        </w:rPr>
        <w:t>h</w:t>
      </w:r>
      <w:r w:rsidRPr="003A7D44">
        <w:rPr>
          <w:rFonts w:ascii="Calibri" w:hAnsi="Calibri" w:cs="Calibri"/>
          <w:color w:val="0D0D0D" w:themeColor="text1" w:themeTint="F2"/>
        </w:rPr>
        <w:t>yberg</w:t>
      </w:r>
      <w:proofErr w:type="spellEnd"/>
      <w:r w:rsidRPr="003A7D44">
        <w:rPr>
          <w:rFonts w:ascii="Calibri" w:hAnsi="Calibri" w:cs="Calibri"/>
          <w:color w:val="0D0D0D" w:themeColor="text1" w:themeTint="F2"/>
        </w:rPr>
        <w:t xml:space="preserve"> </w:t>
      </w:r>
      <w:r w:rsidR="00FB63EB" w:rsidRPr="003A7D44">
        <w:rPr>
          <w:rFonts w:ascii="Calibri" w:hAnsi="Calibri" w:cs="Calibri"/>
          <w:color w:val="0D0D0D" w:themeColor="text1" w:themeTint="F2"/>
        </w:rPr>
        <w:t>and</w:t>
      </w:r>
      <w:r w:rsidRPr="003A7D44">
        <w:rPr>
          <w:rFonts w:ascii="Calibri" w:hAnsi="Calibri" w:cs="Calibri"/>
          <w:color w:val="0D0D0D" w:themeColor="text1" w:themeTint="F2"/>
        </w:rPr>
        <w:t xml:space="preserve"> Berry, 2005; Carnevale </w:t>
      </w:r>
      <w:r w:rsidR="00FB63EB" w:rsidRPr="003A7D44">
        <w:rPr>
          <w:rFonts w:ascii="Calibri" w:hAnsi="Calibri" w:cs="Calibri"/>
          <w:color w:val="0D0D0D" w:themeColor="text1" w:themeTint="F2"/>
        </w:rPr>
        <w:t>and</w:t>
      </w:r>
      <w:r w:rsidRPr="003A7D44">
        <w:rPr>
          <w:rFonts w:ascii="Calibri" w:hAnsi="Calibri" w:cs="Calibri"/>
          <w:color w:val="0D0D0D" w:themeColor="text1" w:themeTint="F2"/>
        </w:rPr>
        <w:t xml:space="preserve"> Priode, 2018). </w:t>
      </w:r>
      <w:r w:rsidR="000C116C" w:rsidRPr="003A7D44">
        <w:rPr>
          <w:rFonts w:ascii="Calibri" w:hAnsi="Calibri" w:cs="Calibri"/>
          <w:color w:val="0D0D0D" w:themeColor="text1" w:themeTint="F2"/>
        </w:rPr>
        <w:t xml:space="preserve"> This historical amnesia, coupled with gender bias and stereotypes, has hindered male recruitment and retention, despite their significant historical roles and disproportionate representation in areas like mental health care and leadership (Evans, 20</w:t>
      </w:r>
      <w:r w:rsidR="00C42E2C" w:rsidRPr="003A7D44">
        <w:rPr>
          <w:rFonts w:ascii="Calibri" w:hAnsi="Calibri" w:cs="Calibri"/>
          <w:color w:val="0D0D0D" w:themeColor="text1" w:themeTint="F2"/>
        </w:rPr>
        <w:t>17</w:t>
      </w:r>
      <w:r w:rsidR="000C116C" w:rsidRPr="003A7D44">
        <w:rPr>
          <w:rFonts w:ascii="Calibri" w:hAnsi="Calibri" w:cs="Calibri"/>
          <w:color w:val="0D0D0D" w:themeColor="text1" w:themeTint="F2"/>
        </w:rPr>
        <w:t>; Anthony, 2004).</w:t>
      </w:r>
      <w:r w:rsidR="007B7303" w:rsidRPr="003A7D44">
        <w:rPr>
          <w:rFonts w:ascii="Calibri" w:hAnsi="Calibri" w:cs="Calibri"/>
          <w:color w:val="0D0D0D" w:themeColor="text1" w:themeTint="F2"/>
        </w:rPr>
        <w:t xml:space="preserve">  </w:t>
      </w:r>
    </w:p>
    <w:p w14:paraId="139D69E6" w14:textId="62392F5B" w:rsidR="007C6C72" w:rsidRPr="003A7D44" w:rsidRDefault="007C6C72" w:rsidP="00DA2F1C">
      <w:pPr>
        <w:rPr>
          <w:rFonts w:ascii="Calibri" w:hAnsi="Calibri" w:cs="Calibri"/>
          <w:color w:val="0D0D0D" w:themeColor="text1" w:themeTint="F2"/>
        </w:rPr>
      </w:pPr>
    </w:p>
    <w:p w14:paraId="2A5F21D1" w14:textId="742F9F28" w:rsidR="00266280" w:rsidRPr="003A7D44" w:rsidRDefault="00AC7BD7" w:rsidP="00DA2F1C">
      <w:pPr>
        <w:rPr>
          <w:rFonts w:ascii="Calibri" w:hAnsi="Calibri" w:cs="Calibri"/>
          <w:color w:val="0D0D0D" w:themeColor="text1" w:themeTint="F2"/>
        </w:rPr>
      </w:pPr>
      <w:r w:rsidRPr="003A7D44">
        <w:rPr>
          <w:rFonts w:ascii="Calibri" w:hAnsi="Calibri" w:cs="Calibri"/>
          <w:b/>
          <w:bCs/>
          <w:color w:val="0D0D0D" w:themeColor="text1" w:themeTint="F2"/>
        </w:rPr>
        <w:t xml:space="preserve">Theme 2 - </w:t>
      </w:r>
      <w:r w:rsidR="00266280" w:rsidRPr="003A7D44">
        <w:rPr>
          <w:rFonts w:ascii="Calibri" w:hAnsi="Calibri" w:cs="Calibri"/>
          <w:b/>
          <w:bCs/>
          <w:color w:val="0D0D0D" w:themeColor="text1" w:themeTint="F2"/>
        </w:rPr>
        <w:t>Societal Gender Stereotypes of Male Nurses</w:t>
      </w:r>
    </w:p>
    <w:p w14:paraId="1145E95F" w14:textId="3AE3469D" w:rsidR="00156B6C" w:rsidRPr="003A7D44" w:rsidRDefault="00156B6C" w:rsidP="00DA2F1C">
      <w:pPr>
        <w:rPr>
          <w:rFonts w:ascii="Calibri" w:hAnsi="Calibri" w:cs="Calibri"/>
          <w:color w:val="0D0D0D" w:themeColor="text1" w:themeTint="F2"/>
        </w:rPr>
      </w:pPr>
      <w:r w:rsidRPr="003A7D44">
        <w:rPr>
          <w:rFonts w:ascii="Calibri" w:hAnsi="Calibri" w:cs="Calibri"/>
          <w:color w:val="0D0D0D" w:themeColor="text1" w:themeTint="F2"/>
        </w:rPr>
        <w:t xml:space="preserve">The historical association of nursing with femininity, as noted by </w:t>
      </w:r>
      <w:proofErr w:type="spellStart"/>
      <w:r w:rsidRPr="003A7D44">
        <w:rPr>
          <w:rFonts w:ascii="Calibri" w:hAnsi="Calibri" w:cs="Calibri"/>
          <w:color w:val="0D0D0D" w:themeColor="text1" w:themeTint="F2"/>
        </w:rPr>
        <w:t>Villanuev</w:t>
      </w:r>
      <w:r w:rsidR="00EB1FA6" w:rsidRPr="003A7D44">
        <w:rPr>
          <w:rFonts w:ascii="Calibri" w:hAnsi="Calibri" w:cs="Calibri"/>
          <w:color w:val="0D0D0D" w:themeColor="text1" w:themeTint="F2"/>
        </w:rPr>
        <w:t>e</w:t>
      </w:r>
      <w:proofErr w:type="spellEnd"/>
      <w:r w:rsidRPr="003A7D44">
        <w:rPr>
          <w:rFonts w:ascii="Calibri" w:hAnsi="Calibri" w:cs="Calibri"/>
          <w:color w:val="0D0D0D" w:themeColor="text1" w:themeTint="F2"/>
        </w:rPr>
        <w:t xml:space="preserve"> (1994), has perpetuated a gendered narrative that continues to impact male students. </w:t>
      </w:r>
      <w:r w:rsidR="00C17EA1">
        <w:rPr>
          <w:rFonts w:ascii="Calibri" w:hAnsi="Calibri" w:cs="Calibri"/>
          <w:color w:val="0D0D0D" w:themeColor="text1" w:themeTint="F2"/>
        </w:rPr>
        <w:t xml:space="preserve"> </w:t>
      </w:r>
      <w:r w:rsidRPr="003A7D44">
        <w:rPr>
          <w:rFonts w:ascii="Calibri" w:hAnsi="Calibri" w:cs="Calibri"/>
          <w:color w:val="0D0D0D" w:themeColor="text1" w:themeTint="F2"/>
        </w:rPr>
        <w:t xml:space="preserve">While gender bias affects men in various educational domains (Hazel </w:t>
      </w:r>
      <w:r w:rsidR="00201FE1" w:rsidRPr="003A7D44">
        <w:rPr>
          <w:rFonts w:ascii="Calibri" w:hAnsi="Calibri" w:cs="Calibri"/>
          <w:color w:val="0D0D0D" w:themeColor="text1" w:themeTint="F2"/>
        </w:rPr>
        <w:t>and</w:t>
      </w:r>
      <w:r w:rsidRPr="003A7D44">
        <w:rPr>
          <w:rFonts w:ascii="Calibri" w:hAnsi="Calibri" w:cs="Calibri"/>
          <w:color w:val="0D0D0D" w:themeColor="text1" w:themeTint="F2"/>
        </w:rPr>
        <w:t xml:space="preserve"> Kleyman, 2019; Equal Opportunities Commission, 2006; </w:t>
      </w:r>
      <w:proofErr w:type="spellStart"/>
      <w:r w:rsidRPr="003A7D44">
        <w:rPr>
          <w:rFonts w:ascii="Calibri" w:hAnsi="Calibri" w:cs="Calibri"/>
          <w:color w:val="0D0D0D" w:themeColor="text1" w:themeTint="F2"/>
        </w:rPr>
        <w:t>Bedlov</w:t>
      </w:r>
      <w:proofErr w:type="spellEnd"/>
      <w:r w:rsidRPr="003A7D44">
        <w:rPr>
          <w:rFonts w:ascii="Calibri" w:hAnsi="Calibri" w:cs="Calibri"/>
          <w:color w:val="0D0D0D" w:themeColor="text1" w:themeTint="F2"/>
        </w:rPr>
        <w:t xml:space="preserve">, 2018), its prevalence is particularly pronounced within nurse education (Institute for Women’s Policy Research, 2013; Hill, Corbett, </w:t>
      </w:r>
      <w:r w:rsidR="00201FE1" w:rsidRPr="003A7D44">
        <w:rPr>
          <w:rFonts w:ascii="Calibri" w:hAnsi="Calibri" w:cs="Calibri"/>
          <w:color w:val="0D0D0D" w:themeColor="text1" w:themeTint="F2"/>
        </w:rPr>
        <w:t>and</w:t>
      </w:r>
      <w:r w:rsidRPr="003A7D44">
        <w:rPr>
          <w:rFonts w:ascii="Calibri" w:hAnsi="Calibri" w:cs="Calibri"/>
          <w:color w:val="0D0D0D" w:themeColor="text1" w:themeTint="F2"/>
        </w:rPr>
        <w:t xml:space="preserve"> Rose, 2015; Kangethe, Lyria,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w:t>
      </w:r>
      <w:proofErr w:type="spellStart"/>
      <w:r w:rsidRPr="003A7D44">
        <w:rPr>
          <w:rFonts w:ascii="Calibri" w:hAnsi="Calibri" w:cs="Calibri"/>
          <w:color w:val="0D0D0D" w:themeColor="text1" w:themeTint="F2"/>
        </w:rPr>
        <w:t>Nyamamga</w:t>
      </w:r>
      <w:proofErr w:type="spellEnd"/>
      <w:r w:rsidRPr="003A7D44">
        <w:rPr>
          <w:rFonts w:ascii="Calibri" w:hAnsi="Calibri" w:cs="Calibri"/>
          <w:color w:val="0D0D0D" w:themeColor="text1" w:themeTint="F2"/>
        </w:rPr>
        <w:t xml:space="preserve">, 2014; Keogh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w:t>
      </w:r>
      <w:proofErr w:type="spellStart"/>
      <w:r w:rsidRPr="003A7D44">
        <w:rPr>
          <w:rFonts w:ascii="Calibri" w:hAnsi="Calibri" w:cs="Calibri"/>
          <w:color w:val="0D0D0D" w:themeColor="text1" w:themeTint="F2"/>
        </w:rPr>
        <w:t>O’Lynn</w:t>
      </w:r>
      <w:proofErr w:type="spellEnd"/>
      <w:r w:rsidRPr="003A7D44">
        <w:rPr>
          <w:rFonts w:ascii="Calibri" w:hAnsi="Calibri" w:cs="Calibri"/>
          <w:color w:val="0D0D0D" w:themeColor="text1" w:themeTint="F2"/>
        </w:rPr>
        <w:t>, 2007).</w:t>
      </w:r>
      <w:r w:rsidR="005D5BC1">
        <w:rPr>
          <w:rFonts w:ascii="Calibri" w:hAnsi="Calibri" w:cs="Calibri"/>
          <w:color w:val="0D0D0D" w:themeColor="text1" w:themeTint="F2"/>
        </w:rPr>
        <w:t xml:space="preserve"> </w:t>
      </w:r>
      <w:r w:rsidRPr="003A7D44">
        <w:rPr>
          <w:rFonts w:ascii="Calibri" w:hAnsi="Calibri" w:cs="Calibri"/>
          <w:color w:val="0D0D0D" w:themeColor="text1" w:themeTint="F2"/>
        </w:rPr>
        <w:t xml:space="preserve"> This is compounded by the female-dominated authorship of key nursing texts (</w:t>
      </w:r>
      <w:proofErr w:type="spellStart"/>
      <w:r w:rsidRPr="003A7D44">
        <w:rPr>
          <w:rFonts w:ascii="Calibri" w:hAnsi="Calibri" w:cs="Calibri"/>
          <w:color w:val="0D0D0D" w:themeColor="text1" w:themeTint="F2"/>
        </w:rPr>
        <w:t>O’Lynn</w:t>
      </w:r>
      <w:proofErr w:type="spellEnd"/>
      <w:r w:rsidRPr="003A7D44">
        <w:rPr>
          <w:rFonts w:ascii="Calibri" w:hAnsi="Calibri" w:cs="Calibri"/>
          <w:color w:val="0D0D0D" w:themeColor="text1" w:themeTint="F2"/>
        </w:rPr>
        <w:t xml:space="preserve">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Tranbarger, 2007; </w:t>
      </w:r>
      <w:r w:rsidR="00D94919" w:rsidRPr="003A7D44">
        <w:rPr>
          <w:rFonts w:ascii="Calibri" w:hAnsi="Calibri" w:cs="Calibri"/>
          <w:color w:val="0D0D0D" w:themeColor="text1" w:themeTint="F2"/>
        </w:rPr>
        <w:t>Bell-</w:t>
      </w:r>
      <w:r w:rsidRPr="003A7D44">
        <w:rPr>
          <w:rFonts w:ascii="Calibri" w:hAnsi="Calibri" w:cs="Calibri"/>
          <w:color w:val="0D0D0D" w:themeColor="text1" w:themeTint="F2"/>
        </w:rPr>
        <w:t xml:space="preserve">Scriber, 2008), which often either overlook or present outdated and potentially sexist portrayals of male nurses (Nutting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Dock, 1935; Sire, 1994; Donahue, 1996; Smith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Field, 2018; Stor</w:t>
      </w:r>
      <w:r w:rsidR="00347C8C" w:rsidRPr="003A7D44">
        <w:rPr>
          <w:rFonts w:ascii="Calibri" w:hAnsi="Calibri" w:cs="Calibri"/>
          <w:color w:val="0D0D0D" w:themeColor="text1" w:themeTint="F2"/>
        </w:rPr>
        <w:t>e</w:t>
      </w:r>
      <w:r w:rsidRPr="003A7D44">
        <w:rPr>
          <w:rFonts w:ascii="Calibri" w:hAnsi="Calibri" w:cs="Calibri"/>
          <w:color w:val="0D0D0D" w:themeColor="text1" w:themeTint="F2"/>
        </w:rPr>
        <w:t xml:space="preserve">y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Last, 2021). </w:t>
      </w:r>
      <w:r w:rsidR="005D5BC1">
        <w:rPr>
          <w:rFonts w:ascii="Calibri" w:hAnsi="Calibri" w:cs="Calibri"/>
          <w:color w:val="0D0D0D" w:themeColor="text1" w:themeTint="F2"/>
        </w:rPr>
        <w:t xml:space="preserve"> </w:t>
      </w:r>
      <w:r w:rsidRPr="003A7D44">
        <w:rPr>
          <w:rFonts w:ascii="Calibri" w:hAnsi="Calibri" w:cs="Calibri"/>
          <w:color w:val="0D0D0D" w:themeColor="text1" w:themeTint="F2"/>
        </w:rPr>
        <w:t xml:space="preserve">The pervasive use of feminine pronouns in these materials, as highlighted by Group and Roberts (2001), and the lack of attention to men’s historical contributions, as noted by Grady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(2008), further contribute to a sense of exclusion. </w:t>
      </w:r>
      <w:r w:rsidR="0003256F">
        <w:rPr>
          <w:rFonts w:ascii="Calibri" w:hAnsi="Calibri" w:cs="Calibri"/>
          <w:color w:val="0D0D0D" w:themeColor="text1" w:themeTint="F2"/>
        </w:rPr>
        <w:t xml:space="preserve"> </w:t>
      </w:r>
      <w:r w:rsidRPr="003A7D44">
        <w:rPr>
          <w:rFonts w:ascii="Calibri" w:hAnsi="Calibri" w:cs="Calibri"/>
          <w:color w:val="0D0D0D" w:themeColor="text1" w:themeTint="F2"/>
        </w:rPr>
        <w:t xml:space="preserve">This imbalance is reflected in the predominantly female composition of nursing faculty and student bodies (Anthony, 2004; Zamanzadeh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2013; Mao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2021; Royal College of Nursing, 20</w:t>
      </w:r>
      <w:r w:rsidR="00BC6ADF" w:rsidRPr="003A7D44">
        <w:rPr>
          <w:rFonts w:ascii="Calibri" w:hAnsi="Calibri" w:cs="Calibri"/>
          <w:color w:val="0D0D0D" w:themeColor="text1" w:themeTint="F2"/>
        </w:rPr>
        <w:t>20</w:t>
      </w:r>
      <w:r w:rsidRPr="003A7D44">
        <w:rPr>
          <w:rFonts w:ascii="Calibri" w:hAnsi="Calibri" w:cs="Calibri"/>
          <w:color w:val="0D0D0D" w:themeColor="text1" w:themeTint="F2"/>
        </w:rPr>
        <w:t xml:space="preserve">). </w:t>
      </w:r>
      <w:r w:rsidR="0003256F">
        <w:rPr>
          <w:rFonts w:ascii="Calibri" w:hAnsi="Calibri" w:cs="Calibri"/>
          <w:color w:val="0D0D0D" w:themeColor="text1" w:themeTint="F2"/>
        </w:rPr>
        <w:t xml:space="preserve"> </w:t>
      </w:r>
      <w:r w:rsidRPr="003A7D44">
        <w:rPr>
          <w:rFonts w:ascii="Calibri" w:hAnsi="Calibri" w:cs="Calibri"/>
          <w:color w:val="0D0D0D" w:themeColor="text1" w:themeTint="F2"/>
        </w:rPr>
        <w:t>Efforts to address this, such as initiatives by Athena Swan (202</w:t>
      </w:r>
      <w:r w:rsidR="00F73246" w:rsidRPr="003A7D44">
        <w:rPr>
          <w:rFonts w:ascii="Calibri" w:hAnsi="Calibri" w:cs="Calibri"/>
          <w:color w:val="0D0D0D" w:themeColor="text1" w:themeTint="F2"/>
        </w:rPr>
        <w:t>3</w:t>
      </w:r>
      <w:r w:rsidRPr="003A7D44">
        <w:rPr>
          <w:rFonts w:ascii="Calibri" w:hAnsi="Calibri" w:cs="Calibri"/>
          <w:color w:val="0D0D0D" w:themeColor="text1" w:themeTint="F2"/>
        </w:rPr>
        <w:t>), which advocates for gender equality in higher education, and recommendations for gender-balanced learning experiences (Jeffr</w:t>
      </w:r>
      <w:r w:rsidR="00B42A30" w:rsidRPr="003A7D44">
        <w:rPr>
          <w:rFonts w:ascii="Calibri" w:hAnsi="Calibri" w:cs="Calibri"/>
          <w:color w:val="0D0D0D" w:themeColor="text1" w:themeTint="F2"/>
        </w:rPr>
        <w:t>eys</w:t>
      </w:r>
      <w:r w:rsidRPr="003A7D44">
        <w:rPr>
          <w:rFonts w:ascii="Calibri" w:hAnsi="Calibri" w:cs="Calibri"/>
          <w:color w:val="0D0D0D" w:themeColor="text1" w:themeTint="F2"/>
        </w:rPr>
        <w:t>, 20</w:t>
      </w:r>
      <w:r w:rsidR="00B42A30" w:rsidRPr="003A7D44">
        <w:rPr>
          <w:rFonts w:ascii="Calibri" w:hAnsi="Calibri" w:cs="Calibri"/>
          <w:color w:val="0D0D0D" w:themeColor="text1" w:themeTint="F2"/>
        </w:rPr>
        <w:t>12</w:t>
      </w:r>
      <w:r w:rsidRPr="003A7D44">
        <w:rPr>
          <w:rFonts w:ascii="Calibri" w:hAnsi="Calibri" w:cs="Calibri"/>
          <w:color w:val="0D0D0D" w:themeColor="text1" w:themeTint="F2"/>
        </w:rPr>
        <w:t>; Loughrey, 2008; McLaughlin</w:t>
      </w:r>
      <w:r w:rsidR="00FD2A3C" w:rsidRPr="003A7D44">
        <w:rPr>
          <w:rFonts w:ascii="Calibri" w:hAnsi="Calibri" w:cs="Calibri"/>
          <w:color w:val="0D0D0D" w:themeColor="text1" w:themeTint="F2"/>
        </w:rPr>
        <w:t xml:space="preserve"> and Muldoon</w:t>
      </w:r>
      <w:r w:rsidRPr="003A7D44">
        <w:rPr>
          <w:rFonts w:ascii="Calibri" w:hAnsi="Calibri" w:cs="Calibri"/>
          <w:color w:val="0D0D0D" w:themeColor="text1" w:themeTint="F2"/>
        </w:rPr>
        <w:t>, 20</w:t>
      </w:r>
      <w:r w:rsidR="00FD2A3C" w:rsidRPr="003A7D44">
        <w:rPr>
          <w:rFonts w:ascii="Calibri" w:hAnsi="Calibri" w:cs="Calibri"/>
          <w:color w:val="0D0D0D" w:themeColor="text1" w:themeTint="F2"/>
        </w:rPr>
        <w:t>10</w:t>
      </w:r>
      <w:r w:rsidRPr="003A7D44">
        <w:rPr>
          <w:rFonts w:ascii="Calibri" w:hAnsi="Calibri" w:cs="Calibri"/>
          <w:color w:val="0D0D0D" w:themeColor="text1" w:themeTint="F2"/>
        </w:rPr>
        <w:t>), including the provision of male mentors and the promotion of male role models, are crucial steps towards fostering a more inclusive environment.</w:t>
      </w:r>
    </w:p>
    <w:p w14:paraId="42168D0C" w14:textId="36C185DE" w:rsidR="00156B6C" w:rsidRPr="003A7D44" w:rsidRDefault="00156B6C" w:rsidP="00DA2F1C">
      <w:pPr>
        <w:rPr>
          <w:rFonts w:ascii="Calibri" w:hAnsi="Calibri" w:cs="Calibri"/>
          <w:color w:val="0D0D0D" w:themeColor="text1" w:themeTint="F2"/>
        </w:rPr>
      </w:pPr>
      <w:r w:rsidRPr="003A7D44">
        <w:rPr>
          <w:rFonts w:ascii="Calibri" w:hAnsi="Calibri" w:cs="Calibri"/>
          <w:color w:val="0D0D0D" w:themeColor="text1" w:themeTint="F2"/>
        </w:rPr>
        <w:t>Beyond the educational setting, societal gender stereotypes significantly influence the experiences of male nurses.</w:t>
      </w:r>
      <w:r w:rsidR="00E50E69">
        <w:rPr>
          <w:rFonts w:ascii="Calibri" w:hAnsi="Calibri" w:cs="Calibri"/>
          <w:color w:val="0D0D0D" w:themeColor="text1" w:themeTint="F2"/>
        </w:rPr>
        <w:t xml:space="preserve"> </w:t>
      </w:r>
      <w:r w:rsidRPr="003A7D44">
        <w:rPr>
          <w:rFonts w:ascii="Calibri" w:hAnsi="Calibri" w:cs="Calibri"/>
          <w:color w:val="0D0D0D" w:themeColor="text1" w:themeTint="F2"/>
        </w:rPr>
        <w:t xml:space="preserve"> Men entering the profession often face challenges to their masculinity, encountering stereotypes that portray nursing as a “woman’s job” (Williams, 1993). </w:t>
      </w:r>
      <w:r w:rsidR="00E50E69">
        <w:rPr>
          <w:rFonts w:ascii="Calibri" w:hAnsi="Calibri" w:cs="Calibri"/>
          <w:color w:val="0D0D0D" w:themeColor="text1" w:themeTint="F2"/>
        </w:rPr>
        <w:t xml:space="preserve"> </w:t>
      </w:r>
      <w:r w:rsidRPr="003A7D44">
        <w:rPr>
          <w:rFonts w:ascii="Calibri" w:hAnsi="Calibri" w:cs="Calibri"/>
          <w:color w:val="0D0D0D" w:themeColor="text1" w:themeTint="F2"/>
        </w:rPr>
        <w:t xml:space="preserve">These stereotypes can lead to social isolation and feelings of being an “outsider” among male students. </w:t>
      </w:r>
      <w:r w:rsidR="00E50E69">
        <w:rPr>
          <w:rFonts w:ascii="Calibri" w:hAnsi="Calibri" w:cs="Calibri"/>
          <w:color w:val="0D0D0D" w:themeColor="text1" w:themeTint="F2"/>
        </w:rPr>
        <w:t xml:space="preserve"> </w:t>
      </w:r>
      <w:r w:rsidRPr="003A7D44">
        <w:rPr>
          <w:rFonts w:ascii="Calibri" w:hAnsi="Calibri" w:cs="Calibri"/>
          <w:color w:val="0D0D0D" w:themeColor="text1" w:themeTint="F2"/>
        </w:rPr>
        <w:t xml:space="preserve">Research by </w:t>
      </w:r>
      <w:proofErr w:type="spellStart"/>
      <w:r w:rsidRPr="003A7D44">
        <w:rPr>
          <w:rFonts w:ascii="Calibri" w:hAnsi="Calibri" w:cs="Calibri"/>
          <w:color w:val="0D0D0D" w:themeColor="text1" w:themeTint="F2"/>
        </w:rPr>
        <w:t>Rajacich</w:t>
      </w:r>
      <w:proofErr w:type="spellEnd"/>
      <w:r w:rsidR="005109AC" w:rsidRPr="003A7D44">
        <w:rPr>
          <w:rFonts w:ascii="Calibri" w:hAnsi="Calibri" w:cs="Calibri"/>
          <w:color w:val="0D0D0D" w:themeColor="text1" w:themeTint="F2"/>
        </w:rPr>
        <w:t xml:space="preserve"> </w:t>
      </w:r>
      <w:r w:rsidR="005109AC"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(2013) demonstrates that male nurses frequently navigate assumptions about their sexual orientation or are questioned about their career choices, which can be psychologically taxing. </w:t>
      </w:r>
      <w:r w:rsidR="00E50E69">
        <w:rPr>
          <w:rFonts w:ascii="Calibri" w:hAnsi="Calibri" w:cs="Calibri"/>
          <w:color w:val="0D0D0D" w:themeColor="text1" w:themeTint="F2"/>
        </w:rPr>
        <w:t xml:space="preserve"> </w:t>
      </w:r>
      <w:r w:rsidRPr="003A7D44">
        <w:rPr>
          <w:rFonts w:ascii="Calibri" w:hAnsi="Calibri" w:cs="Calibri"/>
          <w:color w:val="0D0D0D" w:themeColor="text1" w:themeTint="F2"/>
        </w:rPr>
        <w:t>Furthermore, the portrayal of nurses in popular culture often reinforces these stereotypes, further perpetuating the perception of nursing as a feminine domain (Evans, 20</w:t>
      </w:r>
      <w:r w:rsidR="00A65088" w:rsidRPr="003A7D44">
        <w:rPr>
          <w:rFonts w:ascii="Calibri" w:hAnsi="Calibri" w:cs="Calibri"/>
          <w:color w:val="0D0D0D" w:themeColor="text1" w:themeTint="F2"/>
        </w:rPr>
        <w:t>17</w:t>
      </w:r>
      <w:r w:rsidRPr="003A7D44">
        <w:rPr>
          <w:rFonts w:ascii="Calibri" w:hAnsi="Calibri" w:cs="Calibri"/>
          <w:color w:val="0D0D0D" w:themeColor="text1" w:themeTint="F2"/>
        </w:rPr>
        <w:t xml:space="preserve">). </w:t>
      </w:r>
      <w:r w:rsidR="00E50E69">
        <w:rPr>
          <w:rFonts w:ascii="Calibri" w:hAnsi="Calibri" w:cs="Calibri"/>
          <w:color w:val="0D0D0D" w:themeColor="text1" w:themeTint="F2"/>
        </w:rPr>
        <w:t xml:space="preserve"> </w:t>
      </w:r>
      <w:r w:rsidRPr="003A7D44">
        <w:rPr>
          <w:rFonts w:ascii="Calibri" w:hAnsi="Calibri" w:cs="Calibri"/>
          <w:color w:val="0D0D0D" w:themeColor="text1" w:themeTint="F2"/>
        </w:rPr>
        <w:t xml:space="preserve">Consequently, understanding how these stereotypes manifest within the educational environment is essential for addressing male student attrition. </w:t>
      </w:r>
      <w:r w:rsidR="00E50E69">
        <w:rPr>
          <w:rFonts w:ascii="Calibri" w:hAnsi="Calibri" w:cs="Calibri"/>
          <w:color w:val="0D0D0D" w:themeColor="text1" w:themeTint="F2"/>
        </w:rPr>
        <w:t xml:space="preserve"> </w:t>
      </w:r>
      <w:r w:rsidRPr="003A7D44">
        <w:rPr>
          <w:rFonts w:ascii="Calibri" w:hAnsi="Calibri" w:cs="Calibri"/>
          <w:color w:val="0D0D0D" w:themeColor="text1" w:themeTint="F2"/>
        </w:rPr>
        <w:t>It is crucial to note the age of some of the cited texts, as views on gender have evolved significantly, however, their continued influence on current literature and teaching practices demonstrates their continued relevance.</w:t>
      </w:r>
    </w:p>
    <w:p w14:paraId="2732BE0D" w14:textId="2CD86332" w:rsidR="00266280" w:rsidRPr="003A7D44" w:rsidRDefault="00AC7BD7" w:rsidP="00DA2F1C">
      <w:pPr>
        <w:rPr>
          <w:rFonts w:ascii="Calibri" w:hAnsi="Calibri" w:cs="Calibri"/>
          <w:color w:val="0D0D0D" w:themeColor="text1" w:themeTint="F2"/>
        </w:rPr>
      </w:pPr>
      <w:r w:rsidRPr="003A7D44">
        <w:rPr>
          <w:rFonts w:ascii="Calibri" w:hAnsi="Calibri" w:cs="Calibri"/>
          <w:b/>
          <w:bCs/>
          <w:color w:val="0D0D0D" w:themeColor="text1" w:themeTint="F2"/>
        </w:rPr>
        <w:lastRenderedPageBreak/>
        <w:t xml:space="preserve">Theme 3 - </w:t>
      </w:r>
      <w:r w:rsidR="00266280" w:rsidRPr="003A7D44">
        <w:rPr>
          <w:rFonts w:ascii="Calibri" w:hAnsi="Calibri" w:cs="Calibri"/>
          <w:b/>
          <w:bCs/>
          <w:color w:val="0D0D0D" w:themeColor="text1" w:themeTint="F2"/>
        </w:rPr>
        <w:t>Gender Bias Within Nurse Education</w:t>
      </w:r>
    </w:p>
    <w:p w14:paraId="03397E5C" w14:textId="0402198A" w:rsidR="00AE3C29" w:rsidRPr="003A7D44" w:rsidRDefault="00AE3C29" w:rsidP="00DA2F1C">
      <w:pPr>
        <w:rPr>
          <w:rFonts w:ascii="Calibri" w:hAnsi="Calibri" w:cs="Calibri"/>
          <w:color w:val="0D0D0D" w:themeColor="text1" w:themeTint="F2"/>
        </w:rPr>
      </w:pPr>
      <w:r w:rsidRPr="003A7D44">
        <w:rPr>
          <w:rFonts w:ascii="Calibri" w:hAnsi="Calibri" w:cs="Calibri"/>
          <w:color w:val="0D0D0D" w:themeColor="text1" w:themeTint="F2"/>
        </w:rPr>
        <w:t>The potential for gender bias within nurse education programmes, contributing to the disproportionately high attrition rates among male students, demands critical examination.</w:t>
      </w:r>
      <w:r w:rsidR="00AD100B">
        <w:rPr>
          <w:rFonts w:ascii="Calibri" w:hAnsi="Calibri" w:cs="Calibri"/>
          <w:color w:val="0D0D0D" w:themeColor="text1" w:themeTint="F2"/>
        </w:rPr>
        <w:t xml:space="preserve"> </w:t>
      </w:r>
      <w:r w:rsidRPr="003A7D44">
        <w:rPr>
          <w:rFonts w:ascii="Calibri" w:hAnsi="Calibri" w:cs="Calibri"/>
          <w:color w:val="0D0D0D" w:themeColor="text1" w:themeTint="F2"/>
        </w:rPr>
        <w:t xml:space="preserve"> Drennan</w:t>
      </w:r>
      <w:r w:rsidR="00297AE5" w:rsidRPr="003A7D44">
        <w:rPr>
          <w:rFonts w:ascii="Calibri" w:hAnsi="Calibri" w:cs="Calibri"/>
          <w:color w:val="0D0D0D" w:themeColor="text1" w:themeTint="F2"/>
        </w:rPr>
        <w:t xml:space="preserve"> </w:t>
      </w:r>
      <w:r w:rsidR="00297AE5" w:rsidRPr="003A7D44">
        <w:rPr>
          <w:rFonts w:ascii="Calibri" w:hAnsi="Calibri" w:cs="Calibri"/>
          <w:i/>
          <w:iCs/>
          <w:color w:val="0D0D0D" w:themeColor="text1" w:themeTint="F2"/>
        </w:rPr>
        <w:t>et a</w:t>
      </w:r>
      <w:r w:rsidR="00C33157" w:rsidRPr="003A7D44">
        <w:rPr>
          <w:rFonts w:ascii="Calibri" w:hAnsi="Calibri" w:cs="Calibri"/>
          <w:i/>
          <w:iCs/>
          <w:color w:val="0D0D0D" w:themeColor="text1" w:themeTint="F2"/>
        </w:rPr>
        <w:t>l.</w:t>
      </w:r>
      <w:r w:rsidRPr="003A7D44">
        <w:rPr>
          <w:rFonts w:ascii="Calibri" w:hAnsi="Calibri" w:cs="Calibri"/>
          <w:color w:val="0D0D0D" w:themeColor="text1" w:themeTint="F2"/>
        </w:rPr>
        <w:t xml:space="preserve"> (201</w:t>
      </w:r>
      <w:r w:rsidR="00C33157" w:rsidRPr="003A7D44">
        <w:rPr>
          <w:rFonts w:ascii="Calibri" w:hAnsi="Calibri" w:cs="Calibri"/>
          <w:color w:val="0D0D0D" w:themeColor="text1" w:themeTint="F2"/>
        </w:rPr>
        <w:t>6</w:t>
      </w:r>
      <w:r w:rsidRPr="003A7D44">
        <w:rPr>
          <w:rFonts w:ascii="Calibri" w:hAnsi="Calibri" w:cs="Calibri"/>
          <w:color w:val="0D0D0D" w:themeColor="text1" w:themeTint="F2"/>
        </w:rPr>
        <w:t>) identifies several manifestations of this bias, including teaching and learning styles that favour female students, curricula that neglect male experiences, and a scarcity of male role models.</w:t>
      </w:r>
      <w:r w:rsidR="00FB63EB"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Stanley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(2017) further highlight male students' perceptions of a lack of lecturer support and understanding, fostering feelings of alienation. </w:t>
      </w:r>
      <w:r w:rsidR="00FB63EB"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This aligns with Cudé and Winfrey (2007) and Adeniji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(2015), who suggest that nurse education establishments often fail to adequately support male students' retention, citing the absence of visible male role models. </w:t>
      </w:r>
      <w:r w:rsidR="00FB63EB"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Meadus and Twomey (2011) and Grady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(2008) also indicate that this perceived lack discourages male students from both entering and remaining in nursing programmes. </w:t>
      </w:r>
      <w:r w:rsidR="00FB63EB" w:rsidRPr="003A7D44">
        <w:rPr>
          <w:rFonts w:ascii="Calibri" w:hAnsi="Calibri" w:cs="Calibri"/>
          <w:color w:val="0D0D0D" w:themeColor="text1" w:themeTint="F2"/>
        </w:rPr>
        <w:t xml:space="preserve"> </w:t>
      </w:r>
      <w:r w:rsidRPr="003A7D44">
        <w:rPr>
          <w:rFonts w:ascii="Calibri" w:hAnsi="Calibri" w:cs="Calibri"/>
          <w:color w:val="0D0D0D" w:themeColor="text1" w:themeTint="F2"/>
        </w:rPr>
        <w:t>This</w:t>
      </w:r>
      <w:r w:rsidR="00FB63EB" w:rsidRPr="003A7D44">
        <w:rPr>
          <w:rFonts w:ascii="Calibri" w:hAnsi="Calibri" w:cs="Calibri"/>
          <w:color w:val="0D0D0D" w:themeColor="text1" w:themeTint="F2"/>
        </w:rPr>
        <w:t xml:space="preserve"> finding</w:t>
      </w:r>
      <w:r w:rsidRPr="003A7D44">
        <w:rPr>
          <w:rFonts w:ascii="Calibri" w:hAnsi="Calibri" w:cs="Calibri"/>
          <w:color w:val="0D0D0D" w:themeColor="text1" w:themeTint="F2"/>
        </w:rPr>
        <w:t xml:space="preserve"> is supported by Stanley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(2017) who report male students feeling like pioneers, rather than part of a</w:t>
      </w:r>
      <w:r w:rsidR="00EB55D3">
        <w:rPr>
          <w:rFonts w:ascii="Calibri" w:hAnsi="Calibri" w:cs="Calibri"/>
          <w:color w:val="0D0D0D" w:themeColor="text1" w:themeTint="F2"/>
        </w:rPr>
        <w:t>n</w:t>
      </w:r>
      <w:r w:rsidRPr="003A7D44">
        <w:rPr>
          <w:rFonts w:ascii="Calibri" w:hAnsi="Calibri" w:cs="Calibri"/>
          <w:color w:val="0D0D0D" w:themeColor="text1" w:themeTint="F2"/>
        </w:rPr>
        <w:t xml:space="preserve"> established cohort.</w:t>
      </w:r>
      <w:r w:rsidR="00FB63EB" w:rsidRPr="003A7D44">
        <w:rPr>
          <w:rFonts w:ascii="Calibri" w:hAnsi="Calibri" w:cs="Calibri"/>
          <w:color w:val="0D0D0D" w:themeColor="text1" w:themeTint="F2"/>
        </w:rPr>
        <w:t xml:space="preserve"> </w:t>
      </w:r>
      <w:r w:rsidR="00A53BDE">
        <w:rPr>
          <w:rFonts w:ascii="Calibri" w:hAnsi="Calibri" w:cs="Calibri"/>
          <w:color w:val="0D0D0D" w:themeColor="text1" w:themeTint="F2"/>
        </w:rPr>
        <w:t xml:space="preserve"> </w:t>
      </w:r>
      <w:r w:rsidR="00A74E83" w:rsidRPr="00A74E83">
        <w:rPr>
          <w:rFonts w:ascii="Calibri" w:hAnsi="Calibri" w:cs="Calibri"/>
          <w:color w:val="0D0D0D" w:themeColor="text1" w:themeTint="F2"/>
        </w:rPr>
        <w:t xml:space="preserve">Stanley and </w:t>
      </w:r>
      <w:r w:rsidR="00A53BDE">
        <w:rPr>
          <w:rFonts w:ascii="Calibri" w:hAnsi="Calibri" w:cs="Calibri"/>
          <w:color w:val="0D0D0D" w:themeColor="text1" w:themeTint="F2"/>
        </w:rPr>
        <w:t>his</w:t>
      </w:r>
      <w:r w:rsidR="00A74E83" w:rsidRPr="00A74E83">
        <w:rPr>
          <w:rFonts w:ascii="Calibri" w:hAnsi="Calibri" w:cs="Calibri"/>
          <w:color w:val="0D0D0D" w:themeColor="text1" w:themeTint="F2"/>
        </w:rPr>
        <w:t xml:space="preserve"> four co-researchers, who were lecturers in Nursing and Midwifery </w:t>
      </w:r>
      <w:r w:rsidR="00A53BDE">
        <w:rPr>
          <w:rFonts w:ascii="Calibri" w:hAnsi="Calibri" w:cs="Calibri"/>
          <w:color w:val="0D0D0D" w:themeColor="text1" w:themeTint="F2"/>
        </w:rPr>
        <w:t xml:space="preserve">programmes </w:t>
      </w:r>
      <w:r w:rsidR="00A74E83" w:rsidRPr="00A74E83">
        <w:rPr>
          <w:rFonts w:ascii="Calibri" w:hAnsi="Calibri" w:cs="Calibri"/>
          <w:color w:val="0D0D0D" w:themeColor="text1" w:themeTint="F2"/>
        </w:rPr>
        <w:t xml:space="preserve">across Australia and New Zealand, conducted a study exploring health professionals' perceptions of the clinical skills demonstrated by men and women in nursing. </w:t>
      </w:r>
      <w:r w:rsidR="00A53BDE">
        <w:rPr>
          <w:rFonts w:ascii="Calibri" w:hAnsi="Calibri" w:cs="Calibri"/>
          <w:color w:val="0D0D0D" w:themeColor="text1" w:themeTint="F2"/>
        </w:rPr>
        <w:t xml:space="preserve"> </w:t>
      </w:r>
      <w:r w:rsidR="00A74E83" w:rsidRPr="00A74E83">
        <w:rPr>
          <w:rFonts w:ascii="Calibri" w:hAnsi="Calibri" w:cs="Calibri"/>
          <w:color w:val="0D0D0D" w:themeColor="text1" w:themeTint="F2"/>
        </w:rPr>
        <w:t>While the primary aim of their research was not to investigate gender bias within nurse education specifically, a significant finding emerged from the responses of the male participants.</w:t>
      </w:r>
      <w:r w:rsidR="002E022D">
        <w:rPr>
          <w:rFonts w:ascii="Calibri" w:hAnsi="Calibri" w:cs="Calibri"/>
          <w:color w:val="0D0D0D" w:themeColor="text1" w:themeTint="F2"/>
        </w:rPr>
        <w:t xml:space="preserve"> </w:t>
      </w:r>
      <w:r w:rsidR="00A74E83" w:rsidRPr="00A74E83">
        <w:rPr>
          <w:rFonts w:ascii="Calibri" w:hAnsi="Calibri" w:cs="Calibri"/>
          <w:color w:val="0D0D0D" w:themeColor="text1" w:themeTint="F2"/>
        </w:rPr>
        <w:t xml:space="preserve"> Of the 13.4% of respondents who identified as male, a striking 89% reported experiencing feelings of isolation and estrangement from their female peers. </w:t>
      </w:r>
      <w:r w:rsidR="002E022D">
        <w:rPr>
          <w:rFonts w:ascii="Calibri" w:hAnsi="Calibri" w:cs="Calibri"/>
          <w:color w:val="0D0D0D" w:themeColor="text1" w:themeTint="F2"/>
        </w:rPr>
        <w:t xml:space="preserve"> </w:t>
      </w:r>
      <w:r w:rsidR="00A74E83" w:rsidRPr="00A74E83">
        <w:rPr>
          <w:rFonts w:ascii="Calibri" w:hAnsi="Calibri" w:cs="Calibri"/>
          <w:color w:val="0D0D0D" w:themeColor="text1" w:themeTint="F2"/>
        </w:rPr>
        <w:t>These male respondents further indicated that these feelings of detachment had negatively affected their overall educational experience and, in their perception, had implications for the development of their clinical skills.</w:t>
      </w:r>
      <w:r w:rsidR="008F6712">
        <w:rPr>
          <w:rFonts w:ascii="Calibri" w:hAnsi="Calibri" w:cs="Calibri"/>
          <w:color w:val="0D0D0D" w:themeColor="text1" w:themeTint="F2"/>
        </w:rPr>
        <w:t xml:space="preserve">  </w:t>
      </w:r>
      <w:r w:rsidR="008F6712" w:rsidRPr="008F6712">
        <w:rPr>
          <w:rFonts w:ascii="Calibri" w:hAnsi="Calibri" w:cs="Calibri"/>
          <w:color w:val="0D0D0D" w:themeColor="text1" w:themeTint="F2"/>
        </w:rPr>
        <w:t xml:space="preserve">This unexpected finding underscores the potential impact of gender dynamics within nursing education on the lived experiences and perceived professional development of male students. </w:t>
      </w:r>
      <w:r w:rsidR="008765FE">
        <w:rPr>
          <w:rFonts w:ascii="Calibri" w:hAnsi="Calibri" w:cs="Calibri"/>
          <w:color w:val="0D0D0D" w:themeColor="text1" w:themeTint="F2"/>
        </w:rPr>
        <w:t xml:space="preserve"> </w:t>
      </w:r>
      <w:r w:rsidR="008F6712" w:rsidRPr="008F6712">
        <w:rPr>
          <w:rFonts w:ascii="Calibri" w:hAnsi="Calibri" w:cs="Calibri"/>
          <w:color w:val="0D0D0D" w:themeColor="text1" w:themeTint="F2"/>
        </w:rPr>
        <w:t>Notably, no similar studies exploring these specific feelings of isolation and estrangement among male nursing students appear to have been undertaken within the UK, making direct comparisons within this national context currently challenging.</w:t>
      </w:r>
    </w:p>
    <w:p w14:paraId="4FB15481" w14:textId="1EA81F59" w:rsidR="00AE3C29" w:rsidRPr="003A7D44" w:rsidRDefault="00AE3C29" w:rsidP="00DA2F1C">
      <w:pPr>
        <w:rPr>
          <w:rFonts w:ascii="Calibri" w:hAnsi="Calibri" w:cs="Calibri"/>
          <w:color w:val="0D0D0D" w:themeColor="text1" w:themeTint="F2"/>
        </w:rPr>
      </w:pPr>
      <w:r w:rsidRPr="003A7D44">
        <w:rPr>
          <w:rFonts w:ascii="Calibri" w:hAnsi="Calibri" w:cs="Calibri"/>
          <w:color w:val="0D0D0D" w:themeColor="text1" w:themeTint="F2"/>
        </w:rPr>
        <w:t xml:space="preserve">Adding to the complexity, research suggests distinct differences in male and female learning styles (Kolb </w:t>
      </w:r>
      <w:r w:rsidR="00FB63EB" w:rsidRPr="003A7D44">
        <w:rPr>
          <w:rFonts w:ascii="Calibri" w:hAnsi="Calibri" w:cs="Calibri"/>
          <w:color w:val="0D0D0D" w:themeColor="text1" w:themeTint="F2"/>
        </w:rPr>
        <w:t>and</w:t>
      </w:r>
      <w:r w:rsidRPr="003A7D44">
        <w:rPr>
          <w:rFonts w:ascii="Calibri" w:hAnsi="Calibri" w:cs="Calibri"/>
          <w:color w:val="0D0D0D" w:themeColor="text1" w:themeTint="F2"/>
        </w:rPr>
        <w:t xml:space="preserve"> Kolb, 2005; Lachenmayer, 1997; Heffler, 2001). </w:t>
      </w:r>
      <w:r w:rsidR="00FB63EB"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Lamin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(2020) argue that nursing practice, with its emphasis on hands-on placements, aligns more closely with female learning preferences, which often involve understanding complex interpersonal dynamics and engaging in collaborative problem-solving (Ibrahim </w:t>
      </w:r>
      <w:r w:rsidR="00FB63EB" w:rsidRPr="003A7D44">
        <w:rPr>
          <w:rFonts w:ascii="Calibri" w:hAnsi="Calibri" w:cs="Calibri"/>
          <w:color w:val="0D0D0D" w:themeColor="text1" w:themeTint="F2"/>
        </w:rPr>
        <w:t>and</w:t>
      </w:r>
      <w:r w:rsidRPr="003A7D44">
        <w:rPr>
          <w:rFonts w:ascii="Calibri" w:hAnsi="Calibri" w:cs="Calibri"/>
          <w:color w:val="0D0D0D" w:themeColor="text1" w:themeTint="F2"/>
        </w:rPr>
        <w:t xml:space="preserve"> Hussein, 2016).</w:t>
      </w:r>
      <w:r w:rsidR="00FE4449">
        <w:rPr>
          <w:rFonts w:ascii="Calibri" w:hAnsi="Calibri" w:cs="Calibri"/>
          <w:color w:val="0D0D0D" w:themeColor="text1" w:themeTint="F2"/>
        </w:rPr>
        <w:t xml:space="preserve">  </w:t>
      </w:r>
      <w:r w:rsidRPr="003A7D44">
        <w:rPr>
          <w:rFonts w:ascii="Calibri" w:hAnsi="Calibri" w:cs="Calibri"/>
          <w:color w:val="0D0D0D" w:themeColor="text1" w:themeTint="F2"/>
        </w:rPr>
        <w:t xml:space="preserve">Conversely, Li, Chen, and Tsai (2008) suggest that men may favour analytical approaches, particularly in STEM fields, however, the trio’s reliance on older sources, such as Sherrod (2003) and Belenkey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(1986), which perpetuate outdated and potentially sexist notions about inherent gender-based cognitive differences, undermines the credibility of this argument. </w:t>
      </w:r>
      <w:r w:rsidR="00EE5F10" w:rsidRPr="003A7D44">
        <w:rPr>
          <w:rFonts w:ascii="Calibri" w:hAnsi="Calibri" w:cs="Calibri"/>
          <w:color w:val="0D0D0D" w:themeColor="text1" w:themeTint="F2"/>
        </w:rPr>
        <w:t xml:space="preserve"> </w:t>
      </w:r>
      <w:r w:rsidRPr="003A7D44">
        <w:rPr>
          <w:rFonts w:ascii="Calibri" w:hAnsi="Calibri" w:cs="Calibri"/>
          <w:color w:val="0D0D0D" w:themeColor="text1" w:themeTint="F2"/>
        </w:rPr>
        <w:t>Modern research, such as Nancekivell, Shah, and Gelman (2020), challenges the notion of inherent gender-based skills, suggesting they are learned, not innate.</w:t>
      </w:r>
      <w:r w:rsidR="000564B7">
        <w:rPr>
          <w:rFonts w:ascii="Calibri" w:hAnsi="Calibri" w:cs="Calibri"/>
          <w:color w:val="0D0D0D" w:themeColor="text1" w:themeTint="F2"/>
        </w:rPr>
        <w:t xml:space="preserve">  </w:t>
      </w:r>
      <w:r w:rsidRPr="003A7D44">
        <w:rPr>
          <w:rFonts w:ascii="Calibri" w:hAnsi="Calibri" w:cs="Calibri"/>
          <w:color w:val="0D0D0D" w:themeColor="text1" w:themeTint="F2"/>
        </w:rPr>
        <w:t xml:space="preserve">Furthermore, while McKenna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(2018), Gouifrane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(2020), and Koch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(2020) </w:t>
      </w:r>
      <w:r w:rsidRPr="003A7D44">
        <w:rPr>
          <w:rFonts w:ascii="Calibri" w:hAnsi="Calibri" w:cs="Calibri"/>
          <w:color w:val="0D0D0D" w:themeColor="text1" w:themeTint="F2"/>
        </w:rPr>
        <w:lastRenderedPageBreak/>
        <w:t xml:space="preserve">suggest that collaborative learning, prevalent in nurse education, may favour female students, Philbin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(1995) advocate for individualised learning approaches.</w:t>
      </w:r>
      <w:r w:rsidR="00EE5F10" w:rsidRPr="003A7D44">
        <w:rPr>
          <w:rFonts w:ascii="Calibri" w:hAnsi="Calibri" w:cs="Calibri"/>
          <w:color w:val="0D0D0D" w:themeColor="text1" w:themeTint="F2"/>
        </w:rPr>
        <w:t xml:space="preserve">  </w:t>
      </w:r>
      <w:r w:rsidRPr="003A7D44">
        <w:rPr>
          <w:rFonts w:ascii="Calibri" w:hAnsi="Calibri" w:cs="Calibri"/>
          <w:color w:val="0D0D0D" w:themeColor="text1" w:themeTint="F2"/>
        </w:rPr>
        <w:t>Conversely, Kulturel-Kovack, D’Allegro, and Dickins (2011) caution that students may struggle to identify their preferred learning styles before commencing their studies.</w:t>
      </w:r>
      <w:r w:rsidR="00EE5F10"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Mangold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(2018) also found that educators demonstrate a preference for teaching styles that align with their own gender, potentially creating further bias.</w:t>
      </w:r>
      <w:r w:rsidR="00FF5994">
        <w:rPr>
          <w:rFonts w:ascii="Calibri" w:hAnsi="Calibri" w:cs="Calibri"/>
          <w:color w:val="0D0D0D" w:themeColor="text1" w:themeTint="F2"/>
        </w:rPr>
        <w:t xml:space="preserve"> </w:t>
      </w:r>
      <w:r w:rsidR="00EE5F10" w:rsidRPr="003A7D44">
        <w:rPr>
          <w:rFonts w:ascii="Calibri" w:hAnsi="Calibri" w:cs="Calibri"/>
          <w:color w:val="0D0D0D" w:themeColor="text1" w:themeTint="F2"/>
        </w:rPr>
        <w:t xml:space="preserve"> </w:t>
      </w:r>
      <w:r w:rsidR="00FF5994" w:rsidRPr="00FF5994">
        <w:rPr>
          <w:rFonts w:ascii="Calibri" w:hAnsi="Calibri" w:cs="Calibri"/>
          <w:color w:val="0D0D0D" w:themeColor="text1" w:themeTint="F2"/>
        </w:rPr>
        <w:t xml:space="preserve">Dr Kara Mangold and five other education specialists explored the preferred learning styles of nurses within an Arizona teaching hospital, specifically gathering the perspectives of nurse educators. </w:t>
      </w:r>
      <w:r w:rsidR="00FF5994">
        <w:rPr>
          <w:rFonts w:ascii="Calibri" w:hAnsi="Calibri" w:cs="Calibri"/>
          <w:color w:val="0D0D0D" w:themeColor="text1" w:themeTint="F2"/>
        </w:rPr>
        <w:t xml:space="preserve"> </w:t>
      </w:r>
      <w:r w:rsidR="00FF5994" w:rsidRPr="00FF5994">
        <w:rPr>
          <w:rFonts w:ascii="Calibri" w:hAnsi="Calibri" w:cs="Calibri"/>
          <w:color w:val="0D0D0D" w:themeColor="text1" w:themeTint="F2"/>
        </w:rPr>
        <w:t xml:space="preserve">Their qualitative interviews, involving </w:t>
      </w:r>
      <w:r w:rsidR="00FF5994">
        <w:rPr>
          <w:rFonts w:ascii="Calibri" w:hAnsi="Calibri" w:cs="Calibri"/>
          <w:color w:val="0D0D0D" w:themeColor="text1" w:themeTint="F2"/>
        </w:rPr>
        <w:t>15</w:t>
      </w:r>
      <w:r w:rsidR="00FF5994" w:rsidRPr="00FF5994">
        <w:rPr>
          <w:rFonts w:ascii="Calibri" w:hAnsi="Calibri" w:cs="Calibri"/>
          <w:color w:val="0D0D0D" w:themeColor="text1" w:themeTint="F2"/>
        </w:rPr>
        <w:t xml:space="preserve"> </w:t>
      </w:r>
      <w:r w:rsidR="00F35FBD">
        <w:rPr>
          <w:rFonts w:ascii="Calibri" w:hAnsi="Calibri" w:cs="Calibri"/>
          <w:color w:val="0D0D0D" w:themeColor="text1" w:themeTint="F2"/>
        </w:rPr>
        <w:t>lecturers</w:t>
      </w:r>
      <w:r w:rsidR="00FF5994" w:rsidRPr="00FF5994">
        <w:rPr>
          <w:rFonts w:ascii="Calibri" w:hAnsi="Calibri" w:cs="Calibri"/>
          <w:color w:val="0D0D0D" w:themeColor="text1" w:themeTint="F2"/>
        </w:rPr>
        <w:t xml:space="preserve"> of whom two were male, revealed that these educators tended to favour delivering lessons using teaching strategies that aligned with their own preferred learning styles. This finding suggests a potential for gender-based bias in teaching delivery, as educators, perhaps unconsciously, may gravitate towards methods that resonate with their own gendered learning preferences. Given that this study was conducted in an American context and focused on the teaching styles of qualified nurse educators rather than the learning experiences of current UK nursing students, the direct transferability of these findings to the Welsh nurse education setting requires careful consideration. However, the research raises an important point about the potential for educator gender to influence teaching approaches, which could inadvertently impact the learning experiences of students with differing gendered learning preferences.</w:t>
      </w:r>
    </w:p>
    <w:p w14:paraId="73306F40" w14:textId="06F4795E" w:rsidR="00091133" w:rsidRPr="003A7D44" w:rsidRDefault="00872333" w:rsidP="00DA2F1C">
      <w:pPr>
        <w:rPr>
          <w:rFonts w:ascii="Calibri" w:hAnsi="Calibri" w:cs="Calibri"/>
          <w:color w:val="0D0D0D" w:themeColor="text1" w:themeTint="F2"/>
        </w:rPr>
      </w:pPr>
      <w:r w:rsidRPr="003A7D44">
        <w:rPr>
          <w:rFonts w:ascii="Calibri" w:hAnsi="Calibri" w:cs="Calibri"/>
          <w:color w:val="0D0D0D" w:themeColor="text1" w:themeTint="F2"/>
        </w:rPr>
        <w:t>It can be interpreted</w:t>
      </w:r>
      <w:r w:rsidR="0065006B" w:rsidRPr="003A7D44">
        <w:rPr>
          <w:rFonts w:ascii="Calibri" w:hAnsi="Calibri" w:cs="Calibri"/>
          <w:color w:val="0D0D0D" w:themeColor="text1" w:themeTint="F2"/>
        </w:rPr>
        <w:t>, therefore, that t</w:t>
      </w:r>
      <w:r w:rsidR="00B44F2B" w:rsidRPr="003A7D44">
        <w:rPr>
          <w:rFonts w:ascii="Calibri" w:hAnsi="Calibri" w:cs="Calibri"/>
          <w:color w:val="0D0D0D" w:themeColor="text1" w:themeTint="F2"/>
        </w:rPr>
        <w:t xml:space="preserve">he student experience plays a crucial role in attrition. While general higher education attrition rates are around 35% (Stott, 2007; Shelton, 2012; Stanley, </w:t>
      </w:r>
      <w:proofErr w:type="spellStart"/>
      <w:r w:rsidR="00B44F2B" w:rsidRPr="003A7D44">
        <w:rPr>
          <w:rFonts w:ascii="Calibri" w:hAnsi="Calibri" w:cs="Calibri"/>
          <w:color w:val="0D0D0D" w:themeColor="text1" w:themeTint="F2"/>
        </w:rPr>
        <w:t>Beament</w:t>
      </w:r>
      <w:proofErr w:type="spellEnd"/>
      <w:r w:rsidR="00B44F2B" w:rsidRPr="003A7D44">
        <w:rPr>
          <w:rFonts w:ascii="Calibri" w:hAnsi="Calibri" w:cs="Calibri"/>
          <w:color w:val="0D0D0D" w:themeColor="text1" w:themeTint="F2"/>
        </w:rPr>
        <w:t xml:space="preserve">, </w:t>
      </w:r>
      <w:r w:rsidR="005166EF">
        <w:rPr>
          <w:rFonts w:ascii="Calibri" w:hAnsi="Calibri" w:cs="Calibri"/>
          <w:color w:val="0D0D0D" w:themeColor="text1" w:themeTint="F2"/>
        </w:rPr>
        <w:t>and</w:t>
      </w:r>
      <w:r w:rsidR="00B44F2B" w:rsidRPr="003A7D44">
        <w:rPr>
          <w:rFonts w:ascii="Calibri" w:hAnsi="Calibri" w:cs="Calibri"/>
          <w:color w:val="0D0D0D" w:themeColor="text1" w:themeTint="F2"/>
        </w:rPr>
        <w:t xml:space="preserve"> Falconer, 2016), male attrition in nursing courses is alarmingly higher, ranging from 80% to 100% in some studies (Anthony, 2004; McLaughlin </w:t>
      </w:r>
      <w:r w:rsidR="005166EF">
        <w:rPr>
          <w:rFonts w:ascii="Calibri" w:hAnsi="Calibri" w:cs="Calibri"/>
          <w:color w:val="0D0D0D" w:themeColor="text1" w:themeTint="F2"/>
        </w:rPr>
        <w:t>and</w:t>
      </w:r>
      <w:r w:rsidR="00B44F2B" w:rsidRPr="003A7D44">
        <w:rPr>
          <w:rFonts w:ascii="Calibri" w:hAnsi="Calibri" w:cs="Calibri"/>
          <w:color w:val="0D0D0D" w:themeColor="text1" w:themeTint="F2"/>
        </w:rPr>
        <w:t xml:space="preserve"> Muldoon, 2010; </w:t>
      </w:r>
      <w:proofErr w:type="spellStart"/>
      <w:r w:rsidR="00B44F2B" w:rsidRPr="003A7D44">
        <w:rPr>
          <w:rFonts w:ascii="Calibri" w:hAnsi="Calibri" w:cs="Calibri"/>
          <w:color w:val="0D0D0D" w:themeColor="text1" w:themeTint="F2"/>
        </w:rPr>
        <w:t>Levardi</w:t>
      </w:r>
      <w:proofErr w:type="spellEnd"/>
      <w:r w:rsidR="00B44F2B" w:rsidRPr="003A7D44">
        <w:rPr>
          <w:rFonts w:ascii="Calibri" w:hAnsi="Calibri" w:cs="Calibri"/>
          <w:color w:val="0D0D0D" w:themeColor="text1" w:themeTint="F2"/>
        </w:rPr>
        <w:t xml:space="preserve"> </w:t>
      </w:r>
      <w:r w:rsidR="00B44F2B" w:rsidRPr="003A7D44">
        <w:rPr>
          <w:rFonts w:ascii="Calibri" w:hAnsi="Calibri" w:cs="Calibri"/>
          <w:i/>
          <w:iCs/>
          <w:color w:val="0D0D0D" w:themeColor="text1" w:themeTint="F2"/>
        </w:rPr>
        <w:t>et al</w:t>
      </w:r>
      <w:r w:rsidR="00B44F2B" w:rsidRPr="003A7D44">
        <w:rPr>
          <w:rFonts w:ascii="Calibri" w:hAnsi="Calibri" w:cs="Calibri"/>
          <w:color w:val="0D0D0D" w:themeColor="text1" w:themeTint="F2"/>
        </w:rPr>
        <w:t xml:space="preserve">., 2010; Kim </w:t>
      </w:r>
      <w:r w:rsidR="005166EF">
        <w:rPr>
          <w:rFonts w:ascii="Calibri" w:hAnsi="Calibri" w:cs="Calibri"/>
          <w:color w:val="0D0D0D" w:themeColor="text1" w:themeTint="F2"/>
        </w:rPr>
        <w:t>and</w:t>
      </w:r>
      <w:r w:rsidR="00B44F2B" w:rsidRPr="003A7D44">
        <w:rPr>
          <w:rFonts w:ascii="Calibri" w:hAnsi="Calibri" w:cs="Calibri"/>
          <w:color w:val="0D0D0D" w:themeColor="text1" w:themeTint="F2"/>
        </w:rPr>
        <w:t xml:space="preserve"> Moon, 20</w:t>
      </w:r>
      <w:r w:rsidR="00737FCB" w:rsidRPr="003A7D44">
        <w:rPr>
          <w:rFonts w:ascii="Calibri" w:hAnsi="Calibri" w:cs="Calibri"/>
          <w:color w:val="0D0D0D" w:themeColor="text1" w:themeTint="F2"/>
        </w:rPr>
        <w:t>21</w:t>
      </w:r>
      <w:r w:rsidR="00B44F2B" w:rsidRPr="003A7D44">
        <w:rPr>
          <w:rFonts w:ascii="Calibri" w:hAnsi="Calibri" w:cs="Calibri"/>
          <w:color w:val="0D0D0D" w:themeColor="text1" w:themeTint="F2"/>
        </w:rPr>
        <w:t xml:space="preserve">). </w:t>
      </w:r>
      <w:r w:rsidR="00E249DC">
        <w:rPr>
          <w:rFonts w:ascii="Calibri" w:hAnsi="Calibri" w:cs="Calibri"/>
          <w:color w:val="0D0D0D" w:themeColor="text1" w:themeTint="F2"/>
        </w:rPr>
        <w:t xml:space="preserve"> </w:t>
      </w:r>
      <w:r w:rsidR="00B44F2B" w:rsidRPr="003A7D44">
        <w:rPr>
          <w:rFonts w:ascii="Calibri" w:hAnsi="Calibri" w:cs="Calibri"/>
          <w:color w:val="0D0D0D" w:themeColor="text1" w:themeTint="F2"/>
        </w:rPr>
        <w:t xml:space="preserve">This stark contrast underscores the urgent need to address gender bias within nurse education, including the lack of male role models, the potential misalignment of learning styles, and the impact of societal stereotypes, such as the presumption of homosexuality noted by Adeniji </w:t>
      </w:r>
      <w:r w:rsidR="00B44F2B" w:rsidRPr="003A7D44">
        <w:rPr>
          <w:rFonts w:ascii="Calibri" w:hAnsi="Calibri" w:cs="Calibri"/>
          <w:i/>
          <w:iCs/>
          <w:color w:val="0D0D0D" w:themeColor="text1" w:themeTint="F2"/>
        </w:rPr>
        <w:t>et al</w:t>
      </w:r>
      <w:r w:rsidR="00B44F2B" w:rsidRPr="003A7D44">
        <w:rPr>
          <w:rFonts w:ascii="Calibri" w:hAnsi="Calibri" w:cs="Calibri"/>
          <w:color w:val="0D0D0D" w:themeColor="text1" w:themeTint="F2"/>
        </w:rPr>
        <w:t>. (2015).</w:t>
      </w:r>
      <w:r w:rsidR="001C5FA1" w:rsidRPr="003A7D44">
        <w:rPr>
          <w:rFonts w:ascii="Calibri" w:hAnsi="Calibri" w:cs="Calibri"/>
          <w:color w:val="0D0D0D" w:themeColor="text1" w:themeTint="F2"/>
        </w:rPr>
        <w:t xml:space="preserve">  </w:t>
      </w:r>
    </w:p>
    <w:p w14:paraId="0EEEC681" w14:textId="571F08E5" w:rsidR="005D151A" w:rsidRPr="003A7D44" w:rsidRDefault="005D151A" w:rsidP="00DA2F1C">
      <w:pPr>
        <w:rPr>
          <w:rFonts w:ascii="Calibri" w:hAnsi="Calibri" w:cs="Calibri"/>
          <w:color w:val="0D0D0D" w:themeColor="text1" w:themeTint="F2"/>
        </w:rPr>
      </w:pPr>
    </w:p>
    <w:p w14:paraId="7942016D" w14:textId="74318449" w:rsidR="005D151A" w:rsidRPr="003F6E35" w:rsidRDefault="005D151A" w:rsidP="00DA2F1C">
      <w:pPr>
        <w:rPr>
          <w:rFonts w:ascii="Calibri" w:hAnsi="Calibri" w:cs="Calibri"/>
          <w:b/>
          <w:bCs/>
          <w:color w:val="0D0D0D" w:themeColor="text1" w:themeTint="F2"/>
          <w:u w:val="single"/>
        </w:rPr>
      </w:pPr>
      <w:r w:rsidRPr="003F6E35">
        <w:rPr>
          <w:rFonts w:ascii="Calibri" w:hAnsi="Calibri" w:cs="Calibri"/>
          <w:b/>
          <w:bCs/>
          <w:color w:val="0D0D0D" w:themeColor="text1" w:themeTint="F2"/>
          <w:u w:val="single"/>
        </w:rPr>
        <w:t xml:space="preserve">Part 3 - </w:t>
      </w:r>
      <w:r w:rsidR="007840D7" w:rsidRPr="003F6E35">
        <w:rPr>
          <w:rFonts w:ascii="Calibri" w:hAnsi="Calibri" w:cs="Calibri"/>
          <w:b/>
          <w:bCs/>
          <w:color w:val="0D0D0D" w:themeColor="text1" w:themeTint="F2"/>
          <w:u w:val="single"/>
        </w:rPr>
        <w:t>The</w:t>
      </w:r>
      <w:r w:rsidRPr="003F6E35">
        <w:rPr>
          <w:rFonts w:ascii="Calibri" w:hAnsi="Calibri" w:cs="Calibri"/>
          <w:b/>
          <w:bCs/>
          <w:color w:val="0D0D0D" w:themeColor="text1" w:themeTint="F2"/>
          <w:u w:val="single"/>
        </w:rPr>
        <w:t xml:space="preserve"> Research Study </w:t>
      </w:r>
    </w:p>
    <w:p w14:paraId="1DE27326" w14:textId="64A6C567" w:rsidR="00027E2C" w:rsidRPr="003A7D44" w:rsidRDefault="00027E2C" w:rsidP="00DA2F1C">
      <w:pPr>
        <w:rPr>
          <w:rFonts w:ascii="Calibri" w:hAnsi="Calibri" w:cs="Calibri"/>
          <w:color w:val="0D0D0D" w:themeColor="text1" w:themeTint="F2"/>
        </w:rPr>
      </w:pPr>
      <w:r w:rsidRPr="003A7D44">
        <w:rPr>
          <w:rFonts w:ascii="Calibri" w:hAnsi="Calibri" w:cs="Calibri"/>
          <w:color w:val="0D0D0D" w:themeColor="text1" w:themeTint="F2"/>
        </w:rPr>
        <w:t xml:space="preserve">The literature reviewed provides a critical foundation for </w:t>
      </w:r>
      <w:r w:rsidR="001C590E" w:rsidRPr="003A7D44">
        <w:rPr>
          <w:rFonts w:ascii="Calibri" w:hAnsi="Calibri" w:cs="Calibri"/>
          <w:color w:val="0D0D0D" w:themeColor="text1" w:themeTint="F2"/>
        </w:rPr>
        <w:t>the</w:t>
      </w:r>
      <w:r w:rsidRPr="003A7D44">
        <w:rPr>
          <w:rFonts w:ascii="Calibri" w:hAnsi="Calibri" w:cs="Calibri"/>
          <w:color w:val="0D0D0D" w:themeColor="text1" w:themeTint="F2"/>
        </w:rPr>
        <w:t xml:space="preserve"> doctoral study, which aims to investigate the potential existence of gender bias within nurse education programmes in Wales and its contribution to the high attrition rates of male students. </w:t>
      </w:r>
      <w:r w:rsidR="00601842"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The historical overview of men's contributions to nursing, although often overlooked, highlights the longstanding presence of males in the profession, challenging the contemporary perception of nursing as inherently female. </w:t>
      </w:r>
      <w:r w:rsidR="00601842"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This historical perspective, particularly the shift towards feminisation during and after the Nightingale era, as discussed by Mackintosh (1997) and others, provides context for understanding the current gender imbalance and the persistence of stereotypes. </w:t>
      </w:r>
      <w:r w:rsidR="00601842"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By acknowledging the historical marginalisation of male nurses, </w:t>
      </w:r>
      <w:r w:rsidR="001C590E" w:rsidRPr="003A7D44">
        <w:rPr>
          <w:rFonts w:ascii="Calibri" w:hAnsi="Calibri" w:cs="Calibri"/>
          <w:color w:val="0D0D0D" w:themeColor="text1" w:themeTint="F2"/>
        </w:rPr>
        <w:lastRenderedPageBreak/>
        <w:t>the</w:t>
      </w:r>
      <w:r w:rsidRPr="003A7D44">
        <w:rPr>
          <w:rFonts w:ascii="Calibri" w:hAnsi="Calibri" w:cs="Calibri"/>
          <w:color w:val="0D0D0D" w:themeColor="text1" w:themeTint="F2"/>
        </w:rPr>
        <w:t xml:space="preserve"> research aims to examine how this legacy may still influence educational practices and student experiences.</w:t>
      </w:r>
    </w:p>
    <w:p w14:paraId="13683DAB" w14:textId="5070C1B0" w:rsidR="00027E2C" w:rsidRPr="003A7D44" w:rsidRDefault="00D525F7" w:rsidP="00DA2F1C">
      <w:pPr>
        <w:rPr>
          <w:rFonts w:ascii="Calibri" w:hAnsi="Calibri" w:cs="Calibri"/>
          <w:color w:val="0D0D0D" w:themeColor="text1" w:themeTint="F2"/>
        </w:rPr>
      </w:pPr>
      <w:r>
        <w:rPr>
          <w:rFonts w:ascii="Calibri" w:hAnsi="Calibri" w:cs="Calibri"/>
          <w:color w:val="0D0D0D" w:themeColor="text1" w:themeTint="F2"/>
        </w:rPr>
        <w:t>T</w:t>
      </w:r>
      <w:r w:rsidR="00027E2C" w:rsidRPr="003A7D44">
        <w:rPr>
          <w:rFonts w:ascii="Calibri" w:hAnsi="Calibri" w:cs="Calibri"/>
          <w:color w:val="0D0D0D" w:themeColor="text1" w:themeTint="F2"/>
        </w:rPr>
        <w:t xml:space="preserve">he literature concerning gender bias within nurse education, including the lack of male role models, the potential misalignment of learning styles, and the impact of societal stereotypes, directly informs </w:t>
      </w:r>
      <w:r w:rsidR="001C590E" w:rsidRPr="003A7D44">
        <w:rPr>
          <w:rFonts w:ascii="Calibri" w:hAnsi="Calibri" w:cs="Calibri"/>
          <w:color w:val="0D0D0D" w:themeColor="text1" w:themeTint="F2"/>
        </w:rPr>
        <w:t>the</w:t>
      </w:r>
      <w:r w:rsidR="00027E2C" w:rsidRPr="003A7D44">
        <w:rPr>
          <w:rFonts w:ascii="Calibri" w:hAnsi="Calibri" w:cs="Calibri"/>
          <w:color w:val="0D0D0D" w:themeColor="text1" w:themeTint="F2"/>
        </w:rPr>
        <w:t xml:space="preserve"> study's research questions.</w:t>
      </w:r>
      <w:r w:rsidR="005B01F9">
        <w:rPr>
          <w:rFonts w:ascii="Calibri" w:hAnsi="Calibri" w:cs="Calibri"/>
          <w:color w:val="0D0D0D" w:themeColor="text1" w:themeTint="F2"/>
        </w:rPr>
        <w:t xml:space="preserve"> </w:t>
      </w:r>
      <w:r w:rsidR="00027E2C" w:rsidRPr="003A7D44">
        <w:rPr>
          <w:rFonts w:ascii="Calibri" w:hAnsi="Calibri" w:cs="Calibri"/>
          <w:color w:val="0D0D0D" w:themeColor="text1" w:themeTint="F2"/>
        </w:rPr>
        <w:t xml:space="preserve"> The findings from Stanley </w:t>
      </w:r>
      <w:r w:rsidR="00027E2C" w:rsidRPr="003A7D44">
        <w:rPr>
          <w:rFonts w:ascii="Calibri" w:hAnsi="Calibri" w:cs="Calibri"/>
          <w:i/>
          <w:iCs/>
          <w:color w:val="0D0D0D" w:themeColor="text1" w:themeTint="F2"/>
        </w:rPr>
        <w:t>et al</w:t>
      </w:r>
      <w:r w:rsidR="00027E2C" w:rsidRPr="003A7D44">
        <w:rPr>
          <w:rFonts w:ascii="Calibri" w:hAnsi="Calibri" w:cs="Calibri"/>
          <w:color w:val="0D0D0D" w:themeColor="text1" w:themeTint="F2"/>
        </w:rPr>
        <w:t>. (2017), Drennan</w:t>
      </w:r>
      <w:r w:rsidR="00C33157" w:rsidRPr="003A7D44">
        <w:rPr>
          <w:rFonts w:ascii="Calibri" w:hAnsi="Calibri" w:cs="Calibri"/>
          <w:color w:val="0D0D0D" w:themeColor="text1" w:themeTint="F2"/>
        </w:rPr>
        <w:t xml:space="preserve"> </w:t>
      </w:r>
      <w:r w:rsidR="00C33157" w:rsidRPr="003A7D44">
        <w:rPr>
          <w:rFonts w:ascii="Calibri" w:hAnsi="Calibri" w:cs="Calibri"/>
          <w:i/>
          <w:iCs/>
          <w:color w:val="0D0D0D" w:themeColor="text1" w:themeTint="F2"/>
        </w:rPr>
        <w:t>et al.</w:t>
      </w:r>
      <w:r w:rsidR="00027E2C" w:rsidRPr="003A7D44">
        <w:rPr>
          <w:rFonts w:ascii="Calibri" w:hAnsi="Calibri" w:cs="Calibri"/>
          <w:color w:val="0D0D0D" w:themeColor="text1" w:themeTint="F2"/>
        </w:rPr>
        <w:t xml:space="preserve"> (201</w:t>
      </w:r>
      <w:r w:rsidR="00C33157" w:rsidRPr="003A7D44">
        <w:rPr>
          <w:rFonts w:ascii="Calibri" w:hAnsi="Calibri" w:cs="Calibri"/>
          <w:color w:val="0D0D0D" w:themeColor="text1" w:themeTint="F2"/>
        </w:rPr>
        <w:t>6</w:t>
      </w:r>
      <w:r w:rsidR="00027E2C" w:rsidRPr="003A7D44">
        <w:rPr>
          <w:rFonts w:ascii="Calibri" w:hAnsi="Calibri" w:cs="Calibri"/>
          <w:color w:val="0D0D0D" w:themeColor="text1" w:themeTint="F2"/>
        </w:rPr>
        <w:t xml:space="preserve">), and others, which highlight the sense of alienation experienced by male students due to a perceived lack of support and representation, are particularly relevant. </w:t>
      </w:r>
      <w:r w:rsidR="00601842" w:rsidRPr="003A7D44">
        <w:rPr>
          <w:rFonts w:ascii="Calibri" w:hAnsi="Calibri" w:cs="Calibri"/>
          <w:color w:val="0D0D0D" w:themeColor="text1" w:themeTint="F2"/>
        </w:rPr>
        <w:t xml:space="preserve"> </w:t>
      </w:r>
      <w:r w:rsidR="00027E2C" w:rsidRPr="003A7D44">
        <w:rPr>
          <w:rFonts w:ascii="Calibri" w:hAnsi="Calibri" w:cs="Calibri"/>
          <w:color w:val="0D0D0D" w:themeColor="text1" w:themeTint="F2"/>
        </w:rPr>
        <w:t xml:space="preserve">These studies suggest that the educational environment may not be adequately tailored to meet the needs of male students, potentially contributing to their higher attrition rates. </w:t>
      </w:r>
      <w:r w:rsidR="00601842" w:rsidRPr="003A7D44">
        <w:rPr>
          <w:rFonts w:ascii="Calibri" w:hAnsi="Calibri" w:cs="Calibri"/>
          <w:color w:val="0D0D0D" w:themeColor="text1" w:themeTint="F2"/>
        </w:rPr>
        <w:t xml:space="preserve"> </w:t>
      </w:r>
      <w:r w:rsidR="001C590E" w:rsidRPr="003A7D44">
        <w:rPr>
          <w:rFonts w:ascii="Calibri" w:hAnsi="Calibri" w:cs="Calibri"/>
          <w:color w:val="0D0D0D" w:themeColor="text1" w:themeTint="F2"/>
        </w:rPr>
        <w:t xml:space="preserve">This </w:t>
      </w:r>
      <w:r w:rsidR="00027E2C" w:rsidRPr="003A7D44">
        <w:rPr>
          <w:rFonts w:ascii="Calibri" w:hAnsi="Calibri" w:cs="Calibri"/>
          <w:color w:val="0D0D0D" w:themeColor="text1" w:themeTint="F2"/>
        </w:rPr>
        <w:t xml:space="preserve">will </w:t>
      </w:r>
      <w:r w:rsidR="001C590E" w:rsidRPr="003A7D44">
        <w:rPr>
          <w:rFonts w:ascii="Calibri" w:hAnsi="Calibri" w:cs="Calibri"/>
          <w:color w:val="0D0D0D" w:themeColor="text1" w:themeTint="F2"/>
        </w:rPr>
        <w:t xml:space="preserve">be </w:t>
      </w:r>
      <w:r w:rsidR="00027E2C" w:rsidRPr="003A7D44">
        <w:rPr>
          <w:rFonts w:ascii="Calibri" w:hAnsi="Calibri" w:cs="Calibri"/>
          <w:color w:val="0D0D0D" w:themeColor="text1" w:themeTint="F2"/>
        </w:rPr>
        <w:t>buil</w:t>
      </w:r>
      <w:r w:rsidR="001C590E" w:rsidRPr="003A7D44">
        <w:rPr>
          <w:rFonts w:ascii="Calibri" w:hAnsi="Calibri" w:cs="Calibri"/>
          <w:color w:val="0D0D0D" w:themeColor="text1" w:themeTint="F2"/>
        </w:rPr>
        <w:t>t</w:t>
      </w:r>
      <w:r w:rsidR="00027E2C" w:rsidRPr="003A7D44">
        <w:rPr>
          <w:rFonts w:ascii="Calibri" w:hAnsi="Calibri" w:cs="Calibri"/>
          <w:color w:val="0D0D0D" w:themeColor="text1" w:themeTint="F2"/>
        </w:rPr>
        <w:t xml:space="preserve"> upon </w:t>
      </w:r>
      <w:r w:rsidR="001C590E" w:rsidRPr="003A7D44">
        <w:rPr>
          <w:rFonts w:ascii="Calibri" w:hAnsi="Calibri" w:cs="Calibri"/>
          <w:color w:val="0D0D0D" w:themeColor="text1" w:themeTint="F2"/>
        </w:rPr>
        <w:t>with the</w:t>
      </w:r>
      <w:r w:rsidR="00027E2C" w:rsidRPr="003A7D44">
        <w:rPr>
          <w:rFonts w:ascii="Calibri" w:hAnsi="Calibri" w:cs="Calibri"/>
          <w:color w:val="0D0D0D" w:themeColor="text1" w:themeTint="F2"/>
        </w:rPr>
        <w:t xml:space="preserve"> specific exami</w:t>
      </w:r>
      <w:r w:rsidR="001C590E" w:rsidRPr="003A7D44">
        <w:rPr>
          <w:rFonts w:ascii="Calibri" w:hAnsi="Calibri" w:cs="Calibri"/>
          <w:color w:val="0D0D0D" w:themeColor="text1" w:themeTint="F2"/>
        </w:rPr>
        <w:t>nation of the</w:t>
      </w:r>
      <w:r w:rsidR="00027E2C" w:rsidRPr="003A7D44">
        <w:rPr>
          <w:rFonts w:ascii="Calibri" w:hAnsi="Calibri" w:cs="Calibri"/>
          <w:color w:val="0D0D0D" w:themeColor="text1" w:themeTint="F2"/>
        </w:rPr>
        <w:t xml:space="preserve"> Welsh context, considering whether similar patterns of bias exist and how they manifest within local institutions.</w:t>
      </w:r>
    </w:p>
    <w:p w14:paraId="211279D4" w14:textId="4F02D97E" w:rsidR="00027E2C" w:rsidRPr="003A7D44" w:rsidRDefault="00027E2C" w:rsidP="00DA2F1C">
      <w:pPr>
        <w:rPr>
          <w:rFonts w:ascii="Calibri" w:hAnsi="Calibri" w:cs="Calibri"/>
          <w:color w:val="0D0D0D" w:themeColor="text1" w:themeTint="F2"/>
        </w:rPr>
      </w:pPr>
      <w:r w:rsidRPr="003A7D44">
        <w:rPr>
          <w:rFonts w:ascii="Calibri" w:hAnsi="Calibri" w:cs="Calibri"/>
          <w:color w:val="0D0D0D" w:themeColor="text1" w:themeTint="F2"/>
        </w:rPr>
        <w:t xml:space="preserve">The discussion around learning styles, while offering valuable insights, also reveals the need for critical evaluation of the existing literature. </w:t>
      </w:r>
      <w:r w:rsidR="00601842"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The reliance on older studies, such as Sherrod (2003) and Belenkey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xml:space="preserve">. (1986), which perpetuate potentially harmful gender stereotypes, underscores the importance of employing contemporary research methodologies and perspectives. </w:t>
      </w:r>
      <w:r w:rsidR="00E15400" w:rsidRPr="003A7D44">
        <w:rPr>
          <w:rFonts w:ascii="Calibri" w:hAnsi="Calibri" w:cs="Calibri"/>
          <w:color w:val="0D0D0D" w:themeColor="text1" w:themeTint="F2"/>
        </w:rPr>
        <w:t xml:space="preserve"> </w:t>
      </w:r>
      <w:r w:rsidRPr="003A7D44">
        <w:rPr>
          <w:rFonts w:ascii="Calibri" w:hAnsi="Calibri" w:cs="Calibri"/>
          <w:color w:val="0D0D0D" w:themeColor="text1" w:themeTint="F2"/>
        </w:rPr>
        <w:t>Modern studies, like Nancekivell, Shah, and Gelman (2020), challenge these outdated views, advocating for a more nuanced understanding of gender and learning.</w:t>
      </w:r>
      <w:r w:rsidR="001C590E" w:rsidRPr="003A7D44">
        <w:rPr>
          <w:rFonts w:ascii="Calibri" w:hAnsi="Calibri" w:cs="Calibri"/>
          <w:color w:val="0D0D0D" w:themeColor="text1" w:themeTint="F2"/>
        </w:rPr>
        <w:t xml:space="preserve">  The research</w:t>
      </w:r>
      <w:r w:rsidRPr="003A7D44">
        <w:rPr>
          <w:rFonts w:ascii="Calibri" w:hAnsi="Calibri" w:cs="Calibri"/>
          <w:color w:val="0D0D0D" w:themeColor="text1" w:themeTint="F2"/>
        </w:rPr>
        <w:t xml:space="preserve"> will adopt this critical approach, aiming to move beyond simplistic gender dichotomies and explore the complexities of individual learning experiences within the context of nurse education.</w:t>
      </w:r>
    </w:p>
    <w:p w14:paraId="5CD8700A" w14:textId="440A2039" w:rsidR="00027E2C" w:rsidRPr="003A7D44" w:rsidRDefault="00E325FB" w:rsidP="00DA2F1C">
      <w:pPr>
        <w:rPr>
          <w:rFonts w:ascii="Calibri" w:hAnsi="Calibri" w:cs="Calibri"/>
          <w:color w:val="0D0D0D" w:themeColor="text1" w:themeTint="F2"/>
        </w:rPr>
      </w:pPr>
      <w:r w:rsidRPr="003A7D44">
        <w:rPr>
          <w:rFonts w:ascii="Calibri" w:hAnsi="Calibri" w:cs="Calibri"/>
          <w:color w:val="0D0D0D" w:themeColor="text1" w:themeTint="F2"/>
        </w:rPr>
        <w:t>T</w:t>
      </w:r>
      <w:r w:rsidR="00027E2C" w:rsidRPr="003A7D44">
        <w:rPr>
          <w:rFonts w:ascii="Calibri" w:hAnsi="Calibri" w:cs="Calibri"/>
          <w:color w:val="0D0D0D" w:themeColor="text1" w:themeTint="F2"/>
        </w:rPr>
        <w:t>he alarmingly high attrition rates of male students in nursing, as documented by Anthony (2004)</w:t>
      </w:r>
      <w:r w:rsidR="00B319F0" w:rsidRPr="003A7D44">
        <w:rPr>
          <w:rFonts w:ascii="Calibri" w:hAnsi="Calibri" w:cs="Calibri"/>
          <w:color w:val="0D0D0D" w:themeColor="text1" w:themeTint="F2"/>
        </w:rPr>
        <w:t>, the NMC (2024)</w:t>
      </w:r>
      <w:r w:rsidR="00027E2C" w:rsidRPr="003A7D44">
        <w:rPr>
          <w:rFonts w:ascii="Calibri" w:hAnsi="Calibri" w:cs="Calibri"/>
          <w:color w:val="0D0D0D" w:themeColor="text1" w:themeTint="F2"/>
        </w:rPr>
        <w:t xml:space="preserve"> and others, </w:t>
      </w:r>
      <w:r w:rsidRPr="003A7D44">
        <w:rPr>
          <w:rFonts w:ascii="Calibri" w:hAnsi="Calibri" w:cs="Calibri"/>
          <w:color w:val="0D0D0D" w:themeColor="text1" w:themeTint="F2"/>
        </w:rPr>
        <w:t xml:space="preserve">furthermore, </w:t>
      </w:r>
      <w:r w:rsidR="00027E2C" w:rsidRPr="003A7D44">
        <w:rPr>
          <w:rFonts w:ascii="Calibri" w:hAnsi="Calibri" w:cs="Calibri"/>
          <w:color w:val="0D0D0D" w:themeColor="text1" w:themeTint="F2"/>
        </w:rPr>
        <w:t>highlight the urgency of addressing this issue.</w:t>
      </w:r>
      <w:r w:rsidR="001C590E" w:rsidRPr="003A7D44">
        <w:rPr>
          <w:rFonts w:ascii="Calibri" w:hAnsi="Calibri" w:cs="Calibri"/>
          <w:color w:val="0D0D0D" w:themeColor="text1" w:themeTint="F2"/>
        </w:rPr>
        <w:t xml:space="preserve">  The doctoral </w:t>
      </w:r>
      <w:r w:rsidR="00027E2C" w:rsidRPr="003A7D44">
        <w:rPr>
          <w:rFonts w:ascii="Calibri" w:hAnsi="Calibri" w:cs="Calibri"/>
          <w:color w:val="0D0D0D" w:themeColor="text1" w:themeTint="F2"/>
        </w:rPr>
        <w:t>research will</w:t>
      </w:r>
      <w:r w:rsidR="00806589" w:rsidRPr="003A7D44">
        <w:rPr>
          <w:rFonts w:ascii="Calibri" w:hAnsi="Calibri" w:cs="Calibri"/>
          <w:color w:val="0D0D0D" w:themeColor="text1" w:themeTint="F2"/>
        </w:rPr>
        <w:t xml:space="preserve"> build </w:t>
      </w:r>
      <w:r w:rsidR="00815DF0" w:rsidRPr="003A7D44">
        <w:rPr>
          <w:rFonts w:ascii="Calibri" w:hAnsi="Calibri" w:cs="Calibri"/>
          <w:color w:val="0D0D0D" w:themeColor="text1" w:themeTint="F2"/>
        </w:rPr>
        <w:t>on</w:t>
      </w:r>
      <w:r w:rsidR="00027E2C" w:rsidRPr="003A7D44">
        <w:rPr>
          <w:rFonts w:ascii="Calibri" w:hAnsi="Calibri" w:cs="Calibri"/>
          <w:color w:val="0D0D0D" w:themeColor="text1" w:themeTint="F2"/>
        </w:rPr>
        <w:t xml:space="preserve"> </w:t>
      </w:r>
      <w:r w:rsidRPr="003A7D44">
        <w:rPr>
          <w:rFonts w:ascii="Calibri" w:hAnsi="Calibri" w:cs="Calibri"/>
          <w:color w:val="0D0D0D" w:themeColor="text1" w:themeTint="F2"/>
        </w:rPr>
        <w:t>existing</w:t>
      </w:r>
      <w:r w:rsidR="00027E2C" w:rsidRPr="003A7D44">
        <w:rPr>
          <w:rFonts w:ascii="Calibri" w:hAnsi="Calibri" w:cs="Calibri"/>
          <w:color w:val="0D0D0D" w:themeColor="text1" w:themeTint="F2"/>
        </w:rPr>
        <w:t xml:space="preserve"> knowledge by investigating the specific factors contributing to these rates in Wales, considering the potential impact of gender bias and other contextual factors.</w:t>
      </w:r>
      <w:r w:rsidR="001C590E" w:rsidRPr="003A7D44">
        <w:rPr>
          <w:rFonts w:ascii="Calibri" w:hAnsi="Calibri" w:cs="Calibri"/>
          <w:color w:val="0D0D0D" w:themeColor="text1" w:themeTint="F2"/>
        </w:rPr>
        <w:t xml:space="preserve"> </w:t>
      </w:r>
      <w:r w:rsidR="00027E2C" w:rsidRPr="003A7D44">
        <w:rPr>
          <w:rFonts w:ascii="Calibri" w:hAnsi="Calibri" w:cs="Calibri"/>
          <w:color w:val="0D0D0D" w:themeColor="text1" w:themeTint="F2"/>
        </w:rPr>
        <w:t xml:space="preserve"> </w:t>
      </w:r>
    </w:p>
    <w:p w14:paraId="67422D06" w14:textId="2F572D3F" w:rsidR="007840D7" w:rsidRPr="003A7D44" w:rsidRDefault="00027E2C" w:rsidP="00DA2F1C">
      <w:pPr>
        <w:rPr>
          <w:rFonts w:ascii="Calibri" w:hAnsi="Calibri" w:cs="Calibri"/>
          <w:color w:val="0D0D0D" w:themeColor="text1" w:themeTint="F2"/>
        </w:rPr>
      </w:pPr>
      <w:r w:rsidRPr="003A7D44">
        <w:rPr>
          <w:rFonts w:ascii="Calibri" w:hAnsi="Calibri" w:cs="Calibri"/>
          <w:color w:val="0D0D0D" w:themeColor="text1" w:themeTint="F2"/>
        </w:rPr>
        <w:t>The literature also sheds light on the specific challenges posed by the historical sexualisation of nursing as "women's work" (</w:t>
      </w:r>
      <w:proofErr w:type="spellStart"/>
      <w:r w:rsidRPr="003A7D44">
        <w:rPr>
          <w:rFonts w:ascii="Calibri" w:hAnsi="Calibri" w:cs="Calibri"/>
          <w:color w:val="0D0D0D" w:themeColor="text1" w:themeTint="F2"/>
        </w:rPr>
        <w:t>Villanuev</w:t>
      </w:r>
      <w:r w:rsidR="00EB1FA6" w:rsidRPr="003A7D44">
        <w:rPr>
          <w:rFonts w:ascii="Calibri" w:hAnsi="Calibri" w:cs="Calibri"/>
          <w:color w:val="0D0D0D" w:themeColor="text1" w:themeTint="F2"/>
        </w:rPr>
        <w:t>e</w:t>
      </w:r>
      <w:proofErr w:type="spellEnd"/>
      <w:r w:rsidRPr="003A7D44">
        <w:rPr>
          <w:rFonts w:ascii="Calibri" w:hAnsi="Calibri" w:cs="Calibri"/>
          <w:color w:val="0D0D0D" w:themeColor="text1" w:themeTint="F2"/>
        </w:rPr>
        <w:t xml:space="preserve">, 1994) and the enduring influence of female-dominated authorship in nursing texts (O'Lynn </w:t>
      </w:r>
      <w:r w:rsidR="00A07547" w:rsidRPr="003A7D44">
        <w:rPr>
          <w:rFonts w:ascii="Calibri" w:hAnsi="Calibri" w:cs="Calibri"/>
          <w:color w:val="0D0D0D" w:themeColor="text1" w:themeTint="F2"/>
        </w:rPr>
        <w:t>and</w:t>
      </w:r>
      <w:r w:rsidRPr="003A7D44">
        <w:rPr>
          <w:rFonts w:ascii="Calibri" w:hAnsi="Calibri" w:cs="Calibri"/>
          <w:color w:val="0D0D0D" w:themeColor="text1" w:themeTint="F2"/>
        </w:rPr>
        <w:t xml:space="preserve"> Tranbarger, 2007; </w:t>
      </w:r>
      <w:r w:rsidR="00E754CD" w:rsidRPr="003A7D44">
        <w:rPr>
          <w:rFonts w:ascii="Calibri" w:hAnsi="Calibri" w:cs="Calibri"/>
          <w:color w:val="0D0D0D" w:themeColor="text1" w:themeTint="F2"/>
        </w:rPr>
        <w:t>Bell-</w:t>
      </w:r>
      <w:r w:rsidRPr="003A7D44">
        <w:rPr>
          <w:rFonts w:ascii="Calibri" w:hAnsi="Calibri" w:cs="Calibri"/>
          <w:color w:val="0D0D0D" w:themeColor="text1" w:themeTint="F2"/>
        </w:rPr>
        <w:t>Scriber, 2008).</w:t>
      </w:r>
      <w:r w:rsidR="00E15400"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The perpetuation of feminine pronouns and the neglect of male contributions in these texts (Group </w:t>
      </w:r>
      <w:r w:rsidR="00A07547" w:rsidRPr="003A7D44">
        <w:rPr>
          <w:rFonts w:ascii="Calibri" w:hAnsi="Calibri" w:cs="Calibri"/>
          <w:color w:val="0D0D0D" w:themeColor="text1" w:themeTint="F2"/>
        </w:rPr>
        <w:t>and</w:t>
      </w:r>
      <w:r w:rsidRPr="003A7D44">
        <w:rPr>
          <w:rFonts w:ascii="Calibri" w:hAnsi="Calibri" w:cs="Calibri"/>
          <w:color w:val="0D0D0D" w:themeColor="text1" w:themeTint="F2"/>
        </w:rPr>
        <w:t xml:space="preserve"> Roberts, 2001; Grady </w:t>
      </w:r>
      <w:r w:rsidRPr="003A7D44">
        <w:rPr>
          <w:rFonts w:ascii="Calibri" w:hAnsi="Calibri" w:cs="Calibri"/>
          <w:i/>
          <w:iCs/>
          <w:color w:val="0D0D0D" w:themeColor="text1" w:themeTint="F2"/>
        </w:rPr>
        <w:t>et al</w:t>
      </w:r>
      <w:r w:rsidRPr="003A7D44">
        <w:rPr>
          <w:rFonts w:ascii="Calibri" w:hAnsi="Calibri" w:cs="Calibri"/>
          <w:color w:val="0D0D0D" w:themeColor="text1" w:themeTint="F2"/>
        </w:rPr>
        <w:t>., 2008) further reinforce a sense of exclusion.</w:t>
      </w:r>
      <w:r w:rsidR="00CD615B">
        <w:rPr>
          <w:rFonts w:ascii="Calibri" w:hAnsi="Calibri" w:cs="Calibri"/>
          <w:color w:val="0D0D0D" w:themeColor="text1" w:themeTint="F2"/>
        </w:rPr>
        <w:t xml:space="preserve">  </w:t>
      </w:r>
      <w:r w:rsidR="003B4D3D" w:rsidRPr="003A7D44">
        <w:rPr>
          <w:rFonts w:ascii="Calibri" w:hAnsi="Calibri" w:cs="Calibri"/>
          <w:color w:val="0D0D0D" w:themeColor="text1" w:themeTint="F2"/>
        </w:rPr>
        <w:t>The</w:t>
      </w:r>
      <w:r w:rsidRPr="003A7D44">
        <w:rPr>
          <w:rFonts w:ascii="Calibri" w:hAnsi="Calibri" w:cs="Calibri"/>
          <w:color w:val="0D0D0D" w:themeColor="text1" w:themeTint="F2"/>
        </w:rPr>
        <w:t xml:space="preserve"> study will critically examine how these historical and textual biases impact male students' experiences in Welsh nurse education programmes.</w:t>
      </w:r>
    </w:p>
    <w:p w14:paraId="57D21D0D" w14:textId="505C43CA" w:rsidR="007F4AC5" w:rsidRPr="003A7D44" w:rsidRDefault="007F4AC5" w:rsidP="00DA2F1C">
      <w:pPr>
        <w:rPr>
          <w:rFonts w:ascii="Calibri" w:hAnsi="Calibri" w:cs="Calibri"/>
          <w:color w:val="0D0D0D" w:themeColor="text1" w:themeTint="F2"/>
        </w:rPr>
      </w:pPr>
      <w:r w:rsidRPr="003A7D44">
        <w:rPr>
          <w:rFonts w:ascii="Calibri" w:hAnsi="Calibri" w:cs="Calibri"/>
          <w:color w:val="0D0D0D" w:themeColor="text1" w:themeTint="F2"/>
        </w:rPr>
        <w:t xml:space="preserve">The formulation of </w:t>
      </w:r>
      <w:r w:rsidR="00F22D85" w:rsidRPr="003A7D44">
        <w:rPr>
          <w:rFonts w:ascii="Calibri" w:hAnsi="Calibri" w:cs="Calibri"/>
          <w:color w:val="0D0D0D" w:themeColor="text1" w:themeTint="F2"/>
        </w:rPr>
        <w:t>the</w:t>
      </w:r>
      <w:r w:rsidRPr="003A7D44">
        <w:rPr>
          <w:rFonts w:ascii="Calibri" w:hAnsi="Calibri" w:cs="Calibri"/>
          <w:color w:val="0D0D0D" w:themeColor="text1" w:themeTint="F2"/>
        </w:rPr>
        <w:t xml:space="preserve"> research questions </w:t>
      </w:r>
      <w:r w:rsidR="00F22D85" w:rsidRPr="003A7D44">
        <w:rPr>
          <w:rFonts w:ascii="Calibri" w:hAnsi="Calibri" w:cs="Calibri"/>
          <w:color w:val="0D0D0D" w:themeColor="text1" w:themeTint="F2"/>
        </w:rPr>
        <w:t>is</w:t>
      </w:r>
      <w:r w:rsidRPr="003A7D44">
        <w:rPr>
          <w:rFonts w:ascii="Calibri" w:hAnsi="Calibri" w:cs="Calibri"/>
          <w:color w:val="0D0D0D" w:themeColor="text1" w:themeTint="F2"/>
        </w:rPr>
        <w:t xml:space="preserve"> directly informed by the key themes and potential gaps identified within the existing literature.</w:t>
      </w:r>
      <w:r w:rsidR="003B4D3D"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The pervasive underrepresentation of men in nursing, both globally and specifically within the UK and Wales, as highlighted by the World Health Organization (202</w:t>
      </w:r>
      <w:r w:rsidR="009A4D2F" w:rsidRPr="003A7D44">
        <w:rPr>
          <w:rFonts w:ascii="Calibri" w:hAnsi="Calibri" w:cs="Calibri"/>
          <w:color w:val="0D0D0D" w:themeColor="text1" w:themeTint="F2"/>
        </w:rPr>
        <w:t>4</w:t>
      </w:r>
      <w:r w:rsidRPr="003A7D44">
        <w:rPr>
          <w:rFonts w:ascii="Calibri" w:hAnsi="Calibri" w:cs="Calibri"/>
          <w:color w:val="0D0D0D" w:themeColor="text1" w:themeTint="F2"/>
        </w:rPr>
        <w:t xml:space="preserve">) and the Nursing and Midwifery Council (2023), immediately raises the </w:t>
      </w:r>
      <w:r w:rsidR="003B4D3D" w:rsidRPr="003A7D44">
        <w:rPr>
          <w:rFonts w:ascii="Calibri" w:hAnsi="Calibri" w:cs="Calibri"/>
          <w:color w:val="0D0D0D" w:themeColor="text1" w:themeTint="F2"/>
        </w:rPr>
        <w:t xml:space="preserve">first </w:t>
      </w:r>
      <w:r w:rsidRPr="003A7D44">
        <w:rPr>
          <w:rFonts w:ascii="Calibri" w:hAnsi="Calibri" w:cs="Calibri"/>
          <w:color w:val="0D0D0D" w:themeColor="text1" w:themeTint="F2"/>
        </w:rPr>
        <w:t xml:space="preserve">fundamental </w:t>
      </w:r>
      <w:r w:rsidR="00354145" w:rsidRPr="003A7D44">
        <w:rPr>
          <w:rFonts w:ascii="Calibri" w:hAnsi="Calibri" w:cs="Calibri"/>
          <w:color w:val="0D0D0D" w:themeColor="text1" w:themeTint="F2"/>
        </w:rPr>
        <w:t xml:space="preserve">research </w:t>
      </w:r>
      <w:r w:rsidRPr="003A7D44">
        <w:rPr>
          <w:rFonts w:ascii="Calibri" w:hAnsi="Calibri" w:cs="Calibri"/>
          <w:color w:val="0D0D0D" w:themeColor="text1" w:themeTint="F2"/>
        </w:rPr>
        <w:t xml:space="preserve">question: </w:t>
      </w:r>
      <w:r w:rsidRPr="003A7D44">
        <w:rPr>
          <w:rFonts w:ascii="Calibri" w:hAnsi="Calibri" w:cs="Calibri"/>
          <w:b/>
          <w:bCs/>
          <w:color w:val="0D0D0D" w:themeColor="text1" w:themeTint="F2"/>
        </w:rPr>
        <w:t xml:space="preserve">Why are men less likely than </w:t>
      </w:r>
      <w:r w:rsidRPr="003A7D44">
        <w:rPr>
          <w:rFonts w:ascii="Calibri" w:hAnsi="Calibri" w:cs="Calibri"/>
          <w:b/>
          <w:bCs/>
          <w:color w:val="0D0D0D" w:themeColor="text1" w:themeTint="F2"/>
        </w:rPr>
        <w:lastRenderedPageBreak/>
        <w:t>women to undertake study on a nursing degree programme in Wales?</w:t>
      </w:r>
      <w:r w:rsidR="00426E46" w:rsidRPr="003A7D44">
        <w:rPr>
          <w:rFonts w:ascii="Calibri" w:hAnsi="Calibri" w:cs="Calibri"/>
          <w:b/>
          <w:bCs/>
          <w:color w:val="0D0D0D" w:themeColor="text1" w:themeTint="F2"/>
        </w:rPr>
        <w:t xml:space="preserve"> </w:t>
      </w:r>
      <w:r w:rsidRPr="003A7D44">
        <w:rPr>
          <w:rFonts w:ascii="Calibri" w:hAnsi="Calibri" w:cs="Calibri"/>
          <w:color w:val="0D0D0D" w:themeColor="text1" w:themeTint="F2"/>
        </w:rPr>
        <w:t xml:space="preserve"> This question stems directly from the statistical evidence of gender imbalance and the historical context that has shaped nursing as a predominantly female profession (</w:t>
      </w:r>
      <w:proofErr w:type="spellStart"/>
      <w:r w:rsidRPr="003A7D44">
        <w:rPr>
          <w:rFonts w:ascii="Calibri" w:hAnsi="Calibri" w:cs="Calibri"/>
          <w:color w:val="0D0D0D" w:themeColor="text1" w:themeTint="F2"/>
        </w:rPr>
        <w:t>Villanuev</w:t>
      </w:r>
      <w:r w:rsidR="00EB1FA6" w:rsidRPr="003A7D44">
        <w:rPr>
          <w:rFonts w:ascii="Calibri" w:hAnsi="Calibri" w:cs="Calibri"/>
          <w:color w:val="0D0D0D" w:themeColor="text1" w:themeTint="F2"/>
        </w:rPr>
        <w:t>e</w:t>
      </w:r>
      <w:proofErr w:type="spellEnd"/>
      <w:r w:rsidRPr="003A7D44">
        <w:rPr>
          <w:rFonts w:ascii="Calibri" w:hAnsi="Calibri" w:cs="Calibri"/>
          <w:color w:val="0D0D0D" w:themeColor="text1" w:themeTint="F2"/>
        </w:rPr>
        <w:t xml:space="preserve">, 1994; Mackintosh, 1997). </w:t>
      </w:r>
      <w:r w:rsidR="003B4D3D"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The literature suggests that societal gender stereotypes (Williams, 1993; </w:t>
      </w:r>
      <w:proofErr w:type="spellStart"/>
      <w:r w:rsidRPr="003A7D44">
        <w:rPr>
          <w:rFonts w:ascii="Calibri" w:hAnsi="Calibri" w:cs="Calibri"/>
          <w:color w:val="0D0D0D" w:themeColor="text1" w:themeTint="F2"/>
        </w:rPr>
        <w:t>Rajacich</w:t>
      </w:r>
      <w:proofErr w:type="spellEnd"/>
      <w:r w:rsidRPr="003A7D44">
        <w:rPr>
          <w:rFonts w:ascii="Calibri" w:hAnsi="Calibri" w:cs="Calibri"/>
          <w:color w:val="0D0D0D" w:themeColor="text1" w:themeTint="F2"/>
        </w:rPr>
        <w:t xml:space="preserve">, Kane,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Williston, 2013), the historical marginalisation of men's contributions (O'Lynn, 2007), and potentially biased portrayals within educational materials (Group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Roberts, 2001) may all contribute to lower initial application rates from men.</w:t>
      </w:r>
      <w:r w:rsidR="00F96584">
        <w:rPr>
          <w:rFonts w:ascii="Calibri" w:hAnsi="Calibri" w:cs="Calibri"/>
          <w:color w:val="0D0D0D" w:themeColor="text1" w:themeTint="F2"/>
        </w:rPr>
        <w:t xml:space="preserve"> </w:t>
      </w:r>
      <w:r w:rsidRPr="003A7D44">
        <w:rPr>
          <w:rFonts w:ascii="Calibri" w:hAnsi="Calibri" w:cs="Calibri"/>
          <w:color w:val="0D0D0D" w:themeColor="text1" w:themeTint="F2"/>
        </w:rPr>
        <w:t xml:space="preserve"> This research question aims to delve deeper into these potential deterrents within the specific socio-cultural context of Wales.</w:t>
      </w:r>
    </w:p>
    <w:p w14:paraId="32B160CD" w14:textId="7586CF7D" w:rsidR="007F4AC5" w:rsidRPr="003A7D44" w:rsidRDefault="007F4AC5" w:rsidP="00DA2F1C">
      <w:pPr>
        <w:rPr>
          <w:rFonts w:ascii="Calibri" w:hAnsi="Calibri" w:cs="Calibri"/>
          <w:color w:val="0D0D0D" w:themeColor="text1" w:themeTint="F2"/>
        </w:rPr>
      </w:pPr>
      <w:r w:rsidRPr="003A7D44">
        <w:rPr>
          <w:rFonts w:ascii="Calibri" w:hAnsi="Calibri" w:cs="Calibri"/>
          <w:color w:val="0D0D0D" w:themeColor="text1" w:themeTint="F2"/>
        </w:rPr>
        <w:t>Conversely, acknowledging that some men</w:t>
      </w:r>
      <w:r w:rsidR="003B4D3D" w:rsidRPr="003A7D44">
        <w:rPr>
          <w:rFonts w:ascii="Calibri" w:hAnsi="Calibri" w:cs="Calibri"/>
          <w:color w:val="0D0D0D" w:themeColor="text1" w:themeTint="F2"/>
        </w:rPr>
        <w:t xml:space="preserve"> do</w:t>
      </w:r>
      <w:r w:rsidRPr="003A7D44">
        <w:rPr>
          <w:rFonts w:ascii="Calibri" w:hAnsi="Calibri" w:cs="Calibri"/>
          <w:color w:val="0D0D0D" w:themeColor="text1" w:themeTint="F2"/>
        </w:rPr>
        <w:t xml:space="preserve"> choose to enter nursing despite these potential barriers leads to the second research question: </w:t>
      </w:r>
      <w:r w:rsidRPr="003A7D44">
        <w:rPr>
          <w:rFonts w:ascii="Calibri" w:hAnsi="Calibri" w:cs="Calibri"/>
          <w:b/>
          <w:bCs/>
          <w:color w:val="0D0D0D" w:themeColor="text1" w:themeTint="F2"/>
        </w:rPr>
        <w:t>What are the motivational factors for males to undertake studies on a nursing degree programme in Wales?</w:t>
      </w:r>
      <w:r w:rsidRPr="003A7D44">
        <w:rPr>
          <w:rFonts w:ascii="Calibri" w:hAnsi="Calibri" w:cs="Calibri"/>
          <w:color w:val="0D0D0D" w:themeColor="text1" w:themeTint="F2"/>
        </w:rPr>
        <w:t xml:space="preserve"> </w:t>
      </w:r>
      <w:r w:rsidR="00441994">
        <w:rPr>
          <w:rFonts w:ascii="Calibri" w:hAnsi="Calibri" w:cs="Calibri"/>
          <w:color w:val="0D0D0D" w:themeColor="text1" w:themeTint="F2"/>
        </w:rPr>
        <w:t xml:space="preserve"> </w:t>
      </w:r>
      <w:r w:rsidRPr="003A7D44">
        <w:rPr>
          <w:rFonts w:ascii="Calibri" w:hAnsi="Calibri" w:cs="Calibri"/>
          <w:color w:val="0D0D0D" w:themeColor="text1" w:themeTint="F2"/>
        </w:rPr>
        <w:t xml:space="preserve">The literature, while largely focusing on the challenges faced by men, offers less insight into the specific drivers that attract them to the profession. </w:t>
      </w:r>
      <w:r w:rsidR="003B4D3D" w:rsidRPr="003A7D44">
        <w:rPr>
          <w:rFonts w:ascii="Calibri" w:hAnsi="Calibri" w:cs="Calibri"/>
          <w:color w:val="0D0D0D" w:themeColor="text1" w:themeTint="F2"/>
        </w:rPr>
        <w:t xml:space="preserve"> </w:t>
      </w:r>
      <w:r w:rsidRPr="003A7D44">
        <w:rPr>
          <w:rFonts w:ascii="Calibri" w:hAnsi="Calibri" w:cs="Calibri"/>
          <w:color w:val="0D0D0D" w:themeColor="text1" w:themeTint="F2"/>
        </w:rPr>
        <w:t>Understanding these motivations</w:t>
      </w:r>
      <w:r w:rsidR="0099690A" w:rsidRPr="003A7D44">
        <w:rPr>
          <w:rFonts w:ascii="Calibri" w:hAnsi="Calibri" w:cs="Calibri"/>
          <w:color w:val="0D0D0D" w:themeColor="text1" w:themeTint="F2"/>
        </w:rPr>
        <w:t>,</w:t>
      </w:r>
      <w:r w:rsidRPr="003A7D44">
        <w:rPr>
          <w:rFonts w:ascii="Calibri" w:hAnsi="Calibri" w:cs="Calibri"/>
          <w:color w:val="0D0D0D" w:themeColor="text1" w:themeTint="F2"/>
        </w:rPr>
        <w:t xml:space="preserve"> whether they stem from a desire to challenge gender norms, a personal calling to care, recognition of career opportunities, or other factors</w:t>
      </w:r>
      <w:r w:rsidR="0073455B" w:rsidRPr="003A7D44">
        <w:rPr>
          <w:rFonts w:ascii="Calibri" w:hAnsi="Calibri" w:cs="Calibri"/>
          <w:color w:val="0D0D0D" w:themeColor="text1" w:themeTint="F2"/>
        </w:rPr>
        <w:t>,</w:t>
      </w:r>
      <w:r w:rsidRPr="003A7D44">
        <w:rPr>
          <w:rFonts w:ascii="Calibri" w:hAnsi="Calibri" w:cs="Calibri"/>
          <w:color w:val="0D0D0D" w:themeColor="text1" w:themeTint="F2"/>
        </w:rPr>
        <w:t xml:space="preserve"> is crucial for developing targeted recruitment strategies. </w:t>
      </w:r>
      <w:r w:rsidR="003B4D3D" w:rsidRPr="003A7D44">
        <w:rPr>
          <w:rFonts w:ascii="Calibri" w:hAnsi="Calibri" w:cs="Calibri"/>
          <w:color w:val="0D0D0D" w:themeColor="text1" w:themeTint="F2"/>
        </w:rPr>
        <w:t xml:space="preserve"> </w:t>
      </w:r>
      <w:r w:rsidRPr="003A7D44">
        <w:rPr>
          <w:rFonts w:ascii="Calibri" w:hAnsi="Calibri" w:cs="Calibri"/>
          <w:color w:val="0D0D0D" w:themeColor="text1" w:themeTint="F2"/>
        </w:rPr>
        <w:t>Exploring these motivations within the Welsh context can provide valuable insights into how to make nursing a more appealing career path for men.</w:t>
      </w:r>
    </w:p>
    <w:p w14:paraId="59DB7396" w14:textId="6D5A7FD9" w:rsidR="007F4AC5" w:rsidRPr="003A7D44" w:rsidRDefault="007F4AC5" w:rsidP="00DA2F1C">
      <w:pPr>
        <w:rPr>
          <w:rFonts w:ascii="Calibri" w:hAnsi="Calibri" w:cs="Calibri"/>
          <w:color w:val="0D0D0D" w:themeColor="text1" w:themeTint="F2"/>
        </w:rPr>
      </w:pPr>
      <w:r w:rsidRPr="003A7D44">
        <w:rPr>
          <w:rFonts w:ascii="Calibri" w:hAnsi="Calibri" w:cs="Calibri"/>
          <w:color w:val="0D0D0D" w:themeColor="text1" w:themeTint="F2"/>
        </w:rPr>
        <w:t xml:space="preserve">Finally, the significant attrition rates of male nursing students, as documented by </w:t>
      </w:r>
      <w:r w:rsidR="00DC1310" w:rsidRPr="003A7D44">
        <w:rPr>
          <w:rFonts w:ascii="Calibri" w:hAnsi="Calibri" w:cs="Calibri"/>
          <w:color w:val="0D0D0D" w:themeColor="text1" w:themeTint="F2"/>
        </w:rPr>
        <w:t>the NMC (2023)</w:t>
      </w:r>
      <w:r w:rsidR="001B0F33"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Anthony (2004) and others, despite their initial enrolment, necessitates the third research question: </w:t>
      </w:r>
      <w:r w:rsidRPr="003A7D44">
        <w:rPr>
          <w:rFonts w:ascii="Calibri" w:hAnsi="Calibri" w:cs="Calibri"/>
          <w:b/>
          <w:bCs/>
          <w:color w:val="0D0D0D" w:themeColor="text1" w:themeTint="F2"/>
        </w:rPr>
        <w:t>What are the perceived barriers to successful completion of males undertaking studies on a nursing degree programme in Wales?</w:t>
      </w:r>
      <w:r w:rsidRPr="003A7D44">
        <w:rPr>
          <w:rFonts w:ascii="Calibri" w:hAnsi="Calibri" w:cs="Calibri"/>
          <w:color w:val="0D0D0D" w:themeColor="text1" w:themeTint="F2"/>
        </w:rPr>
        <w:t xml:space="preserve"> </w:t>
      </w:r>
      <w:r w:rsidR="003B4D3D" w:rsidRPr="003A7D44">
        <w:rPr>
          <w:rFonts w:ascii="Calibri" w:hAnsi="Calibri" w:cs="Calibri"/>
          <w:color w:val="0D0D0D" w:themeColor="text1" w:themeTint="F2"/>
        </w:rPr>
        <w:t xml:space="preserve"> </w:t>
      </w:r>
      <w:r w:rsidRPr="003A7D44">
        <w:rPr>
          <w:rFonts w:ascii="Calibri" w:hAnsi="Calibri" w:cs="Calibri"/>
          <w:color w:val="0D0D0D" w:themeColor="text1" w:themeTint="F2"/>
        </w:rPr>
        <w:t>This question is directly informed by the literature on gender bias within nurse education (Drennan</w:t>
      </w:r>
      <w:r w:rsidR="00301A71" w:rsidRPr="003A7D44">
        <w:rPr>
          <w:rFonts w:ascii="Calibri" w:hAnsi="Calibri" w:cs="Calibri"/>
          <w:color w:val="0D0D0D" w:themeColor="text1" w:themeTint="F2"/>
        </w:rPr>
        <w:t xml:space="preserve"> </w:t>
      </w:r>
      <w:r w:rsidR="00301A71" w:rsidRPr="003A7D44">
        <w:rPr>
          <w:rFonts w:ascii="Calibri" w:hAnsi="Calibri" w:cs="Calibri"/>
          <w:i/>
          <w:iCs/>
          <w:color w:val="0D0D0D" w:themeColor="text1" w:themeTint="F2"/>
        </w:rPr>
        <w:t>et al</w:t>
      </w:r>
      <w:r w:rsidR="00D1512B" w:rsidRPr="003A7D44">
        <w:rPr>
          <w:rFonts w:ascii="Calibri" w:hAnsi="Calibri" w:cs="Calibri"/>
          <w:i/>
          <w:iCs/>
          <w:color w:val="0D0D0D" w:themeColor="text1" w:themeTint="F2"/>
        </w:rPr>
        <w:t>.</w:t>
      </w:r>
      <w:r w:rsidRPr="003A7D44">
        <w:rPr>
          <w:rFonts w:ascii="Calibri" w:hAnsi="Calibri" w:cs="Calibri"/>
          <w:i/>
          <w:iCs/>
          <w:color w:val="0D0D0D" w:themeColor="text1" w:themeTint="F2"/>
        </w:rPr>
        <w:t>,</w:t>
      </w:r>
      <w:r w:rsidRPr="003A7D44">
        <w:rPr>
          <w:rFonts w:ascii="Calibri" w:hAnsi="Calibri" w:cs="Calibri"/>
          <w:color w:val="0D0D0D" w:themeColor="text1" w:themeTint="F2"/>
        </w:rPr>
        <w:t xml:space="preserve"> 201</w:t>
      </w:r>
      <w:r w:rsidR="00301A71" w:rsidRPr="003A7D44">
        <w:rPr>
          <w:rFonts w:ascii="Calibri" w:hAnsi="Calibri" w:cs="Calibri"/>
          <w:color w:val="0D0D0D" w:themeColor="text1" w:themeTint="F2"/>
        </w:rPr>
        <w:t>6</w:t>
      </w:r>
      <w:r w:rsidRPr="003A7D44">
        <w:rPr>
          <w:rFonts w:ascii="Calibri" w:hAnsi="Calibri" w:cs="Calibri"/>
          <w:color w:val="0D0D0D" w:themeColor="text1" w:themeTint="F2"/>
        </w:rPr>
        <w:t xml:space="preserve">; Stanley et al., 2017), the potential misalignment of teaching and learning styles (Kolb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Kolb, 2005), the lack of male role models (</w:t>
      </w:r>
      <w:proofErr w:type="spellStart"/>
      <w:r w:rsidRPr="003A7D44">
        <w:rPr>
          <w:rFonts w:ascii="Calibri" w:hAnsi="Calibri" w:cs="Calibri"/>
          <w:color w:val="0D0D0D" w:themeColor="text1" w:themeTint="F2"/>
        </w:rPr>
        <w:t>Meadus</w:t>
      </w:r>
      <w:proofErr w:type="spellEnd"/>
      <w:r w:rsidRPr="003A7D44">
        <w:rPr>
          <w:rFonts w:ascii="Calibri" w:hAnsi="Calibri" w:cs="Calibri"/>
          <w:color w:val="0D0D0D" w:themeColor="text1" w:themeTint="F2"/>
        </w:rPr>
        <w:t xml:space="preserve">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Twomey, 2011), and the feelings of isolation and marginalisation reported by male students (James Taylor et al., 2022).</w:t>
      </w:r>
      <w:r w:rsidR="003B4D3D" w:rsidRPr="003A7D44">
        <w:rPr>
          <w:rFonts w:ascii="Calibri" w:hAnsi="Calibri" w:cs="Calibri"/>
          <w:color w:val="0D0D0D" w:themeColor="text1" w:themeTint="F2"/>
        </w:rPr>
        <w:t xml:space="preserve"> </w:t>
      </w:r>
      <w:r w:rsidRPr="003A7D44">
        <w:rPr>
          <w:rFonts w:ascii="Calibri" w:hAnsi="Calibri" w:cs="Calibri"/>
          <w:color w:val="0D0D0D" w:themeColor="text1" w:themeTint="F2"/>
        </w:rPr>
        <w:t xml:space="preserve"> Furthermore, the influence of societal stereotypes encountered both within and outside the educational setting (</w:t>
      </w:r>
      <w:proofErr w:type="spellStart"/>
      <w:r w:rsidRPr="003A7D44">
        <w:rPr>
          <w:rFonts w:ascii="Calibri" w:hAnsi="Calibri" w:cs="Calibri"/>
          <w:color w:val="0D0D0D" w:themeColor="text1" w:themeTint="F2"/>
        </w:rPr>
        <w:t>Rajacich</w:t>
      </w:r>
      <w:proofErr w:type="spellEnd"/>
      <w:r w:rsidRPr="003A7D44">
        <w:rPr>
          <w:rFonts w:ascii="Calibri" w:hAnsi="Calibri" w:cs="Calibri"/>
          <w:color w:val="0D0D0D" w:themeColor="text1" w:themeTint="F2"/>
        </w:rPr>
        <w:t xml:space="preserve">, Kane,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Williston, 2013; Evans, 20</w:t>
      </w:r>
      <w:r w:rsidR="0003479D" w:rsidRPr="003A7D44">
        <w:rPr>
          <w:rFonts w:ascii="Calibri" w:hAnsi="Calibri" w:cs="Calibri"/>
          <w:color w:val="0D0D0D" w:themeColor="text1" w:themeTint="F2"/>
        </w:rPr>
        <w:t>17</w:t>
      </w:r>
      <w:r w:rsidRPr="003A7D44">
        <w:rPr>
          <w:rFonts w:ascii="Calibri" w:hAnsi="Calibri" w:cs="Calibri"/>
          <w:color w:val="0D0D0D" w:themeColor="text1" w:themeTint="F2"/>
        </w:rPr>
        <w:t>) may also contribute to difficulties in completing their studies.</w:t>
      </w:r>
      <w:r w:rsidR="00EB720F">
        <w:rPr>
          <w:rFonts w:ascii="Calibri" w:hAnsi="Calibri" w:cs="Calibri"/>
          <w:color w:val="0D0D0D" w:themeColor="text1" w:themeTint="F2"/>
        </w:rPr>
        <w:t xml:space="preserve"> </w:t>
      </w:r>
      <w:r w:rsidRPr="003A7D44">
        <w:rPr>
          <w:rFonts w:ascii="Calibri" w:hAnsi="Calibri" w:cs="Calibri"/>
          <w:color w:val="0D0D0D" w:themeColor="text1" w:themeTint="F2"/>
        </w:rPr>
        <w:t xml:space="preserve"> This research question seeks to identify the specific obstacles that male students in Wales perceive as hindering their successful progression through their nursing degree programmes.</w:t>
      </w:r>
    </w:p>
    <w:p w14:paraId="7A582C67" w14:textId="358A081D" w:rsidR="002D2CAA" w:rsidRPr="003A7D44" w:rsidRDefault="007F4AC5" w:rsidP="00DA2F1C">
      <w:pPr>
        <w:rPr>
          <w:rFonts w:ascii="Calibri" w:hAnsi="Calibri" w:cs="Calibri"/>
          <w:color w:val="0D0D0D" w:themeColor="text1" w:themeTint="F2"/>
        </w:rPr>
      </w:pPr>
      <w:r w:rsidRPr="003A7D44">
        <w:rPr>
          <w:rFonts w:ascii="Calibri" w:hAnsi="Calibri" w:cs="Calibri"/>
          <w:color w:val="0D0D0D" w:themeColor="text1" w:themeTint="F2"/>
        </w:rPr>
        <w:t xml:space="preserve">In essence, the existing literature has illuminated the persistent gender imbalance in nursing and the potential challenges faced by men who enter the field. </w:t>
      </w:r>
      <w:r w:rsidR="008002F0">
        <w:rPr>
          <w:rFonts w:ascii="Calibri" w:hAnsi="Calibri" w:cs="Calibri"/>
          <w:color w:val="0D0D0D" w:themeColor="text1" w:themeTint="F2"/>
        </w:rPr>
        <w:t xml:space="preserve"> </w:t>
      </w:r>
      <w:r w:rsidRPr="003A7D44">
        <w:rPr>
          <w:rFonts w:ascii="Calibri" w:hAnsi="Calibri" w:cs="Calibri"/>
          <w:color w:val="0D0D0D" w:themeColor="text1" w:themeTint="F2"/>
        </w:rPr>
        <w:t>However, there are gaps in understanding the specific reasons for lower initial uptake among men, their motivations for choosing nursing, and the precise barriers they encounter within the educational environment in Wales that lead to higher attrition rates.</w:t>
      </w:r>
      <w:r w:rsidR="008002F0">
        <w:rPr>
          <w:rFonts w:ascii="Calibri" w:hAnsi="Calibri" w:cs="Calibri"/>
          <w:color w:val="0D0D0D" w:themeColor="text1" w:themeTint="F2"/>
        </w:rPr>
        <w:t xml:space="preserve"> </w:t>
      </w:r>
      <w:r w:rsidRPr="003A7D44">
        <w:rPr>
          <w:rFonts w:ascii="Calibri" w:hAnsi="Calibri" w:cs="Calibri"/>
          <w:color w:val="0D0D0D" w:themeColor="text1" w:themeTint="F2"/>
        </w:rPr>
        <w:t xml:space="preserve"> These research questions are designed to address these gaps and provide a more </w:t>
      </w:r>
      <w:r w:rsidR="00E325FB" w:rsidRPr="003A7D44">
        <w:rPr>
          <w:rFonts w:ascii="Calibri" w:hAnsi="Calibri" w:cs="Calibri"/>
          <w:color w:val="0D0D0D" w:themeColor="text1" w:themeTint="F2"/>
        </w:rPr>
        <w:t>contextualised</w:t>
      </w:r>
      <w:r w:rsidRPr="003A7D44">
        <w:rPr>
          <w:rFonts w:ascii="Calibri" w:hAnsi="Calibri" w:cs="Calibri"/>
          <w:color w:val="0D0D0D" w:themeColor="text1" w:themeTint="F2"/>
        </w:rPr>
        <w:t xml:space="preserve"> understanding of the experiences of male nursing students within </w:t>
      </w:r>
      <w:r w:rsidR="00E325FB" w:rsidRPr="003A7D44">
        <w:rPr>
          <w:rFonts w:ascii="Calibri" w:hAnsi="Calibri" w:cs="Calibri"/>
          <w:color w:val="0D0D0D" w:themeColor="text1" w:themeTint="F2"/>
        </w:rPr>
        <w:t>Wales</w:t>
      </w:r>
      <w:r w:rsidRPr="003A7D44">
        <w:rPr>
          <w:rFonts w:ascii="Calibri" w:hAnsi="Calibri" w:cs="Calibri"/>
          <w:color w:val="0D0D0D" w:themeColor="text1" w:themeTint="F2"/>
        </w:rPr>
        <w:t>, ultimately aiming to inform strategies for promoting greater gender equality in the profession</w:t>
      </w:r>
      <w:r w:rsidR="00AC7BD7" w:rsidRPr="003A7D44">
        <w:rPr>
          <w:rFonts w:ascii="Calibri" w:hAnsi="Calibri" w:cs="Calibri"/>
          <w:color w:val="0D0D0D" w:themeColor="text1" w:themeTint="F2"/>
        </w:rPr>
        <w:t>.</w:t>
      </w:r>
      <w:r w:rsidR="00D4316F">
        <w:rPr>
          <w:rFonts w:ascii="Calibri" w:hAnsi="Calibri" w:cs="Calibri"/>
          <w:color w:val="0D0D0D" w:themeColor="text1" w:themeTint="F2"/>
        </w:rPr>
        <w:t xml:space="preserve">  </w:t>
      </w:r>
      <w:r w:rsidR="00401442" w:rsidRPr="003A7D44">
        <w:rPr>
          <w:rFonts w:ascii="Calibri" w:hAnsi="Calibri" w:cs="Calibri"/>
          <w:color w:val="0D0D0D" w:themeColor="text1" w:themeTint="F2"/>
        </w:rPr>
        <w:t xml:space="preserve">Few studies combine first hand clinical experience with educational insights.  This novel approach will enrich current </w:t>
      </w:r>
      <w:r w:rsidR="00401442" w:rsidRPr="003A7D44">
        <w:rPr>
          <w:rFonts w:ascii="Calibri" w:hAnsi="Calibri" w:cs="Calibri"/>
          <w:color w:val="0D0D0D" w:themeColor="text1" w:themeTint="F2"/>
        </w:rPr>
        <w:lastRenderedPageBreak/>
        <w:t>literature by bridging practice and academi</w:t>
      </w:r>
      <w:r w:rsidR="00F22D85" w:rsidRPr="003A7D44">
        <w:rPr>
          <w:rFonts w:ascii="Calibri" w:hAnsi="Calibri" w:cs="Calibri"/>
          <w:color w:val="0D0D0D" w:themeColor="text1" w:themeTint="F2"/>
        </w:rPr>
        <w:t>a</w:t>
      </w:r>
      <w:r w:rsidR="002D2CAA" w:rsidRPr="003A7D44">
        <w:rPr>
          <w:rFonts w:ascii="Calibri" w:hAnsi="Calibri" w:cs="Calibri"/>
          <w:color w:val="0D0D0D" w:themeColor="text1" w:themeTint="F2"/>
        </w:rPr>
        <w:t xml:space="preserve"> </w:t>
      </w:r>
      <w:r w:rsidR="00401442" w:rsidRPr="003A7D44">
        <w:rPr>
          <w:rFonts w:ascii="Calibri" w:hAnsi="Calibri" w:cs="Calibri"/>
          <w:color w:val="0D0D0D" w:themeColor="text1" w:themeTint="F2"/>
        </w:rPr>
        <w:t xml:space="preserve">and </w:t>
      </w:r>
      <w:r w:rsidR="00F22D85" w:rsidRPr="003A7D44">
        <w:rPr>
          <w:rFonts w:ascii="Calibri" w:hAnsi="Calibri" w:cs="Calibri"/>
          <w:color w:val="0D0D0D" w:themeColor="text1" w:themeTint="F2"/>
        </w:rPr>
        <w:t xml:space="preserve">can therefore </w:t>
      </w:r>
      <w:r w:rsidR="00401442" w:rsidRPr="003A7D44">
        <w:rPr>
          <w:rFonts w:ascii="Calibri" w:hAnsi="Calibri" w:cs="Calibri"/>
          <w:color w:val="0D0D0D" w:themeColor="text1" w:themeTint="F2"/>
        </w:rPr>
        <w:t>offer more practical recommendations for promoting gender diversity within nurse education.</w:t>
      </w:r>
      <w:r w:rsidR="002D2CAA" w:rsidRPr="003A7D44">
        <w:rPr>
          <w:rFonts w:ascii="Calibri" w:hAnsi="Calibri" w:cs="Calibri"/>
          <w:color w:val="0D0D0D" w:themeColor="text1" w:themeTint="F2"/>
        </w:rPr>
        <w:t xml:space="preserve">  </w:t>
      </w:r>
    </w:p>
    <w:p w14:paraId="23AC5BF6" w14:textId="2F6AC9EE" w:rsidR="002D2CAA" w:rsidRPr="003A7D44" w:rsidRDefault="002D2CAA" w:rsidP="00DA2F1C">
      <w:pPr>
        <w:rPr>
          <w:rFonts w:ascii="Calibri" w:hAnsi="Calibri" w:cs="Calibri"/>
          <w:color w:val="0D0D0D" w:themeColor="text1" w:themeTint="F2"/>
        </w:rPr>
      </w:pPr>
      <w:r w:rsidRPr="003A7D44">
        <w:rPr>
          <w:rFonts w:ascii="Calibri" w:hAnsi="Calibri" w:cs="Calibri"/>
          <w:color w:val="0D0D0D" w:themeColor="text1" w:themeTint="F2"/>
        </w:rPr>
        <w:t>The primary aims of th</w:t>
      </w:r>
      <w:r w:rsidR="00EC16D0">
        <w:rPr>
          <w:rFonts w:ascii="Calibri" w:hAnsi="Calibri" w:cs="Calibri"/>
          <w:color w:val="0D0D0D" w:themeColor="text1" w:themeTint="F2"/>
        </w:rPr>
        <w:t>e</w:t>
      </w:r>
      <w:r w:rsidRPr="003A7D44">
        <w:rPr>
          <w:rFonts w:ascii="Calibri" w:hAnsi="Calibri" w:cs="Calibri"/>
          <w:color w:val="0D0D0D" w:themeColor="text1" w:themeTint="F2"/>
        </w:rPr>
        <w:t xml:space="preserve"> study are to:</w:t>
      </w:r>
    </w:p>
    <w:p w14:paraId="2650BF9D" w14:textId="77777777" w:rsidR="002D2CAA" w:rsidRPr="003A7D44" w:rsidRDefault="002D2CAA" w:rsidP="00DA2F1C">
      <w:pPr>
        <w:numPr>
          <w:ilvl w:val="0"/>
          <w:numId w:val="2"/>
        </w:numPr>
        <w:rPr>
          <w:rFonts w:ascii="Calibri" w:hAnsi="Calibri" w:cs="Calibri"/>
          <w:color w:val="0D0D0D" w:themeColor="text1" w:themeTint="F2"/>
        </w:rPr>
      </w:pPr>
      <w:r w:rsidRPr="003A7D44">
        <w:rPr>
          <w:rFonts w:ascii="Calibri" w:hAnsi="Calibri" w:cs="Calibri"/>
          <w:color w:val="0D0D0D" w:themeColor="text1" w:themeTint="F2"/>
        </w:rPr>
        <w:t>Identify the obstacles hindering male entry into the field of nursing.</w:t>
      </w:r>
    </w:p>
    <w:p w14:paraId="02D3BC4F" w14:textId="77777777" w:rsidR="002D2CAA" w:rsidRPr="003A7D44" w:rsidRDefault="002D2CAA" w:rsidP="00DA2F1C">
      <w:pPr>
        <w:numPr>
          <w:ilvl w:val="0"/>
          <w:numId w:val="2"/>
        </w:numPr>
        <w:rPr>
          <w:rFonts w:ascii="Calibri" w:hAnsi="Calibri" w:cs="Calibri"/>
          <w:color w:val="0D0D0D" w:themeColor="text1" w:themeTint="F2"/>
        </w:rPr>
      </w:pPr>
      <w:r w:rsidRPr="003A7D44">
        <w:rPr>
          <w:rFonts w:ascii="Calibri" w:hAnsi="Calibri" w:cs="Calibri"/>
          <w:color w:val="0D0D0D" w:themeColor="text1" w:themeTint="F2"/>
        </w:rPr>
        <w:t>Determine the factors contributing to the attrition of men from nurse education courses.</w:t>
      </w:r>
    </w:p>
    <w:p w14:paraId="0FEBE71D" w14:textId="77777777" w:rsidR="002D2CAA" w:rsidRPr="003A7D44" w:rsidRDefault="002D2CAA" w:rsidP="00DA2F1C">
      <w:pPr>
        <w:numPr>
          <w:ilvl w:val="0"/>
          <w:numId w:val="2"/>
        </w:numPr>
        <w:rPr>
          <w:rFonts w:ascii="Calibri" w:hAnsi="Calibri" w:cs="Calibri"/>
          <w:color w:val="0D0D0D" w:themeColor="text1" w:themeTint="F2"/>
        </w:rPr>
      </w:pPr>
      <w:r w:rsidRPr="003A7D44">
        <w:rPr>
          <w:rFonts w:ascii="Calibri" w:hAnsi="Calibri" w:cs="Calibri"/>
          <w:color w:val="0D0D0D" w:themeColor="text1" w:themeTint="F2"/>
        </w:rPr>
        <w:t>Identify existing strategies supporting men in nurse education, with a view to strengthening, publicising, or further developing these.</w:t>
      </w:r>
    </w:p>
    <w:p w14:paraId="680DF0CB" w14:textId="77777777" w:rsidR="002D2CAA" w:rsidRPr="003A7D44" w:rsidRDefault="002D2CAA" w:rsidP="00DA2F1C">
      <w:pPr>
        <w:numPr>
          <w:ilvl w:val="0"/>
          <w:numId w:val="2"/>
        </w:numPr>
        <w:rPr>
          <w:rFonts w:ascii="Calibri" w:hAnsi="Calibri" w:cs="Calibri"/>
          <w:color w:val="0D0D0D" w:themeColor="text1" w:themeTint="F2"/>
        </w:rPr>
      </w:pPr>
      <w:r w:rsidRPr="003A7D44">
        <w:rPr>
          <w:rFonts w:ascii="Calibri" w:hAnsi="Calibri" w:cs="Calibri"/>
          <w:color w:val="0D0D0D" w:themeColor="text1" w:themeTint="F2"/>
        </w:rPr>
        <w:t>Formulate recommendations to promote the uptake of men onto nurse education programmes in Wales.</w:t>
      </w:r>
    </w:p>
    <w:p w14:paraId="79DB817F" w14:textId="77777777" w:rsidR="002D2CAA" w:rsidRPr="003A7D44" w:rsidRDefault="002D2CAA" w:rsidP="00DA2F1C">
      <w:pPr>
        <w:numPr>
          <w:ilvl w:val="0"/>
          <w:numId w:val="2"/>
        </w:numPr>
        <w:rPr>
          <w:rFonts w:ascii="Calibri" w:hAnsi="Calibri" w:cs="Calibri"/>
          <w:color w:val="0D0D0D" w:themeColor="text1" w:themeTint="F2"/>
        </w:rPr>
      </w:pPr>
      <w:r w:rsidRPr="003A7D44">
        <w:rPr>
          <w:rFonts w:ascii="Calibri" w:hAnsi="Calibri" w:cs="Calibri"/>
          <w:color w:val="0D0D0D" w:themeColor="text1" w:themeTint="F2"/>
        </w:rPr>
        <w:t>Develop recommendations to mitigate the wider consequences of men's attrition by proposing strategies to improve retention within both nursing pathways and nurse education programmes, thereby enhancing the standing of these educational institutions.</w:t>
      </w:r>
    </w:p>
    <w:p w14:paraId="7503D899" w14:textId="362777F8" w:rsidR="002D2CAA" w:rsidRPr="003A7D44" w:rsidRDefault="002D2CAA" w:rsidP="00DA2F1C">
      <w:pPr>
        <w:rPr>
          <w:rFonts w:ascii="Calibri" w:hAnsi="Calibri" w:cs="Calibri"/>
          <w:color w:val="0D0D0D" w:themeColor="text1" w:themeTint="F2"/>
        </w:rPr>
      </w:pPr>
      <w:r w:rsidRPr="003A7D44">
        <w:rPr>
          <w:rFonts w:ascii="Calibri" w:hAnsi="Calibri" w:cs="Calibri"/>
          <w:color w:val="0D0D0D" w:themeColor="text1" w:themeTint="F2"/>
        </w:rPr>
        <w:t xml:space="preserve">Ultimately, it is anticipated that implementing any recommended changes and improving the retention of men in nursing education will yield significant benefits for the wider nursing profession. </w:t>
      </w:r>
      <w:r w:rsidR="003B4D3D" w:rsidRPr="003A7D44">
        <w:rPr>
          <w:rFonts w:ascii="Calibri" w:hAnsi="Calibri" w:cs="Calibri"/>
          <w:color w:val="0D0D0D" w:themeColor="text1" w:themeTint="F2"/>
        </w:rPr>
        <w:t xml:space="preserve"> </w:t>
      </w:r>
      <w:r w:rsidRPr="003A7D44">
        <w:rPr>
          <w:rFonts w:ascii="Calibri" w:hAnsi="Calibri" w:cs="Calibri"/>
          <w:color w:val="0D0D0D" w:themeColor="text1" w:themeTint="F2"/>
        </w:rPr>
        <w:t>A greater number of students successfully completing their nursing studies will lead to more qualified nurses joining the NMC register</w:t>
      </w:r>
      <w:r w:rsidR="007840D7" w:rsidRPr="003A7D44">
        <w:rPr>
          <w:rFonts w:ascii="Calibri" w:hAnsi="Calibri" w:cs="Calibri"/>
          <w:color w:val="0D0D0D" w:themeColor="text1" w:themeTint="F2"/>
        </w:rPr>
        <w:t>; c</w:t>
      </w:r>
      <w:r w:rsidRPr="003A7D44">
        <w:rPr>
          <w:rFonts w:ascii="Calibri" w:hAnsi="Calibri" w:cs="Calibri"/>
          <w:color w:val="0D0D0D" w:themeColor="text1" w:themeTint="F2"/>
        </w:rPr>
        <w:t xml:space="preserve">onsequently, society </w:t>
      </w:r>
      <w:proofErr w:type="gramStart"/>
      <w:r w:rsidRPr="003A7D44">
        <w:rPr>
          <w:rFonts w:ascii="Calibri" w:hAnsi="Calibri" w:cs="Calibri"/>
          <w:color w:val="0D0D0D" w:themeColor="text1" w:themeTint="F2"/>
        </w:rPr>
        <w:t>as a whole stands</w:t>
      </w:r>
      <w:proofErr w:type="gramEnd"/>
      <w:r w:rsidRPr="003A7D44">
        <w:rPr>
          <w:rFonts w:ascii="Calibri" w:hAnsi="Calibri" w:cs="Calibri"/>
          <w:color w:val="0D0D0D" w:themeColor="text1" w:themeTint="F2"/>
        </w:rPr>
        <w:t xml:space="preserve"> to gain from the diverse knowledge, skills, qualities, and expertise that men bring to the vocation. </w:t>
      </w:r>
      <w:r w:rsidR="007840D7" w:rsidRPr="003A7D44">
        <w:rPr>
          <w:rFonts w:ascii="Calibri" w:hAnsi="Calibri" w:cs="Calibri"/>
          <w:color w:val="0D0D0D" w:themeColor="text1" w:themeTint="F2"/>
        </w:rPr>
        <w:t xml:space="preserve"> </w:t>
      </w:r>
      <w:r w:rsidRPr="003A7D44">
        <w:rPr>
          <w:rFonts w:ascii="Calibri" w:hAnsi="Calibri" w:cs="Calibri"/>
          <w:color w:val="0D0D0D" w:themeColor="text1" w:themeTint="F2"/>
        </w:rPr>
        <w:t>Increasing the number of nursing professionals will contribute to addressing the nursing shortage and ensuring high-quality, specialist care delivered by a workforce that better reflects the population it serves.</w:t>
      </w:r>
    </w:p>
    <w:p w14:paraId="41ADA14A" w14:textId="04BE1792" w:rsidR="005D151A" w:rsidRPr="003A7D44" w:rsidRDefault="005D151A" w:rsidP="00DA2F1C">
      <w:pPr>
        <w:rPr>
          <w:rFonts w:ascii="Calibri" w:hAnsi="Calibri" w:cs="Calibri"/>
          <w:color w:val="0D0D0D" w:themeColor="text1" w:themeTint="F2"/>
        </w:rPr>
      </w:pPr>
    </w:p>
    <w:p w14:paraId="53E0441B" w14:textId="77777777" w:rsidR="005D151A" w:rsidRPr="003A7D44" w:rsidRDefault="005D151A" w:rsidP="00DA2F1C">
      <w:pPr>
        <w:rPr>
          <w:rFonts w:ascii="Calibri" w:hAnsi="Calibri" w:cs="Calibri"/>
          <w:color w:val="0D0D0D" w:themeColor="text1" w:themeTint="F2"/>
        </w:rPr>
      </w:pPr>
      <w:r w:rsidRPr="003A7D44">
        <w:rPr>
          <w:rFonts w:ascii="Calibri" w:hAnsi="Calibri" w:cs="Calibri"/>
          <w:color w:val="0D0D0D" w:themeColor="text1" w:themeTint="F2"/>
        </w:rPr>
        <w:br w:type="page"/>
      </w:r>
    </w:p>
    <w:p w14:paraId="3D116195" w14:textId="70AC5FD3" w:rsidR="005D151A" w:rsidRPr="003A7D44" w:rsidRDefault="005D151A" w:rsidP="00DA2F1C">
      <w:pPr>
        <w:rPr>
          <w:rFonts w:ascii="Calibri" w:hAnsi="Calibri" w:cs="Calibri"/>
          <w:b/>
          <w:bCs/>
          <w:color w:val="0D0D0D" w:themeColor="text1" w:themeTint="F2"/>
          <w:u w:val="single"/>
        </w:rPr>
      </w:pPr>
      <w:r w:rsidRPr="003A7D44">
        <w:rPr>
          <w:rFonts w:ascii="Calibri" w:hAnsi="Calibri" w:cs="Calibri"/>
          <w:b/>
          <w:bCs/>
          <w:color w:val="0D0D0D" w:themeColor="text1" w:themeTint="F2"/>
          <w:u w:val="single"/>
        </w:rPr>
        <w:lastRenderedPageBreak/>
        <w:t>Reference List</w:t>
      </w:r>
    </w:p>
    <w:p w14:paraId="2658FC88" w14:textId="77777777" w:rsidR="007A3EFD" w:rsidRPr="003A7D44" w:rsidRDefault="007A3EFD" w:rsidP="007A3EFD">
      <w:pPr>
        <w:spacing w:line="276" w:lineRule="auto"/>
        <w:rPr>
          <w:rFonts w:ascii="Calibri" w:hAnsi="Calibri" w:cs="Calibri"/>
          <w:color w:val="0D0D0D" w:themeColor="text1" w:themeTint="F2"/>
        </w:rPr>
      </w:pPr>
    </w:p>
    <w:p w14:paraId="3EDCAEE5"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Adeniji, O., Akanni, A., </w:t>
      </w:r>
      <w:proofErr w:type="spellStart"/>
      <w:r w:rsidRPr="003A7D44">
        <w:rPr>
          <w:rFonts w:ascii="Calibri" w:hAnsi="Calibri" w:cs="Calibri"/>
          <w:color w:val="0D0D0D" w:themeColor="text1" w:themeTint="F2"/>
        </w:rPr>
        <w:t>Owkulaemi</w:t>
      </w:r>
      <w:proofErr w:type="spellEnd"/>
      <w:r w:rsidRPr="003A7D44">
        <w:rPr>
          <w:rFonts w:ascii="Calibri" w:hAnsi="Calibri" w:cs="Calibri"/>
          <w:color w:val="0D0D0D" w:themeColor="text1" w:themeTint="F2"/>
        </w:rPr>
        <w:t xml:space="preserve">, R. and Ekundayo, O. (2015) ‘Gender difference in emotional labour among nurses’ </w:t>
      </w:r>
      <w:r w:rsidRPr="003A7D44">
        <w:rPr>
          <w:rFonts w:ascii="Calibri" w:hAnsi="Calibri" w:cs="Calibri"/>
          <w:i/>
          <w:iCs/>
          <w:color w:val="0D0D0D" w:themeColor="text1" w:themeTint="F2"/>
        </w:rPr>
        <w:t>Gender and Behaviour,</w:t>
      </w:r>
      <w:r w:rsidRPr="003A7D44">
        <w:rPr>
          <w:rFonts w:ascii="Calibri" w:hAnsi="Calibri" w:cs="Calibri"/>
          <w:color w:val="0D0D0D" w:themeColor="text1" w:themeTint="F2"/>
        </w:rPr>
        <w:t xml:space="preserve"> 13(2), pp 6789–6794.</w:t>
      </w:r>
    </w:p>
    <w:p w14:paraId="332E5797" w14:textId="77777777" w:rsidR="007A3EFD" w:rsidRPr="003A7D44" w:rsidRDefault="007A3EFD" w:rsidP="007A3EFD">
      <w:pPr>
        <w:spacing w:line="276" w:lineRule="auto"/>
        <w:rPr>
          <w:rFonts w:ascii="Calibri" w:hAnsi="Calibri" w:cs="Calibri"/>
          <w:color w:val="0D0D0D" w:themeColor="text1" w:themeTint="F2"/>
        </w:rPr>
      </w:pPr>
      <w:hyperlink r:id="rId7" w:history="1">
        <w:r w:rsidRPr="003A7D44">
          <w:rPr>
            <w:rStyle w:val="Hyperlink"/>
            <w:rFonts w:ascii="Calibri" w:hAnsi="Calibri" w:cs="Calibri"/>
            <w:color w:val="0D0D0D" w:themeColor="text1" w:themeTint="F2"/>
            <w:u w:val="none"/>
          </w:rPr>
          <w:t>Anderson, D.</w:t>
        </w:r>
      </w:hyperlink>
      <w:r w:rsidRPr="003A7D44">
        <w:rPr>
          <w:rFonts w:ascii="Calibri" w:hAnsi="Calibri" w:cs="Calibri"/>
          <w:color w:val="0D0D0D" w:themeColor="text1" w:themeTint="F2"/>
        </w:rPr>
        <w:t>, Lees, B., Jenson, C. and </w:t>
      </w:r>
      <w:hyperlink r:id="rId8" w:history="1">
        <w:r w:rsidRPr="003A7D44">
          <w:rPr>
            <w:rStyle w:val="Hyperlink"/>
            <w:rFonts w:ascii="Calibri" w:hAnsi="Calibri" w:cs="Calibri"/>
            <w:color w:val="0D0D0D" w:themeColor="text1" w:themeTint="F2"/>
            <w:u w:val="none"/>
          </w:rPr>
          <w:t>Avery, B.</w:t>
        </w:r>
      </w:hyperlink>
      <w:r w:rsidRPr="003A7D44">
        <w:rPr>
          <w:rFonts w:ascii="Calibri" w:hAnsi="Calibri" w:cs="Calibri"/>
          <w:color w:val="0D0D0D" w:themeColor="text1" w:themeTint="F2"/>
        </w:rPr>
        <w:t xml:space="preserve"> (2015) ‘Reviewing the literature using the Thematic Analysis Grid’, </w:t>
      </w:r>
      <w:r w:rsidRPr="003A7D44">
        <w:rPr>
          <w:rFonts w:ascii="Calibri" w:hAnsi="Calibri" w:cs="Calibri"/>
          <w:i/>
          <w:iCs/>
          <w:color w:val="0D0D0D" w:themeColor="text1" w:themeTint="F2"/>
        </w:rPr>
        <w:t xml:space="preserve">14th European Conference on Research Methodology (ECRM) for Business and Management Studies, </w:t>
      </w:r>
      <w:r w:rsidRPr="003A7D44">
        <w:rPr>
          <w:rFonts w:ascii="Calibri" w:hAnsi="Calibri" w:cs="Calibri"/>
          <w:color w:val="0D0D0D" w:themeColor="text1" w:themeTint="F2"/>
        </w:rPr>
        <w:t>pp.11-12</w:t>
      </w:r>
    </w:p>
    <w:p w14:paraId="13E311E0"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Andrew, L., Robinson, K., Dare, J. and Costello, L. (2023) ‘Nursing students doing gender: Implications for higher education and the nursing profession’, </w:t>
      </w:r>
      <w:r w:rsidRPr="003A7D44">
        <w:rPr>
          <w:rFonts w:ascii="Calibri" w:hAnsi="Calibri" w:cs="Calibri"/>
          <w:i/>
          <w:iCs/>
          <w:color w:val="0D0D0D" w:themeColor="text1" w:themeTint="F2"/>
        </w:rPr>
        <w:t>Nursing Inquiry,</w:t>
      </w:r>
      <w:r w:rsidRPr="003A7D44">
        <w:rPr>
          <w:rFonts w:ascii="Calibri" w:hAnsi="Calibri" w:cs="Calibri"/>
          <w:color w:val="0D0D0D" w:themeColor="text1" w:themeTint="F2"/>
        </w:rPr>
        <w:t xml:space="preserve"> 30(1), e12516. doi: 10.1111/nin.12516. </w:t>
      </w:r>
    </w:p>
    <w:p w14:paraId="093185EF" w14:textId="77777777" w:rsidR="007A3EFD" w:rsidRPr="003A7D44" w:rsidRDefault="007A3EFD" w:rsidP="007A3EFD">
      <w:pPr>
        <w:spacing w:line="276" w:lineRule="auto"/>
        <w:rPr>
          <w:rFonts w:ascii="Calibri" w:eastAsia="DengXian" w:hAnsi="Calibri" w:cs="Calibri"/>
          <w:color w:val="0D0D0D" w:themeColor="text1" w:themeTint="F2"/>
          <w:kern w:val="0"/>
          <w14:ligatures w14:val="none"/>
        </w:rPr>
      </w:pPr>
      <w:r w:rsidRPr="00AD66DF">
        <w:rPr>
          <w:rFonts w:ascii="Calibri" w:eastAsia="DengXian" w:hAnsi="Calibri" w:cs="Calibri"/>
          <w:color w:val="0D0D0D" w:themeColor="text1" w:themeTint="F2"/>
          <w:kern w:val="0"/>
          <w14:ligatures w14:val="none"/>
        </w:rPr>
        <w:t xml:space="preserve">Anthony, A. (2004) ‘Gender Bias and Discrimination in Nursing Education: Can we change it?’, </w:t>
      </w:r>
      <w:r w:rsidRPr="00AD66DF">
        <w:rPr>
          <w:rFonts w:ascii="Calibri" w:eastAsia="DengXian" w:hAnsi="Calibri" w:cs="Calibri"/>
          <w:i/>
          <w:iCs/>
          <w:color w:val="0D0D0D" w:themeColor="text1" w:themeTint="F2"/>
          <w:kern w:val="0"/>
          <w14:ligatures w14:val="none"/>
        </w:rPr>
        <w:t>Nurse Educator,</w:t>
      </w:r>
      <w:r w:rsidRPr="00AD66DF">
        <w:rPr>
          <w:rFonts w:ascii="Calibri" w:eastAsia="DengXian" w:hAnsi="Calibri" w:cs="Calibri"/>
          <w:color w:val="0D0D0D" w:themeColor="text1" w:themeTint="F2"/>
          <w:kern w:val="0"/>
          <w14:ligatures w14:val="none"/>
        </w:rPr>
        <w:t xml:space="preserve"> 29(3) pp 121-125.</w:t>
      </w:r>
    </w:p>
    <w:p w14:paraId="4BEBE735" w14:textId="77777777" w:rsidR="007A3EFD" w:rsidRPr="003A7D44" w:rsidRDefault="007A3EFD" w:rsidP="007A3EFD">
      <w:pPr>
        <w:spacing w:line="276" w:lineRule="auto"/>
        <w:rPr>
          <w:rFonts w:ascii="Calibri" w:eastAsia="DengXian" w:hAnsi="Calibri" w:cs="Calibri"/>
          <w:color w:val="0D0D0D" w:themeColor="text1" w:themeTint="F2"/>
          <w:kern w:val="0"/>
          <w14:ligatures w14:val="none"/>
        </w:rPr>
      </w:pPr>
      <w:r w:rsidRPr="00F73246">
        <w:rPr>
          <w:rFonts w:ascii="Calibri" w:eastAsia="DengXian" w:hAnsi="Calibri" w:cs="Calibri"/>
          <w:color w:val="0D0D0D" w:themeColor="text1" w:themeTint="F2"/>
          <w:kern w:val="0"/>
          <w14:ligatures w14:val="none"/>
        </w:rPr>
        <w:t>Athena Swan (202</w:t>
      </w:r>
      <w:r w:rsidRPr="003A7D44">
        <w:rPr>
          <w:rFonts w:ascii="Calibri" w:eastAsia="DengXian" w:hAnsi="Calibri" w:cs="Calibri"/>
          <w:color w:val="0D0D0D" w:themeColor="text1" w:themeTint="F2"/>
          <w:kern w:val="0"/>
          <w14:ligatures w14:val="none"/>
        </w:rPr>
        <w:t>3</w:t>
      </w:r>
      <w:r w:rsidRPr="00F73246">
        <w:rPr>
          <w:rFonts w:ascii="Calibri" w:eastAsia="DengXian" w:hAnsi="Calibri" w:cs="Calibri"/>
          <w:color w:val="0D0D0D" w:themeColor="text1" w:themeTint="F2"/>
          <w:kern w:val="0"/>
          <w14:ligatures w14:val="none"/>
        </w:rPr>
        <w:t xml:space="preserve">) </w:t>
      </w:r>
      <w:r w:rsidRPr="00F73246">
        <w:rPr>
          <w:rFonts w:ascii="Calibri" w:eastAsia="DengXian" w:hAnsi="Calibri" w:cs="Calibri"/>
          <w:i/>
          <w:iCs/>
          <w:color w:val="0D0D0D" w:themeColor="text1" w:themeTint="F2"/>
          <w:kern w:val="0"/>
          <w14:ligatures w14:val="none"/>
        </w:rPr>
        <w:t>The Athena Swan Charter</w:t>
      </w:r>
      <w:r w:rsidRPr="00F73246">
        <w:rPr>
          <w:rFonts w:ascii="Calibri" w:eastAsia="DengXian" w:hAnsi="Calibri" w:cs="Calibri"/>
          <w:color w:val="0D0D0D" w:themeColor="text1" w:themeTint="F2"/>
          <w:kern w:val="0"/>
          <w14:ligatures w14:val="none"/>
        </w:rPr>
        <w:t>. Available at https://www.advance-he.ac.uk/equality-charters/athena-swan-charter. (Accessed on 11</w:t>
      </w:r>
      <w:r w:rsidRPr="00F73246">
        <w:rPr>
          <w:rFonts w:ascii="Calibri" w:eastAsia="DengXian" w:hAnsi="Calibri" w:cs="Calibri"/>
          <w:color w:val="0D0D0D" w:themeColor="text1" w:themeTint="F2"/>
          <w:kern w:val="0"/>
          <w:vertAlign w:val="superscript"/>
          <w14:ligatures w14:val="none"/>
        </w:rPr>
        <w:t>th</w:t>
      </w:r>
      <w:r w:rsidRPr="00F73246">
        <w:rPr>
          <w:rFonts w:ascii="Calibri" w:eastAsia="DengXian" w:hAnsi="Calibri" w:cs="Calibri"/>
          <w:color w:val="0D0D0D" w:themeColor="text1" w:themeTint="F2"/>
          <w:kern w:val="0"/>
          <w14:ligatures w14:val="none"/>
        </w:rPr>
        <w:t xml:space="preserve"> </w:t>
      </w:r>
      <w:r w:rsidRPr="003A7D44">
        <w:rPr>
          <w:rFonts w:ascii="Calibri" w:eastAsia="DengXian" w:hAnsi="Calibri" w:cs="Calibri"/>
          <w:color w:val="0D0D0D" w:themeColor="text1" w:themeTint="F2"/>
          <w:kern w:val="0"/>
          <w14:ligatures w14:val="none"/>
        </w:rPr>
        <w:t>March</w:t>
      </w:r>
      <w:r w:rsidRPr="00F73246">
        <w:rPr>
          <w:rFonts w:ascii="Calibri" w:eastAsia="DengXian" w:hAnsi="Calibri" w:cs="Calibri"/>
          <w:color w:val="0D0D0D" w:themeColor="text1" w:themeTint="F2"/>
          <w:kern w:val="0"/>
          <w14:ligatures w14:val="none"/>
        </w:rPr>
        <w:t xml:space="preserve"> 202</w:t>
      </w:r>
      <w:r w:rsidRPr="003A7D44">
        <w:rPr>
          <w:rFonts w:ascii="Calibri" w:eastAsia="DengXian" w:hAnsi="Calibri" w:cs="Calibri"/>
          <w:color w:val="0D0D0D" w:themeColor="text1" w:themeTint="F2"/>
          <w:kern w:val="0"/>
          <w14:ligatures w14:val="none"/>
        </w:rPr>
        <w:t>5</w:t>
      </w:r>
      <w:r w:rsidRPr="00F73246">
        <w:rPr>
          <w:rFonts w:ascii="Calibri" w:eastAsia="DengXian" w:hAnsi="Calibri" w:cs="Calibri"/>
          <w:color w:val="0D0D0D" w:themeColor="text1" w:themeTint="F2"/>
          <w:kern w:val="0"/>
          <w14:ligatures w14:val="none"/>
        </w:rPr>
        <w:t>).</w:t>
      </w:r>
    </w:p>
    <w:p w14:paraId="3411BDBD"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Aveyard, H. (2021). </w:t>
      </w:r>
      <w:r w:rsidRPr="003A7D44">
        <w:rPr>
          <w:rFonts w:ascii="Calibri" w:hAnsi="Calibri" w:cs="Calibri"/>
          <w:i/>
          <w:iCs/>
          <w:color w:val="0D0D0D" w:themeColor="text1" w:themeTint="F2"/>
        </w:rPr>
        <w:t>A Post-Graduate's Guide to Doing a Literature Review: In Health and Social Care</w:t>
      </w:r>
      <w:r w:rsidRPr="003A7D44">
        <w:rPr>
          <w:rFonts w:ascii="Calibri" w:hAnsi="Calibri" w:cs="Calibri"/>
          <w:color w:val="0D0D0D" w:themeColor="text1" w:themeTint="F2"/>
        </w:rPr>
        <w:t>. London: Open University Press.</w:t>
      </w:r>
    </w:p>
    <w:p w14:paraId="27A8BB33" w14:textId="77777777" w:rsidR="007A3EFD" w:rsidRPr="003A7D44" w:rsidRDefault="007A3EFD" w:rsidP="007A3EFD">
      <w:pPr>
        <w:spacing w:line="276" w:lineRule="auto"/>
        <w:rPr>
          <w:rFonts w:ascii="Calibri" w:hAnsi="Calibri" w:cs="Calibri"/>
          <w:color w:val="0D0D0D" w:themeColor="text1" w:themeTint="F2"/>
        </w:rPr>
      </w:pPr>
      <w:proofErr w:type="spellStart"/>
      <w:r w:rsidRPr="003A7D44">
        <w:rPr>
          <w:rFonts w:ascii="Calibri" w:hAnsi="Calibri" w:cs="Calibri"/>
          <w:color w:val="0D0D0D" w:themeColor="text1" w:themeTint="F2"/>
        </w:rPr>
        <w:t>Bedlov</w:t>
      </w:r>
      <w:proofErr w:type="spellEnd"/>
      <w:r w:rsidRPr="003A7D44">
        <w:rPr>
          <w:rFonts w:ascii="Calibri" w:hAnsi="Calibri" w:cs="Calibri"/>
          <w:color w:val="0D0D0D" w:themeColor="text1" w:themeTint="F2"/>
        </w:rPr>
        <w:t xml:space="preserve">, E. (2018) ‘Shaped for Beauty: Vocational and gendered subjectivities in private education for the beauty industry’, </w:t>
      </w:r>
      <w:r w:rsidRPr="003A7D44">
        <w:rPr>
          <w:rFonts w:ascii="Calibri" w:hAnsi="Calibri" w:cs="Calibri"/>
          <w:i/>
          <w:iCs/>
          <w:color w:val="0D0D0D" w:themeColor="text1" w:themeTint="F2"/>
        </w:rPr>
        <w:t>Studies in Behavioural Science</w:t>
      </w:r>
      <w:r w:rsidRPr="003A7D44">
        <w:rPr>
          <w:rFonts w:ascii="Calibri" w:hAnsi="Calibri" w:cs="Calibri"/>
          <w:color w:val="0D0D0D" w:themeColor="text1" w:themeTint="F2"/>
        </w:rPr>
        <w:t>, (209).</w:t>
      </w:r>
    </w:p>
    <w:p w14:paraId="0F226E92"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Belenky, M.F., Clinchy, B.M., Goldberger, N.R. and </w:t>
      </w:r>
      <w:proofErr w:type="spellStart"/>
      <w:r w:rsidRPr="003A7D44">
        <w:rPr>
          <w:rFonts w:ascii="Calibri" w:hAnsi="Calibri" w:cs="Calibri"/>
          <w:color w:val="0D0D0D" w:themeColor="text1" w:themeTint="F2"/>
        </w:rPr>
        <w:t>Tarule</w:t>
      </w:r>
      <w:proofErr w:type="spellEnd"/>
      <w:r w:rsidRPr="003A7D44">
        <w:rPr>
          <w:rFonts w:ascii="Calibri" w:hAnsi="Calibri" w:cs="Calibri"/>
          <w:color w:val="0D0D0D" w:themeColor="text1" w:themeTint="F2"/>
        </w:rPr>
        <w:t xml:space="preserve">, J.M. (1986) </w:t>
      </w:r>
      <w:r w:rsidRPr="003A7D44">
        <w:rPr>
          <w:rFonts w:ascii="Calibri" w:hAnsi="Calibri" w:cs="Calibri"/>
          <w:i/>
          <w:iCs/>
          <w:color w:val="0D0D0D" w:themeColor="text1" w:themeTint="F2"/>
        </w:rPr>
        <w:t>Women’s ways of knowing.</w:t>
      </w:r>
      <w:r w:rsidRPr="003A7D44">
        <w:rPr>
          <w:rFonts w:ascii="Calibri" w:hAnsi="Calibri" w:cs="Calibri"/>
          <w:color w:val="0D0D0D" w:themeColor="text1" w:themeTint="F2"/>
        </w:rPr>
        <w:t xml:space="preserve"> New York: Basic Books.</w:t>
      </w:r>
    </w:p>
    <w:p w14:paraId="36F87EC0"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Bell-Scriber, M. J. (2008) ‘Warming the nursing education climate for traditional-age learners who are male’, </w:t>
      </w:r>
      <w:r w:rsidRPr="003A7D44">
        <w:rPr>
          <w:rFonts w:ascii="Calibri" w:hAnsi="Calibri" w:cs="Calibri"/>
          <w:i/>
          <w:iCs/>
          <w:color w:val="0D0D0D" w:themeColor="text1" w:themeTint="F2"/>
        </w:rPr>
        <w:t>Nurse Education Perspectives</w:t>
      </w:r>
      <w:r w:rsidRPr="003A7D44">
        <w:rPr>
          <w:rFonts w:ascii="Calibri" w:hAnsi="Calibri" w:cs="Calibri"/>
          <w:color w:val="0D0D0D" w:themeColor="text1" w:themeTint="F2"/>
        </w:rPr>
        <w:t>, 29(3), pp. 143-50. </w:t>
      </w:r>
    </w:p>
    <w:p w14:paraId="76236FED"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Braun, V. and Clarke, V. (2014) ‘What can “thematic analysis” offer health and wellbeing researchers?’ </w:t>
      </w:r>
      <w:r w:rsidRPr="003A7D44">
        <w:rPr>
          <w:rFonts w:ascii="Calibri" w:hAnsi="Calibri" w:cs="Calibri"/>
          <w:i/>
          <w:iCs/>
          <w:color w:val="0D0D0D" w:themeColor="text1" w:themeTint="F2"/>
        </w:rPr>
        <w:t>International Journal of Qualitative Studies in Health and Well-Being</w:t>
      </w:r>
      <w:r w:rsidRPr="003A7D44">
        <w:rPr>
          <w:rFonts w:ascii="Calibri" w:hAnsi="Calibri" w:cs="Calibri"/>
          <w:color w:val="0D0D0D" w:themeColor="text1" w:themeTint="F2"/>
        </w:rPr>
        <w:t>, 9(1) pp 261-283.</w:t>
      </w:r>
    </w:p>
    <w:p w14:paraId="4889D1AE"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Braun, V. and Clarke, V. (2021) ‘One size </w:t>
      </w:r>
      <w:proofErr w:type="gramStart"/>
      <w:r w:rsidRPr="003A7D44">
        <w:rPr>
          <w:rFonts w:ascii="Calibri" w:hAnsi="Calibri" w:cs="Calibri"/>
          <w:color w:val="0D0D0D" w:themeColor="text1" w:themeTint="F2"/>
        </w:rPr>
        <w:t>fits</w:t>
      </w:r>
      <w:proofErr w:type="gramEnd"/>
      <w:r w:rsidRPr="003A7D44">
        <w:rPr>
          <w:rFonts w:ascii="Calibri" w:hAnsi="Calibri" w:cs="Calibri"/>
          <w:color w:val="0D0D0D" w:themeColor="text1" w:themeTint="F2"/>
        </w:rPr>
        <w:t xml:space="preserve"> all? What counts as quality practice in (reflexive) thematic analysis?’, </w:t>
      </w:r>
      <w:r w:rsidRPr="003A7D44">
        <w:rPr>
          <w:rFonts w:ascii="Calibri" w:hAnsi="Calibri" w:cs="Calibri"/>
          <w:i/>
          <w:iCs/>
          <w:color w:val="0D0D0D" w:themeColor="text1" w:themeTint="F2"/>
        </w:rPr>
        <w:t>Qualitative Research in Psychology</w:t>
      </w:r>
      <w:r w:rsidRPr="003A7D44">
        <w:rPr>
          <w:rFonts w:ascii="Calibri" w:hAnsi="Calibri" w:cs="Calibri"/>
          <w:color w:val="0D0D0D" w:themeColor="text1" w:themeTint="F2"/>
        </w:rPr>
        <w:t>, 18(3) pp 328-352.</w:t>
      </w:r>
    </w:p>
    <w:p w14:paraId="6A3DE057" w14:textId="2D6A83EB"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Braun, V.,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Clarke, V. (2022) ‘Toward good practice in thematic analysis: Avoiding common problems and be(com)</w:t>
      </w:r>
      <w:proofErr w:type="spellStart"/>
      <w:r w:rsidRPr="003A7D44">
        <w:rPr>
          <w:rFonts w:ascii="Calibri" w:hAnsi="Calibri" w:cs="Calibri"/>
          <w:color w:val="0D0D0D" w:themeColor="text1" w:themeTint="F2"/>
        </w:rPr>
        <w:t>ing</w:t>
      </w:r>
      <w:proofErr w:type="spellEnd"/>
      <w:r w:rsidRPr="003A7D44">
        <w:rPr>
          <w:rFonts w:ascii="Calibri" w:hAnsi="Calibri" w:cs="Calibri"/>
          <w:color w:val="0D0D0D" w:themeColor="text1" w:themeTint="F2"/>
        </w:rPr>
        <w:t xml:space="preserve"> a </w:t>
      </w:r>
      <w:r w:rsidRPr="003A7D44">
        <w:rPr>
          <w:rFonts w:ascii="Calibri" w:hAnsi="Calibri" w:cs="Calibri"/>
          <w:i/>
          <w:iCs/>
          <w:color w:val="0D0D0D" w:themeColor="text1" w:themeTint="F2"/>
        </w:rPr>
        <w:t>knowing</w:t>
      </w:r>
      <w:r w:rsidRPr="003A7D44">
        <w:rPr>
          <w:rFonts w:ascii="Calibri" w:hAnsi="Calibri" w:cs="Calibri"/>
          <w:color w:val="0D0D0D" w:themeColor="text1" w:themeTint="F2"/>
        </w:rPr>
        <w:t> researcher’, </w:t>
      </w:r>
      <w:r w:rsidRPr="003A7D44">
        <w:rPr>
          <w:rFonts w:ascii="Calibri" w:hAnsi="Calibri" w:cs="Calibri"/>
          <w:i/>
          <w:iCs/>
          <w:color w:val="0D0D0D" w:themeColor="text1" w:themeTint="F2"/>
        </w:rPr>
        <w:t>International Journal of Transgender Health</w:t>
      </w:r>
      <w:r w:rsidRPr="003A7D44">
        <w:rPr>
          <w:rFonts w:ascii="Calibri" w:hAnsi="Calibri" w:cs="Calibri"/>
          <w:color w:val="0D0D0D" w:themeColor="text1" w:themeTint="F2"/>
        </w:rPr>
        <w:t>, </w:t>
      </w:r>
      <w:r w:rsidRPr="003A7D44">
        <w:rPr>
          <w:rFonts w:ascii="Calibri" w:hAnsi="Calibri" w:cs="Calibri"/>
          <w:i/>
          <w:iCs/>
          <w:color w:val="0D0D0D" w:themeColor="text1" w:themeTint="F2"/>
        </w:rPr>
        <w:t>24</w:t>
      </w:r>
      <w:r w:rsidRPr="003A7D44">
        <w:rPr>
          <w:rFonts w:ascii="Calibri" w:hAnsi="Calibri" w:cs="Calibri"/>
          <w:color w:val="0D0D0D" w:themeColor="text1" w:themeTint="F2"/>
        </w:rPr>
        <w:t>(1), pp. 1–6.  https://doi.org/10.1080/26895269.2022.2129597.</w:t>
      </w:r>
    </w:p>
    <w:p w14:paraId="62D46B88"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Brown, B., Nolan, P. and Crawford, P. (2000) ‘Men in nursing, ambivalence in care, gender and masculinity’, </w:t>
      </w:r>
      <w:r w:rsidRPr="003A7D44">
        <w:rPr>
          <w:rFonts w:ascii="Calibri" w:hAnsi="Calibri" w:cs="Calibri"/>
          <w:i/>
          <w:iCs/>
          <w:color w:val="0D0D0D" w:themeColor="text1" w:themeTint="F2"/>
        </w:rPr>
        <w:t>International History Nursing Journal,</w:t>
      </w:r>
      <w:r w:rsidRPr="003A7D44">
        <w:rPr>
          <w:rFonts w:ascii="Calibri" w:hAnsi="Calibri" w:cs="Calibri"/>
          <w:color w:val="0D0D0D" w:themeColor="text1" w:themeTint="F2"/>
        </w:rPr>
        <w:t xml:space="preserve"> 2000, 5(3):4-13.</w:t>
      </w:r>
    </w:p>
    <w:p w14:paraId="0A2E18E6" w14:textId="77777777" w:rsidR="007A3EFD" w:rsidRPr="003A7D44" w:rsidRDefault="007A3EFD" w:rsidP="007A3EFD">
      <w:pPr>
        <w:spacing w:line="276" w:lineRule="auto"/>
        <w:rPr>
          <w:rFonts w:ascii="Calibri" w:eastAsia="DengXian" w:hAnsi="Calibri" w:cs="Calibri"/>
          <w:color w:val="0D0D0D" w:themeColor="text1" w:themeTint="F2"/>
          <w:kern w:val="0"/>
          <w14:ligatures w14:val="none"/>
        </w:rPr>
      </w:pPr>
      <w:r w:rsidRPr="004A1ACB">
        <w:rPr>
          <w:rFonts w:ascii="Calibri" w:eastAsia="DengXian" w:hAnsi="Calibri" w:cs="Calibri"/>
          <w:color w:val="0D0D0D" w:themeColor="text1" w:themeTint="F2"/>
          <w:kern w:val="0"/>
          <w14:ligatures w14:val="none"/>
        </w:rPr>
        <w:t xml:space="preserve">Brown, R. G. and Stone, R. W.  (1973) </w:t>
      </w:r>
      <w:r w:rsidRPr="004A1ACB">
        <w:rPr>
          <w:rFonts w:ascii="Calibri" w:eastAsia="DengXian" w:hAnsi="Calibri" w:cs="Calibri"/>
          <w:i/>
          <w:iCs/>
          <w:color w:val="0D0D0D" w:themeColor="text1" w:themeTint="F2"/>
          <w:kern w:val="0"/>
          <w14:ligatures w14:val="none"/>
        </w:rPr>
        <w:t>The Male Nurse.</w:t>
      </w:r>
      <w:r w:rsidRPr="004A1ACB">
        <w:rPr>
          <w:rFonts w:ascii="Calibri" w:eastAsia="DengXian" w:hAnsi="Calibri" w:cs="Calibri"/>
          <w:color w:val="0D0D0D" w:themeColor="text1" w:themeTint="F2"/>
          <w:kern w:val="0"/>
          <w14:ligatures w14:val="none"/>
        </w:rPr>
        <w:t xml:space="preserve"> Birkenhead: Wilmer Brothers.</w:t>
      </w:r>
    </w:p>
    <w:p w14:paraId="257DF6E3" w14:textId="77777777" w:rsidR="007A3EFD" w:rsidRPr="003A7D44" w:rsidRDefault="007A3EFD" w:rsidP="007A3EFD">
      <w:pPr>
        <w:spacing w:line="276" w:lineRule="auto"/>
        <w:rPr>
          <w:rFonts w:ascii="Calibri" w:eastAsia="DengXian" w:hAnsi="Calibri" w:cs="Calibri"/>
          <w:color w:val="0D0D0D" w:themeColor="text1" w:themeTint="F2"/>
          <w:kern w:val="0"/>
          <w14:ligatures w14:val="none"/>
        </w:rPr>
      </w:pPr>
      <w:proofErr w:type="spellStart"/>
      <w:r w:rsidRPr="00167C1B">
        <w:rPr>
          <w:rFonts w:ascii="Calibri" w:eastAsia="DengXian" w:hAnsi="Calibri" w:cs="Calibri"/>
          <w:color w:val="0D0D0D" w:themeColor="text1" w:themeTint="F2"/>
          <w:kern w:val="0"/>
          <w14:ligatures w14:val="none"/>
        </w:rPr>
        <w:lastRenderedPageBreak/>
        <w:t>Bullogh</w:t>
      </w:r>
      <w:proofErr w:type="spellEnd"/>
      <w:r w:rsidRPr="00167C1B">
        <w:rPr>
          <w:rFonts w:ascii="Calibri" w:eastAsia="DengXian" w:hAnsi="Calibri" w:cs="Calibri"/>
          <w:color w:val="0D0D0D" w:themeColor="text1" w:themeTint="F2"/>
          <w:kern w:val="0"/>
          <w14:ligatures w14:val="none"/>
        </w:rPr>
        <w:t xml:space="preserve">, V. L. (1994) ‘Men in Nursing’, </w:t>
      </w:r>
      <w:r w:rsidRPr="00167C1B">
        <w:rPr>
          <w:rFonts w:ascii="Calibri" w:eastAsia="DengXian" w:hAnsi="Calibri" w:cs="Calibri"/>
          <w:i/>
          <w:iCs/>
          <w:color w:val="0D0D0D" w:themeColor="text1" w:themeTint="F2"/>
          <w:kern w:val="0"/>
          <w14:ligatures w14:val="none"/>
        </w:rPr>
        <w:t>Journal of Professional Nursing</w:t>
      </w:r>
      <w:r w:rsidRPr="00167C1B">
        <w:rPr>
          <w:rFonts w:ascii="Calibri" w:eastAsia="DengXian" w:hAnsi="Calibri" w:cs="Calibri"/>
          <w:color w:val="0D0D0D" w:themeColor="text1" w:themeTint="F2"/>
          <w:kern w:val="0"/>
          <w14:ligatures w14:val="none"/>
        </w:rPr>
        <w:t>, 10(5) pp 267-276.</w:t>
      </w:r>
    </w:p>
    <w:p w14:paraId="6C75394E" w14:textId="77777777" w:rsidR="007A3EFD" w:rsidRPr="003A7D44" w:rsidRDefault="007A3EFD" w:rsidP="007A3EFD">
      <w:pPr>
        <w:spacing w:line="276" w:lineRule="auto"/>
        <w:rPr>
          <w:rFonts w:ascii="Calibri" w:eastAsia="DengXian" w:hAnsi="Calibri" w:cs="Calibri"/>
          <w:color w:val="0D0D0D" w:themeColor="text1" w:themeTint="F2"/>
          <w:kern w:val="0"/>
          <w14:ligatures w14:val="none"/>
        </w:rPr>
      </w:pPr>
      <w:r w:rsidRPr="00E04CE8">
        <w:rPr>
          <w:rFonts w:ascii="Calibri" w:eastAsia="DengXian" w:hAnsi="Calibri" w:cs="Calibri"/>
          <w:color w:val="0D0D0D" w:themeColor="text1" w:themeTint="F2"/>
          <w:kern w:val="0"/>
          <w14:ligatures w14:val="none"/>
        </w:rPr>
        <w:t xml:space="preserve">Carnevale, T. and Priode, K. </w:t>
      </w:r>
      <w:proofErr w:type="gramStart"/>
      <w:r w:rsidRPr="00E04CE8">
        <w:rPr>
          <w:rFonts w:ascii="Calibri" w:eastAsia="DengXian" w:hAnsi="Calibri" w:cs="Calibri"/>
          <w:color w:val="0D0D0D" w:themeColor="text1" w:themeTint="F2"/>
          <w:kern w:val="0"/>
          <w14:ligatures w14:val="none"/>
        </w:rPr>
        <w:t>‘”The</w:t>
      </w:r>
      <w:proofErr w:type="gramEnd"/>
      <w:r w:rsidRPr="00E04CE8">
        <w:rPr>
          <w:rFonts w:ascii="Calibri" w:eastAsia="DengXian" w:hAnsi="Calibri" w:cs="Calibri"/>
          <w:color w:val="0D0D0D" w:themeColor="text1" w:themeTint="F2"/>
          <w:kern w:val="0"/>
          <w14:ligatures w14:val="none"/>
        </w:rPr>
        <w:t xml:space="preserve"> Good Ole’ Girls’ Nursing Club”: The Male Student Perspective</w:t>
      </w:r>
      <w:proofErr w:type="gramStart"/>
      <w:r w:rsidRPr="00E04CE8">
        <w:rPr>
          <w:rFonts w:ascii="Calibri" w:eastAsia="DengXian" w:hAnsi="Calibri" w:cs="Calibri"/>
          <w:color w:val="0D0D0D" w:themeColor="text1" w:themeTint="F2"/>
          <w:kern w:val="0"/>
          <w14:ligatures w14:val="none"/>
        </w:rPr>
        <w:t xml:space="preserve">’,  </w:t>
      </w:r>
      <w:r w:rsidRPr="00E04CE8">
        <w:rPr>
          <w:rFonts w:ascii="Calibri" w:eastAsia="DengXian" w:hAnsi="Calibri" w:cs="Calibri"/>
          <w:i/>
          <w:iCs/>
          <w:color w:val="0D0D0D" w:themeColor="text1" w:themeTint="F2"/>
          <w:kern w:val="0"/>
          <w14:ligatures w14:val="none"/>
        </w:rPr>
        <w:t>Journal</w:t>
      </w:r>
      <w:proofErr w:type="gramEnd"/>
      <w:r w:rsidRPr="00E04CE8">
        <w:rPr>
          <w:rFonts w:ascii="Calibri" w:eastAsia="DengXian" w:hAnsi="Calibri" w:cs="Calibri"/>
          <w:i/>
          <w:iCs/>
          <w:color w:val="0D0D0D" w:themeColor="text1" w:themeTint="F2"/>
          <w:kern w:val="0"/>
          <w14:ligatures w14:val="none"/>
        </w:rPr>
        <w:t xml:space="preserve"> of Transcultural Nursing</w:t>
      </w:r>
      <w:r w:rsidRPr="00E04CE8">
        <w:rPr>
          <w:rFonts w:ascii="Calibri" w:eastAsia="DengXian" w:hAnsi="Calibri" w:cs="Calibri"/>
          <w:color w:val="0D0D0D" w:themeColor="text1" w:themeTint="F2"/>
          <w:kern w:val="0"/>
          <w14:ligatures w14:val="none"/>
        </w:rPr>
        <w:t>, 29(3) pp 285–291.</w:t>
      </w:r>
    </w:p>
    <w:p w14:paraId="6824532E" w14:textId="77777777" w:rsidR="007A3EFD" w:rsidRPr="003A7D44" w:rsidRDefault="007A3EFD" w:rsidP="007A3EFD">
      <w:pPr>
        <w:spacing w:line="276" w:lineRule="auto"/>
        <w:rPr>
          <w:rFonts w:ascii="Calibri" w:eastAsia="DengXian" w:hAnsi="Calibri" w:cs="Calibri"/>
          <w:color w:val="0D0D0D" w:themeColor="text1" w:themeTint="F2"/>
          <w:kern w:val="0"/>
          <w14:ligatures w14:val="none"/>
        </w:rPr>
      </w:pPr>
      <w:r w:rsidRPr="00E265AB">
        <w:rPr>
          <w:rFonts w:ascii="Calibri" w:eastAsia="DengXian" w:hAnsi="Calibri" w:cs="Calibri"/>
          <w:color w:val="0D0D0D" w:themeColor="text1" w:themeTint="F2"/>
          <w:kern w:val="0"/>
          <w14:ligatures w14:val="none"/>
        </w:rPr>
        <w:t xml:space="preserve">Carpenter, M. (1980) </w:t>
      </w:r>
      <w:r w:rsidRPr="00E265AB">
        <w:rPr>
          <w:rFonts w:ascii="Calibri" w:eastAsia="DengXian" w:hAnsi="Calibri" w:cs="Calibri"/>
          <w:i/>
          <w:iCs/>
          <w:color w:val="0D0D0D" w:themeColor="text1" w:themeTint="F2"/>
          <w:kern w:val="0"/>
          <w14:ligatures w14:val="none"/>
        </w:rPr>
        <w:t>Asylum Nursing Before 1914: A Chapter in the History of Nursing.</w:t>
      </w:r>
      <w:r w:rsidRPr="00E265AB">
        <w:rPr>
          <w:rFonts w:ascii="Calibri" w:eastAsia="DengXian" w:hAnsi="Calibri" w:cs="Calibri"/>
          <w:color w:val="0D0D0D" w:themeColor="text1" w:themeTint="F2"/>
          <w:kern w:val="0"/>
          <w14:ligatures w14:val="none"/>
        </w:rPr>
        <w:t xml:space="preserve"> Beckenham: Croom Helm.</w:t>
      </w:r>
    </w:p>
    <w:p w14:paraId="5497F0A3"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Cho, S. and Jang, S. (2021) ‘Do Gender Role Stereotypes and Patriarchal Culture Affect Nursing Students’ Major Satisfaction?’, </w:t>
      </w:r>
      <w:r w:rsidRPr="003A7D44">
        <w:rPr>
          <w:rFonts w:ascii="Calibri" w:hAnsi="Calibri" w:cs="Calibri"/>
          <w:i/>
          <w:iCs/>
          <w:color w:val="0D0D0D" w:themeColor="text1" w:themeTint="F2"/>
        </w:rPr>
        <w:t>International Journal of Environmental Research and Public Health</w:t>
      </w:r>
      <w:r w:rsidRPr="003A7D44">
        <w:rPr>
          <w:rFonts w:ascii="Calibri" w:hAnsi="Calibri" w:cs="Calibri"/>
          <w:color w:val="0D0D0D" w:themeColor="text1" w:themeTint="F2"/>
        </w:rPr>
        <w:t>, 18(5), pp. 260-270.</w:t>
      </w:r>
    </w:p>
    <w:p w14:paraId="63F790C1" w14:textId="77777777" w:rsidR="007A3EFD" w:rsidRPr="003A7D44" w:rsidRDefault="007A3EFD" w:rsidP="007A3EFD">
      <w:pPr>
        <w:spacing w:line="276" w:lineRule="auto"/>
        <w:rPr>
          <w:rFonts w:ascii="Calibri" w:hAnsi="Calibri" w:cs="Calibri"/>
          <w:color w:val="0D0D0D" w:themeColor="text1" w:themeTint="F2"/>
        </w:rPr>
      </w:pPr>
      <w:r w:rsidRPr="00BA4627">
        <w:rPr>
          <w:rFonts w:ascii="Calibri" w:hAnsi="Calibri" w:cs="Calibri"/>
          <w:color w:val="0D0D0D" w:themeColor="text1" w:themeTint="F2"/>
        </w:rPr>
        <w:t>Christensen</w:t>
      </w:r>
      <w:r w:rsidRPr="003A7D44">
        <w:rPr>
          <w:rFonts w:ascii="Calibri" w:hAnsi="Calibri" w:cs="Calibri"/>
          <w:color w:val="0D0D0D" w:themeColor="text1" w:themeTint="F2"/>
        </w:rPr>
        <w:t xml:space="preserve">, M., </w:t>
      </w:r>
      <w:r w:rsidRPr="00BA4627">
        <w:rPr>
          <w:rFonts w:ascii="Calibri" w:hAnsi="Calibri" w:cs="Calibri"/>
          <w:color w:val="0D0D0D" w:themeColor="text1" w:themeTint="F2"/>
        </w:rPr>
        <w:t>Purkis</w:t>
      </w:r>
      <w:r w:rsidRPr="003A7D44">
        <w:rPr>
          <w:rFonts w:ascii="Calibri" w:hAnsi="Calibri" w:cs="Calibri"/>
          <w:color w:val="0D0D0D" w:themeColor="text1" w:themeTint="F2"/>
        </w:rPr>
        <w:t xml:space="preserve">, N., </w:t>
      </w:r>
      <w:r w:rsidRPr="00BA4627">
        <w:rPr>
          <w:rFonts w:ascii="Calibri" w:hAnsi="Calibri" w:cs="Calibri"/>
          <w:color w:val="0D0D0D" w:themeColor="text1" w:themeTint="F2"/>
        </w:rPr>
        <w:t>Morgan</w:t>
      </w:r>
      <w:r w:rsidRPr="003A7D44">
        <w:rPr>
          <w:rFonts w:ascii="Calibri" w:hAnsi="Calibri" w:cs="Calibri"/>
          <w:color w:val="0D0D0D" w:themeColor="text1" w:themeTint="F2"/>
        </w:rPr>
        <w:t xml:space="preserve">, R. and </w:t>
      </w:r>
      <w:r w:rsidRPr="00BA4627">
        <w:rPr>
          <w:rFonts w:ascii="Calibri" w:hAnsi="Calibri" w:cs="Calibri"/>
          <w:color w:val="0D0D0D" w:themeColor="text1" w:themeTint="F2"/>
        </w:rPr>
        <w:t>Allen</w:t>
      </w:r>
      <w:r w:rsidRPr="003A7D44">
        <w:rPr>
          <w:rFonts w:ascii="Calibri" w:hAnsi="Calibri" w:cs="Calibri"/>
          <w:color w:val="0D0D0D" w:themeColor="text1" w:themeTint="F2"/>
        </w:rPr>
        <w:t>, C. (2021) ‘</w:t>
      </w:r>
      <w:r w:rsidRPr="00415043">
        <w:rPr>
          <w:rFonts w:ascii="Calibri" w:hAnsi="Calibri" w:cs="Calibri"/>
          <w:color w:val="0D0D0D" w:themeColor="text1" w:themeTint="F2"/>
        </w:rPr>
        <w:t>Does the nursing curriculum influence feelings of gender-role conflict in a cohort of nursing degree male students?</w:t>
      </w:r>
      <w:r w:rsidRPr="003A7D44">
        <w:rPr>
          <w:rFonts w:ascii="Calibri" w:hAnsi="Calibri" w:cs="Calibri"/>
          <w:color w:val="0D0D0D" w:themeColor="text1" w:themeTint="F2"/>
        </w:rPr>
        <w:t xml:space="preserve">’, </w:t>
      </w:r>
      <w:r w:rsidRPr="003A7D44">
        <w:rPr>
          <w:rFonts w:ascii="Calibri" w:hAnsi="Calibri" w:cs="Calibri"/>
          <w:i/>
          <w:iCs/>
          <w:color w:val="0D0D0D" w:themeColor="text1" w:themeTint="F2"/>
        </w:rPr>
        <w:t>British Journal of Nursing,</w:t>
      </w:r>
      <w:r w:rsidRPr="003A7D44">
        <w:rPr>
          <w:rFonts w:ascii="Calibri" w:hAnsi="Calibri" w:cs="Calibri"/>
          <w:color w:val="0D0D0D" w:themeColor="text1" w:themeTint="F2"/>
        </w:rPr>
        <w:t xml:space="preserve"> 30(17).</w:t>
      </w:r>
    </w:p>
    <w:p w14:paraId="2B791967"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Cudé, G, and Winfrey, K. (2007) ‘The hidden barrier: gender bias: fact or fiction?</w:t>
      </w:r>
      <w:r w:rsidRPr="003A7D44">
        <w:rPr>
          <w:rFonts w:ascii="Calibri" w:hAnsi="Calibri" w:cs="Calibri"/>
          <w:i/>
          <w:iCs/>
          <w:color w:val="0D0D0D" w:themeColor="text1" w:themeTint="F2"/>
        </w:rPr>
        <w:t>’ Nursing for Women's Health,</w:t>
      </w:r>
      <w:r w:rsidRPr="003A7D44">
        <w:rPr>
          <w:rFonts w:ascii="Calibri" w:hAnsi="Calibri" w:cs="Calibri"/>
          <w:color w:val="0D0D0D" w:themeColor="text1" w:themeTint="F2"/>
        </w:rPr>
        <w:t xml:space="preserve"> 11(3) pp 254-265.</w:t>
      </w:r>
    </w:p>
    <w:p w14:paraId="5FD03D5D"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Dingwall, R. (1977) </w:t>
      </w:r>
      <w:r w:rsidRPr="003A7D44">
        <w:rPr>
          <w:rFonts w:ascii="Calibri" w:hAnsi="Calibri" w:cs="Calibri"/>
          <w:i/>
          <w:iCs/>
          <w:color w:val="0D0D0D" w:themeColor="text1" w:themeTint="F2"/>
        </w:rPr>
        <w:t>The Place of Men in Nursing.</w:t>
      </w:r>
      <w:r w:rsidRPr="003A7D44">
        <w:rPr>
          <w:rFonts w:ascii="Calibri" w:hAnsi="Calibri" w:cs="Calibri"/>
          <w:color w:val="0D0D0D" w:themeColor="text1" w:themeTint="F2"/>
        </w:rPr>
        <w:t xml:space="preserve"> Edinburgh: Churchill Livingstone.</w:t>
      </w:r>
    </w:p>
    <w:p w14:paraId="52CEF46C"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Donahue, M. P. (1996) </w:t>
      </w:r>
      <w:r w:rsidRPr="003A7D44">
        <w:rPr>
          <w:rFonts w:ascii="Calibri" w:hAnsi="Calibri" w:cs="Calibri"/>
          <w:i/>
          <w:iCs/>
          <w:color w:val="0D0D0D" w:themeColor="text1" w:themeTint="F2"/>
        </w:rPr>
        <w:t>Nursing: The finest art: An illustrated history</w:t>
      </w:r>
      <w:r w:rsidRPr="003A7D44">
        <w:rPr>
          <w:rFonts w:ascii="Calibri" w:hAnsi="Calibri" w:cs="Calibri"/>
          <w:color w:val="0D0D0D" w:themeColor="text1" w:themeTint="F2"/>
        </w:rPr>
        <w:t>. (2</w:t>
      </w:r>
      <w:r w:rsidRPr="003A7D44">
        <w:rPr>
          <w:rFonts w:ascii="Calibri" w:hAnsi="Calibri" w:cs="Calibri"/>
          <w:color w:val="0D0D0D" w:themeColor="text1" w:themeTint="F2"/>
          <w:vertAlign w:val="superscript"/>
        </w:rPr>
        <w:t>nd</w:t>
      </w:r>
      <w:r w:rsidRPr="003A7D44">
        <w:rPr>
          <w:rFonts w:ascii="Calibri" w:hAnsi="Calibri" w:cs="Calibri"/>
          <w:color w:val="0D0D0D" w:themeColor="text1" w:themeTint="F2"/>
        </w:rPr>
        <w:t xml:space="preserve"> </w:t>
      </w:r>
      <w:proofErr w:type="spellStart"/>
      <w:r w:rsidRPr="003A7D44">
        <w:rPr>
          <w:rFonts w:ascii="Calibri" w:hAnsi="Calibri" w:cs="Calibri"/>
          <w:color w:val="0D0D0D" w:themeColor="text1" w:themeTint="F2"/>
        </w:rPr>
        <w:t>edn</w:t>
      </w:r>
      <w:proofErr w:type="spellEnd"/>
      <w:r w:rsidRPr="003A7D44">
        <w:rPr>
          <w:rFonts w:ascii="Calibri" w:hAnsi="Calibri" w:cs="Calibri"/>
          <w:color w:val="0D0D0D" w:themeColor="text1" w:themeTint="F2"/>
        </w:rPr>
        <w:t>). St Louis: Mosby.</w:t>
      </w:r>
    </w:p>
    <w:p w14:paraId="6883B2B1"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Drennan, V., Halter, M., Gale, J. and Harris, R. (2016) ‘Retaining nurses in metropolitan areas: insights from senior nurse and human resource managers’, </w:t>
      </w:r>
      <w:r w:rsidRPr="003A7D44">
        <w:rPr>
          <w:rFonts w:ascii="Calibri" w:hAnsi="Calibri" w:cs="Calibri"/>
          <w:i/>
          <w:iCs/>
          <w:color w:val="0D0D0D" w:themeColor="text1" w:themeTint="F2"/>
        </w:rPr>
        <w:t>Journal of Nursing Management</w:t>
      </w:r>
      <w:r w:rsidRPr="003A7D44">
        <w:rPr>
          <w:rFonts w:ascii="Calibri" w:hAnsi="Calibri" w:cs="Calibri"/>
          <w:color w:val="0D0D0D" w:themeColor="text1" w:themeTint="F2"/>
        </w:rPr>
        <w:t>, </w:t>
      </w:r>
      <w:r w:rsidRPr="003A7D44">
        <w:rPr>
          <w:rFonts w:ascii="Calibri" w:hAnsi="Calibri" w:cs="Calibri"/>
          <w:i/>
          <w:iCs/>
          <w:color w:val="0D0D0D" w:themeColor="text1" w:themeTint="F2"/>
        </w:rPr>
        <w:t>24</w:t>
      </w:r>
      <w:r w:rsidRPr="003A7D44">
        <w:rPr>
          <w:rFonts w:ascii="Calibri" w:hAnsi="Calibri" w:cs="Calibri"/>
          <w:color w:val="0D0D0D" w:themeColor="text1" w:themeTint="F2"/>
        </w:rPr>
        <w:t>(8) pp 1041–1048.</w:t>
      </w:r>
    </w:p>
    <w:p w14:paraId="1F6B19E1" w14:textId="253DFEBE"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Equal Opportunities Commission (2006) ‘Gender Issues in vocational Education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Training and Workplace Achievement of 14 – </w:t>
      </w:r>
      <w:proofErr w:type="gramStart"/>
      <w:r w:rsidRPr="003A7D44">
        <w:rPr>
          <w:rFonts w:ascii="Calibri" w:hAnsi="Calibri" w:cs="Calibri"/>
          <w:color w:val="0D0D0D" w:themeColor="text1" w:themeTint="F2"/>
        </w:rPr>
        <w:t>19 year olds</w:t>
      </w:r>
      <w:proofErr w:type="gramEnd"/>
      <w:r w:rsidRPr="003A7D44">
        <w:rPr>
          <w:rFonts w:ascii="Calibri" w:hAnsi="Calibri" w:cs="Calibri"/>
          <w:color w:val="0D0D0D" w:themeColor="text1" w:themeTint="F2"/>
        </w:rPr>
        <w:t xml:space="preserve">: An EOC perspective’, </w:t>
      </w:r>
      <w:r w:rsidRPr="003A7D44">
        <w:rPr>
          <w:rFonts w:ascii="Calibri" w:hAnsi="Calibri" w:cs="Calibri"/>
          <w:i/>
          <w:iCs/>
          <w:color w:val="0D0D0D" w:themeColor="text1" w:themeTint="F2"/>
        </w:rPr>
        <w:t>The Curriculum Journal</w:t>
      </w:r>
      <w:r w:rsidRPr="003A7D44">
        <w:rPr>
          <w:rFonts w:ascii="Calibri" w:hAnsi="Calibri" w:cs="Calibri"/>
          <w:color w:val="0D0D0D" w:themeColor="text1" w:themeTint="F2"/>
        </w:rPr>
        <w:t>, 10(2) pp 209-229.</w:t>
      </w:r>
    </w:p>
    <w:p w14:paraId="6ACC7D97" w14:textId="77777777" w:rsidR="007A3EFD" w:rsidRPr="003A7D44" w:rsidRDefault="007A3EFD" w:rsidP="007A3EFD">
      <w:pPr>
        <w:spacing w:line="276" w:lineRule="auto"/>
        <w:rPr>
          <w:rFonts w:ascii="Calibri" w:hAnsi="Calibri" w:cs="Calibri"/>
          <w:color w:val="0D0D0D" w:themeColor="text1" w:themeTint="F2"/>
        </w:rPr>
      </w:pPr>
      <w:proofErr w:type="gramStart"/>
      <w:r w:rsidRPr="003A7D44">
        <w:rPr>
          <w:rFonts w:ascii="Calibri" w:hAnsi="Calibri" w:cs="Calibri"/>
          <w:color w:val="0D0D0D" w:themeColor="text1" w:themeTint="F2"/>
        </w:rPr>
        <w:t>Evans,  J.</w:t>
      </w:r>
      <w:proofErr w:type="gramEnd"/>
      <w:r w:rsidRPr="003A7D44">
        <w:rPr>
          <w:rFonts w:ascii="Calibri" w:hAnsi="Calibri" w:cs="Calibri"/>
          <w:color w:val="0D0D0D" w:themeColor="text1" w:themeTint="F2"/>
        </w:rPr>
        <w:t xml:space="preserve"> A. (2017) ‘Cautious caregivers: gender stereotypes and the sexualization of men nurses' touch’, </w:t>
      </w:r>
      <w:r w:rsidRPr="003A7D44">
        <w:rPr>
          <w:rFonts w:ascii="Calibri" w:hAnsi="Calibri" w:cs="Calibri"/>
          <w:i/>
          <w:iCs/>
          <w:color w:val="0D0D0D" w:themeColor="text1" w:themeTint="F2"/>
        </w:rPr>
        <w:t>Journal of Advanced Nursing</w:t>
      </w:r>
      <w:r w:rsidRPr="003A7D44">
        <w:rPr>
          <w:rFonts w:ascii="Calibri" w:hAnsi="Calibri" w:cs="Calibri"/>
          <w:color w:val="0D0D0D" w:themeColor="text1" w:themeTint="F2"/>
        </w:rPr>
        <w:t>, 40(4) pp 441-448.</w:t>
      </w:r>
    </w:p>
    <w:p w14:paraId="41FAF42E"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Finlay, L.  (2021) Thematic analysis: The ‘Good’, the ‘Bad’ and the ‘Ugly’, </w:t>
      </w:r>
      <w:r w:rsidRPr="003A7D44">
        <w:rPr>
          <w:rFonts w:ascii="Calibri" w:hAnsi="Calibri" w:cs="Calibri"/>
          <w:i/>
          <w:iCs/>
          <w:color w:val="0D0D0D" w:themeColor="text1" w:themeTint="F2"/>
        </w:rPr>
        <w:t>European Journal for Qualitative Research in Psychotherapy</w:t>
      </w:r>
      <w:r w:rsidRPr="003A7D44">
        <w:rPr>
          <w:rFonts w:ascii="Calibri" w:hAnsi="Calibri" w:cs="Calibri"/>
          <w:color w:val="0D0D0D" w:themeColor="text1" w:themeTint="F2"/>
        </w:rPr>
        <w:t>, 11(14), pp. 103-116.</w:t>
      </w:r>
    </w:p>
    <w:p w14:paraId="537658F5"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Flaubert, J. L., Le Menestrel, S., Williams, D. R. and Wakefield, M. K. (2023) </w:t>
      </w:r>
      <w:r w:rsidRPr="003A7D44">
        <w:rPr>
          <w:rFonts w:ascii="Calibri" w:hAnsi="Calibri" w:cs="Calibri"/>
          <w:i/>
          <w:iCs/>
          <w:color w:val="0D0D0D" w:themeColor="text1" w:themeTint="F2"/>
        </w:rPr>
        <w:t>The Future of Nursing 2020-2030: Charting a Path to Achieve Health Equity.</w:t>
      </w:r>
      <w:r w:rsidRPr="003A7D44">
        <w:rPr>
          <w:rFonts w:ascii="Calibri" w:hAnsi="Calibri" w:cs="Calibri"/>
          <w:color w:val="0D0D0D" w:themeColor="text1" w:themeTint="F2"/>
        </w:rPr>
        <w:t xml:space="preserve"> Washington: National Academies Press.</w:t>
      </w:r>
    </w:p>
    <w:p w14:paraId="7E3F9D72" w14:textId="77777777" w:rsidR="007A3EFD" w:rsidRPr="003A7D44" w:rsidRDefault="007A3EFD" w:rsidP="007A3EFD">
      <w:pPr>
        <w:spacing w:line="276" w:lineRule="auto"/>
        <w:rPr>
          <w:rFonts w:ascii="Calibri" w:hAnsi="Calibri" w:cs="Calibri"/>
          <w:color w:val="0D0D0D" w:themeColor="text1" w:themeTint="F2"/>
        </w:rPr>
      </w:pPr>
      <w:proofErr w:type="spellStart"/>
      <w:r w:rsidRPr="003A7D44">
        <w:rPr>
          <w:rFonts w:ascii="Calibri" w:hAnsi="Calibri" w:cs="Calibri"/>
          <w:color w:val="0D0D0D" w:themeColor="text1" w:themeTint="F2"/>
        </w:rPr>
        <w:t>Gouifrane</w:t>
      </w:r>
      <w:proofErr w:type="spellEnd"/>
      <w:r w:rsidRPr="003A7D44">
        <w:rPr>
          <w:rFonts w:ascii="Calibri" w:hAnsi="Calibri" w:cs="Calibri"/>
          <w:color w:val="0D0D0D" w:themeColor="text1" w:themeTint="F2"/>
        </w:rPr>
        <w:t xml:space="preserve">, R., </w:t>
      </w:r>
      <w:proofErr w:type="spellStart"/>
      <w:r w:rsidRPr="003A7D44">
        <w:rPr>
          <w:rFonts w:ascii="Calibri" w:hAnsi="Calibri" w:cs="Calibri"/>
          <w:color w:val="0D0D0D" w:themeColor="text1" w:themeTint="F2"/>
        </w:rPr>
        <w:t>Lajane</w:t>
      </w:r>
      <w:proofErr w:type="spellEnd"/>
      <w:r w:rsidRPr="003A7D44">
        <w:rPr>
          <w:rFonts w:ascii="Calibri" w:hAnsi="Calibri" w:cs="Calibri"/>
          <w:color w:val="0D0D0D" w:themeColor="text1" w:themeTint="F2"/>
        </w:rPr>
        <w:t xml:space="preserve">, H., </w:t>
      </w:r>
      <w:proofErr w:type="spellStart"/>
      <w:r w:rsidRPr="003A7D44">
        <w:rPr>
          <w:rFonts w:ascii="Calibri" w:hAnsi="Calibri" w:cs="Calibri"/>
          <w:color w:val="0D0D0D" w:themeColor="text1" w:themeTint="F2"/>
        </w:rPr>
        <w:t>Benmokhtar</w:t>
      </w:r>
      <w:proofErr w:type="spellEnd"/>
      <w:r w:rsidRPr="003A7D44">
        <w:rPr>
          <w:rFonts w:ascii="Calibri" w:hAnsi="Calibri" w:cs="Calibri"/>
          <w:color w:val="0D0D0D" w:themeColor="text1" w:themeTint="F2"/>
        </w:rPr>
        <w:t xml:space="preserve">, S., </w:t>
      </w:r>
      <w:proofErr w:type="spellStart"/>
      <w:r w:rsidRPr="003A7D44">
        <w:rPr>
          <w:rFonts w:ascii="Calibri" w:hAnsi="Calibri" w:cs="Calibri"/>
          <w:color w:val="0D0D0D" w:themeColor="text1" w:themeTint="F2"/>
        </w:rPr>
        <w:t>Dehbi</w:t>
      </w:r>
      <w:proofErr w:type="spellEnd"/>
      <w:r w:rsidRPr="003A7D44">
        <w:rPr>
          <w:rFonts w:ascii="Calibri" w:hAnsi="Calibri" w:cs="Calibri"/>
          <w:color w:val="0D0D0D" w:themeColor="text1" w:themeTint="F2"/>
        </w:rPr>
        <w:t xml:space="preserve">, F. and </w:t>
      </w:r>
      <w:proofErr w:type="spellStart"/>
      <w:r w:rsidRPr="003A7D44">
        <w:rPr>
          <w:rFonts w:ascii="Calibri" w:hAnsi="Calibri" w:cs="Calibri"/>
          <w:color w:val="0D0D0D" w:themeColor="text1" w:themeTint="F2"/>
        </w:rPr>
        <w:t>Radid</w:t>
      </w:r>
      <w:proofErr w:type="spellEnd"/>
      <w:r w:rsidRPr="003A7D44">
        <w:rPr>
          <w:rFonts w:ascii="Calibri" w:hAnsi="Calibri" w:cs="Calibri"/>
          <w:color w:val="0D0D0D" w:themeColor="text1" w:themeTint="F2"/>
        </w:rPr>
        <w:t xml:space="preserve">, M. (2020) ‘Investigating learning challenges from the perspective of nursing students and educators at a university in </w:t>
      </w:r>
      <w:proofErr w:type="spellStart"/>
      <w:r w:rsidRPr="003A7D44">
        <w:rPr>
          <w:rFonts w:ascii="Calibri" w:hAnsi="Calibri" w:cs="Calibri"/>
          <w:color w:val="0D0D0D" w:themeColor="text1" w:themeTint="F2"/>
        </w:rPr>
        <w:t>casablanca</w:t>
      </w:r>
      <w:proofErr w:type="spellEnd"/>
      <w:r w:rsidRPr="003A7D44">
        <w:rPr>
          <w:rFonts w:ascii="Calibri" w:hAnsi="Calibri" w:cs="Calibri"/>
          <w:color w:val="0D0D0D" w:themeColor="text1" w:themeTint="F2"/>
        </w:rPr>
        <w:t>, Morocco’, The Open Nursing Journal, 14(1) pp 171-183.</w:t>
      </w:r>
    </w:p>
    <w:p w14:paraId="69881493"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Grady, C., Stewardson, G. and Hall, J. (2008) ‘Faculty notions regarding caring in male nursing students’, </w:t>
      </w:r>
      <w:r w:rsidRPr="003A7D44">
        <w:rPr>
          <w:rFonts w:ascii="Calibri" w:hAnsi="Calibri" w:cs="Calibri"/>
          <w:i/>
          <w:iCs/>
          <w:color w:val="0D0D0D" w:themeColor="text1" w:themeTint="F2"/>
        </w:rPr>
        <w:t>Journal of Nursing Education</w:t>
      </w:r>
      <w:r w:rsidRPr="003A7D44">
        <w:rPr>
          <w:rFonts w:ascii="Calibri" w:hAnsi="Calibri" w:cs="Calibri"/>
          <w:color w:val="0D0D0D" w:themeColor="text1" w:themeTint="F2"/>
        </w:rPr>
        <w:t>, 47(7), pp 314-323.</w:t>
      </w:r>
    </w:p>
    <w:p w14:paraId="248A367A"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lastRenderedPageBreak/>
        <w:t xml:space="preserve">Group, T. M. and Roberts, T. L. (2001) </w:t>
      </w:r>
      <w:r w:rsidRPr="003A7D44">
        <w:rPr>
          <w:rFonts w:ascii="Calibri" w:hAnsi="Calibri" w:cs="Calibri"/>
          <w:i/>
          <w:iCs/>
          <w:color w:val="0D0D0D" w:themeColor="text1" w:themeTint="F2"/>
        </w:rPr>
        <w:t xml:space="preserve">Nursing, Physician Control, and the Medical Monopoly: Historical Perspectives on Gendered Inequality in Roles, Rights, and Range of Practice. </w:t>
      </w:r>
      <w:r w:rsidRPr="003A7D44">
        <w:rPr>
          <w:rFonts w:ascii="Calibri" w:hAnsi="Calibri" w:cs="Calibri"/>
          <w:color w:val="0D0D0D" w:themeColor="text1" w:themeTint="F2"/>
        </w:rPr>
        <w:t>Bloomington Indiana: Indiana University Press.</w:t>
      </w:r>
    </w:p>
    <w:p w14:paraId="6558AF73"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Hardy, L. K. (1986) </w:t>
      </w:r>
      <w:r w:rsidRPr="003A7D44">
        <w:rPr>
          <w:rFonts w:ascii="Calibri" w:hAnsi="Calibri" w:cs="Calibri"/>
          <w:i/>
          <w:iCs/>
          <w:color w:val="0D0D0D" w:themeColor="text1" w:themeTint="F2"/>
        </w:rPr>
        <w:t>Career Politics: The case of career histories of selected leading female and male nurses</w:t>
      </w:r>
      <w:r w:rsidRPr="003A7D44">
        <w:rPr>
          <w:rFonts w:ascii="Calibri" w:hAnsi="Calibri" w:cs="Calibri"/>
          <w:color w:val="0D0D0D" w:themeColor="text1" w:themeTint="F2"/>
        </w:rPr>
        <w:t>. Chichester: Wiley and Sons.</w:t>
      </w:r>
    </w:p>
    <w:p w14:paraId="164FB369"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Hazel, K. and Kleyman, K. (2019) ‘Gender and Sex Inequalities; Implications and resistance’, </w:t>
      </w:r>
      <w:r w:rsidRPr="003A7D44">
        <w:rPr>
          <w:rFonts w:ascii="Calibri" w:hAnsi="Calibri" w:cs="Calibri"/>
          <w:i/>
          <w:iCs/>
          <w:color w:val="0D0D0D" w:themeColor="text1" w:themeTint="F2"/>
        </w:rPr>
        <w:t>Journal of Prevention and Intervention in the Community</w:t>
      </w:r>
      <w:r w:rsidRPr="003A7D44">
        <w:rPr>
          <w:rFonts w:ascii="Calibri" w:hAnsi="Calibri" w:cs="Calibri"/>
          <w:color w:val="0D0D0D" w:themeColor="text1" w:themeTint="F2"/>
        </w:rPr>
        <w:t>, 48(4) pp 281-292.</w:t>
      </w:r>
    </w:p>
    <w:p w14:paraId="0AA27473"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Heffler, B. (2001) ‘Individual learning style and the learning style inventory’, </w:t>
      </w:r>
      <w:r w:rsidRPr="003A7D44">
        <w:rPr>
          <w:rFonts w:ascii="Calibri" w:hAnsi="Calibri" w:cs="Calibri"/>
          <w:i/>
          <w:iCs/>
          <w:color w:val="0D0D0D" w:themeColor="text1" w:themeTint="F2"/>
        </w:rPr>
        <w:t>Educational Studies</w:t>
      </w:r>
      <w:r w:rsidRPr="003A7D44">
        <w:rPr>
          <w:rFonts w:ascii="Calibri" w:hAnsi="Calibri" w:cs="Calibri"/>
          <w:color w:val="0D0D0D" w:themeColor="text1" w:themeTint="F2"/>
        </w:rPr>
        <w:t>, 27(3) pp 307-316.</w:t>
      </w:r>
    </w:p>
    <w:p w14:paraId="155A2730"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Higher Education Statistics Agency (2024) </w:t>
      </w:r>
      <w:r w:rsidRPr="003A7D44">
        <w:rPr>
          <w:rFonts w:ascii="Calibri" w:hAnsi="Calibri" w:cs="Calibri"/>
          <w:i/>
          <w:iCs/>
          <w:color w:val="0D0D0D" w:themeColor="text1" w:themeTint="F2"/>
        </w:rPr>
        <w:t>Students on HE courses by course subject, level of study, mode of study, sex and domicile: Wales</w:t>
      </w:r>
      <w:r w:rsidRPr="003A7D44">
        <w:rPr>
          <w:rFonts w:ascii="Calibri" w:hAnsi="Calibri" w:cs="Calibri"/>
          <w:color w:val="0D0D0D" w:themeColor="text1" w:themeTint="F2"/>
        </w:rPr>
        <w:t>, 2021/22. Available at: https://www.hesa.ac.uk/data-and-analysis/students (Accessed on 20th March 2025).</w:t>
      </w:r>
    </w:p>
    <w:p w14:paraId="3E9E13E3"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Hill, C., Corbett, C. and Rose, A. (2015) </w:t>
      </w:r>
      <w:r w:rsidRPr="003A7D44">
        <w:rPr>
          <w:rFonts w:ascii="Calibri" w:hAnsi="Calibri" w:cs="Calibri"/>
          <w:i/>
          <w:iCs/>
          <w:color w:val="0D0D0D" w:themeColor="text1" w:themeTint="F2"/>
        </w:rPr>
        <w:t>Why so Few? Women in Science, Technology, Engineering and Mathematics</w:t>
      </w:r>
      <w:r w:rsidRPr="003A7D44">
        <w:rPr>
          <w:rFonts w:ascii="Calibri" w:hAnsi="Calibri" w:cs="Calibri"/>
          <w:color w:val="0D0D0D" w:themeColor="text1" w:themeTint="F2"/>
        </w:rPr>
        <w:t>. Washington DC: American Association of Women.</w:t>
      </w:r>
    </w:p>
    <w:p w14:paraId="516DAED3" w14:textId="77777777" w:rsidR="007A3EFD" w:rsidRPr="003A7D44" w:rsidRDefault="007A3EFD" w:rsidP="007A3EFD">
      <w:pPr>
        <w:spacing w:line="276" w:lineRule="auto"/>
        <w:rPr>
          <w:rFonts w:ascii="Calibri" w:eastAsia="DengXian" w:hAnsi="Calibri" w:cs="Calibri"/>
          <w:color w:val="0D0D0D" w:themeColor="text1" w:themeTint="F2"/>
          <w:kern w:val="0"/>
          <w14:ligatures w14:val="none"/>
        </w:rPr>
      </w:pPr>
      <w:r w:rsidRPr="00B46E5A">
        <w:rPr>
          <w:rFonts w:ascii="Calibri" w:eastAsia="DengXian" w:hAnsi="Calibri" w:cs="Calibri"/>
          <w:color w:val="0D0D0D" w:themeColor="text1" w:themeTint="F2"/>
          <w:kern w:val="0"/>
          <w14:ligatures w14:val="none"/>
        </w:rPr>
        <w:t xml:space="preserve">Holton, S. (1984) ‘Feminine authority and social order: Florence Nightingale's conception of nursing and health care’, </w:t>
      </w:r>
      <w:r w:rsidRPr="00B46E5A">
        <w:rPr>
          <w:rFonts w:ascii="Calibri" w:eastAsia="DengXian" w:hAnsi="Calibri" w:cs="Calibri"/>
          <w:i/>
          <w:iCs/>
          <w:color w:val="0D0D0D" w:themeColor="text1" w:themeTint="F2"/>
          <w:kern w:val="0"/>
          <w14:ligatures w14:val="none"/>
        </w:rPr>
        <w:t>Journal of Social Analysis</w:t>
      </w:r>
      <w:r w:rsidRPr="00B46E5A">
        <w:rPr>
          <w:rFonts w:ascii="Calibri" w:eastAsia="DengXian" w:hAnsi="Calibri" w:cs="Calibri"/>
          <w:color w:val="0D0D0D" w:themeColor="text1" w:themeTint="F2"/>
          <w:kern w:val="0"/>
          <w14:ligatures w14:val="none"/>
        </w:rPr>
        <w:t>, 15(7) pp 59–72.</w:t>
      </w:r>
    </w:p>
    <w:p w14:paraId="77D8B9CD"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Ibrahim, R. H. and Hussein, D. (2016) ‘Assessment of visual, auditory, and </w:t>
      </w:r>
      <w:proofErr w:type="spellStart"/>
      <w:r w:rsidRPr="003A7D44">
        <w:rPr>
          <w:rFonts w:ascii="Calibri" w:hAnsi="Calibri" w:cs="Calibri"/>
          <w:color w:val="0D0D0D" w:themeColor="text1" w:themeTint="F2"/>
        </w:rPr>
        <w:t>kinesthetic</w:t>
      </w:r>
      <w:proofErr w:type="spellEnd"/>
      <w:r w:rsidRPr="003A7D44">
        <w:rPr>
          <w:rFonts w:ascii="Calibri" w:hAnsi="Calibri" w:cs="Calibri"/>
          <w:color w:val="0D0D0D" w:themeColor="text1" w:themeTint="F2"/>
        </w:rPr>
        <w:t xml:space="preserve"> learning style among undergraduate nursing students’, International Journal of Advanced Nursing Studies, 5(1) pp 1-4.</w:t>
      </w:r>
    </w:p>
    <w:p w14:paraId="505CF5EB"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Institute for Women’s Policy and Research (2013) </w:t>
      </w:r>
      <w:r w:rsidRPr="003A7D44">
        <w:rPr>
          <w:rFonts w:ascii="Calibri" w:hAnsi="Calibri" w:cs="Calibri"/>
          <w:i/>
          <w:iCs/>
          <w:color w:val="0D0D0D" w:themeColor="text1" w:themeTint="F2"/>
        </w:rPr>
        <w:t>Education Date Shows Gender Gap in Career Preparation</w:t>
      </w:r>
      <w:r w:rsidRPr="003A7D44">
        <w:rPr>
          <w:rFonts w:ascii="Calibri" w:hAnsi="Calibri" w:cs="Calibri"/>
          <w:color w:val="0D0D0D" w:themeColor="text1" w:themeTint="F2"/>
        </w:rPr>
        <w:t>. Washington DC: IWPR.</w:t>
      </w:r>
    </w:p>
    <w:p w14:paraId="1953095F"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Jeffreys, M. (2012) </w:t>
      </w:r>
      <w:r w:rsidRPr="003A7D44">
        <w:rPr>
          <w:rFonts w:ascii="Calibri" w:hAnsi="Calibri" w:cs="Calibri"/>
          <w:i/>
          <w:iCs/>
          <w:color w:val="0D0D0D" w:themeColor="text1" w:themeTint="F2"/>
        </w:rPr>
        <w:t>Nursing Student Retention: Understanding the Process and Making a Difference</w:t>
      </w:r>
      <w:r w:rsidRPr="003A7D44">
        <w:rPr>
          <w:rFonts w:ascii="Calibri" w:hAnsi="Calibri" w:cs="Calibri"/>
          <w:color w:val="0D0D0D" w:themeColor="text1" w:themeTint="F2"/>
        </w:rPr>
        <w:t>. New York: Springer.</w:t>
      </w:r>
    </w:p>
    <w:p w14:paraId="219B428D"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Jesuit, D., Carter-Richey, M., Ridge, A. and Ritt, E. (2020) ‘Advancing the Synergy of Benedictine Values and Caring in Online Graduate Nursing Education’, </w:t>
      </w:r>
      <w:r w:rsidRPr="003A7D44">
        <w:rPr>
          <w:rFonts w:ascii="Calibri" w:hAnsi="Calibri" w:cs="Calibri"/>
          <w:i/>
          <w:iCs/>
          <w:color w:val="0D0D0D" w:themeColor="text1" w:themeTint="F2"/>
        </w:rPr>
        <w:t>International Journal for Human Caring</w:t>
      </w:r>
      <w:r w:rsidRPr="003A7D44">
        <w:rPr>
          <w:rFonts w:ascii="Calibri" w:hAnsi="Calibri" w:cs="Calibri"/>
          <w:color w:val="0D0D0D" w:themeColor="text1" w:themeTint="F2"/>
        </w:rPr>
        <w:t>, 22(2).</w:t>
      </w:r>
    </w:p>
    <w:p w14:paraId="5C54E82C"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Kangethe, N., Lyria, K. and </w:t>
      </w:r>
      <w:proofErr w:type="spellStart"/>
      <w:r w:rsidRPr="003A7D44">
        <w:rPr>
          <w:rFonts w:ascii="Calibri" w:hAnsi="Calibri" w:cs="Calibri"/>
          <w:color w:val="0D0D0D" w:themeColor="text1" w:themeTint="F2"/>
        </w:rPr>
        <w:t>Nyamanga</w:t>
      </w:r>
      <w:proofErr w:type="spellEnd"/>
      <w:r w:rsidRPr="003A7D44">
        <w:rPr>
          <w:rFonts w:ascii="Calibri" w:hAnsi="Calibri" w:cs="Calibri"/>
          <w:color w:val="0D0D0D" w:themeColor="text1" w:themeTint="F2"/>
        </w:rPr>
        <w:t xml:space="preserve">, A. (2014) ‘The Gender Socialisation Question in Education: Influence on boy’s and girl’s academic achievement’, </w:t>
      </w:r>
      <w:r w:rsidRPr="003A7D44">
        <w:rPr>
          <w:rFonts w:ascii="Calibri" w:hAnsi="Calibri" w:cs="Calibri"/>
          <w:i/>
          <w:iCs/>
          <w:color w:val="0D0D0D" w:themeColor="text1" w:themeTint="F2"/>
        </w:rPr>
        <w:t>European Scientific Journal</w:t>
      </w:r>
      <w:r w:rsidRPr="003A7D44">
        <w:rPr>
          <w:rFonts w:ascii="Calibri" w:hAnsi="Calibri" w:cs="Calibri"/>
          <w:color w:val="0D0D0D" w:themeColor="text1" w:themeTint="F2"/>
        </w:rPr>
        <w:t>, 10(9) pp 279-294.</w:t>
      </w:r>
    </w:p>
    <w:p w14:paraId="405BCEBB"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Keogh, B. and </w:t>
      </w:r>
      <w:proofErr w:type="spellStart"/>
      <w:r w:rsidRPr="003A7D44">
        <w:rPr>
          <w:rFonts w:ascii="Calibri" w:hAnsi="Calibri" w:cs="Calibri"/>
          <w:color w:val="0D0D0D" w:themeColor="text1" w:themeTint="F2"/>
        </w:rPr>
        <w:t>O’Lynn</w:t>
      </w:r>
      <w:proofErr w:type="spellEnd"/>
      <w:r w:rsidRPr="003A7D44">
        <w:rPr>
          <w:rFonts w:ascii="Calibri" w:hAnsi="Calibri" w:cs="Calibri"/>
          <w:color w:val="0D0D0D" w:themeColor="text1" w:themeTint="F2"/>
        </w:rPr>
        <w:t xml:space="preserve">, C. (2007) ‘Male Nurses Experiences of Gender Barriers: Irish and American Perspectives’, </w:t>
      </w:r>
      <w:r w:rsidRPr="003A7D44">
        <w:rPr>
          <w:rFonts w:ascii="Calibri" w:hAnsi="Calibri" w:cs="Calibri"/>
          <w:i/>
          <w:iCs/>
          <w:color w:val="0D0D0D" w:themeColor="text1" w:themeTint="F2"/>
        </w:rPr>
        <w:t>Journal of Nursing Education</w:t>
      </w:r>
      <w:r w:rsidRPr="003A7D44">
        <w:rPr>
          <w:rFonts w:ascii="Calibri" w:hAnsi="Calibri" w:cs="Calibri"/>
          <w:color w:val="0D0D0D" w:themeColor="text1" w:themeTint="F2"/>
        </w:rPr>
        <w:t>, 32(6) pp 256-259.</w:t>
      </w:r>
    </w:p>
    <w:p w14:paraId="1D16A13F"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Kim, S. O., and Moon, S. H. (2021) ‘Factors Influencing Turnover Intention among Male Nurses in Korea’, </w:t>
      </w:r>
      <w:r w:rsidRPr="003A7D44">
        <w:rPr>
          <w:rFonts w:ascii="Calibri" w:hAnsi="Calibri" w:cs="Calibri"/>
          <w:i/>
          <w:iCs/>
          <w:color w:val="0D0D0D" w:themeColor="text1" w:themeTint="F2"/>
        </w:rPr>
        <w:t>International journal of environmental research and public health</w:t>
      </w:r>
      <w:r w:rsidRPr="003A7D44">
        <w:rPr>
          <w:rFonts w:ascii="Calibri" w:hAnsi="Calibri" w:cs="Calibri"/>
          <w:color w:val="0D0D0D" w:themeColor="text1" w:themeTint="F2"/>
        </w:rPr>
        <w:t>, </w:t>
      </w:r>
      <w:r w:rsidRPr="003A7D44">
        <w:rPr>
          <w:rFonts w:ascii="Calibri" w:hAnsi="Calibri" w:cs="Calibri"/>
          <w:i/>
          <w:iCs/>
          <w:color w:val="0D0D0D" w:themeColor="text1" w:themeTint="F2"/>
        </w:rPr>
        <w:t>18</w:t>
      </w:r>
      <w:r w:rsidRPr="003A7D44">
        <w:rPr>
          <w:rFonts w:ascii="Calibri" w:hAnsi="Calibri" w:cs="Calibri"/>
          <w:color w:val="0D0D0D" w:themeColor="text1" w:themeTint="F2"/>
        </w:rPr>
        <w:t>(18) pp 986-992.</w:t>
      </w:r>
    </w:p>
    <w:p w14:paraId="0834A20A"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lastRenderedPageBreak/>
        <w:t xml:space="preserve">Koch, J., Ramjan, L. M., Everett, B., Maceri, A., Bell, K. </w:t>
      </w:r>
      <w:proofErr w:type="gramStart"/>
      <w:r w:rsidRPr="003A7D44">
        <w:rPr>
          <w:rFonts w:ascii="Calibri" w:hAnsi="Calibri" w:cs="Calibri"/>
          <w:color w:val="0D0D0D" w:themeColor="text1" w:themeTint="F2"/>
        </w:rPr>
        <w:t xml:space="preserve">and  </w:t>
      </w:r>
      <w:proofErr w:type="spellStart"/>
      <w:r w:rsidRPr="003A7D44">
        <w:rPr>
          <w:rFonts w:ascii="Calibri" w:hAnsi="Calibri" w:cs="Calibri"/>
          <w:color w:val="0D0D0D" w:themeColor="text1" w:themeTint="F2"/>
        </w:rPr>
        <w:t>Salamonson</w:t>
      </w:r>
      <w:proofErr w:type="spellEnd"/>
      <w:proofErr w:type="gramEnd"/>
      <w:r w:rsidRPr="003A7D44">
        <w:rPr>
          <w:rFonts w:ascii="Calibri" w:hAnsi="Calibri" w:cs="Calibri"/>
          <w:color w:val="0D0D0D" w:themeColor="text1" w:themeTint="F2"/>
        </w:rPr>
        <w:t xml:space="preserve">, Y. (2020) ‘Sage on the stage or guide on the side -Undergraduate nursing students’ experiences and expectations of bioscience tutors in a blended learning curriculum: A qualitative study’, </w:t>
      </w:r>
      <w:r w:rsidRPr="003A7D44">
        <w:rPr>
          <w:rFonts w:ascii="Calibri" w:hAnsi="Calibri" w:cs="Calibri"/>
          <w:i/>
          <w:iCs/>
          <w:color w:val="0D0D0D" w:themeColor="text1" w:themeTint="F2"/>
        </w:rPr>
        <w:t>Journal of Clinical Nursing,</w:t>
      </w:r>
      <w:r w:rsidRPr="003A7D44">
        <w:rPr>
          <w:rFonts w:ascii="Calibri" w:hAnsi="Calibri" w:cs="Calibri"/>
          <w:color w:val="0D0D0D" w:themeColor="text1" w:themeTint="F2"/>
        </w:rPr>
        <w:t xml:space="preserve"> 29(6) pp 863-71.</w:t>
      </w:r>
    </w:p>
    <w:p w14:paraId="66391D4B"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Kolb, A. Y. and Kolb, D. A. (2005) ‘Learning styles and learning spaces: Enhancing the experimental learning in higher education’, </w:t>
      </w:r>
      <w:r w:rsidRPr="003A7D44">
        <w:rPr>
          <w:rFonts w:ascii="Calibri" w:hAnsi="Calibri" w:cs="Calibri"/>
          <w:i/>
          <w:iCs/>
          <w:color w:val="0D0D0D" w:themeColor="text1" w:themeTint="F2"/>
        </w:rPr>
        <w:t>Academy of Management, Learning and Education</w:t>
      </w:r>
      <w:r w:rsidRPr="003A7D44">
        <w:rPr>
          <w:rFonts w:ascii="Calibri" w:hAnsi="Calibri" w:cs="Calibri"/>
          <w:color w:val="0D0D0D" w:themeColor="text1" w:themeTint="F2"/>
        </w:rPr>
        <w:t>, 4(2) pp 193-212.</w:t>
      </w:r>
    </w:p>
    <w:p w14:paraId="3825A0E9" w14:textId="77777777" w:rsidR="007A3EFD" w:rsidRPr="003A7D44" w:rsidRDefault="007A3EFD" w:rsidP="007A3EFD">
      <w:pPr>
        <w:spacing w:line="276" w:lineRule="auto"/>
        <w:rPr>
          <w:rFonts w:ascii="Calibri" w:hAnsi="Calibri" w:cs="Calibri"/>
          <w:color w:val="0D0D0D" w:themeColor="text1" w:themeTint="F2"/>
        </w:rPr>
      </w:pPr>
      <w:proofErr w:type="spellStart"/>
      <w:r w:rsidRPr="003A7D44">
        <w:rPr>
          <w:rFonts w:ascii="Calibri" w:hAnsi="Calibri" w:cs="Calibri"/>
          <w:color w:val="0D0D0D" w:themeColor="text1" w:themeTint="F2"/>
        </w:rPr>
        <w:t>Kulturel</w:t>
      </w:r>
      <w:proofErr w:type="spellEnd"/>
      <w:r w:rsidRPr="003A7D44">
        <w:rPr>
          <w:rFonts w:ascii="Calibri" w:hAnsi="Calibri" w:cs="Calibri"/>
          <w:color w:val="0D0D0D" w:themeColor="text1" w:themeTint="F2"/>
        </w:rPr>
        <w:t xml:space="preserve">-Koviak, S., </w:t>
      </w:r>
      <w:proofErr w:type="spellStart"/>
      <w:r w:rsidRPr="003A7D44">
        <w:rPr>
          <w:rFonts w:ascii="Calibri" w:hAnsi="Calibri" w:cs="Calibri"/>
          <w:color w:val="0D0D0D" w:themeColor="text1" w:themeTint="F2"/>
        </w:rPr>
        <w:t>D’Allegro</w:t>
      </w:r>
      <w:proofErr w:type="spellEnd"/>
      <w:r w:rsidRPr="003A7D44">
        <w:rPr>
          <w:rFonts w:ascii="Calibri" w:hAnsi="Calibri" w:cs="Calibri"/>
          <w:color w:val="0D0D0D" w:themeColor="text1" w:themeTint="F2"/>
        </w:rPr>
        <w:t xml:space="preserve">, M. L. and Dickinson, S. (2011) ‘Review of Gender Differences in Learning Styles: Suggestions for STEM education’, </w:t>
      </w:r>
      <w:r w:rsidRPr="003A7D44">
        <w:rPr>
          <w:rFonts w:ascii="Calibri" w:hAnsi="Calibri" w:cs="Calibri"/>
          <w:i/>
          <w:iCs/>
          <w:color w:val="0D0D0D" w:themeColor="text1" w:themeTint="F2"/>
        </w:rPr>
        <w:t>Contemporary Issues in Education Research</w:t>
      </w:r>
      <w:r w:rsidRPr="003A7D44">
        <w:rPr>
          <w:rFonts w:ascii="Calibri" w:hAnsi="Calibri" w:cs="Calibri"/>
          <w:color w:val="0D0D0D" w:themeColor="text1" w:themeTint="F2"/>
        </w:rPr>
        <w:t>, 4(3) pp 9-18.</w:t>
      </w:r>
    </w:p>
    <w:p w14:paraId="169ADC3F" w14:textId="77777777" w:rsidR="007A3EFD" w:rsidRPr="003A7D44" w:rsidRDefault="007A3EFD" w:rsidP="007A3EFD">
      <w:pPr>
        <w:spacing w:line="276" w:lineRule="auto"/>
        <w:rPr>
          <w:rFonts w:ascii="Calibri" w:hAnsi="Calibri" w:cs="Calibri"/>
          <w:color w:val="0D0D0D" w:themeColor="text1" w:themeTint="F2"/>
        </w:rPr>
      </w:pPr>
      <w:proofErr w:type="spellStart"/>
      <w:r w:rsidRPr="003A7D44">
        <w:rPr>
          <w:rFonts w:ascii="Calibri" w:hAnsi="Calibri" w:cs="Calibri"/>
          <w:color w:val="0D0D0D" w:themeColor="text1" w:themeTint="F2"/>
        </w:rPr>
        <w:t>Lachenmayer</w:t>
      </w:r>
      <w:proofErr w:type="spellEnd"/>
      <w:r w:rsidRPr="003A7D44">
        <w:rPr>
          <w:rFonts w:ascii="Calibri" w:hAnsi="Calibri" w:cs="Calibri"/>
          <w:color w:val="0D0D0D" w:themeColor="text1" w:themeTint="F2"/>
        </w:rPr>
        <w:t xml:space="preserve">, D. (1997) </w:t>
      </w:r>
      <w:r w:rsidRPr="003A7D44">
        <w:rPr>
          <w:rFonts w:ascii="Calibri" w:hAnsi="Calibri" w:cs="Calibri"/>
          <w:i/>
          <w:iCs/>
          <w:color w:val="0D0D0D" w:themeColor="text1" w:themeTint="F2"/>
        </w:rPr>
        <w:t>Learning Styles: A handbook for teachers to identify and teach to all learning styles</w:t>
      </w:r>
      <w:r w:rsidRPr="003A7D44">
        <w:rPr>
          <w:rFonts w:ascii="Calibri" w:hAnsi="Calibri" w:cs="Calibri"/>
          <w:color w:val="0D0D0D" w:themeColor="text1" w:themeTint="F2"/>
        </w:rPr>
        <w:t>. London: Merriam Webster.</w:t>
      </w:r>
    </w:p>
    <w:p w14:paraId="4E0008F2"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Lamin, A., Qaisar, R., </w:t>
      </w:r>
      <w:proofErr w:type="spellStart"/>
      <w:r w:rsidRPr="003A7D44">
        <w:rPr>
          <w:rFonts w:ascii="Calibri" w:hAnsi="Calibri" w:cs="Calibri"/>
          <w:color w:val="0D0D0D" w:themeColor="text1" w:themeTint="F2"/>
        </w:rPr>
        <w:t>Khoaja</w:t>
      </w:r>
      <w:proofErr w:type="spellEnd"/>
      <w:r w:rsidRPr="003A7D44">
        <w:rPr>
          <w:rFonts w:ascii="Calibri" w:hAnsi="Calibri" w:cs="Calibri"/>
          <w:color w:val="0D0D0D" w:themeColor="text1" w:themeTint="F2"/>
        </w:rPr>
        <w:t xml:space="preserve">, D., Abidi, O., </w:t>
      </w:r>
      <w:proofErr w:type="spellStart"/>
      <w:r w:rsidRPr="003A7D44">
        <w:rPr>
          <w:rFonts w:ascii="Calibri" w:hAnsi="Calibri" w:cs="Calibri"/>
          <w:color w:val="0D0D0D" w:themeColor="text1" w:themeTint="F2"/>
        </w:rPr>
        <w:t>Bouzoubaa</w:t>
      </w:r>
      <w:proofErr w:type="spellEnd"/>
      <w:r w:rsidRPr="003A7D44">
        <w:rPr>
          <w:rFonts w:ascii="Calibri" w:hAnsi="Calibri" w:cs="Calibri"/>
          <w:color w:val="0D0D0D" w:themeColor="text1" w:themeTint="F2"/>
        </w:rPr>
        <w:t xml:space="preserve">, H. and Khyati, A. (2020) ‘Descriptive Study of Nursing Students' Learning Styles. Case Study of the Professional Bachelor's Degree Cycle in Nursing of the Higher Institute of Nursing Professions and Health Techniques of Casablanca, Morocco’, </w:t>
      </w:r>
      <w:r w:rsidRPr="003A7D44">
        <w:rPr>
          <w:rFonts w:ascii="Calibri" w:hAnsi="Calibri" w:cs="Calibri"/>
          <w:i/>
          <w:iCs/>
          <w:color w:val="0D0D0D" w:themeColor="text1" w:themeTint="F2"/>
        </w:rPr>
        <w:t>The Open Nursing Journal</w:t>
      </w:r>
      <w:r w:rsidRPr="003A7D44">
        <w:rPr>
          <w:rFonts w:ascii="Calibri" w:hAnsi="Calibri" w:cs="Calibri"/>
          <w:color w:val="0D0D0D" w:themeColor="text1" w:themeTint="F2"/>
        </w:rPr>
        <w:t>, 14(3) pp 309-316.</w:t>
      </w:r>
    </w:p>
    <w:p w14:paraId="7263FE42" w14:textId="77777777" w:rsidR="007A3EFD" w:rsidRPr="003A7D44" w:rsidRDefault="007A3EFD" w:rsidP="007A3EFD">
      <w:pPr>
        <w:spacing w:line="276" w:lineRule="auto"/>
        <w:rPr>
          <w:rFonts w:ascii="Calibri" w:hAnsi="Calibri" w:cs="Calibri"/>
          <w:color w:val="0D0D0D" w:themeColor="text1" w:themeTint="F2"/>
        </w:rPr>
      </w:pPr>
      <w:proofErr w:type="spellStart"/>
      <w:r w:rsidRPr="003A7D44">
        <w:rPr>
          <w:rFonts w:ascii="Calibri" w:hAnsi="Calibri" w:cs="Calibri"/>
          <w:color w:val="0D0D0D" w:themeColor="text1" w:themeTint="F2"/>
        </w:rPr>
        <w:t>Lerardi</w:t>
      </w:r>
      <w:proofErr w:type="spellEnd"/>
      <w:r w:rsidRPr="003A7D44">
        <w:rPr>
          <w:rFonts w:ascii="Calibri" w:hAnsi="Calibri" w:cs="Calibri"/>
          <w:color w:val="0D0D0D" w:themeColor="text1" w:themeTint="F2"/>
        </w:rPr>
        <w:t xml:space="preserve">, J., Fitzgerald, D., Hughes, T. and Holland, D. (2010) ‘Exploring male students' educational experiences in an associate degree nursing program’, </w:t>
      </w:r>
      <w:r w:rsidRPr="003A7D44">
        <w:rPr>
          <w:rFonts w:ascii="Calibri" w:hAnsi="Calibri" w:cs="Calibri"/>
          <w:i/>
          <w:iCs/>
          <w:color w:val="0D0D0D" w:themeColor="text1" w:themeTint="F2"/>
        </w:rPr>
        <w:t>Journal of Nursing Education</w:t>
      </w:r>
      <w:r w:rsidRPr="003A7D44">
        <w:rPr>
          <w:rFonts w:ascii="Calibri" w:hAnsi="Calibri" w:cs="Calibri"/>
          <w:color w:val="0D0D0D" w:themeColor="text1" w:themeTint="F2"/>
        </w:rPr>
        <w:t>, 49(4), pp 215-218.</w:t>
      </w:r>
    </w:p>
    <w:p w14:paraId="011E1BB9"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Li, Y., Chen, P. and Tsai, S. (2008) ‘A comparison of the learning styles among different nursing programs in Taiwan: Implications for nursing education’, </w:t>
      </w:r>
      <w:r w:rsidRPr="003A7D44">
        <w:rPr>
          <w:rFonts w:ascii="Calibri" w:hAnsi="Calibri" w:cs="Calibri"/>
          <w:i/>
          <w:iCs/>
          <w:color w:val="0D0D0D" w:themeColor="text1" w:themeTint="F2"/>
        </w:rPr>
        <w:t>Nurse Education Today</w:t>
      </w:r>
      <w:r w:rsidRPr="003A7D44">
        <w:rPr>
          <w:rFonts w:ascii="Calibri" w:hAnsi="Calibri" w:cs="Calibri"/>
          <w:color w:val="0D0D0D" w:themeColor="text1" w:themeTint="F2"/>
        </w:rPr>
        <w:t>, 28(1) pp 70-76.</w:t>
      </w:r>
    </w:p>
    <w:p w14:paraId="7B1A317D"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Loughrey, M. (2008) ‘Just how male are male nurses?’, </w:t>
      </w:r>
      <w:r w:rsidRPr="003A7D44">
        <w:rPr>
          <w:rFonts w:ascii="Calibri" w:hAnsi="Calibri" w:cs="Calibri"/>
          <w:i/>
          <w:iCs/>
          <w:color w:val="0D0D0D" w:themeColor="text1" w:themeTint="F2"/>
        </w:rPr>
        <w:t>Journal of Clinical Nursing</w:t>
      </w:r>
      <w:r w:rsidRPr="003A7D44">
        <w:rPr>
          <w:rFonts w:ascii="Calibri" w:hAnsi="Calibri" w:cs="Calibri"/>
          <w:color w:val="0D0D0D" w:themeColor="text1" w:themeTint="F2"/>
        </w:rPr>
        <w:t>, 17(10), 1327-1334.</w:t>
      </w:r>
    </w:p>
    <w:p w14:paraId="36E98BD6"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Mangold, K., Kunze, K. L., Quinonez, M. M., Taylor, L. M. and Tenison, A. J. (2018) ’Learning Style Preferences of Practicing Nurses’, </w:t>
      </w:r>
      <w:r w:rsidRPr="003A7D44">
        <w:rPr>
          <w:rFonts w:ascii="Calibri" w:hAnsi="Calibri" w:cs="Calibri"/>
          <w:i/>
          <w:iCs/>
          <w:color w:val="0D0D0D" w:themeColor="text1" w:themeTint="F2"/>
        </w:rPr>
        <w:t>Journal for nurses in professional development</w:t>
      </w:r>
      <w:r w:rsidRPr="003A7D44">
        <w:rPr>
          <w:rFonts w:ascii="Calibri" w:hAnsi="Calibri" w:cs="Calibri"/>
          <w:color w:val="0D0D0D" w:themeColor="text1" w:themeTint="F2"/>
        </w:rPr>
        <w:t>, 34(4) pp 212–218.</w:t>
      </w:r>
    </w:p>
    <w:p w14:paraId="38A666B0"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Mao, A., Cheong, P. L., Van, I. K. and Tam, H. L. (2021) ‘"I am called girl, but that doesn't matter" -perspectives of male nurses regarding gender-related advantages and disadvantages in professional development’, </w:t>
      </w:r>
      <w:r w:rsidRPr="003A7D44">
        <w:rPr>
          <w:rFonts w:ascii="Calibri" w:hAnsi="Calibri" w:cs="Calibri"/>
          <w:i/>
          <w:iCs/>
          <w:color w:val="0D0D0D" w:themeColor="text1" w:themeTint="F2"/>
        </w:rPr>
        <w:t>BMC nursing</w:t>
      </w:r>
      <w:r w:rsidRPr="003A7D44">
        <w:rPr>
          <w:rFonts w:ascii="Calibri" w:hAnsi="Calibri" w:cs="Calibri"/>
          <w:color w:val="0D0D0D" w:themeColor="text1" w:themeTint="F2"/>
        </w:rPr>
        <w:t>, </w:t>
      </w:r>
      <w:r w:rsidRPr="003A7D44">
        <w:rPr>
          <w:rFonts w:ascii="Calibri" w:hAnsi="Calibri" w:cs="Calibri"/>
          <w:i/>
          <w:iCs/>
          <w:color w:val="0D0D0D" w:themeColor="text1" w:themeTint="F2"/>
        </w:rPr>
        <w:t>20</w:t>
      </w:r>
      <w:r w:rsidRPr="003A7D44">
        <w:rPr>
          <w:rFonts w:ascii="Calibri" w:hAnsi="Calibri" w:cs="Calibri"/>
          <w:color w:val="0D0D0D" w:themeColor="text1" w:themeTint="F2"/>
        </w:rPr>
        <w:t>(1) pp 24 -30.</w:t>
      </w:r>
    </w:p>
    <w:p w14:paraId="62BE2E86"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Masters, K. (2009) </w:t>
      </w:r>
      <w:r w:rsidRPr="003A7D44">
        <w:rPr>
          <w:rFonts w:ascii="Calibri" w:hAnsi="Calibri" w:cs="Calibri"/>
          <w:i/>
          <w:iCs/>
          <w:color w:val="0D0D0D" w:themeColor="text1" w:themeTint="F2"/>
        </w:rPr>
        <w:t>Role Development in Professional Nursing Practice</w:t>
      </w:r>
      <w:r w:rsidRPr="003A7D44">
        <w:rPr>
          <w:rFonts w:ascii="Calibri" w:hAnsi="Calibri" w:cs="Calibri"/>
          <w:color w:val="0D0D0D" w:themeColor="text1" w:themeTint="F2"/>
        </w:rPr>
        <w:t xml:space="preserve"> (2</w:t>
      </w:r>
      <w:r w:rsidRPr="003A7D44">
        <w:rPr>
          <w:rFonts w:ascii="Calibri" w:hAnsi="Calibri" w:cs="Calibri"/>
          <w:color w:val="0D0D0D" w:themeColor="text1" w:themeTint="F2"/>
          <w:vertAlign w:val="superscript"/>
        </w:rPr>
        <w:t>nd</w:t>
      </w:r>
      <w:r w:rsidRPr="003A7D44">
        <w:rPr>
          <w:rFonts w:ascii="Calibri" w:hAnsi="Calibri" w:cs="Calibri"/>
          <w:color w:val="0D0D0D" w:themeColor="text1" w:themeTint="F2"/>
        </w:rPr>
        <w:t xml:space="preserve"> </w:t>
      </w:r>
      <w:proofErr w:type="spellStart"/>
      <w:r w:rsidRPr="003A7D44">
        <w:rPr>
          <w:rFonts w:ascii="Calibri" w:hAnsi="Calibri" w:cs="Calibri"/>
          <w:color w:val="0D0D0D" w:themeColor="text1" w:themeTint="F2"/>
        </w:rPr>
        <w:t>edn</w:t>
      </w:r>
      <w:proofErr w:type="spellEnd"/>
      <w:r w:rsidRPr="003A7D44">
        <w:rPr>
          <w:rFonts w:ascii="Calibri" w:hAnsi="Calibri" w:cs="Calibri"/>
          <w:color w:val="0D0D0D" w:themeColor="text1" w:themeTint="F2"/>
        </w:rPr>
        <w:t>). London: Jones and Bartlett.</w:t>
      </w:r>
    </w:p>
    <w:p w14:paraId="350BBA8C"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McIntosh, C. (1997) ‘A historical study of men in nursing’, </w:t>
      </w:r>
      <w:r w:rsidRPr="003A7D44">
        <w:rPr>
          <w:rFonts w:ascii="Calibri" w:hAnsi="Calibri" w:cs="Calibri"/>
          <w:i/>
          <w:iCs/>
          <w:color w:val="0D0D0D" w:themeColor="text1" w:themeTint="F2"/>
        </w:rPr>
        <w:t>Journal of Advanced Nursing</w:t>
      </w:r>
      <w:r w:rsidRPr="003A7D44">
        <w:rPr>
          <w:rFonts w:ascii="Calibri" w:hAnsi="Calibri" w:cs="Calibri"/>
          <w:color w:val="0D0D0D" w:themeColor="text1" w:themeTint="F2"/>
        </w:rPr>
        <w:t>, 17(10) pp 1327–1334.</w:t>
      </w:r>
    </w:p>
    <w:p w14:paraId="1E006DF8"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lastRenderedPageBreak/>
        <w:t xml:space="preserve">McKenna, L., </w:t>
      </w:r>
      <w:proofErr w:type="spellStart"/>
      <w:r w:rsidRPr="003A7D44">
        <w:rPr>
          <w:rFonts w:ascii="Calibri" w:hAnsi="Calibri" w:cs="Calibri"/>
          <w:color w:val="0D0D0D" w:themeColor="text1" w:themeTint="F2"/>
        </w:rPr>
        <w:t>Copnell</w:t>
      </w:r>
      <w:proofErr w:type="spellEnd"/>
      <w:r w:rsidRPr="003A7D44">
        <w:rPr>
          <w:rFonts w:ascii="Calibri" w:hAnsi="Calibri" w:cs="Calibri"/>
          <w:color w:val="0D0D0D" w:themeColor="text1" w:themeTint="F2"/>
        </w:rPr>
        <w:t xml:space="preserve">, B., Butler, A. E. and Lau, R. (2018) ‘Learning style preferences of Australian accelerated postgraduate pre-registration nursing students: A cross-sectional survey’, </w:t>
      </w:r>
      <w:r w:rsidRPr="003A7D44">
        <w:rPr>
          <w:rFonts w:ascii="Calibri" w:hAnsi="Calibri" w:cs="Calibri"/>
          <w:i/>
          <w:iCs/>
          <w:color w:val="0D0D0D" w:themeColor="text1" w:themeTint="F2"/>
        </w:rPr>
        <w:t>Nurse Education Practice</w:t>
      </w:r>
      <w:r w:rsidRPr="003A7D44">
        <w:rPr>
          <w:rFonts w:ascii="Calibri" w:hAnsi="Calibri" w:cs="Calibri"/>
          <w:color w:val="0D0D0D" w:themeColor="text1" w:themeTint="F2"/>
        </w:rPr>
        <w:t>, 28(3) pp 280-284.</w:t>
      </w:r>
    </w:p>
    <w:p w14:paraId="11878628"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McLaughlin, K. and Muldoon, O. (2010) ‘Gender, gender roles and completion of nursing education: a longitudinal study’, </w:t>
      </w:r>
      <w:r w:rsidRPr="003A7D44">
        <w:rPr>
          <w:rFonts w:ascii="Calibri" w:hAnsi="Calibri" w:cs="Calibri"/>
          <w:i/>
          <w:iCs/>
          <w:color w:val="0D0D0D" w:themeColor="text1" w:themeTint="F2"/>
        </w:rPr>
        <w:t>Nurse Education Today,</w:t>
      </w:r>
      <w:r w:rsidRPr="003A7D44">
        <w:rPr>
          <w:rFonts w:ascii="Calibri" w:hAnsi="Calibri" w:cs="Calibri"/>
          <w:color w:val="0D0D0D" w:themeColor="text1" w:themeTint="F2"/>
        </w:rPr>
        <w:t xml:space="preserve"> 30(4), pp 303–307.</w:t>
      </w:r>
    </w:p>
    <w:p w14:paraId="173275D0" w14:textId="77777777" w:rsidR="007A3EFD" w:rsidRPr="003A7D44" w:rsidRDefault="003E45FE" w:rsidP="007A3EFD">
      <w:pPr>
        <w:spacing w:line="276" w:lineRule="auto"/>
        <w:rPr>
          <w:rFonts w:ascii="Calibri" w:hAnsi="Calibri" w:cs="Calibri"/>
          <w:color w:val="0D0D0D" w:themeColor="text1" w:themeTint="F2"/>
        </w:rPr>
      </w:pPr>
      <w:proofErr w:type="spellStart"/>
      <w:r w:rsidRPr="003E45FE">
        <w:rPr>
          <w:rFonts w:ascii="Calibri" w:hAnsi="Calibri" w:cs="Calibri"/>
          <w:color w:val="0D0D0D" w:themeColor="text1" w:themeTint="F2"/>
        </w:rPr>
        <w:t>Meadus</w:t>
      </w:r>
      <w:proofErr w:type="spellEnd"/>
      <w:r w:rsidRPr="003E45FE">
        <w:rPr>
          <w:rFonts w:ascii="Calibri" w:hAnsi="Calibri" w:cs="Calibri"/>
          <w:color w:val="0D0D0D" w:themeColor="text1" w:themeTint="F2"/>
        </w:rPr>
        <w:t xml:space="preserve">, R. and Twomey, J. (2011) ‘Men student nurses: the nursing education experience’ </w:t>
      </w:r>
      <w:r w:rsidRPr="003E45FE">
        <w:rPr>
          <w:rFonts w:ascii="Calibri" w:hAnsi="Calibri" w:cs="Calibri"/>
          <w:i/>
          <w:iCs/>
          <w:color w:val="0D0D0D" w:themeColor="text1" w:themeTint="F2"/>
        </w:rPr>
        <w:t>Nursing Forum</w:t>
      </w:r>
      <w:r w:rsidRPr="003E45FE">
        <w:rPr>
          <w:rFonts w:ascii="Calibri" w:hAnsi="Calibri" w:cs="Calibri"/>
          <w:color w:val="0D0D0D" w:themeColor="text1" w:themeTint="F2"/>
        </w:rPr>
        <w:t>, 46(4), pp 269-279.</w:t>
      </w:r>
    </w:p>
    <w:p w14:paraId="05DE78C5"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Mellish, J. M. (1984)</w:t>
      </w:r>
      <w:r w:rsidRPr="003A7D44">
        <w:rPr>
          <w:rFonts w:ascii="Calibri" w:hAnsi="Calibri" w:cs="Calibri"/>
          <w:i/>
          <w:iCs/>
          <w:color w:val="0D0D0D" w:themeColor="text1" w:themeTint="F2"/>
        </w:rPr>
        <w:t xml:space="preserve"> A Basic History of Nursing</w:t>
      </w:r>
      <w:r w:rsidRPr="003A7D44">
        <w:rPr>
          <w:rFonts w:ascii="Calibri" w:hAnsi="Calibri" w:cs="Calibri"/>
          <w:color w:val="0D0D0D" w:themeColor="text1" w:themeTint="F2"/>
        </w:rPr>
        <w:t>. Durban: Butterworth.</w:t>
      </w:r>
    </w:p>
    <w:p w14:paraId="42CBC6A1"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Naeem, M., </w:t>
      </w:r>
      <w:proofErr w:type="spellStart"/>
      <w:r w:rsidRPr="003A7D44">
        <w:rPr>
          <w:rFonts w:ascii="Calibri" w:hAnsi="Calibri" w:cs="Calibri"/>
          <w:color w:val="0D0D0D" w:themeColor="text1" w:themeTint="F2"/>
        </w:rPr>
        <w:t>Ozuem</w:t>
      </w:r>
      <w:proofErr w:type="spellEnd"/>
      <w:r w:rsidRPr="003A7D44">
        <w:rPr>
          <w:rFonts w:ascii="Calibri" w:hAnsi="Calibri" w:cs="Calibri"/>
          <w:color w:val="0D0D0D" w:themeColor="text1" w:themeTint="F2"/>
        </w:rPr>
        <w:t>, W., Howell, K., and Ranfagni, S. (2023) ‘A Step-by-Step Process of Thematic Analysis to Develop a Conceptual Model in Qualitative Research’, </w:t>
      </w:r>
      <w:r w:rsidRPr="003A7D44">
        <w:rPr>
          <w:rFonts w:ascii="Calibri" w:hAnsi="Calibri" w:cs="Calibri"/>
          <w:i/>
          <w:iCs/>
          <w:color w:val="0D0D0D" w:themeColor="text1" w:themeTint="F2"/>
        </w:rPr>
        <w:t>International Journal of Qualitative Methods</w:t>
      </w:r>
      <w:r w:rsidRPr="003A7D44">
        <w:rPr>
          <w:rFonts w:ascii="Calibri" w:hAnsi="Calibri" w:cs="Calibri"/>
          <w:color w:val="0D0D0D" w:themeColor="text1" w:themeTint="F2"/>
        </w:rPr>
        <w:t>, </w:t>
      </w:r>
      <w:r w:rsidRPr="003A7D44">
        <w:rPr>
          <w:rFonts w:ascii="Calibri" w:hAnsi="Calibri" w:cs="Calibri"/>
          <w:i/>
          <w:iCs/>
          <w:color w:val="0D0D0D" w:themeColor="text1" w:themeTint="F2"/>
        </w:rPr>
        <w:t>22</w:t>
      </w:r>
      <w:r w:rsidRPr="003A7D44">
        <w:rPr>
          <w:rFonts w:ascii="Calibri" w:hAnsi="Calibri" w:cs="Calibri"/>
          <w:color w:val="0D0D0D" w:themeColor="text1" w:themeTint="F2"/>
        </w:rPr>
        <w:t>. Available at https://doi.org/10.1177/16094069231205789.</w:t>
      </w:r>
    </w:p>
    <w:p w14:paraId="1E8FD6A6" w14:textId="77777777" w:rsidR="007A3EFD" w:rsidRPr="003A7D44" w:rsidRDefault="007A3EFD" w:rsidP="007A3EFD">
      <w:pPr>
        <w:spacing w:line="276" w:lineRule="auto"/>
        <w:rPr>
          <w:rFonts w:ascii="Calibri" w:hAnsi="Calibri" w:cs="Calibri"/>
          <w:color w:val="0D0D0D" w:themeColor="text1" w:themeTint="F2"/>
        </w:rPr>
      </w:pPr>
      <w:proofErr w:type="spellStart"/>
      <w:r w:rsidRPr="003A7D44">
        <w:rPr>
          <w:rFonts w:ascii="Calibri" w:hAnsi="Calibri" w:cs="Calibri"/>
          <w:color w:val="0D0D0D" w:themeColor="text1" w:themeTint="F2"/>
        </w:rPr>
        <w:t>Nancekivell</w:t>
      </w:r>
      <w:proofErr w:type="spellEnd"/>
      <w:r w:rsidRPr="003A7D44">
        <w:rPr>
          <w:rFonts w:ascii="Calibri" w:hAnsi="Calibri" w:cs="Calibri"/>
          <w:color w:val="0D0D0D" w:themeColor="text1" w:themeTint="F2"/>
        </w:rPr>
        <w:t xml:space="preserve">, S. G., Shah, P. and Gelman, S. A. (2020) ‘Maybe They’re Born </w:t>
      </w:r>
      <w:proofErr w:type="gramStart"/>
      <w:r w:rsidRPr="003A7D44">
        <w:rPr>
          <w:rFonts w:ascii="Calibri" w:hAnsi="Calibri" w:cs="Calibri"/>
          <w:color w:val="0D0D0D" w:themeColor="text1" w:themeTint="F2"/>
        </w:rPr>
        <w:t>With</w:t>
      </w:r>
      <w:proofErr w:type="gramEnd"/>
      <w:r w:rsidRPr="003A7D44">
        <w:rPr>
          <w:rFonts w:ascii="Calibri" w:hAnsi="Calibri" w:cs="Calibri"/>
          <w:color w:val="0D0D0D" w:themeColor="text1" w:themeTint="F2"/>
        </w:rPr>
        <w:t xml:space="preserve"> It, or Maybe It’s Experience: Toward a Deeper Understanding of the Learning Style Myth’</w:t>
      </w:r>
      <w:r w:rsidRPr="003A7D44">
        <w:rPr>
          <w:rFonts w:ascii="Calibri" w:hAnsi="Calibri" w:cs="Calibri"/>
          <w:i/>
          <w:iCs/>
          <w:color w:val="0D0D0D" w:themeColor="text1" w:themeTint="F2"/>
        </w:rPr>
        <w:t>, Journal of Educational Psychology’</w:t>
      </w:r>
      <w:r w:rsidRPr="003A7D44">
        <w:rPr>
          <w:rFonts w:ascii="Calibri" w:hAnsi="Calibri" w:cs="Calibri"/>
          <w:color w:val="0D0D0D" w:themeColor="text1" w:themeTint="F2"/>
        </w:rPr>
        <w:t>, 112(2) pp 221-235.</w:t>
      </w:r>
    </w:p>
    <w:p w14:paraId="0F2A4EB6"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Nursing and Midwifery Council (2023) </w:t>
      </w:r>
      <w:r w:rsidRPr="003A7D44">
        <w:rPr>
          <w:rFonts w:ascii="Calibri" w:hAnsi="Calibri" w:cs="Calibri"/>
          <w:i/>
          <w:iCs/>
          <w:color w:val="0D0D0D" w:themeColor="text1" w:themeTint="F2"/>
        </w:rPr>
        <w:t>Our Latest Information about Nursing and Midwifery in the UK.</w:t>
      </w:r>
      <w:r w:rsidRPr="003A7D44">
        <w:rPr>
          <w:rFonts w:ascii="Calibri" w:hAnsi="Calibri" w:cs="Calibri"/>
          <w:color w:val="0D0D0D" w:themeColor="text1" w:themeTint="F2"/>
        </w:rPr>
        <w:t xml:space="preserve"> Available </w:t>
      </w:r>
      <w:proofErr w:type="gramStart"/>
      <w:r w:rsidRPr="003A7D44">
        <w:rPr>
          <w:rFonts w:ascii="Calibri" w:hAnsi="Calibri" w:cs="Calibri"/>
          <w:color w:val="0D0D0D" w:themeColor="text1" w:themeTint="F2"/>
        </w:rPr>
        <w:t>at:.nmc.org.uk/globalassets/sitedocuments/data-reports/march-2023/nmc-register-data-march-2023-easy-read.pdf</w:t>
      </w:r>
      <w:proofErr w:type="gramEnd"/>
      <w:r w:rsidRPr="003A7D44">
        <w:rPr>
          <w:rFonts w:ascii="Calibri" w:hAnsi="Calibri" w:cs="Calibri"/>
          <w:color w:val="0D0D0D" w:themeColor="text1" w:themeTint="F2"/>
        </w:rPr>
        <w:t xml:space="preserve"> (Accessed on: 19th March 2025).</w:t>
      </w:r>
    </w:p>
    <w:p w14:paraId="651A5CA1"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Nursing and Midwifery Council (2024) </w:t>
      </w:r>
      <w:r w:rsidRPr="003A7D44">
        <w:rPr>
          <w:rFonts w:ascii="Calibri" w:hAnsi="Calibri" w:cs="Calibri"/>
          <w:i/>
          <w:iCs/>
          <w:color w:val="0D0D0D" w:themeColor="text1" w:themeTint="F2"/>
        </w:rPr>
        <w:t>The NMC Register: 1 Aprill 2023 – 31 March 2024.</w:t>
      </w:r>
      <w:r w:rsidRPr="003A7D44">
        <w:rPr>
          <w:rFonts w:ascii="Calibri" w:hAnsi="Calibri" w:cs="Calibri"/>
          <w:color w:val="0D0D0D" w:themeColor="text1" w:themeTint="F2"/>
        </w:rPr>
        <w:t xml:space="preserve">  London: NMC.</w:t>
      </w:r>
    </w:p>
    <w:p w14:paraId="3F607563"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Nutting, M. A. and Dock, L. L. (1935) </w:t>
      </w:r>
      <w:r w:rsidRPr="003A7D44">
        <w:rPr>
          <w:rFonts w:ascii="Calibri" w:hAnsi="Calibri" w:cs="Calibri"/>
          <w:i/>
          <w:iCs/>
          <w:color w:val="0D0D0D" w:themeColor="text1" w:themeTint="F2"/>
        </w:rPr>
        <w:t>A History of Nursing</w:t>
      </w:r>
      <w:r w:rsidRPr="003A7D44">
        <w:rPr>
          <w:rFonts w:ascii="Calibri" w:hAnsi="Calibri" w:cs="Calibri"/>
          <w:color w:val="0D0D0D" w:themeColor="text1" w:themeTint="F2"/>
        </w:rPr>
        <w:t>. New York: G.P. Putnam and Sons.</w:t>
      </w:r>
    </w:p>
    <w:p w14:paraId="72843C31" w14:textId="77777777" w:rsidR="007A3EFD" w:rsidRPr="003A7D44" w:rsidRDefault="007A3EFD" w:rsidP="007A3EFD">
      <w:pPr>
        <w:spacing w:line="276" w:lineRule="auto"/>
        <w:rPr>
          <w:rFonts w:ascii="Calibri" w:hAnsi="Calibri" w:cs="Calibri"/>
          <w:color w:val="0D0D0D" w:themeColor="text1" w:themeTint="F2"/>
        </w:rPr>
      </w:pPr>
      <w:proofErr w:type="spellStart"/>
      <w:r w:rsidRPr="003A7D44">
        <w:rPr>
          <w:rFonts w:ascii="Calibri" w:hAnsi="Calibri" w:cs="Calibri"/>
          <w:color w:val="0D0D0D" w:themeColor="text1" w:themeTint="F2"/>
        </w:rPr>
        <w:t>O’Lynn</w:t>
      </w:r>
      <w:proofErr w:type="spellEnd"/>
      <w:r w:rsidRPr="003A7D44">
        <w:rPr>
          <w:rFonts w:ascii="Calibri" w:hAnsi="Calibri" w:cs="Calibri"/>
          <w:color w:val="0D0D0D" w:themeColor="text1" w:themeTint="F2"/>
        </w:rPr>
        <w:t>, C. E. and Tranbarger, R. E. (2007)</w:t>
      </w:r>
      <w:r w:rsidRPr="003A7D44">
        <w:rPr>
          <w:rFonts w:ascii="Calibri" w:hAnsi="Calibri" w:cs="Calibri"/>
          <w:i/>
          <w:iCs/>
          <w:color w:val="0D0D0D" w:themeColor="text1" w:themeTint="F2"/>
        </w:rPr>
        <w:t xml:space="preserve"> Men </w:t>
      </w:r>
      <w:proofErr w:type="gramStart"/>
      <w:r w:rsidRPr="003A7D44">
        <w:rPr>
          <w:rFonts w:ascii="Calibri" w:hAnsi="Calibri" w:cs="Calibri"/>
          <w:i/>
          <w:iCs/>
          <w:color w:val="0D0D0D" w:themeColor="text1" w:themeTint="F2"/>
        </w:rPr>
        <w:t>In</w:t>
      </w:r>
      <w:proofErr w:type="gramEnd"/>
      <w:r w:rsidRPr="003A7D44">
        <w:rPr>
          <w:rFonts w:ascii="Calibri" w:hAnsi="Calibri" w:cs="Calibri"/>
          <w:i/>
          <w:iCs/>
          <w:color w:val="0D0D0D" w:themeColor="text1" w:themeTint="F2"/>
        </w:rPr>
        <w:t xml:space="preserve"> Nursing: History, challenges and Opportunities.</w:t>
      </w:r>
      <w:r w:rsidRPr="003A7D44">
        <w:rPr>
          <w:rFonts w:ascii="Calibri" w:hAnsi="Calibri" w:cs="Calibri"/>
          <w:color w:val="0D0D0D" w:themeColor="text1" w:themeTint="F2"/>
        </w:rPr>
        <w:t xml:space="preserve"> New York: Springer Publishing Company.</w:t>
      </w:r>
    </w:p>
    <w:p w14:paraId="56060CD9"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Philbin, M., Meier, E., Hufman, S. and </w:t>
      </w:r>
      <w:proofErr w:type="spellStart"/>
      <w:r w:rsidRPr="003A7D44">
        <w:rPr>
          <w:rFonts w:ascii="Calibri" w:hAnsi="Calibri" w:cs="Calibri"/>
          <w:color w:val="0D0D0D" w:themeColor="text1" w:themeTint="F2"/>
        </w:rPr>
        <w:t>Boverie</w:t>
      </w:r>
      <w:proofErr w:type="spellEnd"/>
      <w:r w:rsidRPr="003A7D44">
        <w:rPr>
          <w:rFonts w:ascii="Calibri" w:hAnsi="Calibri" w:cs="Calibri"/>
          <w:color w:val="0D0D0D" w:themeColor="text1" w:themeTint="F2"/>
        </w:rPr>
        <w:t xml:space="preserve">, P. (1995) ‘A survey of gender and learning styles’, </w:t>
      </w:r>
      <w:r w:rsidRPr="003A7D44">
        <w:rPr>
          <w:rFonts w:ascii="Calibri" w:hAnsi="Calibri" w:cs="Calibri"/>
          <w:i/>
          <w:iCs/>
          <w:color w:val="0D0D0D" w:themeColor="text1" w:themeTint="F2"/>
        </w:rPr>
        <w:t>Sex Roles</w:t>
      </w:r>
      <w:r w:rsidRPr="003A7D44">
        <w:rPr>
          <w:rFonts w:ascii="Calibri" w:hAnsi="Calibri" w:cs="Calibri"/>
          <w:color w:val="0D0D0D" w:themeColor="text1" w:themeTint="F2"/>
        </w:rPr>
        <w:t>, 32(7) pp 485-494.</w:t>
      </w:r>
    </w:p>
    <w:p w14:paraId="4127D426" w14:textId="77777777" w:rsidR="007A3EFD" w:rsidRPr="003A7D44" w:rsidRDefault="007A3EFD" w:rsidP="007A3EFD">
      <w:pPr>
        <w:spacing w:line="276" w:lineRule="auto"/>
        <w:rPr>
          <w:rFonts w:ascii="Calibri" w:eastAsia="DengXian" w:hAnsi="Calibri" w:cs="Calibri"/>
          <w:color w:val="0D0D0D" w:themeColor="text1" w:themeTint="F2"/>
          <w:kern w:val="0"/>
          <w14:ligatures w14:val="none"/>
        </w:rPr>
      </w:pPr>
      <w:r w:rsidRPr="00025635">
        <w:rPr>
          <w:rFonts w:ascii="Calibri" w:eastAsia="DengXian" w:hAnsi="Calibri" w:cs="Calibri"/>
          <w:color w:val="0D0D0D" w:themeColor="text1" w:themeTint="F2"/>
          <w:kern w:val="0"/>
          <w14:ligatures w14:val="none"/>
        </w:rPr>
        <w:t>Prosen, M. (2022) ‘Nursing students’ perception of gender-defined roles in nursing: a qualitative descriptive study’, </w:t>
      </w:r>
      <w:r w:rsidRPr="00025635">
        <w:rPr>
          <w:rFonts w:ascii="Calibri" w:eastAsia="DengXian" w:hAnsi="Calibri" w:cs="Calibri"/>
          <w:i/>
          <w:iCs/>
          <w:color w:val="0D0D0D" w:themeColor="text1" w:themeTint="F2"/>
          <w:kern w:val="0"/>
          <w14:ligatures w14:val="none"/>
        </w:rPr>
        <w:t>BMC Nursing,</w:t>
      </w:r>
      <w:r w:rsidRPr="00025635">
        <w:rPr>
          <w:rFonts w:ascii="Calibri" w:eastAsia="DengXian" w:hAnsi="Calibri" w:cs="Calibri"/>
          <w:color w:val="0D0D0D" w:themeColor="text1" w:themeTint="F2"/>
          <w:kern w:val="0"/>
          <w14:ligatures w14:val="none"/>
        </w:rPr>
        <w:t> 21(104) pp 143-151.</w:t>
      </w:r>
    </w:p>
    <w:p w14:paraId="30027E30" w14:textId="77777777" w:rsidR="007A3EFD" w:rsidRPr="003A7D44" w:rsidRDefault="007A3EFD" w:rsidP="007A3EFD">
      <w:pPr>
        <w:spacing w:line="276" w:lineRule="auto"/>
        <w:rPr>
          <w:rFonts w:ascii="Calibri" w:eastAsia="DengXian" w:hAnsi="Calibri" w:cs="Calibri"/>
          <w:color w:val="0D0D0D" w:themeColor="text1" w:themeTint="F2"/>
          <w:kern w:val="0"/>
          <w14:ligatures w14:val="none"/>
        </w:rPr>
      </w:pPr>
      <w:proofErr w:type="spellStart"/>
      <w:r w:rsidRPr="003A7D44">
        <w:rPr>
          <w:rFonts w:ascii="Calibri" w:eastAsia="DengXian" w:hAnsi="Calibri" w:cs="Calibri"/>
          <w:color w:val="0D0D0D" w:themeColor="text1" w:themeTint="F2"/>
          <w:kern w:val="0"/>
          <w14:ligatures w14:val="none"/>
        </w:rPr>
        <w:t>Rajacich</w:t>
      </w:r>
      <w:proofErr w:type="spellEnd"/>
      <w:r w:rsidRPr="003A7D44">
        <w:rPr>
          <w:rFonts w:ascii="Calibri" w:eastAsia="DengXian" w:hAnsi="Calibri" w:cs="Calibri"/>
          <w:color w:val="0D0D0D" w:themeColor="text1" w:themeTint="F2"/>
          <w:kern w:val="0"/>
          <w14:ligatures w14:val="none"/>
        </w:rPr>
        <w:t xml:space="preserve">, D., Kane, D., Williston, C., and Cameron, S. (2013) ‘If they call you a nurse, it is always “male nurse”: Experiences of men in the nursing profession’, </w:t>
      </w:r>
      <w:r w:rsidRPr="003A7D44">
        <w:rPr>
          <w:rFonts w:ascii="Calibri" w:eastAsia="DengXian" w:hAnsi="Calibri" w:cs="Calibri"/>
          <w:i/>
          <w:iCs/>
          <w:color w:val="0D0D0D" w:themeColor="text1" w:themeTint="F2"/>
          <w:kern w:val="0"/>
          <w14:ligatures w14:val="none"/>
        </w:rPr>
        <w:t>Nursing Forum</w:t>
      </w:r>
      <w:r w:rsidRPr="003A7D44">
        <w:rPr>
          <w:rFonts w:ascii="Calibri" w:eastAsia="DengXian" w:hAnsi="Calibri" w:cs="Calibri"/>
          <w:color w:val="0D0D0D" w:themeColor="text1" w:themeTint="F2"/>
          <w:kern w:val="0"/>
          <w14:ligatures w14:val="none"/>
        </w:rPr>
        <w:t>, 48(1), 71-80.</w:t>
      </w:r>
    </w:p>
    <w:p w14:paraId="6AAFBCBE"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Roberts, K., Dowell, A. and Nie, J. B. (2019) ‘Attempting rigour and replicability in thematic analysis of qualitative research data; a case study of codebook development’, </w:t>
      </w:r>
      <w:r w:rsidRPr="003A7D44">
        <w:rPr>
          <w:rFonts w:ascii="Calibri" w:hAnsi="Calibri" w:cs="Calibri"/>
          <w:i/>
          <w:iCs/>
          <w:color w:val="0D0D0D" w:themeColor="text1" w:themeTint="F2"/>
        </w:rPr>
        <w:t>BMC Medical Research Methodology,</w:t>
      </w:r>
      <w:r w:rsidRPr="003A7D44">
        <w:rPr>
          <w:rFonts w:ascii="Calibri" w:hAnsi="Calibri" w:cs="Calibri"/>
          <w:color w:val="0D0D0D" w:themeColor="text1" w:themeTint="F2"/>
        </w:rPr>
        <w:t> 19, 66. Available at https://doi.org/10.1186/s12874-019-0707-y</w:t>
      </w:r>
    </w:p>
    <w:p w14:paraId="72E8C5E6" w14:textId="77777777" w:rsidR="007A3EFD" w:rsidRPr="003A7D44" w:rsidRDefault="007A3EFD" w:rsidP="007A3EFD">
      <w:pPr>
        <w:spacing w:line="276" w:lineRule="auto"/>
        <w:rPr>
          <w:rFonts w:ascii="Calibri" w:eastAsia="DengXian" w:hAnsi="Calibri" w:cs="Calibri"/>
          <w:color w:val="0D0D0D" w:themeColor="text1" w:themeTint="F2"/>
          <w:kern w:val="0"/>
          <w14:ligatures w14:val="none"/>
        </w:rPr>
      </w:pPr>
      <w:r w:rsidRPr="00735FCF">
        <w:rPr>
          <w:rFonts w:ascii="Calibri" w:eastAsia="DengXian" w:hAnsi="Calibri" w:cs="Calibri"/>
          <w:color w:val="0D0D0D" w:themeColor="text1" w:themeTint="F2"/>
          <w:kern w:val="0"/>
          <w14:ligatures w14:val="none"/>
        </w:rPr>
        <w:lastRenderedPageBreak/>
        <w:t xml:space="preserve">Ross, D. (2017) ‘Challenges for men in a female dominated environment’, </w:t>
      </w:r>
      <w:r w:rsidRPr="00735FCF">
        <w:rPr>
          <w:rFonts w:ascii="Calibri" w:eastAsia="DengXian" w:hAnsi="Calibri" w:cs="Calibri"/>
          <w:i/>
          <w:iCs/>
          <w:color w:val="0D0D0D" w:themeColor="text1" w:themeTint="F2"/>
          <w:kern w:val="0"/>
          <w14:ligatures w14:val="none"/>
        </w:rPr>
        <w:t>Links to Health and Social Care</w:t>
      </w:r>
      <w:r w:rsidRPr="00735FCF">
        <w:rPr>
          <w:rFonts w:ascii="Calibri" w:eastAsia="DengXian" w:hAnsi="Calibri" w:cs="Calibri"/>
          <w:color w:val="0D0D0D" w:themeColor="text1" w:themeTint="F2"/>
          <w:kern w:val="0"/>
          <w14:ligatures w14:val="none"/>
        </w:rPr>
        <w:t>, 2(1) pp 4–20.</w:t>
      </w:r>
    </w:p>
    <w:p w14:paraId="66FCF294"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Royal College of Nursing (2020) </w:t>
      </w:r>
      <w:r w:rsidRPr="003A7D44">
        <w:rPr>
          <w:rFonts w:ascii="Calibri" w:hAnsi="Calibri" w:cs="Calibri"/>
          <w:i/>
          <w:iCs/>
          <w:color w:val="0D0D0D" w:themeColor="text1" w:themeTint="F2"/>
        </w:rPr>
        <w:t>Breaking Barriers</w:t>
      </w:r>
      <w:r w:rsidRPr="003A7D44">
        <w:rPr>
          <w:rFonts w:ascii="Calibri" w:hAnsi="Calibri" w:cs="Calibri"/>
          <w:color w:val="0D0D0D" w:themeColor="text1" w:themeTint="F2"/>
        </w:rPr>
        <w:t>. Available at https://www.rcn.org.uk/magazines/ Students/2018/Breaking-barriers. (Accessed on 15</w:t>
      </w:r>
      <w:r w:rsidRPr="003A7D44">
        <w:rPr>
          <w:rFonts w:ascii="Calibri" w:hAnsi="Calibri" w:cs="Calibri"/>
          <w:color w:val="0D0D0D" w:themeColor="text1" w:themeTint="F2"/>
          <w:vertAlign w:val="superscript"/>
        </w:rPr>
        <w:t>th</w:t>
      </w:r>
      <w:r w:rsidRPr="003A7D44">
        <w:rPr>
          <w:rFonts w:ascii="Calibri" w:hAnsi="Calibri" w:cs="Calibri"/>
          <w:color w:val="0D0D0D" w:themeColor="text1" w:themeTint="F2"/>
        </w:rPr>
        <w:t xml:space="preserve"> March 2025).</w:t>
      </w:r>
    </w:p>
    <w:p w14:paraId="10F2F282"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Royal College of Nursing (2024) </w:t>
      </w:r>
      <w:r w:rsidRPr="003A7D44">
        <w:rPr>
          <w:rFonts w:ascii="Calibri" w:hAnsi="Calibri" w:cs="Calibri"/>
          <w:i/>
          <w:iCs/>
          <w:color w:val="0D0D0D" w:themeColor="text1" w:themeTint="F2"/>
        </w:rPr>
        <w:t>Critical Nursing Shortages Leave Patients Unsafe</w:t>
      </w:r>
      <w:r w:rsidRPr="003A7D44">
        <w:rPr>
          <w:rFonts w:ascii="Calibri" w:hAnsi="Calibri" w:cs="Calibri"/>
          <w:color w:val="0D0D0D" w:themeColor="text1" w:themeTint="F2"/>
        </w:rPr>
        <w:t>. Available at: https://www.rcn.org.uk/news-and-events/Press-Releases/critical-nursing-shortages-leave-patients-unsafe-010724 (Accessed on 20th March 2025).</w:t>
      </w:r>
    </w:p>
    <w:p w14:paraId="534E176D"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Shelton, E. (2012) ‘A model of nursing student retention’,</w:t>
      </w:r>
      <w:r w:rsidRPr="003A7D44">
        <w:rPr>
          <w:rFonts w:ascii="Calibri" w:hAnsi="Calibri" w:cs="Calibri"/>
          <w:i/>
          <w:iCs/>
          <w:color w:val="0D0D0D" w:themeColor="text1" w:themeTint="F2"/>
        </w:rPr>
        <w:t xml:space="preserve"> International Journal of Nursing Education Scholarship</w:t>
      </w:r>
      <w:r w:rsidRPr="003A7D44">
        <w:rPr>
          <w:rFonts w:ascii="Calibri" w:hAnsi="Calibri" w:cs="Calibri"/>
          <w:color w:val="0D0D0D" w:themeColor="text1" w:themeTint="F2"/>
        </w:rPr>
        <w:t>, 9(1), pp 1-16.</w:t>
      </w:r>
    </w:p>
    <w:p w14:paraId="75E5A542"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Sherrod, D. (2003) ‘Reach out to the best and the brightest’, </w:t>
      </w:r>
      <w:r w:rsidRPr="003A7D44">
        <w:rPr>
          <w:rFonts w:ascii="Calibri" w:hAnsi="Calibri" w:cs="Calibri"/>
          <w:i/>
          <w:iCs/>
          <w:color w:val="0D0D0D" w:themeColor="text1" w:themeTint="F2"/>
        </w:rPr>
        <w:t>Journal of Nursing Practice</w:t>
      </w:r>
      <w:r w:rsidRPr="003A7D44">
        <w:rPr>
          <w:rFonts w:ascii="Calibri" w:hAnsi="Calibri" w:cs="Calibri"/>
          <w:color w:val="0D0D0D" w:themeColor="text1" w:themeTint="F2"/>
        </w:rPr>
        <w:t>, 33(3) pp 43-44.</w:t>
      </w:r>
    </w:p>
    <w:p w14:paraId="0601CE11"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Sire, H. J. (1994) </w:t>
      </w:r>
      <w:r w:rsidRPr="003A7D44">
        <w:rPr>
          <w:rFonts w:ascii="Calibri" w:hAnsi="Calibri" w:cs="Calibri"/>
          <w:i/>
          <w:iCs/>
          <w:color w:val="0D0D0D" w:themeColor="text1" w:themeTint="F2"/>
        </w:rPr>
        <w:t>The Knights of Malta</w:t>
      </w:r>
      <w:r w:rsidRPr="003A7D44">
        <w:rPr>
          <w:rFonts w:ascii="Calibri" w:hAnsi="Calibri" w:cs="Calibri"/>
          <w:color w:val="0D0D0D" w:themeColor="text1" w:themeTint="F2"/>
        </w:rPr>
        <w:t>. New Haven: Yale University Press.</w:t>
      </w:r>
    </w:p>
    <w:p w14:paraId="0E4B03AC" w14:textId="1ABB1F92"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Smith, B., and Field, L. (2018) </w:t>
      </w:r>
      <w:r w:rsidRPr="003A7D44">
        <w:rPr>
          <w:rFonts w:ascii="Calibri" w:hAnsi="Calibri" w:cs="Calibri"/>
          <w:i/>
          <w:iCs/>
          <w:color w:val="0D0D0D" w:themeColor="text1" w:themeTint="F2"/>
        </w:rPr>
        <w:t>Nursing Care: An Essential Guide for Nurses and Healthcare Workers in Primary and Secondary Care.</w:t>
      </w:r>
      <w:r w:rsidRPr="003A7D44">
        <w:rPr>
          <w:rFonts w:ascii="Calibri" w:hAnsi="Calibri" w:cs="Calibri"/>
          <w:color w:val="0D0D0D" w:themeColor="text1" w:themeTint="F2"/>
        </w:rPr>
        <w:t xml:space="preserve"> Sussex: Taylor </w:t>
      </w:r>
      <w:r w:rsidR="005166EF">
        <w:rPr>
          <w:rFonts w:ascii="Calibri" w:hAnsi="Calibri" w:cs="Calibri"/>
          <w:color w:val="0D0D0D" w:themeColor="text1" w:themeTint="F2"/>
        </w:rPr>
        <w:t>and</w:t>
      </w:r>
      <w:r w:rsidRPr="003A7D44">
        <w:rPr>
          <w:rFonts w:ascii="Calibri" w:hAnsi="Calibri" w:cs="Calibri"/>
          <w:color w:val="0D0D0D" w:themeColor="text1" w:themeTint="F2"/>
        </w:rPr>
        <w:t xml:space="preserve"> Francis.</w:t>
      </w:r>
    </w:p>
    <w:p w14:paraId="6ED89860"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Stanley, D., </w:t>
      </w:r>
      <w:proofErr w:type="spellStart"/>
      <w:r w:rsidRPr="003A7D44">
        <w:rPr>
          <w:rFonts w:ascii="Calibri" w:hAnsi="Calibri" w:cs="Calibri"/>
          <w:color w:val="0D0D0D" w:themeColor="text1" w:themeTint="F2"/>
        </w:rPr>
        <w:t>Beament</w:t>
      </w:r>
      <w:proofErr w:type="spellEnd"/>
      <w:r w:rsidRPr="003A7D44">
        <w:rPr>
          <w:rFonts w:ascii="Calibri" w:hAnsi="Calibri" w:cs="Calibri"/>
          <w:color w:val="0D0D0D" w:themeColor="text1" w:themeTint="F2"/>
        </w:rPr>
        <w:t xml:space="preserve">, T. and Falconer, D. (2016) ‘The male of the species: A profile of men in nursing’, </w:t>
      </w:r>
      <w:r w:rsidRPr="003A7D44">
        <w:rPr>
          <w:rFonts w:ascii="Calibri" w:hAnsi="Calibri" w:cs="Calibri"/>
          <w:i/>
          <w:iCs/>
          <w:color w:val="0D0D0D" w:themeColor="text1" w:themeTint="F2"/>
        </w:rPr>
        <w:t>Journal of Advanced Nursing.</w:t>
      </w:r>
      <w:r w:rsidRPr="003A7D44">
        <w:rPr>
          <w:rFonts w:ascii="Calibri" w:hAnsi="Calibri" w:cs="Calibri"/>
          <w:color w:val="0D0D0D" w:themeColor="text1" w:themeTint="F2"/>
        </w:rPr>
        <w:t xml:space="preserve"> 72(5) pp 1155-1168.</w:t>
      </w:r>
    </w:p>
    <w:p w14:paraId="065A923D"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Stanley, D., Blanchard, D., Hohol, A., Hutton, M. and McDonald, A. (2017) ‘Health professionals’ perceptions of clinical leadership: A pilot study’</w:t>
      </w:r>
      <w:r w:rsidRPr="003A7D44">
        <w:rPr>
          <w:rFonts w:ascii="Calibri" w:hAnsi="Calibri" w:cs="Calibri"/>
          <w:i/>
          <w:iCs/>
          <w:color w:val="0D0D0D" w:themeColor="text1" w:themeTint="F2"/>
        </w:rPr>
        <w:t>, Journal of Cogent Medicine</w:t>
      </w:r>
      <w:r w:rsidRPr="003A7D44">
        <w:rPr>
          <w:rFonts w:ascii="Calibri" w:hAnsi="Calibri" w:cs="Calibri"/>
          <w:color w:val="0D0D0D" w:themeColor="text1" w:themeTint="F2"/>
        </w:rPr>
        <w:t xml:space="preserve">, 4(1). </w:t>
      </w:r>
    </w:p>
    <w:p w14:paraId="5BA8EF45"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Storey, K., and Last, J. R. (2021) </w:t>
      </w:r>
      <w:r w:rsidRPr="003A7D44">
        <w:rPr>
          <w:rFonts w:ascii="Calibri" w:hAnsi="Calibri" w:cs="Calibri"/>
          <w:i/>
          <w:iCs/>
          <w:color w:val="0D0D0D" w:themeColor="text1" w:themeTint="F2"/>
        </w:rPr>
        <w:t xml:space="preserve">A Nurse's Survival Guide to General Practice. </w:t>
      </w:r>
      <w:r w:rsidRPr="003A7D44">
        <w:rPr>
          <w:rFonts w:ascii="Calibri" w:hAnsi="Calibri" w:cs="Calibri"/>
          <w:color w:val="0D0D0D" w:themeColor="text1" w:themeTint="F2"/>
        </w:rPr>
        <w:t>Amsterdam: Elsevier Health Sciences.</w:t>
      </w:r>
    </w:p>
    <w:p w14:paraId="7AF02459"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Stott, A. (2007) ‘Exploring factors affecting attrition of male students from an undergraduate nursing course; a qualitative study’, </w:t>
      </w:r>
      <w:r w:rsidRPr="003A7D44">
        <w:rPr>
          <w:rFonts w:ascii="Calibri" w:hAnsi="Calibri" w:cs="Calibri"/>
          <w:i/>
          <w:iCs/>
          <w:color w:val="0D0D0D" w:themeColor="text1" w:themeTint="F2"/>
        </w:rPr>
        <w:t>Nurse Education Today</w:t>
      </w:r>
      <w:r w:rsidRPr="003A7D44">
        <w:rPr>
          <w:rFonts w:ascii="Calibri" w:hAnsi="Calibri" w:cs="Calibri"/>
          <w:color w:val="0D0D0D" w:themeColor="text1" w:themeTint="F2"/>
        </w:rPr>
        <w:t>, 27(4), pp 325-232.</w:t>
      </w:r>
    </w:p>
    <w:p w14:paraId="69AF54F4"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Teresa-Morales, C., Rodríguez-Pérez, M., Araujo-Hernández, M. and Feria-Ramírez, C. (2022) ‘Current Stereotypes Associated with Nursing and Nursing Professionals: An Integrative Review’, </w:t>
      </w:r>
      <w:r w:rsidRPr="003A7D44">
        <w:rPr>
          <w:rFonts w:ascii="Calibri" w:hAnsi="Calibri" w:cs="Calibri"/>
          <w:i/>
          <w:iCs/>
          <w:color w:val="0D0D0D" w:themeColor="text1" w:themeTint="F2"/>
        </w:rPr>
        <w:t xml:space="preserve">International Journal of Environmental Research and Public Health, </w:t>
      </w:r>
      <w:r w:rsidRPr="003A7D44">
        <w:rPr>
          <w:rFonts w:ascii="Calibri" w:hAnsi="Calibri" w:cs="Calibri"/>
          <w:color w:val="0D0D0D" w:themeColor="text1" w:themeTint="F2"/>
        </w:rPr>
        <w:t>19(13), pp. 7640. doi: 10.3390/ijerph19137640.</w:t>
      </w:r>
    </w:p>
    <w:p w14:paraId="065B00C4"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University and College Admissions Service (2024) </w:t>
      </w:r>
      <w:r w:rsidRPr="003A7D44">
        <w:rPr>
          <w:rFonts w:ascii="Calibri" w:hAnsi="Calibri" w:cs="Calibri"/>
          <w:i/>
          <w:iCs/>
          <w:color w:val="0D0D0D" w:themeColor="text1" w:themeTint="F2"/>
        </w:rPr>
        <w:t xml:space="preserve">UCAS End of Cycle Report: Chapter 2 – Nursing: Summary of applicants and acceptances.  </w:t>
      </w:r>
      <w:r w:rsidRPr="003A7D44">
        <w:rPr>
          <w:rFonts w:ascii="Calibri" w:hAnsi="Calibri" w:cs="Calibri"/>
          <w:color w:val="0D0D0D" w:themeColor="text1" w:themeTint="F2"/>
        </w:rPr>
        <w:t>Cheltenham: UCAS.</w:t>
      </w:r>
    </w:p>
    <w:p w14:paraId="6C3916CC"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Verger, J. (1986) </w:t>
      </w:r>
      <w:r w:rsidRPr="003A7D44">
        <w:rPr>
          <w:rFonts w:ascii="Calibri" w:hAnsi="Calibri" w:cs="Calibri"/>
          <w:i/>
          <w:iCs/>
          <w:color w:val="0D0D0D" w:themeColor="text1" w:themeTint="F2"/>
        </w:rPr>
        <w:t>Different Values and Authorities</w:t>
      </w:r>
      <w:r w:rsidRPr="003A7D44">
        <w:rPr>
          <w:rFonts w:ascii="Calibri" w:hAnsi="Calibri" w:cs="Calibri"/>
          <w:color w:val="0D0D0D" w:themeColor="text1" w:themeTint="F2"/>
        </w:rPr>
        <w:t>. Cambridge: Cambridge University Press.</w:t>
      </w:r>
    </w:p>
    <w:p w14:paraId="652C87C5" w14:textId="77777777" w:rsidR="007A3EFD" w:rsidRPr="003A7D44" w:rsidRDefault="007A3EFD" w:rsidP="007A3EFD">
      <w:pPr>
        <w:spacing w:line="276" w:lineRule="auto"/>
        <w:rPr>
          <w:rFonts w:ascii="Calibri" w:hAnsi="Calibri" w:cs="Calibri"/>
          <w:color w:val="0D0D0D" w:themeColor="text1" w:themeTint="F2"/>
        </w:rPr>
      </w:pPr>
      <w:proofErr w:type="spellStart"/>
      <w:r w:rsidRPr="003A7D44">
        <w:rPr>
          <w:rFonts w:ascii="Calibri" w:hAnsi="Calibri" w:cs="Calibri"/>
          <w:color w:val="0D0D0D" w:themeColor="text1" w:themeTint="F2"/>
        </w:rPr>
        <w:t>Villanueve</w:t>
      </w:r>
      <w:proofErr w:type="spellEnd"/>
      <w:r w:rsidRPr="003A7D44">
        <w:rPr>
          <w:rFonts w:ascii="Calibri" w:hAnsi="Calibri" w:cs="Calibri"/>
          <w:color w:val="0D0D0D" w:themeColor="text1" w:themeTint="F2"/>
        </w:rPr>
        <w:t xml:space="preserve">, M. (1994) ‘Recruiting and Retaining Men in Nursing: A review of literature’, </w:t>
      </w:r>
      <w:r w:rsidRPr="003A7D44">
        <w:rPr>
          <w:rFonts w:ascii="Calibri" w:hAnsi="Calibri" w:cs="Calibri"/>
          <w:i/>
          <w:iCs/>
          <w:color w:val="0D0D0D" w:themeColor="text1" w:themeTint="F2"/>
        </w:rPr>
        <w:t>Journal of Professional Nursing</w:t>
      </w:r>
      <w:r w:rsidRPr="003A7D44">
        <w:rPr>
          <w:rFonts w:ascii="Calibri" w:hAnsi="Calibri" w:cs="Calibri"/>
          <w:color w:val="0D0D0D" w:themeColor="text1" w:themeTint="F2"/>
        </w:rPr>
        <w:t>, 10(4) pp 217-228.</w:t>
      </w:r>
    </w:p>
    <w:p w14:paraId="78616D8D"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lastRenderedPageBreak/>
        <w:t xml:space="preserve">Williams, K. (1978) </w:t>
      </w:r>
      <w:r w:rsidRPr="003A7D44">
        <w:rPr>
          <w:rFonts w:ascii="Calibri" w:hAnsi="Calibri" w:cs="Calibri"/>
          <w:i/>
          <w:iCs/>
          <w:color w:val="0D0D0D" w:themeColor="text1" w:themeTint="F2"/>
        </w:rPr>
        <w:t>Ideologies of Nursing: Their meanings and implications</w:t>
      </w:r>
      <w:r w:rsidRPr="003A7D44">
        <w:rPr>
          <w:rFonts w:ascii="Calibri" w:hAnsi="Calibri" w:cs="Calibri"/>
          <w:color w:val="0D0D0D" w:themeColor="text1" w:themeTint="F2"/>
        </w:rPr>
        <w:t>. Edinburgh: Churchill Livingstone.</w:t>
      </w:r>
    </w:p>
    <w:p w14:paraId="4CB4A405"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Williams, K. (1993) ‘Gender bias in a peer-reviewed medical journal’, </w:t>
      </w:r>
      <w:r w:rsidRPr="003A7D44">
        <w:rPr>
          <w:rFonts w:ascii="Calibri" w:hAnsi="Calibri" w:cs="Calibri"/>
          <w:i/>
          <w:iCs/>
          <w:color w:val="0D0D0D" w:themeColor="text1" w:themeTint="F2"/>
        </w:rPr>
        <w:t>Journal of American Medicine Women’s Association</w:t>
      </w:r>
      <w:r w:rsidRPr="003A7D44">
        <w:rPr>
          <w:rFonts w:ascii="Calibri" w:hAnsi="Calibri" w:cs="Calibri"/>
          <w:color w:val="0D0D0D" w:themeColor="text1" w:themeTint="F2"/>
        </w:rPr>
        <w:t>, 48(5), pp. 160-2.</w:t>
      </w:r>
    </w:p>
    <w:p w14:paraId="49053FF0" w14:textId="77777777" w:rsidR="007A3EFD" w:rsidRPr="003A7D44" w:rsidRDefault="007A3EFD" w:rsidP="007A3EFD">
      <w:pPr>
        <w:spacing w:line="276" w:lineRule="auto"/>
        <w:rPr>
          <w:rFonts w:ascii="Calibri" w:hAnsi="Calibri" w:cs="Calibri"/>
          <w:color w:val="0D0D0D" w:themeColor="text1" w:themeTint="F2"/>
        </w:rPr>
      </w:pPr>
      <w:r w:rsidRPr="003A7D44">
        <w:rPr>
          <w:rFonts w:ascii="Calibri" w:hAnsi="Calibri" w:cs="Calibri"/>
          <w:color w:val="0D0D0D" w:themeColor="text1" w:themeTint="F2"/>
        </w:rPr>
        <w:t xml:space="preserve">World Health Organization (2024) </w:t>
      </w:r>
      <w:r w:rsidRPr="003A7D44">
        <w:rPr>
          <w:rFonts w:ascii="Calibri" w:hAnsi="Calibri" w:cs="Calibri"/>
          <w:i/>
          <w:iCs/>
          <w:color w:val="0D0D0D" w:themeColor="text1" w:themeTint="F2"/>
        </w:rPr>
        <w:t>Nursing and Midwifery: Key facts</w:t>
      </w:r>
      <w:r w:rsidRPr="003A7D44">
        <w:rPr>
          <w:rFonts w:ascii="Calibri" w:hAnsi="Calibri" w:cs="Calibri"/>
          <w:color w:val="0D0D0D" w:themeColor="text1" w:themeTint="F2"/>
        </w:rPr>
        <w:t>. Available at https://www.who.int/news-room/fact-sheets/detail/nursing-and-midwifery. (Accessed on 19th March 2025).</w:t>
      </w:r>
    </w:p>
    <w:p w14:paraId="6972B825" w14:textId="77777777" w:rsidR="007A3EFD" w:rsidRPr="003A7D44" w:rsidRDefault="007A3EFD" w:rsidP="007A3EFD">
      <w:pPr>
        <w:spacing w:line="276" w:lineRule="auto"/>
        <w:rPr>
          <w:rFonts w:ascii="Calibri" w:hAnsi="Calibri" w:cs="Calibri"/>
          <w:color w:val="0D0D0D" w:themeColor="text1" w:themeTint="F2"/>
        </w:rPr>
      </w:pPr>
      <w:proofErr w:type="spellStart"/>
      <w:r w:rsidRPr="003A7D44">
        <w:rPr>
          <w:rFonts w:ascii="Calibri" w:hAnsi="Calibri" w:cs="Calibri"/>
          <w:color w:val="0D0D0D" w:themeColor="text1" w:themeTint="F2"/>
        </w:rPr>
        <w:t>Zamanzadeh</w:t>
      </w:r>
      <w:proofErr w:type="spellEnd"/>
      <w:r w:rsidRPr="003A7D44">
        <w:rPr>
          <w:rFonts w:ascii="Calibri" w:hAnsi="Calibri" w:cs="Calibri"/>
          <w:color w:val="0D0D0D" w:themeColor="text1" w:themeTint="F2"/>
        </w:rPr>
        <w:t xml:space="preserve">, V., Valizadeh, L., </w:t>
      </w:r>
      <w:proofErr w:type="spellStart"/>
      <w:r w:rsidRPr="003A7D44">
        <w:rPr>
          <w:rFonts w:ascii="Calibri" w:hAnsi="Calibri" w:cs="Calibri"/>
          <w:color w:val="0D0D0D" w:themeColor="text1" w:themeTint="F2"/>
        </w:rPr>
        <w:t>Negarandeh</w:t>
      </w:r>
      <w:proofErr w:type="spellEnd"/>
      <w:r w:rsidRPr="003A7D44">
        <w:rPr>
          <w:rFonts w:ascii="Calibri" w:hAnsi="Calibri" w:cs="Calibri"/>
          <w:color w:val="0D0D0D" w:themeColor="text1" w:themeTint="F2"/>
        </w:rPr>
        <w:t xml:space="preserve">, R., </w:t>
      </w:r>
      <w:proofErr w:type="spellStart"/>
      <w:r w:rsidRPr="003A7D44">
        <w:rPr>
          <w:rFonts w:ascii="Calibri" w:hAnsi="Calibri" w:cs="Calibri"/>
          <w:color w:val="0D0D0D" w:themeColor="text1" w:themeTint="F2"/>
        </w:rPr>
        <w:t>Monadi</w:t>
      </w:r>
      <w:proofErr w:type="spellEnd"/>
      <w:r w:rsidRPr="003A7D44">
        <w:rPr>
          <w:rFonts w:ascii="Calibri" w:hAnsi="Calibri" w:cs="Calibri"/>
          <w:color w:val="0D0D0D" w:themeColor="text1" w:themeTint="F2"/>
        </w:rPr>
        <w:t>, M. and Azadi, A. (2013) ‘Factors influencing men entering the nursing profession, and understanding the challenges faced by them’, </w:t>
      </w:r>
      <w:r w:rsidRPr="003A7D44">
        <w:rPr>
          <w:rFonts w:ascii="Calibri" w:hAnsi="Calibri" w:cs="Calibri"/>
          <w:i/>
          <w:iCs/>
          <w:color w:val="0D0D0D" w:themeColor="text1" w:themeTint="F2"/>
        </w:rPr>
        <w:t>Nursing and midwifery studies</w:t>
      </w:r>
      <w:r w:rsidRPr="003A7D44">
        <w:rPr>
          <w:rFonts w:ascii="Calibri" w:hAnsi="Calibri" w:cs="Calibri"/>
          <w:color w:val="0D0D0D" w:themeColor="text1" w:themeTint="F2"/>
        </w:rPr>
        <w:t>, </w:t>
      </w:r>
      <w:r w:rsidRPr="003A7D44">
        <w:rPr>
          <w:rFonts w:ascii="Calibri" w:hAnsi="Calibri" w:cs="Calibri"/>
          <w:i/>
          <w:iCs/>
          <w:color w:val="0D0D0D" w:themeColor="text1" w:themeTint="F2"/>
        </w:rPr>
        <w:t>2</w:t>
      </w:r>
      <w:r w:rsidRPr="003A7D44">
        <w:rPr>
          <w:rFonts w:ascii="Calibri" w:hAnsi="Calibri" w:cs="Calibri"/>
          <w:color w:val="0D0D0D" w:themeColor="text1" w:themeTint="F2"/>
        </w:rPr>
        <w:t>(4) pp 49–56.</w:t>
      </w:r>
    </w:p>
    <w:p w14:paraId="710F5B19" w14:textId="1A843E73" w:rsidR="007A3EFD" w:rsidRPr="003A7D44" w:rsidRDefault="007A3EFD" w:rsidP="007A3EFD">
      <w:pPr>
        <w:spacing w:line="276" w:lineRule="auto"/>
        <w:rPr>
          <w:rFonts w:ascii="Calibri" w:eastAsia="DengXian" w:hAnsi="Calibri" w:cs="Calibri"/>
          <w:color w:val="0D0D0D" w:themeColor="text1" w:themeTint="F2"/>
          <w:kern w:val="0"/>
          <w14:ligatures w14:val="none"/>
        </w:rPr>
      </w:pPr>
      <w:proofErr w:type="spellStart"/>
      <w:r w:rsidRPr="00F815A9">
        <w:rPr>
          <w:rFonts w:ascii="Calibri" w:eastAsia="DengXian" w:hAnsi="Calibri" w:cs="Calibri"/>
          <w:color w:val="0D0D0D" w:themeColor="text1" w:themeTint="F2"/>
          <w:kern w:val="0"/>
          <w14:ligatures w14:val="none"/>
        </w:rPr>
        <w:t>Zhyberg</w:t>
      </w:r>
      <w:proofErr w:type="spellEnd"/>
      <w:r w:rsidRPr="00F815A9">
        <w:rPr>
          <w:rFonts w:ascii="Calibri" w:eastAsia="DengXian" w:hAnsi="Calibri" w:cs="Calibri"/>
          <w:color w:val="0D0D0D" w:themeColor="text1" w:themeTint="F2"/>
          <w:kern w:val="0"/>
          <w14:ligatures w14:val="none"/>
        </w:rPr>
        <w:t>, L. and Berry, D. M. (2005) ‘Gender and students</w:t>
      </w:r>
      <w:r w:rsidR="003E2C00" w:rsidRPr="003A7D44">
        <w:rPr>
          <w:rFonts w:ascii="Calibri" w:eastAsia="DengXian" w:hAnsi="Calibri" w:cs="Calibri"/>
          <w:color w:val="0D0D0D" w:themeColor="text1" w:themeTint="F2"/>
          <w:kern w:val="0"/>
          <w14:ligatures w14:val="none"/>
        </w:rPr>
        <w:t>’</w:t>
      </w:r>
      <w:r w:rsidRPr="00F815A9">
        <w:rPr>
          <w:rFonts w:ascii="Calibri" w:eastAsia="DengXian" w:hAnsi="Calibri" w:cs="Calibri"/>
          <w:color w:val="0D0D0D" w:themeColor="text1" w:themeTint="F2"/>
          <w:kern w:val="0"/>
          <w14:ligatures w14:val="none"/>
        </w:rPr>
        <w:t xml:space="preserve"> vocational choices in entering the field of nursing’, </w:t>
      </w:r>
      <w:r w:rsidRPr="00F815A9">
        <w:rPr>
          <w:rFonts w:ascii="Calibri" w:eastAsia="DengXian" w:hAnsi="Calibri" w:cs="Calibri"/>
          <w:i/>
          <w:iCs/>
          <w:color w:val="0D0D0D" w:themeColor="text1" w:themeTint="F2"/>
          <w:kern w:val="0"/>
          <w14:ligatures w14:val="none"/>
        </w:rPr>
        <w:t>Nursing Outlook</w:t>
      </w:r>
      <w:r w:rsidRPr="00F815A9">
        <w:rPr>
          <w:rFonts w:ascii="Calibri" w:eastAsia="DengXian" w:hAnsi="Calibri" w:cs="Calibri"/>
          <w:color w:val="0D0D0D" w:themeColor="text1" w:themeTint="F2"/>
          <w:kern w:val="0"/>
          <w14:ligatures w14:val="none"/>
        </w:rPr>
        <w:t>, 53(17) pp 193-198.</w:t>
      </w:r>
    </w:p>
    <w:p w14:paraId="4EDA939A" w14:textId="77777777" w:rsidR="00B33F89" w:rsidRPr="00C11A3A" w:rsidRDefault="00B33F89" w:rsidP="00DA2F1C">
      <w:pPr>
        <w:spacing w:line="276" w:lineRule="auto"/>
        <w:rPr>
          <w:rFonts w:ascii="Calibri" w:hAnsi="Calibri" w:cs="Calibri"/>
        </w:rPr>
      </w:pPr>
    </w:p>
    <w:p w14:paraId="5B5B8E0D" w14:textId="77777777" w:rsidR="00022C27" w:rsidRPr="00E20046" w:rsidRDefault="00022C27" w:rsidP="00533D71">
      <w:pPr>
        <w:spacing w:line="276" w:lineRule="auto"/>
        <w:rPr>
          <w:rFonts w:cstheme="minorHAnsi"/>
        </w:rPr>
      </w:pPr>
    </w:p>
    <w:p w14:paraId="199D4FC9" w14:textId="77777777" w:rsidR="001A3B0B" w:rsidRPr="001A3B0B" w:rsidRDefault="001A3B0B" w:rsidP="004D309B">
      <w:pPr>
        <w:spacing w:line="276" w:lineRule="auto"/>
        <w:rPr>
          <w:rFonts w:ascii="Calibri" w:eastAsia="DengXian" w:hAnsi="Calibri" w:cs="Calibri"/>
          <w:b/>
          <w:bCs/>
          <w:kern w:val="0"/>
          <w14:ligatures w14:val="none"/>
        </w:rPr>
      </w:pPr>
    </w:p>
    <w:p w14:paraId="3B2270E8" w14:textId="77777777" w:rsidR="00F80B03" w:rsidRPr="00E20046" w:rsidRDefault="00F80B03" w:rsidP="00BA7F71">
      <w:pPr>
        <w:spacing w:line="276" w:lineRule="auto"/>
        <w:rPr>
          <w:rFonts w:cstheme="minorHAnsi"/>
        </w:rPr>
      </w:pPr>
    </w:p>
    <w:p w14:paraId="1875268E" w14:textId="77777777" w:rsidR="00BA7F71" w:rsidRPr="00E20046" w:rsidRDefault="00BA7F71" w:rsidP="00D0172E">
      <w:pPr>
        <w:spacing w:line="276" w:lineRule="auto"/>
        <w:rPr>
          <w:rFonts w:cstheme="minorHAnsi"/>
        </w:rPr>
      </w:pPr>
    </w:p>
    <w:p w14:paraId="3C4314DA" w14:textId="77777777" w:rsidR="00685B62" w:rsidRPr="00E20046" w:rsidRDefault="00685B62" w:rsidP="00A547C9">
      <w:pPr>
        <w:spacing w:line="276" w:lineRule="auto"/>
        <w:rPr>
          <w:rFonts w:cstheme="minorHAnsi"/>
        </w:rPr>
      </w:pPr>
    </w:p>
    <w:p w14:paraId="477FC938" w14:textId="4EBCF1EB" w:rsidR="001D7863" w:rsidRPr="00F1741A" w:rsidRDefault="001D7863" w:rsidP="00F1741A">
      <w:pPr>
        <w:spacing w:line="276" w:lineRule="auto"/>
        <w:rPr>
          <w:rFonts w:ascii="Calibri" w:hAnsi="Calibri" w:cs="Calibri"/>
        </w:rPr>
      </w:pPr>
    </w:p>
    <w:sectPr w:rsidR="001D7863" w:rsidRPr="00F1741A" w:rsidSect="00C10F5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4FE01" w14:textId="77777777" w:rsidR="004040E8" w:rsidRDefault="004040E8" w:rsidP="006B3B2F">
      <w:pPr>
        <w:spacing w:after="0" w:line="240" w:lineRule="auto"/>
      </w:pPr>
      <w:r>
        <w:separator/>
      </w:r>
    </w:p>
  </w:endnote>
  <w:endnote w:type="continuationSeparator" w:id="0">
    <w:p w14:paraId="2A5F0029" w14:textId="77777777" w:rsidR="004040E8" w:rsidRDefault="004040E8" w:rsidP="006B3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AAB70" w14:textId="77777777" w:rsidR="004040E8" w:rsidRDefault="004040E8" w:rsidP="006B3B2F">
      <w:pPr>
        <w:spacing w:after="0" w:line="240" w:lineRule="auto"/>
      </w:pPr>
      <w:r>
        <w:separator/>
      </w:r>
    </w:p>
  </w:footnote>
  <w:footnote w:type="continuationSeparator" w:id="0">
    <w:p w14:paraId="6FB5521E" w14:textId="77777777" w:rsidR="004040E8" w:rsidRDefault="004040E8" w:rsidP="006B3B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924308"/>
    <w:multiLevelType w:val="multilevel"/>
    <w:tmpl w:val="94087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066666"/>
    <w:multiLevelType w:val="multilevel"/>
    <w:tmpl w:val="2B90A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1A3AD1"/>
    <w:multiLevelType w:val="hybridMultilevel"/>
    <w:tmpl w:val="34CCDBAE"/>
    <w:lvl w:ilvl="0" w:tplc="3CA4E8C8">
      <w:start w:val="1"/>
      <w:numFmt w:val="bullet"/>
      <w:lvlText w:val="•"/>
      <w:lvlJc w:val="left"/>
      <w:pPr>
        <w:tabs>
          <w:tab w:val="num" w:pos="720"/>
        </w:tabs>
        <w:ind w:left="720" w:hanging="360"/>
      </w:pPr>
      <w:rPr>
        <w:rFonts w:ascii="Arial" w:hAnsi="Arial" w:hint="default"/>
      </w:rPr>
    </w:lvl>
    <w:lvl w:ilvl="1" w:tplc="EABCB824" w:tentative="1">
      <w:start w:val="1"/>
      <w:numFmt w:val="bullet"/>
      <w:lvlText w:val="•"/>
      <w:lvlJc w:val="left"/>
      <w:pPr>
        <w:tabs>
          <w:tab w:val="num" w:pos="1440"/>
        </w:tabs>
        <w:ind w:left="1440" w:hanging="360"/>
      </w:pPr>
      <w:rPr>
        <w:rFonts w:ascii="Arial" w:hAnsi="Arial" w:hint="default"/>
      </w:rPr>
    </w:lvl>
    <w:lvl w:ilvl="2" w:tplc="E2BA88A8" w:tentative="1">
      <w:start w:val="1"/>
      <w:numFmt w:val="bullet"/>
      <w:lvlText w:val="•"/>
      <w:lvlJc w:val="left"/>
      <w:pPr>
        <w:tabs>
          <w:tab w:val="num" w:pos="2160"/>
        </w:tabs>
        <w:ind w:left="2160" w:hanging="360"/>
      </w:pPr>
      <w:rPr>
        <w:rFonts w:ascii="Arial" w:hAnsi="Arial" w:hint="default"/>
      </w:rPr>
    </w:lvl>
    <w:lvl w:ilvl="3" w:tplc="32B2257A" w:tentative="1">
      <w:start w:val="1"/>
      <w:numFmt w:val="bullet"/>
      <w:lvlText w:val="•"/>
      <w:lvlJc w:val="left"/>
      <w:pPr>
        <w:tabs>
          <w:tab w:val="num" w:pos="2880"/>
        </w:tabs>
        <w:ind w:left="2880" w:hanging="360"/>
      </w:pPr>
      <w:rPr>
        <w:rFonts w:ascii="Arial" w:hAnsi="Arial" w:hint="default"/>
      </w:rPr>
    </w:lvl>
    <w:lvl w:ilvl="4" w:tplc="039A8462" w:tentative="1">
      <w:start w:val="1"/>
      <w:numFmt w:val="bullet"/>
      <w:lvlText w:val="•"/>
      <w:lvlJc w:val="left"/>
      <w:pPr>
        <w:tabs>
          <w:tab w:val="num" w:pos="3600"/>
        </w:tabs>
        <w:ind w:left="3600" w:hanging="360"/>
      </w:pPr>
      <w:rPr>
        <w:rFonts w:ascii="Arial" w:hAnsi="Arial" w:hint="default"/>
      </w:rPr>
    </w:lvl>
    <w:lvl w:ilvl="5" w:tplc="3F1EE6FC" w:tentative="1">
      <w:start w:val="1"/>
      <w:numFmt w:val="bullet"/>
      <w:lvlText w:val="•"/>
      <w:lvlJc w:val="left"/>
      <w:pPr>
        <w:tabs>
          <w:tab w:val="num" w:pos="4320"/>
        </w:tabs>
        <w:ind w:left="4320" w:hanging="360"/>
      </w:pPr>
      <w:rPr>
        <w:rFonts w:ascii="Arial" w:hAnsi="Arial" w:hint="default"/>
      </w:rPr>
    </w:lvl>
    <w:lvl w:ilvl="6" w:tplc="E9E46CBC" w:tentative="1">
      <w:start w:val="1"/>
      <w:numFmt w:val="bullet"/>
      <w:lvlText w:val="•"/>
      <w:lvlJc w:val="left"/>
      <w:pPr>
        <w:tabs>
          <w:tab w:val="num" w:pos="5040"/>
        </w:tabs>
        <w:ind w:left="5040" w:hanging="360"/>
      </w:pPr>
      <w:rPr>
        <w:rFonts w:ascii="Arial" w:hAnsi="Arial" w:hint="default"/>
      </w:rPr>
    </w:lvl>
    <w:lvl w:ilvl="7" w:tplc="00E822A4" w:tentative="1">
      <w:start w:val="1"/>
      <w:numFmt w:val="bullet"/>
      <w:lvlText w:val="•"/>
      <w:lvlJc w:val="left"/>
      <w:pPr>
        <w:tabs>
          <w:tab w:val="num" w:pos="5760"/>
        </w:tabs>
        <w:ind w:left="5760" w:hanging="360"/>
      </w:pPr>
      <w:rPr>
        <w:rFonts w:ascii="Arial" w:hAnsi="Arial" w:hint="default"/>
      </w:rPr>
    </w:lvl>
    <w:lvl w:ilvl="8" w:tplc="542EF2A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2A900C4"/>
    <w:multiLevelType w:val="hybridMultilevel"/>
    <w:tmpl w:val="409034DC"/>
    <w:lvl w:ilvl="0" w:tplc="3F90CE12">
      <w:start w:val="1"/>
      <w:numFmt w:val="bullet"/>
      <w:lvlText w:val="•"/>
      <w:lvlJc w:val="left"/>
      <w:pPr>
        <w:tabs>
          <w:tab w:val="num" w:pos="720"/>
        </w:tabs>
        <w:ind w:left="720" w:hanging="360"/>
      </w:pPr>
      <w:rPr>
        <w:rFonts w:ascii="Arial" w:hAnsi="Arial" w:hint="default"/>
      </w:rPr>
    </w:lvl>
    <w:lvl w:ilvl="1" w:tplc="3A74FEFA" w:tentative="1">
      <w:start w:val="1"/>
      <w:numFmt w:val="bullet"/>
      <w:lvlText w:val="•"/>
      <w:lvlJc w:val="left"/>
      <w:pPr>
        <w:tabs>
          <w:tab w:val="num" w:pos="1440"/>
        </w:tabs>
        <w:ind w:left="1440" w:hanging="360"/>
      </w:pPr>
      <w:rPr>
        <w:rFonts w:ascii="Arial" w:hAnsi="Arial" w:hint="default"/>
      </w:rPr>
    </w:lvl>
    <w:lvl w:ilvl="2" w:tplc="882C6E7C" w:tentative="1">
      <w:start w:val="1"/>
      <w:numFmt w:val="bullet"/>
      <w:lvlText w:val="•"/>
      <w:lvlJc w:val="left"/>
      <w:pPr>
        <w:tabs>
          <w:tab w:val="num" w:pos="2160"/>
        </w:tabs>
        <w:ind w:left="2160" w:hanging="360"/>
      </w:pPr>
      <w:rPr>
        <w:rFonts w:ascii="Arial" w:hAnsi="Arial" w:hint="default"/>
      </w:rPr>
    </w:lvl>
    <w:lvl w:ilvl="3" w:tplc="F54C1F64" w:tentative="1">
      <w:start w:val="1"/>
      <w:numFmt w:val="bullet"/>
      <w:lvlText w:val="•"/>
      <w:lvlJc w:val="left"/>
      <w:pPr>
        <w:tabs>
          <w:tab w:val="num" w:pos="2880"/>
        </w:tabs>
        <w:ind w:left="2880" w:hanging="360"/>
      </w:pPr>
      <w:rPr>
        <w:rFonts w:ascii="Arial" w:hAnsi="Arial" w:hint="default"/>
      </w:rPr>
    </w:lvl>
    <w:lvl w:ilvl="4" w:tplc="9A96FE8E" w:tentative="1">
      <w:start w:val="1"/>
      <w:numFmt w:val="bullet"/>
      <w:lvlText w:val="•"/>
      <w:lvlJc w:val="left"/>
      <w:pPr>
        <w:tabs>
          <w:tab w:val="num" w:pos="3600"/>
        </w:tabs>
        <w:ind w:left="3600" w:hanging="360"/>
      </w:pPr>
      <w:rPr>
        <w:rFonts w:ascii="Arial" w:hAnsi="Arial" w:hint="default"/>
      </w:rPr>
    </w:lvl>
    <w:lvl w:ilvl="5" w:tplc="208ACDBC" w:tentative="1">
      <w:start w:val="1"/>
      <w:numFmt w:val="bullet"/>
      <w:lvlText w:val="•"/>
      <w:lvlJc w:val="left"/>
      <w:pPr>
        <w:tabs>
          <w:tab w:val="num" w:pos="4320"/>
        </w:tabs>
        <w:ind w:left="4320" w:hanging="360"/>
      </w:pPr>
      <w:rPr>
        <w:rFonts w:ascii="Arial" w:hAnsi="Arial" w:hint="default"/>
      </w:rPr>
    </w:lvl>
    <w:lvl w:ilvl="6" w:tplc="620E42EC" w:tentative="1">
      <w:start w:val="1"/>
      <w:numFmt w:val="bullet"/>
      <w:lvlText w:val="•"/>
      <w:lvlJc w:val="left"/>
      <w:pPr>
        <w:tabs>
          <w:tab w:val="num" w:pos="5040"/>
        </w:tabs>
        <w:ind w:left="5040" w:hanging="360"/>
      </w:pPr>
      <w:rPr>
        <w:rFonts w:ascii="Arial" w:hAnsi="Arial" w:hint="default"/>
      </w:rPr>
    </w:lvl>
    <w:lvl w:ilvl="7" w:tplc="C49AD252" w:tentative="1">
      <w:start w:val="1"/>
      <w:numFmt w:val="bullet"/>
      <w:lvlText w:val="•"/>
      <w:lvlJc w:val="left"/>
      <w:pPr>
        <w:tabs>
          <w:tab w:val="num" w:pos="5760"/>
        </w:tabs>
        <w:ind w:left="5760" w:hanging="360"/>
      </w:pPr>
      <w:rPr>
        <w:rFonts w:ascii="Arial" w:hAnsi="Arial" w:hint="default"/>
      </w:rPr>
    </w:lvl>
    <w:lvl w:ilvl="8" w:tplc="45C62DAE" w:tentative="1">
      <w:start w:val="1"/>
      <w:numFmt w:val="bullet"/>
      <w:lvlText w:val="•"/>
      <w:lvlJc w:val="left"/>
      <w:pPr>
        <w:tabs>
          <w:tab w:val="num" w:pos="6480"/>
        </w:tabs>
        <w:ind w:left="6480" w:hanging="360"/>
      </w:pPr>
      <w:rPr>
        <w:rFonts w:ascii="Arial" w:hAnsi="Arial" w:hint="default"/>
      </w:rPr>
    </w:lvl>
  </w:abstractNum>
  <w:num w:numId="1" w16cid:durableId="439109041">
    <w:abstractNumId w:val="1"/>
  </w:num>
  <w:num w:numId="2" w16cid:durableId="379978058">
    <w:abstractNumId w:val="0"/>
  </w:num>
  <w:num w:numId="3" w16cid:durableId="996302673">
    <w:abstractNumId w:val="2"/>
  </w:num>
  <w:num w:numId="4" w16cid:durableId="20441361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51A"/>
    <w:rsid w:val="000052CD"/>
    <w:rsid w:val="00022C27"/>
    <w:rsid w:val="00025635"/>
    <w:rsid w:val="00027E2C"/>
    <w:rsid w:val="0003256F"/>
    <w:rsid w:val="0003479D"/>
    <w:rsid w:val="00045623"/>
    <w:rsid w:val="000458FA"/>
    <w:rsid w:val="00046314"/>
    <w:rsid w:val="00050090"/>
    <w:rsid w:val="00052220"/>
    <w:rsid w:val="00054AFC"/>
    <w:rsid w:val="000564B7"/>
    <w:rsid w:val="00077026"/>
    <w:rsid w:val="00080787"/>
    <w:rsid w:val="00091133"/>
    <w:rsid w:val="000A508E"/>
    <w:rsid w:val="000C116C"/>
    <w:rsid w:val="000F35E3"/>
    <w:rsid w:val="00104104"/>
    <w:rsid w:val="00111B8A"/>
    <w:rsid w:val="001161B6"/>
    <w:rsid w:val="00151571"/>
    <w:rsid w:val="00153D44"/>
    <w:rsid w:val="00156B6C"/>
    <w:rsid w:val="00167C1B"/>
    <w:rsid w:val="0019538F"/>
    <w:rsid w:val="001A2D7D"/>
    <w:rsid w:val="001A3B0B"/>
    <w:rsid w:val="001B0F33"/>
    <w:rsid w:val="001B552E"/>
    <w:rsid w:val="001C590E"/>
    <w:rsid w:val="001C5FA1"/>
    <w:rsid w:val="001D2D1C"/>
    <w:rsid w:val="001D7863"/>
    <w:rsid w:val="00201FE1"/>
    <w:rsid w:val="00203506"/>
    <w:rsid w:val="00221802"/>
    <w:rsid w:val="0022252F"/>
    <w:rsid w:val="0022376E"/>
    <w:rsid w:val="002252D0"/>
    <w:rsid w:val="00250826"/>
    <w:rsid w:val="00250E7D"/>
    <w:rsid w:val="002554AC"/>
    <w:rsid w:val="00264ECE"/>
    <w:rsid w:val="00266280"/>
    <w:rsid w:val="00297AE5"/>
    <w:rsid w:val="002B263C"/>
    <w:rsid w:val="002B7A9A"/>
    <w:rsid w:val="002B7E40"/>
    <w:rsid w:val="002C2FF5"/>
    <w:rsid w:val="002D2CAA"/>
    <w:rsid w:val="002D4F03"/>
    <w:rsid w:val="002E022D"/>
    <w:rsid w:val="002E1FDD"/>
    <w:rsid w:val="002F60BC"/>
    <w:rsid w:val="00301A71"/>
    <w:rsid w:val="00313B2F"/>
    <w:rsid w:val="003370D5"/>
    <w:rsid w:val="003372BA"/>
    <w:rsid w:val="00343F64"/>
    <w:rsid w:val="00347C8C"/>
    <w:rsid w:val="00354145"/>
    <w:rsid w:val="00355AED"/>
    <w:rsid w:val="00376916"/>
    <w:rsid w:val="003962F9"/>
    <w:rsid w:val="003A61AA"/>
    <w:rsid w:val="003A7D44"/>
    <w:rsid w:val="003B4D3D"/>
    <w:rsid w:val="003D1F5A"/>
    <w:rsid w:val="003E2C00"/>
    <w:rsid w:val="003E45FE"/>
    <w:rsid w:val="003F3823"/>
    <w:rsid w:val="003F6E35"/>
    <w:rsid w:val="00400F3C"/>
    <w:rsid w:val="00401442"/>
    <w:rsid w:val="00402FF0"/>
    <w:rsid w:val="004040E8"/>
    <w:rsid w:val="00407988"/>
    <w:rsid w:val="00415043"/>
    <w:rsid w:val="004162E4"/>
    <w:rsid w:val="00420B9B"/>
    <w:rsid w:val="00426E46"/>
    <w:rsid w:val="00437273"/>
    <w:rsid w:val="00441994"/>
    <w:rsid w:val="00442675"/>
    <w:rsid w:val="00446175"/>
    <w:rsid w:val="004617FE"/>
    <w:rsid w:val="00476B64"/>
    <w:rsid w:val="004900C0"/>
    <w:rsid w:val="00496D6E"/>
    <w:rsid w:val="004A1ACB"/>
    <w:rsid w:val="004B5E29"/>
    <w:rsid w:val="004C0576"/>
    <w:rsid w:val="004C3A57"/>
    <w:rsid w:val="004D309B"/>
    <w:rsid w:val="004D511C"/>
    <w:rsid w:val="004E250D"/>
    <w:rsid w:val="004F3770"/>
    <w:rsid w:val="005109AC"/>
    <w:rsid w:val="005166EF"/>
    <w:rsid w:val="00533D71"/>
    <w:rsid w:val="00536611"/>
    <w:rsid w:val="00541B07"/>
    <w:rsid w:val="00541D5F"/>
    <w:rsid w:val="00552CA3"/>
    <w:rsid w:val="005712BB"/>
    <w:rsid w:val="0058279B"/>
    <w:rsid w:val="00597973"/>
    <w:rsid w:val="005B01F9"/>
    <w:rsid w:val="005B64A9"/>
    <w:rsid w:val="005C5045"/>
    <w:rsid w:val="005D151A"/>
    <w:rsid w:val="005D5BC1"/>
    <w:rsid w:val="005D6B27"/>
    <w:rsid w:val="00601842"/>
    <w:rsid w:val="00634095"/>
    <w:rsid w:val="0065006B"/>
    <w:rsid w:val="00681930"/>
    <w:rsid w:val="00685B62"/>
    <w:rsid w:val="00686798"/>
    <w:rsid w:val="00695A21"/>
    <w:rsid w:val="006A30A5"/>
    <w:rsid w:val="006A56D5"/>
    <w:rsid w:val="006A5A19"/>
    <w:rsid w:val="006B3B2F"/>
    <w:rsid w:val="006B5164"/>
    <w:rsid w:val="006C7FB9"/>
    <w:rsid w:val="006D0520"/>
    <w:rsid w:val="006E4E91"/>
    <w:rsid w:val="00703694"/>
    <w:rsid w:val="0073455B"/>
    <w:rsid w:val="00735FCF"/>
    <w:rsid w:val="00736F38"/>
    <w:rsid w:val="00737FCB"/>
    <w:rsid w:val="00742C1A"/>
    <w:rsid w:val="00756384"/>
    <w:rsid w:val="007573BD"/>
    <w:rsid w:val="007609E0"/>
    <w:rsid w:val="00766E50"/>
    <w:rsid w:val="0077283E"/>
    <w:rsid w:val="00775343"/>
    <w:rsid w:val="007840D7"/>
    <w:rsid w:val="00792E50"/>
    <w:rsid w:val="00797077"/>
    <w:rsid w:val="007A3EFD"/>
    <w:rsid w:val="007A7D07"/>
    <w:rsid w:val="007B7303"/>
    <w:rsid w:val="007C1743"/>
    <w:rsid w:val="007C1F06"/>
    <w:rsid w:val="007C3B45"/>
    <w:rsid w:val="007C5548"/>
    <w:rsid w:val="007C6C72"/>
    <w:rsid w:val="007C74E2"/>
    <w:rsid w:val="007E78BD"/>
    <w:rsid w:val="007F1A17"/>
    <w:rsid w:val="007F256F"/>
    <w:rsid w:val="007F335C"/>
    <w:rsid w:val="007F4AC5"/>
    <w:rsid w:val="008002F0"/>
    <w:rsid w:val="00806589"/>
    <w:rsid w:val="0081353B"/>
    <w:rsid w:val="00815DF0"/>
    <w:rsid w:val="0085491F"/>
    <w:rsid w:val="008564B1"/>
    <w:rsid w:val="00867915"/>
    <w:rsid w:val="00872333"/>
    <w:rsid w:val="008765FE"/>
    <w:rsid w:val="00876C50"/>
    <w:rsid w:val="008807DF"/>
    <w:rsid w:val="00884550"/>
    <w:rsid w:val="00891B77"/>
    <w:rsid w:val="008A1716"/>
    <w:rsid w:val="008A428F"/>
    <w:rsid w:val="008C3A2D"/>
    <w:rsid w:val="008D57C7"/>
    <w:rsid w:val="008E7B80"/>
    <w:rsid w:val="008F6712"/>
    <w:rsid w:val="00905CF4"/>
    <w:rsid w:val="00907354"/>
    <w:rsid w:val="00911B8A"/>
    <w:rsid w:val="009265EC"/>
    <w:rsid w:val="009317EA"/>
    <w:rsid w:val="00935320"/>
    <w:rsid w:val="00962A57"/>
    <w:rsid w:val="009679A3"/>
    <w:rsid w:val="00984858"/>
    <w:rsid w:val="0099690A"/>
    <w:rsid w:val="009A0A9E"/>
    <w:rsid w:val="009A4D2F"/>
    <w:rsid w:val="009C538A"/>
    <w:rsid w:val="009D4B65"/>
    <w:rsid w:val="00A02D93"/>
    <w:rsid w:val="00A04CD1"/>
    <w:rsid w:val="00A07547"/>
    <w:rsid w:val="00A53BDE"/>
    <w:rsid w:val="00A547C9"/>
    <w:rsid w:val="00A551A5"/>
    <w:rsid w:val="00A65088"/>
    <w:rsid w:val="00A74E83"/>
    <w:rsid w:val="00AA30E0"/>
    <w:rsid w:val="00AB279D"/>
    <w:rsid w:val="00AC546B"/>
    <w:rsid w:val="00AC7BD7"/>
    <w:rsid w:val="00AD100B"/>
    <w:rsid w:val="00AD66DF"/>
    <w:rsid w:val="00AE3C29"/>
    <w:rsid w:val="00AE4EA3"/>
    <w:rsid w:val="00AE4FE3"/>
    <w:rsid w:val="00B068A6"/>
    <w:rsid w:val="00B213ED"/>
    <w:rsid w:val="00B319F0"/>
    <w:rsid w:val="00B33F89"/>
    <w:rsid w:val="00B35F83"/>
    <w:rsid w:val="00B42A30"/>
    <w:rsid w:val="00B44F2B"/>
    <w:rsid w:val="00B46E5A"/>
    <w:rsid w:val="00B83225"/>
    <w:rsid w:val="00B9736A"/>
    <w:rsid w:val="00BA4627"/>
    <w:rsid w:val="00BA46A2"/>
    <w:rsid w:val="00BA7F71"/>
    <w:rsid w:val="00BB55C2"/>
    <w:rsid w:val="00BC2F85"/>
    <w:rsid w:val="00BC6ADF"/>
    <w:rsid w:val="00BE1D3C"/>
    <w:rsid w:val="00BE6456"/>
    <w:rsid w:val="00BE672B"/>
    <w:rsid w:val="00BE730B"/>
    <w:rsid w:val="00C10F5A"/>
    <w:rsid w:val="00C11A3A"/>
    <w:rsid w:val="00C17EA1"/>
    <w:rsid w:val="00C27F69"/>
    <w:rsid w:val="00C33157"/>
    <w:rsid w:val="00C3456F"/>
    <w:rsid w:val="00C3726F"/>
    <w:rsid w:val="00C42E2C"/>
    <w:rsid w:val="00C5442D"/>
    <w:rsid w:val="00C6417F"/>
    <w:rsid w:val="00C704BC"/>
    <w:rsid w:val="00C73CD6"/>
    <w:rsid w:val="00C75B41"/>
    <w:rsid w:val="00CB3F0A"/>
    <w:rsid w:val="00CD4A61"/>
    <w:rsid w:val="00CD615B"/>
    <w:rsid w:val="00CD73C7"/>
    <w:rsid w:val="00CF0B73"/>
    <w:rsid w:val="00D00E18"/>
    <w:rsid w:val="00D0172E"/>
    <w:rsid w:val="00D02801"/>
    <w:rsid w:val="00D13A9D"/>
    <w:rsid w:val="00D1512B"/>
    <w:rsid w:val="00D31A17"/>
    <w:rsid w:val="00D4316F"/>
    <w:rsid w:val="00D50653"/>
    <w:rsid w:val="00D523FF"/>
    <w:rsid w:val="00D525F7"/>
    <w:rsid w:val="00D6001A"/>
    <w:rsid w:val="00D827BA"/>
    <w:rsid w:val="00D87644"/>
    <w:rsid w:val="00D94919"/>
    <w:rsid w:val="00D95F6A"/>
    <w:rsid w:val="00DA2F1C"/>
    <w:rsid w:val="00DB1802"/>
    <w:rsid w:val="00DB720B"/>
    <w:rsid w:val="00DC1310"/>
    <w:rsid w:val="00DF22EF"/>
    <w:rsid w:val="00E04CE8"/>
    <w:rsid w:val="00E10253"/>
    <w:rsid w:val="00E15400"/>
    <w:rsid w:val="00E16B0F"/>
    <w:rsid w:val="00E249DC"/>
    <w:rsid w:val="00E265AB"/>
    <w:rsid w:val="00E325FB"/>
    <w:rsid w:val="00E44432"/>
    <w:rsid w:val="00E4751E"/>
    <w:rsid w:val="00E50E69"/>
    <w:rsid w:val="00E61064"/>
    <w:rsid w:val="00E72D10"/>
    <w:rsid w:val="00E754CD"/>
    <w:rsid w:val="00E75F2D"/>
    <w:rsid w:val="00E91827"/>
    <w:rsid w:val="00EB1FA6"/>
    <w:rsid w:val="00EB55D3"/>
    <w:rsid w:val="00EB6AA1"/>
    <w:rsid w:val="00EB720F"/>
    <w:rsid w:val="00EC16D0"/>
    <w:rsid w:val="00EC2FC3"/>
    <w:rsid w:val="00EC6290"/>
    <w:rsid w:val="00EE5F10"/>
    <w:rsid w:val="00EE74F7"/>
    <w:rsid w:val="00F04645"/>
    <w:rsid w:val="00F10AF1"/>
    <w:rsid w:val="00F1741A"/>
    <w:rsid w:val="00F22CE6"/>
    <w:rsid w:val="00F22D85"/>
    <w:rsid w:val="00F333DA"/>
    <w:rsid w:val="00F342AF"/>
    <w:rsid w:val="00F35FBD"/>
    <w:rsid w:val="00F362C0"/>
    <w:rsid w:val="00F47EF7"/>
    <w:rsid w:val="00F53757"/>
    <w:rsid w:val="00F54EBD"/>
    <w:rsid w:val="00F559EB"/>
    <w:rsid w:val="00F62097"/>
    <w:rsid w:val="00F6269A"/>
    <w:rsid w:val="00F73246"/>
    <w:rsid w:val="00F8041C"/>
    <w:rsid w:val="00F80B03"/>
    <w:rsid w:val="00F815A9"/>
    <w:rsid w:val="00F8518A"/>
    <w:rsid w:val="00F85887"/>
    <w:rsid w:val="00F96584"/>
    <w:rsid w:val="00FB63EB"/>
    <w:rsid w:val="00FC7B12"/>
    <w:rsid w:val="00FD1509"/>
    <w:rsid w:val="00FD2A3C"/>
    <w:rsid w:val="00FD468D"/>
    <w:rsid w:val="00FE4449"/>
    <w:rsid w:val="00FF59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0A1832"/>
  <w15:chartTrackingRefBased/>
  <w15:docId w15:val="{4F4F5E4E-71C1-4D20-B68A-9B3181657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15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15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15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15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5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5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5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5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5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5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15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15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15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5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5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5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5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51A"/>
    <w:rPr>
      <w:rFonts w:eastAsiaTheme="majorEastAsia" w:cstheme="majorBidi"/>
      <w:color w:val="272727" w:themeColor="text1" w:themeTint="D8"/>
    </w:rPr>
  </w:style>
  <w:style w:type="paragraph" w:styleId="Title">
    <w:name w:val="Title"/>
    <w:basedOn w:val="Normal"/>
    <w:next w:val="Normal"/>
    <w:link w:val="TitleChar"/>
    <w:uiPriority w:val="10"/>
    <w:qFormat/>
    <w:rsid w:val="005D15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5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5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5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51A"/>
    <w:pPr>
      <w:spacing w:before="160"/>
      <w:jc w:val="center"/>
    </w:pPr>
    <w:rPr>
      <w:i/>
      <w:iCs/>
      <w:color w:val="404040" w:themeColor="text1" w:themeTint="BF"/>
    </w:rPr>
  </w:style>
  <w:style w:type="character" w:customStyle="1" w:styleId="QuoteChar">
    <w:name w:val="Quote Char"/>
    <w:basedOn w:val="DefaultParagraphFont"/>
    <w:link w:val="Quote"/>
    <w:uiPriority w:val="29"/>
    <w:rsid w:val="005D151A"/>
    <w:rPr>
      <w:i/>
      <w:iCs/>
      <w:color w:val="404040" w:themeColor="text1" w:themeTint="BF"/>
    </w:rPr>
  </w:style>
  <w:style w:type="paragraph" w:styleId="ListParagraph">
    <w:name w:val="List Paragraph"/>
    <w:basedOn w:val="Normal"/>
    <w:uiPriority w:val="34"/>
    <w:qFormat/>
    <w:rsid w:val="005D151A"/>
    <w:pPr>
      <w:ind w:left="720"/>
      <w:contextualSpacing/>
    </w:pPr>
  </w:style>
  <w:style w:type="character" w:styleId="IntenseEmphasis">
    <w:name w:val="Intense Emphasis"/>
    <w:basedOn w:val="DefaultParagraphFont"/>
    <w:uiPriority w:val="21"/>
    <w:qFormat/>
    <w:rsid w:val="005D151A"/>
    <w:rPr>
      <w:i/>
      <w:iCs/>
      <w:color w:val="0F4761" w:themeColor="accent1" w:themeShade="BF"/>
    </w:rPr>
  </w:style>
  <w:style w:type="paragraph" w:styleId="IntenseQuote">
    <w:name w:val="Intense Quote"/>
    <w:basedOn w:val="Normal"/>
    <w:next w:val="Normal"/>
    <w:link w:val="IntenseQuoteChar"/>
    <w:uiPriority w:val="30"/>
    <w:qFormat/>
    <w:rsid w:val="005D15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51A"/>
    <w:rPr>
      <w:i/>
      <w:iCs/>
      <w:color w:val="0F4761" w:themeColor="accent1" w:themeShade="BF"/>
    </w:rPr>
  </w:style>
  <w:style w:type="character" w:styleId="IntenseReference">
    <w:name w:val="Intense Reference"/>
    <w:basedOn w:val="DefaultParagraphFont"/>
    <w:uiPriority w:val="32"/>
    <w:qFormat/>
    <w:rsid w:val="005D151A"/>
    <w:rPr>
      <w:b/>
      <w:bCs/>
      <w:smallCaps/>
      <w:color w:val="0F4761" w:themeColor="accent1" w:themeShade="BF"/>
      <w:spacing w:val="5"/>
    </w:rPr>
  </w:style>
  <w:style w:type="paragraph" w:styleId="Header">
    <w:name w:val="header"/>
    <w:basedOn w:val="Normal"/>
    <w:link w:val="HeaderChar"/>
    <w:uiPriority w:val="99"/>
    <w:unhideWhenUsed/>
    <w:rsid w:val="006B3B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B2F"/>
  </w:style>
  <w:style w:type="paragraph" w:styleId="Footer">
    <w:name w:val="footer"/>
    <w:basedOn w:val="Normal"/>
    <w:link w:val="FooterChar"/>
    <w:uiPriority w:val="99"/>
    <w:unhideWhenUsed/>
    <w:rsid w:val="006B3B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B2F"/>
  </w:style>
  <w:style w:type="paragraph" w:styleId="NoSpacing">
    <w:name w:val="No Spacing"/>
    <w:link w:val="NoSpacingChar"/>
    <w:uiPriority w:val="1"/>
    <w:qFormat/>
    <w:rsid w:val="00C10F5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10F5A"/>
    <w:rPr>
      <w:kern w:val="0"/>
      <w:sz w:val="22"/>
      <w:szCs w:val="22"/>
      <w:lang w:val="en-US" w:eastAsia="en-US"/>
      <w14:ligatures w14:val="none"/>
    </w:rPr>
  </w:style>
  <w:style w:type="character" w:styleId="Hyperlink">
    <w:name w:val="Hyperlink"/>
    <w:basedOn w:val="DefaultParagraphFont"/>
    <w:uiPriority w:val="99"/>
    <w:unhideWhenUsed/>
    <w:rsid w:val="002252D0"/>
    <w:rPr>
      <w:color w:val="467886" w:themeColor="hyperlink"/>
      <w:u w:val="single"/>
    </w:rPr>
  </w:style>
  <w:style w:type="character" w:styleId="UnresolvedMention">
    <w:name w:val="Unresolved Mention"/>
    <w:basedOn w:val="DefaultParagraphFont"/>
    <w:uiPriority w:val="99"/>
    <w:semiHidden/>
    <w:unhideWhenUsed/>
    <w:rsid w:val="002252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230399">
      <w:bodyDiv w:val="1"/>
      <w:marLeft w:val="0"/>
      <w:marRight w:val="0"/>
      <w:marTop w:val="0"/>
      <w:marBottom w:val="0"/>
      <w:divBdr>
        <w:top w:val="none" w:sz="0" w:space="0" w:color="auto"/>
        <w:left w:val="none" w:sz="0" w:space="0" w:color="auto"/>
        <w:bottom w:val="none" w:sz="0" w:space="0" w:color="auto"/>
        <w:right w:val="none" w:sz="0" w:space="0" w:color="auto"/>
      </w:divBdr>
    </w:div>
    <w:div w:id="120266896">
      <w:bodyDiv w:val="1"/>
      <w:marLeft w:val="0"/>
      <w:marRight w:val="0"/>
      <w:marTop w:val="0"/>
      <w:marBottom w:val="0"/>
      <w:divBdr>
        <w:top w:val="none" w:sz="0" w:space="0" w:color="auto"/>
        <w:left w:val="none" w:sz="0" w:space="0" w:color="auto"/>
        <w:bottom w:val="none" w:sz="0" w:space="0" w:color="auto"/>
        <w:right w:val="none" w:sz="0" w:space="0" w:color="auto"/>
      </w:divBdr>
      <w:divsChild>
        <w:div w:id="5137394">
          <w:marLeft w:val="360"/>
          <w:marRight w:val="0"/>
          <w:marTop w:val="200"/>
          <w:marBottom w:val="160"/>
          <w:divBdr>
            <w:top w:val="none" w:sz="0" w:space="0" w:color="auto"/>
            <w:left w:val="none" w:sz="0" w:space="0" w:color="auto"/>
            <w:bottom w:val="none" w:sz="0" w:space="0" w:color="auto"/>
            <w:right w:val="none" w:sz="0" w:space="0" w:color="auto"/>
          </w:divBdr>
        </w:div>
        <w:div w:id="660815048">
          <w:marLeft w:val="360"/>
          <w:marRight w:val="0"/>
          <w:marTop w:val="200"/>
          <w:marBottom w:val="160"/>
          <w:divBdr>
            <w:top w:val="none" w:sz="0" w:space="0" w:color="auto"/>
            <w:left w:val="none" w:sz="0" w:space="0" w:color="auto"/>
            <w:bottom w:val="none" w:sz="0" w:space="0" w:color="auto"/>
            <w:right w:val="none" w:sz="0" w:space="0" w:color="auto"/>
          </w:divBdr>
        </w:div>
        <w:div w:id="1047492245">
          <w:marLeft w:val="360"/>
          <w:marRight w:val="0"/>
          <w:marTop w:val="200"/>
          <w:marBottom w:val="160"/>
          <w:divBdr>
            <w:top w:val="none" w:sz="0" w:space="0" w:color="auto"/>
            <w:left w:val="none" w:sz="0" w:space="0" w:color="auto"/>
            <w:bottom w:val="none" w:sz="0" w:space="0" w:color="auto"/>
            <w:right w:val="none" w:sz="0" w:space="0" w:color="auto"/>
          </w:divBdr>
        </w:div>
        <w:div w:id="1403914522">
          <w:marLeft w:val="360"/>
          <w:marRight w:val="0"/>
          <w:marTop w:val="200"/>
          <w:marBottom w:val="160"/>
          <w:divBdr>
            <w:top w:val="none" w:sz="0" w:space="0" w:color="auto"/>
            <w:left w:val="none" w:sz="0" w:space="0" w:color="auto"/>
            <w:bottom w:val="none" w:sz="0" w:space="0" w:color="auto"/>
            <w:right w:val="none" w:sz="0" w:space="0" w:color="auto"/>
          </w:divBdr>
        </w:div>
        <w:div w:id="1948734593">
          <w:marLeft w:val="360"/>
          <w:marRight w:val="0"/>
          <w:marTop w:val="200"/>
          <w:marBottom w:val="160"/>
          <w:divBdr>
            <w:top w:val="none" w:sz="0" w:space="0" w:color="auto"/>
            <w:left w:val="none" w:sz="0" w:space="0" w:color="auto"/>
            <w:bottom w:val="none" w:sz="0" w:space="0" w:color="auto"/>
            <w:right w:val="none" w:sz="0" w:space="0" w:color="auto"/>
          </w:divBdr>
        </w:div>
      </w:divsChild>
    </w:div>
    <w:div w:id="133648768">
      <w:bodyDiv w:val="1"/>
      <w:marLeft w:val="0"/>
      <w:marRight w:val="0"/>
      <w:marTop w:val="0"/>
      <w:marBottom w:val="0"/>
      <w:divBdr>
        <w:top w:val="none" w:sz="0" w:space="0" w:color="auto"/>
        <w:left w:val="none" w:sz="0" w:space="0" w:color="auto"/>
        <w:bottom w:val="none" w:sz="0" w:space="0" w:color="auto"/>
        <w:right w:val="none" w:sz="0" w:space="0" w:color="auto"/>
      </w:divBdr>
    </w:div>
    <w:div w:id="203636802">
      <w:bodyDiv w:val="1"/>
      <w:marLeft w:val="0"/>
      <w:marRight w:val="0"/>
      <w:marTop w:val="0"/>
      <w:marBottom w:val="0"/>
      <w:divBdr>
        <w:top w:val="none" w:sz="0" w:space="0" w:color="auto"/>
        <w:left w:val="none" w:sz="0" w:space="0" w:color="auto"/>
        <w:bottom w:val="none" w:sz="0" w:space="0" w:color="auto"/>
        <w:right w:val="none" w:sz="0" w:space="0" w:color="auto"/>
      </w:divBdr>
    </w:div>
    <w:div w:id="213469950">
      <w:bodyDiv w:val="1"/>
      <w:marLeft w:val="0"/>
      <w:marRight w:val="0"/>
      <w:marTop w:val="0"/>
      <w:marBottom w:val="0"/>
      <w:divBdr>
        <w:top w:val="none" w:sz="0" w:space="0" w:color="auto"/>
        <w:left w:val="none" w:sz="0" w:space="0" w:color="auto"/>
        <w:bottom w:val="none" w:sz="0" w:space="0" w:color="auto"/>
        <w:right w:val="none" w:sz="0" w:space="0" w:color="auto"/>
      </w:divBdr>
      <w:divsChild>
        <w:div w:id="217203767">
          <w:marLeft w:val="-75"/>
          <w:marRight w:val="0"/>
          <w:marTop w:val="0"/>
          <w:marBottom w:val="0"/>
          <w:divBdr>
            <w:top w:val="none" w:sz="0" w:space="0" w:color="auto"/>
            <w:left w:val="none" w:sz="0" w:space="0" w:color="auto"/>
            <w:bottom w:val="none" w:sz="0" w:space="0" w:color="auto"/>
            <w:right w:val="none" w:sz="0" w:space="0" w:color="auto"/>
          </w:divBdr>
          <w:divsChild>
            <w:div w:id="250167194">
              <w:marLeft w:val="0"/>
              <w:marRight w:val="0"/>
              <w:marTop w:val="0"/>
              <w:marBottom w:val="0"/>
              <w:divBdr>
                <w:top w:val="none" w:sz="0" w:space="0" w:color="auto"/>
                <w:left w:val="none" w:sz="0" w:space="0" w:color="auto"/>
                <w:bottom w:val="none" w:sz="0" w:space="0" w:color="auto"/>
                <w:right w:val="none" w:sz="0" w:space="0" w:color="auto"/>
              </w:divBdr>
              <w:divsChild>
                <w:div w:id="478228267">
                  <w:marLeft w:val="0"/>
                  <w:marRight w:val="0"/>
                  <w:marTop w:val="0"/>
                  <w:marBottom w:val="0"/>
                  <w:divBdr>
                    <w:top w:val="none" w:sz="0" w:space="0" w:color="auto"/>
                    <w:left w:val="none" w:sz="0" w:space="0" w:color="auto"/>
                    <w:bottom w:val="none" w:sz="0" w:space="0" w:color="auto"/>
                    <w:right w:val="none" w:sz="0" w:space="0" w:color="auto"/>
                  </w:divBdr>
                </w:div>
              </w:divsChild>
            </w:div>
            <w:div w:id="1052193511">
              <w:marLeft w:val="0"/>
              <w:marRight w:val="0"/>
              <w:marTop w:val="0"/>
              <w:marBottom w:val="0"/>
              <w:divBdr>
                <w:top w:val="none" w:sz="0" w:space="0" w:color="auto"/>
                <w:left w:val="none" w:sz="0" w:space="0" w:color="auto"/>
                <w:bottom w:val="none" w:sz="0" w:space="0" w:color="auto"/>
                <w:right w:val="none" w:sz="0" w:space="0" w:color="auto"/>
              </w:divBdr>
            </w:div>
          </w:divsChild>
        </w:div>
        <w:div w:id="1465081873">
          <w:marLeft w:val="0"/>
          <w:marRight w:val="0"/>
          <w:marTop w:val="0"/>
          <w:marBottom w:val="75"/>
          <w:divBdr>
            <w:top w:val="none" w:sz="0" w:space="0" w:color="auto"/>
            <w:left w:val="none" w:sz="0" w:space="0" w:color="auto"/>
            <w:bottom w:val="none" w:sz="0" w:space="0" w:color="auto"/>
            <w:right w:val="none" w:sz="0" w:space="0" w:color="auto"/>
          </w:divBdr>
        </w:div>
      </w:divsChild>
    </w:div>
    <w:div w:id="392430853">
      <w:bodyDiv w:val="1"/>
      <w:marLeft w:val="0"/>
      <w:marRight w:val="0"/>
      <w:marTop w:val="0"/>
      <w:marBottom w:val="0"/>
      <w:divBdr>
        <w:top w:val="none" w:sz="0" w:space="0" w:color="auto"/>
        <w:left w:val="none" w:sz="0" w:space="0" w:color="auto"/>
        <w:bottom w:val="none" w:sz="0" w:space="0" w:color="auto"/>
        <w:right w:val="none" w:sz="0" w:space="0" w:color="auto"/>
      </w:divBdr>
    </w:div>
    <w:div w:id="423305764">
      <w:bodyDiv w:val="1"/>
      <w:marLeft w:val="0"/>
      <w:marRight w:val="0"/>
      <w:marTop w:val="0"/>
      <w:marBottom w:val="0"/>
      <w:divBdr>
        <w:top w:val="none" w:sz="0" w:space="0" w:color="auto"/>
        <w:left w:val="none" w:sz="0" w:space="0" w:color="auto"/>
        <w:bottom w:val="none" w:sz="0" w:space="0" w:color="auto"/>
        <w:right w:val="none" w:sz="0" w:space="0" w:color="auto"/>
      </w:divBdr>
    </w:div>
    <w:div w:id="579601278">
      <w:bodyDiv w:val="1"/>
      <w:marLeft w:val="0"/>
      <w:marRight w:val="0"/>
      <w:marTop w:val="0"/>
      <w:marBottom w:val="0"/>
      <w:divBdr>
        <w:top w:val="none" w:sz="0" w:space="0" w:color="auto"/>
        <w:left w:val="none" w:sz="0" w:space="0" w:color="auto"/>
        <w:bottom w:val="none" w:sz="0" w:space="0" w:color="auto"/>
        <w:right w:val="none" w:sz="0" w:space="0" w:color="auto"/>
      </w:divBdr>
    </w:div>
    <w:div w:id="712461913">
      <w:bodyDiv w:val="1"/>
      <w:marLeft w:val="0"/>
      <w:marRight w:val="0"/>
      <w:marTop w:val="0"/>
      <w:marBottom w:val="0"/>
      <w:divBdr>
        <w:top w:val="none" w:sz="0" w:space="0" w:color="auto"/>
        <w:left w:val="none" w:sz="0" w:space="0" w:color="auto"/>
        <w:bottom w:val="none" w:sz="0" w:space="0" w:color="auto"/>
        <w:right w:val="none" w:sz="0" w:space="0" w:color="auto"/>
      </w:divBdr>
    </w:div>
    <w:div w:id="751970783">
      <w:bodyDiv w:val="1"/>
      <w:marLeft w:val="0"/>
      <w:marRight w:val="0"/>
      <w:marTop w:val="0"/>
      <w:marBottom w:val="0"/>
      <w:divBdr>
        <w:top w:val="none" w:sz="0" w:space="0" w:color="auto"/>
        <w:left w:val="none" w:sz="0" w:space="0" w:color="auto"/>
        <w:bottom w:val="none" w:sz="0" w:space="0" w:color="auto"/>
        <w:right w:val="none" w:sz="0" w:space="0" w:color="auto"/>
      </w:divBdr>
      <w:divsChild>
        <w:div w:id="1569876037">
          <w:marLeft w:val="0"/>
          <w:marRight w:val="0"/>
          <w:marTop w:val="0"/>
          <w:marBottom w:val="0"/>
          <w:divBdr>
            <w:top w:val="single" w:sz="2" w:space="0" w:color="E5E7EB"/>
            <w:left w:val="single" w:sz="2" w:space="0" w:color="E5E7EB"/>
            <w:bottom w:val="single" w:sz="2" w:space="0" w:color="E5E7EB"/>
            <w:right w:val="single" w:sz="6" w:space="0" w:color="E5E7EB"/>
          </w:divBdr>
          <w:divsChild>
            <w:div w:id="20741587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29302759">
          <w:marLeft w:val="0"/>
          <w:marRight w:val="0"/>
          <w:marTop w:val="0"/>
          <w:marBottom w:val="0"/>
          <w:divBdr>
            <w:top w:val="single" w:sz="2" w:space="0" w:color="E5E7EB"/>
            <w:left w:val="single" w:sz="2" w:space="0" w:color="E5E7EB"/>
            <w:bottom w:val="single" w:sz="2" w:space="0" w:color="E5E7EB"/>
            <w:right w:val="single" w:sz="6" w:space="0" w:color="E5E7EB"/>
          </w:divBdr>
          <w:divsChild>
            <w:div w:id="112623900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33779697">
          <w:marLeft w:val="0"/>
          <w:marRight w:val="0"/>
          <w:marTop w:val="0"/>
          <w:marBottom w:val="0"/>
          <w:divBdr>
            <w:top w:val="single" w:sz="2" w:space="0" w:color="E5E7EB"/>
            <w:left w:val="single" w:sz="2" w:space="0" w:color="E5E7EB"/>
            <w:bottom w:val="single" w:sz="2" w:space="0" w:color="E5E7EB"/>
            <w:right w:val="single" w:sz="6" w:space="0" w:color="E5E7EB"/>
          </w:divBdr>
          <w:divsChild>
            <w:div w:id="17326575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21276604">
          <w:marLeft w:val="0"/>
          <w:marRight w:val="0"/>
          <w:marTop w:val="0"/>
          <w:marBottom w:val="0"/>
          <w:divBdr>
            <w:top w:val="single" w:sz="2" w:space="0" w:color="E5E7EB"/>
            <w:left w:val="single" w:sz="2" w:space="0" w:color="E5E7EB"/>
            <w:bottom w:val="single" w:sz="2" w:space="0" w:color="E5E7EB"/>
            <w:right w:val="single" w:sz="2" w:space="0" w:color="E5E7EB"/>
          </w:divBdr>
          <w:divsChild>
            <w:div w:id="3502300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85151385">
      <w:bodyDiv w:val="1"/>
      <w:marLeft w:val="0"/>
      <w:marRight w:val="0"/>
      <w:marTop w:val="0"/>
      <w:marBottom w:val="0"/>
      <w:divBdr>
        <w:top w:val="none" w:sz="0" w:space="0" w:color="auto"/>
        <w:left w:val="none" w:sz="0" w:space="0" w:color="auto"/>
        <w:bottom w:val="none" w:sz="0" w:space="0" w:color="auto"/>
        <w:right w:val="none" w:sz="0" w:space="0" w:color="auto"/>
      </w:divBdr>
      <w:divsChild>
        <w:div w:id="339622340">
          <w:marLeft w:val="360"/>
          <w:marRight w:val="0"/>
          <w:marTop w:val="200"/>
          <w:marBottom w:val="160"/>
          <w:divBdr>
            <w:top w:val="none" w:sz="0" w:space="0" w:color="auto"/>
            <w:left w:val="none" w:sz="0" w:space="0" w:color="auto"/>
            <w:bottom w:val="none" w:sz="0" w:space="0" w:color="auto"/>
            <w:right w:val="none" w:sz="0" w:space="0" w:color="auto"/>
          </w:divBdr>
        </w:div>
        <w:div w:id="363990594">
          <w:marLeft w:val="360"/>
          <w:marRight w:val="0"/>
          <w:marTop w:val="200"/>
          <w:marBottom w:val="160"/>
          <w:divBdr>
            <w:top w:val="none" w:sz="0" w:space="0" w:color="auto"/>
            <w:left w:val="none" w:sz="0" w:space="0" w:color="auto"/>
            <w:bottom w:val="none" w:sz="0" w:space="0" w:color="auto"/>
            <w:right w:val="none" w:sz="0" w:space="0" w:color="auto"/>
          </w:divBdr>
        </w:div>
        <w:div w:id="945962239">
          <w:marLeft w:val="360"/>
          <w:marRight w:val="0"/>
          <w:marTop w:val="200"/>
          <w:marBottom w:val="160"/>
          <w:divBdr>
            <w:top w:val="none" w:sz="0" w:space="0" w:color="auto"/>
            <w:left w:val="none" w:sz="0" w:space="0" w:color="auto"/>
            <w:bottom w:val="none" w:sz="0" w:space="0" w:color="auto"/>
            <w:right w:val="none" w:sz="0" w:space="0" w:color="auto"/>
          </w:divBdr>
        </w:div>
        <w:div w:id="1709137079">
          <w:marLeft w:val="360"/>
          <w:marRight w:val="0"/>
          <w:marTop w:val="200"/>
          <w:marBottom w:val="160"/>
          <w:divBdr>
            <w:top w:val="none" w:sz="0" w:space="0" w:color="auto"/>
            <w:left w:val="none" w:sz="0" w:space="0" w:color="auto"/>
            <w:bottom w:val="none" w:sz="0" w:space="0" w:color="auto"/>
            <w:right w:val="none" w:sz="0" w:space="0" w:color="auto"/>
          </w:divBdr>
        </w:div>
        <w:div w:id="1961647868">
          <w:marLeft w:val="360"/>
          <w:marRight w:val="0"/>
          <w:marTop w:val="200"/>
          <w:marBottom w:val="160"/>
          <w:divBdr>
            <w:top w:val="none" w:sz="0" w:space="0" w:color="auto"/>
            <w:left w:val="none" w:sz="0" w:space="0" w:color="auto"/>
            <w:bottom w:val="none" w:sz="0" w:space="0" w:color="auto"/>
            <w:right w:val="none" w:sz="0" w:space="0" w:color="auto"/>
          </w:divBdr>
        </w:div>
      </w:divsChild>
    </w:div>
    <w:div w:id="890657390">
      <w:bodyDiv w:val="1"/>
      <w:marLeft w:val="0"/>
      <w:marRight w:val="0"/>
      <w:marTop w:val="0"/>
      <w:marBottom w:val="0"/>
      <w:divBdr>
        <w:top w:val="none" w:sz="0" w:space="0" w:color="auto"/>
        <w:left w:val="none" w:sz="0" w:space="0" w:color="auto"/>
        <w:bottom w:val="none" w:sz="0" w:space="0" w:color="auto"/>
        <w:right w:val="none" w:sz="0" w:space="0" w:color="auto"/>
      </w:divBdr>
    </w:div>
    <w:div w:id="904145696">
      <w:bodyDiv w:val="1"/>
      <w:marLeft w:val="0"/>
      <w:marRight w:val="0"/>
      <w:marTop w:val="0"/>
      <w:marBottom w:val="0"/>
      <w:divBdr>
        <w:top w:val="none" w:sz="0" w:space="0" w:color="auto"/>
        <w:left w:val="none" w:sz="0" w:space="0" w:color="auto"/>
        <w:bottom w:val="none" w:sz="0" w:space="0" w:color="auto"/>
        <w:right w:val="none" w:sz="0" w:space="0" w:color="auto"/>
      </w:divBdr>
    </w:div>
    <w:div w:id="905411915">
      <w:bodyDiv w:val="1"/>
      <w:marLeft w:val="0"/>
      <w:marRight w:val="0"/>
      <w:marTop w:val="0"/>
      <w:marBottom w:val="0"/>
      <w:divBdr>
        <w:top w:val="none" w:sz="0" w:space="0" w:color="auto"/>
        <w:left w:val="none" w:sz="0" w:space="0" w:color="auto"/>
        <w:bottom w:val="none" w:sz="0" w:space="0" w:color="auto"/>
        <w:right w:val="none" w:sz="0" w:space="0" w:color="auto"/>
      </w:divBdr>
    </w:div>
    <w:div w:id="918443846">
      <w:bodyDiv w:val="1"/>
      <w:marLeft w:val="0"/>
      <w:marRight w:val="0"/>
      <w:marTop w:val="0"/>
      <w:marBottom w:val="0"/>
      <w:divBdr>
        <w:top w:val="none" w:sz="0" w:space="0" w:color="auto"/>
        <w:left w:val="none" w:sz="0" w:space="0" w:color="auto"/>
        <w:bottom w:val="none" w:sz="0" w:space="0" w:color="auto"/>
        <w:right w:val="none" w:sz="0" w:space="0" w:color="auto"/>
      </w:divBdr>
    </w:div>
    <w:div w:id="962737199">
      <w:bodyDiv w:val="1"/>
      <w:marLeft w:val="0"/>
      <w:marRight w:val="0"/>
      <w:marTop w:val="0"/>
      <w:marBottom w:val="0"/>
      <w:divBdr>
        <w:top w:val="none" w:sz="0" w:space="0" w:color="auto"/>
        <w:left w:val="none" w:sz="0" w:space="0" w:color="auto"/>
        <w:bottom w:val="none" w:sz="0" w:space="0" w:color="auto"/>
        <w:right w:val="none" w:sz="0" w:space="0" w:color="auto"/>
      </w:divBdr>
      <w:divsChild>
        <w:div w:id="1328555224">
          <w:marLeft w:val="0"/>
          <w:marRight w:val="0"/>
          <w:marTop w:val="0"/>
          <w:marBottom w:val="0"/>
          <w:divBdr>
            <w:top w:val="single" w:sz="2" w:space="0" w:color="E5E7EB"/>
            <w:left w:val="single" w:sz="2" w:space="0" w:color="E5E7EB"/>
            <w:bottom w:val="single" w:sz="2" w:space="0" w:color="E5E7EB"/>
            <w:right w:val="single" w:sz="6" w:space="0" w:color="E5E7EB"/>
          </w:divBdr>
          <w:divsChild>
            <w:div w:id="3954012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16351011">
          <w:marLeft w:val="0"/>
          <w:marRight w:val="0"/>
          <w:marTop w:val="0"/>
          <w:marBottom w:val="0"/>
          <w:divBdr>
            <w:top w:val="single" w:sz="2" w:space="0" w:color="E5E7EB"/>
            <w:left w:val="single" w:sz="2" w:space="0" w:color="E5E7EB"/>
            <w:bottom w:val="single" w:sz="2" w:space="0" w:color="E5E7EB"/>
            <w:right w:val="single" w:sz="6" w:space="0" w:color="E5E7EB"/>
          </w:divBdr>
          <w:divsChild>
            <w:div w:id="30127827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30065715">
          <w:marLeft w:val="0"/>
          <w:marRight w:val="0"/>
          <w:marTop w:val="0"/>
          <w:marBottom w:val="0"/>
          <w:divBdr>
            <w:top w:val="single" w:sz="2" w:space="0" w:color="E5E7EB"/>
            <w:left w:val="single" w:sz="2" w:space="0" w:color="E5E7EB"/>
            <w:bottom w:val="single" w:sz="2" w:space="0" w:color="E5E7EB"/>
            <w:right w:val="single" w:sz="6" w:space="0" w:color="E5E7EB"/>
          </w:divBdr>
          <w:divsChild>
            <w:div w:id="18934232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519930458">
          <w:marLeft w:val="0"/>
          <w:marRight w:val="0"/>
          <w:marTop w:val="0"/>
          <w:marBottom w:val="0"/>
          <w:divBdr>
            <w:top w:val="single" w:sz="2" w:space="0" w:color="E5E7EB"/>
            <w:left w:val="single" w:sz="2" w:space="0" w:color="E5E7EB"/>
            <w:bottom w:val="single" w:sz="2" w:space="0" w:color="E5E7EB"/>
            <w:right w:val="single" w:sz="2" w:space="0" w:color="E5E7EB"/>
          </w:divBdr>
          <w:divsChild>
            <w:div w:id="82524445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220627994">
      <w:bodyDiv w:val="1"/>
      <w:marLeft w:val="0"/>
      <w:marRight w:val="0"/>
      <w:marTop w:val="0"/>
      <w:marBottom w:val="0"/>
      <w:divBdr>
        <w:top w:val="none" w:sz="0" w:space="0" w:color="auto"/>
        <w:left w:val="none" w:sz="0" w:space="0" w:color="auto"/>
        <w:bottom w:val="none" w:sz="0" w:space="0" w:color="auto"/>
        <w:right w:val="none" w:sz="0" w:space="0" w:color="auto"/>
      </w:divBdr>
    </w:div>
    <w:div w:id="1291135721">
      <w:bodyDiv w:val="1"/>
      <w:marLeft w:val="0"/>
      <w:marRight w:val="0"/>
      <w:marTop w:val="0"/>
      <w:marBottom w:val="0"/>
      <w:divBdr>
        <w:top w:val="none" w:sz="0" w:space="0" w:color="auto"/>
        <w:left w:val="none" w:sz="0" w:space="0" w:color="auto"/>
        <w:bottom w:val="none" w:sz="0" w:space="0" w:color="auto"/>
        <w:right w:val="none" w:sz="0" w:space="0" w:color="auto"/>
      </w:divBdr>
    </w:div>
    <w:div w:id="1337031736">
      <w:bodyDiv w:val="1"/>
      <w:marLeft w:val="0"/>
      <w:marRight w:val="0"/>
      <w:marTop w:val="0"/>
      <w:marBottom w:val="0"/>
      <w:divBdr>
        <w:top w:val="none" w:sz="0" w:space="0" w:color="auto"/>
        <w:left w:val="none" w:sz="0" w:space="0" w:color="auto"/>
        <w:bottom w:val="none" w:sz="0" w:space="0" w:color="auto"/>
        <w:right w:val="none" w:sz="0" w:space="0" w:color="auto"/>
      </w:divBdr>
    </w:div>
    <w:div w:id="1380327417">
      <w:bodyDiv w:val="1"/>
      <w:marLeft w:val="0"/>
      <w:marRight w:val="0"/>
      <w:marTop w:val="0"/>
      <w:marBottom w:val="0"/>
      <w:divBdr>
        <w:top w:val="none" w:sz="0" w:space="0" w:color="auto"/>
        <w:left w:val="none" w:sz="0" w:space="0" w:color="auto"/>
        <w:bottom w:val="none" w:sz="0" w:space="0" w:color="auto"/>
        <w:right w:val="none" w:sz="0" w:space="0" w:color="auto"/>
      </w:divBdr>
    </w:div>
    <w:div w:id="1473908967">
      <w:bodyDiv w:val="1"/>
      <w:marLeft w:val="0"/>
      <w:marRight w:val="0"/>
      <w:marTop w:val="0"/>
      <w:marBottom w:val="0"/>
      <w:divBdr>
        <w:top w:val="none" w:sz="0" w:space="0" w:color="auto"/>
        <w:left w:val="none" w:sz="0" w:space="0" w:color="auto"/>
        <w:bottom w:val="none" w:sz="0" w:space="0" w:color="auto"/>
        <w:right w:val="none" w:sz="0" w:space="0" w:color="auto"/>
      </w:divBdr>
      <w:divsChild>
        <w:div w:id="914361537">
          <w:marLeft w:val="0"/>
          <w:marRight w:val="0"/>
          <w:marTop w:val="0"/>
          <w:marBottom w:val="75"/>
          <w:divBdr>
            <w:top w:val="none" w:sz="0" w:space="0" w:color="auto"/>
            <w:left w:val="none" w:sz="0" w:space="0" w:color="auto"/>
            <w:bottom w:val="none" w:sz="0" w:space="0" w:color="auto"/>
            <w:right w:val="none" w:sz="0" w:space="0" w:color="auto"/>
          </w:divBdr>
        </w:div>
        <w:div w:id="1044063062">
          <w:marLeft w:val="-75"/>
          <w:marRight w:val="0"/>
          <w:marTop w:val="0"/>
          <w:marBottom w:val="0"/>
          <w:divBdr>
            <w:top w:val="none" w:sz="0" w:space="0" w:color="auto"/>
            <w:left w:val="none" w:sz="0" w:space="0" w:color="auto"/>
            <w:bottom w:val="none" w:sz="0" w:space="0" w:color="auto"/>
            <w:right w:val="none" w:sz="0" w:space="0" w:color="auto"/>
          </w:divBdr>
          <w:divsChild>
            <w:div w:id="599603022">
              <w:marLeft w:val="0"/>
              <w:marRight w:val="0"/>
              <w:marTop w:val="0"/>
              <w:marBottom w:val="0"/>
              <w:divBdr>
                <w:top w:val="none" w:sz="0" w:space="0" w:color="auto"/>
                <w:left w:val="none" w:sz="0" w:space="0" w:color="auto"/>
                <w:bottom w:val="none" w:sz="0" w:space="0" w:color="auto"/>
                <w:right w:val="none" w:sz="0" w:space="0" w:color="auto"/>
              </w:divBdr>
              <w:divsChild>
                <w:div w:id="343096178">
                  <w:marLeft w:val="0"/>
                  <w:marRight w:val="0"/>
                  <w:marTop w:val="0"/>
                  <w:marBottom w:val="0"/>
                  <w:divBdr>
                    <w:top w:val="none" w:sz="0" w:space="0" w:color="auto"/>
                    <w:left w:val="none" w:sz="0" w:space="0" w:color="auto"/>
                    <w:bottom w:val="none" w:sz="0" w:space="0" w:color="auto"/>
                    <w:right w:val="none" w:sz="0" w:space="0" w:color="auto"/>
                  </w:divBdr>
                </w:div>
              </w:divsChild>
            </w:div>
            <w:div w:id="146600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131211">
      <w:bodyDiv w:val="1"/>
      <w:marLeft w:val="0"/>
      <w:marRight w:val="0"/>
      <w:marTop w:val="0"/>
      <w:marBottom w:val="0"/>
      <w:divBdr>
        <w:top w:val="none" w:sz="0" w:space="0" w:color="auto"/>
        <w:left w:val="none" w:sz="0" w:space="0" w:color="auto"/>
        <w:bottom w:val="none" w:sz="0" w:space="0" w:color="auto"/>
        <w:right w:val="none" w:sz="0" w:space="0" w:color="auto"/>
      </w:divBdr>
    </w:div>
    <w:div w:id="1585651655">
      <w:bodyDiv w:val="1"/>
      <w:marLeft w:val="0"/>
      <w:marRight w:val="0"/>
      <w:marTop w:val="0"/>
      <w:marBottom w:val="0"/>
      <w:divBdr>
        <w:top w:val="none" w:sz="0" w:space="0" w:color="auto"/>
        <w:left w:val="none" w:sz="0" w:space="0" w:color="auto"/>
        <w:bottom w:val="none" w:sz="0" w:space="0" w:color="auto"/>
        <w:right w:val="none" w:sz="0" w:space="0" w:color="auto"/>
      </w:divBdr>
      <w:divsChild>
        <w:div w:id="327098504">
          <w:marLeft w:val="360"/>
          <w:marRight w:val="0"/>
          <w:marTop w:val="200"/>
          <w:marBottom w:val="160"/>
          <w:divBdr>
            <w:top w:val="none" w:sz="0" w:space="0" w:color="auto"/>
            <w:left w:val="none" w:sz="0" w:space="0" w:color="auto"/>
            <w:bottom w:val="none" w:sz="0" w:space="0" w:color="auto"/>
            <w:right w:val="none" w:sz="0" w:space="0" w:color="auto"/>
          </w:divBdr>
        </w:div>
        <w:div w:id="1594315712">
          <w:marLeft w:val="360"/>
          <w:marRight w:val="0"/>
          <w:marTop w:val="200"/>
          <w:marBottom w:val="160"/>
          <w:divBdr>
            <w:top w:val="none" w:sz="0" w:space="0" w:color="auto"/>
            <w:left w:val="none" w:sz="0" w:space="0" w:color="auto"/>
            <w:bottom w:val="none" w:sz="0" w:space="0" w:color="auto"/>
            <w:right w:val="none" w:sz="0" w:space="0" w:color="auto"/>
          </w:divBdr>
        </w:div>
        <w:div w:id="1658148626">
          <w:marLeft w:val="360"/>
          <w:marRight w:val="0"/>
          <w:marTop w:val="200"/>
          <w:marBottom w:val="160"/>
          <w:divBdr>
            <w:top w:val="none" w:sz="0" w:space="0" w:color="auto"/>
            <w:left w:val="none" w:sz="0" w:space="0" w:color="auto"/>
            <w:bottom w:val="none" w:sz="0" w:space="0" w:color="auto"/>
            <w:right w:val="none" w:sz="0" w:space="0" w:color="auto"/>
          </w:divBdr>
        </w:div>
      </w:divsChild>
    </w:div>
    <w:div w:id="1635256981">
      <w:bodyDiv w:val="1"/>
      <w:marLeft w:val="0"/>
      <w:marRight w:val="0"/>
      <w:marTop w:val="0"/>
      <w:marBottom w:val="0"/>
      <w:divBdr>
        <w:top w:val="none" w:sz="0" w:space="0" w:color="auto"/>
        <w:left w:val="none" w:sz="0" w:space="0" w:color="auto"/>
        <w:bottom w:val="none" w:sz="0" w:space="0" w:color="auto"/>
        <w:right w:val="none" w:sz="0" w:space="0" w:color="auto"/>
      </w:divBdr>
      <w:divsChild>
        <w:div w:id="1226143771">
          <w:marLeft w:val="360"/>
          <w:marRight w:val="0"/>
          <w:marTop w:val="200"/>
          <w:marBottom w:val="160"/>
          <w:divBdr>
            <w:top w:val="none" w:sz="0" w:space="0" w:color="auto"/>
            <w:left w:val="none" w:sz="0" w:space="0" w:color="auto"/>
            <w:bottom w:val="none" w:sz="0" w:space="0" w:color="auto"/>
            <w:right w:val="none" w:sz="0" w:space="0" w:color="auto"/>
          </w:divBdr>
        </w:div>
      </w:divsChild>
    </w:div>
    <w:div w:id="1638413920">
      <w:bodyDiv w:val="1"/>
      <w:marLeft w:val="0"/>
      <w:marRight w:val="0"/>
      <w:marTop w:val="0"/>
      <w:marBottom w:val="0"/>
      <w:divBdr>
        <w:top w:val="none" w:sz="0" w:space="0" w:color="auto"/>
        <w:left w:val="none" w:sz="0" w:space="0" w:color="auto"/>
        <w:bottom w:val="none" w:sz="0" w:space="0" w:color="auto"/>
        <w:right w:val="none" w:sz="0" w:space="0" w:color="auto"/>
      </w:divBdr>
    </w:div>
    <w:div w:id="1659843459">
      <w:bodyDiv w:val="1"/>
      <w:marLeft w:val="0"/>
      <w:marRight w:val="0"/>
      <w:marTop w:val="0"/>
      <w:marBottom w:val="0"/>
      <w:divBdr>
        <w:top w:val="none" w:sz="0" w:space="0" w:color="auto"/>
        <w:left w:val="none" w:sz="0" w:space="0" w:color="auto"/>
        <w:bottom w:val="none" w:sz="0" w:space="0" w:color="auto"/>
        <w:right w:val="none" w:sz="0" w:space="0" w:color="auto"/>
      </w:divBdr>
      <w:divsChild>
        <w:div w:id="629896968">
          <w:marLeft w:val="360"/>
          <w:marRight w:val="0"/>
          <w:marTop w:val="200"/>
          <w:marBottom w:val="160"/>
          <w:divBdr>
            <w:top w:val="none" w:sz="0" w:space="0" w:color="auto"/>
            <w:left w:val="none" w:sz="0" w:space="0" w:color="auto"/>
            <w:bottom w:val="none" w:sz="0" w:space="0" w:color="auto"/>
            <w:right w:val="none" w:sz="0" w:space="0" w:color="auto"/>
          </w:divBdr>
        </w:div>
        <w:div w:id="943654431">
          <w:marLeft w:val="360"/>
          <w:marRight w:val="0"/>
          <w:marTop w:val="200"/>
          <w:marBottom w:val="160"/>
          <w:divBdr>
            <w:top w:val="none" w:sz="0" w:space="0" w:color="auto"/>
            <w:left w:val="none" w:sz="0" w:space="0" w:color="auto"/>
            <w:bottom w:val="none" w:sz="0" w:space="0" w:color="auto"/>
            <w:right w:val="none" w:sz="0" w:space="0" w:color="auto"/>
          </w:divBdr>
        </w:div>
        <w:div w:id="1243686556">
          <w:marLeft w:val="360"/>
          <w:marRight w:val="0"/>
          <w:marTop w:val="200"/>
          <w:marBottom w:val="160"/>
          <w:divBdr>
            <w:top w:val="none" w:sz="0" w:space="0" w:color="auto"/>
            <w:left w:val="none" w:sz="0" w:space="0" w:color="auto"/>
            <w:bottom w:val="none" w:sz="0" w:space="0" w:color="auto"/>
            <w:right w:val="none" w:sz="0" w:space="0" w:color="auto"/>
          </w:divBdr>
        </w:div>
        <w:div w:id="1484007188">
          <w:marLeft w:val="360"/>
          <w:marRight w:val="0"/>
          <w:marTop w:val="200"/>
          <w:marBottom w:val="160"/>
          <w:divBdr>
            <w:top w:val="none" w:sz="0" w:space="0" w:color="auto"/>
            <w:left w:val="none" w:sz="0" w:space="0" w:color="auto"/>
            <w:bottom w:val="none" w:sz="0" w:space="0" w:color="auto"/>
            <w:right w:val="none" w:sz="0" w:space="0" w:color="auto"/>
          </w:divBdr>
        </w:div>
        <w:div w:id="1861385137">
          <w:marLeft w:val="360"/>
          <w:marRight w:val="0"/>
          <w:marTop w:val="200"/>
          <w:marBottom w:val="160"/>
          <w:divBdr>
            <w:top w:val="none" w:sz="0" w:space="0" w:color="auto"/>
            <w:left w:val="none" w:sz="0" w:space="0" w:color="auto"/>
            <w:bottom w:val="none" w:sz="0" w:space="0" w:color="auto"/>
            <w:right w:val="none" w:sz="0" w:space="0" w:color="auto"/>
          </w:divBdr>
        </w:div>
      </w:divsChild>
    </w:div>
    <w:div w:id="1704475231">
      <w:bodyDiv w:val="1"/>
      <w:marLeft w:val="0"/>
      <w:marRight w:val="0"/>
      <w:marTop w:val="0"/>
      <w:marBottom w:val="0"/>
      <w:divBdr>
        <w:top w:val="none" w:sz="0" w:space="0" w:color="auto"/>
        <w:left w:val="none" w:sz="0" w:space="0" w:color="auto"/>
        <w:bottom w:val="none" w:sz="0" w:space="0" w:color="auto"/>
        <w:right w:val="none" w:sz="0" w:space="0" w:color="auto"/>
      </w:divBdr>
    </w:div>
    <w:div w:id="1739205562">
      <w:bodyDiv w:val="1"/>
      <w:marLeft w:val="0"/>
      <w:marRight w:val="0"/>
      <w:marTop w:val="0"/>
      <w:marBottom w:val="0"/>
      <w:divBdr>
        <w:top w:val="none" w:sz="0" w:space="0" w:color="auto"/>
        <w:left w:val="none" w:sz="0" w:space="0" w:color="auto"/>
        <w:bottom w:val="none" w:sz="0" w:space="0" w:color="auto"/>
        <w:right w:val="none" w:sz="0" w:space="0" w:color="auto"/>
      </w:divBdr>
    </w:div>
    <w:div w:id="1771243724">
      <w:bodyDiv w:val="1"/>
      <w:marLeft w:val="0"/>
      <w:marRight w:val="0"/>
      <w:marTop w:val="0"/>
      <w:marBottom w:val="0"/>
      <w:divBdr>
        <w:top w:val="none" w:sz="0" w:space="0" w:color="auto"/>
        <w:left w:val="none" w:sz="0" w:space="0" w:color="auto"/>
        <w:bottom w:val="none" w:sz="0" w:space="0" w:color="auto"/>
        <w:right w:val="none" w:sz="0" w:space="0" w:color="auto"/>
      </w:divBdr>
    </w:div>
    <w:div w:id="1853061549">
      <w:bodyDiv w:val="1"/>
      <w:marLeft w:val="0"/>
      <w:marRight w:val="0"/>
      <w:marTop w:val="0"/>
      <w:marBottom w:val="0"/>
      <w:divBdr>
        <w:top w:val="none" w:sz="0" w:space="0" w:color="auto"/>
        <w:left w:val="none" w:sz="0" w:space="0" w:color="auto"/>
        <w:bottom w:val="none" w:sz="0" w:space="0" w:color="auto"/>
        <w:right w:val="none" w:sz="0" w:space="0" w:color="auto"/>
      </w:divBdr>
    </w:div>
    <w:div w:id="1934168152">
      <w:bodyDiv w:val="1"/>
      <w:marLeft w:val="0"/>
      <w:marRight w:val="0"/>
      <w:marTop w:val="0"/>
      <w:marBottom w:val="0"/>
      <w:divBdr>
        <w:top w:val="none" w:sz="0" w:space="0" w:color="auto"/>
        <w:left w:val="none" w:sz="0" w:space="0" w:color="auto"/>
        <w:bottom w:val="none" w:sz="0" w:space="0" w:color="auto"/>
        <w:right w:val="none" w:sz="0" w:space="0" w:color="auto"/>
      </w:divBdr>
    </w:div>
    <w:div w:id="1949845906">
      <w:bodyDiv w:val="1"/>
      <w:marLeft w:val="0"/>
      <w:marRight w:val="0"/>
      <w:marTop w:val="0"/>
      <w:marBottom w:val="0"/>
      <w:divBdr>
        <w:top w:val="none" w:sz="0" w:space="0" w:color="auto"/>
        <w:left w:val="none" w:sz="0" w:space="0" w:color="auto"/>
        <w:bottom w:val="none" w:sz="0" w:space="0" w:color="auto"/>
        <w:right w:val="none" w:sz="0" w:space="0" w:color="auto"/>
      </w:divBdr>
    </w:div>
    <w:div w:id="2069569224">
      <w:bodyDiv w:val="1"/>
      <w:marLeft w:val="0"/>
      <w:marRight w:val="0"/>
      <w:marTop w:val="0"/>
      <w:marBottom w:val="0"/>
      <w:divBdr>
        <w:top w:val="none" w:sz="0" w:space="0" w:color="auto"/>
        <w:left w:val="none" w:sz="0" w:space="0" w:color="auto"/>
        <w:bottom w:val="none" w:sz="0" w:space="0" w:color="auto"/>
        <w:right w:val="none" w:sz="0" w:space="0" w:color="auto"/>
      </w:divBdr>
      <w:divsChild>
        <w:div w:id="176235312">
          <w:marLeft w:val="360"/>
          <w:marRight w:val="0"/>
          <w:marTop w:val="200"/>
          <w:marBottom w:val="160"/>
          <w:divBdr>
            <w:top w:val="none" w:sz="0" w:space="0" w:color="auto"/>
            <w:left w:val="none" w:sz="0" w:space="0" w:color="auto"/>
            <w:bottom w:val="none" w:sz="0" w:space="0" w:color="auto"/>
            <w:right w:val="none" w:sz="0" w:space="0" w:color="auto"/>
          </w:divBdr>
        </w:div>
        <w:div w:id="451822430">
          <w:marLeft w:val="360"/>
          <w:marRight w:val="0"/>
          <w:marTop w:val="200"/>
          <w:marBottom w:val="160"/>
          <w:divBdr>
            <w:top w:val="none" w:sz="0" w:space="0" w:color="auto"/>
            <w:left w:val="none" w:sz="0" w:space="0" w:color="auto"/>
            <w:bottom w:val="none" w:sz="0" w:space="0" w:color="auto"/>
            <w:right w:val="none" w:sz="0" w:space="0" w:color="auto"/>
          </w:divBdr>
        </w:div>
        <w:div w:id="964964896">
          <w:marLeft w:val="360"/>
          <w:marRight w:val="0"/>
          <w:marTop w:val="200"/>
          <w:marBottom w:val="160"/>
          <w:divBdr>
            <w:top w:val="none" w:sz="0" w:space="0" w:color="auto"/>
            <w:left w:val="none" w:sz="0" w:space="0" w:color="auto"/>
            <w:bottom w:val="none" w:sz="0" w:space="0" w:color="auto"/>
            <w:right w:val="none" w:sz="0" w:space="0" w:color="auto"/>
          </w:divBdr>
        </w:div>
        <w:div w:id="1033070403">
          <w:marLeft w:val="360"/>
          <w:marRight w:val="0"/>
          <w:marTop w:val="200"/>
          <w:marBottom w:val="160"/>
          <w:divBdr>
            <w:top w:val="none" w:sz="0" w:space="0" w:color="auto"/>
            <w:left w:val="none" w:sz="0" w:space="0" w:color="auto"/>
            <w:bottom w:val="none" w:sz="0" w:space="0" w:color="auto"/>
            <w:right w:val="none" w:sz="0" w:space="0" w:color="auto"/>
          </w:divBdr>
        </w:div>
        <w:div w:id="1779179486">
          <w:marLeft w:val="360"/>
          <w:marRight w:val="0"/>
          <w:marTop w:val="200"/>
          <w:marBottom w:val="160"/>
          <w:divBdr>
            <w:top w:val="none" w:sz="0" w:space="0" w:color="auto"/>
            <w:left w:val="none" w:sz="0" w:space="0" w:color="auto"/>
            <w:bottom w:val="none" w:sz="0" w:space="0" w:color="auto"/>
            <w:right w:val="none" w:sz="0" w:space="0" w:color="auto"/>
          </w:divBdr>
        </w:div>
      </w:divsChild>
    </w:div>
    <w:div w:id="2128620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kingston.ac.uk/view/creators/5026.html" TargetMode="External"/><Relationship Id="rId3" Type="http://schemas.openxmlformats.org/officeDocument/2006/relationships/settings" Target="settings.xml"/><Relationship Id="rId7" Type="http://schemas.openxmlformats.org/officeDocument/2006/relationships/hyperlink" Target="https://eprints.kingston.ac.uk/view/creators/4334.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4868</TotalTime>
  <Pages>16</Pages>
  <Words>5864</Words>
  <Characters>33430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Word Count – 3,431</Company>
  <LinksUpToDate>false</LinksUpToDate>
  <CharactersWithSpaces>39216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ECDE7012             Assessment Component 1</dc:title>
  <dc:subject/>
  <dc:creator>Donna Morgan - 1051704</dc:creator>
  <cp:keywords/>
  <dc:description/>
  <cp:lastModifiedBy>Donna Morgan</cp:lastModifiedBy>
  <cp:revision>257</cp:revision>
  <dcterms:created xsi:type="dcterms:W3CDTF">2025-04-05T16:11:00Z</dcterms:created>
  <dcterms:modified xsi:type="dcterms:W3CDTF">2025-04-27T22:33:00Z</dcterms:modified>
</cp:coreProperties>
</file>