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A03030" w14:textId="77777777" w:rsidR="00890C1F" w:rsidRPr="00C534B2" w:rsidRDefault="00890C1F" w:rsidP="00C534B2">
      <w:pPr>
        <w:spacing w:line="360" w:lineRule="auto"/>
        <w:jc w:val="center"/>
        <w:rPr>
          <w:rFonts w:ascii="Tahoma" w:hAnsi="Tahoma" w:cs="Tahoma"/>
          <w:b/>
          <w:bCs/>
          <w:sz w:val="52"/>
          <w:szCs w:val="52"/>
        </w:rPr>
      </w:pPr>
    </w:p>
    <w:p w14:paraId="47656E3D" w14:textId="77777777" w:rsidR="00890C1F" w:rsidRPr="00C534B2" w:rsidRDefault="00890C1F" w:rsidP="00C534B2">
      <w:pPr>
        <w:spacing w:line="360" w:lineRule="auto"/>
        <w:jc w:val="center"/>
        <w:rPr>
          <w:rFonts w:ascii="Tahoma" w:hAnsi="Tahoma" w:cs="Tahoma"/>
          <w:b/>
          <w:bCs/>
          <w:sz w:val="52"/>
          <w:szCs w:val="52"/>
        </w:rPr>
      </w:pPr>
      <w:r w:rsidRPr="00C534B2">
        <w:rPr>
          <w:rFonts w:ascii="Tahoma" w:hAnsi="Tahoma" w:cs="Tahoma"/>
          <w:b/>
          <w:bCs/>
          <w:sz w:val="52"/>
          <w:szCs w:val="52"/>
        </w:rPr>
        <w:t>BMHP6029: PSYCHOLOGICAL CLASSIFICATIONS AND PROVISIONS</w:t>
      </w:r>
    </w:p>
    <w:p w14:paraId="1942FAF8" w14:textId="06E9760E" w:rsidR="00890C1F" w:rsidRPr="00C534B2" w:rsidRDefault="00890C1F" w:rsidP="00C534B2">
      <w:pPr>
        <w:spacing w:line="360" w:lineRule="auto"/>
        <w:jc w:val="center"/>
        <w:rPr>
          <w:rFonts w:ascii="Tahoma" w:hAnsi="Tahoma" w:cs="Tahoma"/>
          <w:sz w:val="32"/>
          <w:szCs w:val="32"/>
        </w:rPr>
      </w:pPr>
      <w:r w:rsidRPr="00C534B2">
        <w:rPr>
          <w:rFonts w:ascii="Tahoma" w:hAnsi="Tahoma" w:cs="Tahoma"/>
          <w:sz w:val="32"/>
          <w:szCs w:val="32"/>
        </w:rPr>
        <w:t>Component 2: Written Assignment</w:t>
      </w:r>
    </w:p>
    <w:p w14:paraId="39A2C9A5" w14:textId="77777777" w:rsidR="00890C1F" w:rsidRPr="00C534B2" w:rsidRDefault="00890C1F" w:rsidP="00C534B2">
      <w:pPr>
        <w:spacing w:line="360" w:lineRule="auto"/>
        <w:jc w:val="center"/>
        <w:rPr>
          <w:rFonts w:ascii="Tahoma" w:hAnsi="Tahoma" w:cs="Tahoma"/>
          <w:b/>
          <w:bCs/>
          <w:sz w:val="52"/>
          <w:szCs w:val="52"/>
        </w:rPr>
      </w:pPr>
    </w:p>
    <w:p w14:paraId="351E98B5" w14:textId="77777777" w:rsidR="00890C1F" w:rsidRPr="00C534B2" w:rsidRDefault="00890C1F" w:rsidP="00C534B2">
      <w:pPr>
        <w:spacing w:line="360" w:lineRule="auto"/>
        <w:jc w:val="both"/>
        <w:rPr>
          <w:rFonts w:ascii="Arial" w:hAnsi="Arial" w:cs="Arial"/>
          <w:b/>
          <w:bCs/>
        </w:rPr>
      </w:pPr>
    </w:p>
    <w:p w14:paraId="71D52274" w14:textId="77777777" w:rsidR="00890C1F" w:rsidRPr="00C534B2" w:rsidRDefault="00890C1F" w:rsidP="00C534B2">
      <w:pPr>
        <w:spacing w:line="360" w:lineRule="auto"/>
        <w:jc w:val="both"/>
        <w:rPr>
          <w:rFonts w:ascii="Arial" w:hAnsi="Arial" w:cs="Arial"/>
          <w:b/>
          <w:bCs/>
        </w:rPr>
      </w:pPr>
    </w:p>
    <w:p w14:paraId="443FFDF8" w14:textId="7993D40B" w:rsidR="00C534B2" w:rsidRPr="00C534B2" w:rsidRDefault="00C534B2" w:rsidP="00996394">
      <w:pPr>
        <w:spacing w:line="360" w:lineRule="auto"/>
        <w:jc w:val="center"/>
        <w:rPr>
          <w:rFonts w:ascii="Arial" w:hAnsi="Arial" w:cs="Arial"/>
          <w:b/>
          <w:bCs/>
        </w:rPr>
      </w:pPr>
      <w:r w:rsidRPr="00996394">
        <w:rPr>
          <w:rFonts w:ascii="Arial" w:hAnsi="Arial" w:cs="Arial"/>
          <w:b/>
          <w:bCs/>
          <w:sz w:val="36"/>
          <w:szCs w:val="36"/>
        </w:rPr>
        <w:t>Attention Deficit Hyperactivity Disorder (ADHD)</w:t>
      </w:r>
    </w:p>
    <w:p w14:paraId="10AE274F" w14:textId="77777777" w:rsidR="00890C1F" w:rsidRPr="00C534B2" w:rsidRDefault="00890C1F" w:rsidP="00C534B2">
      <w:pPr>
        <w:spacing w:line="360" w:lineRule="auto"/>
        <w:jc w:val="both"/>
        <w:rPr>
          <w:rFonts w:ascii="Arial" w:hAnsi="Arial" w:cs="Arial"/>
          <w:b/>
          <w:bCs/>
        </w:rPr>
      </w:pPr>
    </w:p>
    <w:p w14:paraId="0426AA9D" w14:textId="77777777" w:rsidR="00890C1F" w:rsidRPr="00C534B2" w:rsidRDefault="00890C1F" w:rsidP="00C534B2">
      <w:pPr>
        <w:spacing w:line="360" w:lineRule="auto"/>
        <w:jc w:val="both"/>
        <w:rPr>
          <w:rFonts w:ascii="Arial" w:hAnsi="Arial" w:cs="Arial"/>
          <w:b/>
          <w:bCs/>
        </w:rPr>
      </w:pPr>
    </w:p>
    <w:p w14:paraId="5A6C0341" w14:textId="77777777" w:rsidR="00890C1F" w:rsidRPr="00C534B2" w:rsidRDefault="00890C1F" w:rsidP="00C534B2">
      <w:pPr>
        <w:spacing w:line="360" w:lineRule="auto"/>
        <w:jc w:val="both"/>
        <w:rPr>
          <w:rFonts w:ascii="Arial" w:hAnsi="Arial" w:cs="Arial"/>
          <w:b/>
          <w:bCs/>
        </w:rPr>
      </w:pPr>
    </w:p>
    <w:p w14:paraId="7CC5B39E" w14:textId="77777777" w:rsidR="00890C1F" w:rsidRDefault="00890C1F" w:rsidP="00C534B2">
      <w:pPr>
        <w:spacing w:line="360" w:lineRule="auto"/>
        <w:jc w:val="both"/>
        <w:rPr>
          <w:rFonts w:ascii="Arial" w:hAnsi="Arial" w:cs="Arial"/>
          <w:b/>
          <w:bCs/>
        </w:rPr>
      </w:pPr>
    </w:p>
    <w:p w14:paraId="5EC5EDB0" w14:textId="77777777" w:rsidR="00996394" w:rsidRPr="00C534B2" w:rsidRDefault="00996394" w:rsidP="00C534B2">
      <w:pPr>
        <w:spacing w:line="360" w:lineRule="auto"/>
        <w:jc w:val="both"/>
        <w:rPr>
          <w:rFonts w:ascii="Arial" w:hAnsi="Arial" w:cs="Arial"/>
          <w:b/>
          <w:bCs/>
        </w:rPr>
      </w:pPr>
    </w:p>
    <w:p w14:paraId="4788C0E4" w14:textId="77777777" w:rsidR="00890C1F" w:rsidRPr="00C534B2" w:rsidRDefault="00890C1F" w:rsidP="00C534B2">
      <w:pPr>
        <w:spacing w:line="360" w:lineRule="auto"/>
        <w:jc w:val="both"/>
        <w:rPr>
          <w:rFonts w:ascii="Arial" w:hAnsi="Arial" w:cs="Arial"/>
          <w:b/>
          <w:bCs/>
        </w:rPr>
      </w:pPr>
    </w:p>
    <w:p w14:paraId="645CB47B" w14:textId="2C545F2F" w:rsidR="00890C1F" w:rsidRPr="00C534B2" w:rsidRDefault="00890C1F" w:rsidP="00C534B2">
      <w:pPr>
        <w:spacing w:line="360" w:lineRule="auto"/>
        <w:jc w:val="both"/>
        <w:rPr>
          <w:rFonts w:ascii="Arial" w:hAnsi="Arial" w:cs="Arial"/>
          <w:b/>
          <w:bCs/>
        </w:rPr>
      </w:pPr>
      <w:r w:rsidRPr="00C534B2">
        <w:rPr>
          <w:rFonts w:ascii="Arial" w:hAnsi="Arial" w:cs="Arial"/>
          <w:b/>
          <w:bCs/>
        </w:rPr>
        <w:t xml:space="preserve">Student Name: </w:t>
      </w:r>
      <w:r w:rsidR="00625306">
        <w:rPr>
          <w:rFonts w:ascii="Arial" w:hAnsi="Arial" w:cs="Arial"/>
          <w:b/>
          <w:bCs/>
        </w:rPr>
        <w:t>Sharon Akhigbe</w:t>
      </w:r>
    </w:p>
    <w:p w14:paraId="5384C1BA" w14:textId="49A8A4DA" w:rsidR="00890C1F" w:rsidRDefault="00890C1F" w:rsidP="00C534B2">
      <w:pPr>
        <w:spacing w:line="360" w:lineRule="auto"/>
        <w:jc w:val="both"/>
        <w:rPr>
          <w:rFonts w:ascii="Arial" w:hAnsi="Arial" w:cs="Arial"/>
          <w:b/>
          <w:bCs/>
        </w:rPr>
      </w:pPr>
      <w:r w:rsidRPr="00C534B2">
        <w:rPr>
          <w:rFonts w:ascii="Arial" w:hAnsi="Arial" w:cs="Arial"/>
          <w:b/>
          <w:bCs/>
        </w:rPr>
        <w:t>Student Number:</w:t>
      </w:r>
      <w:r w:rsidR="00625306">
        <w:rPr>
          <w:rFonts w:ascii="Arial" w:hAnsi="Arial" w:cs="Arial"/>
          <w:b/>
          <w:bCs/>
        </w:rPr>
        <w:t xml:space="preserve"> 2334467</w:t>
      </w:r>
    </w:p>
    <w:p w14:paraId="72BAE297" w14:textId="5161862C" w:rsidR="004F17E9" w:rsidRPr="00C534B2" w:rsidRDefault="004F17E9" w:rsidP="00C534B2">
      <w:pPr>
        <w:spacing w:line="360" w:lineRule="auto"/>
        <w:jc w:val="both"/>
        <w:rPr>
          <w:rFonts w:ascii="Arial" w:hAnsi="Arial" w:cs="Arial"/>
          <w:b/>
          <w:bCs/>
        </w:rPr>
      </w:pPr>
      <w:r>
        <w:rPr>
          <w:rFonts w:ascii="Arial" w:hAnsi="Arial" w:cs="Arial"/>
          <w:b/>
          <w:bCs/>
        </w:rPr>
        <w:t xml:space="preserve">Lecturer: </w:t>
      </w:r>
      <w:r w:rsidR="00585620">
        <w:rPr>
          <w:rFonts w:ascii="Arial" w:hAnsi="Arial" w:cs="Arial"/>
          <w:b/>
          <w:bCs/>
        </w:rPr>
        <w:t>Neale Haddon</w:t>
      </w:r>
    </w:p>
    <w:p w14:paraId="7B90BDFD" w14:textId="77777777" w:rsidR="009E0B7B" w:rsidRPr="00C534B2" w:rsidRDefault="009E0B7B" w:rsidP="00C534B2">
      <w:pPr>
        <w:spacing w:line="360" w:lineRule="auto"/>
        <w:jc w:val="both"/>
        <w:rPr>
          <w:rFonts w:ascii="Arial" w:hAnsi="Arial" w:cs="Arial"/>
          <w:b/>
          <w:bCs/>
        </w:rPr>
      </w:pPr>
    </w:p>
    <w:p w14:paraId="0E8462A3" w14:textId="77777777" w:rsidR="00C534B2" w:rsidRPr="00C534B2" w:rsidRDefault="00C534B2" w:rsidP="00C534B2">
      <w:pPr>
        <w:spacing w:line="360" w:lineRule="auto"/>
        <w:jc w:val="both"/>
        <w:rPr>
          <w:rFonts w:ascii="Arial" w:hAnsi="Arial" w:cs="Arial"/>
          <w:b/>
          <w:bCs/>
        </w:rPr>
      </w:pPr>
    </w:p>
    <w:p w14:paraId="636E549A"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lastRenderedPageBreak/>
        <w:t>Introduction</w:t>
      </w:r>
    </w:p>
    <w:p w14:paraId="1AB08F4F" w14:textId="044F927A" w:rsidR="00996394" w:rsidRPr="00996394" w:rsidRDefault="00996394" w:rsidP="00996394">
      <w:pPr>
        <w:spacing w:line="360" w:lineRule="auto"/>
        <w:jc w:val="both"/>
        <w:rPr>
          <w:rFonts w:ascii="Arial" w:hAnsi="Arial" w:cs="Arial"/>
        </w:rPr>
      </w:pPr>
      <w:r w:rsidRPr="00996394">
        <w:rPr>
          <w:rFonts w:ascii="Arial" w:hAnsi="Arial" w:cs="Arial"/>
        </w:rPr>
        <w:t xml:space="preserve">Attention Deficit Hyperactivity Disorder (ADHD) is a neurodevelopmental disorder characterised by the persistent presence of inattention‚ hyperactivity and impulsivity that disrupt a person's everyday life (World Health </w:t>
      </w:r>
      <w:r w:rsidR="00292489">
        <w:rPr>
          <w:rFonts w:ascii="Arial" w:hAnsi="Arial" w:cs="Arial"/>
        </w:rPr>
        <w:t>Organisation</w:t>
      </w:r>
      <w:r w:rsidRPr="00996394">
        <w:rPr>
          <w:rFonts w:ascii="Arial" w:hAnsi="Arial" w:cs="Arial"/>
        </w:rPr>
        <w:t xml:space="preserve"> (WHO</w:t>
      </w:r>
      <w:r>
        <w:rPr>
          <w:rFonts w:ascii="Arial" w:hAnsi="Arial" w:cs="Arial"/>
        </w:rPr>
        <w:t>),</w:t>
      </w:r>
      <w:r w:rsidRPr="00996394">
        <w:rPr>
          <w:rFonts w:ascii="Arial" w:hAnsi="Arial" w:cs="Arial"/>
        </w:rPr>
        <w:t xml:space="preserve"> 2022</w:t>
      </w:r>
      <w:r>
        <w:rPr>
          <w:rFonts w:ascii="Arial" w:hAnsi="Arial" w:cs="Arial"/>
        </w:rPr>
        <w:t>).</w:t>
      </w:r>
      <w:r w:rsidRPr="00996394">
        <w:rPr>
          <w:rFonts w:ascii="Arial" w:hAnsi="Arial" w:cs="Arial"/>
        </w:rPr>
        <w:t xml:space="preserve"> It is most commonly diagnosed in childhood‚ but symptoms persist into adolescence and adulthood‚ affecting educational and occupational attainment‚ relationships‚ and mental health (Faraone et </w:t>
      </w:r>
      <w:r w:rsidR="00292489">
        <w:rPr>
          <w:rFonts w:ascii="Arial" w:hAnsi="Arial" w:cs="Arial"/>
        </w:rPr>
        <w:t xml:space="preserve">al </w:t>
      </w:r>
      <w:r w:rsidRPr="00996394">
        <w:rPr>
          <w:rFonts w:ascii="Arial" w:hAnsi="Arial" w:cs="Arial"/>
        </w:rPr>
        <w:t>‚ 2021</w:t>
      </w:r>
      <w:r>
        <w:rPr>
          <w:rFonts w:ascii="Arial" w:hAnsi="Arial" w:cs="Arial"/>
        </w:rPr>
        <w:t>).</w:t>
      </w:r>
      <w:r w:rsidRPr="00996394">
        <w:rPr>
          <w:rFonts w:ascii="Arial" w:hAnsi="Arial" w:cs="Arial"/>
        </w:rPr>
        <w:t xml:space="preserve"> Furthermore‚ over the last couple of decades‚ awareness of ADHD has increased‚ and more people have become attuned to the difficulties experienced by people with ADHD</w:t>
      </w:r>
      <w:r w:rsidRPr="00996394">
        <w:rPr>
          <w:rFonts w:ascii="MS Gothic" w:eastAsia="MS Gothic" w:hAnsi="MS Gothic" w:cs="MS Gothic" w:hint="eastAsia"/>
        </w:rPr>
        <w:t>․</w:t>
      </w:r>
    </w:p>
    <w:p w14:paraId="18B5419D" w14:textId="0AEBED31" w:rsidR="00996394" w:rsidRPr="00996394" w:rsidRDefault="00996394" w:rsidP="00996394">
      <w:pPr>
        <w:spacing w:line="360" w:lineRule="auto"/>
        <w:jc w:val="both"/>
        <w:rPr>
          <w:rFonts w:ascii="Arial" w:hAnsi="Arial" w:cs="Arial"/>
        </w:rPr>
      </w:pPr>
      <w:r w:rsidRPr="00996394">
        <w:rPr>
          <w:rFonts w:ascii="Arial" w:hAnsi="Arial" w:cs="Arial"/>
        </w:rPr>
        <w:t>Although ADHD is now an accepted diagnosis‚ some controversy exists regarding its classification‚ diagnosis and treatment</w:t>
      </w:r>
      <w:r w:rsidRPr="00996394">
        <w:rPr>
          <w:rFonts w:ascii="MS Gothic" w:eastAsia="MS Gothic" w:hAnsi="MS Gothic" w:cs="MS Gothic" w:hint="eastAsia"/>
        </w:rPr>
        <w:t>․</w:t>
      </w:r>
      <w:r w:rsidRPr="00996394">
        <w:rPr>
          <w:rFonts w:ascii="Arial" w:hAnsi="Arial" w:cs="Arial"/>
        </w:rPr>
        <w:t xml:space="preserve"> For example‚ increasing levels of diagnosis may be a result of improved recognition and access to treatment‚ while other authors contend that normal behavioural differences are being increasingly medicalised (</w:t>
      </w:r>
      <w:r w:rsidR="00292489" w:rsidRPr="00996394">
        <w:rPr>
          <w:rFonts w:ascii="Arial" w:hAnsi="Arial" w:cs="Arial"/>
        </w:rPr>
        <w:t>Timmi</w:t>
      </w:r>
      <w:r w:rsidRPr="00996394">
        <w:rPr>
          <w:rFonts w:ascii="Arial" w:hAnsi="Arial" w:cs="Arial"/>
        </w:rPr>
        <w:t xml:space="preserve"> and Leo‚ 2009</w:t>
      </w:r>
      <w:r>
        <w:rPr>
          <w:rFonts w:ascii="Arial" w:hAnsi="Arial" w:cs="Arial"/>
        </w:rPr>
        <w:t>).</w:t>
      </w:r>
      <w:r w:rsidRPr="00996394">
        <w:rPr>
          <w:rFonts w:ascii="Arial" w:hAnsi="Arial" w:cs="Arial"/>
        </w:rPr>
        <w:t xml:space="preserve"> Similarly, some neurodiversity perspectives have criticised the </w:t>
      </w:r>
      <w:r w:rsidR="00292489">
        <w:rPr>
          <w:rFonts w:ascii="Arial" w:hAnsi="Arial" w:cs="Arial"/>
        </w:rPr>
        <w:t>medicalisation</w:t>
      </w:r>
      <w:r w:rsidRPr="00996394">
        <w:rPr>
          <w:rFonts w:ascii="Arial" w:hAnsi="Arial" w:cs="Arial"/>
        </w:rPr>
        <w:t xml:space="preserve"> of ADHD by arguing that it reflects a natural variation in human diversity and is not solely a disorder (Chapman‚ 2021</w:t>
      </w:r>
      <w:r>
        <w:rPr>
          <w:rFonts w:ascii="Arial" w:hAnsi="Arial" w:cs="Arial"/>
        </w:rPr>
        <w:t xml:space="preserve">). </w:t>
      </w:r>
      <w:r w:rsidRPr="00996394">
        <w:rPr>
          <w:rFonts w:ascii="Arial" w:hAnsi="Arial" w:cs="Arial"/>
        </w:rPr>
        <w:t>In addition to a critical review of ICD-11 diagnostic criteria for ADHD‚ the article provides guidance on classification‚ diagnosis‚ treatment and rehabilitation‚ emerging issues‚ controversies‚ and recommendations for policy and practice with respect to ADHD</w:t>
      </w:r>
      <w:r w:rsidRPr="00996394">
        <w:rPr>
          <w:rFonts w:ascii="MS Gothic" w:eastAsia="MS Gothic" w:hAnsi="MS Gothic" w:cs="MS Gothic" w:hint="eastAsia"/>
        </w:rPr>
        <w:t>․</w:t>
      </w:r>
    </w:p>
    <w:p w14:paraId="7CA2EC6A" w14:textId="77777777" w:rsidR="00996394" w:rsidRPr="00996394" w:rsidRDefault="00996394" w:rsidP="00996394">
      <w:pPr>
        <w:spacing w:line="360" w:lineRule="auto"/>
        <w:jc w:val="both"/>
        <w:rPr>
          <w:rFonts w:ascii="Arial" w:hAnsi="Arial" w:cs="Arial"/>
        </w:rPr>
      </w:pPr>
    </w:p>
    <w:p w14:paraId="1154A130"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Classification and Diagnosis of ADHD in ICD-11</w:t>
      </w:r>
    </w:p>
    <w:p w14:paraId="76B85985" w14:textId="18E35D1F" w:rsidR="00996394" w:rsidRPr="00996394" w:rsidRDefault="00996394" w:rsidP="00996394">
      <w:pPr>
        <w:spacing w:line="360" w:lineRule="auto"/>
        <w:jc w:val="both"/>
        <w:rPr>
          <w:rFonts w:ascii="Arial" w:hAnsi="Arial" w:cs="Arial"/>
        </w:rPr>
      </w:pPr>
      <w:r w:rsidRPr="00996394">
        <w:rPr>
          <w:rFonts w:ascii="Arial" w:hAnsi="Arial" w:cs="Arial"/>
        </w:rPr>
        <w:t>ADHD is included in the Neurodevelopmental Disorders chapter of the ICD-11 with a code of 6A05</w:t>
      </w:r>
      <w:r w:rsidRPr="00996394">
        <w:rPr>
          <w:rFonts w:ascii="MS Gothic" w:eastAsia="MS Gothic" w:hAnsi="MS Gothic" w:cs="MS Gothic" w:hint="eastAsia"/>
        </w:rPr>
        <w:t>․</w:t>
      </w:r>
      <w:r w:rsidRPr="00996394">
        <w:rPr>
          <w:rFonts w:ascii="Arial" w:hAnsi="Arial" w:cs="Arial"/>
        </w:rPr>
        <w:t xml:space="preserve"> The ICD-11 definition of ADHD is as a pattern of inattention and/or hyperactivity-impulsivity which is developmentally inappropriate and which causes clinically important impairment in personal‚ social‚ educational or occupational functioning (WHO‚ 2022</w:t>
      </w:r>
      <w:r>
        <w:rPr>
          <w:rFonts w:ascii="Arial" w:hAnsi="Arial" w:cs="Arial"/>
        </w:rPr>
        <w:t>).</w:t>
      </w:r>
      <w:r w:rsidRPr="00996394">
        <w:rPr>
          <w:rFonts w:ascii="Arial" w:hAnsi="Arial" w:cs="Arial"/>
        </w:rPr>
        <w:t xml:space="preserve"> Symptoms must occur in more than one setting and must develop during the developmental period</w:t>
      </w:r>
      <w:r w:rsidRPr="00996394">
        <w:rPr>
          <w:rFonts w:ascii="MS Gothic" w:eastAsia="MS Gothic" w:hAnsi="MS Gothic" w:cs="MS Gothic" w:hint="eastAsia"/>
        </w:rPr>
        <w:t>․</w:t>
      </w:r>
    </w:p>
    <w:p w14:paraId="0DAADC00" w14:textId="4A228706" w:rsidR="00996394" w:rsidRPr="00996394" w:rsidRDefault="00996394" w:rsidP="00996394">
      <w:pPr>
        <w:spacing w:line="360" w:lineRule="auto"/>
        <w:jc w:val="both"/>
        <w:rPr>
          <w:rFonts w:ascii="Arial" w:hAnsi="Arial" w:cs="Arial"/>
        </w:rPr>
      </w:pPr>
      <w:r w:rsidRPr="00996394">
        <w:rPr>
          <w:rFonts w:ascii="Arial" w:hAnsi="Arial" w:cs="Arial"/>
        </w:rPr>
        <w:t>One of ICD-11's major advantages is that ADHD's presentations‚ such as predominantly inattentive presentation‚ predominantly hyperactive-impulsive presentation and combined presentation‚ are acknowledged</w:t>
      </w:r>
      <w:r w:rsidRPr="00996394">
        <w:rPr>
          <w:rFonts w:ascii="MS Gothic" w:eastAsia="MS Gothic" w:hAnsi="MS Gothic" w:cs="MS Gothic" w:hint="eastAsia"/>
        </w:rPr>
        <w:t>․</w:t>
      </w:r>
      <w:r w:rsidRPr="00996394">
        <w:rPr>
          <w:rFonts w:ascii="Arial" w:hAnsi="Arial" w:cs="Arial"/>
        </w:rPr>
        <w:t xml:space="preserve"> Given the variation within ADHD presentations (Faraone et al</w:t>
      </w:r>
      <w:r w:rsidRPr="00996394">
        <w:rPr>
          <w:rFonts w:ascii="MS Gothic" w:eastAsia="MS Gothic" w:hAnsi="MS Gothic" w:cs="MS Gothic" w:hint="eastAsia"/>
        </w:rPr>
        <w:t>․</w:t>
      </w:r>
      <w:r w:rsidRPr="00996394">
        <w:rPr>
          <w:rFonts w:ascii="Arial" w:hAnsi="Arial" w:cs="Arial"/>
        </w:rPr>
        <w:t>‚ 2021</w:t>
      </w:r>
      <w:r>
        <w:rPr>
          <w:rFonts w:ascii="Arial" w:hAnsi="Arial" w:cs="Arial"/>
        </w:rPr>
        <w:t>),</w:t>
      </w:r>
      <w:r w:rsidRPr="00996394">
        <w:rPr>
          <w:rFonts w:ascii="Arial" w:hAnsi="Arial" w:cs="Arial"/>
        </w:rPr>
        <w:t xml:space="preserve"> hyperactivity is the behavioural </w:t>
      </w:r>
      <w:r w:rsidRPr="00996394">
        <w:rPr>
          <w:rFonts w:ascii="Arial" w:hAnsi="Arial" w:cs="Arial"/>
        </w:rPr>
        <w:lastRenderedPageBreak/>
        <w:t>feature that is generally most apparent in childhood‚ while in adulthood‚ symptoms are more likely to relate to focus‚ organization‚ and emotional regulation (Asherson et al</w:t>
      </w:r>
      <w:r w:rsidRPr="00996394">
        <w:rPr>
          <w:rFonts w:ascii="MS Gothic" w:eastAsia="MS Gothic" w:hAnsi="MS Gothic" w:cs="MS Gothic" w:hint="eastAsia"/>
        </w:rPr>
        <w:t>․</w:t>
      </w:r>
      <w:r w:rsidRPr="00996394">
        <w:rPr>
          <w:rFonts w:ascii="Arial" w:hAnsi="Arial" w:cs="Arial"/>
        </w:rPr>
        <w:t>‚ 2016</w:t>
      </w:r>
      <w:r>
        <w:rPr>
          <w:rFonts w:ascii="Arial" w:hAnsi="Arial" w:cs="Arial"/>
        </w:rPr>
        <w:t xml:space="preserve">). </w:t>
      </w:r>
      <w:r w:rsidRPr="00996394">
        <w:rPr>
          <w:rFonts w:ascii="Arial" w:hAnsi="Arial" w:cs="Arial"/>
        </w:rPr>
        <w:t>The standardised diagnostic system of the ICD-11 further increases the worldwide consistency of the diagnostic process‚ as across borders‚ a diagnosis may be required to obtain educational‚ occupational</w:t>
      </w:r>
      <w:r w:rsidR="00292489">
        <w:rPr>
          <w:rFonts w:ascii="Arial" w:hAnsi="Arial" w:cs="Arial"/>
        </w:rPr>
        <w:t>,</w:t>
      </w:r>
      <w:r w:rsidRPr="00996394">
        <w:rPr>
          <w:rFonts w:ascii="Arial" w:hAnsi="Arial" w:cs="Arial"/>
        </w:rPr>
        <w:t xml:space="preserve"> and healthcare access</w:t>
      </w:r>
      <w:r w:rsidRPr="00996394">
        <w:rPr>
          <w:rFonts w:ascii="MS Gothic" w:eastAsia="MS Gothic" w:hAnsi="MS Gothic" w:cs="MS Gothic" w:hint="eastAsia"/>
        </w:rPr>
        <w:t>․</w:t>
      </w:r>
      <w:r w:rsidRPr="00996394">
        <w:rPr>
          <w:rFonts w:ascii="Arial" w:hAnsi="Arial" w:cs="Arial"/>
        </w:rPr>
        <w:t xml:space="preserve"> Early diagnosis is associated with improved long-term outcomes and fewer secondary issues such as school failure‚ unemployment‚ and mental health issues (Barkley‚ 2015</w:t>
      </w:r>
      <w:r>
        <w:rPr>
          <w:rFonts w:ascii="Arial" w:hAnsi="Arial" w:cs="Arial"/>
        </w:rPr>
        <w:t>).</w:t>
      </w:r>
    </w:p>
    <w:p w14:paraId="54AFFF31" w14:textId="72FFBE3B" w:rsidR="00996394" w:rsidRPr="00996394" w:rsidRDefault="00996394" w:rsidP="00996394">
      <w:pPr>
        <w:spacing w:line="360" w:lineRule="auto"/>
        <w:jc w:val="both"/>
        <w:rPr>
          <w:rFonts w:ascii="Arial" w:hAnsi="Arial" w:cs="Arial"/>
        </w:rPr>
      </w:pPr>
      <w:r w:rsidRPr="00996394">
        <w:rPr>
          <w:rFonts w:ascii="Arial" w:hAnsi="Arial" w:cs="Arial"/>
        </w:rPr>
        <w:t>Nevertheless‚ a number of criticisms have emerged regarding the fact that the diagnosis of ADHD is behaviourally based‚ rather than diagnosed using biological markers</w:t>
      </w:r>
      <w:r w:rsidRPr="00996394">
        <w:rPr>
          <w:rFonts w:ascii="MS Gothic" w:eastAsia="MS Gothic" w:hAnsi="MS Gothic" w:cs="MS Gothic" w:hint="eastAsia"/>
        </w:rPr>
        <w:t>․</w:t>
      </w:r>
      <w:r w:rsidRPr="00996394">
        <w:rPr>
          <w:rFonts w:ascii="Arial" w:hAnsi="Arial" w:cs="Arial"/>
        </w:rPr>
        <w:t xml:space="preserve"> There are no laboratory tests to help confirm the diagnosis of ADHD as there are for most medical conditions‚ with its diagnosis relying on clinical judgment and on the report of ADHD symptoms‚ raising questions of subjectivity and diagnostic reliability (Faraone et al</w:t>
      </w:r>
      <w:r w:rsidRPr="00996394">
        <w:rPr>
          <w:rFonts w:ascii="MS Gothic" w:eastAsia="MS Gothic" w:hAnsi="MS Gothic" w:cs="MS Gothic" w:hint="eastAsia"/>
        </w:rPr>
        <w:t>․</w:t>
      </w:r>
      <w:r w:rsidRPr="00996394">
        <w:rPr>
          <w:rFonts w:ascii="Arial" w:hAnsi="Arial" w:cs="Arial"/>
        </w:rPr>
        <w:t>‚ 2021</w:t>
      </w:r>
      <w:r>
        <w:rPr>
          <w:rFonts w:ascii="Arial" w:hAnsi="Arial" w:cs="Arial"/>
        </w:rPr>
        <w:t xml:space="preserve">). </w:t>
      </w:r>
      <w:r w:rsidRPr="00996394">
        <w:rPr>
          <w:rFonts w:ascii="Arial" w:hAnsi="Arial" w:cs="Arial"/>
        </w:rPr>
        <w:t>Another problem is with gender: most research on ADHD has been conducted on boys with hyperactive behaviour‚ not on girls</w:t>
      </w:r>
      <w:r w:rsidRPr="00996394">
        <w:rPr>
          <w:rFonts w:ascii="MS Gothic" w:eastAsia="MS Gothic" w:hAnsi="MS Gothic" w:cs="MS Gothic" w:hint="eastAsia"/>
        </w:rPr>
        <w:t>․</w:t>
      </w:r>
      <w:r w:rsidRPr="00996394">
        <w:rPr>
          <w:rFonts w:ascii="Arial" w:hAnsi="Arial" w:cs="Arial"/>
        </w:rPr>
        <w:t xml:space="preserve"> Consequently‚ girls and women with less apparent symptoms of inattention may be overlooked for an ADHD diagnosis or diagnosed later in life (Young et al</w:t>
      </w:r>
      <w:r w:rsidRPr="00996394">
        <w:rPr>
          <w:rFonts w:ascii="MS Gothic" w:eastAsia="MS Gothic" w:hAnsi="MS Gothic" w:cs="MS Gothic" w:hint="eastAsia"/>
        </w:rPr>
        <w:t>․</w:t>
      </w:r>
      <w:r w:rsidRPr="00996394">
        <w:rPr>
          <w:rFonts w:ascii="Arial" w:hAnsi="Arial" w:cs="Arial"/>
        </w:rPr>
        <w:t>‚ 2020</w:t>
      </w:r>
      <w:r>
        <w:rPr>
          <w:rFonts w:ascii="Arial" w:hAnsi="Arial" w:cs="Arial"/>
        </w:rPr>
        <w:t>),</w:t>
      </w:r>
      <w:r w:rsidRPr="00996394">
        <w:rPr>
          <w:rFonts w:ascii="Arial" w:hAnsi="Arial" w:cs="Arial"/>
        </w:rPr>
        <w:t xml:space="preserve"> and this lack of diagnosis may influence their performance in school‚ self-esteem‚ anxiety and depression symptoms‚ suggesting that current diagnostic criteria do not identify the full range of ADHD</w:t>
      </w:r>
      <w:r w:rsidRPr="00996394">
        <w:rPr>
          <w:rFonts w:ascii="MS Gothic" w:eastAsia="MS Gothic" w:hAnsi="MS Gothic" w:cs="MS Gothic" w:hint="eastAsia"/>
        </w:rPr>
        <w:t>․</w:t>
      </w:r>
    </w:p>
    <w:p w14:paraId="1E253569" w14:textId="60975C06" w:rsidR="00996394" w:rsidRPr="00996394" w:rsidRDefault="00996394" w:rsidP="00996394">
      <w:pPr>
        <w:spacing w:line="360" w:lineRule="auto"/>
        <w:jc w:val="both"/>
        <w:rPr>
          <w:rFonts w:ascii="Arial" w:hAnsi="Arial" w:cs="Arial"/>
        </w:rPr>
      </w:pPr>
      <w:r w:rsidRPr="00996394">
        <w:rPr>
          <w:rFonts w:ascii="Arial" w:hAnsi="Arial" w:cs="Arial"/>
        </w:rPr>
        <w:t>There is also important diagnostic overlap with other psychiatric disorders: impaired attention‚ restlessness</w:t>
      </w:r>
      <w:r w:rsidR="00292489">
        <w:rPr>
          <w:rFonts w:ascii="Arial" w:hAnsi="Arial" w:cs="Arial"/>
        </w:rPr>
        <w:t>,</w:t>
      </w:r>
      <w:r w:rsidRPr="00996394">
        <w:rPr>
          <w:rFonts w:ascii="Arial" w:hAnsi="Arial" w:cs="Arial"/>
        </w:rPr>
        <w:t xml:space="preserve"> and impulsivity can all occur in anxiety disorders‚ mood disorders and autism spectrum disorders (ASD</w:t>
      </w:r>
      <w:r>
        <w:rPr>
          <w:rFonts w:ascii="Arial" w:hAnsi="Arial" w:cs="Arial"/>
        </w:rPr>
        <w:t>).</w:t>
      </w:r>
      <w:r w:rsidRPr="00996394">
        <w:rPr>
          <w:rFonts w:ascii="Arial" w:hAnsi="Arial" w:cs="Arial"/>
        </w:rPr>
        <w:t xml:space="preserve"> This overlap has potential implications for misdiagnosis (Kooij et al</w:t>
      </w:r>
      <w:r w:rsidRPr="00996394">
        <w:rPr>
          <w:rFonts w:ascii="MS Gothic" w:eastAsia="MS Gothic" w:hAnsi="MS Gothic" w:cs="MS Gothic" w:hint="eastAsia"/>
        </w:rPr>
        <w:t>․</w:t>
      </w:r>
      <w:r w:rsidRPr="00996394">
        <w:rPr>
          <w:rFonts w:ascii="Arial" w:hAnsi="Arial" w:cs="Arial"/>
        </w:rPr>
        <w:t>‚ 2019</w:t>
      </w:r>
      <w:r>
        <w:rPr>
          <w:rFonts w:ascii="Arial" w:hAnsi="Arial" w:cs="Arial"/>
        </w:rPr>
        <w:t>).</w:t>
      </w:r>
      <w:r w:rsidRPr="00996394">
        <w:rPr>
          <w:rFonts w:ascii="Arial" w:hAnsi="Arial" w:cs="Arial"/>
        </w:rPr>
        <w:t xml:space="preserve"> ICD-11 does try to provide strict criteria to avoid confusion‚ but it can still be difficult to distinguish from other disorders</w:t>
      </w:r>
      <w:r>
        <w:rPr>
          <w:rFonts w:ascii="MS Gothic" w:eastAsia="MS Gothic" w:hAnsi="MS Gothic" w:cs="MS Gothic"/>
        </w:rPr>
        <w:t xml:space="preserve">. </w:t>
      </w:r>
      <w:r w:rsidRPr="00996394">
        <w:rPr>
          <w:rFonts w:ascii="Arial" w:hAnsi="Arial" w:cs="Arial"/>
        </w:rPr>
        <w:t>ADHD has also been the subject of social construction critique</w:t>
      </w:r>
      <w:r w:rsidRPr="00996394">
        <w:rPr>
          <w:rFonts w:ascii="MS Gothic" w:eastAsia="MS Gothic" w:hAnsi="MS Gothic" w:cs="MS Gothic" w:hint="eastAsia"/>
        </w:rPr>
        <w:t>․</w:t>
      </w:r>
      <w:r w:rsidRPr="00996394">
        <w:rPr>
          <w:rFonts w:ascii="Arial" w:hAnsi="Arial" w:cs="Arial"/>
        </w:rPr>
        <w:t xml:space="preserve"> In particular‚ the condition appears to be continuous‚ rather than categorical‚ meaning that it is not clear where normal behaviour ends and pathology begins (</w:t>
      </w:r>
      <w:r w:rsidR="00292489" w:rsidRPr="00996394">
        <w:rPr>
          <w:rFonts w:ascii="Arial" w:hAnsi="Arial" w:cs="Arial"/>
        </w:rPr>
        <w:t>Timini</w:t>
      </w:r>
      <w:r w:rsidRPr="00996394">
        <w:rPr>
          <w:rFonts w:ascii="Arial" w:hAnsi="Arial" w:cs="Arial"/>
        </w:rPr>
        <w:t xml:space="preserve"> and Leo‚ 2009</w:t>
      </w:r>
      <w:r>
        <w:rPr>
          <w:rFonts w:ascii="Arial" w:hAnsi="Arial" w:cs="Arial"/>
        </w:rPr>
        <w:t>).</w:t>
      </w:r>
      <w:r w:rsidRPr="00996394">
        <w:rPr>
          <w:rFonts w:ascii="Arial" w:hAnsi="Arial" w:cs="Arial"/>
        </w:rPr>
        <w:t xml:space="preserve"> As a consequence of this conception</w:t>
      </w:r>
      <w:r w:rsidR="00292489">
        <w:rPr>
          <w:rFonts w:ascii="Arial" w:hAnsi="Arial" w:cs="Arial"/>
        </w:rPr>
        <w:t>,</w:t>
      </w:r>
      <w:r w:rsidRPr="00996394">
        <w:rPr>
          <w:rFonts w:ascii="Arial" w:hAnsi="Arial" w:cs="Arial"/>
        </w:rPr>
        <w:t xml:space="preserve"> it is thought that behaviours which would otherwise be attributed to schooling‚ social pressures or the environment are instead viewed as </w:t>
      </w:r>
      <w:r w:rsidRPr="00996394">
        <w:rPr>
          <w:rFonts w:ascii="Arial" w:hAnsi="Arial" w:cs="Arial"/>
        </w:rPr>
        <w:lastRenderedPageBreak/>
        <w:t>evidence of a medical condition</w:t>
      </w:r>
      <w:r w:rsidRPr="00996394">
        <w:rPr>
          <w:rFonts w:ascii="MS Gothic" w:eastAsia="MS Gothic" w:hAnsi="MS Gothic" w:cs="MS Gothic" w:hint="eastAsia"/>
        </w:rPr>
        <w:t>․</w:t>
      </w:r>
      <w:r w:rsidRPr="00996394">
        <w:rPr>
          <w:rFonts w:ascii="Arial" w:hAnsi="Arial" w:cs="Arial"/>
        </w:rPr>
        <w:t xml:space="preserve"> This has contributed to the topic of overdiagnosis and the </w:t>
      </w:r>
      <w:r w:rsidR="00292489">
        <w:rPr>
          <w:rFonts w:ascii="Arial" w:hAnsi="Arial" w:cs="Arial"/>
        </w:rPr>
        <w:t>medicalisation</w:t>
      </w:r>
      <w:r w:rsidRPr="00996394">
        <w:rPr>
          <w:rFonts w:ascii="Arial" w:hAnsi="Arial" w:cs="Arial"/>
        </w:rPr>
        <w:t xml:space="preserve"> of childhood behaviour</w:t>
      </w:r>
      <w:r w:rsidRPr="00996394">
        <w:rPr>
          <w:rFonts w:ascii="MS Gothic" w:eastAsia="MS Gothic" w:hAnsi="MS Gothic" w:cs="MS Gothic" w:hint="eastAsia"/>
        </w:rPr>
        <w:t>․</w:t>
      </w:r>
    </w:p>
    <w:p w14:paraId="5BC90FBE" w14:textId="41B711FE" w:rsidR="00996394" w:rsidRPr="00996394" w:rsidRDefault="00996394" w:rsidP="00996394">
      <w:pPr>
        <w:spacing w:line="360" w:lineRule="auto"/>
        <w:jc w:val="both"/>
        <w:rPr>
          <w:rFonts w:ascii="Arial" w:hAnsi="Arial" w:cs="Arial"/>
        </w:rPr>
      </w:pPr>
      <w:r w:rsidRPr="00996394">
        <w:rPr>
          <w:rFonts w:ascii="Arial" w:hAnsi="Arial" w:cs="Arial"/>
        </w:rPr>
        <w:t>Conversely‚ proponents of the diagnosis argue that findings of brain structure‚ genetics‚ and function differences between people with and without ADHD are wide-ranging in peer-reviewed scientific literature (Faraone et al</w:t>
      </w:r>
      <w:r w:rsidRPr="00996394">
        <w:rPr>
          <w:rFonts w:ascii="MS Gothic" w:eastAsia="MS Gothic" w:hAnsi="MS Gothic" w:cs="MS Gothic" w:hint="eastAsia"/>
        </w:rPr>
        <w:t>․</w:t>
      </w:r>
      <w:r w:rsidRPr="00996394">
        <w:rPr>
          <w:rFonts w:ascii="Arial" w:hAnsi="Arial" w:cs="Arial"/>
        </w:rPr>
        <w:t>‚ 2021</w:t>
      </w:r>
      <w:r>
        <w:rPr>
          <w:rFonts w:ascii="Arial" w:hAnsi="Arial" w:cs="Arial"/>
        </w:rPr>
        <w:t>),</w:t>
      </w:r>
      <w:r w:rsidRPr="00996394">
        <w:rPr>
          <w:rFonts w:ascii="Arial" w:hAnsi="Arial" w:cs="Arial"/>
        </w:rPr>
        <w:t xml:space="preserve"> and that a diagnosis is necessary for people with ADHD to access treatment and support services to help improve their quality of life</w:t>
      </w:r>
      <w:r>
        <w:rPr>
          <w:rFonts w:ascii="MS Gothic" w:eastAsia="MS Gothic" w:hAnsi="MS Gothic" w:cs="MS Gothic"/>
        </w:rPr>
        <w:t xml:space="preserve">. </w:t>
      </w:r>
      <w:r>
        <w:rPr>
          <w:rFonts w:ascii="Arial" w:hAnsi="Arial" w:cs="Arial"/>
        </w:rPr>
        <w:t>Essentially</w:t>
      </w:r>
      <w:r w:rsidRPr="00996394">
        <w:rPr>
          <w:rFonts w:ascii="Arial" w:hAnsi="Arial" w:cs="Arial"/>
        </w:rPr>
        <w:t>, other neurodiversity perspectives have changed the conversation around diagnosis as neurodiversity advocates have argued for ADHD to be understood as a natural variation of cognition rather than a disorder defined by deficits (Chapman‚ 2021</w:t>
      </w:r>
      <w:r>
        <w:rPr>
          <w:rFonts w:ascii="Arial" w:hAnsi="Arial" w:cs="Arial"/>
        </w:rPr>
        <w:t>).</w:t>
      </w:r>
      <w:r w:rsidRPr="00996394">
        <w:rPr>
          <w:rFonts w:ascii="Arial" w:hAnsi="Arial" w:cs="Arial"/>
        </w:rPr>
        <w:t xml:space="preserve"> While this perspective is acceptance-promoting and de-stigmatising‚ it has been criticised for downplaying the disabilities that some people with ADHD may experience</w:t>
      </w:r>
      <w:r w:rsidRPr="00996394">
        <w:rPr>
          <w:rFonts w:ascii="MS Gothic" w:eastAsia="MS Gothic" w:hAnsi="MS Gothic" w:cs="MS Gothic" w:hint="eastAsia"/>
        </w:rPr>
        <w:t>․</w:t>
      </w:r>
      <w:r w:rsidRPr="00996394">
        <w:rPr>
          <w:rFonts w:ascii="Arial" w:hAnsi="Arial" w:cs="Arial"/>
        </w:rPr>
        <w:t xml:space="preserve"> One of the difficulties for clinicians is making the neurodiversity perspective work in practice‚ while providing appropriate clinical support</w:t>
      </w:r>
      <w:r w:rsidRPr="00996394">
        <w:rPr>
          <w:rFonts w:ascii="MS Gothic" w:eastAsia="MS Gothic" w:hAnsi="MS Gothic" w:cs="MS Gothic" w:hint="eastAsia"/>
        </w:rPr>
        <w:t>․</w:t>
      </w:r>
    </w:p>
    <w:p w14:paraId="4ECDAFA0" w14:textId="77777777" w:rsidR="00996394" w:rsidRPr="00996394" w:rsidRDefault="00996394" w:rsidP="00996394">
      <w:pPr>
        <w:spacing w:line="360" w:lineRule="auto"/>
        <w:jc w:val="both"/>
        <w:rPr>
          <w:rFonts w:ascii="Arial" w:hAnsi="Arial" w:cs="Arial"/>
        </w:rPr>
      </w:pPr>
    </w:p>
    <w:p w14:paraId="43D77DBE"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Treatment and Rehabilitation Approaches</w:t>
      </w:r>
    </w:p>
    <w:p w14:paraId="3CFFBC16"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Treatment Approaches</w:t>
      </w:r>
    </w:p>
    <w:p w14:paraId="39DF7E92" w14:textId="313AC3BC" w:rsidR="00996394" w:rsidRPr="00996394" w:rsidRDefault="00996394" w:rsidP="00996394">
      <w:pPr>
        <w:spacing w:line="360" w:lineRule="auto"/>
        <w:jc w:val="both"/>
        <w:rPr>
          <w:rFonts w:ascii="Arial" w:hAnsi="Arial" w:cs="Arial"/>
        </w:rPr>
      </w:pPr>
      <w:r w:rsidRPr="00996394">
        <w:rPr>
          <w:rFonts w:ascii="Arial" w:hAnsi="Arial" w:cs="Arial"/>
        </w:rPr>
        <w:t>The treatment of ADHD typically involves a combination of drug treatment‚ psychological approaches and educational interventions</w:t>
      </w:r>
      <w:r w:rsidRPr="00996394">
        <w:rPr>
          <w:rFonts w:ascii="MS Gothic" w:eastAsia="MS Gothic" w:hAnsi="MS Gothic" w:cs="MS Gothic" w:hint="eastAsia"/>
        </w:rPr>
        <w:t>․</w:t>
      </w:r>
      <w:r w:rsidRPr="00996394">
        <w:rPr>
          <w:rFonts w:ascii="Arial" w:hAnsi="Arial" w:cs="Arial"/>
        </w:rPr>
        <w:t xml:space="preserve"> Clinical guidelines state that a person-centred approach is used‚ with a number of factors considered including the severity of the symptoms‚ the person's age and individual circumstances (National Institute for Health and Care Excellence (NICE</w:t>
      </w:r>
      <w:r>
        <w:rPr>
          <w:rFonts w:ascii="Arial" w:hAnsi="Arial" w:cs="Arial"/>
        </w:rPr>
        <w:t>),</w:t>
      </w:r>
      <w:r w:rsidRPr="00996394">
        <w:rPr>
          <w:rFonts w:ascii="Arial" w:hAnsi="Arial" w:cs="Arial"/>
        </w:rPr>
        <w:t xml:space="preserve"> 2019</w:t>
      </w:r>
      <w:r>
        <w:rPr>
          <w:rFonts w:ascii="Arial" w:hAnsi="Arial" w:cs="Arial"/>
        </w:rPr>
        <w:t>).</w:t>
      </w:r>
      <w:r w:rsidRPr="00996394">
        <w:rPr>
          <w:rFonts w:ascii="Arial" w:hAnsi="Arial" w:cs="Arial"/>
        </w:rPr>
        <w:t xml:space="preserve"> While treatment seeks to reduce symptoms and improve functioning‚ there is debate over the best way to achieve this</w:t>
      </w:r>
      <w:r w:rsidRPr="00996394">
        <w:rPr>
          <w:rFonts w:ascii="MS Gothic" w:eastAsia="MS Gothic" w:hAnsi="MS Gothic" w:cs="MS Gothic" w:hint="eastAsia"/>
        </w:rPr>
        <w:t>․</w:t>
      </w:r>
    </w:p>
    <w:p w14:paraId="0EFC7F87" w14:textId="19B82C43" w:rsidR="00996394" w:rsidRPr="00996394" w:rsidRDefault="00996394" w:rsidP="00996394">
      <w:pPr>
        <w:spacing w:line="360" w:lineRule="auto"/>
        <w:jc w:val="both"/>
        <w:rPr>
          <w:rFonts w:ascii="Arial" w:hAnsi="Arial" w:cs="Arial"/>
        </w:rPr>
      </w:pPr>
      <w:r w:rsidRPr="00996394">
        <w:rPr>
          <w:rFonts w:ascii="Arial" w:hAnsi="Arial" w:cs="Arial"/>
        </w:rPr>
        <w:t>Medication remains one of the most commonly prescribed treatments for ADHD‚ and includes the use of stimulant medications such as methylphenidate or lisdexamfetamine</w:t>
      </w:r>
      <w:r w:rsidR="00292489">
        <w:rPr>
          <w:rFonts w:ascii="Arial" w:hAnsi="Arial" w:cs="Arial"/>
        </w:rPr>
        <w:t>,</w:t>
      </w:r>
      <w:r w:rsidRPr="00996394">
        <w:rPr>
          <w:rFonts w:ascii="Arial" w:hAnsi="Arial" w:cs="Arial"/>
        </w:rPr>
        <w:t xml:space="preserve"> which have been associated with improvements in attention‚ impulsivity and behavioural control (Cortese et al</w:t>
      </w:r>
      <w:r w:rsidRPr="00996394">
        <w:rPr>
          <w:rFonts w:ascii="MS Gothic" w:eastAsia="MS Gothic" w:hAnsi="MS Gothic" w:cs="MS Gothic" w:hint="eastAsia"/>
        </w:rPr>
        <w:t>․</w:t>
      </w:r>
      <w:r w:rsidRPr="00996394">
        <w:rPr>
          <w:rFonts w:ascii="Arial" w:hAnsi="Arial" w:cs="Arial"/>
        </w:rPr>
        <w:t>‚ 2018</w:t>
      </w:r>
      <w:r>
        <w:rPr>
          <w:rFonts w:ascii="Arial" w:hAnsi="Arial" w:cs="Arial"/>
        </w:rPr>
        <w:t>).</w:t>
      </w:r>
      <w:r w:rsidRPr="00996394">
        <w:rPr>
          <w:rFonts w:ascii="Arial" w:hAnsi="Arial" w:cs="Arial"/>
        </w:rPr>
        <w:t xml:space="preserve"> Such results suggest that medication has the potential to make a meaningful short-term difference in academic achievement and daily functioning‚ which is why many professionals consider medication useful</w:t>
      </w:r>
      <w:r>
        <w:rPr>
          <w:rFonts w:ascii="MS Gothic" w:eastAsia="MS Gothic" w:hAnsi="MS Gothic" w:cs="MS Gothic"/>
        </w:rPr>
        <w:t xml:space="preserve">. </w:t>
      </w:r>
      <w:r w:rsidRPr="00996394">
        <w:rPr>
          <w:rFonts w:ascii="Arial" w:hAnsi="Arial" w:cs="Arial"/>
        </w:rPr>
        <w:t xml:space="preserve">However, a focus on medication alone may not be optimal‚ as </w:t>
      </w:r>
      <w:r w:rsidRPr="00996394">
        <w:rPr>
          <w:rFonts w:ascii="Arial" w:hAnsi="Arial" w:cs="Arial"/>
        </w:rPr>
        <w:lastRenderedPageBreak/>
        <w:t>these pharmacological treatments may only treat the symptoms</w:t>
      </w:r>
      <w:r w:rsidRPr="00996394">
        <w:rPr>
          <w:rFonts w:ascii="MS Gothic" w:eastAsia="MS Gothic" w:hAnsi="MS Gothic" w:cs="MS Gothic" w:hint="eastAsia"/>
        </w:rPr>
        <w:t>․</w:t>
      </w:r>
      <w:r w:rsidRPr="00996394">
        <w:rPr>
          <w:rFonts w:ascii="Arial" w:hAnsi="Arial" w:cs="Arial"/>
        </w:rPr>
        <w:t xml:space="preserve"> Other environmental and social factors can also create additional challenges for people with ADHD</w:t>
      </w:r>
      <w:r w:rsidRPr="00996394">
        <w:rPr>
          <w:rFonts w:ascii="MS Gothic" w:eastAsia="MS Gothic" w:hAnsi="MS Gothic" w:cs="MS Gothic" w:hint="eastAsia"/>
        </w:rPr>
        <w:t>․</w:t>
      </w:r>
      <w:r w:rsidRPr="00996394">
        <w:rPr>
          <w:rFonts w:ascii="Arial" w:hAnsi="Arial" w:cs="Arial"/>
        </w:rPr>
        <w:t xml:space="preserve"> Medication side effects‚ such as appetite suppression‚ sleep problems and mood changes‚ can also lead to reduced adherence (Cortese et al</w:t>
      </w:r>
      <w:r w:rsidRPr="00996394">
        <w:rPr>
          <w:rFonts w:ascii="MS Gothic" w:eastAsia="MS Gothic" w:hAnsi="MS Gothic" w:cs="MS Gothic" w:hint="eastAsia"/>
        </w:rPr>
        <w:t>․</w:t>
      </w:r>
      <w:r w:rsidRPr="00996394">
        <w:rPr>
          <w:rFonts w:ascii="Arial" w:hAnsi="Arial" w:cs="Arial"/>
        </w:rPr>
        <w:t>‚ 2018</w:t>
      </w:r>
      <w:r>
        <w:rPr>
          <w:rFonts w:ascii="Arial" w:hAnsi="Arial" w:cs="Arial"/>
        </w:rPr>
        <w:t>).</w:t>
      </w:r>
      <w:r w:rsidRPr="00996394">
        <w:rPr>
          <w:rFonts w:ascii="Arial" w:hAnsi="Arial" w:cs="Arial"/>
        </w:rPr>
        <w:t xml:space="preserve"> A reliance on medication may promote a medical model of the disorder (</w:t>
      </w:r>
      <w:r w:rsidR="002B24BE" w:rsidRPr="00996394">
        <w:rPr>
          <w:rFonts w:ascii="Arial" w:hAnsi="Arial" w:cs="Arial"/>
        </w:rPr>
        <w:t>Timini</w:t>
      </w:r>
      <w:r w:rsidRPr="00996394">
        <w:rPr>
          <w:rFonts w:ascii="Arial" w:hAnsi="Arial" w:cs="Arial"/>
        </w:rPr>
        <w:t xml:space="preserve"> and Leo‚ 2009) and underemphasize the role of psychosocial treatments</w:t>
      </w:r>
      <w:r w:rsidRPr="00996394">
        <w:rPr>
          <w:rFonts w:ascii="MS Gothic" w:eastAsia="MS Gothic" w:hAnsi="MS Gothic" w:cs="MS Gothic" w:hint="eastAsia"/>
        </w:rPr>
        <w:t>․</w:t>
      </w:r>
    </w:p>
    <w:p w14:paraId="4A7BF552" w14:textId="546A6C5E" w:rsidR="00996394" w:rsidRPr="00996394" w:rsidRDefault="00996394" w:rsidP="00996394">
      <w:pPr>
        <w:spacing w:line="360" w:lineRule="auto"/>
        <w:jc w:val="both"/>
        <w:rPr>
          <w:rFonts w:ascii="Arial" w:hAnsi="Arial" w:cs="Arial"/>
        </w:rPr>
      </w:pPr>
      <w:r w:rsidRPr="00996394">
        <w:rPr>
          <w:rFonts w:ascii="Arial" w:hAnsi="Arial" w:cs="Arial"/>
        </w:rPr>
        <w:t>Psychological interventions therefore play an important complementary role</w:t>
      </w:r>
      <w:r w:rsidRPr="00996394">
        <w:rPr>
          <w:rFonts w:ascii="MS Gothic" w:eastAsia="MS Gothic" w:hAnsi="MS Gothic" w:cs="MS Gothic" w:hint="eastAsia"/>
        </w:rPr>
        <w:t>․</w:t>
      </w:r>
      <w:r w:rsidRPr="00996394">
        <w:rPr>
          <w:rFonts w:ascii="Arial" w:hAnsi="Arial" w:cs="Arial"/>
        </w:rPr>
        <w:t xml:space="preserve"> Cognitive Behavioural Therapy (CBT) has been shown to improve organisational and emotional regulation and coping strategies in adolescents and adults (Young et al</w:t>
      </w:r>
      <w:r w:rsidRPr="00996394">
        <w:rPr>
          <w:rFonts w:ascii="MS Gothic" w:eastAsia="MS Gothic" w:hAnsi="MS Gothic" w:cs="MS Gothic" w:hint="eastAsia"/>
        </w:rPr>
        <w:t>․</w:t>
      </w:r>
      <w:r w:rsidRPr="00996394">
        <w:rPr>
          <w:rFonts w:ascii="Arial" w:hAnsi="Arial" w:cs="Arial"/>
        </w:rPr>
        <w:t>‚ 2020</w:t>
      </w:r>
      <w:r>
        <w:rPr>
          <w:rFonts w:ascii="Arial" w:hAnsi="Arial" w:cs="Arial"/>
        </w:rPr>
        <w:t>).</w:t>
      </w:r>
      <w:r w:rsidRPr="00996394">
        <w:rPr>
          <w:rFonts w:ascii="Arial" w:hAnsi="Arial" w:cs="Arial"/>
        </w:rPr>
        <w:t xml:space="preserve"> Psychoeducation can help an individual and their families understand the diagnosis and develop strategies to cope with symptoms‚ as well as improve self-efficacy and decrease stigma associated with the diagnosis</w:t>
      </w:r>
      <w:r w:rsidRPr="00996394">
        <w:rPr>
          <w:rFonts w:ascii="MS Gothic" w:eastAsia="MS Gothic" w:hAnsi="MS Gothic" w:cs="MS Gothic" w:hint="eastAsia"/>
        </w:rPr>
        <w:t>․</w:t>
      </w:r>
      <w:r>
        <w:rPr>
          <w:rFonts w:ascii="Arial" w:hAnsi="Arial" w:cs="Arial"/>
        </w:rPr>
        <w:t xml:space="preserve"> </w:t>
      </w:r>
      <w:r w:rsidRPr="00996394">
        <w:rPr>
          <w:rFonts w:ascii="Arial" w:hAnsi="Arial" w:cs="Arial"/>
        </w:rPr>
        <w:t xml:space="preserve">Behavioural therapy‚ and parent training programs‚ focusing on improving the skills of parents in the management of behaviour‚ and improving family interaction‚ have been found to be helpful for children (Daley et </w:t>
      </w:r>
      <w:r w:rsidR="002B24BE">
        <w:rPr>
          <w:rFonts w:ascii="Arial" w:hAnsi="Arial" w:cs="Arial"/>
        </w:rPr>
        <w:t xml:space="preserve">al </w:t>
      </w:r>
      <w:r w:rsidRPr="00996394">
        <w:rPr>
          <w:rFonts w:ascii="Arial" w:hAnsi="Arial" w:cs="Arial"/>
        </w:rPr>
        <w:t>‚ 2018</w:t>
      </w:r>
      <w:r>
        <w:rPr>
          <w:rFonts w:ascii="Arial" w:hAnsi="Arial" w:cs="Arial"/>
        </w:rPr>
        <w:t>).</w:t>
      </w:r>
      <w:r w:rsidRPr="00996394">
        <w:rPr>
          <w:rFonts w:ascii="Arial" w:hAnsi="Arial" w:cs="Arial"/>
        </w:rPr>
        <w:t xml:space="preserve"> Studies suggest that combining medication with a behavioural intervention is frequently better than either treatment alone</w:t>
      </w:r>
      <w:r w:rsidRPr="00996394">
        <w:rPr>
          <w:rFonts w:ascii="MS Gothic" w:eastAsia="MS Gothic" w:hAnsi="MS Gothic" w:cs="MS Gothic" w:hint="eastAsia"/>
        </w:rPr>
        <w:t>․</w:t>
      </w:r>
      <w:r w:rsidRPr="00996394">
        <w:rPr>
          <w:rFonts w:ascii="Arial" w:hAnsi="Arial" w:cs="Arial"/>
        </w:rPr>
        <w:t xml:space="preserve"> This implies that an integrative approach to treatment is necessary‚ not strictly medication-based</w:t>
      </w:r>
      <w:r w:rsidRPr="00996394">
        <w:rPr>
          <w:rFonts w:ascii="MS Gothic" w:eastAsia="MS Gothic" w:hAnsi="MS Gothic" w:cs="MS Gothic" w:hint="eastAsia"/>
        </w:rPr>
        <w:t>․</w:t>
      </w:r>
    </w:p>
    <w:p w14:paraId="107F314B" w14:textId="77777777" w:rsidR="00996394" w:rsidRPr="00996394" w:rsidRDefault="00996394" w:rsidP="00996394">
      <w:pPr>
        <w:spacing w:line="360" w:lineRule="auto"/>
        <w:jc w:val="both"/>
        <w:rPr>
          <w:rFonts w:ascii="Arial" w:hAnsi="Arial" w:cs="Arial"/>
        </w:rPr>
      </w:pPr>
    </w:p>
    <w:p w14:paraId="7A92D04D"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Rehabilitation and treatment of injuries</w:t>
      </w:r>
    </w:p>
    <w:p w14:paraId="675AAD29" w14:textId="137A1BA6" w:rsidR="00996394" w:rsidRPr="00996394" w:rsidRDefault="00996394" w:rsidP="00996394">
      <w:pPr>
        <w:spacing w:line="360" w:lineRule="auto"/>
        <w:jc w:val="both"/>
        <w:rPr>
          <w:rFonts w:ascii="Arial" w:hAnsi="Arial" w:cs="Arial"/>
        </w:rPr>
      </w:pPr>
      <w:r w:rsidRPr="00996394">
        <w:rPr>
          <w:rFonts w:ascii="Arial" w:hAnsi="Arial" w:cs="Arial"/>
        </w:rPr>
        <w:t>As ADHD is commonly a lifelong disorder‚ management of both symptoms and impairment for educational‚ occupational and social function is an important aspect of rehabilitation to promote independent functioning and overall well-being</w:t>
      </w:r>
      <w:r w:rsidRPr="00996394">
        <w:rPr>
          <w:rFonts w:ascii="MS Gothic" w:eastAsia="MS Gothic" w:hAnsi="MS Gothic" w:cs="MS Gothic" w:hint="eastAsia"/>
        </w:rPr>
        <w:t>․</w:t>
      </w:r>
      <w:r>
        <w:rPr>
          <w:rFonts w:ascii="Arial" w:hAnsi="Arial" w:cs="Arial"/>
        </w:rPr>
        <w:t xml:space="preserve"> </w:t>
      </w:r>
      <w:r w:rsidRPr="00996394">
        <w:rPr>
          <w:rFonts w:ascii="Arial" w:hAnsi="Arial" w:cs="Arial"/>
        </w:rPr>
        <w:t>Educational support is also an important part of the treatment of ADHD and includes working in a structured learning environment‚ extra time for exams and/or help with organization as it leads to improved educational performance and a reduced risk of exclusion (NICE‚ 2019</w:t>
      </w:r>
      <w:r>
        <w:rPr>
          <w:rFonts w:ascii="Arial" w:hAnsi="Arial" w:cs="Arial"/>
        </w:rPr>
        <w:t>).</w:t>
      </w:r>
      <w:r w:rsidRPr="00996394">
        <w:rPr>
          <w:rFonts w:ascii="Arial" w:hAnsi="Arial" w:cs="Arial"/>
        </w:rPr>
        <w:t xml:space="preserve"> They also acknowledge that a child's difficulties may be the result of inflexible learning environments‚ not simply their impairment</w:t>
      </w:r>
      <w:r w:rsidRPr="00996394">
        <w:rPr>
          <w:rFonts w:ascii="MS Gothic" w:eastAsia="MS Gothic" w:hAnsi="MS Gothic" w:cs="MS Gothic" w:hint="eastAsia"/>
        </w:rPr>
        <w:t>․</w:t>
      </w:r>
    </w:p>
    <w:p w14:paraId="1F37505F" w14:textId="4ADFBC35" w:rsidR="00996394" w:rsidRPr="00996394" w:rsidRDefault="00996394" w:rsidP="00996394">
      <w:pPr>
        <w:spacing w:line="360" w:lineRule="auto"/>
        <w:jc w:val="both"/>
        <w:rPr>
          <w:rFonts w:ascii="Arial" w:hAnsi="Arial" w:cs="Arial"/>
        </w:rPr>
      </w:pPr>
      <w:r w:rsidRPr="00996394">
        <w:rPr>
          <w:rFonts w:ascii="Arial" w:hAnsi="Arial" w:cs="Arial"/>
        </w:rPr>
        <w:t>Workplace rehabilitation is another issue‚ as adults with ADHD may struggle with managing time‚ organising‚ and meeting deadlines</w:t>
      </w:r>
      <w:r w:rsidRPr="00996394">
        <w:rPr>
          <w:rFonts w:ascii="MS Gothic" w:eastAsia="MS Gothic" w:hAnsi="MS Gothic" w:cs="MS Gothic" w:hint="eastAsia"/>
        </w:rPr>
        <w:t>․</w:t>
      </w:r>
      <w:r w:rsidRPr="00996394">
        <w:rPr>
          <w:rFonts w:ascii="Arial" w:hAnsi="Arial" w:cs="Arial"/>
        </w:rPr>
        <w:t xml:space="preserve"> Workplace accommodations such </w:t>
      </w:r>
      <w:r w:rsidRPr="00996394">
        <w:rPr>
          <w:rFonts w:ascii="Arial" w:hAnsi="Arial" w:cs="Arial"/>
        </w:rPr>
        <w:lastRenderedPageBreak/>
        <w:t>as flexible hours or assistive technology have been associated with improved productivity and job satisfaction (Barkley‚ 2015</w:t>
      </w:r>
      <w:r>
        <w:rPr>
          <w:rFonts w:ascii="Arial" w:hAnsi="Arial" w:cs="Arial"/>
        </w:rPr>
        <w:t>).</w:t>
      </w:r>
      <w:r w:rsidRPr="00996394">
        <w:rPr>
          <w:rFonts w:ascii="Arial" w:hAnsi="Arial" w:cs="Arial"/>
        </w:rPr>
        <w:t xml:space="preserve"> This reflects a broader understanding of how to achieve performance goals through individual and environmental supports</w:t>
      </w:r>
      <w:r>
        <w:rPr>
          <w:rFonts w:ascii="MS Gothic" w:eastAsia="MS Gothic" w:hAnsi="MS Gothic" w:cs="MS Gothic"/>
        </w:rPr>
        <w:t xml:space="preserve">. </w:t>
      </w:r>
      <w:r w:rsidRPr="00996394">
        <w:rPr>
          <w:rFonts w:ascii="Arial" w:hAnsi="Arial" w:cs="Arial"/>
        </w:rPr>
        <w:t>However, despite evidence for the effectiveness of rehabilitation‚ provision can be ineffective‚ such as where health systems provide more help for children than adults and with large gaps in transitional periods (</w:t>
      </w:r>
      <w:r w:rsidR="002B24BE" w:rsidRPr="00996394">
        <w:rPr>
          <w:rFonts w:ascii="Arial" w:hAnsi="Arial" w:cs="Arial"/>
        </w:rPr>
        <w:t>Kouji</w:t>
      </w:r>
      <w:r w:rsidRPr="00996394">
        <w:rPr>
          <w:rFonts w:ascii="Arial" w:hAnsi="Arial" w:cs="Arial"/>
        </w:rPr>
        <w:t xml:space="preserve"> et al</w:t>
      </w:r>
      <w:r w:rsidRPr="00996394">
        <w:rPr>
          <w:rFonts w:ascii="MS Gothic" w:eastAsia="MS Gothic" w:hAnsi="MS Gothic" w:cs="MS Gothic" w:hint="eastAsia"/>
        </w:rPr>
        <w:t>․</w:t>
      </w:r>
      <w:r w:rsidRPr="00996394">
        <w:rPr>
          <w:rFonts w:ascii="Arial" w:hAnsi="Arial" w:cs="Arial"/>
        </w:rPr>
        <w:t>‚ 2019</w:t>
      </w:r>
      <w:r>
        <w:rPr>
          <w:rFonts w:ascii="Arial" w:hAnsi="Arial" w:cs="Arial"/>
        </w:rPr>
        <w:t>).</w:t>
      </w:r>
      <w:r w:rsidRPr="00996394">
        <w:rPr>
          <w:rFonts w:ascii="Arial" w:hAnsi="Arial" w:cs="Arial"/>
        </w:rPr>
        <w:t xml:space="preserve"> As many adults are not referred to other specialist services‚ the scope for continuous support is reduced‚ indicating that rehabilitation policies are not lifelong in nature</w:t>
      </w:r>
      <w:r>
        <w:rPr>
          <w:rFonts w:ascii="MS Gothic" w:eastAsia="MS Gothic" w:hAnsi="MS Gothic" w:cs="MS Gothic"/>
        </w:rPr>
        <w:t xml:space="preserve">. </w:t>
      </w:r>
      <w:r>
        <w:rPr>
          <w:rFonts w:ascii="Arial" w:hAnsi="Arial" w:cs="Arial"/>
        </w:rPr>
        <w:t>Additionally,</w:t>
      </w:r>
      <w:r w:rsidRPr="00996394">
        <w:rPr>
          <w:rFonts w:ascii="Arial" w:hAnsi="Arial" w:cs="Arial"/>
        </w:rPr>
        <w:t xml:space="preserve"> the effect of treatments and rehabilitation approaches is positive</w:t>
      </w:r>
      <w:r w:rsidRPr="00996394">
        <w:rPr>
          <w:rFonts w:ascii="MS Gothic" w:eastAsia="MS Gothic" w:hAnsi="MS Gothic" w:cs="MS Gothic" w:hint="eastAsia"/>
        </w:rPr>
        <w:t>․</w:t>
      </w:r>
      <w:r w:rsidRPr="00996394">
        <w:rPr>
          <w:rFonts w:ascii="Arial" w:hAnsi="Arial" w:cs="Arial"/>
        </w:rPr>
        <w:t xml:space="preserve"> There are still challenges with accessing services‚ over-reliance on medications and insufficient involvement of adults in the intervention process</w:t>
      </w:r>
      <w:r w:rsidRPr="00996394">
        <w:rPr>
          <w:rFonts w:ascii="MS Gothic" w:eastAsia="MS Gothic" w:hAnsi="MS Gothic" w:cs="MS Gothic" w:hint="eastAsia"/>
        </w:rPr>
        <w:t>․</w:t>
      </w:r>
    </w:p>
    <w:p w14:paraId="281304A3" w14:textId="77777777" w:rsidR="00996394" w:rsidRPr="00996394" w:rsidRDefault="00996394" w:rsidP="00996394">
      <w:pPr>
        <w:spacing w:line="360" w:lineRule="auto"/>
        <w:jc w:val="both"/>
        <w:rPr>
          <w:rFonts w:ascii="Arial" w:hAnsi="Arial" w:cs="Arial"/>
        </w:rPr>
      </w:pPr>
    </w:p>
    <w:p w14:paraId="7CA5968F"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Current issues and emerging areas</w:t>
      </w:r>
      <w:r w:rsidRPr="00996394">
        <w:rPr>
          <w:rFonts w:ascii="MS Gothic" w:eastAsia="MS Gothic" w:hAnsi="MS Gothic" w:cs="MS Gothic" w:hint="eastAsia"/>
          <w:b/>
          <w:bCs/>
        </w:rPr>
        <w:t>․</w:t>
      </w:r>
    </w:p>
    <w:p w14:paraId="778DF8BD" w14:textId="4B6727D3" w:rsidR="00996394" w:rsidRPr="00996394" w:rsidRDefault="00996394" w:rsidP="00996394">
      <w:pPr>
        <w:spacing w:line="360" w:lineRule="auto"/>
        <w:jc w:val="both"/>
        <w:rPr>
          <w:rFonts w:ascii="Arial" w:hAnsi="Arial" w:cs="Arial"/>
        </w:rPr>
      </w:pPr>
      <w:r w:rsidRPr="00996394">
        <w:rPr>
          <w:rFonts w:ascii="Arial" w:hAnsi="Arial" w:cs="Arial"/>
        </w:rPr>
        <w:t>Neurodiversity is one of the most prominent controversies relating to ADHD</w:t>
      </w:r>
      <w:r w:rsidRPr="00996394">
        <w:rPr>
          <w:rFonts w:ascii="MS Gothic" w:eastAsia="MS Gothic" w:hAnsi="MS Gothic" w:cs="MS Gothic" w:hint="eastAsia"/>
        </w:rPr>
        <w:t>․</w:t>
      </w:r>
      <w:r w:rsidRPr="00996394">
        <w:rPr>
          <w:rFonts w:ascii="Arial" w:hAnsi="Arial" w:cs="Arial"/>
        </w:rPr>
        <w:t xml:space="preserve"> The neurodiversity movement considers neurological differences like ADHD to be part of the natural variation of the human population‚ not disorders that need to be treated</w:t>
      </w:r>
      <w:r w:rsidRPr="00996394">
        <w:rPr>
          <w:rFonts w:ascii="MS Gothic" w:eastAsia="MS Gothic" w:hAnsi="MS Gothic" w:cs="MS Gothic" w:hint="eastAsia"/>
        </w:rPr>
        <w:t>․</w:t>
      </w:r>
      <w:r w:rsidRPr="00996394">
        <w:rPr>
          <w:rFonts w:ascii="Arial" w:hAnsi="Arial" w:cs="Arial"/>
        </w:rPr>
        <w:t xml:space="preserve"> (Chapman‚ 2021) Advocates further claim that people diagnosed with ADHD can have advantages including creativity‚ innovation‚ and problem-solving ability that are not accounted for in models that focus on deficits (Sedgwick et al</w:t>
      </w:r>
      <w:r w:rsidRPr="00996394">
        <w:rPr>
          <w:rFonts w:ascii="MS Gothic" w:eastAsia="MS Gothic" w:hAnsi="MS Gothic" w:cs="MS Gothic" w:hint="eastAsia"/>
        </w:rPr>
        <w:t>․</w:t>
      </w:r>
      <w:r w:rsidRPr="00996394">
        <w:rPr>
          <w:rFonts w:ascii="Arial" w:hAnsi="Arial" w:cs="Arial"/>
        </w:rPr>
        <w:t>‚ 2019</w:t>
      </w:r>
      <w:r>
        <w:rPr>
          <w:rFonts w:ascii="Arial" w:hAnsi="Arial" w:cs="Arial"/>
        </w:rPr>
        <w:t>).</w:t>
      </w:r>
    </w:p>
    <w:p w14:paraId="1C8C5031" w14:textId="0B750CB4" w:rsidR="00996394" w:rsidRPr="00996394" w:rsidRDefault="00996394" w:rsidP="00996394">
      <w:pPr>
        <w:spacing w:line="360" w:lineRule="auto"/>
        <w:jc w:val="both"/>
        <w:rPr>
          <w:rFonts w:ascii="Arial" w:hAnsi="Arial" w:cs="Arial"/>
        </w:rPr>
      </w:pPr>
      <w:r w:rsidRPr="00996394">
        <w:rPr>
          <w:rFonts w:ascii="Arial" w:hAnsi="Arial" w:cs="Arial"/>
        </w:rPr>
        <w:t>The education and health implications of this understanding of neurodiversity can be seen in the way that neurodiversity advocates favour attempts to adjust the environment and promote inclusion rather than attempts to reduce symptoms</w:t>
      </w:r>
      <w:r w:rsidRPr="00996394">
        <w:rPr>
          <w:rFonts w:ascii="MS Gothic" w:eastAsia="MS Gothic" w:hAnsi="MS Gothic" w:cs="MS Gothic" w:hint="eastAsia"/>
        </w:rPr>
        <w:t>․</w:t>
      </w:r>
      <w:r w:rsidRPr="00996394">
        <w:rPr>
          <w:rFonts w:ascii="Arial" w:hAnsi="Arial" w:cs="Arial"/>
        </w:rPr>
        <w:t xml:space="preserve"> While this approach may help to reduce stigma and promote acceptance of cognitive variation‚ critics are concerned that it may downplay the serious difficulties experienced by some people with ADHD</w:t>
      </w:r>
      <w:r w:rsidRPr="00996394">
        <w:rPr>
          <w:rFonts w:ascii="MS Gothic" w:eastAsia="MS Gothic" w:hAnsi="MS Gothic" w:cs="MS Gothic" w:hint="eastAsia"/>
        </w:rPr>
        <w:t>․</w:t>
      </w:r>
      <w:r w:rsidRPr="00996394">
        <w:rPr>
          <w:rFonts w:ascii="Arial" w:hAnsi="Arial" w:cs="Arial"/>
        </w:rPr>
        <w:t xml:space="preserve"> Issues with education and employment‚ as well as mental health‚ can be detrimental to quality of life and require professional treatment (Barkley‚ 2015</w:t>
      </w:r>
      <w:r>
        <w:rPr>
          <w:rFonts w:ascii="Arial" w:hAnsi="Arial" w:cs="Arial"/>
        </w:rPr>
        <w:t>).</w:t>
      </w:r>
      <w:r w:rsidRPr="00996394">
        <w:rPr>
          <w:rFonts w:ascii="Arial" w:hAnsi="Arial" w:cs="Arial"/>
        </w:rPr>
        <w:t xml:space="preserve"> Therefore‚ the neurodiversity model should not replace the right to diagnosis and treatment</w:t>
      </w:r>
      <w:r w:rsidRPr="00996394">
        <w:rPr>
          <w:rFonts w:ascii="MS Gothic" w:eastAsia="MS Gothic" w:hAnsi="MS Gothic" w:cs="MS Gothic" w:hint="eastAsia"/>
        </w:rPr>
        <w:t>․</w:t>
      </w:r>
    </w:p>
    <w:p w14:paraId="4DED2012" w14:textId="742B2754" w:rsidR="00996394" w:rsidRPr="00996394" w:rsidRDefault="00996394" w:rsidP="00996394">
      <w:pPr>
        <w:spacing w:line="360" w:lineRule="auto"/>
        <w:jc w:val="both"/>
        <w:rPr>
          <w:rFonts w:ascii="Arial" w:hAnsi="Arial" w:cs="Arial"/>
        </w:rPr>
      </w:pPr>
      <w:r w:rsidRPr="00996394">
        <w:rPr>
          <w:rFonts w:ascii="Arial" w:hAnsi="Arial" w:cs="Arial"/>
        </w:rPr>
        <w:t>Another criticism involves concerns about overdiagnosis</w:t>
      </w:r>
      <w:r w:rsidRPr="00996394">
        <w:rPr>
          <w:rFonts w:ascii="MS Gothic" w:eastAsia="MS Gothic" w:hAnsi="MS Gothic" w:cs="MS Gothic" w:hint="eastAsia"/>
        </w:rPr>
        <w:t>․</w:t>
      </w:r>
      <w:r w:rsidRPr="00996394">
        <w:rPr>
          <w:rFonts w:ascii="Arial" w:hAnsi="Arial" w:cs="Arial"/>
        </w:rPr>
        <w:t xml:space="preserve"> Some researchers have suggested that the increase in diagnosis is due to overdiagnosis of ADHD‚ particularly </w:t>
      </w:r>
      <w:r w:rsidRPr="00996394">
        <w:rPr>
          <w:rFonts w:ascii="Arial" w:hAnsi="Arial" w:cs="Arial"/>
        </w:rPr>
        <w:lastRenderedPageBreak/>
        <w:t>in the school setting‚ which is noted for having strict requirements of students' academic and behavioural performance (</w:t>
      </w:r>
      <w:r w:rsidR="009C704F" w:rsidRPr="00996394">
        <w:rPr>
          <w:rFonts w:ascii="Arial" w:hAnsi="Arial" w:cs="Arial"/>
        </w:rPr>
        <w:t>Timini</w:t>
      </w:r>
      <w:r w:rsidRPr="00996394">
        <w:rPr>
          <w:rFonts w:ascii="Arial" w:hAnsi="Arial" w:cs="Arial"/>
        </w:rPr>
        <w:t xml:space="preserve"> and Leo‚ 2009</w:t>
      </w:r>
      <w:r>
        <w:rPr>
          <w:rFonts w:ascii="Arial" w:hAnsi="Arial" w:cs="Arial"/>
        </w:rPr>
        <w:t>).</w:t>
      </w:r>
      <w:r w:rsidRPr="00996394">
        <w:rPr>
          <w:rFonts w:ascii="Arial" w:hAnsi="Arial" w:cs="Arial"/>
        </w:rPr>
        <w:t xml:space="preserve"> In other words‚ normal child developmental behaviour may be misinterpreted as symptoms of disordered conditions on the spectrum of human development</w:t>
      </w:r>
      <w:r w:rsidRPr="00996394">
        <w:rPr>
          <w:rFonts w:ascii="MS Gothic" w:eastAsia="MS Gothic" w:hAnsi="MS Gothic" w:cs="MS Gothic" w:hint="eastAsia"/>
        </w:rPr>
        <w:t>․</w:t>
      </w:r>
    </w:p>
    <w:p w14:paraId="1CF43C31" w14:textId="2098B83C" w:rsidR="00996394" w:rsidRPr="00996394" w:rsidRDefault="00996394" w:rsidP="00996394">
      <w:pPr>
        <w:spacing w:line="360" w:lineRule="auto"/>
        <w:jc w:val="both"/>
        <w:rPr>
          <w:rFonts w:ascii="Arial" w:hAnsi="Arial" w:cs="Arial"/>
        </w:rPr>
      </w:pPr>
      <w:r>
        <w:rPr>
          <w:rFonts w:ascii="Arial" w:hAnsi="Arial" w:cs="Arial"/>
        </w:rPr>
        <w:t>Furthermore</w:t>
      </w:r>
      <w:r w:rsidRPr="00996394">
        <w:rPr>
          <w:rFonts w:ascii="Arial" w:hAnsi="Arial" w:cs="Arial"/>
        </w:rPr>
        <w:t xml:space="preserve">, others have argued that females‚ adults‚ and racial and ethnic minorities remain largely undiagnosed with ADHD (Young et </w:t>
      </w:r>
      <w:r w:rsidR="00A024F1">
        <w:rPr>
          <w:rFonts w:ascii="Arial" w:hAnsi="Arial" w:cs="Arial"/>
        </w:rPr>
        <w:t xml:space="preserve">al </w:t>
      </w:r>
      <w:r w:rsidRPr="00996394">
        <w:rPr>
          <w:rFonts w:ascii="Arial" w:hAnsi="Arial" w:cs="Arial"/>
        </w:rPr>
        <w:t>‚ 2020</w:t>
      </w:r>
      <w:r>
        <w:rPr>
          <w:rFonts w:ascii="Arial" w:hAnsi="Arial" w:cs="Arial"/>
        </w:rPr>
        <w:t>).</w:t>
      </w:r>
      <w:r w:rsidRPr="00996394">
        <w:rPr>
          <w:rFonts w:ascii="Arial" w:hAnsi="Arial" w:cs="Arial"/>
        </w:rPr>
        <w:t xml:space="preserve"> The early diagnostic criteria were based mainly on male ADHD presentations‚ so the inattentive symptoms are also frequently under-diagnosed</w:t>
      </w:r>
      <w:r w:rsidRPr="00996394">
        <w:rPr>
          <w:rFonts w:ascii="MS Gothic" w:eastAsia="MS Gothic" w:hAnsi="MS Gothic" w:cs="MS Gothic" w:hint="eastAsia"/>
        </w:rPr>
        <w:t>․</w:t>
      </w:r>
      <w:r w:rsidRPr="00996394">
        <w:rPr>
          <w:rFonts w:ascii="Arial" w:hAnsi="Arial" w:cs="Arial"/>
        </w:rPr>
        <w:t xml:space="preserve"> That may suggest that overdiagnosis and underdiagnosis both occur depending on the population studied</w:t>
      </w:r>
      <w:r w:rsidRPr="00996394">
        <w:rPr>
          <w:rFonts w:ascii="MS Gothic" w:eastAsia="MS Gothic" w:hAnsi="MS Gothic" w:cs="MS Gothic" w:hint="eastAsia"/>
        </w:rPr>
        <w:t>․</w:t>
      </w:r>
    </w:p>
    <w:p w14:paraId="3BB748F7" w14:textId="47AF9D3C" w:rsidR="00996394" w:rsidRPr="00996394" w:rsidRDefault="00996394" w:rsidP="00996394">
      <w:pPr>
        <w:spacing w:line="360" w:lineRule="auto"/>
        <w:jc w:val="both"/>
        <w:rPr>
          <w:rFonts w:ascii="Arial" w:hAnsi="Arial" w:cs="Arial"/>
        </w:rPr>
      </w:pPr>
      <w:r w:rsidRPr="00996394">
        <w:rPr>
          <w:rFonts w:ascii="Arial" w:hAnsi="Arial" w:cs="Arial"/>
        </w:rPr>
        <w:t xml:space="preserve">Another controversial issue is the prescription of stimulant medication‚ which some see as excessive‚ with stimulant use cited as a sign of </w:t>
      </w:r>
      <w:r w:rsidR="009A5C62">
        <w:rPr>
          <w:rFonts w:ascii="Arial" w:hAnsi="Arial" w:cs="Arial"/>
        </w:rPr>
        <w:t>medicalisation</w:t>
      </w:r>
      <w:r w:rsidRPr="00996394">
        <w:rPr>
          <w:rFonts w:ascii="Arial" w:hAnsi="Arial" w:cs="Arial"/>
        </w:rPr>
        <w:t xml:space="preserve"> of behaviour</w:t>
      </w:r>
      <w:r w:rsidRPr="00996394">
        <w:rPr>
          <w:rFonts w:ascii="MS Gothic" w:eastAsia="MS Gothic" w:hAnsi="MS Gothic" w:cs="MS Gothic" w:hint="eastAsia"/>
        </w:rPr>
        <w:t>․</w:t>
      </w:r>
      <w:r w:rsidRPr="00996394">
        <w:rPr>
          <w:rFonts w:ascii="Arial" w:hAnsi="Arial" w:cs="Arial"/>
        </w:rPr>
        <w:t xml:space="preserve"> Concerns have also been raised about medication‚ pharmaceutical industry influence‚ over-medication or use in schools and social settings when it is not clinically indicated (Timimi and Leo‚ 2009</w:t>
      </w:r>
      <w:r>
        <w:rPr>
          <w:rFonts w:ascii="Arial" w:hAnsi="Arial" w:cs="Arial"/>
        </w:rPr>
        <w:t>).</w:t>
      </w:r>
      <w:r w:rsidRPr="00996394">
        <w:rPr>
          <w:rFonts w:ascii="Arial" w:hAnsi="Arial" w:cs="Arial"/>
        </w:rPr>
        <w:t xml:space="preserve"> </w:t>
      </w:r>
      <w:r>
        <w:rPr>
          <w:rFonts w:ascii="Arial" w:hAnsi="Arial" w:cs="Arial"/>
        </w:rPr>
        <w:t>Thus,</w:t>
      </w:r>
      <w:r w:rsidRPr="00996394">
        <w:rPr>
          <w:rFonts w:ascii="Arial" w:hAnsi="Arial" w:cs="Arial"/>
        </w:rPr>
        <w:t xml:space="preserve"> there is a large evidence base which shows that medication can be very helpful to many people if correctly prescribed (Cortese et al</w:t>
      </w:r>
      <w:r w:rsidRPr="00996394">
        <w:rPr>
          <w:rFonts w:ascii="MS Gothic" w:eastAsia="MS Gothic" w:hAnsi="MS Gothic" w:cs="MS Gothic" w:hint="eastAsia"/>
        </w:rPr>
        <w:t>․</w:t>
      </w:r>
      <w:r w:rsidRPr="00996394">
        <w:rPr>
          <w:rFonts w:ascii="Arial" w:hAnsi="Arial" w:cs="Arial"/>
        </w:rPr>
        <w:t>‚ 2018</w:t>
      </w:r>
      <w:r>
        <w:rPr>
          <w:rFonts w:ascii="Arial" w:hAnsi="Arial" w:cs="Arial"/>
        </w:rPr>
        <w:t>).</w:t>
      </w:r>
      <w:r w:rsidRPr="00996394">
        <w:rPr>
          <w:rFonts w:ascii="Arial" w:hAnsi="Arial" w:cs="Arial"/>
        </w:rPr>
        <w:t xml:space="preserve"> The challenge presented to healthcare professionals is to weigh the benefits of medication against the caution of careful assessment or monitoring</w:t>
      </w:r>
      <w:r>
        <w:rPr>
          <w:rFonts w:ascii="MS Gothic" w:eastAsia="MS Gothic" w:hAnsi="MS Gothic" w:cs="MS Gothic"/>
        </w:rPr>
        <w:t xml:space="preserve">. </w:t>
      </w:r>
      <w:r w:rsidRPr="00996394">
        <w:rPr>
          <w:rFonts w:ascii="Arial" w:hAnsi="Arial" w:cs="Arial"/>
        </w:rPr>
        <w:t>These controversies illustrate the social‚ educational</w:t>
      </w:r>
      <w:r w:rsidR="009A5C62">
        <w:rPr>
          <w:rFonts w:ascii="Arial" w:hAnsi="Arial" w:cs="Arial"/>
        </w:rPr>
        <w:t>,</w:t>
      </w:r>
      <w:r w:rsidRPr="00996394">
        <w:rPr>
          <w:rFonts w:ascii="Arial" w:hAnsi="Arial" w:cs="Arial"/>
        </w:rPr>
        <w:t xml:space="preserve"> and political nature of ADHD</w:t>
      </w:r>
      <w:r w:rsidRPr="00996394">
        <w:rPr>
          <w:rFonts w:ascii="MS Gothic" w:eastAsia="MS Gothic" w:hAnsi="MS Gothic" w:cs="MS Gothic" w:hint="eastAsia"/>
        </w:rPr>
        <w:t>․</w:t>
      </w:r>
      <w:r w:rsidRPr="00996394">
        <w:rPr>
          <w:rFonts w:ascii="Arial" w:hAnsi="Arial" w:cs="Arial"/>
        </w:rPr>
        <w:t xml:space="preserve"> Decisions about the definition‚ classification‚ diagnosis and treatment of ADHD influence not only access to services‚ but also people's understandings of themselves and their society</w:t>
      </w:r>
      <w:r w:rsidRPr="00996394">
        <w:rPr>
          <w:rFonts w:ascii="MS Gothic" w:eastAsia="MS Gothic" w:hAnsi="MS Gothic" w:cs="MS Gothic" w:hint="eastAsia"/>
        </w:rPr>
        <w:t>․</w:t>
      </w:r>
      <w:r w:rsidRPr="00996394">
        <w:rPr>
          <w:rFonts w:ascii="Arial" w:hAnsi="Arial" w:cs="Arial"/>
        </w:rPr>
        <w:t xml:space="preserve"> Future evidence-based policy and practice must be complemented by a consideration of the lived experience of ADHD</w:t>
      </w:r>
      <w:r w:rsidRPr="00996394">
        <w:rPr>
          <w:rFonts w:ascii="MS Gothic" w:eastAsia="MS Gothic" w:hAnsi="MS Gothic" w:cs="MS Gothic" w:hint="eastAsia"/>
        </w:rPr>
        <w:t>․</w:t>
      </w:r>
    </w:p>
    <w:p w14:paraId="0176FC48" w14:textId="77777777" w:rsidR="00996394" w:rsidRPr="00996394" w:rsidRDefault="00996394" w:rsidP="00996394">
      <w:pPr>
        <w:spacing w:line="360" w:lineRule="auto"/>
        <w:jc w:val="both"/>
        <w:rPr>
          <w:rFonts w:ascii="Arial" w:hAnsi="Arial" w:cs="Arial"/>
        </w:rPr>
      </w:pPr>
    </w:p>
    <w:p w14:paraId="4CB913BF" w14:textId="18FE69D3" w:rsidR="00996394" w:rsidRPr="00996394" w:rsidRDefault="00122794" w:rsidP="00996394">
      <w:pPr>
        <w:spacing w:after="0" w:line="360" w:lineRule="auto"/>
        <w:jc w:val="both"/>
        <w:rPr>
          <w:rFonts w:ascii="Arial" w:hAnsi="Arial" w:cs="Arial"/>
          <w:b/>
          <w:bCs/>
        </w:rPr>
      </w:pPr>
      <w:r w:rsidRPr="00996394">
        <w:rPr>
          <w:rFonts w:ascii="Arial" w:hAnsi="Arial" w:cs="Arial"/>
          <w:b/>
          <w:bCs/>
        </w:rPr>
        <w:t>Recommendations</w:t>
      </w:r>
      <w:r>
        <w:rPr>
          <w:rFonts w:ascii="Arial" w:hAnsi="Arial" w:cs="Arial"/>
          <w:b/>
          <w:bCs/>
        </w:rPr>
        <w:t xml:space="preserve"> </w:t>
      </w:r>
    </w:p>
    <w:p w14:paraId="5B8A1AC9" w14:textId="3F937ABE" w:rsidR="00E00193" w:rsidRDefault="007B0E65" w:rsidP="00996394">
      <w:pPr>
        <w:spacing w:line="360" w:lineRule="auto"/>
        <w:jc w:val="both"/>
        <w:rPr>
          <w:rFonts w:ascii="Arial" w:hAnsi="Arial" w:cs="Arial"/>
        </w:rPr>
      </w:pPr>
      <w:r>
        <w:rPr>
          <w:rFonts w:ascii="Arial" w:hAnsi="Arial" w:cs="Arial"/>
        </w:rPr>
        <w:t xml:space="preserve">From my experience </w:t>
      </w:r>
      <w:r w:rsidR="00122794">
        <w:rPr>
          <w:rFonts w:ascii="Arial" w:hAnsi="Arial" w:cs="Arial"/>
        </w:rPr>
        <w:t>in my</w:t>
      </w:r>
      <w:r>
        <w:rPr>
          <w:rFonts w:ascii="Arial" w:hAnsi="Arial" w:cs="Arial"/>
        </w:rPr>
        <w:t xml:space="preserve"> </w:t>
      </w:r>
      <w:r w:rsidR="00122794">
        <w:rPr>
          <w:rFonts w:ascii="Arial" w:hAnsi="Arial" w:cs="Arial"/>
        </w:rPr>
        <w:t>career</w:t>
      </w:r>
      <w:r>
        <w:rPr>
          <w:rFonts w:ascii="Arial" w:hAnsi="Arial" w:cs="Arial"/>
        </w:rPr>
        <w:t xml:space="preserve">. I have supported individuals with hyperactive behaviours who found </w:t>
      </w:r>
      <w:r w:rsidR="00A4710E">
        <w:rPr>
          <w:rFonts w:ascii="Arial" w:hAnsi="Arial" w:cs="Arial"/>
        </w:rPr>
        <w:t xml:space="preserve">it difficult to remain seared, wait patiently, or focus on one activity for long periods. I observed that providing calm reassurance, using clear and </w:t>
      </w:r>
      <w:r w:rsidR="00122794">
        <w:rPr>
          <w:rFonts w:ascii="Arial" w:hAnsi="Arial" w:cs="Arial"/>
        </w:rPr>
        <w:t>simple</w:t>
      </w:r>
      <w:r w:rsidR="00A4710E">
        <w:rPr>
          <w:rFonts w:ascii="Arial" w:hAnsi="Arial" w:cs="Arial"/>
        </w:rPr>
        <w:t xml:space="preserve"> </w:t>
      </w:r>
      <w:r w:rsidR="00E00193">
        <w:rPr>
          <w:rFonts w:ascii="Arial" w:hAnsi="Arial" w:cs="Arial"/>
        </w:rPr>
        <w:t xml:space="preserve">instructions, and redirecting the individual to structured activities </w:t>
      </w:r>
      <w:r w:rsidR="00122794">
        <w:rPr>
          <w:rFonts w:ascii="Arial" w:hAnsi="Arial" w:cs="Arial"/>
        </w:rPr>
        <w:t>helped reduce</w:t>
      </w:r>
      <w:r w:rsidR="00E00193">
        <w:rPr>
          <w:rFonts w:ascii="Arial" w:hAnsi="Arial" w:cs="Arial"/>
        </w:rPr>
        <w:t xml:space="preserve"> restlessness and anxiety. This experience reinforced the importance of patience</w:t>
      </w:r>
      <w:r w:rsidR="00122794">
        <w:rPr>
          <w:rFonts w:ascii="Arial" w:hAnsi="Arial" w:cs="Arial"/>
        </w:rPr>
        <w:t>,</w:t>
      </w:r>
      <w:r w:rsidR="00E00193">
        <w:rPr>
          <w:rFonts w:ascii="Arial" w:hAnsi="Arial" w:cs="Arial"/>
        </w:rPr>
        <w:t xml:space="preserve"> consistency and personalised support rather than relying solely on medication. </w:t>
      </w:r>
      <w:r w:rsidR="00E00193">
        <w:rPr>
          <w:rFonts w:ascii="Arial" w:hAnsi="Arial" w:cs="Arial"/>
        </w:rPr>
        <w:lastRenderedPageBreak/>
        <w:t xml:space="preserve">Additionally, it also highlights the </w:t>
      </w:r>
      <w:r w:rsidR="00122794">
        <w:rPr>
          <w:rFonts w:ascii="Arial" w:hAnsi="Arial" w:cs="Arial"/>
        </w:rPr>
        <w:t>value</w:t>
      </w:r>
      <w:r w:rsidR="00E00193">
        <w:rPr>
          <w:rFonts w:ascii="Arial" w:hAnsi="Arial" w:cs="Arial"/>
        </w:rPr>
        <w:t xml:space="preserve"> of training healthcare staff to understand ADHD and apply </w:t>
      </w:r>
      <w:r w:rsidR="00122794">
        <w:rPr>
          <w:rFonts w:ascii="Arial" w:hAnsi="Arial" w:cs="Arial"/>
        </w:rPr>
        <w:t>person-centred</w:t>
      </w:r>
      <w:r w:rsidR="00E00193">
        <w:rPr>
          <w:rFonts w:ascii="Arial" w:hAnsi="Arial" w:cs="Arial"/>
        </w:rPr>
        <w:t xml:space="preserve"> strategies in everyday practice.</w:t>
      </w:r>
    </w:p>
    <w:p w14:paraId="73376C10" w14:textId="56AFDA96" w:rsidR="00996394" w:rsidRPr="00996394" w:rsidRDefault="00122794" w:rsidP="00996394">
      <w:pPr>
        <w:spacing w:line="360" w:lineRule="auto"/>
        <w:jc w:val="both"/>
        <w:rPr>
          <w:rFonts w:ascii="Arial" w:hAnsi="Arial" w:cs="Arial"/>
        </w:rPr>
      </w:pPr>
      <w:r>
        <w:rPr>
          <w:rFonts w:ascii="Arial" w:hAnsi="Arial" w:cs="Arial"/>
        </w:rPr>
        <w:t>Furthermore</w:t>
      </w:r>
      <w:r w:rsidR="00E00193">
        <w:rPr>
          <w:rFonts w:ascii="Arial" w:hAnsi="Arial" w:cs="Arial"/>
        </w:rPr>
        <w:t xml:space="preserve">, </w:t>
      </w:r>
      <w:r w:rsidR="00996394" w:rsidRPr="00996394">
        <w:rPr>
          <w:rFonts w:ascii="Arial" w:hAnsi="Arial" w:cs="Arial"/>
        </w:rPr>
        <w:t xml:space="preserve">The review made </w:t>
      </w:r>
      <w:r w:rsidR="009C333F">
        <w:rPr>
          <w:rFonts w:ascii="Arial" w:hAnsi="Arial" w:cs="Arial"/>
        </w:rPr>
        <w:t>several</w:t>
      </w:r>
      <w:r w:rsidR="00996394" w:rsidRPr="00996394">
        <w:rPr>
          <w:rFonts w:ascii="Arial" w:hAnsi="Arial" w:cs="Arial"/>
        </w:rPr>
        <w:t xml:space="preserve"> recommendations‚ including the need to develop adult ADHD services to reduce waiting times and improve continuity</w:t>
      </w:r>
      <w:r w:rsidR="00996394" w:rsidRPr="00996394">
        <w:rPr>
          <w:rFonts w:ascii="MS Gothic" w:eastAsia="MS Gothic" w:hAnsi="MS Gothic" w:cs="MS Gothic" w:hint="eastAsia"/>
        </w:rPr>
        <w:t>․</w:t>
      </w:r>
      <w:r w:rsidR="00996394" w:rsidRPr="00996394">
        <w:rPr>
          <w:rFonts w:ascii="Arial" w:hAnsi="Arial" w:cs="Arial"/>
        </w:rPr>
        <w:t xml:space="preserve"> Second‚ healthcare professionals need training on more effectively diagnosing ADHD in females and other under-represented groups‚ and third‚ more funding is needed for psychological and behavioural treatments‚ in addition to medication</w:t>
      </w:r>
      <w:r w:rsidR="00996394" w:rsidRPr="00996394">
        <w:rPr>
          <w:rFonts w:ascii="MS Gothic" w:eastAsia="MS Gothic" w:hAnsi="MS Gothic" w:cs="MS Gothic" w:hint="eastAsia"/>
        </w:rPr>
        <w:t>․</w:t>
      </w:r>
      <w:r w:rsidR="00996394" w:rsidRPr="00996394">
        <w:rPr>
          <w:rFonts w:ascii="Arial" w:hAnsi="Arial" w:cs="Arial"/>
        </w:rPr>
        <w:t xml:space="preserve"> Fourthly‚ neurodiversity-informed practices in educational and employment settings have the potential to improve inclusion and reduce environmental barriers</w:t>
      </w:r>
      <w:r w:rsidR="00996394" w:rsidRPr="00996394">
        <w:rPr>
          <w:rFonts w:ascii="MS Gothic" w:eastAsia="MS Gothic" w:hAnsi="MS Gothic" w:cs="MS Gothic" w:hint="eastAsia"/>
        </w:rPr>
        <w:t>․</w:t>
      </w:r>
      <w:r w:rsidR="00996394" w:rsidRPr="00996394">
        <w:rPr>
          <w:rFonts w:ascii="Arial" w:hAnsi="Arial" w:cs="Arial"/>
        </w:rPr>
        <w:t xml:space="preserve"> Future research may also want to investigate longer-term outcomes and different rehabilitation approaches across various ages</w:t>
      </w:r>
      <w:r w:rsidR="00996394" w:rsidRPr="00996394">
        <w:rPr>
          <w:rFonts w:ascii="MS Gothic" w:eastAsia="MS Gothic" w:hAnsi="MS Gothic" w:cs="MS Gothic" w:hint="eastAsia"/>
        </w:rPr>
        <w:t>․</w:t>
      </w:r>
    </w:p>
    <w:p w14:paraId="303999C6" w14:textId="77777777" w:rsidR="00996394" w:rsidRPr="00996394" w:rsidRDefault="00996394" w:rsidP="00996394">
      <w:pPr>
        <w:spacing w:line="360" w:lineRule="auto"/>
        <w:jc w:val="both"/>
        <w:rPr>
          <w:rFonts w:ascii="Arial" w:hAnsi="Arial" w:cs="Arial"/>
        </w:rPr>
      </w:pPr>
    </w:p>
    <w:p w14:paraId="2CCD136D" w14:textId="77777777" w:rsidR="00996394" w:rsidRPr="00996394" w:rsidRDefault="00996394" w:rsidP="00996394">
      <w:pPr>
        <w:spacing w:after="0" w:line="360" w:lineRule="auto"/>
        <w:jc w:val="both"/>
        <w:rPr>
          <w:rFonts w:ascii="Arial" w:hAnsi="Arial" w:cs="Arial"/>
          <w:b/>
          <w:bCs/>
        </w:rPr>
      </w:pPr>
      <w:r w:rsidRPr="00996394">
        <w:rPr>
          <w:rFonts w:ascii="Arial" w:hAnsi="Arial" w:cs="Arial"/>
          <w:b/>
          <w:bCs/>
        </w:rPr>
        <w:t>Conclusion</w:t>
      </w:r>
    </w:p>
    <w:p w14:paraId="16999D97" w14:textId="526F15E9" w:rsidR="00996394" w:rsidRPr="00996394" w:rsidRDefault="00996394" w:rsidP="00996394">
      <w:pPr>
        <w:spacing w:line="360" w:lineRule="auto"/>
        <w:jc w:val="both"/>
        <w:rPr>
          <w:rFonts w:ascii="Arial" w:hAnsi="Arial" w:cs="Arial"/>
        </w:rPr>
      </w:pPr>
      <w:r w:rsidRPr="00996394">
        <w:rPr>
          <w:rFonts w:ascii="Arial" w:hAnsi="Arial" w:cs="Arial"/>
        </w:rPr>
        <w:t>ADHD is a complex neurodevelopmental disorder with continuing debate regarding its classification‚ diagnosis‚ and treatment</w:t>
      </w:r>
      <w:r w:rsidRPr="00996394">
        <w:rPr>
          <w:rFonts w:ascii="MS Gothic" w:eastAsia="MS Gothic" w:hAnsi="MS Gothic" w:cs="MS Gothic" w:hint="eastAsia"/>
        </w:rPr>
        <w:t>․</w:t>
      </w:r>
      <w:r w:rsidRPr="00996394">
        <w:rPr>
          <w:rFonts w:ascii="Arial" w:hAnsi="Arial" w:cs="Arial"/>
        </w:rPr>
        <w:t xml:space="preserve"> Nevertheless‚ ICD-11 marked an important advancement in ADHD classification‚ diagnosis‚ and treatment‚ despite remaining challenges with accurate diagnosis‚ gender imbalance‚ and medicalisation</w:t>
      </w:r>
      <w:r w:rsidRPr="00996394">
        <w:rPr>
          <w:rFonts w:ascii="MS Gothic" w:eastAsia="MS Gothic" w:hAnsi="MS Gothic" w:cs="MS Gothic" w:hint="eastAsia"/>
        </w:rPr>
        <w:t>․</w:t>
      </w:r>
      <w:r w:rsidRPr="00996394">
        <w:rPr>
          <w:rFonts w:ascii="Arial" w:hAnsi="Arial" w:cs="Arial"/>
        </w:rPr>
        <w:t xml:space="preserve"> Medications‚ psychological treatments‚ and rehabilitation programs can improve functioning and quality of life</w:t>
      </w:r>
      <w:r w:rsidRPr="00996394">
        <w:rPr>
          <w:rFonts w:ascii="MS Gothic" w:eastAsia="MS Gothic" w:hAnsi="MS Gothic" w:cs="MS Gothic" w:hint="eastAsia"/>
        </w:rPr>
        <w:t>․</w:t>
      </w:r>
      <w:r w:rsidRPr="00996394">
        <w:rPr>
          <w:rFonts w:ascii="Arial" w:hAnsi="Arial" w:cs="Arial"/>
        </w:rPr>
        <w:t xml:space="preserve"> These approaches‚ however‚ are not always available and have varying degrees of efficacy</w:t>
      </w:r>
      <w:r w:rsidRPr="00996394">
        <w:rPr>
          <w:rFonts w:ascii="MS Gothic" w:eastAsia="MS Gothic" w:hAnsi="MS Gothic" w:cs="MS Gothic" w:hint="eastAsia"/>
        </w:rPr>
        <w:t>․</w:t>
      </w:r>
      <w:r w:rsidRPr="00996394">
        <w:rPr>
          <w:rFonts w:ascii="Arial" w:hAnsi="Arial" w:cs="Arial"/>
        </w:rPr>
        <w:t xml:space="preserve"> The neurodiversity movement challenges customary views of ADHD and seeks alternative ways of addressing it</w:t>
      </w:r>
      <w:r w:rsidRPr="00996394">
        <w:rPr>
          <w:rFonts w:ascii="MS Gothic" w:eastAsia="MS Gothic" w:hAnsi="MS Gothic" w:cs="MS Gothic" w:hint="eastAsia"/>
        </w:rPr>
        <w:t>․</w:t>
      </w:r>
      <w:r w:rsidRPr="00996394">
        <w:rPr>
          <w:rFonts w:ascii="Arial" w:hAnsi="Arial" w:cs="Arial"/>
        </w:rPr>
        <w:t xml:space="preserve"> Future policy and practice should balance clinical intervention with the recognition of neurodiversity‚ so that people with ADHD receive person-centred and evidence-based support</w:t>
      </w:r>
      <w:r w:rsidRPr="00996394">
        <w:rPr>
          <w:rFonts w:ascii="MS Gothic" w:eastAsia="MS Gothic" w:hAnsi="MS Gothic" w:cs="MS Gothic" w:hint="eastAsia"/>
        </w:rPr>
        <w:t>․</w:t>
      </w:r>
    </w:p>
    <w:p w14:paraId="0FAE1A53" w14:textId="77777777" w:rsidR="00996394" w:rsidRDefault="00996394" w:rsidP="00C534B2">
      <w:pPr>
        <w:spacing w:line="360" w:lineRule="auto"/>
        <w:jc w:val="both"/>
        <w:rPr>
          <w:rFonts w:ascii="Arial" w:hAnsi="Arial" w:cs="Arial"/>
          <w:b/>
          <w:bCs/>
        </w:rPr>
      </w:pPr>
    </w:p>
    <w:p w14:paraId="6F8D99F0" w14:textId="77777777" w:rsidR="00996394" w:rsidRDefault="00996394" w:rsidP="00C534B2">
      <w:pPr>
        <w:spacing w:line="360" w:lineRule="auto"/>
        <w:jc w:val="both"/>
        <w:rPr>
          <w:rFonts w:ascii="Arial" w:hAnsi="Arial" w:cs="Arial"/>
          <w:b/>
          <w:bCs/>
        </w:rPr>
      </w:pPr>
    </w:p>
    <w:p w14:paraId="07EE074A" w14:textId="77777777" w:rsidR="00996394" w:rsidRDefault="00996394" w:rsidP="00C534B2">
      <w:pPr>
        <w:spacing w:line="360" w:lineRule="auto"/>
        <w:jc w:val="both"/>
        <w:rPr>
          <w:rFonts w:ascii="Arial" w:hAnsi="Arial" w:cs="Arial"/>
          <w:b/>
          <w:bCs/>
        </w:rPr>
      </w:pPr>
    </w:p>
    <w:p w14:paraId="273FADD0" w14:textId="77777777" w:rsidR="00996394" w:rsidRDefault="00996394" w:rsidP="00C534B2">
      <w:pPr>
        <w:spacing w:line="360" w:lineRule="auto"/>
        <w:jc w:val="both"/>
        <w:rPr>
          <w:rFonts w:ascii="Arial" w:hAnsi="Arial" w:cs="Arial"/>
          <w:b/>
          <w:bCs/>
        </w:rPr>
      </w:pPr>
    </w:p>
    <w:p w14:paraId="67DDDA9E" w14:textId="77777777" w:rsidR="00996394" w:rsidRDefault="00996394" w:rsidP="00C534B2">
      <w:pPr>
        <w:spacing w:line="360" w:lineRule="auto"/>
        <w:jc w:val="both"/>
        <w:rPr>
          <w:rFonts w:ascii="Arial" w:hAnsi="Arial" w:cs="Arial"/>
          <w:b/>
          <w:bCs/>
        </w:rPr>
      </w:pPr>
    </w:p>
    <w:p w14:paraId="14ED71B0" w14:textId="77777777" w:rsidR="002F16CC" w:rsidRDefault="002F16CC" w:rsidP="00C534B2">
      <w:pPr>
        <w:spacing w:line="360" w:lineRule="auto"/>
        <w:jc w:val="both"/>
        <w:rPr>
          <w:rFonts w:ascii="Arial" w:hAnsi="Arial" w:cs="Arial"/>
          <w:b/>
          <w:bCs/>
        </w:rPr>
      </w:pPr>
    </w:p>
    <w:p w14:paraId="4DD4473B" w14:textId="75C4AB52" w:rsidR="00C534B2" w:rsidRPr="00C534B2" w:rsidRDefault="00C534B2" w:rsidP="00C534B2">
      <w:pPr>
        <w:spacing w:line="360" w:lineRule="auto"/>
        <w:jc w:val="both"/>
        <w:rPr>
          <w:rFonts w:ascii="Arial" w:hAnsi="Arial" w:cs="Arial"/>
          <w:b/>
          <w:bCs/>
        </w:rPr>
      </w:pPr>
      <w:r w:rsidRPr="00C534B2">
        <w:rPr>
          <w:rFonts w:ascii="Arial" w:hAnsi="Arial" w:cs="Arial"/>
          <w:b/>
          <w:bCs/>
        </w:rPr>
        <w:lastRenderedPageBreak/>
        <w:t>References</w:t>
      </w:r>
    </w:p>
    <w:p w14:paraId="63BD845D"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Asherson, P., Buitelaar, J., Faraone, S.V. and Rohde, L.A. (2016) ‘Adult attention-deficit hyperactivity disorder: Key conceptual issues’, </w:t>
      </w:r>
      <w:r w:rsidRPr="00C534B2">
        <w:rPr>
          <w:rFonts w:ascii="Arial" w:hAnsi="Arial" w:cs="Arial"/>
          <w:i/>
          <w:iCs/>
        </w:rPr>
        <w:t>The Lancet Psychiatry</w:t>
      </w:r>
      <w:r w:rsidRPr="00C534B2">
        <w:rPr>
          <w:rFonts w:ascii="Arial" w:hAnsi="Arial" w:cs="Arial"/>
        </w:rPr>
        <w:t>, 3(6), pp. 568–578.</w:t>
      </w:r>
    </w:p>
    <w:p w14:paraId="788BCD22"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Barkley, R.A. (2015) </w:t>
      </w:r>
      <w:r w:rsidRPr="00C534B2">
        <w:rPr>
          <w:rFonts w:ascii="Arial" w:hAnsi="Arial" w:cs="Arial"/>
          <w:i/>
          <w:iCs/>
        </w:rPr>
        <w:t>Attention-Deficit Hyperactivity Disorder: A Handbook for Diagnosis and Treatment</w:t>
      </w:r>
      <w:r w:rsidRPr="00C534B2">
        <w:rPr>
          <w:rFonts w:ascii="Arial" w:hAnsi="Arial" w:cs="Arial"/>
        </w:rPr>
        <w:t>. 4th edn. New York: Guilford Press.</w:t>
      </w:r>
    </w:p>
    <w:p w14:paraId="26497A07"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Chapman, R. (2021) </w:t>
      </w:r>
      <w:r w:rsidRPr="00C534B2">
        <w:rPr>
          <w:rFonts w:ascii="Arial" w:hAnsi="Arial" w:cs="Arial"/>
          <w:i/>
          <w:iCs/>
        </w:rPr>
        <w:t>Empire of Normality: Neurodiversity and Capitalism</w:t>
      </w:r>
      <w:r w:rsidRPr="00C534B2">
        <w:rPr>
          <w:rFonts w:ascii="Arial" w:hAnsi="Arial" w:cs="Arial"/>
        </w:rPr>
        <w:t>. London: Pluto Press.</w:t>
      </w:r>
    </w:p>
    <w:p w14:paraId="6BDB2EF0"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Coghill, D. and Banaschewski, T. (2021) ‘The genetics and neurobiology of ADHD’, </w:t>
      </w:r>
      <w:r w:rsidRPr="00C534B2">
        <w:rPr>
          <w:rFonts w:ascii="Arial" w:hAnsi="Arial" w:cs="Arial"/>
          <w:i/>
          <w:iCs/>
        </w:rPr>
        <w:t>The Lancet Child &amp; Adolescent Health</w:t>
      </w:r>
      <w:r w:rsidRPr="00C534B2">
        <w:rPr>
          <w:rFonts w:ascii="Arial" w:hAnsi="Arial" w:cs="Arial"/>
        </w:rPr>
        <w:t>, 5(8), pp. 555–567.</w:t>
      </w:r>
    </w:p>
    <w:p w14:paraId="52A4A991"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Cortese, S., Adamo, N., Del Giovane, C., Mohr-Jensen, C., Hayes, A.J., Carucci, S., Atkinson, L.Z., Tessari, L., Banaschewski, T. and Coghill, D. (2018) ‘Comparative efficacy and tolerability of medications for ADHD’, </w:t>
      </w:r>
      <w:r w:rsidRPr="00C534B2">
        <w:rPr>
          <w:rFonts w:ascii="Arial" w:hAnsi="Arial" w:cs="Arial"/>
          <w:i/>
          <w:iCs/>
        </w:rPr>
        <w:t>The Lancet Psychiatry</w:t>
      </w:r>
      <w:r w:rsidRPr="00C534B2">
        <w:rPr>
          <w:rFonts w:ascii="Arial" w:hAnsi="Arial" w:cs="Arial"/>
        </w:rPr>
        <w:t>, 5(9), pp. 727–738.</w:t>
      </w:r>
    </w:p>
    <w:p w14:paraId="120A0D99"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Daley, D., Van Der Oord, S., Ferrin, M., Cortese, S., Danckaerts, M., Doepfner, M. and Sonuga-Barke, E.J.S. (2018) ‘Behavioural interventions in ADHD’, </w:t>
      </w:r>
      <w:r w:rsidRPr="00C534B2">
        <w:rPr>
          <w:rFonts w:ascii="Arial" w:hAnsi="Arial" w:cs="Arial"/>
          <w:i/>
          <w:iCs/>
        </w:rPr>
        <w:t>European Child and Adolescent Psychiatry</w:t>
      </w:r>
      <w:r w:rsidRPr="00C534B2">
        <w:rPr>
          <w:rFonts w:ascii="Arial" w:hAnsi="Arial" w:cs="Arial"/>
        </w:rPr>
        <w:t>, 27(4), pp. 427–445.</w:t>
      </w:r>
    </w:p>
    <w:p w14:paraId="26B86BF8"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Faraone, S.V., Banaschewski, T., Coghill, D., Zheng, Y., Biederman, J. and Rohde, L.A. (2021) ‘The World Federation of ADHD International Consensus Statement’, </w:t>
      </w:r>
      <w:r w:rsidRPr="00C534B2">
        <w:rPr>
          <w:rFonts w:ascii="Arial" w:hAnsi="Arial" w:cs="Arial"/>
          <w:i/>
          <w:iCs/>
        </w:rPr>
        <w:t>Neuroscience and Biobehavioral Reviews</w:t>
      </w:r>
      <w:r w:rsidRPr="00C534B2">
        <w:rPr>
          <w:rFonts w:ascii="Arial" w:hAnsi="Arial" w:cs="Arial"/>
        </w:rPr>
        <w:t>, 128, pp. 789–818.</w:t>
      </w:r>
    </w:p>
    <w:p w14:paraId="0C12C437"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Kooij, J.J.S., Bijlenga, D., Salerno, L., Jaeschke, R., Bitter, I. and Balazs, J. (2019) ‘Updated European Consensus Statement on adult ADHD’, </w:t>
      </w:r>
      <w:r w:rsidRPr="00C534B2">
        <w:rPr>
          <w:rFonts w:ascii="Arial" w:hAnsi="Arial" w:cs="Arial"/>
          <w:i/>
          <w:iCs/>
        </w:rPr>
        <w:t>European Psychiatry</w:t>
      </w:r>
      <w:r w:rsidRPr="00C534B2">
        <w:rPr>
          <w:rFonts w:ascii="Arial" w:hAnsi="Arial" w:cs="Arial"/>
        </w:rPr>
        <w:t>, 56, pp. 14–34.</w:t>
      </w:r>
    </w:p>
    <w:p w14:paraId="46FE3185"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National Institute for Health and Care Excellence (2019) </w:t>
      </w:r>
      <w:r w:rsidRPr="00C534B2">
        <w:rPr>
          <w:rFonts w:ascii="Arial" w:hAnsi="Arial" w:cs="Arial"/>
          <w:i/>
          <w:iCs/>
        </w:rPr>
        <w:t>Attention Deficit Hyperactivity Disorder: Diagnosis and Management (NG87)</w:t>
      </w:r>
      <w:r w:rsidRPr="00C534B2">
        <w:rPr>
          <w:rFonts w:ascii="Arial" w:hAnsi="Arial" w:cs="Arial"/>
        </w:rPr>
        <w:t>. London: NICE.</w:t>
      </w:r>
    </w:p>
    <w:p w14:paraId="20BE965B"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Sedgwick, J.A., Merwood, A. and Asherson, P. (2019) ‘The positive aspects of ADHD’, </w:t>
      </w:r>
      <w:r w:rsidRPr="00C534B2">
        <w:rPr>
          <w:rFonts w:ascii="Arial" w:hAnsi="Arial" w:cs="Arial"/>
          <w:i/>
          <w:iCs/>
        </w:rPr>
        <w:t>European Child and Adolescent Psychiatry</w:t>
      </w:r>
      <w:r w:rsidRPr="00C534B2">
        <w:rPr>
          <w:rFonts w:ascii="Arial" w:hAnsi="Arial" w:cs="Arial"/>
        </w:rPr>
        <w:t>, 28(8), pp. 1023–1030.</w:t>
      </w:r>
    </w:p>
    <w:p w14:paraId="4A9AEF22"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Sonuga-Barke, E.J.S. and Thapar, A. (2021) ‘The neurodiversity concept: Is it helpful for clinicians and researchers?’, </w:t>
      </w:r>
      <w:r w:rsidRPr="00C534B2">
        <w:rPr>
          <w:rFonts w:ascii="Arial" w:hAnsi="Arial" w:cs="Arial"/>
          <w:i/>
          <w:iCs/>
        </w:rPr>
        <w:t>The Lancet Psychiatry</w:t>
      </w:r>
      <w:r w:rsidRPr="00C534B2">
        <w:rPr>
          <w:rFonts w:ascii="Arial" w:hAnsi="Arial" w:cs="Arial"/>
        </w:rPr>
        <w:t>, 8(7), pp. 559–561.</w:t>
      </w:r>
    </w:p>
    <w:p w14:paraId="34D4CF88" w14:textId="77777777" w:rsidR="00C534B2" w:rsidRPr="00C534B2" w:rsidRDefault="00C534B2" w:rsidP="00C534B2">
      <w:pPr>
        <w:spacing w:line="360" w:lineRule="auto"/>
        <w:jc w:val="both"/>
        <w:rPr>
          <w:rFonts w:ascii="Arial" w:hAnsi="Arial" w:cs="Arial"/>
        </w:rPr>
      </w:pPr>
      <w:r w:rsidRPr="00C534B2">
        <w:rPr>
          <w:rFonts w:ascii="Arial" w:hAnsi="Arial" w:cs="Arial"/>
        </w:rPr>
        <w:lastRenderedPageBreak/>
        <w:t xml:space="preserve">Timimi, S. and Leo, J. (2009) </w:t>
      </w:r>
      <w:r w:rsidRPr="00C534B2">
        <w:rPr>
          <w:rFonts w:ascii="Arial" w:hAnsi="Arial" w:cs="Arial"/>
          <w:i/>
          <w:iCs/>
        </w:rPr>
        <w:t>Rethinking ADHD: From Brain to Culture</w:t>
      </w:r>
      <w:r w:rsidRPr="00C534B2">
        <w:rPr>
          <w:rFonts w:ascii="Arial" w:hAnsi="Arial" w:cs="Arial"/>
        </w:rPr>
        <w:t>. London: Palgrave Macmillan.</w:t>
      </w:r>
    </w:p>
    <w:p w14:paraId="632A68A0" w14:textId="1A8E6713" w:rsidR="00C534B2" w:rsidRPr="00C534B2" w:rsidRDefault="00C534B2" w:rsidP="00C534B2">
      <w:pPr>
        <w:spacing w:line="360" w:lineRule="auto"/>
        <w:jc w:val="both"/>
        <w:rPr>
          <w:rFonts w:ascii="Arial" w:hAnsi="Arial" w:cs="Arial"/>
        </w:rPr>
      </w:pPr>
      <w:r w:rsidRPr="00C534B2">
        <w:rPr>
          <w:rFonts w:ascii="Arial" w:hAnsi="Arial" w:cs="Arial"/>
        </w:rPr>
        <w:t xml:space="preserve">World Health </w:t>
      </w:r>
      <w:r w:rsidR="00A024F1">
        <w:rPr>
          <w:rFonts w:ascii="Arial" w:hAnsi="Arial" w:cs="Arial"/>
        </w:rPr>
        <w:t>Organisation</w:t>
      </w:r>
      <w:r w:rsidRPr="00C534B2">
        <w:rPr>
          <w:rFonts w:ascii="Arial" w:hAnsi="Arial" w:cs="Arial"/>
        </w:rPr>
        <w:t xml:space="preserve"> (2022) </w:t>
      </w:r>
      <w:r w:rsidRPr="00C534B2">
        <w:rPr>
          <w:rFonts w:ascii="Arial" w:hAnsi="Arial" w:cs="Arial"/>
          <w:i/>
          <w:iCs/>
        </w:rPr>
        <w:t>International Classification of Diseases for Mortality and Morbidity Statistics (11th Revision)</w:t>
      </w:r>
      <w:r w:rsidRPr="00C534B2">
        <w:rPr>
          <w:rFonts w:ascii="Arial" w:hAnsi="Arial" w:cs="Arial"/>
        </w:rPr>
        <w:t>. Geneva: WHO.</w:t>
      </w:r>
    </w:p>
    <w:p w14:paraId="6CFCA241" w14:textId="77777777" w:rsidR="00C534B2" w:rsidRPr="00C534B2" w:rsidRDefault="00C534B2" w:rsidP="00C534B2">
      <w:pPr>
        <w:spacing w:line="360" w:lineRule="auto"/>
        <w:jc w:val="both"/>
        <w:rPr>
          <w:rFonts w:ascii="Arial" w:hAnsi="Arial" w:cs="Arial"/>
        </w:rPr>
      </w:pPr>
      <w:r w:rsidRPr="00C534B2">
        <w:rPr>
          <w:rFonts w:ascii="Arial" w:hAnsi="Arial" w:cs="Arial"/>
        </w:rPr>
        <w:t xml:space="preserve">Young, S., Adamo, N., Ásgeirsdóttir, B.B., Branney, P., Beckett, M. and Colley, W. (2020) ‘Females with ADHD: An expert consensus statement’, </w:t>
      </w:r>
      <w:r w:rsidRPr="00C534B2">
        <w:rPr>
          <w:rFonts w:ascii="Arial" w:hAnsi="Arial" w:cs="Arial"/>
          <w:i/>
          <w:iCs/>
        </w:rPr>
        <w:t>BMC Psychiatry</w:t>
      </w:r>
      <w:r w:rsidRPr="00C534B2">
        <w:rPr>
          <w:rFonts w:ascii="Arial" w:hAnsi="Arial" w:cs="Arial"/>
        </w:rPr>
        <w:t>, 20(404), pp. 1–31.</w:t>
      </w:r>
    </w:p>
    <w:p w14:paraId="177B68AF" w14:textId="77777777" w:rsidR="00C534B2" w:rsidRPr="00C534B2" w:rsidRDefault="00C534B2" w:rsidP="00C534B2">
      <w:pPr>
        <w:spacing w:line="360" w:lineRule="auto"/>
        <w:jc w:val="both"/>
        <w:rPr>
          <w:rFonts w:ascii="Arial" w:hAnsi="Arial" w:cs="Arial"/>
        </w:rPr>
      </w:pPr>
    </w:p>
    <w:sectPr w:rsidR="00C534B2" w:rsidRPr="00C534B2" w:rsidSect="009E0B7B">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0078A9" w14:textId="77777777" w:rsidR="004B209B" w:rsidRDefault="004B209B">
      <w:pPr>
        <w:spacing w:after="0" w:line="240" w:lineRule="auto"/>
      </w:pPr>
      <w:r>
        <w:separator/>
      </w:r>
    </w:p>
  </w:endnote>
  <w:endnote w:type="continuationSeparator" w:id="0">
    <w:p w14:paraId="67C78EF8" w14:textId="77777777" w:rsidR="004B209B" w:rsidRDefault="004B20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47222B" w14:textId="77777777" w:rsidR="004B209B" w:rsidRDefault="004B209B">
      <w:pPr>
        <w:spacing w:after="0" w:line="240" w:lineRule="auto"/>
      </w:pPr>
      <w:r>
        <w:separator/>
      </w:r>
    </w:p>
  </w:footnote>
  <w:footnote w:type="continuationSeparator" w:id="0">
    <w:p w14:paraId="08C3F93F" w14:textId="77777777" w:rsidR="004B209B" w:rsidRDefault="004B209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CCE62E" w14:textId="77777777" w:rsidR="009E0B7B" w:rsidRDefault="009E0B7B">
    <w:pPr>
      <w:pStyle w:val="Header"/>
    </w:pPr>
    <w:r>
      <w:rPr>
        <w:noProof/>
      </w:rPr>
      <w:drawing>
        <wp:anchor distT="0" distB="0" distL="114300" distR="114300" simplePos="0" relativeHeight="251659264" behindDoc="0" locked="0" layoutInCell="1" allowOverlap="1" wp14:anchorId="30738579" wp14:editId="5AD432B8">
          <wp:simplePos x="0" y="0"/>
          <wp:positionH relativeFrom="column">
            <wp:posOffset>4711700</wp:posOffset>
          </wp:positionH>
          <wp:positionV relativeFrom="paragraph">
            <wp:posOffset>-36830</wp:posOffset>
          </wp:positionV>
          <wp:extent cx="1422400" cy="450850"/>
          <wp:effectExtent l="0" t="0" r="6350" b="635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a:xfrm>
                    <a:off x="0" y="0"/>
                    <a:ext cx="1422400" cy="45085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0B7B"/>
    <w:rsid w:val="00122794"/>
    <w:rsid w:val="00157951"/>
    <w:rsid w:val="001F7E6B"/>
    <w:rsid w:val="00233328"/>
    <w:rsid w:val="00247BC6"/>
    <w:rsid w:val="00292489"/>
    <w:rsid w:val="002B24BE"/>
    <w:rsid w:val="002F16CC"/>
    <w:rsid w:val="00331CB3"/>
    <w:rsid w:val="003A4B4D"/>
    <w:rsid w:val="0045128D"/>
    <w:rsid w:val="004B209B"/>
    <w:rsid w:val="004E7710"/>
    <w:rsid w:val="004F17E9"/>
    <w:rsid w:val="00507FDE"/>
    <w:rsid w:val="00585620"/>
    <w:rsid w:val="00625306"/>
    <w:rsid w:val="00730FAE"/>
    <w:rsid w:val="007B0E65"/>
    <w:rsid w:val="00890C1F"/>
    <w:rsid w:val="00996394"/>
    <w:rsid w:val="009A5C62"/>
    <w:rsid w:val="009C333F"/>
    <w:rsid w:val="009C704F"/>
    <w:rsid w:val="009E0B7B"/>
    <w:rsid w:val="00A024F1"/>
    <w:rsid w:val="00A4710E"/>
    <w:rsid w:val="00AC316D"/>
    <w:rsid w:val="00B06685"/>
    <w:rsid w:val="00C534B2"/>
    <w:rsid w:val="00CC264D"/>
    <w:rsid w:val="00DC1E02"/>
    <w:rsid w:val="00DE3745"/>
    <w:rsid w:val="00E00193"/>
    <w:rsid w:val="00E51ABF"/>
    <w:rsid w:val="00E7050A"/>
    <w:rsid w:val="00F838C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B7475"/>
  <w15:chartTrackingRefBased/>
  <w15:docId w15:val="{A59D6336-9385-4134-BF40-C836A1FBB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0C1F"/>
  </w:style>
  <w:style w:type="paragraph" w:styleId="Heading1">
    <w:name w:val="heading 1"/>
    <w:basedOn w:val="Normal"/>
    <w:next w:val="Normal"/>
    <w:link w:val="Heading1Char"/>
    <w:uiPriority w:val="9"/>
    <w:qFormat/>
    <w:rsid w:val="009E0B7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E0B7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E0B7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E0B7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E0B7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E0B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0B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0B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0B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0B7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E0B7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E0B7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E0B7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E0B7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E0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0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0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0B7B"/>
    <w:rPr>
      <w:rFonts w:eastAsiaTheme="majorEastAsia" w:cstheme="majorBidi"/>
      <w:color w:val="272727" w:themeColor="text1" w:themeTint="D8"/>
    </w:rPr>
  </w:style>
  <w:style w:type="paragraph" w:styleId="Title">
    <w:name w:val="Title"/>
    <w:basedOn w:val="Normal"/>
    <w:next w:val="Normal"/>
    <w:link w:val="TitleChar"/>
    <w:uiPriority w:val="10"/>
    <w:qFormat/>
    <w:rsid w:val="009E0B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0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0B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0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0B7B"/>
    <w:pPr>
      <w:spacing w:before="160"/>
      <w:jc w:val="center"/>
    </w:pPr>
    <w:rPr>
      <w:i/>
      <w:iCs/>
      <w:color w:val="404040" w:themeColor="text1" w:themeTint="BF"/>
    </w:rPr>
  </w:style>
  <w:style w:type="character" w:customStyle="1" w:styleId="QuoteChar">
    <w:name w:val="Quote Char"/>
    <w:basedOn w:val="DefaultParagraphFont"/>
    <w:link w:val="Quote"/>
    <w:uiPriority w:val="29"/>
    <w:rsid w:val="009E0B7B"/>
    <w:rPr>
      <w:i/>
      <w:iCs/>
      <w:color w:val="404040" w:themeColor="text1" w:themeTint="BF"/>
    </w:rPr>
  </w:style>
  <w:style w:type="paragraph" w:styleId="ListParagraph">
    <w:name w:val="List Paragraph"/>
    <w:basedOn w:val="Normal"/>
    <w:uiPriority w:val="34"/>
    <w:qFormat/>
    <w:rsid w:val="009E0B7B"/>
    <w:pPr>
      <w:ind w:left="720"/>
      <w:contextualSpacing/>
    </w:pPr>
  </w:style>
  <w:style w:type="character" w:styleId="IntenseEmphasis">
    <w:name w:val="Intense Emphasis"/>
    <w:basedOn w:val="DefaultParagraphFont"/>
    <w:uiPriority w:val="21"/>
    <w:qFormat/>
    <w:rsid w:val="009E0B7B"/>
    <w:rPr>
      <w:i/>
      <w:iCs/>
      <w:color w:val="2F5496" w:themeColor="accent1" w:themeShade="BF"/>
    </w:rPr>
  </w:style>
  <w:style w:type="paragraph" w:styleId="IntenseQuote">
    <w:name w:val="Intense Quote"/>
    <w:basedOn w:val="Normal"/>
    <w:next w:val="Normal"/>
    <w:link w:val="IntenseQuoteChar"/>
    <w:uiPriority w:val="30"/>
    <w:qFormat/>
    <w:rsid w:val="009E0B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E0B7B"/>
    <w:rPr>
      <w:i/>
      <w:iCs/>
      <w:color w:val="2F5496" w:themeColor="accent1" w:themeShade="BF"/>
    </w:rPr>
  </w:style>
  <w:style w:type="character" w:styleId="IntenseReference">
    <w:name w:val="Intense Reference"/>
    <w:basedOn w:val="DefaultParagraphFont"/>
    <w:uiPriority w:val="32"/>
    <w:qFormat/>
    <w:rsid w:val="009E0B7B"/>
    <w:rPr>
      <w:b/>
      <w:bCs/>
      <w:smallCaps/>
      <w:color w:val="2F5496" w:themeColor="accent1" w:themeShade="BF"/>
      <w:spacing w:val="5"/>
    </w:rPr>
  </w:style>
  <w:style w:type="paragraph" w:styleId="Header">
    <w:name w:val="header"/>
    <w:basedOn w:val="Normal"/>
    <w:link w:val="HeaderChar"/>
    <w:uiPriority w:val="99"/>
    <w:unhideWhenUsed/>
    <w:rsid w:val="009E0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0B7B"/>
  </w:style>
  <w:style w:type="table" w:styleId="TableGrid">
    <w:name w:val="Table Grid"/>
    <w:basedOn w:val="TableNormal"/>
    <w:uiPriority w:val="39"/>
    <w:rsid w:val="009E0B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2640</Words>
  <Characters>15053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Sharon Akhigbe</cp:lastModifiedBy>
  <cp:revision>19</cp:revision>
  <dcterms:created xsi:type="dcterms:W3CDTF">2026-07-13T19:10:00Z</dcterms:created>
  <dcterms:modified xsi:type="dcterms:W3CDTF">2026-07-18T12:45:00Z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fbc4d11d-ba44-425f-bcd0-2056ceca0d1f</vt:lpwstr>
  </property>
</Properties>
</file>