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097C" w:rsidRPr="00542074" w:rsidRDefault="00A3097C" w:rsidP="00A3097C">
      <w:pPr>
        <w:pStyle w:val="a3"/>
        <w:spacing w:beforeLines="50" w:before="156" w:afterLines="100" w:after="312" w:line="360" w:lineRule="auto"/>
        <w:jc w:val="center"/>
        <w:rPr>
          <w:rFonts w:ascii="Times New Roman" w:hAnsi="Times New Roman" w:cs="Times New Roman"/>
          <w:sz w:val="52"/>
          <w:szCs w:val="52"/>
        </w:rPr>
      </w:pPr>
    </w:p>
    <w:p w:rsidR="00A3097C" w:rsidRPr="00542074" w:rsidRDefault="00A3097C" w:rsidP="00A3097C">
      <w:pPr>
        <w:pStyle w:val="a3"/>
        <w:spacing w:beforeLines="50" w:before="156" w:afterLines="100" w:after="312" w:line="360" w:lineRule="auto"/>
        <w:jc w:val="center"/>
        <w:rPr>
          <w:rFonts w:ascii="Times New Roman" w:hAnsi="Times New Roman" w:cs="Times New Roman"/>
          <w:sz w:val="52"/>
          <w:szCs w:val="52"/>
        </w:rPr>
      </w:pPr>
      <w:r w:rsidRPr="00542074">
        <w:rPr>
          <w:rFonts w:ascii="Times New Roman" w:hAnsi="Times New Roman" w:cs="Times New Roman"/>
          <w:sz w:val="52"/>
          <w:szCs w:val="52"/>
        </w:rPr>
        <w:t>Module: Marketing Management</w:t>
      </w:r>
    </w:p>
    <w:p w:rsidR="00A3097C" w:rsidRPr="00542074" w:rsidRDefault="00672931" w:rsidP="00A3097C">
      <w:pPr>
        <w:pStyle w:val="a3"/>
        <w:spacing w:beforeLines="50" w:before="156" w:afterLines="100" w:after="312" w:line="360" w:lineRule="auto"/>
        <w:jc w:val="center"/>
        <w:rPr>
          <w:rFonts w:ascii="Times New Roman" w:hAnsi="Times New Roman" w:cs="Times New Roman"/>
          <w:sz w:val="52"/>
          <w:szCs w:val="52"/>
        </w:rPr>
      </w:pPr>
      <w:r w:rsidRPr="00542074">
        <w:rPr>
          <w:rFonts w:ascii="Times New Roman" w:hAnsi="Times New Roman" w:cs="Times New Roman"/>
          <w:noProof/>
          <w:sz w:val="52"/>
          <w:szCs w:val="52"/>
        </w:rPr>
        <w:drawing>
          <wp:anchor distT="0" distB="0" distL="114300" distR="114300" simplePos="0" relativeHeight="251659264" behindDoc="0" locked="0" layoutInCell="1" allowOverlap="1" wp14:anchorId="302CBC66" wp14:editId="3F445C50">
            <wp:simplePos x="0" y="0"/>
            <wp:positionH relativeFrom="column">
              <wp:posOffset>238125</wp:posOffset>
            </wp:positionH>
            <wp:positionV relativeFrom="paragraph">
              <wp:posOffset>956310</wp:posOffset>
            </wp:positionV>
            <wp:extent cx="5676900" cy="5676900"/>
            <wp:effectExtent l="0" t="0" r="0" b="0"/>
            <wp:wrapNone/>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76900" cy="567690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A3097C" w:rsidRPr="00542074">
        <w:rPr>
          <w:rFonts w:ascii="Times New Roman" w:hAnsi="Times New Roman" w:cs="Times New Roman"/>
          <w:sz w:val="52"/>
          <w:szCs w:val="52"/>
        </w:rPr>
        <w:t>The marketing development of FAW- Volkswagen</w:t>
      </w:r>
    </w:p>
    <w:p w:rsidR="00672931" w:rsidRDefault="00A3097C" w:rsidP="00672931">
      <w:pPr>
        <w:spacing w:beforeLines="50" w:before="156" w:afterLines="100" w:after="312" w:line="360" w:lineRule="auto"/>
        <w:ind w:firstLineChars="300" w:firstLine="1560"/>
        <w:rPr>
          <w:rFonts w:ascii="Times New Roman" w:hAnsi="Times New Roman" w:cs="Times New Roman"/>
          <w:sz w:val="52"/>
          <w:szCs w:val="52"/>
        </w:rPr>
      </w:pPr>
      <w:r w:rsidRPr="00542074">
        <w:rPr>
          <w:rFonts w:ascii="Times New Roman" w:hAnsi="Times New Roman" w:cs="Times New Roman"/>
          <w:sz w:val="52"/>
          <w:szCs w:val="52"/>
        </w:rPr>
        <w:br w:type="page"/>
      </w:r>
      <w:bookmarkStart w:id="0" w:name="_GoBack"/>
      <w:bookmarkEnd w:id="0"/>
    </w:p>
    <w:p w:rsidR="00672931" w:rsidRDefault="00672931" w:rsidP="00672931">
      <w:pPr>
        <w:spacing w:beforeLines="50" w:before="156" w:afterLines="100" w:after="312" w:line="360" w:lineRule="auto"/>
        <w:ind w:firstLineChars="300" w:firstLine="1560"/>
        <w:rPr>
          <w:rFonts w:ascii="Times New Roman" w:hAnsi="Times New Roman" w:cs="Times New Roman"/>
          <w:sz w:val="52"/>
          <w:szCs w:val="52"/>
        </w:rPr>
      </w:pPr>
    </w:p>
    <w:p w:rsidR="00672931" w:rsidRDefault="00672931" w:rsidP="00672931">
      <w:pPr>
        <w:spacing w:beforeLines="50" w:before="156" w:afterLines="100" w:after="312" w:line="360" w:lineRule="auto"/>
        <w:ind w:firstLineChars="300" w:firstLine="1560"/>
        <w:rPr>
          <w:rFonts w:ascii="Times New Roman" w:hAnsi="Times New Roman" w:cs="Times New Roman"/>
          <w:sz w:val="52"/>
          <w:szCs w:val="52"/>
        </w:rPr>
      </w:pPr>
    </w:p>
    <w:p w:rsidR="00A3097C" w:rsidRDefault="00672931" w:rsidP="00672931">
      <w:pPr>
        <w:spacing w:beforeLines="50" w:before="156" w:afterLines="100" w:after="312" w:line="360" w:lineRule="auto"/>
        <w:ind w:firstLineChars="300" w:firstLine="1560"/>
        <w:rPr>
          <w:rFonts w:ascii="Times New Roman" w:hAnsi="Times New Roman" w:cs="Times New Roman"/>
          <w:sz w:val="52"/>
          <w:szCs w:val="52"/>
        </w:rPr>
      </w:pPr>
      <w:r>
        <w:rPr>
          <w:rFonts w:ascii="Times New Roman" w:hAnsi="Times New Roman" w:cs="Times New Roman" w:hint="eastAsia"/>
          <w:sz w:val="52"/>
          <w:szCs w:val="52"/>
        </w:rPr>
        <w:t>Student Name: Yan Wu</w:t>
      </w:r>
    </w:p>
    <w:p w:rsidR="00672931" w:rsidRDefault="00672931" w:rsidP="00672931">
      <w:pPr>
        <w:spacing w:beforeLines="50" w:before="156" w:afterLines="100" w:after="312" w:line="360" w:lineRule="auto"/>
        <w:ind w:firstLineChars="300" w:firstLine="1560"/>
        <w:rPr>
          <w:rFonts w:ascii="Times New Roman" w:hAnsi="Times New Roman" w:cs="Times New Roman"/>
          <w:sz w:val="52"/>
          <w:szCs w:val="52"/>
        </w:rPr>
      </w:pPr>
      <w:r>
        <w:rPr>
          <w:rFonts w:ascii="Times New Roman" w:hAnsi="Times New Roman" w:cs="Times New Roman" w:hint="eastAsia"/>
          <w:sz w:val="52"/>
          <w:szCs w:val="52"/>
        </w:rPr>
        <w:t>Student Number: 1903729</w:t>
      </w:r>
    </w:p>
    <w:p w:rsidR="00672931" w:rsidRPr="00542074" w:rsidRDefault="00672931" w:rsidP="00A3097C">
      <w:pPr>
        <w:spacing w:beforeLines="50" w:before="156" w:afterLines="100" w:after="312" w:line="360" w:lineRule="auto"/>
        <w:rPr>
          <w:rFonts w:ascii="Times New Roman" w:eastAsiaTheme="majorEastAsia" w:hAnsi="Times New Roman" w:cs="Times New Roman"/>
          <w:color w:val="365F91" w:themeColor="accent1" w:themeShade="BF"/>
          <w:spacing w:val="-7"/>
          <w:sz w:val="52"/>
          <w:szCs w:val="52"/>
        </w:rPr>
      </w:pPr>
    </w:p>
    <w:p w:rsidR="00A3097C" w:rsidRPr="00542074" w:rsidRDefault="00A3097C" w:rsidP="00A3097C">
      <w:pPr>
        <w:pStyle w:val="1"/>
        <w:spacing w:beforeLines="50" w:before="156" w:afterLines="100" w:after="312" w:line="360" w:lineRule="auto"/>
        <w:jc w:val="both"/>
        <w:rPr>
          <w:rFonts w:ascii="Times New Roman" w:hAnsi="Times New Roman" w:cs="Times New Roman"/>
        </w:rPr>
      </w:pPr>
      <w:bookmarkStart w:id="1" w:name="_Toc107175826"/>
      <w:r w:rsidRPr="00542074">
        <w:rPr>
          <w:rFonts w:ascii="Times New Roman" w:hAnsi="Times New Roman" w:cs="Times New Roman"/>
        </w:rPr>
        <w:t>Executive summary</w:t>
      </w:r>
      <w:bookmarkEnd w:id="1"/>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rPr>
      </w:pPr>
      <w:r w:rsidRPr="00542074">
        <w:rPr>
          <w:rFonts w:ascii="Times New Roman" w:hAnsi="Times New Roman" w:cs="Times New Roman"/>
        </w:rPr>
        <w:t xml:space="preserve">As a joint venture, FAW-Volkswagen (FAW-VW) entered the Chinese market in 1991. After over three decades of operation, FAW- VW has lacked the momentum for future growth, reflecting in its ineffective transformation towards the electric portfolio. The present report uses a sequence of management techniques to evaluate the situation facing FAW-VW, and afford a tailored marketing scheme in terms of 7P for the company. </w:t>
      </w:r>
    </w:p>
    <w:p w:rsidR="00A3097C" w:rsidRPr="00542074" w:rsidRDefault="00A3097C" w:rsidP="00A3097C">
      <w:pPr>
        <w:spacing w:beforeLines="50" w:before="156" w:afterLines="100" w:after="312" w:line="360" w:lineRule="auto"/>
        <w:jc w:val="both"/>
        <w:rPr>
          <w:rFonts w:ascii="Times New Roman" w:hAnsi="Times New Roman" w:cs="Times New Roman"/>
        </w:rPr>
      </w:pPr>
      <w:r w:rsidRPr="00542074">
        <w:rPr>
          <w:rFonts w:ascii="Times New Roman" w:hAnsi="Times New Roman" w:cs="Times New Roman"/>
        </w:rPr>
        <w:t xml:space="preserve">The situation analysis indicates the problems facing FAW-VW’ new energy vehicles (NEVs) include the heavy reliance on the parent company and the heavy reliance on the traditional one-way marketing communication methods, fierce competition in the electric vehicle sector in China but also reveals the opportunities include the emerging middle-class citizens, the intelligence and connectivity megatrends, the increasingly environmental awareness, the popularity of novel marketing methods. Based on the situational analysis, 7P of marketing mix is tailored for FAW-VW’s NEVs in the Chinese market. It is recommended in 7P that FAW-VW adopts a direct sale mode, a social media marketing-oriented communication, a localized production and distribution process, etc. </w:t>
      </w:r>
    </w:p>
    <w:p w:rsidR="00A3097C" w:rsidRPr="00542074" w:rsidRDefault="00A3097C" w:rsidP="00A3097C">
      <w:pPr>
        <w:spacing w:beforeLines="50" w:before="156" w:afterLines="100" w:after="312" w:line="360" w:lineRule="auto"/>
        <w:jc w:val="both"/>
        <w:rPr>
          <w:rFonts w:ascii="Times New Roman" w:hAnsi="Times New Roman" w:cs="Times New Roman"/>
        </w:rPr>
      </w:pPr>
      <w:r w:rsidRPr="00542074">
        <w:rPr>
          <w:rFonts w:ascii="Times New Roman" w:hAnsi="Times New Roman" w:cs="Times New Roman"/>
        </w:rPr>
        <w:t xml:space="preserve">The primary marketing media chosen for FAW-VW is the story telling though short-video marketing platform (Tik Tok, Sino Blog, etc.). The effectiveness of the marketing will be evaluated through benchmarking against the predetermined objectives. </w:t>
      </w:r>
    </w:p>
    <w:p w:rsidR="00A3097C" w:rsidRPr="00542074" w:rsidRDefault="00A3097C" w:rsidP="00A3097C">
      <w:pPr>
        <w:spacing w:beforeLines="50" w:before="156" w:afterLines="100" w:after="312" w:line="360" w:lineRule="auto"/>
        <w:rPr>
          <w:rFonts w:ascii="Times New Roman" w:hAnsi="Times New Roman" w:cs="Times New Roman"/>
        </w:rPr>
      </w:pPr>
      <w:r w:rsidRPr="00542074">
        <w:rPr>
          <w:rFonts w:ascii="Times New Roman" w:hAnsi="Times New Roman" w:cs="Times New Roman"/>
        </w:rPr>
        <w:br w:type="page"/>
      </w:r>
    </w:p>
    <w:sdt>
      <w:sdtPr>
        <w:rPr>
          <w:rFonts w:ascii="Times New Roman" w:eastAsiaTheme="minorEastAsia" w:hAnsi="Times New Roman" w:cs="Times New Roman"/>
          <w:color w:val="auto"/>
          <w:sz w:val="21"/>
          <w:szCs w:val="21"/>
          <w:lang w:val="zh-CN"/>
        </w:rPr>
        <w:id w:val="-1888404611"/>
        <w:docPartObj>
          <w:docPartGallery w:val="Table of Contents"/>
          <w:docPartUnique/>
        </w:docPartObj>
      </w:sdtPr>
      <w:sdtEndPr>
        <w:rPr>
          <w:b/>
          <w:bCs/>
        </w:rPr>
      </w:sdtEndPr>
      <w:sdtContent>
        <w:p w:rsidR="00A3097C" w:rsidRPr="00542074" w:rsidRDefault="00A3097C" w:rsidP="00A3097C">
          <w:pPr>
            <w:pStyle w:val="TOC"/>
            <w:spacing w:beforeLines="50" w:before="156" w:afterLines="100" w:after="312" w:line="360" w:lineRule="auto"/>
            <w:rPr>
              <w:rFonts w:ascii="Times New Roman" w:hAnsi="Times New Roman" w:cs="Times New Roman"/>
            </w:rPr>
          </w:pPr>
          <w:r w:rsidRPr="00542074">
            <w:rPr>
              <w:rFonts w:ascii="Times New Roman" w:hAnsi="Times New Roman" w:cs="Times New Roman"/>
              <w:lang w:val="zh-CN"/>
            </w:rPr>
            <w:t xml:space="preserve">List of contents </w:t>
          </w:r>
        </w:p>
        <w:p w:rsidR="00A3097C" w:rsidRPr="00542074" w:rsidRDefault="00A3097C" w:rsidP="00A3097C">
          <w:pPr>
            <w:pStyle w:val="10"/>
            <w:tabs>
              <w:tab w:val="right" w:leader="dot" w:pos="9736"/>
            </w:tabs>
            <w:spacing w:after="0" w:line="360" w:lineRule="auto"/>
            <w:rPr>
              <w:rFonts w:ascii="Times New Roman" w:hAnsi="Times New Roman" w:cs="Times New Roman"/>
              <w:noProof/>
              <w:sz w:val="24"/>
              <w:szCs w:val="24"/>
            </w:rPr>
          </w:pPr>
          <w:r w:rsidRPr="00542074">
            <w:rPr>
              <w:rFonts w:ascii="Times New Roman" w:hAnsi="Times New Roman" w:cs="Times New Roman"/>
              <w:sz w:val="24"/>
              <w:szCs w:val="24"/>
            </w:rPr>
            <w:fldChar w:fldCharType="begin"/>
          </w:r>
          <w:r w:rsidRPr="00542074">
            <w:rPr>
              <w:rFonts w:ascii="Times New Roman" w:hAnsi="Times New Roman" w:cs="Times New Roman"/>
              <w:sz w:val="24"/>
              <w:szCs w:val="24"/>
            </w:rPr>
            <w:instrText xml:space="preserve"> TOC \o "1-3" \h \z \u </w:instrText>
          </w:r>
          <w:r w:rsidRPr="00542074">
            <w:rPr>
              <w:rFonts w:ascii="Times New Roman" w:hAnsi="Times New Roman" w:cs="Times New Roman"/>
              <w:sz w:val="24"/>
              <w:szCs w:val="24"/>
            </w:rPr>
            <w:fldChar w:fldCharType="separate"/>
          </w:r>
          <w:hyperlink w:anchor="_Toc107175826" w:history="1">
            <w:r w:rsidRPr="00542074">
              <w:rPr>
                <w:rStyle w:val="a6"/>
                <w:rFonts w:ascii="Times New Roman" w:hAnsi="Times New Roman" w:cs="Times New Roman"/>
                <w:noProof/>
                <w:sz w:val="24"/>
                <w:szCs w:val="24"/>
              </w:rPr>
              <w:t>Executive summary</w:t>
            </w:r>
            <w:r w:rsidRPr="00542074">
              <w:rPr>
                <w:rFonts w:ascii="Times New Roman" w:hAnsi="Times New Roman" w:cs="Times New Roman"/>
                <w:noProof/>
                <w:webHidden/>
                <w:sz w:val="24"/>
                <w:szCs w:val="24"/>
              </w:rPr>
              <w:tab/>
            </w:r>
          </w:hyperlink>
        </w:p>
        <w:p w:rsidR="00A3097C" w:rsidRPr="00542074" w:rsidRDefault="000D3F08" w:rsidP="00A3097C">
          <w:pPr>
            <w:pStyle w:val="10"/>
            <w:tabs>
              <w:tab w:val="left" w:pos="630"/>
              <w:tab w:val="right" w:leader="dot" w:pos="9736"/>
            </w:tabs>
            <w:spacing w:after="0" w:line="360" w:lineRule="auto"/>
            <w:rPr>
              <w:rFonts w:ascii="Times New Roman" w:hAnsi="Times New Roman" w:cs="Times New Roman"/>
              <w:noProof/>
              <w:sz w:val="24"/>
              <w:szCs w:val="24"/>
            </w:rPr>
          </w:pPr>
          <w:hyperlink w:anchor="_Toc107175827" w:history="1">
            <w:r w:rsidR="00A3097C" w:rsidRPr="00542074">
              <w:rPr>
                <w:rStyle w:val="a6"/>
                <w:rFonts w:ascii="Times New Roman" w:hAnsi="Times New Roman" w:cs="Times New Roman"/>
                <w:noProof/>
                <w:sz w:val="24"/>
                <w:szCs w:val="24"/>
              </w:rPr>
              <w:t>1.</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Introduction</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_Toc107175827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10"/>
            <w:tabs>
              <w:tab w:val="left" w:pos="630"/>
              <w:tab w:val="right" w:leader="dot" w:pos="9736"/>
            </w:tabs>
            <w:spacing w:after="0" w:line="360" w:lineRule="auto"/>
            <w:rPr>
              <w:rFonts w:ascii="Times New Roman" w:hAnsi="Times New Roman" w:cs="Times New Roman"/>
              <w:noProof/>
              <w:sz w:val="24"/>
              <w:szCs w:val="24"/>
            </w:rPr>
          </w:pPr>
          <w:hyperlink w:anchor="_Toc107175828" w:history="1">
            <w:r w:rsidR="00A3097C" w:rsidRPr="00542074">
              <w:rPr>
                <w:rStyle w:val="a6"/>
                <w:rFonts w:ascii="Times New Roman" w:hAnsi="Times New Roman" w:cs="Times New Roman"/>
                <w:noProof/>
                <w:sz w:val="24"/>
                <w:szCs w:val="24"/>
              </w:rPr>
              <w:t>2.</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Main findings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_Toc107175828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2</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29" w:history="1">
            <w:r w:rsidR="00A3097C" w:rsidRPr="00542074">
              <w:rPr>
                <w:rStyle w:val="a6"/>
                <w:rFonts w:ascii="Times New Roman" w:hAnsi="Times New Roman" w:cs="Times New Roman"/>
                <w:noProof/>
                <w:sz w:val="24"/>
                <w:szCs w:val="24"/>
              </w:rPr>
              <w:t>2.1</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The marketing concepts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_Toc107175829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2</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30" w:history="1">
            <w:r w:rsidR="00A3097C" w:rsidRPr="00542074">
              <w:rPr>
                <w:rStyle w:val="a6"/>
                <w:rFonts w:ascii="Times New Roman" w:hAnsi="Times New Roman" w:cs="Times New Roman"/>
                <w:noProof/>
                <w:sz w:val="24"/>
                <w:szCs w:val="24"/>
              </w:rPr>
              <w:t>2.2</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The macro &amp; microenvironment</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_Toc107175830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3</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30"/>
            <w:tabs>
              <w:tab w:val="right" w:leader="dot" w:pos="9736"/>
            </w:tabs>
            <w:spacing w:after="0" w:line="360" w:lineRule="auto"/>
            <w:rPr>
              <w:rFonts w:ascii="Times New Roman" w:hAnsi="Times New Roman" w:cs="Times New Roman"/>
              <w:noProof/>
              <w:sz w:val="24"/>
              <w:szCs w:val="24"/>
            </w:rPr>
          </w:pPr>
          <w:hyperlink w:anchor="_Toc107175831" w:history="1">
            <w:r w:rsidR="00A3097C" w:rsidRPr="00542074">
              <w:rPr>
                <w:rStyle w:val="a6"/>
                <w:rFonts w:ascii="Times New Roman" w:hAnsi="Times New Roman" w:cs="Times New Roman"/>
                <w:noProof/>
                <w:sz w:val="24"/>
                <w:szCs w:val="24"/>
              </w:rPr>
              <w:t>2.2.1</w:t>
            </w:r>
            <w:r w:rsidR="00A3097C" w:rsidRPr="00542074">
              <w:rPr>
                <w:rFonts w:ascii="Times New Roman" w:hAnsi="Times New Roman" w:cs="Times New Roman"/>
                <w:noProof/>
                <w:sz w:val="24"/>
                <w:szCs w:val="24"/>
              </w:rPr>
              <w:t xml:space="preserve"> </w:t>
            </w:r>
            <w:r w:rsidR="00A3097C" w:rsidRPr="00542074">
              <w:rPr>
                <w:rStyle w:val="a6"/>
                <w:rFonts w:ascii="Times New Roman" w:hAnsi="Times New Roman" w:cs="Times New Roman"/>
                <w:noProof/>
                <w:sz w:val="24"/>
                <w:szCs w:val="24"/>
              </w:rPr>
              <w:t>The macro environment analysis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_Toc107175831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3</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30"/>
            <w:tabs>
              <w:tab w:val="right" w:leader="dot" w:pos="9736"/>
            </w:tabs>
            <w:spacing w:after="0" w:line="360" w:lineRule="auto"/>
            <w:rPr>
              <w:rFonts w:ascii="Times New Roman" w:hAnsi="Times New Roman" w:cs="Times New Roman"/>
              <w:noProof/>
              <w:sz w:val="24"/>
              <w:szCs w:val="24"/>
            </w:rPr>
          </w:pPr>
          <w:hyperlink w:anchor="_Toc107175832" w:history="1">
            <w:r w:rsidR="00A3097C" w:rsidRPr="00542074">
              <w:rPr>
                <w:rStyle w:val="a6"/>
                <w:rFonts w:ascii="Times New Roman" w:hAnsi="Times New Roman" w:cs="Times New Roman"/>
                <w:noProof/>
                <w:sz w:val="24"/>
                <w:szCs w:val="24"/>
              </w:rPr>
              <w:t>2.2.2 The micro environment analysis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_Toc107175832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3</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33" w:history="1">
            <w:r w:rsidR="00A3097C" w:rsidRPr="00542074">
              <w:rPr>
                <w:rStyle w:val="a6"/>
                <w:rFonts w:ascii="Times New Roman" w:hAnsi="Times New Roman" w:cs="Times New Roman"/>
                <w:noProof/>
                <w:sz w:val="24"/>
                <w:szCs w:val="24"/>
              </w:rPr>
              <w:t>2.3</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The target markets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_Toc107175833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4</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34" w:history="1">
            <w:r w:rsidR="00A3097C" w:rsidRPr="00542074">
              <w:rPr>
                <w:rStyle w:val="a6"/>
                <w:rFonts w:ascii="Times New Roman" w:hAnsi="Times New Roman" w:cs="Times New Roman"/>
                <w:noProof/>
                <w:sz w:val="24"/>
                <w:szCs w:val="24"/>
              </w:rPr>
              <w:t>2.4</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The marketing mix</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_Toc107175834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5</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35" w:history="1">
            <w:r w:rsidR="00A3097C" w:rsidRPr="00542074">
              <w:rPr>
                <w:rStyle w:val="a6"/>
                <w:rFonts w:ascii="Times New Roman" w:hAnsi="Times New Roman" w:cs="Times New Roman"/>
                <w:noProof/>
                <w:sz w:val="24"/>
                <w:szCs w:val="24"/>
              </w:rPr>
              <w:t>2.5</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Marketing media</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_Toc107175835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9</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left" w:pos="1050"/>
              <w:tab w:val="right" w:leader="dot" w:pos="9736"/>
            </w:tabs>
            <w:spacing w:after="0" w:line="360" w:lineRule="auto"/>
            <w:rPr>
              <w:rFonts w:ascii="Times New Roman" w:hAnsi="Times New Roman" w:cs="Times New Roman"/>
              <w:noProof/>
              <w:sz w:val="24"/>
              <w:szCs w:val="24"/>
            </w:rPr>
          </w:pPr>
          <w:hyperlink w:anchor="_Toc107175836" w:history="1">
            <w:r w:rsidR="00A3097C" w:rsidRPr="00542074">
              <w:rPr>
                <w:rStyle w:val="a6"/>
                <w:rFonts w:ascii="Times New Roman" w:hAnsi="Times New Roman" w:cs="Times New Roman"/>
                <w:noProof/>
                <w:sz w:val="24"/>
                <w:szCs w:val="24"/>
              </w:rPr>
              <w:t>2.6</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Marketing success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_Toc107175836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10</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10"/>
            <w:tabs>
              <w:tab w:val="left" w:pos="840"/>
              <w:tab w:val="right" w:leader="dot" w:pos="9736"/>
            </w:tabs>
            <w:spacing w:after="0" w:line="360" w:lineRule="auto"/>
            <w:rPr>
              <w:rFonts w:ascii="Times New Roman" w:hAnsi="Times New Roman" w:cs="Times New Roman"/>
              <w:noProof/>
              <w:sz w:val="24"/>
              <w:szCs w:val="24"/>
            </w:rPr>
          </w:pPr>
          <w:hyperlink w:anchor="_Toc107175837" w:history="1">
            <w:r w:rsidR="00A3097C" w:rsidRPr="00542074">
              <w:rPr>
                <w:rStyle w:val="a6"/>
                <w:rFonts w:ascii="Times New Roman" w:hAnsi="Times New Roman" w:cs="Times New Roman"/>
                <w:noProof/>
                <w:sz w:val="24"/>
                <w:szCs w:val="24"/>
              </w:rPr>
              <w:t>3.</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Conclusion</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_Toc107175837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10</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10"/>
            <w:tabs>
              <w:tab w:val="left" w:pos="840"/>
              <w:tab w:val="right" w:leader="dot" w:pos="9736"/>
            </w:tabs>
            <w:spacing w:after="0" w:line="360" w:lineRule="auto"/>
            <w:rPr>
              <w:rFonts w:ascii="Times New Roman" w:hAnsi="Times New Roman" w:cs="Times New Roman"/>
              <w:noProof/>
              <w:sz w:val="24"/>
              <w:szCs w:val="24"/>
            </w:rPr>
          </w:pPr>
          <w:hyperlink w:anchor="_Toc107175838" w:history="1">
            <w:r w:rsidR="00A3097C" w:rsidRPr="00542074">
              <w:rPr>
                <w:rStyle w:val="a6"/>
                <w:rFonts w:ascii="Times New Roman" w:hAnsi="Times New Roman" w:cs="Times New Roman"/>
                <w:noProof/>
                <w:sz w:val="24"/>
                <w:szCs w:val="24"/>
              </w:rPr>
              <w:t>4.</w:t>
            </w:r>
            <w:r w:rsidR="00A3097C" w:rsidRPr="00542074">
              <w:rPr>
                <w:rFonts w:ascii="Times New Roman" w:hAnsi="Times New Roman" w:cs="Times New Roman"/>
                <w:noProof/>
                <w:sz w:val="24"/>
                <w:szCs w:val="24"/>
              </w:rPr>
              <w:tab/>
            </w:r>
            <w:r w:rsidR="00A3097C" w:rsidRPr="00542074">
              <w:rPr>
                <w:rStyle w:val="a6"/>
                <w:rFonts w:ascii="Times New Roman" w:hAnsi="Times New Roman" w:cs="Times New Roman"/>
                <w:noProof/>
                <w:sz w:val="24"/>
                <w:szCs w:val="24"/>
              </w:rPr>
              <w:t>Recommendations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_Toc107175838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10</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10"/>
            <w:tabs>
              <w:tab w:val="right" w:leader="dot" w:pos="9736"/>
            </w:tabs>
            <w:spacing w:after="0" w:line="360" w:lineRule="auto"/>
            <w:rPr>
              <w:rFonts w:ascii="Times New Roman" w:hAnsi="Times New Roman" w:cs="Times New Roman"/>
              <w:noProof/>
              <w:sz w:val="24"/>
              <w:szCs w:val="24"/>
            </w:rPr>
          </w:pPr>
          <w:hyperlink w:anchor="_Toc107175839" w:history="1">
            <w:r w:rsidR="00A3097C" w:rsidRPr="00542074">
              <w:rPr>
                <w:rStyle w:val="a6"/>
                <w:rFonts w:ascii="Times New Roman" w:hAnsi="Times New Roman" w:cs="Times New Roman"/>
                <w:noProof/>
                <w:sz w:val="24"/>
                <w:szCs w:val="24"/>
              </w:rPr>
              <w:t>References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_Toc107175839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12</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10"/>
            <w:tabs>
              <w:tab w:val="right" w:leader="dot" w:pos="9736"/>
            </w:tabs>
            <w:spacing w:after="0" w:line="360" w:lineRule="auto"/>
            <w:rPr>
              <w:rFonts w:ascii="Times New Roman" w:hAnsi="Times New Roman" w:cs="Times New Roman"/>
              <w:noProof/>
              <w:sz w:val="24"/>
              <w:szCs w:val="24"/>
            </w:rPr>
          </w:pPr>
          <w:hyperlink w:anchor="_Toc107175840" w:history="1">
            <w:r w:rsidR="00A3097C" w:rsidRPr="00542074">
              <w:rPr>
                <w:rStyle w:val="a6"/>
                <w:rFonts w:ascii="Times New Roman" w:hAnsi="Times New Roman" w:cs="Times New Roman"/>
                <w:noProof/>
                <w:sz w:val="24"/>
                <w:szCs w:val="24"/>
              </w:rPr>
              <w:t>Appendix:</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_Toc107175840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15</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right" w:leader="dot" w:pos="9736"/>
            </w:tabs>
            <w:spacing w:after="0" w:line="360" w:lineRule="auto"/>
            <w:rPr>
              <w:rFonts w:ascii="Times New Roman" w:hAnsi="Times New Roman" w:cs="Times New Roman"/>
              <w:noProof/>
              <w:sz w:val="24"/>
              <w:szCs w:val="24"/>
            </w:rPr>
          </w:pPr>
          <w:hyperlink w:anchor="_Toc107175841" w:history="1">
            <w:r w:rsidR="00A3097C" w:rsidRPr="00542074">
              <w:rPr>
                <w:rStyle w:val="a6"/>
                <w:rFonts w:ascii="Times New Roman" w:hAnsi="Times New Roman" w:cs="Times New Roman"/>
                <w:noProof/>
                <w:sz w:val="24"/>
                <w:szCs w:val="24"/>
              </w:rPr>
              <w:t>Appendix 1: Full version of the Pestel analysis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_Toc107175841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15</w:t>
            </w:r>
            <w:r w:rsidR="00A3097C" w:rsidRPr="00542074">
              <w:rPr>
                <w:rFonts w:ascii="Times New Roman" w:hAnsi="Times New Roman" w:cs="Times New Roman"/>
                <w:noProof/>
                <w:webHidden/>
                <w:sz w:val="24"/>
                <w:szCs w:val="24"/>
              </w:rPr>
              <w:fldChar w:fldCharType="end"/>
            </w:r>
          </w:hyperlink>
        </w:p>
        <w:p w:rsidR="00A3097C" w:rsidRPr="00542074" w:rsidRDefault="000D3F08" w:rsidP="00A3097C">
          <w:pPr>
            <w:pStyle w:val="20"/>
            <w:tabs>
              <w:tab w:val="right" w:leader="dot" w:pos="9736"/>
            </w:tabs>
            <w:spacing w:after="0" w:line="360" w:lineRule="auto"/>
            <w:rPr>
              <w:rFonts w:ascii="Times New Roman" w:hAnsi="Times New Roman" w:cs="Times New Roman"/>
              <w:noProof/>
              <w:sz w:val="24"/>
              <w:szCs w:val="24"/>
            </w:rPr>
          </w:pPr>
          <w:hyperlink w:anchor="_Toc107175842" w:history="1">
            <w:r w:rsidR="00A3097C" w:rsidRPr="00542074">
              <w:rPr>
                <w:rStyle w:val="a6"/>
                <w:rFonts w:ascii="Times New Roman" w:hAnsi="Times New Roman" w:cs="Times New Roman"/>
                <w:noProof/>
                <w:sz w:val="24"/>
                <w:szCs w:val="24"/>
              </w:rPr>
              <w:t xml:space="preserve">Appendix 2: </w:t>
            </w:r>
            <w:r w:rsidR="00A3097C">
              <w:rPr>
                <w:rStyle w:val="a6"/>
                <w:rFonts w:ascii="Times New Roman" w:hAnsi="Times New Roman" w:cs="Times New Roman"/>
                <w:noProof/>
                <w:sz w:val="24"/>
                <w:szCs w:val="24"/>
              </w:rPr>
              <w:t>Full</w:t>
            </w:r>
            <w:r w:rsidR="00A3097C" w:rsidRPr="00542074">
              <w:rPr>
                <w:rStyle w:val="a6"/>
                <w:rFonts w:ascii="Times New Roman" w:hAnsi="Times New Roman" w:cs="Times New Roman"/>
                <w:noProof/>
                <w:sz w:val="24"/>
                <w:szCs w:val="24"/>
              </w:rPr>
              <w:t xml:space="preserve"> version of SWOT analysis</w:t>
            </w:r>
            <w:r w:rsidR="00A3097C" w:rsidRPr="00542074">
              <w:rPr>
                <w:rFonts w:ascii="Times New Roman" w:hAnsi="Times New Roman" w:cs="Times New Roman"/>
                <w:noProof/>
                <w:webHidden/>
                <w:sz w:val="24"/>
                <w:szCs w:val="24"/>
              </w:rPr>
              <w:tab/>
            </w:r>
            <w:r w:rsidR="00A3097C" w:rsidRPr="00542074">
              <w:rPr>
                <w:rFonts w:ascii="Times New Roman" w:hAnsi="Times New Roman" w:cs="Times New Roman"/>
                <w:noProof/>
                <w:webHidden/>
                <w:sz w:val="24"/>
                <w:szCs w:val="24"/>
              </w:rPr>
              <w:fldChar w:fldCharType="begin"/>
            </w:r>
            <w:r w:rsidR="00A3097C" w:rsidRPr="00542074">
              <w:rPr>
                <w:rFonts w:ascii="Times New Roman" w:hAnsi="Times New Roman" w:cs="Times New Roman"/>
                <w:noProof/>
                <w:webHidden/>
                <w:sz w:val="24"/>
                <w:szCs w:val="24"/>
              </w:rPr>
              <w:instrText xml:space="preserve"> PAGEREF _Toc107175842 \h </w:instrText>
            </w:r>
            <w:r w:rsidR="00A3097C" w:rsidRPr="00542074">
              <w:rPr>
                <w:rFonts w:ascii="Times New Roman" w:hAnsi="Times New Roman" w:cs="Times New Roman"/>
                <w:noProof/>
                <w:webHidden/>
                <w:sz w:val="24"/>
                <w:szCs w:val="24"/>
              </w:rPr>
            </w:r>
            <w:r w:rsidR="00A3097C" w:rsidRPr="00542074">
              <w:rPr>
                <w:rFonts w:ascii="Times New Roman" w:hAnsi="Times New Roman" w:cs="Times New Roman"/>
                <w:noProof/>
                <w:webHidden/>
                <w:sz w:val="24"/>
                <w:szCs w:val="24"/>
              </w:rPr>
              <w:fldChar w:fldCharType="separate"/>
            </w:r>
            <w:r w:rsidR="00A3097C">
              <w:rPr>
                <w:rFonts w:ascii="Times New Roman" w:hAnsi="Times New Roman" w:cs="Times New Roman"/>
                <w:noProof/>
                <w:webHidden/>
                <w:sz w:val="24"/>
                <w:szCs w:val="24"/>
              </w:rPr>
              <w:t>17</w:t>
            </w:r>
            <w:r w:rsidR="00A3097C" w:rsidRPr="00542074">
              <w:rPr>
                <w:rFonts w:ascii="Times New Roman" w:hAnsi="Times New Roman" w:cs="Times New Roman"/>
                <w:noProof/>
                <w:webHidden/>
                <w:sz w:val="24"/>
                <w:szCs w:val="24"/>
              </w:rPr>
              <w:fldChar w:fldCharType="end"/>
            </w:r>
          </w:hyperlink>
        </w:p>
        <w:p w:rsidR="00A3097C" w:rsidRPr="00542074" w:rsidRDefault="00A3097C" w:rsidP="00A3097C">
          <w:pPr>
            <w:spacing w:after="0" w:line="360" w:lineRule="auto"/>
            <w:rPr>
              <w:rFonts w:ascii="Times New Roman" w:hAnsi="Times New Roman" w:cs="Times New Roman"/>
            </w:rPr>
          </w:pPr>
          <w:r w:rsidRPr="00542074">
            <w:rPr>
              <w:rFonts w:ascii="Times New Roman" w:hAnsi="Times New Roman" w:cs="Times New Roman"/>
              <w:b/>
              <w:bCs/>
              <w:sz w:val="24"/>
              <w:szCs w:val="24"/>
              <w:lang w:val="zh-CN"/>
            </w:rPr>
            <w:fldChar w:fldCharType="end"/>
          </w:r>
        </w:p>
      </w:sdtContent>
    </w:sdt>
    <w:p w:rsidR="00A3097C" w:rsidRPr="00542074" w:rsidRDefault="00A3097C" w:rsidP="00A3097C">
      <w:pPr>
        <w:spacing w:beforeLines="50" w:before="156" w:afterLines="100" w:after="312" w:line="360" w:lineRule="auto"/>
        <w:rPr>
          <w:rFonts w:ascii="Times New Roman" w:eastAsiaTheme="majorEastAsia" w:hAnsi="Times New Roman" w:cs="Times New Roman"/>
          <w:color w:val="365F91" w:themeColor="accent1" w:themeShade="BF"/>
          <w:sz w:val="36"/>
          <w:szCs w:val="36"/>
        </w:rPr>
      </w:pPr>
      <w:r w:rsidRPr="00542074">
        <w:rPr>
          <w:rFonts w:ascii="Times New Roman" w:eastAsiaTheme="majorEastAsia" w:hAnsi="Times New Roman" w:cs="Times New Roman"/>
          <w:color w:val="365F91" w:themeColor="accent1" w:themeShade="BF"/>
          <w:sz w:val="36"/>
          <w:szCs w:val="36"/>
        </w:rPr>
        <w:br w:type="page"/>
      </w:r>
    </w:p>
    <w:p w:rsidR="00A3097C" w:rsidRDefault="00A3097C" w:rsidP="00A3097C">
      <w:pPr>
        <w:pStyle w:val="1"/>
        <w:numPr>
          <w:ilvl w:val="0"/>
          <w:numId w:val="1"/>
        </w:numPr>
        <w:spacing w:beforeLines="50" w:before="156" w:afterLines="100" w:after="312" w:line="360" w:lineRule="auto"/>
        <w:jc w:val="both"/>
        <w:rPr>
          <w:rFonts w:ascii="Times New Roman" w:hAnsi="Times New Roman" w:cs="Times New Roman"/>
        </w:rPr>
        <w:sectPr w:rsidR="00A3097C" w:rsidSect="005C489D">
          <w:footerReference w:type="default" r:id="rId9"/>
          <w:pgSz w:w="11906" w:h="16838"/>
          <w:pgMar w:top="1440" w:right="1080" w:bottom="1440" w:left="1080" w:header="851" w:footer="992" w:gutter="0"/>
          <w:cols w:space="425"/>
          <w:docGrid w:type="lines" w:linePitch="312"/>
        </w:sectPr>
      </w:pPr>
      <w:bookmarkStart w:id="2" w:name="_Toc107175827"/>
    </w:p>
    <w:p w:rsidR="00A3097C" w:rsidRPr="00542074" w:rsidRDefault="00A3097C" w:rsidP="00A3097C">
      <w:pPr>
        <w:pStyle w:val="1"/>
        <w:numPr>
          <w:ilvl w:val="0"/>
          <w:numId w:val="1"/>
        </w:numPr>
        <w:spacing w:beforeLines="50" w:before="156" w:afterLines="100" w:after="312" w:line="360" w:lineRule="auto"/>
        <w:jc w:val="both"/>
        <w:rPr>
          <w:rFonts w:ascii="Times New Roman" w:hAnsi="Times New Roman" w:cs="Times New Roman"/>
        </w:rPr>
      </w:pPr>
      <w:r w:rsidRPr="00542074">
        <w:rPr>
          <w:rFonts w:ascii="Times New Roman" w:hAnsi="Times New Roman" w:cs="Times New Roman"/>
        </w:rPr>
        <w:lastRenderedPageBreak/>
        <w:t>Introduction</w:t>
      </w:r>
      <w:bookmarkEnd w:id="2"/>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Founded on 1991, FAW-Volkswagen (as FAW – VW) is a large passenger car manufacturer jointly operated by FAW in China, as well as  Audi AG and Volkswagen AG in Germany, and is the first modern passenger car manufacturer built on an economic scale in China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{"citationItems":[{"id":"ITEM-1","itemData":{"URL":"http://www.faw.com/fawen/gyjt36/gjhz/faw-volkswagen/index.html","author":[{"dropping-particle":"","family":"FAW Group","given":"","non-dropping-particle":"","parse-names":false,"suffix":""}],"id":"ITEM-1","issued":{"date-parts":[["2022"]]},"title":"About FAW - Volkswagen","type":"webpage"},"uris":["http://www.mendeley.com/documents/?uuid=d5695a6a-a46b-4455-bf50-64aca4c94061"]}],"mendeley":{"formattedCitation":"(FAW Group, 2022)","plainTextFormattedCitation":"(FAW Group, 2022)","previouslyFormattedCitation":"(FAW Group, 2022)"},"properties":{"noteIndex":0},"schema":"https://github.com/citation-style-language/schema/raw/master/csl-citation.json"}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(FAW Group, 2022)</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However, despite the popularity of FAW- VW in China, its performance in the new energy vehicles (as NEVs) has been quite unsatisfactory, lagging behind the major international brands (such as Tesla) and domestic brands (such as BYD, Geely, NIO, Xpeng, etc.). An underlying rationale for the poor financial performance can be partially attributed to its ineffective marketing efforts so far. </w:t>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noProof/>
          <w:sz w:val="24"/>
          <w:szCs w:val="24"/>
        </w:rPr>
        <w:drawing>
          <wp:inline distT="0" distB="0" distL="0" distR="0" wp14:anchorId="2AA30F3E" wp14:editId="4C8C8F92">
            <wp:extent cx="5958840" cy="2246630"/>
            <wp:effectExtent l="0" t="0" r="3810" b="1270"/>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Figure 1: Top NEVs brand in China in 2021 (measured by sales volume in 1000 units)</w:t>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 xml:space="preserve">Source: </w:t>
      </w:r>
      <w:r w:rsidRPr="00542074">
        <w:rPr>
          <w:rFonts w:ascii="Times New Roman" w:hAnsi="Times New Roman" w:cs="Times New Roman"/>
          <w:b/>
          <w:bCs/>
          <w:sz w:val="24"/>
          <w:szCs w:val="24"/>
        </w:rPr>
        <w:fldChar w:fldCharType="begin" w:fldLock="1"/>
      </w:r>
      <w:r w:rsidRPr="00542074">
        <w:rPr>
          <w:rFonts w:ascii="Times New Roman" w:hAnsi="Times New Roman" w:cs="Times New Roman"/>
          <w:b/>
          <w:bCs/>
          <w:sz w:val="24"/>
          <w:szCs w:val="24"/>
        </w:rPr>
        <w:instrText>ADDIN CSL_CITATION {"citationItems":[{"id":"ITEM-1","itemData":{"URL":"https://www.statista.com/statistics/992522/china-leading-new-energy-vehicle-brands-based-on-sales-volume/","author":[{"dropping-particle":"","family":"Statista","given":"","non-dropping-particle":"","parse-names":false,"suffix":""}],"id":"ITEM-1","issued":{"date-parts":[["2022"]]},"title":"Major new energy passenger car companies in China 2021, based on sales volume","type":"webpage"},"uris":["http://www.mendeley.com/documents/?uuid=0466268c-5c7a-42f3-bcec-47ae8b3f2fd1"]}],"mendeley":{"formattedCitation":"(Statista, 2022)","plainTextFormattedCitation":"(Statista, 2022)","previouslyFormattedCitation":"(Statista, 2022)"},"properties":{"noteIndex":0},"schema":"https://github.com/citation-style-language/schema/raw/master/csl-citation.json"}</w:instrText>
      </w:r>
      <w:r w:rsidRPr="00542074">
        <w:rPr>
          <w:rFonts w:ascii="Times New Roman" w:hAnsi="Times New Roman" w:cs="Times New Roman"/>
          <w:b/>
          <w:bCs/>
          <w:sz w:val="24"/>
          <w:szCs w:val="24"/>
        </w:rPr>
        <w:fldChar w:fldCharType="separate"/>
      </w:r>
      <w:r w:rsidRPr="00542074">
        <w:rPr>
          <w:rFonts w:ascii="Times New Roman" w:hAnsi="Times New Roman" w:cs="Times New Roman"/>
          <w:b/>
          <w:bCs/>
          <w:noProof/>
          <w:sz w:val="24"/>
          <w:szCs w:val="24"/>
        </w:rPr>
        <w:t>(Statista, 2022)</w:t>
      </w:r>
      <w:r w:rsidRPr="00542074">
        <w:rPr>
          <w:rFonts w:ascii="Times New Roman" w:hAnsi="Times New Roman" w:cs="Times New Roman"/>
          <w:b/>
          <w:bCs/>
          <w:sz w:val="24"/>
          <w:szCs w:val="24"/>
        </w:rPr>
        <w:fldChar w:fldCharType="end"/>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The present report audits the internal and external environment of NEVs in the Chinese market and attempts to afford some recommendations to improve the marketing effectiveness of FAW-VW in promoting its NEV sales. </w:t>
      </w:r>
    </w:p>
    <w:p w:rsidR="00A3097C" w:rsidRPr="00542074" w:rsidRDefault="00A3097C" w:rsidP="00A3097C">
      <w:pPr>
        <w:pStyle w:val="1"/>
        <w:numPr>
          <w:ilvl w:val="0"/>
          <w:numId w:val="1"/>
        </w:numPr>
        <w:spacing w:beforeLines="50" w:before="156" w:afterLines="100" w:after="312" w:line="360" w:lineRule="auto"/>
        <w:jc w:val="both"/>
        <w:rPr>
          <w:rFonts w:ascii="Times New Roman" w:hAnsi="Times New Roman" w:cs="Times New Roman"/>
        </w:rPr>
      </w:pPr>
      <w:bookmarkStart w:id="3" w:name="_Toc107175828"/>
      <w:r w:rsidRPr="00542074">
        <w:rPr>
          <w:rFonts w:ascii="Times New Roman" w:hAnsi="Times New Roman" w:cs="Times New Roman"/>
        </w:rPr>
        <w:lastRenderedPageBreak/>
        <w:t>Main findings</w:t>
      </w:r>
      <w:bookmarkEnd w:id="3"/>
      <w:r w:rsidRPr="00542074">
        <w:rPr>
          <w:rFonts w:ascii="Times New Roman" w:hAnsi="Times New Roman" w:cs="Times New Roman"/>
        </w:rPr>
        <w:t xml:space="preserve"> </w:t>
      </w:r>
    </w:p>
    <w:p w:rsidR="00A3097C" w:rsidRPr="00542074" w:rsidRDefault="00A3097C" w:rsidP="00A3097C">
      <w:pPr>
        <w:pStyle w:val="2"/>
        <w:numPr>
          <w:ilvl w:val="1"/>
          <w:numId w:val="1"/>
        </w:numPr>
        <w:spacing w:beforeLines="50" w:before="156" w:afterLines="100" w:after="312" w:line="360" w:lineRule="auto"/>
        <w:jc w:val="both"/>
        <w:rPr>
          <w:rFonts w:ascii="Times New Roman" w:hAnsi="Times New Roman" w:cs="Times New Roman"/>
        </w:rPr>
      </w:pPr>
      <w:bookmarkStart w:id="4" w:name="_Toc107175829"/>
      <w:r w:rsidRPr="00542074">
        <w:rPr>
          <w:rFonts w:ascii="Times New Roman" w:hAnsi="Times New Roman" w:cs="Times New Roman"/>
        </w:rPr>
        <w:t>The marketing concepts</w:t>
      </w:r>
      <w:bookmarkEnd w:id="4"/>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Marketing can be perceived as “the process by which companies create value for customers and build strong customer relationships to capture value from customers in return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Kotler","given":"Philip","non-dropping-particle":"","parse-names":false,"suffix":""},{"dropping-particle":"","family":"Armstrong","given":"Gary","non-dropping-particle":"","parse-names":false,"suffix":""},{"dropping-particle":"","family":"Harris","given":"Lloyd C","non-dropping-particle":"","parse-names":false,"suffix":""},{"dropping-particle":"","family":"Piercy","given":"Nigel","non-dropping-particle":"","parse-names":false,"suffix":""}],"container-title":"Essex: Pearson Education Limited","id":"ITEM-1","issued":{"date-parts":[["2013"]]},"title":"Principles of Marketing. 6th European edition","type":"article-journal"},"uris":["http://www.mendeley.com/documents/?uuid=6ad92c00-dd7c-460b-b720-6886ecd4cbb0"]}],"mendeley":{"formattedCitation":"(Kotler &lt;i&gt;et al.&lt;/i&gt;, 2013)","plainTextFormattedCitation":"(Kotler et al., 2013)","previouslyFormattedCitation":"(Kotler &lt;i&gt;et al.&lt;/i&gt;, 2013)"},"properties":{"noteIndex":0},"schema":"https://github.com/citation-style-language/schema/raw/master/csl-citation.json"}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 xml:space="preserve">(Kotler </w:t>
      </w:r>
      <w:r w:rsidRPr="00542074">
        <w:rPr>
          <w:rFonts w:ascii="Times New Roman" w:hAnsi="Times New Roman" w:cs="Times New Roman"/>
          <w:i/>
          <w:noProof/>
          <w:sz w:val="24"/>
          <w:szCs w:val="24"/>
        </w:rPr>
        <w:t>et al.</w:t>
      </w:r>
      <w:r w:rsidRPr="00542074">
        <w:rPr>
          <w:rFonts w:ascii="Times New Roman" w:hAnsi="Times New Roman" w:cs="Times New Roman"/>
          <w:noProof/>
          <w:sz w:val="24"/>
          <w:szCs w:val="24"/>
        </w:rPr>
        <w:t>, 2013)</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The primary inputs required for the implementation of the functional marketing activities include but are not limited to the followings:</w:t>
      </w:r>
    </w:p>
    <w:p w:rsidR="00A3097C" w:rsidRPr="00542074" w:rsidRDefault="00A3097C" w:rsidP="00A3097C">
      <w:pPr>
        <w:pStyle w:val="a4"/>
        <w:numPr>
          <w:ilvl w:val="0"/>
          <w:numId w:val="2"/>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Human resources: including marketers who formulate, implement and monitor the marketing practices based on their expertise and experience. </w:t>
      </w:r>
    </w:p>
    <w:p w:rsidR="00A3097C" w:rsidRPr="00542074" w:rsidRDefault="00A3097C" w:rsidP="00A3097C">
      <w:pPr>
        <w:pStyle w:val="a4"/>
        <w:numPr>
          <w:ilvl w:val="0"/>
          <w:numId w:val="2"/>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Capital resources: the different phases of marketing, such as market research, marketing planning, marketing implementation, etc. will involve financial expenditure. </w:t>
      </w:r>
    </w:p>
    <w:p w:rsidR="00A3097C" w:rsidRPr="00542074" w:rsidRDefault="00A3097C" w:rsidP="00A3097C">
      <w:pPr>
        <w:pStyle w:val="a4"/>
        <w:numPr>
          <w:ilvl w:val="0"/>
          <w:numId w:val="2"/>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Physical resources: the practices of marketers are supported by physical resources, such as access to marketing-related machinery, etc.</w:t>
      </w:r>
    </w:p>
    <w:p w:rsidR="00A3097C" w:rsidRPr="00542074" w:rsidRDefault="00A3097C" w:rsidP="00A3097C">
      <w:pPr>
        <w:pStyle w:val="a4"/>
        <w:numPr>
          <w:ilvl w:val="0"/>
          <w:numId w:val="2"/>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Technological resources: significantly ignored in the marketing practices before, the technological capabilities, although intangible, are argued to have significant influences on the contemporary marketing effectiveness. Specifically, the ability of the organization in integrating some marketing technological advancements (such as big data analytics, artificial intelligence, virtual reality, etc.) in marketing is perceived as the decisive force for the overall marketing performance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{"citationItems":[{"id":"ITEM-1","itemData":{"ISSN":"2062-2872","author":[{"dropping-particle":"","family":"Vassileva","given":"Bistra","non-dropping-particle":"","parse-names":false,"suffix":""}],"container-title":"Obuda university e-Bulletin","id":"ITEM-1","issue":"1","issued":{"date-parts":[["2017"]]},"page":"47-56","publisher":"</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buda University Keleti K</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roly Faculty of Economics","title":"Marketing 4.0: How technologies transform marketing organization","type":"article-journal","volume":"7"},"uris":["http://www.mendeley.com/documents/?uuid=71d539e0-9b90-4a69-ac6a-734f23e450b7"]},{"id":"ITEM-2","itemData":{"ISBN":"131550653X","author":[{"dropping-particle":"","family":"Frost","given":"Raymond D","non-dropping-particle":"","parse-names":false,"suffix":""},{"dropping-particle":"","family":"Strauss","given":"Judy","non-dropping-particle":"","parse-names":false,"suffix":""}],"id":"ITEM-2","issued":{"date-parts":[["2016"]]},"publisher":"Routledge","title":"E-marketing","type":"book"},"uris":["http://www.mendeley.com/documents/?uuid=36f6c937-0162-47e9-979b-d8c20afa9e36"]},{"id":"ITEM-3","itemData":{"ISSN":"1441-3582","author":[{"dropping-particle":"","family":"Chylinski","given":"Mathew","non-dropping-particle":"","parse-names":false,"suffix":""},{"dropping-particle":"","family":"Heller","given":"Jonas","non-dropping-particle":"","parse-names":false,"suffix":""},{"dropping-particle":"","family":"Hilken","given":"Tim","non-dropping-particle":"","parse-names":false,"suffix":""},{"dropping-particle":"","family":"Keeling","given":"Debbie Isobel","non-dropping-particle":"","parse-names":false,"suffix":""},{"dropping-particle":"","family":"Mahr","given":"Dominik","non-dropping-particle":"","parse-names":false,"suffix":""},{"dropping-particle":"","family":"Ruyter","given":"Ko","non-dropping-particle":"de","parse-names":false,"suffix":""}],"container-title":"Australasian Marketing Journal (AMJ)","id":"ITEM-3","issue":"4","issued":{"date-parts":[["2020"]]},"page":"374-384","publisher":"Elsevier","title":"Augmented reality marketing: A technology-enabled approach to situated customer experience","type":"article-journal","volume":"28"},"uris":["http://www.mendeley.com/documents/?uuid=c7211323-b04a-4111-8c90-971acd9b72e7"]}],"mendeley":{"formattedCitation":"(Frost and Strauss, 2016; Vassileva, 2017; Chylinski &lt;i&gt;et al.&lt;/i&gt;, 2020)","plainTextFormattedCitation":"(Frost and Strauss, 2016; Vassileva, 2017; Chylinski et al., 2020)","previouslyFormattedCitation":"(Frost and Strauss, 2016; Vassileva, 2017; Chylinski &lt;i&gt;et al.&lt;/i&gt;, 2020)"},"properties":{"noteIndex":0},"schema":"https://github.com/citation-style-language/schema/raw/master/csl-citation.json"}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 xml:space="preserve">(Frost and Strauss, 2016; Vassileva, 2017; Chylinski </w:t>
      </w:r>
      <w:r w:rsidRPr="00542074">
        <w:rPr>
          <w:rFonts w:ascii="Times New Roman" w:hAnsi="Times New Roman" w:cs="Times New Roman"/>
          <w:i/>
          <w:noProof/>
          <w:sz w:val="24"/>
          <w:szCs w:val="24"/>
        </w:rPr>
        <w:t>et al.</w:t>
      </w:r>
      <w:r w:rsidRPr="00542074">
        <w:rPr>
          <w:rFonts w:ascii="Times New Roman" w:hAnsi="Times New Roman" w:cs="Times New Roman"/>
          <w:noProof/>
          <w:sz w:val="24"/>
          <w:szCs w:val="24"/>
        </w:rPr>
        <w:t>, 2020)</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The review of FAW-VW’s marketing efforts indicates that it has exhibited its strengths in human resources, capital resources, and physical resources, but also shows some vulnerabilities in using technological advancements to differentiate and promote its marketing effectiveness. Especially, it has largely relied on TV commercials and magazine commercials as primary channels of marketing, resulting in single-direction marketing communication from FAW-VW to customers. The engagement of the company in emerging marketing approaches have been rarely observed. </w:t>
      </w:r>
    </w:p>
    <w:p w:rsidR="00A3097C" w:rsidRPr="00542074" w:rsidRDefault="00A3097C" w:rsidP="00A3097C">
      <w:pPr>
        <w:pStyle w:val="2"/>
        <w:numPr>
          <w:ilvl w:val="1"/>
          <w:numId w:val="1"/>
        </w:numPr>
        <w:spacing w:beforeLines="50" w:before="156" w:afterLines="100" w:after="312" w:line="360" w:lineRule="auto"/>
        <w:jc w:val="both"/>
        <w:rPr>
          <w:rFonts w:ascii="Times New Roman" w:hAnsi="Times New Roman" w:cs="Times New Roman"/>
        </w:rPr>
      </w:pPr>
      <w:bookmarkStart w:id="5" w:name="_Toc107175830"/>
      <w:r w:rsidRPr="00542074">
        <w:rPr>
          <w:rFonts w:ascii="Times New Roman" w:hAnsi="Times New Roman" w:cs="Times New Roman"/>
        </w:rPr>
        <w:lastRenderedPageBreak/>
        <w:t>The macro &amp; microenvironment</w:t>
      </w:r>
      <w:bookmarkEnd w:id="5"/>
      <w:r w:rsidRPr="00542074">
        <w:rPr>
          <w:rFonts w:ascii="Times New Roman" w:hAnsi="Times New Roman" w:cs="Times New Roman"/>
        </w:rPr>
        <w:t xml:space="preserve"> </w:t>
      </w:r>
    </w:p>
    <w:p w:rsidR="00A3097C" w:rsidRPr="00542074" w:rsidRDefault="00A3097C" w:rsidP="00A3097C">
      <w:pPr>
        <w:pStyle w:val="3"/>
        <w:numPr>
          <w:ilvl w:val="2"/>
          <w:numId w:val="1"/>
        </w:numPr>
        <w:spacing w:beforeLines="50" w:before="156" w:afterLines="100" w:after="312" w:line="360" w:lineRule="auto"/>
        <w:jc w:val="both"/>
        <w:rPr>
          <w:rFonts w:ascii="Times New Roman" w:hAnsi="Times New Roman" w:cs="Times New Roman"/>
        </w:rPr>
      </w:pPr>
      <w:bookmarkStart w:id="6" w:name="_Toc107175831"/>
      <w:r w:rsidRPr="00542074">
        <w:rPr>
          <w:rFonts w:ascii="Times New Roman" w:hAnsi="Times New Roman" w:cs="Times New Roman"/>
        </w:rPr>
        <w:t>The macro environment analysis</w:t>
      </w:r>
      <w:bookmarkEnd w:id="6"/>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16"/>
          <w:szCs w:val="16"/>
        </w:rPr>
      </w:pPr>
      <w:r w:rsidRPr="00542074">
        <w:rPr>
          <w:rFonts w:ascii="Times New Roman" w:hAnsi="Times New Roman" w:cs="Times New Roman"/>
          <w:sz w:val="24"/>
          <w:szCs w:val="24"/>
        </w:rPr>
        <w:t xml:space="preserve">The macro environment analysis is performed using the PESTEL model, and the full version of the analysis can be found in the appendix. There are some megatrends that deserve special attention. In terms of the political factors, the Chinese government has issued a wide range of supportive policies, such as tax incentives, and production and purchase subsidies, to support the development of domestic NEV brands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0958-305X","author":[{"dropping-particle":"","family":"Li","given":"Wenbo","non-dropping-particle":"","parse-names":false,"suffix":""},{"dropping-particle":"","family":"Yang","given":"Muyi","non-dropping-particle":"","parse-names":false,"suffix":""},{"dropping-particle":"","family":"Sandu","given":"Suwin","non-dropping-particle":"","parse-names":false,"suffix":""}],"container-title":"Energy &amp; Environment","id":"ITEM-1","issue":"8","issued":{"date-parts":[["2018"]]},"page":"1512-1524","publisher":"SAGE Publications Sage UK: London, England","title":"Electric vehicles in China: A review of current policies","type":"article-journal","volume":"29"},"uris":["http://www.mendeley.com/documents/?uuid=590d9091-c700-4511-958b-86ae99cd102c"]}],"mendeley":{"formattedCitation":"(Li, Yang and Sandu, 2018)","plainTextFormattedCitation":"(Li, Yang and Sandu, 2018)","previouslyFormattedCitation":"(Li, Yang and Sandu, 2018)"},"properties":{"noteIndex":0},"schema":"https://github.com/citation-style-language/schema/raw/master/csl-citation.json"}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(Li, Yang and Sandu, 2018)</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In terms of social factors, an emerging middle-class citizen with higher purchase power and desire, with distinct consumption patterns (such as the pursuit of heterogeneity in products, the emphasis over purchase experiences, etc.) will be the major consumption drivers of the NEVs in the future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1361-9209","author":[{"dropping-particle":"","family":"Huang","given":"Youlin","non-dropping-particle":"","parse-names":false,"suffix":""},{"dropping-particle":"","family":"Qian","given":"Lixian","non-dropping-particle":"","parse-names":false,"suffix":""}],"container-title":"Transportation Research Part D: Transport and Environment","id":"ITEM-1","issue":"2","issued":{"date-parts":[["2018"]]},"page":"482-497","publisher":"Elsevier","title":"Consumer preferences for electric vehicles in lower tier cities of China: Evidences from south Jiangsu region","type":"article-journal","volume":"63"},"uris":["http://www.mendeley.com/documents/?uuid=d6438a22-8dcc-458d-8352-fffed5284499"]}],"mendeley":{"formattedCitation":"(Huang and Qian, 2018)","plainTextFormattedCitation":"(Huang and Qian, 2018)","previouslyFormattedCitation":"(Huang and Qian, 2018)"},"properties":{"noteIndex":0},"schema":"https://github.com/citation-style-language/schema/raw/master/csl-citation.json"}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(Huang and Qian, 2018)</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urbanization scheme in the less developed tier 2 and tier 3 cities will stimulate more need for passenger cars in these places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{"citationItems":[{"id":"ITEM-1","itemData":{"ISSN":"0958-305X","author":[{"dropping-particle":"","family":"Ming","given":"Yin","non-dropping-particle":"","parse-names":false,"suffix":""}],"container-title":"Energy &amp; Environment","id":"ITEM-1","issue":"1-2","issued":{"date-parts":[["2015"]]},"page":"1-14","publisher":"SAGE Publications Sage UK: London, England","title":"Energy development and urbanization in China","type":"article-journal","volume":"26"},"uris":["http://www.mendeley.com/documents/?uuid=f2d5e890-61b3-4b6c-8a49-4303e0454a56"]}],"mendeley":{"formattedCitation":"(Ming, 2015)","plainTextFormattedCitation":"(Ming, 2015)","previouslyFormattedCitation":"(Ming, 2015)"},"properties":{"noteIndex":0},"schema":"https://github.com/citation-style-language/schema/raw/master/csl-citation.json"}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(Ming, 2015)</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In terms of technological factors, intelligence and connectivity have been widely acknowledged as the future technological trends in the NEV sector, and the major unique selling points that can differentiate brands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Arena","given":"Fabio","non-dropping-particle":"","parse-names":false,"suffix":""},{"dropping-particle":"","family":"Pau","given":"Giovanni","non-dropping-particle":"","parse-names":false,"suffix":""},{"dropping-particle":"","family":"Severino","given":"Alessandro","non-dropping-particle":"","parse-names":false,"suffix":""}],"container-title":"Infrastructures","id":"ITEM-1","issue":"7","issued":{"date-parts":[["2020"]]},"page":"53-69","publisher":"Multidisciplinary Digital Publishing Institute","title":"An Overview on the Current Status and Future Perspectives of Smart Cars","type":"article-journal","volume":"5"},"uris":["http://www.mendeley.com/documents/?uuid=8918402a-2baf-4dbb-ab03-43faf09d688e"]}],"mendeley":{"formattedCitation":"(Arena, Pau and Severino, 2020)","plainTextFormattedCitation":"(Arena, Pau and Severino, 2020)","previouslyFormattedCitation":"(Arena, Pau and Severino, 2020)"},"properties":{"noteIndex":0},"schema":"https://github.com/citation-style-language/schema/raw/master/csl-citation.json"}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(Arena, Pau and Severino, 2020)</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In terms of the environmental factors, the several pollution and resource issues in China in recent years have rose more awareness among the public towards sustainability, and their attitudes to personal transportation have been gradually altered, which indicates the greater market attractiveness and potential of NEVs compared to traditional vehicles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1364-0321","author":[{"dropping-particle":"","family":"Zhang","given":"Xiang","non-dropping-particle":"","parse-names":false,"suffix":""},{"dropping-particle":"","family":"Bai","given":"Xue","non-dropping-particle":"","parse-names":false,"suffix":""}],"container-title":"Renewable and Sustainable Energy Reviews","id":"ITEM-1","issue":"2","issued":{"date-parts":[["2017"]]},"page":"24-43","publisher":"Elsevier","title":"Incentive policies from 2006 to 2016 and new energy vehicle adoption in 2010</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C2020 in China","type":"article-journal","volume":"70"},"uris":["http://www.mendeley.com/documents/?uuid=f74d5674-09ff-4afd-ae84-e229c685bf77"]},{"id":"ITEM-2","itemData":{"DOI":"10.1080/23792949.2018.1505433","ISSN":"23792957","abstract":"This paper examines how the state can facilitate the establishment of a domestic production network in new energy vehicles (NEVs), from the making of electric vehicle batteries and battery management systems to the manufacturing of NEVs. The case of China illustrates how a non-firm actor was able to create the largest NEV market in the world by implementing proactive policies for market creation and new industrial regulations for cost and range parity. To facilitate the further development of domestic production networks for NEVs, the Chinese government shifted its regulatory parameters and leveraged the market size to drive the incumbent global automakers to rejig their product portfolios and form joint ventures with domestic NEV-makers in China. This provides a prima facie case illustrating how a proactive state can take a dominant role in establishing a domestic production network without coupling with global lead firms in global production networks.","author":[{"dropping-particle":"","family":"Yeung","given":"Godfrey","non-dropping-particle":"","parse-names":false,"suffix":""}],"container-title":"Area Development and Policy","id":"ITEM-2","issue":"1","issued":{"date-parts":[["2019","1","2"]]},"page":"39-59","publisher":"Routledge","title":"‘Made in China 2025’: the development of a new energy vehicle industry in China","type":"article-journal","volume":"4"},"uris":["http://www.mendeley.com/documents/?uuid=0e8187f7-dbbb-3fc7-81a9-4ec28d22c230"]}],"mendeley":{"formattedCitation":"(Zhang and Bai, 2017; Yeung, 2019)","plainTextFormattedCitation":"(Zhang and Bai, 2017; Yeung, 2019)","previouslyFormattedCitation":"(Zhang and Bai, 2017; Yeung, 2019)"},"properties":{"noteIndex":0},"schema":"https://github.com/citation-style-language/schema/raw/master/csl-citation.json"}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(Zhang and Bai, 2017; Yeung, 2019)</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w:t>
      </w:r>
      <w:r w:rsidRPr="00542074">
        <w:rPr>
          <w:rFonts w:ascii="Times New Roman" w:hAnsi="Times New Roman" w:cs="Times New Roman"/>
          <w:sz w:val="16"/>
          <w:szCs w:val="16"/>
        </w:rPr>
        <w:t xml:space="preserve"> </w:t>
      </w:r>
    </w:p>
    <w:p w:rsidR="00A3097C" w:rsidRPr="00542074" w:rsidRDefault="00A3097C" w:rsidP="00A3097C">
      <w:pPr>
        <w:pStyle w:val="3"/>
        <w:spacing w:beforeLines="50" w:before="156" w:afterLines="100" w:after="312" w:line="360" w:lineRule="auto"/>
        <w:jc w:val="both"/>
        <w:rPr>
          <w:rFonts w:ascii="Times New Roman" w:hAnsi="Times New Roman" w:cs="Times New Roman"/>
        </w:rPr>
      </w:pPr>
      <w:bookmarkStart w:id="7" w:name="_Toc107175832"/>
      <w:r w:rsidRPr="00542074">
        <w:rPr>
          <w:rFonts w:ascii="Times New Roman" w:hAnsi="Times New Roman" w:cs="Times New Roman"/>
        </w:rPr>
        <w:t>2.2.2 The micro environment analysis</w:t>
      </w:r>
      <w:bookmarkEnd w:id="7"/>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The micro environment analysis is completed via SWOT analysis, a full version of the analysis can be found in the appendix. The primary strengths of the company lie in the resources and competencies accumulated from the decades of operation in the non-NEV sector, and this allows the company to embark on more aggressive R&amp;D and marketing initiatives in the NEV sector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{"citationItems":[{"id":"ITEM-1","itemData":{"author":[{"dropping-particle":"","family":"FAW-Volkswagen","given":"","non-dropping-particle":"","parse-names":false,"suffix":""}],"id":"ITEM-1","issued":{"date-parts":[["2021"]]},"title":"FAW-Volkswagen Annual Report 2020","type":"report"},"uris":["http://www.mendeley.com/documents/?uuid=0b04bdd9-6ec6-4bc7-b825-0a4a74d8c5b9"]}],"mendeley":{"formattedCitation":"(FAW-Volkswagen, 2021)","plainTextFormattedCitation":"(FAW-Volkswagen, 2021)","previouslyFormattedCitation":"(FAW-Volkswagen,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(FAW-Volkswagen,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However, the weaknesses of the company reflect in its reliance on the parent company – Volkswagen for the NEV development and distribution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{"citationItems":[{"id":"ITEM-1","itemData":{"URL":"https://global.chinadaily.com.cn/a/202105/24/WS60ab4a65a31024ad0bac10de.html","author":[{"dropping-particle":"","family":"China Daily","given":"","non-dropping-particle":"","parse-names":false,"suffix":""}],"id":"ITEM-1","issued":{"date-parts":[["2021"]]},"title":"FAW-Volkswagen to step up electrification in China","type":"webpage"},"uris":["http://www.mendeley.com/documents/?uuid=0842d7e3-fe64-449b-8821-dd485e92b357"]}],"mendeley":{"formattedCitation":"(China Daily, 2021)","plainTextFormattedCitation":"(China Daily, 2021)","previouslyFormattedCitation":"(China Daily,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(China Daily,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This has led to the issue that slow market responsiveness as products and services developed in the parent </w:t>
      </w:r>
      <w:r w:rsidRPr="00542074">
        <w:rPr>
          <w:rFonts w:ascii="Times New Roman" w:hAnsi="Times New Roman" w:cs="Times New Roman"/>
          <w:sz w:val="24"/>
          <w:szCs w:val="24"/>
        </w:rPr>
        <w:lastRenderedPageBreak/>
        <w:t xml:space="preserve">company may not fit into the domestic Chinese market. Face the threats of fierce competition, FAW-VW should seize the emerging opportunities presented in the Chinese market such as the buoyant NEV demands, intelligence and connectivity development, etc. </w:t>
      </w:r>
    </w:p>
    <w:p w:rsidR="00A3097C" w:rsidRPr="00542074" w:rsidRDefault="00A3097C" w:rsidP="00A3097C">
      <w:pPr>
        <w:pStyle w:val="2"/>
        <w:numPr>
          <w:ilvl w:val="1"/>
          <w:numId w:val="1"/>
        </w:numPr>
        <w:spacing w:beforeLines="50" w:before="156" w:afterLines="100" w:after="312" w:line="360" w:lineRule="auto"/>
        <w:jc w:val="both"/>
        <w:rPr>
          <w:rFonts w:ascii="Times New Roman" w:hAnsi="Times New Roman" w:cs="Times New Roman"/>
        </w:rPr>
      </w:pPr>
      <w:bookmarkStart w:id="8" w:name="_Toc107175833"/>
      <w:r w:rsidRPr="00542074">
        <w:rPr>
          <w:rFonts w:ascii="Times New Roman" w:hAnsi="Times New Roman" w:cs="Times New Roman"/>
        </w:rPr>
        <w:t>The target markets</w:t>
      </w:r>
      <w:bookmarkEnd w:id="8"/>
    </w:p>
    <w:p w:rsidR="00A3097C" w:rsidRPr="00542074" w:rsidRDefault="00A3097C" w:rsidP="00A3097C">
      <w:pPr>
        <w:spacing w:after="0" w:line="24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Table 1: market segmentation of FAW-VW</w:t>
      </w:r>
    </w:p>
    <w:p w:rsidR="00A3097C" w:rsidRPr="00542074" w:rsidRDefault="00A3097C" w:rsidP="00A3097C">
      <w:pPr>
        <w:spacing w:after="0" w:line="24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Source: own summary</w:t>
      </w:r>
    </w:p>
    <w:tbl>
      <w:tblPr>
        <w:tblStyle w:val="GridTable4Accent1"/>
        <w:tblW w:w="0" w:type="auto"/>
        <w:tblLook w:val="04A0" w:firstRow="1" w:lastRow="0" w:firstColumn="1" w:lastColumn="0" w:noHBand="0" w:noVBand="1"/>
      </w:tblPr>
      <w:tblGrid>
        <w:gridCol w:w="2434"/>
        <w:gridCol w:w="2434"/>
        <w:gridCol w:w="2434"/>
        <w:gridCol w:w="2434"/>
      </w:tblGrid>
      <w:tr w:rsidR="00A3097C" w:rsidRPr="00542074" w:rsidTr="009B42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rsidR="00A3097C" w:rsidRPr="00542074" w:rsidRDefault="00A3097C" w:rsidP="009B4259">
            <w:pPr>
              <w:jc w:val="center"/>
              <w:rPr>
                <w:rFonts w:ascii="Times New Roman" w:hAnsi="Times New Roman" w:cs="Times New Roman"/>
                <w:b w:val="0"/>
                <w:bCs w:val="0"/>
                <w:sz w:val="20"/>
                <w:szCs w:val="20"/>
              </w:rPr>
            </w:pPr>
            <w:r w:rsidRPr="00542074">
              <w:rPr>
                <w:rFonts w:ascii="Times New Roman" w:hAnsi="Times New Roman" w:cs="Times New Roman"/>
                <w:b w:val="0"/>
                <w:bCs w:val="0"/>
                <w:sz w:val="20"/>
                <w:szCs w:val="20"/>
              </w:rPr>
              <w:t>Geographic</w:t>
            </w:r>
          </w:p>
        </w:tc>
        <w:tc>
          <w:tcPr>
            <w:tcW w:w="2434" w:type="dxa"/>
          </w:tcPr>
          <w:p w:rsidR="00A3097C" w:rsidRPr="00542074" w:rsidRDefault="00A3097C" w:rsidP="009B425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542074">
              <w:rPr>
                <w:rFonts w:ascii="Times New Roman" w:hAnsi="Times New Roman" w:cs="Times New Roman"/>
                <w:b w:val="0"/>
                <w:bCs w:val="0"/>
                <w:sz w:val="20"/>
                <w:szCs w:val="20"/>
              </w:rPr>
              <w:t>Demographic</w:t>
            </w:r>
          </w:p>
        </w:tc>
        <w:tc>
          <w:tcPr>
            <w:tcW w:w="2434" w:type="dxa"/>
          </w:tcPr>
          <w:p w:rsidR="00A3097C" w:rsidRPr="00542074" w:rsidRDefault="00A3097C" w:rsidP="009B425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542074">
              <w:rPr>
                <w:rFonts w:ascii="Times New Roman" w:hAnsi="Times New Roman" w:cs="Times New Roman"/>
                <w:b w:val="0"/>
                <w:bCs w:val="0"/>
                <w:sz w:val="20"/>
                <w:szCs w:val="20"/>
              </w:rPr>
              <w:t>Behavioral</w:t>
            </w:r>
          </w:p>
        </w:tc>
        <w:tc>
          <w:tcPr>
            <w:tcW w:w="2434" w:type="dxa"/>
          </w:tcPr>
          <w:p w:rsidR="00A3097C" w:rsidRPr="00542074" w:rsidRDefault="00A3097C" w:rsidP="009B4259">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0"/>
                <w:szCs w:val="20"/>
              </w:rPr>
            </w:pPr>
            <w:r w:rsidRPr="00542074">
              <w:rPr>
                <w:rFonts w:ascii="Times New Roman" w:hAnsi="Times New Roman" w:cs="Times New Roman"/>
                <w:b w:val="0"/>
                <w:bCs w:val="0"/>
                <w:sz w:val="20"/>
                <w:szCs w:val="20"/>
              </w:rPr>
              <w:t>Psychographic</w:t>
            </w:r>
          </w:p>
        </w:tc>
      </w:tr>
      <w:tr w:rsidR="00A3097C" w:rsidRPr="00542074" w:rsidTr="009B42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34" w:type="dxa"/>
          </w:tcPr>
          <w:p w:rsidR="00A3097C" w:rsidRPr="00542074" w:rsidRDefault="00A3097C" w:rsidP="009B4259">
            <w:pPr>
              <w:jc w:val="center"/>
              <w:rPr>
                <w:rFonts w:ascii="Times New Roman" w:hAnsi="Times New Roman" w:cs="Times New Roman"/>
                <w:b w:val="0"/>
                <w:bCs w:val="0"/>
                <w:sz w:val="20"/>
                <w:szCs w:val="20"/>
              </w:rPr>
            </w:pPr>
            <w:r w:rsidRPr="00542074">
              <w:rPr>
                <w:rFonts w:ascii="Times New Roman" w:hAnsi="Times New Roman" w:cs="Times New Roman"/>
                <w:b w:val="0"/>
                <w:bCs w:val="0"/>
                <w:sz w:val="20"/>
                <w:szCs w:val="20"/>
              </w:rPr>
              <w:t>Locations:</w:t>
            </w:r>
          </w:p>
          <w:p w:rsidR="00A3097C" w:rsidRPr="00542074" w:rsidRDefault="00A3097C" w:rsidP="00A3097C">
            <w:pPr>
              <w:pStyle w:val="a4"/>
              <w:numPr>
                <w:ilvl w:val="0"/>
                <w:numId w:val="2"/>
              </w:numPr>
              <w:spacing w:after="0" w:line="240" w:lineRule="auto"/>
              <w:ind w:firstLineChars="0"/>
              <w:jc w:val="center"/>
              <w:rPr>
                <w:rFonts w:ascii="Times New Roman" w:hAnsi="Times New Roman" w:cs="Times New Roman"/>
                <w:b w:val="0"/>
                <w:bCs w:val="0"/>
                <w:sz w:val="20"/>
                <w:szCs w:val="20"/>
              </w:rPr>
            </w:pPr>
            <w:r w:rsidRPr="00542074">
              <w:rPr>
                <w:rFonts w:ascii="Times New Roman" w:hAnsi="Times New Roman" w:cs="Times New Roman"/>
                <w:b w:val="0"/>
                <w:bCs w:val="0"/>
                <w:sz w:val="20"/>
                <w:szCs w:val="20"/>
              </w:rPr>
              <w:t>Urban cities: provincial cities, tier 1, tier 2, and tier 2 cities</w:t>
            </w:r>
          </w:p>
          <w:p w:rsidR="00A3097C" w:rsidRPr="00542074" w:rsidRDefault="00A3097C" w:rsidP="00A3097C">
            <w:pPr>
              <w:pStyle w:val="a4"/>
              <w:numPr>
                <w:ilvl w:val="0"/>
                <w:numId w:val="2"/>
              </w:numPr>
              <w:spacing w:after="0" w:line="240" w:lineRule="auto"/>
              <w:ind w:firstLineChars="0"/>
              <w:jc w:val="center"/>
              <w:rPr>
                <w:rFonts w:ascii="Times New Roman" w:hAnsi="Times New Roman" w:cs="Times New Roman"/>
                <w:b w:val="0"/>
                <w:bCs w:val="0"/>
                <w:sz w:val="20"/>
                <w:szCs w:val="20"/>
              </w:rPr>
            </w:pPr>
            <w:r w:rsidRPr="00542074">
              <w:rPr>
                <w:rFonts w:ascii="Times New Roman" w:hAnsi="Times New Roman" w:cs="Times New Roman"/>
                <w:b w:val="0"/>
                <w:bCs w:val="0"/>
                <w:sz w:val="20"/>
                <w:szCs w:val="20"/>
              </w:rPr>
              <w:t>Rural cities: developing cities in China with less population</w:t>
            </w:r>
          </w:p>
          <w:p w:rsidR="00A3097C" w:rsidRPr="00542074" w:rsidRDefault="00A3097C" w:rsidP="009B4259">
            <w:pPr>
              <w:jc w:val="center"/>
              <w:rPr>
                <w:rFonts w:ascii="Times New Roman" w:hAnsi="Times New Roman" w:cs="Times New Roman"/>
                <w:b w:val="0"/>
                <w:bCs w:val="0"/>
                <w:sz w:val="20"/>
                <w:szCs w:val="20"/>
              </w:rPr>
            </w:pPr>
          </w:p>
        </w:tc>
        <w:tc>
          <w:tcPr>
            <w:tcW w:w="2434" w:type="dxa"/>
          </w:tcPr>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Age:</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Younger generation: age from 25 to 40;</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Elder generation: age above 40</w:t>
            </w:r>
          </w:p>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Income level:</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Low income: less than 5000 RMB</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Middle income: from 5000 RMB to 10000 RMB</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High income: above 10000 RMB</w:t>
            </w:r>
          </w:p>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Education level:</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Below college: who only finished mandatory education</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Above college who receives well education</w:t>
            </w:r>
          </w:p>
        </w:tc>
        <w:tc>
          <w:tcPr>
            <w:tcW w:w="2434" w:type="dxa"/>
          </w:tcPr>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Rate of usage</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Heavy users: commuting purposes</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Occasional users: only uses in some special occasions</w:t>
            </w:r>
          </w:p>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Benefits of sought</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Simple transportation</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A place conductive for transportation, social gathering, networking, traveling, etc.</w:t>
            </w:r>
          </w:p>
        </w:tc>
        <w:tc>
          <w:tcPr>
            <w:tcW w:w="2434" w:type="dxa"/>
          </w:tcPr>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Personality:</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Focus on lifestyle, experiences; reformer, aspirer, explorer</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Focus on functionality</w:t>
            </w:r>
          </w:p>
          <w:p w:rsidR="00A3097C" w:rsidRPr="00542074" w:rsidRDefault="00A3097C" w:rsidP="009B4259">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Social class:</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Low class</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Middle class</w:t>
            </w:r>
          </w:p>
          <w:p w:rsidR="00A3097C" w:rsidRPr="00542074" w:rsidRDefault="00A3097C" w:rsidP="00A3097C">
            <w:pPr>
              <w:pStyle w:val="a4"/>
              <w:numPr>
                <w:ilvl w:val="0"/>
                <w:numId w:val="2"/>
              </w:numPr>
              <w:spacing w:after="0" w:line="240" w:lineRule="auto"/>
              <w:ind w:firstLineChars="0"/>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0"/>
                <w:szCs w:val="20"/>
              </w:rPr>
            </w:pPr>
            <w:r w:rsidRPr="00542074">
              <w:rPr>
                <w:rFonts w:ascii="Times New Roman" w:hAnsi="Times New Roman" w:cs="Times New Roman"/>
                <w:sz w:val="20"/>
                <w:szCs w:val="20"/>
              </w:rPr>
              <w:t>Upper class</w:t>
            </w:r>
          </w:p>
        </w:tc>
      </w:tr>
    </w:tbl>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The above figure identifies the segmentation variables and segment the NEV market of FAW-VW. Followed by the market segmentation, the next step of market positioning evaluates the potential and attractiveness of each segment, and select the target segment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{"citationItems":[{"id":"ITEM-1","itemData":{"ISBN":"047175529X","author":[{"dropping-particle":"","family":"Cohen","given":"William A","non-dropping-particle":"","parse-names":false,"suffix":""}],"id":"ITEM-1","issued":{"date-parts":[["2005"]]},"publisher":"John Wiley &amp; Sons","title":"The marketing plan","type":"book"},"uris":["http://www.mendeley.com/documents/?uuid=1d81c622-218e-4aaa-9003-2d00489422df"]}],"mendeley":{"formattedCitation":"(Cohen, 2005)","plainTextFormattedCitation":"(Cohen, 2005)","previouslyFormattedCitation":"(Cohen, 2005)"},"properties":{"noteIndex":0},"schema":"https://github.com/citation-style-language/schema/raw/master/csl-citation.json"}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(Cohen, 2005)</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Given the above situational analysis, FAW will target the younger generations residing in the urban cities in China who are well-educated and have stable middle-to-high income. Preferably, they are the heavy users of the vehicles, and seek benefits beyond simple transportation, as they pay attention on life quality </w:t>
      </w:r>
      <w:r w:rsidRPr="00542074">
        <w:rPr>
          <w:rFonts w:ascii="Times New Roman" w:hAnsi="Times New Roman" w:cs="Times New Roman"/>
          <w:sz w:val="24"/>
          <w:szCs w:val="24"/>
        </w:rPr>
        <w:lastRenderedPageBreak/>
        <w:t xml:space="preserve">and experiences. The targeting decision should be made by taking account on the size and growth potential of each segment, the structural attractiveness of each segment, the company’s objectives and resources. The underlying reason to suggest FAW-VW to focus on the specific market is that the premium high-end market has been taken by brands such as Tesla, NIO, and Xpeng, and the lower–end market has been occupied by brands such as SAIC and BYD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{"citationItems":[{"id":"ITEM-1","itemData":{"ISSN":"0301-4215","author":[{"dropping-particle":"","family":"Wu","given":"Yang Andrew","non-dropping-particle":"","parse-names":false,"suffix":""},{"dropping-particle":"","family":"Ng","given":"Artie W","non-dropping-particle":"","parse-names":false,"suffix":""},{"dropping-particle":"","family":"Yu","given":"Zichao","non-dropping-particle":"","parse-names":false,"suffix":""},{"dropping-particle":"","family":"Huang","given":"Jie","non-dropping-particle":"","parse-names":false,"suffix":""},{"dropping-particle":"","family":"Meng","given":"Ke","non-dropping-particle":"","parse-names":false,"suffix":""},{"dropping-particle":"","family":"Dong","given":"Z Y","non-dropping-particle":"","parse-names":false,"suffix":""}],"container-title":"Energy Policy","id":"ITEM-1","issued":{"date-parts":[["2021"]]},"page":"111983","publisher":"Elsevier","title":"A review of evolutionary policy incentives for sustainable development of electric vehicles in China: Strategic implications","type":"article-journal","volume":"148"},"uris":["http://www.mendeley.com/documents/?uuid=84370b3d-046d-4179-8f9e-d3b93945e28a"]},{"id":"ITEM-2","itemData":{"DOI":"10.1016/j.energy.2018.10.006","ISSN":"03605442","abstract":"In the early stage of electric vehicles’ (EVs) promotion, policy incentives play an important role, especially subsidy schemes. However, subsidy schemes will be repealed soon, which may cause EV market turbulence. This paper develops a system dynamics model of China's EV adoption, running up to 2030, to analyze the effectiveness of EV policies. Our results show that the abrogation of EV subsidy schemes results in a sharp decline of EV market share by 42% in China. Purchase restriction rescission, New Energy Vehicle (NEV) mandate policy and driving restriction rescission have obvious positive effect on EV promotion while parking fee exemption, road tolls exemption, insurance charge exemption and Vehicle and Vessel (V&amp;V) tax exemption have little impact. Furthermore, EV policies are classified into three policy mixes according to their operability and effectiveness: first recommended policy mix, secondarily recommended policy mix, peripheral policy mix. Our results do help to offer suggestions for the EV-related policy reformation after 2020.","author":[{"dropping-particle":"","family":"Wang","given":"Ning","non-dropping-particle":"","parse-names":false,"suffix":""},{"dropping-particle":"","family":"Tang","given":"Linhao","non-dropping-particle":"","parse-names":false,"suffix":""},{"dropping-particle":"","family":"Zhang","given":"Wenjian","non-dropping-particle":"","parse-names":false,"suffix":""},{"dropping-particle":"","family":"Guo","given":"Jiahui","non-dropping-particle":"","parse-names":false,"suffix":""}],"container-title":"Energy","id":"ITEM-2","issue":"3","issued":{"date-parts":[["2019"]]},"page":"359-372","title":"How to face the challenges caused by the abolishment of subsidies for electric vehicles in China?","type":"article-journal","volume":"166"},"uris":["http://www.mendeley.com/documents/?uuid=539450de-17b5-30b8-9370-3ec2275678d7"]}],"mendeley":{"formattedCitation":"(Wang &lt;i&gt;et al.&lt;/i&gt;, 2019; Wu &lt;i&gt;et al.&lt;/i&gt;, 2021)","plainTextFormattedCitation":"(Wang et al., 2019; Wu et al., 2021)","previouslyFormattedCitation":"(Wang &lt;i&gt;et al.&lt;/i&gt;, 2019; Wu &lt;i&gt;et al.&lt;/i&gt;,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 xml:space="preserve">(Wang </w:t>
      </w:r>
      <w:r w:rsidRPr="00542074">
        <w:rPr>
          <w:rFonts w:ascii="Times New Roman" w:hAnsi="Times New Roman" w:cs="Times New Roman"/>
          <w:i/>
          <w:noProof/>
          <w:sz w:val="24"/>
          <w:szCs w:val="24"/>
        </w:rPr>
        <w:t>et al.</w:t>
      </w:r>
      <w:r w:rsidRPr="00542074">
        <w:rPr>
          <w:rFonts w:ascii="Times New Roman" w:hAnsi="Times New Roman" w:cs="Times New Roman"/>
          <w:noProof/>
          <w:sz w:val="24"/>
          <w:szCs w:val="24"/>
        </w:rPr>
        <w:t xml:space="preserve">, 2019; Wu </w:t>
      </w:r>
      <w:r w:rsidRPr="00542074">
        <w:rPr>
          <w:rFonts w:ascii="Times New Roman" w:hAnsi="Times New Roman" w:cs="Times New Roman"/>
          <w:i/>
          <w:noProof/>
          <w:sz w:val="24"/>
          <w:szCs w:val="24"/>
        </w:rPr>
        <w:t>et al.</w:t>
      </w:r>
      <w:r w:rsidRPr="00542074">
        <w:rPr>
          <w:rFonts w:ascii="Times New Roman" w:hAnsi="Times New Roman" w:cs="Times New Roman"/>
          <w:noProof/>
          <w:sz w:val="24"/>
          <w:szCs w:val="24"/>
        </w:rPr>
        <w:t>,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middle-to-high market has not been penetrated by brands, but emerging middle-class citizens who are located in the urban cities, well educated, and have stable incomes, will constitute the major consumption group of NEV in the future. It is, therefore, suggested that FAW-VW take initiatives in the specific market to cultivate the unfully tapped market potentialities. This has echoed FAW-VW’s long-term strategic objective of realizing fully electric in terms of product portfolio and further penetration into the Chinese market.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After the specific market is targeted, it is necessary to identify the positioning concept within the targeted segment and develop the appropriate positioning concepts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{"citationItems":[{"id":"ITEM-1","itemData":{"ISBN":"047175529X","author":[{"dropping-particle":"","family":"Cohen","given":"William A","non-dropping-particle":"","parse-names":false,"suffix":""}],"id":"ITEM-1","issued":{"date-parts":[["2005"]]},"publisher":"John Wiley &amp; Sons","title":"The marketing plan","type":"book"},"uris":["http://www.mendeley.com/documents/?uuid=1d81c622-218e-4aaa-9003-2d00489422df"]}],"mendeley":{"formattedCitation":"(Cohen, 2005)","plainTextFormattedCitation":"(Cohen, 2005)","previouslyFormattedCitation":"(Cohen, 2005)"},"properties":{"noteIndex":0},"schema":"https://github.com/citation-style-language/schema/raw/master/csl-citation.json"}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(Cohen, 2005)</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Targeting the above specific market indicates that affordability and heterogeneities must be emphasized. The product position of FAW-VW is therefore revised to be “the affordability NEV offerings with distinct driving experiences”.</w:t>
      </w:r>
    </w:p>
    <w:p w:rsidR="00A3097C" w:rsidRPr="00542074" w:rsidRDefault="00A3097C" w:rsidP="00A3097C">
      <w:pPr>
        <w:pStyle w:val="2"/>
        <w:numPr>
          <w:ilvl w:val="1"/>
          <w:numId w:val="1"/>
        </w:numPr>
        <w:spacing w:beforeLines="50" w:before="156" w:afterLines="100" w:after="312" w:line="360" w:lineRule="auto"/>
        <w:jc w:val="both"/>
        <w:rPr>
          <w:rFonts w:ascii="Times New Roman" w:hAnsi="Times New Roman" w:cs="Times New Roman"/>
        </w:rPr>
      </w:pPr>
      <w:bookmarkStart w:id="9" w:name="_Toc107175834"/>
      <w:r w:rsidRPr="00542074">
        <w:rPr>
          <w:rFonts w:ascii="Times New Roman" w:hAnsi="Times New Roman" w:cs="Times New Roman"/>
        </w:rPr>
        <w:t>The marketing mix</w:t>
      </w:r>
      <w:bookmarkEnd w:id="9"/>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As the target group of customers to be served has been identified in the above segmentation, targeting and positioning, the marketing practices have to be placed by providing the appropriate product, price, place, promotion, people, process, physical evidence (7P). According to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{"citationItems":[{"id":"ITEM-1","itemData":{"ISBN":"1471109569","author":[{"dropping-particle":"","family":"Kotler","given":"Philip","non-dropping-particle":"","parse-names":false,"suffix":""}],"id":"ITEM-1","issued":{"date-parts":[["2012"]]},"publisher":"Simon and Schuster","title":"Kotler on marketing","type":"book"},"uris":["http://www.mendeley.com/documents/?uuid=7a33671e-3f2b-4be9-9812-7ce58bea20bd"]}],"mendeley":{"formattedCitation":"(Kotler, 2012)","manualFormatting":"Kotler (2012)","plainTextFormattedCitation":"(Kotler, 2012)","previouslyFormattedCitation":"(Kotler, 2012)"},"properties":{"noteIndex":0},"schema":"https://github.com/citation-style-language/schema/raw/master/csl-citation.json"}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Kotler (2012)</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marketing mix can be perceived as a systematic set of controllable variables that the company can leverage to positively customer in their decision making process. The section strives to build up a 7P marketing mix, which can help FAW-VW to realize the marketing objectives (mainly promote the NEW sales).</w:t>
      </w:r>
    </w:p>
    <w:p w:rsidR="00A3097C" w:rsidRPr="00542074" w:rsidRDefault="00A3097C" w:rsidP="00A3097C">
      <w:pPr>
        <w:pStyle w:val="a4"/>
        <w:numPr>
          <w:ilvl w:val="0"/>
          <w:numId w:val="4"/>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Product: Facing the new development stage, FAW-VW continues to lead in the field of new energy vehicles based on its profound system strength and leading technology innovation </w:t>
      </w:r>
      <w:r w:rsidRPr="00542074">
        <w:rPr>
          <w:rFonts w:ascii="Times New Roman" w:hAnsi="Times New Roman" w:cs="Times New Roman"/>
          <w:sz w:val="24"/>
          <w:szCs w:val="24"/>
        </w:rPr>
        <w:lastRenderedPageBreak/>
        <w:t xml:space="preserve">capability. In the future, FAW-VWwill take "providing customers with a better travel experience" as its goal, continue to promote Sino-German open cooperation with a high sense of mission and responsibility, collaborate and innovate with partners, contribute to the high-quality development of China's auto industry, and make more contributions to China's development from a large auto country to a strong auto country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{"citationItems":[{"id":"ITEM-1","itemData":{"author":[{"dropping-particle":"","family":"FAW-Volkswagen","given":"","non-dropping-particle":"","parse-names":false,"suffix":""}],"id":"ITEM-1","issued":{"date-parts":[["2021"]]},"title":"FAW-Volkswagen Annual Report 2020","type":"report"},"uris":["http://www.mendeley.com/documents/?uuid=0b04bdd9-6ec6-4bc7-b825-0a4a74d8c5b9"]}],"mendeley":{"formattedCitation":"(FAW-Volkswagen, 2021)","plainTextFormattedCitation":"(FAW-Volkswagen, 2021)","previouslyFormattedCitation":"(FAW-Volkswagen,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(FAW-Volkswagen,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Inspired by the above analysis, it is important for FAW-VW to develop domestic R&amp;D capabilities in the Chinese market to shorten the market responsiveness time, as well as keep the pace with the latest market trends. The integration of the intelligence and connectivity technologies in the current NEV offerings, such as the autonomous driving, over the air updating, etc.,can attract the interests of the younger generation. The futuristics and aesthetic design of some brands under FAW-VW, such as Audi, can be used to develop NEV to realize brand extension and stay differentiated. </w:t>
      </w:r>
    </w:p>
    <w:p w:rsidR="00A3097C" w:rsidRPr="00542074" w:rsidRDefault="00A3097C" w:rsidP="00A3097C">
      <w:pPr>
        <w:pStyle w:val="a4"/>
        <w:numPr>
          <w:ilvl w:val="0"/>
          <w:numId w:val="4"/>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Price: as indicated, FAW-VW is going to target the middle – to -high market featured with younger generations with stable income and environmental awareness. The competition-based approach can be used to price FAW-VW’s NEV offerings. The underlying mechanism of the competition-based pricing is the product should be priced with the benchmark to the similar product offerings by the direct competitors of FAW-VW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{"citationItems":[{"id":"ITEM-1","itemData":{"ISBN":"1412964741","author":[{"dropping-particle":"","family":"Schindler","given":"Robert M","non-dropping-particle":"","parse-names":false,"suffix":""},{"dropping-particle":"","family":"Schindler","given":"Robert","non-dropping-particle":"","parse-names":false,"suffix":""}],"id":"ITEM-1","issued":{"date-parts":[["2011"]]},"publisher":"sage","title":"Pricing strategies: a marketing approach","type":"book"},"uris":["http://www.mendeley.com/documents/?uuid=b8b031b1-cbd6-49d7-af9b-6652960a076b"]}],"mendeley":{"formattedCitation":"(Schindler and Schindler, 2011)","plainTextFormattedCitation":"(Schindler and Schindler, 2011)","previouslyFormattedCitation":"(Schindler and Schindler, 2011)"},"properties":{"noteIndex":0},"schema":"https://github.com/citation-style-language/schema/raw/master/csl-citation.json"}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(Schindler and Schindler, 2011)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Tesla’s model 3 has been targeting at the similar market as identified above, and the pricing has continuously decreased as the giga factories in China help Tesla to realize the economies of scale. Therefore, the pricing of FAW-VW’s NEV’s offerings should be above the average car price in China (which is 21,000 USD), but below the price of model 3 (which is 35,000 USD)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{"citationItems":[{"id":"ITEM-1","itemData":{"URL":"https://www.euromonitor.com/article/charging-infrastructure-electric-car-adoption","author":[{"dropping-particle":"","family":"Euromonitor International","given":"","non-dropping-particle":"","parse-names":false,"suffix":""}],"id":"ITEM-1","issued":{"date-parts":[["2017"]]},"title":"Charging Infrastructure Needs to be Improved for Faster Electric Car Adoption","type":"webpage"},"uris":["http://www.mendeley.com/documents/?uuid=1281e932-871d-4cb5-82f3-271ce3295568"]}],"mendeley":{"formattedCitation":"(Euromonitor International, 2017)","plainTextFormattedCitation":"(Euromonitor International, 2017)","previouslyFormattedCitation":"(Euromonitor International, 2017)"},"properties":{"noteIndex":0},"schema":"https://github.com/citation-style-language/schema/raw/master/csl-citation.json"}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(Euromonitor International, 2017)</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On the one hand, the younger generation who has a higher consumption power usually are more willing to pay price premium for the differentiated services, this justified the above-than-average pricing; on the other hand, the pricing level that is lower than the director competitors can help FAW-VW to take more market share from competitors and further penetrate into the local Chinese market. </w:t>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noProof/>
          <w:sz w:val="24"/>
          <w:szCs w:val="24"/>
        </w:rPr>
        <w:lastRenderedPageBreak/>
        <w:drawing>
          <wp:inline distT="0" distB="0" distL="0" distR="0" wp14:anchorId="201242A8" wp14:editId="7793EEBC">
            <wp:extent cx="4004310" cy="2255660"/>
            <wp:effectExtent l="0" t="0" r="0" b="0"/>
            <wp:docPr id="4" name="图片 4" descr="Charging Infrastructure Needs to be Improved for Faster Electric Car  Adoption - Euromonitor.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ging Infrastructure Needs to be Improved for Faster Electric Car  Adoption - Euromonitor.co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0360" cy="2259068"/>
                    </a:xfrm>
                    <a:prstGeom prst="rect">
                      <a:avLst/>
                    </a:prstGeom>
                    <a:noFill/>
                    <a:ln>
                      <a:noFill/>
                    </a:ln>
                  </pic:spPr>
                </pic:pic>
              </a:graphicData>
            </a:graphic>
          </wp:inline>
        </w:drawing>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Figure 2. Prices of leading NWV models in the Chinese market</w:t>
      </w:r>
    </w:p>
    <w:p w:rsidR="00A3097C" w:rsidRPr="00542074" w:rsidRDefault="00A3097C" w:rsidP="00A3097C">
      <w:pPr>
        <w:spacing w:beforeLines="50" w:before="156" w:afterLines="100" w:after="312" w:line="360" w:lineRule="auto"/>
        <w:jc w:val="center"/>
        <w:rPr>
          <w:rFonts w:ascii="Times New Roman" w:hAnsi="Times New Roman" w:cs="Times New Roman"/>
          <w:b/>
          <w:bCs/>
          <w:sz w:val="24"/>
          <w:szCs w:val="24"/>
        </w:rPr>
      </w:pPr>
      <w:r w:rsidRPr="00542074">
        <w:rPr>
          <w:rFonts w:ascii="Times New Roman" w:hAnsi="Times New Roman" w:cs="Times New Roman"/>
          <w:b/>
          <w:bCs/>
          <w:sz w:val="24"/>
          <w:szCs w:val="24"/>
        </w:rPr>
        <w:t xml:space="preserve">Source: </w:t>
      </w:r>
      <w:r w:rsidRPr="00542074">
        <w:rPr>
          <w:rFonts w:ascii="Times New Roman" w:hAnsi="Times New Roman" w:cs="Times New Roman"/>
          <w:b/>
          <w:bCs/>
          <w:sz w:val="24"/>
          <w:szCs w:val="24"/>
        </w:rPr>
        <w:fldChar w:fldCharType="begin" w:fldLock="1"/>
      </w:r>
      <w:r w:rsidRPr="00542074">
        <w:rPr>
          <w:rFonts w:ascii="Times New Roman" w:hAnsi="Times New Roman" w:cs="Times New Roman"/>
          <w:b/>
          <w:bCs/>
          <w:sz w:val="24"/>
          <w:szCs w:val="24"/>
        </w:rPr>
        <w:instrText>ADDIN CSL_CITATION {"citationItems":[{"id":"ITEM-1","itemData":{"URL":"https://www.euromonitor.com/article/charging-infrastructure-electric-car-adoption","author":[{"dropping-particle":"","family":"Euromonitor International","given":"","non-dropping-particle":"","parse-names":false,"suffix":""}],"id":"ITEM-1","issued":{"date-parts":[["2017"]]},"title":"Charging Infrastructure Needs to be Improved for Faster Electric Car Adoption","type":"webpage"},"uris":["http://www.mendeley.com/documents/?uuid=1281e932-871d-4cb5-82f3-271ce3295568"]}],"mendeley":{"formattedCitation":"(Euromonitor International, 2017)","plainTextFormattedCitation":"(Euromonitor International, 2017)","previouslyFormattedCitation":"(Euromonitor International, 2017)"},"properties":{"noteIndex":0},"schema":"https://github.com/citation-style-language/schema/raw/master/csl-citation.json"}</w:instrText>
      </w:r>
      <w:r w:rsidRPr="00542074">
        <w:rPr>
          <w:rFonts w:ascii="Times New Roman" w:hAnsi="Times New Roman" w:cs="Times New Roman"/>
          <w:b/>
          <w:bCs/>
          <w:sz w:val="24"/>
          <w:szCs w:val="24"/>
        </w:rPr>
        <w:fldChar w:fldCharType="separate"/>
      </w:r>
      <w:r w:rsidRPr="00542074">
        <w:rPr>
          <w:rFonts w:ascii="Times New Roman" w:hAnsi="Times New Roman" w:cs="Times New Roman"/>
          <w:b/>
          <w:bCs/>
          <w:noProof/>
          <w:sz w:val="24"/>
          <w:szCs w:val="24"/>
        </w:rPr>
        <w:t>(Euromonitor International, 2017)</w:t>
      </w:r>
      <w:r w:rsidRPr="00542074">
        <w:rPr>
          <w:rFonts w:ascii="Times New Roman" w:hAnsi="Times New Roman" w:cs="Times New Roman"/>
          <w:b/>
          <w:bCs/>
          <w:sz w:val="24"/>
          <w:szCs w:val="24"/>
        </w:rPr>
        <w:fldChar w:fldCharType="end"/>
      </w:r>
    </w:p>
    <w:p w:rsidR="00A3097C" w:rsidRPr="00542074" w:rsidRDefault="00A3097C" w:rsidP="00A3097C">
      <w:pPr>
        <w:pStyle w:val="a4"/>
        <w:numPr>
          <w:ilvl w:val="0"/>
          <w:numId w:val="3"/>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Place: FAW-VW has highly relied on retailers and brokers to distribute its products in the Chinese market. However, led by Tesla, increasingly brands in the sector has exploited the direct sale channels that bypassing the retails and brokers to distribute products directly to customers. The direct sales model, as the name implies, is a way for car manufacturers to build their own channels, i.e., to sell their products directly to customers through their official websites + official flagship stores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{"citationItems":[{"id":"ITEM-1","itemData":{"author":[{"dropping-particle":"","family":"Petrov","given":"Emanouil","non-dropping-particle":"","parse-names":false,"suffix":""}],"container-title":"FAU Undergraduate Law Journal","id":"ITEM-1","issued":{"date-parts":[["2016"]]},"page":"8","title":"State Automobile Dealership Statutes: Do We Really Need Them?","type":"article-journal"},"uris":["http://www.mendeley.com/documents/?uuid=7c52f2a4-4281-4844-8fb7-53095b6a8164"]}],"mendeley":{"formattedCitation":"(Petrov, 2016)","plainTextFormattedCitation":"(Petrov, 2016)","previouslyFormattedCitation":"(Petrov, 2016)"},"properties":{"noteIndex":0},"schema":"https://github.com/citation-style-language/schema/raw/master/csl-citation.json"}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(Petrov, 2016)</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counterpart is the popular car dealership model now. Currently, Tesla, NIO, Xpeng and others have followed this model. Unlike traditional direct sales, the direct sales of car companies in the past were mainly based on the model of self-built 4S stores. Although they are also direct sales, the self-built 4S store model is too asset-heavy, with high financial pressure and high human resource requirements when replicating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{"citationItems":[{"id":"ITEM-1","itemData":{"author":[{"dropping-particle":"","family":"Han","given":"Joohee","non-dropping-particle":"","parse-names":false,"suffix":""}],"container-title":"Journal of Next-generation Convergence Information Services Technology Vol","id":"ITEM-1","issue":"5","issued":{"date-parts":[["2021"]]},"page":"573-582","title":"How Does Tesla Motors Achieve Competitive Advantage in the Global Automobile Industry?","type":"article-journal","volume":"10"},"uris":["http://www.mendeley.com/documents/?uuid=2b5c2e2f-514a-493e-a514-4cf1c0dff596"]}],"mendeley":{"formattedCitation":"(Han, 2021)","plainTextFormattedCitation":"(Han, 2021)","previouslyFormattedCitation":"(Han,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(Han,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new retail direct sales model, on the other hand, is composed of experience center + online sales + service delivery center. It not only improves market coverage and delivers cars to shopping centers near consumers, but also solves the problem of lack of talent in the replication process, greatly reducing the difficulty and cost of replication, increasing the efficiency of trial and error, and reducing the cost of trial and error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{"citationItems":[{"id":"ITEM-1","itemData":{"author":[{"dropping-particle":"","family":"Han","given":"Joohee","non-dropping-particle":"","parse-names":false,"suffix":""}],"container-title":"Journal of Next-generation Convergence Information Services Technology Vol","id":"ITEM-1","issue":"5","issued":{"date-parts":[["2021"]]},"page":"573-582","title":"How Does Tesla Motors Achieve Competitive Advantage in the Global Automobile Industry?","type":"article-journal","volume":"10"},"uris":["http://www.mendeley.com/documents/?uuid=2b5c2e2f-514a-493e-a514-4cf1c0dff596"]}],"mendeley":{"formattedCitation":"(Han, 2021)","plainTextFormattedCitation":"(Han, 2021)","previouslyFormattedCitation":"(Han,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(Han,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Although in this way, there is no more financial pressure from the dealers in the past to support the warehouse, but likewise there is no dealer in the middle to exploit the profits, the overall benefits outweigh the disadvantages.</w:t>
      </w:r>
    </w:p>
    <w:p w:rsidR="00A3097C" w:rsidRPr="00542074" w:rsidRDefault="00A3097C" w:rsidP="00A3097C">
      <w:pPr>
        <w:pStyle w:val="a4"/>
        <w:numPr>
          <w:ilvl w:val="0"/>
          <w:numId w:val="3"/>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lastRenderedPageBreak/>
        <w:t xml:space="preserve">Promotion: Many new energy vehicle brands have their own user communities, both online and offline, and also frequently organize various thematic activities. In the continuous interaction, it improves brand loyalty and also promotes the spreadability of the brand. At the same time, the capital-intensive traditional promotion mechanism, such as TV commercials and magazine commercials can be replaced by the more cost-efficient social media marketing. Social media marketing allows FAW-VW to directly engage and interact with potential customers, and co-create marketing contents with users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0974-0198","author":[{"dropping-particle":"","family":"Shalender","given":"Kumar","non-dropping-particle":"","parse-names":false,"suffix":""},{"dropping-particle":"","family":"Singh","given":"Nripendra","non-dropping-particle":"","parse-names":false,"suffix":""}],"container-title":"Global Journal of Flexible Systems Management","id":"ITEM-1","issue":"3","issued":{"date-parts":[["2015"]]},"page":"251-262","publisher":"Springer","title":"Marketing flexibility: Significance and implications for automobile industry","type":"article-journal","volume":"16"},"uris":["http://www.mendeley.com/documents/?uuid=0c39935c-334e-44f4-908b-db85d9f1ceb0"]}],"mendeley":{"formattedCitation":"(Shalender and Singh, 2015)","plainTextFormattedCitation":"(Shalender and Singh, 2015)","previouslyFormattedCitation":"(Shalender and Singh, 2015)"},"properties":{"noteIndex":0},"schema":"https://github.com/citation-style-language/schema/raw/master/csl-citation.json"}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(Shalender and Singh, 2015)</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Leading social media marketing approaches, such as storytelling through short-video marketing platforms (Tik Tok, etc.) can be leveraged by the company to educate customers with the product but to disseminate the organizational culture and values to customers. At the same time, most users will spend a lot of time to get car information online, and their main pain point is that they can't feel the physical object and prefer better interactive marketing methods, such as online live streaming + offline experience of deep interactive marketing methods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{"citationItems":[{"id":"ITEM-1","itemData":{"ISSN":"1069-031X","author":[{"dropping-particle":"","family":"Grein","given":"Andreas F","non-dropping-particle":"","parse-names":false,"suffix":""},{"dropping-particle":"","family":"Craig","given":"C Samuel","non-dropping-particle":"","parse-names":false,"suffix":""},{"dropping-particle":"","family":"Takada","given":"Hirokazu","non-dropping-particle":"","parse-names":false,"suffix":""}],"container-title":"Journal of International Marketing","id":"ITEM-1","issue":"2","issued":{"date-parts":[["2001"]]},"page":"19-50","publisher":"SAGE Publications Sage CA: Los Angeles, CA","title":"Integration and responsiveness: Marketing strategies of Japanese and European automobile manufacturers","type":"article-journal","volume":"9"},"uris":["http://www.mendeley.com/documents/?uuid=7edd9c72-960c-41a9-bb74-c1a2d866b586"]}],"mendeley":{"formattedCitation":"(Grein, Craig and Takada, 2001)","plainTextFormattedCitation":"(Grein, Craig and Takada, 2001)","previouslyFormattedCitation":"(Grein, Craig and Takada, 2001)"},"properties":{"noteIndex":0},"schema":"https://github.com/citation-style-language/schema/raw/master/csl-citation.json"}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(Grein, Craig and Takada, 2001)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Thereby, online promotion campaigns should be combined with offline marketing events to deliver the seamless pre-purchase experiences of potential customers and stimulate purchase attention. It is recommended FAW-VW to integrate online and offline channels, master the data of each core node of the whole chain of car purchase, combine different scenarios, analyze and judge user behavior and conversion characteristics, and create better marketing mix strategies. In addition, it needs to explore the inner needs of different circles to create customized content with emotion and value.</w:t>
      </w:r>
    </w:p>
    <w:p w:rsidR="00A3097C" w:rsidRPr="00542074" w:rsidRDefault="00A3097C" w:rsidP="00A3097C">
      <w:pPr>
        <w:pStyle w:val="a4"/>
        <w:numPr>
          <w:ilvl w:val="0"/>
          <w:numId w:val="3"/>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Process: Although the FAW-VW is a joint venture of FAW in China and VW in Germany, its operational process has heavily relied on the VW. For specific, the research and development activities are largely performed in the parent company. That has led the deviation between the product offerings and the market preferences. To realize the economies of scale in the Chinese market and to promote the local market responsiveness, FAW-VW should develop a more sound and integrated value chain the Chinese market by engaging with the local production and distribution network. </w:t>
      </w:r>
    </w:p>
    <w:p w:rsidR="00A3097C" w:rsidRPr="00542074" w:rsidRDefault="00A3097C" w:rsidP="00A3097C">
      <w:pPr>
        <w:pStyle w:val="a4"/>
        <w:numPr>
          <w:ilvl w:val="0"/>
          <w:numId w:val="3"/>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lastRenderedPageBreak/>
        <w:t xml:space="preserve">Physical evidence: The showcase room of FAW-VW should combine different functional areas in one continuous space: a car showroom, a forum space, a relaxation area, a café, a meeting room, etc. The physical evidence should design in a futuristic and aesthetic manner with a typical VW style. Besides showcasing of different NEV models, the test drive should be also provided for potential users. In terms of the layout of the online website, a user-friendly interface with all functionality and detailed information should be provided. Artificial intelligence driven chatbot can be used to answer customers inquiries at an 7/24 manner. </w:t>
      </w:r>
    </w:p>
    <w:p w:rsidR="00A3097C" w:rsidRPr="00542074" w:rsidRDefault="00A3097C" w:rsidP="00A3097C">
      <w:pPr>
        <w:pStyle w:val="a4"/>
        <w:numPr>
          <w:ilvl w:val="0"/>
          <w:numId w:val="3"/>
        </w:numPr>
        <w:spacing w:beforeLines="50" w:before="156" w:afterLines="100" w:after="312" w:line="360" w:lineRule="auto"/>
        <w:ind w:firstLineChars="0"/>
        <w:jc w:val="both"/>
        <w:rPr>
          <w:rFonts w:ascii="Times New Roman" w:hAnsi="Times New Roman" w:cs="Times New Roman"/>
          <w:sz w:val="24"/>
          <w:szCs w:val="24"/>
        </w:rPr>
      </w:pPr>
      <w:r w:rsidRPr="00542074">
        <w:rPr>
          <w:rFonts w:ascii="Times New Roman" w:hAnsi="Times New Roman" w:cs="Times New Roman"/>
          <w:sz w:val="24"/>
          <w:szCs w:val="24"/>
        </w:rPr>
        <w:t xml:space="preserve">People: since front-line employees can directly interact with customers. FAW-VW should provide some training and development programs to ensure the professionalism of employees and readiness to serve customers in any situation. A FAW-VW uniform can be exploited to emphasis the professionalism, and to make employees of FAW-VW more identifiable. </w:t>
      </w:r>
    </w:p>
    <w:p w:rsidR="00A3097C" w:rsidRPr="00542074" w:rsidRDefault="00A3097C" w:rsidP="00A3097C">
      <w:pPr>
        <w:pStyle w:val="2"/>
        <w:numPr>
          <w:ilvl w:val="1"/>
          <w:numId w:val="1"/>
        </w:numPr>
        <w:spacing w:beforeLines="50" w:before="156" w:afterLines="100" w:after="312" w:line="360" w:lineRule="auto"/>
        <w:rPr>
          <w:rFonts w:ascii="Times New Roman" w:hAnsi="Times New Roman" w:cs="Times New Roman"/>
        </w:rPr>
      </w:pPr>
      <w:bookmarkStart w:id="10" w:name="_Toc107175835"/>
      <w:r w:rsidRPr="00542074">
        <w:rPr>
          <w:rFonts w:ascii="Times New Roman" w:hAnsi="Times New Roman" w:cs="Times New Roman"/>
        </w:rPr>
        <w:t>Marketing media</w:t>
      </w:r>
      <w:bookmarkEnd w:id="10"/>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With the advent of the experience economy, consumer experience in the storytelling marketing process is gradually being emphasized.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{"citationItems":[{"id":"ITEM-1","itemData":{"ISSN":"0736-3761","author":[{"dropping-particle":"","family":"Papadatos","given":"Caroline","non-dropping-particle":"","parse-names":false,"suffix":""}],"container-title":"Journal of Consumer Marketing","id":"ITEM-1","issue":"7","issued":{"date-parts":[["2006"]]},"page":"382-384","publisher":"Emerald Group Publishing Limited","title":"The art of storytelling: how loyalty marketers can build emotional connections to their brands","type":"article-journal","volume":"23"},"uris":["http://www.mendeley.com/documents/?uuid=60f20f13-d4ab-4ad2-9477-367f16238552"]}],"mendeley":{"formattedCitation":"(Papadatos, 2006)","manualFormatting":"Papadatos (2006)","plainTextFormattedCitation":"(Papadatos, 2006)","previouslyFormattedCitation":"(Papadatos, 2006)"},"properties":{"noteIndex":0},"schema":"https://github.com/citation-style-language/schema/raw/master/csl-citation.json"}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Papadatos (2006)</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argues that storytelling by marketers is essentially telling a virtual or real-life story about using multiple forms to convey product or brand experience and deliver the core values to audience. For example, in order to promote its new series of cars, BMW tells a story of an ordinary family in China in how BMW brings them luxurious life experience and differentiated experiences that are beyond the basic transportation. In the era of experience economy, story marketing can raise the empathy of audience when watching the real life stories of others and achieve emotional enhancement of the brand perception and recognition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{"citationItems":[{"id":"ITEM-1","itemData":{"ISBN":"0742-6046","author":[{"dropping-particle":"","family":"Woodside","given":"Arch G","non-dropping-particle":"","parse-names":false,"suffix":""}],"container-title":"Psychology &amp; Marketing","id":"ITEM-1","issue":"6","issued":{"date-parts":[["2010"]]},"page":"531-540","publisher":"Wiley Online Library","title":"Brand</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\\consumer storytelling theory and research: Introduction to a Psychology &amp; Marketing special issue","type":"article","volume":"27"},"uris":["http://www.mendeley.com/documents/?uuid=08e7e716-073e-4592-92e0-578cf6519b78"]}],"mendeley":{"formattedCitation":"(Woodside, 2010)","plainTextFormattedCitation":"(Woodside, 2010)","previouslyFormattedCitation":"(Woodside, 2010)"},"properties":{"noteIndex":0},"schema":"https://github.com/citation-style-language/schema/raw/master/csl-citation.json"}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(Woodside, 2010)</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Especially, vehicles are perceived by customers more than just a means of transportation, but a place of family gathering, social networking, etc. The storying telling marketing method can deliver the different constructs, such as functions, performance, cultures and values of FAW-VW’s NEV offerings to customers. The significance of storytelling can be underpinned by the popularity of the video marketing in China, especially the prevalence of short-video marketing platforms such as Tik Tok, Sina Blog. </w:t>
      </w:r>
    </w:p>
    <w:p w:rsidR="00A3097C" w:rsidRPr="00542074" w:rsidRDefault="00A3097C" w:rsidP="00A3097C">
      <w:pPr>
        <w:pStyle w:val="2"/>
        <w:numPr>
          <w:ilvl w:val="1"/>
          <w:numId w:val="1"/>
        </w:numPr>
        <w:spacing w:beforeLines="50" w:before="156" w:afterLines="100" w:after="312" w:line="360" w:lineRule="auto"/>
        <w:rPr>
          <w:rFonts w:ascii="Times New Roman" w:hAnsi="Times New Roman" w:cs="Times New Roman"/>
        </w:rPr>
      </w:pPr>
      <w:bookmarkStart w:id="11" w:name="_Toc107175836"/>
      <w:r w:rsidRPr="00542074">
        <w:rPr>
          <w:rFonts w:ascii="Times New Roman" w:hAnsi="Times New Roman" w:cs="Times New Roman"/>
        </w:rPr>
        <w:lastRenderedPageBreak/>
        <w:t>Marketing success</w:t>
      </w:r>
      <w:bookmarkEnd w:id="11"/>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An overall marketing objective that to promote the NEV sales of FAW-VW by 15 percent by the end of 2022 is set based on the above situational analysis. The overate marketing objectives will be decomposed into the actionable tasks for the marketing and sales team. During the given timeframe, all marketing efforts will be monitored through tracking key performance indicators. Failures to realize periodic marketing objectives will be critically analyzed, so as marketing plans can be continuously revised to accommodate to the internal and external situations </w:t>
      </w:r>
    </w:p>
    <w:p w:rsidR="00A3097C" w:rsidRPr="00542074" w:rsidRDefault="00A3097C" w:rsidP="00A3097C">
      <w:pPr>
        <w:pStyle w:val="1"/>
        <w:numPr>
          <w:ilvl w:val="0"/>
          <w:numId w:val="1"/>
        </w:numPr>
        <w:spacing w:beforeLines="50" w:before="156" w:afterLines="100" w:after="312" w:line="360" w:lineRule="auto"/>
        <w:rPr>
          <w:rFonts w:ascii="Times New Roman" w:hAnsi="Times New Roman" w:cs="Times New Roman"/>
        </w:rPr>
      </w:pPr>
      <w:bookmarkStart w:id="12" w:name="_Toc107175837"/>
      <w:r w:rsidRPr="00542074">
        <w:rPr>
          <w:rFonts w:ascii="Times New Roman" w:hAnsi="Times New Roman" w:cs="Times New Roman"/>
        </w:rPr>
        <w:t>Conclusion</w:t>
      </w:r>
      <w:bookmarkEnd w:id="12"/>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The situational analysis of FAW-VW forms some useful and valuable inputs to formulate the marketing scheme of FAW-VW in terms of the NEV distribution. The primary marketing implications here is FAW-VW should develop the local production and distribution network to get rid of its reliance on the parent company, and using the emerging social media marketing approaches to perform a more integrated and effective marketing communication with the Chinese targeted customers. Storytelling has been recognized as the primary method of marketing communication. </w:t>
      </w:r>
    </w:p>
    <w:p w:rsidR="00A3097C" w:rsidRPr="00542074" w:rsidRDefault="00A3097C" w:rsidP="00A3097C">
      <w:pPr>
        <w:pStyle w:val="1"/>
        <w:numPr>
          <w:ilvl w:val="0"/>
          <w:numId w:val="1"/>
        </w:numPr>
        <w:spacing w:beforeLines="50" w:before="156" w:afterLines="100" w:after="312" w:line="360" w:lineRule="auto"/>
        <w:rPr>
          <w:rFonts w:ascii="Times New Roman" w:hAnsi="Times New Roman" w:cs="Times New Roman"/>
        </w:rPr>
      </w:pPr>
      <w:bookmarkStart w:id="13" w:name="_Toc107175838"/>
      <w:r w:rsidRPr="00542074">
        <w:rPr>
          <w:rFonts w:ascii="Times New Roman" w:hAnsi="Times New Roman" w:cs="Times New Roman"/>
        </w:rPr>
        <w:t>Recommendations</w:t>
      </w:r>
      <w:bookmarkEnd w:id="13"/>
      <w:r w:rsidRPr="00542074">
        <w:rPr>
          <w:rFonts w:ascii="Times New Roman" w:hAnsi="Times New Roman" w:cs="Times New Roman"/>
        </w:rPr>
        <w:t xml:space="preserve">  </w:t>
      </w:r>
    </w:p>
    <w:p w:rsidR="00A3097C" w:rsidRPr="00542074" w:rsidRDefault="00A3097C" w:rsidP="00A3097C">
      <w:pPr>
        <w:spacing w:beforeLines="50" w:before="156" w:afterLines="100" w:after="312" w:line="360" w:lineRule="auto"/>
        <w:jc w:val="both"/>
        <w:rPr>
          <w:rFonts w:ascii="Times New Roman" w:hAnsi="Times New Roman" w:cs="Times New Roman"/>
          <w:sz w:val="24"/>
          <w:szCs w:val="24"/>
        </w:rPr>
      </w:pPr>
      <w:r w:rsidRPr="00542074">
        <w:rPr>
          <w:rFonts w:ascii="Times New Roman" w:hAnsi="Times New Roman" w:cs="Times New Roman"/>
          <w:sz w:val="24"/>
          <w:szCs w:val="24"/>
        </w:rPr>
        <w:t xml:space="preserve">Although the above analysis has provided a tailored marketing plan for FAW-VW, some recommendations need to be emphasized here. On the one hand, FAW-VW needs to get rid of its reliance on the parent company VW throughout the value chain, and build the local capabilities in the Chinese market based on the local context. This requires FAW-VW to reach collaboration with local suppliers, manufacturers, and distributors. On the other hand, FAW-VW should pay attention to the emerging megatrends in China, such as intelligence and connectivity trends in the NEV sector, story-telling marketing communication through video marketing platforms, the direct sales mode to distribute NEVs, etc. to maximize the customer satisfaction along with the customer journey.  </w:t>
      </w:r>
    </w:p>
    <w:p w:rsidR="00A3097C" w:rsidRPr="00542074" w:rsidRDefault="00A3097C" w:rsidP="00A3097C">
      <w:pPr>
        <w:spacing w:beforeLines="50" w:before="156" w:afterLines="100" w:after="312" w:line="360" w:lineRule="auto"/>
        <w:rPr>
          <w:rFonts w:ascii="Times New Roman" w:eastAsiaTheme="majorEastAsia" w:hAnsi="Times New Roman" w:cs="Times New Roman"/>
          <w:color w:val="365F91" w:themeColor="accent1" w:themeShade="BF"/>
          <w:sz w:val="36"/>
          <w:szCs w:val="36"/>
        </w:rPr>
      </w:pPr>
      <w:r w:rsidRPr="00542074">
        <w:rPr>
          <w:rFonts w:ascii="Times New Roman" w:hAnsi="Times New Roman" w:cs="Times New Roman"/>
        </w:rPr>
        <w:br w:type="page"/>
      </w:r>
    </w:p>
    <w:p w:rsidR="00A3097C" w:rsidRPr="00542074" w:rsidRDefault="00A3097C" w:rsidP="00A3097C">
      <w:pPr>
        <w:pStyle w:val="1"/>
        <w:spacing w:beforeLines="50" w:before="156" w:afterLines="100" w:after="312" w:line="360" w:lineRule="auto"/>
        <w:rPr>
          <w:rFonts w:ascii="Times New Roman" w:hAnsi="Times New Roman" w:cs="Times New Roman"/>
        </w:rPr>
      </w:pPr>
      <w:bookmarkStart w:id="14" w:name="_Toc107175839"/>
      <w:r w:rsidRPr="00542074">
        <w:rPr>
          <w:rFonts w:ascii="Times New Roman" w:hAnsi="Times New Roman" w:cs="Times New Roman"/>
        </w:rPr>
        <w:lastRenderedPageBreak/>
        <w:t>References</w:t>
      </w:r>
      <w:bookmarkEnd w:id="14"/>
      <w:r w:rsidRPr="00542074">
        <w:rPr>
          <w:rFonts w:ascii="Times New Roman" w:hAnsi="Times New Roman" w:cs="Times New Roman"/>
        </w:rPr>
        <w:t xml:space="preserve"> </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 xml:space="preserve">ADDIN Mendeley Bibliography CSL_BIBLIOGRAPHY </w:instrText>
      </w:r>
      <w:r w:rsidRPr="00542074">
        <w:rPr>
          <w:rFonts w:ascii="Times New Roman" w:hAnsi="Times New Roman" w:cs="Times New Roman"/>
          <w:sz w:val="24"/>
          <w:szCs w:val="24"/>
        </w:rPr>
        <w:fldChar w:fldCharType="separate"/>
      </w:r>
      <w:r w:rsidRPr="00542074">
        <w:rPr>
          <w:rFonts w:ascii="Times New Roman" w:eastAsia="等线" w:hAnsi="Times New Roman" w:cs="Times New Roman"/>
          <w:noProof/>
          <w:sz w:val="24"/>
          <w:szCs w:val="24"/>
        </w:rPr>
        <w:t xml:space="preserve">Arena, F., Pau, G. and Severino, A. (2020) ‘An Overview on the Current Status and Future Perspectives of Smart Cars’, </w:t>
      </w:r>
      <w:r w:rsidRPr="00542074">
        <w:rPr>
          <w:rFonts w:ascii="Times New Roman" w:eastAsia="等线" w:hAnsi="Times New Roman" w:cs="Times New Roman"/>
          <w:i/>
          <w:iCs/>
          <w:noProof/>
          <w:sz w:val="24"/>
          <w:szCs w:val="24"/>
        </w:rPr>
        <w:t>Infrastructures</w:t>
      </w:r>
      <w:r w:rsidRPr="00542074">
        <w:rPr>
          <w:rFonts w:ascii="Times New Roman" w:eastAsia="等线" w:hAnsi="Times New Roman" w:cs="Times New Roman"/>
          <w:noProof/>
          <w:sz w:val="24"/>
          <w:szCs w:val="24"/>
        </w:rPr>
        <w:t>, 5(7), pp. 53–69.</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Buheji, M. and Ahmed, D. (2020) ‘Planning for’The New Normal’: Foresight and Management of the Possibilities of Socio-economic Spillovers due to COVID-19 Pandemic’, </w:t>
      </w:r>
      <w:r w:rsidRPr="00542074">
        <w:rPr>
          <w:rFonts w:ascii="Times New Roman" w:eastAsia="等线" w:hAnsi="Times New Roman" w:cs="Times New Roman"/>
          <w:i/>
          <w:iCs/>
          <w:noProof/>
          <w:sz w:val="24"/>
          <w:szCs w:val="24"/>
        </w:rPr>
        <w:t>Business management and strategy</w:t>
      </w:r>
      <w:r w:rsidRPr="00542074">
        <w:rPr>
          <w:rFonts w:ascii="Times New Roman" w:eastAsia="等线" w:hAnsi="Times New Roman" w:cs="Times New Roman"/>
          <w:noProof/>
          <w:sz w:val="24"/>
          <w:szCs w:val="24"/>
        </w:rPr>
        <w:t>, 11(1), pp. 160–179.</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China Daily (2021) </w:t>
      </w:r>
      <w:r w:rsidRPr="00542074">
        <w:rPr>
          <w:rFonts w:ascii="Times New Roman" w:eastAsia="等线" w:hAnsi="Times New Roman" w:cs="Times New Roman"/>
          <w:i/>
          <w:iCs/>
          <w:noProof/>
          <w:sz w:val="24"/>
          <w:szCs w:val="24"/>
        </w:rPr>
        <w:t>FAW-Volkswagen to step up electrification in China</w:t>
      </w:r>
      <w:r w:rsidRPr="00542074">
        <w:rPr>
          <w:rFonts w:ascii="Times New Roman" w:eastAsia="等线" w:hAnsi="Times New Roman" w:cs="Times New Roman"/>
          <w:noProof/>
          <w:sz w:val="24"/>
          <w:szCs w:val="24"/>
        </w:rPr>
        <w:t>. Available at: https://global.chinadaily.com.cn/a/202105/24/WS60ab4a65a31024ad0bac10de.html.</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Chylinski, M. </w:t>
      </w:r>
      <w:r w:rsidRPr="00542074">
        <w:rPr>
          <w:rFonts w:ascii="Times New Roman" w:eastAsia="等线" w:hAnsi="Times New Roman" w:cs="Times New Roman"/>
          <w:i/>
          <w:iCs/>
          <w:noProof/>
          <w:sz w:val="24"/>
          <w:szCs w:val="24"/>
        </w:rPr>
        <w:t>et al.</w:t>
      </w:r>
      <w:r w:rsidRPr="00542074">
        <w:rPr>
          <w:rFonts w:ascii="Times New Roman" w:eastAsia="等线" w:hAnsi="Times New Roman" w:cs="Times New Roman"/>
          <w:noProof/>
          <w:sz w:val="24"/>
          <w:szCs w:val="24"/>
        </w:rPr>
        <w:t xml:space="preserve"> (2020) ‘Augmented reality marketing: A technology-enabled approach to situated customer experience’, </w:t>
      </w:r>
      <w:r w:rsidRPr="00542074">
        <w:rPr>
          <w:rFonts w:ascii="Times New Roman" w:eastAsia="等线" w:hAnsi="Times New Roman" w:cs="Times New Roman"/>
          <w:i/>
          <w:iCs/>
          <w:noProof/>
          <w:sz w:val="24"/>
          <w:szCs w:val="24"/>
        </w:rPr>
        <w:t>Australasian Marketing Journal (AMJ)</w:t>
      </w:r>
      <w:r w:rsidRPr="00542074">
        <w:rPr>
          <w:rFonts w:ascii="Times New Roman" w:eastAsia="等线" w:hAnsi="Times New Roman" w:cs="Times New Roman"/>
          <w:noProof/>
          <w:sz w:val="24"/>
          <w:szCs w:val="24"/>
        </w:rPr>
        <w:t>, 28(4), pp. 374–384.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Cohen, W. A. (2005) </w:t>
      </w:r>
      <w:r w:rsidRPr="00542074">
        <w:rPr>
          <w:rFonts w:ascii="Times New Roman" w:eastAsia="等线" w:hAnsi="Times New Roman" w:cs="Times New Roman"/>
          <w:i/>
          <w:iCs/>
          <w:noProof/>
          <w:sz w:val="24"/>
          <w:szCs w:val="24"/>
        </w:rPr>
        <w:t>The marketing plan</w:t>
      </w:r>
      <w:r w:rsidRPr="00542074">
        <w:rPr>
          <w:rFonts w:ascii="Times New Roman" w:eastAsia="等线" w:hAnsi="Times New Roman" w:cs="Times New Roman"/>
          <w:noProof/>
          <w:sz w:val="24"/>
          <w:szCs w:val="24"/>
        </w:rPr>
        <w:t>. John Wiley &amp; Sons.</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Du, J. and Ouyang, D. (2017) ‘Progress of Chinese electric vehicles industrialization in 2015: A review’, </w:t>
      </w:r>
      <w:r w:rsidRPr="00542074">
        <w:rPr>
          <w:rFonts w:ascii="Times New Roman" w:eastAsia="等线" w:hAnsi="Times New Roman" w:cs="Times New Roman"/>
          <w:i/>
          <w:iCs/>
          <w:noProof/>
          <w:sz w:val="24"/>
          <w:szCs w:val="24"/>
        </w:rPr>
        <w:t>Applied Energy</w:t>
      </w:r>
      <w:r w:rsidRPr="00542074">
        <w:rPr>
          <w:rFonts w:ascii="Times New Roman" w:eastAsia="等线" w:hAnsi="Times New Roman" w:cs="Times New Roman"/>
          <w:noProof/>
          <w:sz w:val="24"/>
          <w:szCs w:val="24"/>
        </w:rPr>
        <w:t>, 188, pp. 529–546.</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Euromonitor International (2017) </w:t>
      </w:r>
      <w:r w:rsidRPr="00542074">
        <w:rPr>
          <w:rFonts w:ascii="Times New Roman" w:eastAsia="等线" w:hAnsi="Times New Roman" w:cs="Times New Roman"/>
          <w:i/>
          <w:iCs/>
          <w:noProof/>
          <w:sz w:val="24"/>
          <w:szCs w:val="24"/>
        </w:rPr>
        <w:t>Charging Infrastructure Needs to be Improved for Faster Electric Car Adoption</w:t>
      </w:r>
      <w:r w:rsidRPr="00542074">
        <w:rPr>
          <w:rFonts w:ascii="Times New Roman" w:eastAsia="等线" w:hAnsi="Times New Roman" w:cs="Times New Roman"/>
          <w:noProof/>
          <w:sz w:val="24"/>
          <w:szCs w:val="24"/>
        </w:rPr>
        <w:t>. Available at: https://www.euromonitor.com/article/charging-infrastructure-electric-car-adoption.</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FAW-Volkswagen (2021) </w:t>
      </w:r>
      <w:r w:rsidRPr="00542074">
        <w:rPr>
          <w:rFonts w:ascii="Times New Roman" w:eastAsia="等线" w:hAnsi="Times New Roman" w:cs="Times New Roman"/>
          <w:i/>
          <w:iCs/>
          <w:noProof/>
          <w:sz w:val="24"/>
          <w:szCs w:val="24"/>
        </w:rPr>
        <w:t>FAW-Volkswagen Annual Report 2020</w:t>
      </w:r>
      <w:r w:rsidRPr="00542074">
        <w:rPr>
          <w:rFonts w:ascii="Times New Roman" w:eastAsia="等线" w:hAnsi="Times New Roman" w:cs="Times New Roman"/>
          <w:noProof/>
          <w:sz w:val="24"/>
          <w:szCs w:val="24"/>
        </w:rPr>
        <w:t>.</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FAW Group (2022) </w:t>
      </w:r>
      <w:r w:rsidRPr="00542074">
        <w:rPr>
          <w:rFonts w:ascii="Times New Roman" w:eastAsia="等线" w:hAnsi="Times New Roman" w:cs="Times New Roman"/>
          <w:i/>
          <w:iCs/>
          <w:noProof/>
          <w:sz w:val="24"/>
          <w:szCs w:val="24"/>
        </w:rPr>
        <w:t>About FAW - Volkswagen</w:t>
      </w:r>
      <w:r w:rsidRPr="00542074">
        <w:rPr>
          <w:rFonts w:ascii="Times New Roman" w:eastAsia="等线" w:hAnsi="Times New Roman" w:cs="Times New Roman"/>
          <w:noProof/>
          <w:sz w:val="24"/>
          <w:szCs w:val="24"/>
        </w:rPr>
        <w:t>. Available at: http://www.faw.com/fawen/gyjt36/gjhz/faw-volkswagen/index.html.</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Frost, R. D. and Strauss, J. (2016) </w:t>
      </w:r>
      <w:r w:rsidRPr="00542074">
        <w:rPr>
          <w:rFonts w:ascii="Times New Roman" w:eastAsia="等线" w:hAnsi="Times New Roman" w:cs="Times New Roman"/>
          <w:i/>
          <w:iCs/>
          <w:noProof/>
          <w:sz w:val="24"/>
          <w:szCs w:val="24"/>
        </w:rPr>
        <w:t>E-marketing</w:t>
      </w:r>
      <w:r w:rsidRPr="00542074">
        <w:rPr>
          <w:rFonts w:ascii="Times New Roman" w:eastAsia="等线" w:hAnsi="Times New Roman" w:cs="Times New Roman"/>
          <w:noProof/>
          <w:sz w:val="24"/>
          <w:szCs w:val="24"/>
        </w:rPr>
        <w:t>. Routledge.</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lastRenderedPageBreak/>
        <w:t xml:space="preserve">Grein, A. F., Craig, C. S. and Takada, H. (2001) ‘Integration and responsiveness: Marketing strategies of Japanese and European automobile manufacturers’, </w:t>
      </w:r>
      <w:r w:rsidRPr="00542074">
        <w:rPr>
          <w:rFonts w:ascii="Times New Roman" w:eastAsia="等线" w:hAnsi="Times New Roman" w:cs="Times New Roman"/>
          <w:i/>
          <w:iCs/>
          <w:noProof/>
          <w:sz w:val="24"/>
          <w:szCs w:val="24"/>
        </w:rPr>
        <w:t>Journal of International Marketing</w:t>
      </w:r>
      <w:r w:rsidRPr="00542074">
        <w:rPr>
          <w:rFonts w:ascii="Times New Roman" w:eastAsia="等线" w:hAnsi="Times New Roman" w:cs="Times New Roman"/>
          <w:noProof/>
          <w:sz w:val="24"/>
          <w:szCs w:val="24"/>
        </w:rPr>
        <w:t>, 9(2), pp. 19–50.</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Han, J. (2021) ‘How Does Tesla Motors Achieve Competitive Advantage in the Global Automobile Industry?’, </w:t>
      </w:r>
      <w:r w:rsidRPr="00542074">
        <w:rPr>
          <w:rFonts w:ascii="Times New Roman" w:eastAsia="等线" w:hAnsi="Times New Roman" w:cs="Times New Roman"/>
          <w:i/>
          <w:iCs/>
          <w:noProof/>
          <w:sz w:val="24"/>
          <w:szCs w:val="24"/>
        </w:rPr>
        <w:t>Journal of Next-generation Convergence Information Services Technology Vol</w:t>
      </w:r>
      <w:r w:rsidRPr="00542074">
        <w:rPr>
          <w:rFonts w:ascii="Times New Roman" w:eastAsia="等线" w:hAnsi="Times New Roman" w:cs="Times New Roman"/>
          <w:noProof/>
          <w:sz w:val="24"/>
          <w:szCs w:val="24"/>
        </w:rPr>
        <w:t>, 10(5), pp. 573–582.</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Huang, Y. and Qian, L. (2018) ‘Consumer preferences for electric vehicles in lower tier cities of China: Evidences from south Jiangsu region’, </w:t>
      </w:r>
      <w:r w:rsidRPr="00542074">
        <w:rPr>
          <w:rFonts w:ascii="Times New Roman" w:eastAsia="等线" w:hAnsi="Times New Roman" w:cs="Times New Roman"/>
          <w:i/>
          <w:iCs/>
          <w:noProof/>
          <w:sz w:val="24"/>
          <w:szCs w:val="24"/>
        </w:rPr>
        <w:t>Transportation Research Part D: Transport and Environment</w:t>
      </w:r>
      <w:r w:rsidRPr="00542074">
        <w:rPr>
          <w:rFonts w:ascii="Times New Roman" w:eastAsia="等线" w:hAnsi="Times New Roman" w:cs="Times New Roman"/>
          <w:noProof/>
          <w:sz w:val="24"/>
          <w:szCs w:val="24"/>
        </w:rPr>
        <w:t>, 63(2), pp. 482–497.</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Ji, D. and Gan, H. (2022) ‘Effects of providing total cost of ownership information on below-40 young consumers</w:t>
      </w:r>
      <w:r w:rsidRPr="00542074">
        <w:rPr>
          <w:rFonts w:ascii="Malgun Gothic" w:eastAsia="等线" w:hAnsi="Malgun Gothic" w:cs="Malgun Gothic"/>
          <w:noProof/>
          <w:sz w:val="24"/>
          <w:szCs w:val="24"/>
        </w:rPr>
        <w:t>'</w:t>
      </w:r>
      <w:r w:rsidRPr="00542074">
        <w:rPr>
          <w:rFonts w:ascii="Times New Roman" w:eastAsia="等线" w:hAnsi="Times New Roman" w:cs="Times New Roman"/>
          <w:noProof/>
          <w:sz w:val="24"/>
          <w:szCs w:val="24"/>
        </w:rPr>
        <w:t xml:space="preserve"> intent to purchase an electric vehicle: A case study in China’, </w:t>
      </w:r>
      <w:r w:rsidRPr="00542074">
        <w:rPr>
          <w:rFonts w:ascii="Times New Roman" w:eastAsia="等线" w:hAnsi="Times New Roman" w:cs="Times New Roman"/>
          <w:i/>
          <w:iCs/>
          <w:noProof/>
          <w:sz w:val="24"/>
          <w:szCs w:val="24"/>
        </w:rPr>
        <w:t>Energy Policy</w:t>
      </w:r>
      <w:r w:rsidRPr="00542074">
        <w:rPr>
          <w:rFonts w:ascii="Times New Roman" w:eastAsia="等线" w:hAnsi="Times New Roman" w:cs="Times New Roman"/>
          <w:noProof/>
          <w:sz w:val="24"/>
          <w:szCs w:val="24"/>
        </w:rPr>
        <w:t>, 165, p. 112954.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Ji, S. </w:t>
      </w:r>
      <w:r w:rsidRPr="00542074">
        <w:rPr>
          <w:rFonts w:ascii="Times New Roman" w:eastAsia="等线" w:hAnsi="Times New Roman" w:cs="Times New Roman"/>
          <w:i/>
          <w:iCs/>
          <w:noProof/>
          <w:sz w:val="24"/>
          <w:szCs w:val="24"/>
        </w:rPr>
        <w:t>et al.</w:t>
      </w:r>
      <w:r w:rsidRPr="00542074">
        <w:rPr>
          <w:rFonts w:ascii="Times New Roman" w:eastAsia="等线" w:hAnsi="Times New Roman" w:cs="Times New Roman"/>
          <w:noProof/>
          <w:sz w:val="24"/>
          <w:szCs w:val="24"/>
        </w:rPr>
        <w:t xml:space="preserve"> (2012) ‘Electric vehicles in China: emissions and health impacts’, </w:t>
      </w:r>
      <w:r w:rsidRPr="00542074">
        <w:rPr>
          <w:rFonts w:ascii="Times New Roman" w:eastAsia="等线" w:hAnsi="Times New Roman" w:cs="Times New Roman"/>
          <w:i/>
          <w:iCs/>
          <w:noProof/>
          <w:sz w:val="24"/>
          <w:szCs w:val="24"/>
        </w:rPr>
        <w:t>Environmental science &amp; technology</w:t>
      </w:r>
      <w:r w:rsidRPr="00542074">
        <w:rPr>
          <w:rFonts w:ascii="Times New Roman" w:eastAsia="等线" w:hAnsi="Times New Roman" w:cs="Times New Roman"/>
          <w:noProof/>
          <w:sz w:val="24"/>
          <w:szCs w:val="24"/>
        </w:rPr>
        <w:t>, 46(4), pp. 2018–2024.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Kotler, P. (2012) </w:t>
      </w:r>
      <w:r w:rsidRPr="00542074">
        <w:rPr>
          <w:rFonts w:ascii="Times New Roman" w:eastAsia="等线" w:hAnsi="Times New Roman" w:cs="Times New Roman"/>
          <w:i/>
          <w:iCs/>
          <w:noProof/>
          <w:sz w:val="24"/>
          <w:szCs w:val="24"/>
        </w:rPr>
        <w:t>Kotler on marketing</w:t>
      </w:r>
      <w:r w:rsidRPr="00542074">
        <w:rPr>
          <w:rFonts w:ascii="Times New Roman" w:eastAsia="等线" w:hAnsi="Times New Roman" w:cs="Times New Roman"/>
          <w:noProof/>
          <w:sz w:val="24"/>
          <w:szCs w:val="24"/>
        </w:rPr>
        <w:t>. Simon and Schuster.</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Kotler, P. </w:t>
      </w:r>
      <w:r w:rsidRPr="00542074">
        <w:rPr>
          <w:rFonts w:ascii="Times New Roman" w:eastAsia="等线" w:hAnsi="Times New Roman" w:cs="Times New Roman"/>
          <w:i/>
          <w:iCs/>
          <w:noProof/>
          <w:sz w:val="24"/>
          <w:szCs w:val="24"/>
        </w:rPr>
        <w:t>et al.</w:t>
      </w:r>
      <w:r w:rsidRPr="00542074">
        <w:rPr>
          <w:rFonts w:ascii="Times New Roman" w:eastAsia="等线" w:hAnsi="Times New Roman" w:cs="Times New Roman"/>
          <w:noProof/>
          <w:sz w:val="24"/>
          <w:szCs w:val="24"/>
        </w:rPr>
        <w:t xml:space="preserve"> (2013) ‘Principles of Marketing. 6th European edition’, </w:t>
      </w:r>
      <w:r w:rsidRPr="00542074">
        <w:rPr>
          <w:rFonts w:ascii="Times New Roman" w:eastAsia="等线" w:hAnsi="Times New Roman" w:cs="Times New Roman"/>
          <w:i/>
          <w:iCs/>
          <w:noProof/>
          <w:sz w:val="24"/>
          <w:szCs w:val="24"/>
        </w:rPr>
        <w:t>Essex: Pearson Education Limited</w:t>
      </w:r>
      <w:r w:rsidRPr="00542074">
        <w:rPr>
          <w:rFonts w:ascii="Times New Roman" w:eastAsia="等线" w:hAnsi="Times New Roman" w:cs="Times New Roman"/>
          <w:noProof/>
          <w:sz w:val="24"/>
          <w:szCs w:val="24"/>
        </w:rPr>
        <w:t>.</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Li, W., Yang, M. and Sandu, S. (2018) ‘Electric vehicles in China: A review of current policies’, </w:t>
      </w:r>
      <w:r w:rsidRPr="00542074">
        <w:rPr>
          <w:rFonts w:ascii="Times New Roman" w:eastAsia="等线" w:hAnsi="Times New Roman" w:cs="Times New Roman"/>
          <w:i/>
          <w:iCs/>
          <w:noProof/>
          <w:sz w:val="24"/>
          <w:szCs w:val="24"/>
        </w:rPr>
        <w:t>Energy &amp; Environment</w:t>
      </w:r>
      <w:r w:rsidRPr="00542074">
        <w:rPr>
          <w:rFonts w:ascii="Times New Roman" w:eastAsia="等线" w:hAnsi="Times New Roman" w:cs="Times New Roman"/>
          <w:noProof/>
          <w:sz w:val="24"/>
          <w:szCs w:val="24"/>
        </w:rPr>
        <w:t>, 29(8), pp. 1512–1524.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Lin, B. and Du, Z. (2015) ‘How China  s urbanization impacts transport energy consumption in the face of income disparity’, </w:t>
      </w:r>
      <w:r w:rsidRPr="00542074">
        <w:rPr>
          <w:rFonts w:ascii="Times New Roman" w:eastAsia="等线" w:hAnsi="Times New Roman" w:cs="Times New Roman"/>
          <w:i/>
          <w:iCs/>
          <w:noProof/>
          <w:sz w:val="24"/>
          <w:szCs w:val="24"/>
        </w:rPr>
        <w:t>Renewable and Sustainable Energy Reviews</w:t>
      </w:r>
      <w:r w:rsidRPr="00542074">
        <w:rPr>
          <w:rFonts w:ascii="Times New Roman" w:eastAsia="等线" w:hAnsi="Times New Roman" w:cs="Times New Roman"/>
          <w:noProof/>
          <w:sz w:val="24"/>
          <w:szCs w:val="24"/>
        </w:rPr>
        <w:t>, 52, pp. 1693–1701.</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lastRenderedPageBreak/>
        <w:t xml:space="preserve">McKinsey (2021) </w:t>
      </w:r>
      <w:r w:rsidRPr="00542074">
        <w:rPr>
          <w:rFonts w:ascii="Times New Roman" w:eastAsia="等线" w:hAnsi="Times New Roman" w:cs="Times New Roman"/>
          <w:i/>
          <w:iCs/>
          <w:noProof/>
          <w:sz w:val="24"/>
          <w:szCs w:val="24"/>
        </w:rPr>
        <w:t xml:space="preserve">Why the future involves e-mobility </w:t>
      </w:r>
      <w:r w:rsidRPr="00542074">
        <w:rPr>
          <w:rFonts w:ascii="Times New Roman" w:eastAsia="等线" w:hAnsi="Times New Roman" w:cs="Times New Roman"/>
          <w:noProof/>
          <w:sz w:val="24"/>
          <w:szCs w:val="24"/>
        </w:rPr>
        <w:t>. Available at: https://www.mckinsey.com/industries/automotive-and-assembly/our-insights/why-the-automotive-future-is-electric (Accessed: 26 June 2022).</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Ming, Y. (2015) ‘Energy development and urbanization in China’, </w:t>
      </w:r>
      <w:r w:rsidRPr="00542074">
        <w:rPr>
          <w:rFonts w:ascii="Times New Roman" w:eastAsia="等线" w:hAnsi="Times New Roman" w:cs="Times New Roman"/>
          <w:i/>
          <w:iCs/>
          <w:noProof/>
          <w:sz w:val="24"/>
          <w:szCs w:val="24"/>
        </w:rPr>
        <w:t>Energy &amp; Environment</w:t>
      </w:r>
      <w:r w:rsidRPr="00542074">
        <w:rPr>
          <w:rFonts w:ascii="Times New Roman" w:eastAsia="等线" w:hAnsi="Times New Roman" w:cs="Times New Roman"/>
          <w:noProof/>
          <w:sz w:val="24"/>
          <w:szCs w:val="24"/>
        </w:rPr>
        <w:t>, 26(1–2), pp. 1–14.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Papadatos, C. (2006) ‘The art of storytelling: how loyalty marketers can build emotional connections to their brands’, </w:t>
      </w:r>
      <w:r w:rsidRPr="00542074">
        <w:rPr>
          <w:rFonts w:ascii="Times New Roman" w:eastAsia="等线" w:hAnsi="Times New Roman" w:cs="Times New Roman"/>
          <w:i/>
          <w:iCs/>
          <w:noProof/>
          <w:sz w:val="24"/>
          <w:szCs w:val="24"/>
        </w:rPr>
        <w:t>Journal of Consumer Marketing</w:t>
      </w:r>
      <w:r w:rsidRPr="00542074">
        <w:rPr>
          <w:rFonts w:ascii="Times New Roman" w:eastAsia="等线" w:hAnsi="Times New Roman" w:cs="Times New Roman"/>
          <w:noProof/>
          <w:sz w:val="24"/>
          <w:szCs w:val="24"/>
        </w:rPr>
        <w:t>, 23(7), pp. 382–384.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Petrov, E. (2016) ‘State Automobile Dealership Statutes: Do We Really Need Them?’, </w:t>
      </w:r>
      <w:r w:rsidRPr="00542074">
        <w:rPr>
          <w:rFonts w:ascii="Times New Roman" w:eastAsia="等线" w:hAnsi="Times New Roman" w:cs="Times New Roman"/>
          <w:i/>
          <w:iCs/>
          <w:noProof/>
          <w:sz w:val="24"/>
          <w:szCs w:val="24"/>
        </w:rPr>
        <w:t>FAU Undergraduate Law Journal</w:t>
      </w:r>
      <w:r w:rsidRPr="00542074">
        <w:rPr>
          <w:rFonts w:ascii="Times New Roman" w:eastAsia="等线" w:hAnsi="Times New Roman" w:cs="Times New Roman"/>
          <w:noProof/>
          <w:sz w:val="24"/>
          <w:szCs w:val="24"/>
        </w:rPr>
        <w:t>, p. 8.</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Schindler, R. M. and Schindler, R. (2011) </w:t>
      </w:r>
      <w:r w:rsidRPr="00542074">
        <w:rPr>
          <w:rFonts w:ascii="Times New Roman" w:eastAsia="等线" w:hAnsi="Times New Roman" w:cs="Times New Roman"/>
          <w:i/>
          <w:iCs/>
          <w:noProof/>
          <w:sz w:val="24"/>
          <w:szCs w:val="24"/>
        </w:rPr>
        <w:t>Pricing strategies: a marketing approach</w:t>
      </w:r>
      <w:r w:rsidRPr="00542074">
        <w:rPr>
          <w:rFonts w:ascii="Times New Roman" w:eastAsia="等线" w:hAnsi="Times New Roman" w:cs="Times New Roman"/>
          <w:noProof/>
          <w:sz w:val="24"/>
          <w:szCs w:val="24"/>
        </w:rPr>
        <w:t>. sage.</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Shalender, K. and Singh, N. (2015) ‘Marketing flexibility: Significance and implications for automobile industry’, </w:t>
      </w:r>
      <w:r w:rsidRPr="00542074">
        <w:rPr>
          <w:rFonts w:ascii="Times New Roman" w:eastAsia="等线" w:hAnsi="Times New Roman" w:cs="Times New Roman"/>
          <w:i/>
          <w:iCs/>
          <w:noProof/>
          <w:sz w:val="24"/>
          <w:szCs w:val="24"/>
        </w:rPr>
        <w:t>Global Journal of Flexible Systems Management</w:t>
      </w:r>
      <w:r w:rsidRPr="00542074">
        <w:rPr>
          <w:rFonts w:ascii="Times New Roman" w:eastAsia="等线" w:hAnsi="Times New Roman" w:cs="Times New Roman"/>
          <w:noProof/>
          <w:sz w:val="24"/>
          <w:szCs w:val="24"/>
        </w:rPr>
        <w:t>, 16(3), pp. 251–262.</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Six Tones (2022) </w:t>
      </w:r>
      <w:r w:rsidRPr="00542074">
        <w:rPr>
          <w:rFonts w:ascii="Times New Roman" w:eastAsia="等线" w:hAnsi="Times New Roman" w:cs="Times New Roman"/>
          <w:i/>
          <w:iCs/>
          <w:noProof/>
          <w:sz w:val="24"/>
          <w:szCs w:val="24"/>
        </w:rPr>
        <w:t>Volkswagen’s EV Missteps in China</w:t>
      </w:r>
      <w:r w:rsidRPr="00542074">
        <w:rPr>
          <w:rFonts w:ascii="Times New Roman" w:eastAsia="等线" w:hAnsi="Times New Roman" w:cs="Times New Roman"/>
          <w:noProof/>
          <w:sz w:val="24"/>
          <w:szCs w:val="24"/>
        </w:rPr>
        <w:t>. Available at: https://www.sixthtone.com/news/1009921/volkswagens-ev-missteps-in-china (Accessed: 26 June 2022).</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South China Morning Post (2021) </w:t>
      </w:r>
      <w:r w:rsidRPr="00542074">
        <w:rPr>
          <w:rFonts w:ascii="Times New Roman" w:eastAsia="等线" w:hAnsi="Times New Roman" w:cs="Times New Roman"/>
          <w:i/>
          <w:iCs/>
          <w:noProof/>
          <w:sz w:val="24"/>
          <w:szCs w:val="24"/>
        </w:rPr>
        <w:t>Why China’s intellectual property protection matters to Beijing and Washington</w:t>
      </w:r>
      <w:r w:rsidRPr="00542074">
        <w:rPr>
          <w:rFonts w:ascii="Times New Roman" w:eastAsia="等线" w:hAnsi="Times New Roman" w:cs="Times New Roman"/>
          <w:noProof/>
          <w:sz w:val="24"/>
          <w:szCs w:val="24"/>
        </w:rPr>
        <w:t>. Available at: https://www.scmp.com/news/china/politics/article/3132363/why-chinas-intellectual-property-protection-matters-beijing-and (Accessed: 26 June 2022).</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Statista (2022) </w:t>
      </w:r>
      <w:r w:rsidRPr="00542074">
        <w:rPr>
          <w:rFonts w:ascii="Times New Roman" w:eastAsia="等线" w:hAnsi="Times New Roman" w:cs="Times New Roman"/>
          <w:i/>
          <w:iCs/>
          <w:noProof/>
          <w:sz w:val="24"/>
          <w:szCs w:val="24"/>
        </w:rPr>
        <w:t>Major new energy passenger car companies in China 2021, based on sales volume</w:t>
      </w:r>
      <w:r w:rsidRPr="00542074">
        <w:rPr>
          <w:rFonts w:ascii="Times New Roman" w:eastAsia="等线" w:hAnsi="Times New Roman" w:cs="Times New Roman"/>
          <w:noProof/>
          <w:sz w:val="24"/>
          <w:szCs w:val="24"/>
        </w:rPr>
        <w:t>. Available at: https://www.statista.com/statistics/992522/china-leading-new-energy-vehicle-brands-based-on-sales-volume/.</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lastRenderedPageBreak/>
        <w:t xml:space="preserve">Vassileva, B. (2017) ‘Marketing 4.0: How technologies transform marketing organization’, </w:t>
      </w:r>
      <w:r w:rsidRPr="00542074">
        <w:rPr>
          <w:rFonts w:ascii="Times New Roman" w:eastAsia="等线" w:hAnsi="Times New Roman" w:cs="Times New Roman"/>
          <w:i/>
          <w:iCs/>
          <w:noProof/>
          <w:sz w:val="24"/>
          <w:szCs w:val="24"/>
        </w:rPr>
        <w:t>Obuda university e-Bulletin</w:t>
      </w:r>
      <w:r w:rsidRPr="00542074">
        <w:rPr>
          <w:rFonts w:ascii="Times New Roman" w:eastAsia="等线" w:hAnsi="Times New Roman" w:cs="Times New Roman"/>
          <w:noProof/>
          <w:sz w:val="24"/>
          <w:szCs w:val="24"/>
        </w:rPr>
        <w:t>, 7(1), pp. 47–56.</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Wang, N. </w:t>
      </w:r>
      <w:r w:rsidRPr="00542074">
        <w:rPr>
          <w:rFonts w:ascii="Times New Roman" w:eastAsia="等线" w:hAnsi="Times New Roman" w:cs="Times New Roman"/>
          <w:i/>
          <w:iCs/>
          <w:noProof/>
          <w:sz w:val="24"/>
          <w:szCs w:val="24"/>
        </w:rPr>
        <w:t>et al.</w:t>
      </w:r>
      <w:r w:rsidRPr="00542074">
        <w:rPr>
          <w:rFonts w:ascii="Times New Roman" w:eastAsia="等线" w:hAnsi="Times New Roman" w:cs="Times New Roman"/>
          <w:noProof/>
          <w:sz w:val="24"/>
          <w:szCs w:val="24"/>
        </w:rPr>
        <w:t xml:space="preserve"> (2019) ‘How to face the challenges caused by the abolishment of subsidies for electric vehicles in China?’, </w:t>
      </w:r>
      <w:r w:rsidRPr="00542074">
        <w:rPr>
          <w:rFonts w:ascii="Times New Roman" w:eastAsia="等线" w:hAnsi="Times New Roman" w:cs="Times New Roman"/>
          <w:i/>
          <w:iCs/>
          <w:noProof/>
          <w:sz w:val="24"/>
          <w:szCs w:val="24"/>
        </w:rPr>
        <w:t>Energy</w:t>
      </w:r>
      <w:r w:rsidRPr="00542074">
        <w:rPr>
          <w:rFonts w:ascii="Times New Roman" w:eastAsia="等线" w:hAnsi="Times New Roman" w:cs="Times New Roman"/>
          <w:noProof/>
          <w:sz w:val="24"/>
          <w:szCs w:val="24"/>
        </w:rPr>
        <w:t>, 166(3), pp. 359–372. doi: 10.1016/j.energy.2018.10.006.</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Woodside, A. G. (2010) ‘Brand</w:t>
      </w:r>
      <w:r w:rsidRPr="00542074">
        <w:rPr>
          <w:rFonts w:ascii="Malgun Gothic" w:eastAsia="等线" w:hAnsi="Malgun Gothic" w:cs="Malgun Gothic"/>
          <w:noProof/>
          <w:sz w:val="24"/>
          <w:szCs w:val="24"/>
        </w:rPr>
        <w:t>-</w:t>
      </w:r>
      <w:r w:rsidRPr="00542074">
        <w:rPr>
          <w:rFonts w:ascii="Times New Roman" w:eastAsia="等线" w:hAnsi="Times New Roman" w:cs="Times New Roman"/>
          <w:noProof/>
          <w:sz w:val="24"/>
          <w:szCs w:val="24"/>
        </w:rPr>
        <w:t xml:space="preserve">consumer storytelling theory and research: Introduction to a Psychology &amp; Marketing special issue’, </w:t>
      </w:r>
      <w:r w:rsidRPr="00542074">
        <w:rPr>
          <w:rFonts w:ascii="Times New Roman" w:eastAsia="等线" w:hAnsi="Times New Roman" w:cs="Times New Roman"/>
          <w:i/>
          <w:iCs/>
          <w:noProof/>
          <w:sz w:val="24"/>
          <w:szCs w:val="24"/>
        </w:rPr>
        <w:t>Psychology &amp; Marketing</w:t>
      </w:r>
      <w:r w:rsidRPr="00542074">
        <w:rPr>
          <w:rFonts w:ascii="Times New Roman" w:eastAsia="等线" w:hAnsi="Times New Roman" w:cs="Times New Roman"/>
          <w:noProof/>
          <w:sz w:val="24"/>
          <w:szCs w:val="24"/>
        </w:rPr>
        <w:t>. Wiley Online Library, pp. 531–540.</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Wu, Y. A. </w:t>
      </w:r>
      <w:r w:rsidRPr="00542074">
        <w:rPr>
          <w:rFonts w:ascii="Times New Roman" w:eastAsia="等线" w:hAnsi="Times New Roman" w:cs="Times New Roman"/>
          <w:i/>
          <w:iCs/>
          <w:noProof/>
          <w:sz w:val="24"/>
          <w:szCs w:val="24"/>
        </w:rPr>
        <w:t>et al.</w:t>
      </w:r>
      <w:r w:rsidRPr="00542074">
        <w:rPr>
          <w:rFonts w:ascii="Times New Roman" w:eastAsia="等线" w:hAnsi="Times New Roman" w:cs="Times New Roman"/>
          <w:noProof/>
          <w:sz w:val="24"/>
          <w:szCs w:val="24"/>
        </w:rPr>
        <w:t xml:space="preserve"> (2021) ‘A review of evolutionary policy incentives for sustainable development of electric vehicles in China: Strategic implications’, </w:t>
      </w:r>
      <w:r w:rsidRPr="00542074">
        <w:rPr>
          <w:rFonts w:ascii="Times New Roman" w:eastAsia="等线" w:hAnsi="Times New Roman" w:cs="Times New Roman"/>
          <w:i/>
          <w:iCs/>
          <w:noProof/>
          <w:sz w:val="24"/>
          <w:szCs w:val="24"/>
        </w:rPr>
        <w:t>Energy Policy</w:t>
      </w:r>
      <w:r w:rsidRPr="00542074">
        <w:rPr>
          <w:rFonts w:ascii="Times New Roman" w:eastAsia="等线" w:hAnsi="Times New Roman" w:cs="Times New Roman"/>
          <w:noProof/>
          <w:sz w:val="24"/>
          <w:szCs w:val="24"/>
        </w:rPr>
        <w:t>, 148, p. 111983.</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 xml:space="preserve">Yeung, G. (2019) ‘“Made in China 2025”: the development of a new energy vehicle industry in China’, </w:t>
      </w:r>
      <w:r w:rsidRPr="00542074">
        <w:rPr>
          <w:rFonts w:ascii="Times New Roman" w:eastAsia="等线" w:hAnsi="Times New Roman" w:cs="Times New Roman"/>
          <w:i/>
          <w:iCs/>
          <w:noProof/>
          <w:sz w:val="24"/>
          <w:szCs w:val="24"/>
        </w:rPr>
        <w:t>Area Development and Policy</w:t>
      </w:r>
      <w:r w:rsidRPr="00542074">
        <w:rPr>
          <w:rFonts w:ascii="Times New Roman" w:eastAsia="等线" w:hAnsi="Times New Roman" w:cs="Times New Roman"/>
          <w:noProof/>
          <w:sz w:val="24"/>
          <w:szCs w:val="24"/>
        </w:rPr>
        <w:t>, 4(1), pp. 39–59. doi: 10.1080/23792949.2018.1505433.</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Zhang, J. and Chen, J. (2017) ‘Introduction to China</w:t>
      </w:r>
      <w:r w:rsidRPr="00542074">
        <w:rPr>
          <w:rFonts w:ascii="Malgun Gothic" w:eastAsia="等线" w:hAnsi="Malgun Gothic" w:cs="Malgun Gothic"/>
          <w:noProof/>
          <w:sz w:val="24"/>
          <w:szCs w:val="24"/>
        </w:rPr>
        <w:t>'</w:t>
      </w:r>
      <w:r w:rsidRPr="00542074">
        <w:rPr>
          <w:rFonts w:ascii="Times New Roman" w:eastAsia="等线" w:hAnsi="Times New Roman" w:cs="Times New Roman"/>
          <w:noProof/>
          <w:sz w:val="24"/>
          <w:szCs w:val="24"/>
        </w:rPr>
        <w:t xml:space="preserve">s new normal economy’, </w:t>
      </w:r>
      <w:r w:rsidRPr="00542074">
        <w:rPr>
          <w:rFonts w:ascii="Times New Roman" w:eastAsia="等线" w:hAnsi="Times New Roman" w:cs="Times New Roman"/>
          <w:i/>
          <w:iCs/>
          <w:noProof/>
          <w:sz w:val="24"/>
          <w:szCs w:val="24"/>
        </w:rPr>
        <w:t>Journal of Chinese Economic and Business Studies</w:t>
      </w:r>
      <w:r w:rsidRPr="00542074">
        <w:rPr>
          <w:rFonts w:ascii="Times New Roman" w:eastAsia="等线" w:hAnsi="Times New Roman" w:cs="Times New Roman"/>
          <w:noProof/>
          <w:sz w:val="24"/>
          <w:szCs w:val="24"/>
        </w:rPr>
        <w:t>. Taylor &amp; Francis, pp. 1–4.</w:t>
      </w:r>
    </w:p>
    <w:p w:rsidR="00A3097C" w:rsidRPr="00542074" w:rsidRDefault="00A3097C" w:rsidP="00A3097C">
      <w:pPr>
        <w:autoSpaceDE w:val="0"/>
        <w:autoSpaceDN w:val="0"/>
        <w:adjustRightInd w:val="0"/>
        <w:spacing w:beforeLines="50" w:before="156" w:afterLines="100" w:after="312" w:line="360" w:lineRule="auto"/>
        <w:rPr>
          <w:rFonts w:ascii="Times New Roman" w:eastAsia="等线" w:hAnsi="Times New Roman" w:cs="Times New Roman"/>
          <w:noProof/>
          <w:sz w:val="24"/>
          <w:szCs w:val="24"/>
        </w:rPr>
      </w:pPr>
      <w:r w:rsidRPr="00542074">
        <w:rPr>
          <w:rFonts w:ascii="Times New Roman" w:eastAsia="等线" w:hAnsi="Times New Roman" w:cs="Times New Roman"/>
          <w:noProof/>
          <w:sz w:val="24"/>
          <w:szCs w:val="24"/>
        </w:rPr>
        <w:t>Zhang, X. and Bai, X. (2017) ‘Incentive policies from 2006 to 2016 and new energy vehicle adoption in 2010</w:t>
      </w:r>
      <w:r w:rsidRPr="00542074">
        <w:rPr>
          <w:rFonts w:ascii="Malgun Gothic" w:eastAsia="等线" w:hAnsi="Malgun Gothic" w:cs="Malgun Gothic"/>
          <w:noProof/>
          <w:sz w:val="24"/>
          <w:szCs w:val="24"/>
        </w:rPr>
        <w:t>-</w:t>
      </w:r>
      <w:r w:rsidRPr="00542074">
        <w:rPr>
          <w:rFonts w:ascii="Times New Roman" w:eastAsia="等线" w:hAnsi="Times New Roman" w:cs="Times New Roman"/>
          <w:noProof/>
          <w:sz w:val="24"/>
          <w:szCs w:val="24"/>
        </w:rPr>
        <w:t xml:space="preserve">2020 in China’, </w:t>
      </w:r>
      <w:r w:rsidRPr="00542074">
        <w:rPr>
          <w:rFonts w:ascii="Times New Roman" w:eastAsia="等线" w:hAnsi="Times New Roman" w:cs="Times New Roman"/>
          <w:i/>
          <w:iCs/>
          <w:noProof/>
          <w:sz w:val="24"/>
          <w:szCs w:val="24"/>
        </w:rPr>
        <w:t>Renewable and Sustainable Energy Reviews</w:t>
      </w:r>
      <w:r w:rsidRPr="00542074">
        <w:rPr>
          <w:rFonts w:ascii="Times New Roman" w:eastAsia="等线" w:hAnsi="Times New Roman" w:cs="Times New Roman"/>
          <w:noProof/>
          <w:sz w:val="24"/>
          <w:szCs w:val="24"/>
        </w:rPr>
        <w:t>, 70(2), pp. 24–43.</w:t>
      </w:r>
    </w:p>
    <w:p w:rsidR="00A3097C" w:rsidRDefault="00A3097C" w:rsidP="00A3097C">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fldChar w:fldCharType="end"/>
      </w:r>
    </w:p>
    <w:p w:rsidR="00A3097C" w:rsidRPr="00542074" w:rsidRDefault="00A3097C" w:rsidP="00A3097C">
      <w:pPr>
        <w:rPr>
          <w:rFonts w:ascii="Times New Roman" w:hAnsi="Times New Roman" w:cs="Times New Roman"/>
          <w:sz w:val="24"/>
          <w:szCs w:val="24"/>
        </w:rPr>
      </w:pPr>
      <w:r>
        <w:rPr>
          <w:rFonts w:ascii="Times New Roman" w:hAnsi="Times New Roman" w:cs="Times New Roman"/>
          <w:sz w:val="24"/>
          <w:szCs w:val="24"/>
        </w:rPr>
        <w:br w:type="page"/>
      </w:r>
    </w:p>
    <w:p w:rsidR="00A3097C" w:rsidRPr="00542074" w:rsidRDefault="00A3097C" w:rsidP="00A3097C">
      <w:pPr>
        <w:pStyle w:val="1"/>
        <w:spacing w:beforeLines="50" w:before="156" w:afterLines="100" w:after="312" w:line="360" w:lineRule="auto"/>
        <w:rPr>
          <w:rFonts w:ascii="Times New Roman" w:hAnsi="Times New Roman" w:cs="Times New Roman"/>
        </w:rPr>
      </w:pPr>
      <w:bookmarkStart w:id="15" w:name="_Toc107175840"/>
      <w:r w:rsidRPr="00542074">
        <w:rPr>
          <w:rFonts w:ascii="Times New Roman" w:hAnsi="Times New Roman" w:cs="Times New Roman"/>
        </w:rPr>
        <w:lastRenderedPageBreak/>
        <w:t>Appendix:</w:t>
      </w:r>
      <w:bookmarkEnd w:id="15"/>
      <w:r w:rsidRPr="00542074">
        <w:rPr>
          <w:rFonts w:ascii="Times New Roman" w:hAnsi="Times New Roman" w:cs="Times New Roman"/>
        </w:rPr>
        <w:t xml:space="preserve"> </w:t>
      </w:r>
    </w:p>
    <w:p w:rsidR="00A3097C" w:rsidRPr="00542074" w:rsidRDefault="00A3097C" w:rsidP="00A3097C">
      <w:pPr>
        <w:pStyle w:val="2"/>
        <w:spacing w:beforeLines="50" w:before="156" w:afterLines="100" w:after="312" w:line="360" w:lineRule="auto"/>
        <w:rPr>
          <w:rFonts w:ascii="Times New Roman" w:hAnsi="Times New Roman" w:cs="Times New Roman"/>
        </w:rPr>
      </w:pPr>
      <w:bookmarkStart w:id="16" w:name="_Toc107175841"/>
      <w:r w:rsidRPr="00542074">
        <w:rPr>
          <w:rFonts w:ascii="Times New Roman" w:hAnsi="Times New Roman" w:cs="Times New Roman"/>
        </w:rPr>
        <w:t>Appendix 1: Full version of the Pestel analysis</w:t>
      </w:r>
      <w:bookmarkEnd w:id="16"/>
      <w:r w:rsidRPr="00542074">
        <w:rPr>
          <w:rFonts w:ascii="Times New Roman" w:hAnsi="Times New Roman" w:cs="Times New Roman"/>
        </w:rPr>
        <w:t xml:space="preserve"> </w:t>
      </w:r>
    </w:p>
    <w:tbl>
      <w:tblPr>
        <w:tblStyle w:val="a5"/>
        <w:tblW w:w="0" w:type="auto"/>
        <w:tblLook w:val="04A0" w:firstRow="1" w:lastRow="0" w:firstColumn="1" w:lastColumn="0" w:noHBand="0" w:noVBand="1"/>
      </w:tblPr>
      <w:tblGrid>
        <w:gridCol w:w="1838"/>
        <w:gridCol w:w="7898"/>
      </w:tblGrid>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PESTEL Factors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Influences </w:t>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Political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In order to drive the rapid development of the domestic new energy vehicle market, the national and local governments have issued a wide range of supportive policies on car purchase subsidies (from the customer side), and tax incentive (from the producer side), and the popularization of the charging facilities, etc.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{"citationItems":[{"id":"ITEM-1","itemData":{"ISSN":"0013-936X","author":[{"dropping-particle":"","family":"Ji","given":"Shuguang","non-dropping-particle":"","parse-names":false,"suffix":""},{"dropping-particle":"","family":"Cherry","given":"Christopher R","non-dropping-particle":"","parse-names":false,"suffix":""},{"dropping-particle":"","family":"J. Bechle","given":"Matthew","non-dropping-particle":"","parse-names":false,"suffix":""},{"dropping-particle":"","family":"Wu","given":"Ye","non-dropping-particle":"","parse-names":false,"suffix":""},{"dropping-particle":"","family":"Marshall","given":"Julian D","non-dropping-particle":"","parse-names":false,"suffix":""}],"container-title":"Environmental science &amp; technology","id":"ITEM-1","issue":"4","issued":{"date-parts":[["2012"]]},"page":"2018-2024","publisher":"ACS Publications","title":"Electric vehicles in China: emissions and health impacts","type":"article-journal","volume":"46"},"uris":["http://www.mendeley.com/documents/?uuid=6c8637a1-d017-4776-b809-e6c23a198bd6"]},{"id":"ITEM-2","itemData":{"ISSN":"0306-2619","author":[{"dropping-particle":"","family":"Du","given":"Jiuyu","non-dropping-particle":"","parse-names":false,"suffix":""},{"dropping-particle":"","family":"Ouyang","given":"Danhua","non-dropping-particle":"","parse-names":false,"suffix":""}],"container-title":"Applied Energy","id":"ITEM-2","issued":{"date-parts":[["2017"]]},"page":"529-546","publisher":"Elsevier","title":"Progress of Chinese electric vehicles industrialization in 2015: A review","type":"article-journal","volume":"188"},"uris":["http://www.mendeley.com/documents/?uuid=8e36e8f4-2875-44b4-94c3-482db5e7c8ea"]}],"mendeley":{"formattedCitation":"(Ji &lt;i&gt;et al.&lt;/i&gt;, 2012; Du and Ouyang, 2017)","plainTextFormattedCitation":"(Ji et al., 2012; Du and Ouyang, 2017)","previouslyFormattedCitation":"(Ji &lt;i&gt;et al.&lt;/i&gt;, 2012; Du and Ouyang, 2017)"},"properties":{"noteIndex":0},"schema":"https://github.com/citation-style-language/schema/raw/master/csl-citation.json"}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 xml:space="preserve">(Ji </w:t>
            </w:r>
            <w:r w:rsidRPr="00542074">
              <w:rPr>
                <w:rFonts w:ascii="Times New Roman" w:hAnsi="Times New Roman" w:cs="Times New Roman"/>
                <w:i/>
                <w:noProof/>
                <w:sz w:val="24"/>
                <w:szCs w:val="24"/>
              </w:rPr>
              <w:t>et al.</w:t>
            </w:r>
            <w:r w:rsidRPr="00542074">
              <w:rPr>
                <w:rFonts w:ascii="Times New Roman" w:hAnsi="Times New Roman" w:cs="Times New Roman"/>
                <w:noProof/>
                <w:sz w:val="24"/>
                <w:szCs w:val="24"/>
              </w:rPr>
              <w:t>, 2012; Du and Ouyang, 2017)</w:t>
            </w:r>
            <w:r w:rsidRPr="00542074">
              <w:rPr>
                <w:rFonts w:ascii="Times New Roman" w:hAnsi="Times New Roman" w:cs="Times New Roman"/>
                <w:sz w:val="24"/>
                <w:szCs w:val="24"/>
              </w:rPr>
              <w:fldChar w:fldCharType="end"/>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Economic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With the steady progress of the resumption of work and production, the growth rate of all industries rebounded significantly, with industry being the most prominent. Some industries took the lead in actively replenishment of inventories, which boosted industrial production growth to the pre-epidemic level in the second quarter.</w:t>
            </w:r>
          </w:p>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With the Chinese economies stepped into the new normal area, after the temporary economic downturn caused by covid-19, the economic growth will stabilized at a two-digit pace of growth, featured with higher quality and sustainability in the long-term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Buheji","given":"Mohamed","non-dropping-particle":"","parse-names":false,"suffix":""},{"dropping-particle":"","family":"Ahmed","given":"Dunya","non-dropping-particle":"","parse-names":false,"suffix":""}],"container-title":"Business management and strategy","id":"ITEM-1","issue":"1","issued":{"date-parts":[["2020"]]},"page":"160-179","publisher":"Macrothink Institute","title":"Planning for'The New Normal': Foresight and Management of the Possibilities of Socio-economic Spillovers due to COVID-19 Pandemic","type":"article-journal","volume":"11"},"uris":["http://www.mendeley.com/documents/?uuid=bce6ff21-4eee-48fa-8d10-a12f2c7b727f"]},{"id":"ITEM-2","itemData":{"ISBN":"1476-5284","author":[{"dropping-particle":"","family":"Zhang","given":"Jing","non-dropping-particle":"","parse-names":false,"suffix":""},{"dropping-particle":"","family":"Chen","given":"Jian","non-dropping-particle":"","parse-names":false,"suffix":""}],"container-title":"Journal of Chinese Economic and Business Studies","id":"ITEM-2","issue":"1","issued":{"date-parts":[["2017"]]},"page":"1-4","publisher":"Taylor &amp; Francis","title":"Introduction to China</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s new normal economy","type":"article","volume":"15"},"uris":["http://www.mendeley.com/documents/?uuid=dd76ec89-bebe-4eb8-b40a-39a0ffa1ddba"]}],"mendeley":{"formattedCitation":"(Zhang and Chen, 2017; Buheji and Ahmed, 2020)","plainTextFormattedCitation":"(Zhang and Chen, 2017; Buheji and Ahmed, 2020)","previouslyFormattedCitation":"(Zhang and Chen, 2017; Buheji and Ahmed, 2020)"},"properties":{"noteIndex":0},"schema":"https://github.com/citation-style-language/schema/raw/master/csl-citation.json"}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(Zhang and Chen, 2017; Buheji and Ahmed, 2020)</w:t>
            </w:r>
            <w:r w:rsidRPr="00542074">
              <w:rPr>
                <w:rFonts w:ascii="Times New Roman" w:hAnsi="Times New Roman" w:cs="Times New Roman"/>
                <w:sz w:val="24"/>
                <w:szCs w:val="24"/>
              </w:rPr>
              <w:fldChar w:fldCharType="end"/>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Social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At present, emerging middle-class consumers in China's automobile market are becoming younger, more networked and more open. They not only pursue comfort but also pay attention to customer experience and product heterogeneity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0301-4215","author":[{"dropping-particle":"","family":"Ji","given":"Dandan","non-dropping-particle":"","parse-names":false,"suffix":""},{"dropping-particle":"","family":"Gan","given":"Hongcheng","non-dropping-particle":"","parse-names":false,"suffix":""}],"container-title":"Energy Policy","id":"ITEM-1","issued":{"date-parts":[["2022"]]},"page":"112954","publisher":"Elsevier","title":"Effects of providing total cost of ownership information on below-40 young consumers</w:instrText>
            </w:r>
            <w:r w:rsidRPr="00542074">
              <w:rPr>
                <w:rFonts w:ascii="Malgun Gothic" w:hAnsi="Malgun Gothic" w:cs="Malgun Gothic"/>
                <w:sz w:val="24"/>
                <w:szCs w:val="24"/>
              </w:rPr>
              <w:instrText>��</w:instrText>
            </w:r>
            <w:r w:rsidRPr="00542074">
              <w:rPr>
                <w:rFonts w:ascii="Times New Roman" w:hAnsi="Times New Roman" w:cs="Times New Roman"/>
                <w:sz w:val="24"/>
                <w:szCs w:val="24"/>
              </w:rPr>
              <w:instrText xml:space="preserve"> intent to purchase an electric vehicle: A case study in China","type":"article-journal","volume":"165"},"uris":["http://www.mendeley.com/documents/?uuid=f709118b-7929-4c3c-a6f0-a548932841c0"]}],"mendeley":{"formattedCitation":"(Ji and Gan, 2022)","plainTextFormattedCitation":"(Ji and Gan, 2022)","previouslyFormattedCitation":"(Ji and Gan, 2022)"},"properties":{"noteIndex":0},"schema":"https://github.com/citation-style-language/schema/raw/master/csl-citation.json"}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(Ji and Gan, 2022)</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Whether automobile products can meet the </w:t>
            </w:r>
            <w:r w:rsidRPr="00542074">
              <w:rPr>
                <w:rFonts w:ascii="Times New Roman" w:hAnsi="Times New Roman" w:cs="Times New Roman"/>
                <w:sz w:val="24"/>
                <w:szCs w:val="24"/>
              </w:rPr>
              <w:lastRenderedPageBreak/>
              <w:t>more picky and diversified needs of user groups is particularly important.</w:t>
            </w:r>
          </w:p>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At the same time, the urbanization scheme has expanded to tier 2 and tier 3 developing cities in China as tier 1 developed cities get highly saturated in terms of population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ISSN":"1364-0321","author":[{"dropping-particle":"","family":"Lin","given":"Boqiang","non-dropping-particle":"","parse-names":false,"suffix":""},{"dropping-particle":"","family":"Du","given":"Zhili","non-dropping-particle":"","parse-names":false,"suffix":""}],"container-title":"Renewable and Sustainable Energy Reviews","id":"ITEM-1","issued":{"date-parts":[["2015"]]},"page":"1693-1701","publisher":"Elsevier","title":"How China  s urbanization impacts transport energy consumption in the face of income disparity","type":"article-journal","volume":"52"},"uris":["http://www.mendeley.com/documents/?uuid=03f6dd9c-bb24-4877-939b-a3f87e766be4"]}],"mendeley":{"formattedCitation":"(Lin and Du, 2015)","plainTextFormattedCitation":"(Lin and Du, 2015)","previouslyFormattedCitation":"(Lin and Du, 2015)"},"properties":{"noteIndex":0},"schema":"https://github.com/citation-style-language/schema/raw/master/csl-citation.json"}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(Lin and Du, 2015)</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demands of passenger cars in the less developed cities will be boosted in the future. </w:t>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lastRenderedPageBreak/>
              <w:t xml:space="preserve">Technological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The electric vehicles intelligence and connectivity has been future orientation of the industry, and it requires cross-disciplinary collaboration with expertise from other fields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s://www.mckinsey.com/industries/automotive-and-assembly/our-insights/why-the-automotive-future-is-electric","accessed":{"date-parts":[["2022","6","26"]]},"author":[{"dropping-particle":"","family":"McKinsey","given":"","non-dropping-particle":"","parse-names":false,"suffix":""}],"id":"ITEM-1","issued":{"date-parts":[["2021"]]},"title":"Why the future involves e-mobility ","type":"webpage"},"uris":["http://www.mendeley.com/documents/?uuid=1ac0b85a-ddf6-3300-b87e-c14f070a23fd"]}],"mendeley":{"formattedCitation":"(McKinsey, 2021)","plainTextFormattedCitation":"(McKinsey, 2021)","previouslyFormattedCitation":"(McKinsey,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(McKinsey,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The emerging technologies such as artificial intelligence, internet of things, provides more possibility to integrate into the NEVs. </w:t>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Environmental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In the automobile industry, after the outbreak of the epidemic, the attention to the overall air quality in cars has been significantly increased, and at the same time, the environmental awareness of automobile consumers has been constantly strengthened, and the concept of "low-carbon life" has been accepted by more and more consumers.</w:t>
            </w:r>
          </w:p>
        </w:tc>
      </w:tr>
      <w:tr w:rsidR="00A3097C" w:rsidRPr="00542074" w:rsidTr="009B4259">
        <w:tc>
          <w:tcPr>
            <w:tcW w:w="183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Legal </w:t>
            </w:r>
          </w:p>
        </w:tc>
        <w:tc>
          <w:tcPr>
            <w:tcW w:w="7898"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The intellectual property protection in China has been relatively weak compared to other developed economies, resulting in large scale property issues in the research and development process of NEVs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{"citationItems":[{"id":"ITEM-1","itemData":{"URL":"https://www.scmp.com/news/china/politics/article/3132363/why-chinas-intellectual-property-protection-matters-beijing-and","accessed":{"date-parts":[["2022","6","26"]]},"author":[{"dropping-particle":"","family":"South China Morning Post","given":"","non-dropping-particle":"","parse-names":false,"suffix":""}],"id":"ITEM-1","issued":{"date-parts":[["2021"]]},"title":"Why China’s intellectual property protection matters to Beijing and Washington","type":"webpage"},"uris":["http://www.mendeley.com/documents/?uuid=e70fb43c-4d3e-348d-ad6b-1ff41f3329f1"]}],"mendeley":{"formattedCitation":"(South China Morning Post, 2021)","plainTextFormattedCitation":"(South China Morning Post, 2021)","previouslyFormattedCitation":"(South China Morning Post,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(South China Morning Post,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w:t>
            </w:r>
          </w:p>
        </w:tc>
      </w:tr>
    </w:tbl>
    <w:p w:rsidR="00A3097C" w:rsidRPr="00542074" w:rsidRDefault="00A3097C" w:rsidP="00A3097C">
      <w:pPr>
        <w:spacing w:beforeLines="50" w:before="156" w:afterLines="100" w:after="312" w:line="360" w:lineRule="auto"/>
        <w:rPr>
          <w:rFonts w:ascii="Times New Roman" w:hAnsi="Times New Roman" w:cs="Times New Roman"/>
          <w:sz w:val="24"/>
          <w:szCs w:val="24"/>
        </w:rPr>
      </w:pPr>
    </w:p>
    <w:p w:rsidR="00A3097C" w:rsidRPr="00542074" w:rsidRDefault="00A3097C" w:rsidP="00A3097C">
      <w:pPr>
        <w:pStyle w:val="2"/>
        <w:spacing w:beforeLines="50" w:before="156" w:afterLines="100" w:after="312" w:line="360" w:lineRule="auto"/>
        <w:rPr>
          <w:rFonts w:ascii="Times New Roman" w:hAnsi="Times New Roman" w:cs="Times New Roman"/>
        </w:rPr>
      </w:pPr>
      <w:bookmarkStart w:id="17" w:name="_Toc107175842"/>
      <w:r w:rsidRPr="00542074">
        <w:rPr>
          <w:rFonts w:ascii="Times New Roman" w:hAnsi="Times New Roman" w:cs="Times New Roman"/>
        </w:rPr>
        <w:lastRenderedPageBreak/>
        <w:t xml:space="preserve">Appendix 2: </w:t>
      </w:r>
      <w:r>
        <w:rPr>
          <w:rFonts w:ascii="Times New Roman" w:hAnsi="Times New Roman" w:cs="Times New Roman"/>
        </w:rPr>
        <w:t>F</w:t>
      </w:r>
      <w:r w:rsidRPr="00542074">
        <w:rPr>
          <w:rFonts w:ascii="Times New Roman" w:hAnsi="Times New Roman" w:cs="Times New Roman"/>
        </w:rPr>
        <w:t>ull version of SWOT analysis</w:t>
      </w:r>
      <w:bookmarkEnd w:id="17"/>
      <w:r w:rsidRPr="00542074">
        <w:rPr>
          <w:rFonts w:ascii="Times New Roman" w:hAnsi="Times New Roman" w:cs="Times New Roman"/>
        </w:rPr>
        <w:t xml:space="preserve"> </w:t>
      </w:r>
    </w:p>
    <w:tbl>
      <w:tblPr>
        <w:tblStyle w:val="a5"/>
        <w:tblW w:w="0" w:type="auto"/>
        <w:tblLook w:val="04A0" w:firstRow="1" w:lastRow="0" w:firstColumn="1" w:lastColumn="0" w:noHBand="0" w:noVBand="1"/>
      </w:tblPr>
      <w:tblGrid>
        <w:gridCol w:w="1696"/>
        <w:gridCol w:w="8040"/>
      </w:tblGrid>
      <w:tr w:rsidR="00A3097C" w:rsidRPr="00542074" w:rsidTr="009B4259">
        <w:tc>
          <w:tcPr>
            <w:tcW w:w="1696"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SWOT factors </w:t>
            </w:r>
          </w:p>
        </w:tc>
        <w:tc>
          <w:tcPr>
            <w:tcW w:w="8040"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Implications </w:t>
            </w:r>
          </w:p>
        </w:tc>
      </w:tr>
      <w:tr w:rsidR="00A3097C" w:rsidRPr="00542074" w:rsidTr="009B4259">
        <w:tc>
          <w:tcPr>
            <w:tcW w:w="1696"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Strengths </w:t>
            </w:r>
          </w:p>
        </w:tc>
        <w:tc>
          <w:tcPr>
            <w:tcW w:w="8040" w:type="dxa"/>
          </w:tcPr>
          <w:p w:rsidR="00A3097C" w:rsidRPr="00542074" w:rsidRDefault="00A3097C" w:rsidP="009B4259">
            <w:pPr>
              <w:pStyle w:val="a4"/>
              <w:numPr>
                <w:ilvl w:val="0"/>
                <w:numId w:val="2"/>
              </w:numPr>
              <w:spacing w:beforeLines="50" w:before="156" w:afterLines="100" w:after="312" w:line="360" w:lineRule="auto"/>
              <w:ind w:firstLineChars="0"/>
              <w:rPr>
                <w:rFonts w:ascii="Times New Roman" w:hAnsi="Times New Roman" w:cs="Times New Roman"/>
                <w:sz w:val="24"/>
                <w:szCs w:val="24"/>
              </w:rPr>
            </w:pPr>
            <w:r w:rsidRPr="00542074">
              <w:rPr>
                <w:rFonts w:ascii="Times New Roman" w:hAnsi="Times New Roman" w:cs="Times New Roman"/>
                <w:sz w:val="24"/>
                <w:szCs w:val="24"/>
              </w:rPr>
              <w:t xml:space="preserve">Reputation and expertise, as well as financial strengths: Relying on its strong system strength, the company actively sought to create changes and continued to make efforts with its three brands, with total annual terminal sales of 2,161,888 units (including Audi imports), an increase of 1.5% year-on-year, becoming the only domestic passenger car company whose production and sales exceeded 2 million units in 2019 and reigning as China's passenger car market sales champion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{"citationItems":[{"id":"ITEM-1","itemData":{"author":[{"dropping-particle":"","family":"FAW-Volkswagen","given":"","non-dropping-particle":"","parse-names":false,"suffix":""}],"id":"ITEM-1","issued":{"date-parts":[["2021"]]},"title":"FAW-Volkswagen Annual Report 2020","type":"report"},"uris":["http://www.mendeley.com/documents/?uuid=0b04bdd9-6ec6-4bc7-b825-0a4a74d8c5b9"]}],"mendeley":{"formattedCitation":"(FAW-Volkswagen, 2021)","plainTextFormattedCitation":"(FAW-Volkswagen, 2021)","previouslyFormattedCitation":"(FAW-Volkswagen, 2021)"},"properties":{"noteIndex":0},"schema":"https://github.com/citation-style-language/schema/raw/master/csl-citation.json"}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(FAW-Volkswagen, 2021)</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w:t>
            </w:r>
          </w:p>
        </w:tc>
      </w:tr>
      <w:tr w:rsidR="00A3097C" w:rsidRPr="00542074" w:rsidTr="009B4259">
        <w:tc>
          <w:tcPr>
            <w:tcW w:w="1696"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Weaknesses </w:t>
            </w:r>
          </w:p>
        </w:tc>
        <w:tc>
          <w:tcPr>
            <w:tcW w:w="8040" w:type="dxa"/>
          </w:tcPr>
          <w:p w:rsidR="00A3097C" w:rsidRPr="00542074" w:rsidRDefault="00A3097C" w:rsidP="009B4259">
            <w:pPr>
              <w:pStyle w:val="a4"/>
              <w:numPr>
                <w:ilvl w:val="0"/>
                <w:numId w:val="2"/>
              </w:numPr>
              <w:spacing w:beforeLines="50" w:before="156" w:afterLines="100" w:after="312" w:line="360" w:lineRule="auto"/>
              <w:ind w:firstLineChars="0"/>
              <w:rPr>
                <w:rFonts w:ascii="Times New Roman" w:hAnsi="Times New Roman" w:cs="Times New Roman"/>
                <w:sz w:val="24"/>
                <w:szCs w:val="24"/>
              </w:rPr>
            </w:pPr>
            <w:r w:rsidRPr="00542074">
              <w:rPr>
                <w:rFonts w:ascii="Times New Roman" w:hAnsi="Times New Roman" w:cs="Times New Roman"/>
                <w:sz w:val="24"/>
                <w:szCs w:val="24"/>
              </w:rPr>
              <w:t xml:space="preserve">Reliance on the parent company in the NEV sector: As a joint venture, FAW-Volkswagen can only follow the German parent company's product launch to plan its future new energy models, but there is no way to truly enhance its own strength from the new energy research and development capabilities. Take the product development of Audi A6Le-tron as an example, the test of the prototype car in the R&amp;D stage needs to be sent to Germany for the whole car, and all the electrical function debugging and technical changes need German support to complete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{"citationItems":[{"id":"ITEM-1","itemData":{"URL":"https://www.sixthtone.com/news/1009921/volkswagens-ev-missteps-in-china","accessed":{"date-parts":[["2022","6","26"]]},"author":[{"dropping-particle":"","family":"Six Tones","given":"","non-dropping-particle":"","parse-names":false,"suffix":""}],"id":"ITEM-1","issued":{"date-parts":[["2022"]]},"title":"Volkswagen’s EV Missteps in China","type":"webpage"},"uris":["http://www.mendeley.com/documents/?uuid=9777266a-db7f-38e3-a654-e7c3ddae2223"]}],"mendeley":{"formattedCitation":"(Six Tones, 2022)","plainTextFormattedCitation":"(Six Tones, 2022)","previouslyFormattedCitation":"(Six Tones, 2022)"},"properties":{"noteIndex":0},"schema":"https://github.com/citation-style-language/schema/raw/master/csl-citation.json"}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(Six Tones, 2022)</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Then as the core system of research and development, in the strategic system of new energy vehicle development, did not play a proper role, and to be fully prepared.</w:t>
            </w:r>
          </w:p>
        </w:tc>
      </w:tr>
      <w:tr w:rsidR="00A3097C" w:rsidRPr="00542074" w:rsidTr="009B4259">
        <w:tc>
          <w:tcPr>
            <w:tcW w:w="1696"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t xml:space="preserve">Opportunities: </w:t>
            </w:r>
          </w:p>
        </w:tc>
        <w:tc>
          <w:tcPr>
            <w:tcW w:w="8040" w:type="dxa"/>
          </w:tcPr>
          <w:p w:rsidR="00A3097C" w:rsidRPr="00542074" w:rsidRDefault="00A3097C" w:rsidP="009B4259">
            <w:pPr>
              <w:pStyle w:val="a4"/>
              <w:numPr>
                <w:ilvl w:val="0"/>
                <w:numId w:val="2"/>
              </w:numPr>
              <w:spacing w:beforeLines="50" w:before="156" w:afterLines="100" w:after="312" w:line="360" w:lineRule="auto"/>
              <w:ind w:firstLineChars="0"/>
              <w:rPr>
                <w:rFonts w:ascii="Times New Roman" w:hAnsi="Times New Roman" w:cs="Times New Roman"/>
                <w:sz w:val="24"/>
                <w:szCs w:val="24"/>
              </w:rPr>
            </w:pPr>
            <w:r w:rsidRPr="00542074">
              <w:rPr>
                <w:rFonts w:ascii="Times New Roman" w:hAnsi="Times New Roman" w:cs="Times New Roman"/>
                <w:sz w:val="24"/>
                <w:szCs w:val="24"/>
              </w:rPr>
              <w:t xml:space="preserve">Significant demands in NEVs: Compared to before, consumers have more expectations for new energy vehicles, including intelligent and personalized experience, the intelligent + electric model will become mainstream, and low-end new energy vehicles that change the power model will see growth in </w:t>
            </w:r>
            <w:r w:rsidRPr="00542074">
              <w:rPr>
                <w:rFonts w:ascii="Times New Roman" w:hAnsi="Times New Roman" w:cs="Times New Roman"/>
                <w:sz w:val="24"/>
                <w:szCs w:val="24"/>
              </w:rPr>
              <w:lastRenderedPageBreak/>
              <w:t xml:space="preserve">third and fourth-tier cities </w:t>
            </w:r>
            <w:r w:rsidRPr="00542074">
              <w:rPr>
                <w:rFonts w:ascii="Times New Roman" w:hAnsi="Times New Roman" w:cs="Times New Roman"/>
                <w:sz w:val="24"/>
                <w:szCs w:val="24"/>
              </w:rPr>
              <w:fldChar w:fldCharType="begin" w:fldLock="1"/>
            </w:r>
            <w:r w:rsidRPr="00542074">
              <w:rPr>
                <w:rFonts w:ascii="Times New Roman" w:hAnsi="Times New Roman" w:cs="Times New Roman"/>
                <w:sz w:val="24"/>
                <w:szCs w:val="24"/>
              </w:rPr>
              <w:instrText>ADDIN CSL_CITATION {"citationItems":[{"id":"ITEM-1","itemData":{"author":[{"dropping-particle":"","family":"Arena","given":"Fabio","non-dropping-particle":"","parse-names":false,"suffix":""},{"dropping-particle":"","family":"Pau","given":"Giovanni","non-dropping-particle":"","parse-names":false,"suffix":""},{"dropping-particle":"","family":"Severino","given":"Alessandro","non-dropping-particle":"","parse-names":false,"suffix":""}],"container-title":"Infrastructures","id":"ITEM-1","issue":"7","issued":{"date-parts":[["2020"]]},"page":"53-69","publisher":"Multidisciplinary Digital Publishing Institute","title":"An Overview on the Current Status and Future Perspectives of Smart Cars","type":"article-journal","volume":"5"},"uris":["http://www.mendeley.com/documents/?uuid=8918402a-2baf-4dbb-ab03-43faf09d688e"]}],"mendeley":{"formattedCitation":"(Arena, Pau and Severino, 2020)","plainTextFormattedCitation":"(Arena, Pau and Severino, 2020)","previouslyFormattedCitation":"(Arena, Pau and Severino, 2020)"},"properties":{"noteIndex":0},"schema":"https://github.com/citation-style-language/schema/raw/master/csl-citation.json"}</w:instrText>
            </w:r>
            <w:r w:rsidRPr="00542074">
              <w:rPr>
                <w:rFonts w:ascii="Times New Roman" w:hAnsi="Times New Roman" w:cs="Times New Roman"/>
                <w:sz w:val="24"/>
                <w:szCs w:val="24"/>
              </w:rPr>
              <w:fldChar w:fldCharType="separate"/>
            </w:r>
            <w:r w:rsidRPr="00542074">
              <w:rPr>
                <w:rFonts w:ascii="Times New Roman" w:hAnsi="Times New Roman" w:cs="Times New Roman"/>
                <w:noProof/>
                <w:sz w:val="24"/>
                <w:szCs w:val="24"/>
              </w:rPr>
              <w:t>(Arena, Pau and Severino, 2020)</w:t>
            </w:r>
            <w:r w:rsidRPr="00542074">
              <w:rPr>
                <w:rFonts w:ascii="Times New Roman" w:hAnsi="Times New Roman" w:cs="Times New Roman"/>
                <w:sz w:val="24"/>
                <w:szCs w:val="24"/>
              </w:rPr>
              <w:fldChar w:fldCharType="end"/>
            </w:r>
            <w:r w:rsidRPr="00542074">
              <w:rPr>
                <w:rFonts w:ascii="Times New Roman" w:hAnsi="Times New Roman" w:cs="Times New Roman"/>
                <w:sz w:val="24"/>
                <w:szCs w:val="24"/>
              </w:rPr>
              <w:t xml:space="preserve">. </w:t>
            </w:r>
          </w:p>
          <w:p w:rsidR="00A3097C" w:rsidRPr="00542074" w:rsidRDefault="00A3097C" w:rsidP="009B4259">
            <w:pPr>
              <w:pStyle w:val="a4"/>
              <w:spacing w:beforeLines="50" w:before="156" w:afterLines="100" w:after="312" w:line="360" w:lineRule="auto"/>
              <w:ind w:left="360" w:firstLineChars="0" w:firstLine="0"/>
              <w:rPr>
                <w:rFonts w:ascii="Times New Roman" w:hAnsi="Times New Roman" w:cs="Times New Roman"/>
                <w:sz w:val="24"/>
                <w:szCs w:val="24"/>
              </w:rPr>
            </w:pPr>
            <w:r w:rsidRPr="00542074">
              <w:rPr>
                <w:rFonts w:ascii="Times New Roman" w:hAnsi="Times New Roman" w:cs="Times New Roman"/>
                <w:sz w:val="24"/>
                <w:szCs w:val="24"/>
              </w:rPr>
              <w:t xml:space="preserve">China remains as the biggest single market for NEVs over the whole world with the strongest growth momentum due to the its huge population base and massive NEV demand . </w:t>
            </w:r>
          </w:p>
        </w:tc>
      </w:tr>
      <w:tr w:rsidR="00A3097C" w:rsidRPr="00542074" w:rsidTr="009B4259">
        <w:tc>
          <w:tcPr>
            <w:tcW w:w="1696" w:type="dxa"/>
          </w:tcPr>
          <w:p w:rsidR="00A3097C" w:rsidRPr="00542074" w:rsidRDefault="00A3097C" w:rsidP="009B4259">
            <w:pPr>
              <w:spacing w:beforeLines="50" w:before="156" w:afterLines="100" w:after="312" w:line="360" w:lineRule="auto"/>
              <w:rPr>
                <w:rFonts w:ascii="Times New Roman" w:hAnsi="Times New Roman" w:cs="Times New Roman"/>
                <w:sz w:val="24"/>
                <w:szCs w:val="24"/>
              </w:rPr>
            </w:pPr>
            <w:r w:rsidRPr="00542074">
              <w:rPr>
                <w:rFonts w:ascii="Times New Roman" w:hAnsi="Times New Roman" w:cs="Times New Roman"/>
                <w:sz w:val="24"/>
                <w:szCs w:val="24"/>
              </w:rPr>
              <w:lastRenderedPageBreak/>
              <w:t xml:space="preserve">Threats: </w:t>
            </w:r>
          </w:p>
        </w:tc>
        <w:tc>
          <w:tcPr>
            <w:tcW w:w="8040" w:type="dxa"/>
          </w:tcPr>
          <w:p w:rsidR="00A3097C" w:rsidRPr="00542074" w:rsidRDefault="00A3097C" w:rsidP="009B4259">
            <w:pPr>
              <w:pStyle w:val="a4"/>
              <w:numPr>
                <w:ilvl w:val="0"/>
                <w:numId w:val="2"/>
              </w:numPr>
              <w:spacing w:beforeLines="50" w:before="156" w:afterLines="100" w:after="312" w:line="360" w:lineRule="auto"/>
              <w:ind w:firstLineChars="0"/>
              <w:rPr>
                <w:rFonts w:ascii="Times New Roman" w:hAnsi="Times New Roman" w:cs="Times New Roman"/>
                <w:sz w:val="24"/>
                <w:szCs w:val="24"/>
              </w:rPr>
            </w:pPr>
            <w:r w:rsidRPr="00542074">
              <w:rPr>
                <w:rFonts w:ascii="Times New Roman" w:hAnsi="Times New Roman" w:cs="Times New Roman"/>
                <w:sz w:val="24"/>
                <w:szCs w:val="24"/>
              </w:rPr>
              <w:t>Fierce competition in the NEVs sector: indicated in the figure 1. The company faces intense competition from domestic brands and international brands which already established brand perception and awareness in the Chinese market, and which already developed a completed value chain from research &amp; development to distribution, and after-sale services.</w:t>
            </w:r>
          </w:p>
        </w:tc>
      </w:tr>
    </w:tbl>
    <w:p w:rsidR="00A3097C" w:rsidRPr="00542074" w:rsidRDefault="00A3097C" w:rsidP="00A3097C">
      <w:pPr>
        <w:spacing w:beforeLines="50" w:before="156" w:afterLines="100" w:after="312" w:line="360" w:lineRule="auto"/>
        <w:rPr>
          <w:rFonts w:ascii="Times New Roman" w:hAnsi="Times New Roman" w:cs="Times New Roman"/>
        </w:rPr>
      </w:pPr>
    </w:p>
    <w:p w:rsidR="00A3097C" w:rsidRPr="00542074" w:rsidRDefault="00A3097C" w:rsidP="00A3097C">
      <w:pPr>
        <w:spacing w:beforeLines="50" w:before="156" w:afterLines="100" w:after="312" w:line="360" w:lineRule="auto"/>
        <w:rPr>
          <w:rFonts w:ascii="Times New Roman" w:hAnsi="Times New Roman" w:cs="Times New Roman"/>
        </w:rPr>
      </w:pPr>
    </w:p>
    <w:p w:rsidR="0055143B" w:rsidRDefault="0055143B"/>
    <w:sectPr w:rsidR="0055143B" w:rsidSect="00542074">
      <w:footerReference w:type="default" r:id="rId12"/>
      <w:pgSz w:w="11906" w:h="16838"/>
      <w:pgMar w:top="1440" w:right="1080" w:bottom="1440" w:left="1080" w:header="851" w:footer="992" w:gutter="0"/>
      <w:pgNumType w:start="1"/>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3F08" w:rsidRDefault="000D3F08" w:rsidP="00A3097C">
      <w:pPr>
        <w:spacing w:after="0" w:line="240" w:lineRule="auto"/>
      </w:pPr>
      <w:r>
        <w:separator/>
      </w:r>
    </w:p>
  </w:endnote>
  <w:endnote w:type="continuationSeparator" w:id="0">
    <w:p w:rsidR="000D3F08" w:rsidRDefault="000D3F08" w:rsidP="00A30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Malgun Gothic">
    <w:panose1 w:val="020B0503020000020004"/>
    <w:charset w:val="81"/>
    <w:family w:val="swiss"/>
    <w:pitch w:val="variable"/>
    <w:sig w:usb0="900002AF" w:usb1="09D77CFB" w:usb2="00000012" w:usb3="00000000" w:csb0="00080001" w:csb1="00000000"/>
  </w:font>
  <w:font w:name="等线">
    <w:altName w:val="微软雅黑"/>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42074" w:rsidRDefault="000D3F08">
    <w:pPr>
      <w:pStyle w:val="a7"/>
      <w:jc w:val="right"/>
    </w:pPr>
  </w:p>
  <w:p w:rsidR="00542074" w:rsidRDefault="000D3F08">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07788932"/>
      <w:docPartObj>
        <w:docPartGallery w:val="Page Numbers (Bottom of Page)"/>
        <w:docPartUnique/>
      </w:docPartObj>
    </w:sdtPr>
    <w:sdtEndPr/>
    <w:sdtContent>
      <w:p w:rsidR="00542074" w:rsidRDefault="00885772">
        <w:pPr>
          <w:pStyle w:val="a7"/>
          <w:jc w:val="right"/>
        </w:pPr>
        <w:r>
          <w:fldChar w:fldCharType="begin"/>
        </w:r>
        <w:r>
          <w:instrText>PAGE   \* MERGEFORMAT</w:instrText>
        </w:r>
        <w:r>
          <w:fldChar w:fldCharType="separate"/>
        </w:r>
        <w:r w:rsidR="00B743B3" w:rsidRPr="00B743B3">
          <w:rPr>
            <w:noProof/>
            <w:lang w:val="zh-CN"/>
          </w:rPr>
          <w:t>15</w:t>
        </w:r>
        <w:r>
          <w:fldChar w:fldCharType="end"/>
        </w:r>
      </w:p>
    </w:sdtContent>
  </w:sdt>
  <w:p w:rsidR="00542074" w:rsidRDefault="000D3F08">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3F08" w:rsidRDefault="000D3F08" w:rsidP="00A3097C">
      <w:pPr>
        <w:spacing w:after="0" w:line="240" w:lineRule="auto"/>
      </w:pPr>
      <w:r>
        <w:separator/>
      </w:r>
    </w:p>
  </w:footnote>
  <w:footnote w:type="continuationSeparator" w:id="0">
    <w:p w:rsidR="000D3F08" w:rsidRDefault="000D3F08" w:rsidP="00A309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3524AA"/>
    <w:multiLevelType w:val="hybridMultilevel"/>
    <w:tmpl w:val="54E4256E"/>
    <w:lvl w:ilvl="0" w:tplc="13924B8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
    <w:nsid w:val="350E1D68"/>
    <w:multiLevelType w:val="hybridMultilevel"/>
    <w:tmpl w:val="55E0D398"/>
    <w:lvl w:ilvl="0" w:tplc="16B6C612">
      <w:start w:val="2"/>
      <w:numFmt w:val="bullet"/>
      <w:lvlText w:val="-"/>
      <w:lvlJc w:val="left"/>
      <w:pPr>
        <w:ind w:left="360" w:hanging="360"/>
      </w:pPr>
      <w:rPr>
        <w:rFonts w:ascii="Verdana" w:eastAsiaTheme="minorEastAsia" w:hAnsi="Verdana" w:cstheme="minorBidi"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nsid w:val="37E20CBD"/>
    <w:multiLevelType w:val="multilevel"/>
    <w:tmpl w:val="DF5EB380"/>
    <w:lvl w:ilvl="0">
      <w:start w:val="1"/>
      <w:numFmt w:val="decimal"/>
      <w:lvlText w:val="%1."/>
      <w:lvlJc w:val="left"/>
      <w:pPr>
        <w:ind w:left="360" w:hanging="360"/>
      </w:pPr>
      <w:rPr>
        <w:rFonts w:hint="default"/>
      </w:rPr>
    </w:lvl>
    <w:lvl w:ilvl="1">
      <w:start w:val="1"/>
      <w:numFmt w:val="decimal"/>
      <w:isLgl/>
      <w:lvlText w:val="%1.%2"/>
      <w:lvlJc w:val="left"/>
      <w:pPr>
        <w:ind w:left="552" w:hanging="55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3">
    <w:nsid w:val="3B6D1128"/>
    <w:multiLevelType w:val="hybridMultilevel"/>
    <w:tmpl w:val="CE506E64"/>
    <w:lvl w:ilvl="0" w:tplc="13924B84">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22C0"/>
    <w:rsid w:val="000D3F08"/>
    <w:rsid w:val="0055143B"/>
    <w:rsid w:val="00672931"/>
    <w:rsid w:val="008822C0"/>
    <w:rsid w:val="00885772"/>
    <w:rsid w:val="00A3097C"/>
    <w:rsid w:val="00B743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097C"/>
    <w:pPr>
      <w:spacing w:after="120" w:line="264" w:lineRule="auto"/>
    </w:pPr>
    <w:rPr>
      <w:kern w:val="0"/>
      <w:szCs w:val="21"/>
    </w:rPr>
  </w:style>
  <w:style w:type="paragraph" w:styleId="1">
    <w:name w:val="heading 1"/>
    <w:basedOn w:val="a"/>
    <w:next w:val="a"/>
    <w:link w:val="1Char"/>
    <w:uiPriority w:val="9"/>
    <w:qFormat/>
    <w:rsid w:val="00A3097C"/>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2">
    <w:name w:val="heading 2"/>
    <w:basedOn w:val="a"/>
    <w:next w:val="a"/>
    <w:link w:val="2Char"/>
    <w:uiPriority w:val="9"/>
    <w:unhideWhenUsed/>
    <w:qFormat/>
    <w:rsid w:val="00A3097C"/>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3">
    <w:name w:val="heading 3"/>
    <w:basedOn w:val="a"/>
    <w:next w:val="a"/>
    <w:link w:val="3Char"/>
    <w:uiPriority w:val="9"/>
    <w:unhideWhenUsed/>
    <w:qFormat/>
    <w:rsid w:val="00A3097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A3097C"/>
    <w:rPr>
      <w:rFonts w:asciiTheme="majorHAnsi" w:eastAsiaTheme="majorEastAsia" w:hAnsiTheme="majorHAnsi" w:cstheme="majorBidi"/>
      <w:color w:val="365F91" w:themeColor="accent1" w:themeShade="BF"/>
      <w:kern w:val="0"/>
      <w:sz w:val="36"/>
      <w:szCs w:val="36"/>
    </w:rPr>
  </w:style>
  <w:style w:type="character" w:customStyle="1" w:styleId="2Char">
    <w:name w:val="标题 2 Char"/>
    <w:basedOn w:val="a0"/>
    <w:link w:val="2"/>
    <w:uiPriority w:val="9"/>
    <w:rsid w:val="00A3097C"/>
    <w:rPr>
      <w:rFonts w:asciiTheme="majorHAnsi" w:eastAsiaTheme="majorEastAsia" w:hAnsiTheme="majorHAnsi" w:cstheme="majorBidi"/>
      <w:color w:val="365F91" w:themeColor="accent1" w:themeShade="BF"/>
      <w:kern w:val="0"/>
      <w:sz w:val="28"/>
      <w:szCs w:val="28"/>
    </w:rPr>
  </w:style>
  <w:style w:type="character" w:customStyle="1" w:styleId="3Char">
    <w:name w:val="标题 3 Char"/>
    <w:basedOn w:val="a0"/>
    <w:link w:val="3"/>
    <w:uiPriority w:val="9"/>
    <w:rsid w:val="00A3097C"/>
    <w:rPr>
      <w:rFonts w:asciiTheme="majorHAnsi" w:eastAsiaTheme="majorEastAsia" w:hAnsiTheme="majorHAnsi" w:cstheme="majorBidi"/>
      <w:color w:val="404040" w:themeColor="text1" w:themeTint="BF"/>
      <w:kern w:val="0"/>
      <w:sz w:val="26"/>
      <w:szCs w:val="26"/>
    </w:rPr>
  </w:style>
  <w:style w:type="paragraph" w:styleId="a3">
    <w:name w:val="Title"/>
    <w:basedOn w:val="a"/>
    <w:next w:val="a"/>
    <w:link w:val="Char"/>
    <w:uiPriority w:val="10"/>
    <w:qFormat/>
    <w:rsid w:val="00A3097C"/>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Char">
    <w:name w:val="标题 Char"/>
    <w:basedOn w:val="a0"/>
    <w:link w:val="a3"/>
    <w:uiPriority w:val="10"/>
    <w:rsid w:val="00A3097C"/>
    <w:rPr>
      <w:rFonts w:asciiTheme="majorHAnsi" w:eastAsiaTheme="majorEastAsia" w:hAnsiTheme="majorHAnsi" w:cstheme="majorBidi"/>
      <w:color w:val="365F91" w:themeColor="accent1" w:themeShade="BF"/>
      <w:spacing w:val="-7"/>
      <w:kern w:val="0"/>
      <w:sz w:val="80"/>
      <w:szCs w:val="80"/>
    </w:rPr>
  </w:style>
  <w:style w:type="paragraph" w:styleId="TOC">
    <w:name w:val="TOC Heading"/>
    <w:basedOn w:val="1"/>
    <w:next w:val="a"/>
    <w:uiPriority w:val="39"/>
    <w:unhideWhenUsed/>
    <w:qFormat/>
    <w:rsid w:val="00A3097C"/>
    <w:pPr>
      <w:outlineLvl w:val="9"/>
    </w:pPr>
  </w:style>
  <w:style w:type="paragraph" w:styleId="a4">
    <w:name w:val="List Paragraph"/>
    <w:basedOn w:val="a"/>
    <w:uiPriority w:val="34"/>
    <w:qFormat/>
    <w:rsid w:val="00A3097C"/>
    <w:pPr>
      <w:ind w:firstLineChars="200" w:firstLine="420"/>
    </w:pPr>
  </w:style>
  <w:style w:type="table" w:styleId="a5">
    <w:name w:val="Table Grid"/>
    <w:basedOn w:val="a1"/>
    <w:uiPriority w:val="39"/>
    <w:rsid w:val="00A3097C"/>
    <w:rPr>
      <w:kern w:val="0"/>
      <w:szCs w:val="2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1">
    <w:name w:val="Grid Table 4 Accent 1"/>
    <w:basedOn w:val="a1"/>
    <w:uiPriority w:val="49"/>
    <w:rsid w:val="00A3097C"/>
    <w:rPr>
      <w:kern w:val="0"/>
      <w:szCs w:val="21"/>
    </w:r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10">
    <w:name w:val="toc 1"/>
    <w:basedOn w:val="a"/>
    <w:next w:val="a"/>
    <w:autoRedefine/>
    <w:uiPriority w:val="39"/>
    <w:unhideWhenUsed/>
    <w:rsid w:val="00A3097C"/>
  </w:style>
  <w:style w:type="paragraph" w:styleId="20">
    <w:name w:val="toc 2"/>
    <w:basedOn w:val="a"/>
    <w:next w:val="a"/>
    <w:autoRedefine/>
    <w:uiPriority w:val="39"/>
    <w:unhideWhenUsed/>
    <w:rsid w:val="00A3097C"/>
    <w:pPr>
      <w:ind w:leftChars="200" w:left="420"/>
    </w:pPr>
  </w:style>
  <w:style w:type="paragraph" w:styleId="30">
    <w:name w:val="toc 3"/>
    <w:basedOn w:val="a"/>
    <w:next w:val="a"/>
    <w:autoRedefine/>
    <w:uiPriority w:val="39"/>
    <w:unhideWhenUsed/>
    <w:rsid w:val="00A3097C"/>
    <w:pPr>
      <w:ind w:leftChars="400" w:left="840"/>
    </w:pPr>
  </w:style>
  <w:style w:type="character" w:styleId="a6">
    <w:name w:val="Hyperlink"/>
    <w:basedOn w:val="a0"/>
    <w:uiPriority w:val="99"/>
    <w:unhideWhenUsed/>
    <w:rsid w:val="00A3097C"/>
    <w:rPr>
      <w:color w:val="0000FF" w:themeColor="hyperlink"/>
      <w:u w:val="single"/>
    </w:rPr>
  </w:style>
  <w:style w:type="paragraph" w:styleId="a7">
    <w:name w:val="footer"/>
    <w:basedOn w:val="a"/>
    <w:link w:val="Char0"/>
    <w:uiPriority w:val="99"/>
    <w:unhideWhenUsed/>
    <w:rsid w:val="00A3097C"/>
    <w:pPr>
      <w:tabs>
        <w:tab w:val="center" w:pos="4153"/>
        <w:tab w:val="right" w:pos="8306"/>
      </w:tabs>
      <w:snapToGrid w:val="0"/>
      <w:spacing w:line="240" w:lineRule="auto"/>
    </w:pPr>
    <w:rPr>
      <w:sz w:val="18"/>
      <w:szCs w:val="18"/>
    </w:rPr>
  </w:style>
  <w:style w:type="character" w:customStyle="1" w:styleId="Char0">
    <w:name w:val="页脚 Char"/>
    <w:basedOn w:val="a0"/>
    <w:link w:val="a7"/>
    <w:uiPriority w:val="99"/>
    <w:rsid w:val="00A3097C"/>
    <w:rPr>
      <w:kern w:val="0"/>
      <w:sz w:val="18"/>
      <w:szCs w:val="18"/>
    </w:rPr>
  </w:style>
  <w:style w:type="paragraph" w:styleId="a8">
    <w:name w:val="Balloon Text"/>
    <w:basedOn w:val="a"/>
    <w:link w:val="Char1"/>
    <w:uiPriority w:val="99"/>
    <w:semiHidden/>
    <w:unhideWhenUsed/>
    <w:rsid w:val="00A3097C"/>
    <w:pPr>
      <w:spacing w:after="0" w:line="240" w:lineRule="auto"/>
    </w:pPr>
    <w:rPr>
      <w:sz w:val="18"/>
      <w:szCs w:val="18"/>
    </w:rPr>
  </w:style>
  <w:style w:type="character" w:customStyle="1" w:styleId="Char1">
    <w:name w:val="批注框文本 Char"/>
    <w:basedOn w:val="a0"/>
    <w:link w:val="a8"/>
    <w:uiPriority w:val="99"/>
    <w:semiHidden/>
    <w:rsid w:val="00A3097C"/>
    <w:rPr>
      <w:kern w:val="0"/>
      <w:sz w:val="18"/>
      <w:szCs w:val="18"/>
    </w:rPr>
  </w:style>
  <w:style w:type="paragraph" w:styleId="a9">
    <w:name w:val="header"/>
    <w:basedOn w:val="a"/>
    <w:link w:val="Char2"/>
    <w:uiPriority w:val="99"/>
    <w:unhideWhenUsed/>
    <w:rsid w:val="00A3097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2">
    <w:name w:val="页眉 Char"/>
    <w:basedOn w:val="a0"/>
    <w:link w:val="a9"/>
    <w:uiPriority w:val="99"/>
    <w:rsid w:val="00A3097C"/>
    <w:rPr>
      <w:kern w:val="0"/>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A3097C"/>
    <w:pPr>
      <w:spacing w:after="120" w:line="264" w:lineRule="auto"/>
    </w:pPr>
    <w:rPr>
      <w:kern w:val="0"/>
      <w:szCs w:val="21"/>
    </w:rPr>
  </w:style>
  <w:style w:type="paragraph" w:styleId="1">
    <w:name w:val="heading 1"/>
    <w:basedOn w:val="a"/>
    <w:next w:val="a"/>
    <w:link w:val="1Char"/>
    <w:uiPriority w:val="9"/>
    <w:qFormat/>
    <w:rsid w:val="00A3097C"/>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2">
    <w:name w:val="heading 2"/>
    <w:basedOn w:val="a"/>
    <w:next w:val="a"/>
    <w:link w:val="2Char"/>
    <w:uiPriority w:val="9"/>
    <w:unhideWhenUsed/>
    <w:qFormat/>
    <w:rsid w:val="00A3097C"/>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3">
    <w:name w:val="heading 3"/>
    <w:basedOn w:val="a"/>
    <w:next w:val="a"/>
    <w:link w:val="3Char"/>
    <w:uiPriority w:val="9"/>
    <w:unhideWhenUsed/>
    <w:qFormat/>
    <w:rsid w:val="00A3097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A3097C"/>
    <w:rPr>
      <w:rFonts w:asciiTheme="majorHAnsi" w:eastAsiaTheme="majorEastAsia" w:hAnsiTheme="majorHAnsi" w:cstheme="majorBidi"/>
      <w:color w:val="365F91" w:themeColor="accent1" w:themeShade="BF"/>
      <w:kern w:val="0"/>
      <w:sz w:val="36"/>
      <w:szCs w:val="36"/>
    </w:rPr>
  </w:style>
  <w:style w:type="character" w:customStyle="1" w:styleId="2Char">
    <w:name w:val="标题 2 Char"/>
    <w:basedOn w:val="a0"/>
    <w:link w:val="2"/>
    <w:uiPriority w:val="9"/>
    <w:rsid w:val="00A3097C"/>
    <w:rPr>
      <w:rFonts w:asciiTheme="majorHAnsi" w:eastAsiaTheme="majorEastAsia" w:hAnsiTheme="majorHAnsi" w:cstheme="majorBidi"/>
      <w:color w:val="365F91" w:themeColor="accent1" w:themeShade="BF"/>
      <w:kern w:val="0"/>
      <w:sz w:val="28"/>
      <w:szCs w:val="28"/>
    </w:rPr>
  </w:style>
  <w:style w:type="character" w:customStyle="1" w:styleId="3Char">
    <w:name w:val="标题 3 Char"/>
    <w:basedOn w:val="a0"/>
    <w:link w:val="3"/>
    <w:uiPriority w:val="9"/>
    <w:rsid w:val="00A3097C"/>
    <w:rPr>
      <w:rFonts w:asciiTheme="majorHAnsi" w:eastAsiaTheme="majorEastAsia" w:hAnsiTheme="majorHAnsi" w:cstheme="majorBidi"/>
      <w:color w:val="404040" w:themeColor="text1" w:themeTint="BF"/>
      <w:kern w:val="0"/>
      <w:sz w:val="26"/>
      <w:szCs w:val="26"/>
    </w:rPr>
  </w:style>
  <w:style w:type="paragraph" w:styleId="a3">
    <w:name w:val="Title"/>
    <w:basedOn w:val="a"/>
    <w:next w:val="a"/>
    <w:link w:val="Char"/>
    <w:uiPriority w:val="10"/>
    <w:qFormat/>
    <w:rsid w:val="00A3097C"/>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character" w:customStyle="1" w:styleId="Char">
    <w:name w:val="标题 Char"/>
    <w:basedOn w:val="a0"/>
    <w:link w:val="a3"/>
    <w:uiPriority w:val="10"/>
    <w:rsid w:val="00A3097C"/>
    <w:rPr>
      <w:rFonts w:asciiTheme="majorHAnsi" w:eastAsiaTheme="majorEastAsia" w:hAnsiTheme="majorHAnsi" w:cstheme="majorBidi"/>
      <w:color w:val="365F91" w:themeColor="accent1" w:themeShade="BF"/>
      <w:spacing w:val="-7"/>
      <w:kern w:val="0"/>
      <w:sz w:val="80"/>
      <w:szCs w:val="80"/>
    </w:rPr>
  </w:style>
  <w:style w:type="paragraph" w:styleId="TOC">
    <w:name w:val="TOC Heading"/>
    <w:basedOn w:val="1"/>
    <w:next w:val="a"/>
    <w:uiPriority w:val="39"/>
    <w:unhideWhenUsed/>
    <w:qFormat/>
    <w:rsid w:val="00A3097C"/>
    <w:pPr>
      <w:outlineLvl w:val="9"/>
    </w:pPr>
  </w:style>
  <w:style w:type="paragraph" w:styleId="a4">
    <w:name w:val="List Paragraph"/>
    <w:basedOn w:val="a"/>
    <w:uiPriority w:val="34"/>
    <w:qFormat/>
    <w:rsid w:val="00A3097C"/>
    <w:pPr>
      <w:ind w:firstLineChars="200" w:firstLine="420"/>
    </w:pPr>
  </w:style>
  <w:style w:type="table" w:styleId="a5">
    <w:name w:val="Table Grid"/>
    <w:basedOn w:val="a1"/>
    <w:uiPriority w:val="39"/>
    <w:rsid w:val="00A3097C"/>
    <w:rPr>
      <w:kern w:val="0"/>
      <w:szCs w:val="21"/>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GridTable4Accent1">
    <w:name w:val="Grid Table 4 Accent 1"/>
    <w:basedOn w:val="a1"/>
    <w:uiPriority w:val="49"/>
    <w:rsid w:val="00A3097C"/>
    <w:rPr>
      <w:kern w:val="0"/>
      <w:szCs w:val="21"/>
    </w:rPr>
    <w:tblPr>
      <w:tblStyleRowBandSize w:val="1"/>
      <w:tblStyleColBandSize w:val="1"/>
      <w:tblInd w:w="0" w:type="dxa"/>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10">
    <w:name w:val="toc 1"/>
    <w:basedOn w:val="a"/>
    <w:next w:val="a"/>
    <w:autoRedefine/>
    <w:uiPriority w:val="39"/>
    <w:unhideWhenUsed/>
    <w:rsid w:val="00A3097C"/>
  </w:style>
  <w:style w:type="paragraph" w:styleId="20">
    <w:name w:val="toc 2"/>
    <w:basedOn w:val="a"/>
    <w:next w:val="a"/>
    <w:autoRedefine/>
    <w:uiPriority w:val="39"/>
    <w:unhideWhenUsed/>
    <w:rsid w:val="00A3097C"/>
    <w:pPr>
      <w:ind w:leftChars="200" w:left="420"/>
    </w:pPr>
  </w:style>
  <w:style w:type="paragraph" w:styleId="30">
    <w:name w:val="toc 3"/>
    <w:basedOn w:val="a"/>
    <w:next w:val="a"/>
    <w:autoRedefine/>
    <w:uiPriority w:val="39"/>
    <w:unhideWhenUsed/>
    <w:rsid w:val="00A3097C"/>
    <w:pPr>
      <w:ind w:leftChars="400" w:left="840"/>
    </w:pPr>
  </w:style>
  <w:style w:type="character" w:styleId="a6">
    <w:name w:val="Hyperlink"/>
    <w:basedOn w:val="a0"/>
    <w:uiPriority w:val="99"/>
    <w:unhideWhenUsed/>
    <w:rsid w:val="00A3097C"/>
    <w:rPr>
      <w:color w:val="0000FF" w:themeColor="hyperlink"/>
      <w:u w:val="single"/>
    </w:rPr>
  </w:style>
  <w:style w:type="paragraph" w:styleId="a7">
    <w:name w:val="footer"/>
    <w:basedOn w:val="a"/>
    <w:link w:val="Char0"/>
    <w:uiPriority w:val="99"/>
    <w:unhideWhenUsed/>
    <w:rsid w:val="00A3097C"/>
    <w:pPr>
      <w:tabs>
        <w:tab w:val="center" w:pos="4153"/>
        <w:tab w:val="right" w:pos="8306"/>
      </w:tabs>
      <w:snapToGrid w:val="0"/>
      <w:spacing w:line="240" w:lineRule="auto"/>
    </w:pPr>
    <w:rPr>
      <w:sz w:val="18"/>
      <w:szCs w:val="18"/>
    </w:rPr>
  </w:style>
  <w:style w:type="character" w:customStyle="1" w:styleId="Char0">
    <w:name w:val="页脚 Char"/>
    <w:basedOn w:val="a0"/>
    <w:link w:val="a7"/>
    <w:uiPriority w:val="99"/>
    <w:rsid w:val="00A3097C"/>
    <w:rPr>
      <w:kern w:val="0"/>
      <w:sz w:val="18"/>
      <w:szCs w:val="18"/>
    </w:rPr>
  </w:style>
  <w:style w:type="paragraph" w:styleId="a8">
    <w:name w:val="Balloon Text"/>
    <w:basedOn w:val="a"/>
    <w:link w:val="Char1"/>
    <w:uiPriority w:val="99"/>
    <w:semiHidden/>
    <w:unhideWhenUsed/>
    <w:rsid w:val="00A3097C"/>
    <w:pPr>
      <w:spacing w:after="0" w:line="240" w:lineRule="auto"/>
    </w:pPr>
    <w:rPr>
      <w:sz w:val="18"/>
      <w:szCs w:val="18"/>
    </w:rPr>
  </w:style>
  <w:style w:type="character" w:customStyle="1" w:styleId="Char1">
    <w:name w:val="批注框文本 Char"/>
    <w:basedOn w:val="a0"/>
    <w:link w:val="a8"/>
    <w:uiPriority w:val="99"/>
    <w:semiHidden/>
    <w:rsid w:val="00A3097C"/>
    <w:rPr>
      <w:kern w:val="0"/>
      <w:sz w:val="18"/>
      <w:szCs w:val="18"/>
    </w:rPr>
  </w:style>
  <w:style w:type="paragraph" w:styleId="a9">
    <w:name w:val="header"/>
    <w:basedOn w:val="a"/>
    <w:link w:val="Char2"/>
    <w:uiPriority w:val="99"/>
    <w:unhideWhenUsed/>
    <w:rsid w:val="00A3097C"/>
    <w:pPr>
      <w:pBdr>
        <w:bottom w:val="single" w:sz="6" w:space="1" w:color="auto"/>
      </w:pBdr>
      <w:tabs>
        <w:tab w:val="center" w:pos="4153"/>
        <w:tab w:val="right" w:pos="8306"/>
      </w:tabs>
      <w:snapToGrid w:val="0"/>
      <w:spacing w:line="240" w:lineRule="auto"/>
      <w:jc w:val="center"/>
    </w:pPr>
    <w:rPr>
      <w:sz w:val="18"/>
      <w:szCs w:val="18"/>
    </w:rPr>
  </w:style>
  <w:style w:type="character" w:customStyle="1" w:styleId="Char2">
    <w:name w:val="页眉 Char"/>
    <w:basedOn w:val="a0"/>
    <w:link w:val="a9"/>
    <w:uiPriority w:val="99"/>
    <w:rsid w:val="00A3097C"/>
    <w:rPr>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1111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2021</c:v>
                </c:pt>
              </c:strCache>
            </c:strRef>
          </c:tx>
          <c:spPr>
            <a:solidFill>
              <a:srgbClr val="2875DD"/>
            </a:solidFill>
            <a:ln>
              <a:solidFill>
                <a:srgbClr val="2875DD"/>
              </a:solidFill>
            </a:ln>
          </c:spPr>
          <c:invertIfNegative val="0"/>
          <c:dLbls>
            <c:dLbl>
              <c:idx val="0"/>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0-367B-40EA-93B0-D13FD0875D28}"/>
                </c:ext>
              </c:extLst>
            </c:dLbl>
            <c:dLbl>
              <c:idx val="1"/>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1-367B-40EA-93B0-D13FD0875D28}"/>
                </c:ext>
              </c:extLst>
            </c:dLbl>
            <c:dLbl>
              <c:idx val="2"/>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2-367B-40EA-93B0-D13FD0875D28}"/>
                </c:ext>
              </c:extLst>
            </c:dLbl>
            <c:dLbl>
              <c:idx val="3"/>
              <c:numFmt formatCode="#,##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3-367B-40EA-93B0-D13FD0875D28}"/>
                </c:ext>
              </c:extLst>
            </c:dLbl>
            <c:dLbl>
              <c:idx val="4"/>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4-367B-40EA-93B0-D13FD0875D28}"/>
                </c:ext>
              </c:extLst>
            </c:dLbl>
            <c:dLbl>
              <c:idx val="5"/>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5-367B-40EA-93B0-D13FD0875D28}"/>
                </c:ext>
              </c:extLst>
            </c:dLbl>
            <c:dLbl>
              <c:idx val="6"/>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6-367B-40EA-93B0-D13FD0875D28}"/>
                </c:ext>
              </c:extLst>
            </c:dLbl>
            <c:dLbl>
              <c:idx val="7"/>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7-367B-40EA-93B0-D13FD0875D28}"/>
                </c:ext>
              </c:extLst>
            </c:dLbl>
            <c:dLbl>
              <c:idx val="8"/>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8-367B-40EA-93B0-D13FD0875D28}"/>
                </c:ext>
              </c:extLst>
            </c:dLbl>
            <c:dLbl>
              <c:idx val="9"/>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9-367B-40EA-93B0-D13FD0875D28}"/>
                </c:ext>
              </c:extLst>
            </c:dLbl>
            <c:dLbl>
              <c:idx val="10"/>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A-367B-40EA-93B0-D13FD0875D28}"/>
                </c:ext>
              </c:extLst>
            </c:dLbl>
            <c:dLbl>
              <c:idx val="11"/>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B-367B-40EA-93B0-D13FD0875D28}"/>
                </c:ext>
              </c:extLst>
            </c:dLbl>
            <c:dLbl>
              <c:idx val="12"/>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C-367B-40EA-93B0-D13FD0875D28}"/>
                </c:ext>
              </c:extLst>
            </c:dLbl>
            <c:dLbl>
              <c:idx val="13"/>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D-367B-40EA-93B0-D13FD0875D28}"/>
                </c:ext>
              </c:extLst>
            </c:dLbl>
            <c:dLbl>
              <c:idx val="14"/>
              <c:numFmt formatCode="#,##0.00" sourceLinked="0"/>
              <c:spPr/>
              <c:txPr>
                <a:bodyPr/>
                <a:lstStyle/>
                <a:p>
                  <a:pPr>
                    <a:defRPr/>
                  </a:pPr>
                  <a:endParaRPr lang="zh-CN"/>
                </a:p>
              </c:txPr>
              <c:dLblPos val="outEnd"/>
              <c:showLegendKey val="0"/>
              <c:showVal val="1"/>
              <c:showCatName val="0"/>
              <c:showSerName val="0"/>
              <c:showPercent val="0"/>
              <c:showBubbleSize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ext xmlns:c16="http://schemas.microsoft.com/office/drawing/2014/chart" uri="{C3380CC4-5D6E-409C-BE32-E72D297353CC}">
                  <c16:uniqueId val="{0000000E-367B-40EA-93B0-D13FD0875D28}"/>
                </c:ext>
              </c:extLst>
            </c:dLbl>
            <c:spPr>
              <a:noFill/>
              <a:ln>
                <a:noFill/>
              </a:ln>
              <a:effectLst/>
            </c:spPr>
            <c:showLegendKey val="0"/>
            <c:showVal val="1"/>
            <c:showCatName val="0"/>
            <c:showSerName val="0"/>
            <c:showPercent val="0"/>
            <c:showBubbleSize val="0"/>
            <c:showLeaderLines val="0"/>
            <c:extLst xmlns:m="http://schemas.openxmlformats.org/officeDocument/2006/math" xmlns:w="http://schemas.openxmlformats.org/wordprocessingml/2006/main" xmlns:xml="http://www.w3.org/XML/1998/namespace" xmlns:wp="http://schemas.openxmlformats.org/drawingml/2006/wordprocessingDrawing" xmlns:a14="http://schemas.microsoft.com/office/drawing/2010/main" xmlns:c16r2="http://schemas.microsoft.com/office/drawing/2015/06/chart">
              <c:ext xmlns:c15="http://schemas.microsoft.com/office/drawing/2012/chart" uri="{CE6537A1-D6FC-4f65-9D91-7224C49458BB}">
                <c15:showLeaderLines val="0"/>
              </c:ext>
            </c:extLst>
          </c:dLbls>
          <c:cat>
            <c:strRef>
              <c:f>Sheet1!$A$2:$A$16</c:f>
              <c:strCache>
                <c:ptCount val="15"/>
                <c:pt idx="0">
                  <c:v>BYD Auto</c:v>
                </c:pt>
                <c:pt idx="1">
                  <c:v>SAIC-GM-Wuling (SGMW)</c:v>
                </c:pt>
                <c:pt idx="2">
                  <c:v>Tesla</c:v>
                </c:pt>
                <c:pt idx="3">
                  <c:v>Great Wall Motors</c:v>
                </c:pt>
                <c:pt idx="4">
                  <c:v>GAC AION</c:v>
                </c:pt>
                <c:pt idx="5">
                  <c:v>SAIC-Passenger Automobile Branch</c:v>
                </c:pt>
                <c:pt idx="6">
                  <c:v>Xpeng</c:v>
                </c:pt>
                <c:pt idx="7">
                  <c:v>Chery</c:v>
                </c:pt>
                <c:pt idx="8">
                  <c:v>NIO</c:v>
                </c:pt>
                <c:pt idx="9">
                  <c:v>Li Auto</c:v>
                </c:pt>
                <c:pt idx="10">
                  <c:v>Geely</c:v>
                </c:pt>
                <c:pt idx="11">
                  <c:v>Changan</c:v>
                </c:pt>
                <c:pt idx="12">
                  <c:v>FAW-Volkswagen</c:v>
                </c:pt>
                <c:pt idx="13">
                  <c:v>Hozon</c:v>
                </c:pt>
                <c:pt idx="14">
                  <c:v>SAIC-Volkswagen</c:v>
                </c:pt>
              </c:strCache>
            </c:strRef>
          </c:cat>
          <c:val>
            <c:numRef>
              <c:f>Sheet1!$B$2:$B$16</c:f>
              <c:numCache>
                <c:formatCode>General</c:formatCode>
                <c:ptCount val="15"/>
                <c:pt idx="0">
                  <c:v>584.02</c:v>
                </c:pt>
                <c:pt idx="1">
                  <c:v>431.13</c:v>
                </c:pt>
                <c:pt idx="2">
                  <c:v>320.74</c:v>
                </c:pt>
                <c:pt idx="3">
                  <c:v>134</c:v>
                </c:pt>
                <c:pt idx="4">
                  <c:v>120.16</c:v>
                </c:pt>
                <c:pt idx="5">
                  <c:v>110.07</c:v>
                </c:pt>
                <c:pt idx="6">
                  <c:v>98.16</c:v>
                </c:pt>
                <c:pt idx="7">
                  <c:v>97.63</c:v>
                </c:pt>
                <c:pt idx="8">
                  <c:v>91.43</c:v>
                </c:pt>
                <c:pt idx="9">
                  <c:v>90.49</c:v>
                </c:pt>
                <c:pt idx="10">
                  <c:v>80.69</c:v>
                </c:pt>
                <c:pt idx="11">
                  <c:v>76.47</c:v>
                </c:pt>
                <c:pt idx="12">
                  <c:v>70.38</c:v>
                </c:pt>
                <c:pt idx="13">
                  <c:v>69.67</c:v>
                </c:pt>
                <c:pt idx="14">
                  <c:v>61.06</c:v>
                </c:pt>
              </c:numCache>
            </c:numRef>
          </c:val>
          <c:extLst xmlns:c16r2="http://schemas.microsoft.com/office/drawing/2015/06/chart">
            <c:ext xmlns:c16="http://schemas.microsoft.com/office/drawing/2014/chart" uri="{C3380CC4-5D6E-409C-BE32-E72D297353CC}">
              <c16:uniqueId val="{0000000F-367B-40EA-93B0-D13FD0875D28}"/>
            </c:ext>
          </c:extLst>
        </c:ser>
        <c:dLbls>
          <c:showLegendKey val="0"/>
          <c:showVal val="0"/>
          <c:showCatName val="0"/>
          <c:showSerName val="0"/>
          <c:showPercent val="0"/>
          <c:showBubbleSize val="0"/>
        </c:dLbls>
        <c:gapWidth val="80"/>
        <c:overlap val="-30"/>
        <c:axId val="148675200"/>
        <c:axId val="148697472"/>
      </c:barChart>
      <c:catAx>
        <c:axId val="148675200"/>
        <c:scaling>
          <c:orientation val="maxMin"/>
        </c:scaling>
        <c:delete val="0"/>
        <c:axPos val="l"/>
        <c:numFmt formatCode="General" sourceLinked="0"/>
        <c:majorTickMark val="none"/>
        <c:minorTickMark val="none"/>
        <c:tickLblPos val="low"/>
        <c:spPr>
          <a:ln w="9525">
            <a:solidFill>
              <a:srgbClr val="2F2F2F"/>
            </a:solidFill>
          </a:ln>
        </c:spPr>
        <c:crossAx val="148697472"/>
        <c:crosses val="autoZero"/>
        <c:auto val="0"/>
        <c:lblAlgn val="ctr"/>
        <c:lblOffset val="100"/>
        <c:noMultiLvlLbl val="0"/>
      </c:catAx>
      <c:valAx>
        <c:axId val="148697472"/>
        <c:scaling>
          <c:orientation val="minMax"/>
          <c:min val="0"/>
        </c:scaling>
        <c:delete val="0"/>
        <c:axPos val="t"/>
        <c:majorGridlines>
          <c:spPr>
            <a:ln w="9525">
              <a:solidFill>
                <a:srgbClr val="2F2F2F"/>
              </a:solidFill>
              <a:prstDash val="dot"/>
            </a:ln>
          </c:spPr>
        </c:majorGridlines>
        <c:numFmt formatCode="#,##0" sourceLinked="0"/>
        <c:majorTickMark val="none"/>
        <c:minorTickMark val="none"/>
        <c:tickLblPos val="nextTo"/>
        <c:spPr>
          <a:ln>
            <a:noFill/>
          </a:ln>
        </c:spPr>
        <c:crossAx val="148675200"/>
        <c:crosses val="autoZero"/>
        <c:crossBetween val="between"/>
      </c:valAx>
    </c:plotArea>
    <c:plotVisOnly val="1"/>
    <c:dispBlanksAs val="gap"/>
    <c:showDLblsOverMax val="1"/>
  </c:chart>
  <c:txPr>
    <a:bodyPr/>
    <a:lstStyle/>
    <a:p>
      <a:pPr>
        <a:defRPr sz="600" smtId="4294967295"/>
      </a:pPr>
      <a:endParaRPr lang="zh-CN"/>
    </a:p>
  </c:txPr>
  <c:externalData r:id="rId1">
    <c:autoUpdate val="0"/>
  </c:externalData>
</c:chartSpac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10856</Words>
  <Characters>61882</Characters>
  <Application>Microsoft Office Word</Application>
  <DocSecurity>0</DocSecurity>
  <Lines>515</Lines>
  <Paragraphs>145</Paragraphs>
  <ScaleCrop>false</ScaleCrop>
  <Company/>
  <LinksUpToDate>false</LinksUpToDate>
  <CharactersWithSpaces>72593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xb21cn</dc:creator>
  <cp:keywords/>
  <dc:description/>
  <cp:lastModifiedBy>xb21cn</cp:lastModifiedBy>
  <cp:revision>5</cp:revision>
  <dcterms:created xsi:type="dcterms:W3CDTF">2022-06-28T06:44:00Z</dcterms:created>
  <dcterms:modified xsi:type="dcterms:W3CDTF">2022-06-29T07:01:00Z</dcterms:modified>
</cp:coreProperties>
</file>