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2E527" w14:textId="77777777" w:rsidR="005F1FF8" w:rsidRDefault="005F1FF8" w:rsidP="005F1FF8">
      <w:pPr>
        <w:rPr>
          <w:szCs w:val="24"/>
        </w:rPr>
      </w:pPr>
      <w:r w:rsidRPr="007120E2">
        <w:rPr>
          <w:rFonts w:cs="Arial"/>
          <w:noProof/>
          <w:sz w:val="22"/>
        </w:rPr>
        <w:drawing>
          <wp:anchor distT="0" distB="0" distL="114300" distR="114300" simplePos="0" relativeHeight="251659264" behindDoc="0" locked="0" layoutInCell="1" allowOverlap="1" wp14:anchorId="0822BB2C" wp14:editId="37733D15">
            <wp:simplePos x="0" y="0"/>
            <wp:positionH relativeFrom="margin">
              <wp:align>left</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DB2AD" w14:textId="77777777" w:rsidR="005F1FF8" w:rsidRDefault="005F1FF8" w:rsidP="005F1FF8">
      <w:pPr>
        <w:rPr>
          <w:szCs w:val="24"/>
        </w:rPr>
      </w:pPr>
    </w:p>
    <w:p w14:paraId="440C88D0" w14:textId="77777777" w:rsidR="005F1FF8" w:rsidRDefault="005F1FF8" w:rsidP="005F1FF8">
      <w:pPr>
        <w:rPr>
          <w:szCs w:val="24"/>
        </w:rPr>
      </w:pPr>
    </w:p>
    <w:p w14:paraId="2FE977F8" w14:textId="77777777" w:rsidR="005F1FF8" w:rsidRPr="000774B9" w:rsidRDefault="005F1FF8" w:rsidP="005F1FF8">
      <w:pPr>
        <w:rPr>
          <w:sz w:val="22"/>
        </w:rPr>
      </w:pPr>
      <w:r w:rsidRPr="000774B9">
        <w:rPr>
          <w:sz w:val="22"/>
        </w:rPr>
        <w:t xml:space="preserve">Name - Elina </w:t>
      </w:r>
      <w:proofErr w:type="spellStart"/>
      <w:r w:rsidRPr="000774B9">
        <w:rPr>
          <w:sz w:val="22"/>
        </w:rPr>
        <w:t>Znotina</w:t>
      </w:r>
      <w:proofErr w:type="spellEnd"/>
    </w:p>
    <w:p w14:paraId="2AAC27DB" w14:textId="77777777" w:rsidR="005F1FF8" w:rsidRPr="000774B9" w:rsidRDefault="005F1FF8" w:rsidP="005F1FF8">
      <w:pPr>
        <w:rPr>
          <w:sz w:val="22"/>
        </w:rPr>
      </w:pPr>
      <w:r w:rsidRPr="000774B9">
        <w:rPr>
          <w:sz w:val="22"/>
        </w:rPr>
        <w:t>Student number – 2409079</w:t>
      </w:r>
    </w:p>
    <w:p w14:paraId="2981D055" w14:textId="15FBDF7A" w:rsidR="005F1FF8" w:rsidRPr="000774B9" w:rsidRDefault="005F1FF8" w:rsidP="005F1FF8">
      <w:pPr>
        <w:rPr>
          <w:sz w:val="22"/>
          <w:lang w:val="en-GB"/>
        </w:rPr>
      </w:pPr>
      <w:r w:rsidRPr="000774B9">
        <w:rPr>
          <w:sz w:val="22"/>
          <w:lang w:val="en-GB"/>
        </w:rPr>
        <w:t xml:space="preserve">Lecturer’s name – </w:t>
      </w:r>
      <w:r w:rsidRPr="000774B9">
        <w:rPr>
          <w:sz w:val="22"/>
        </w:rPr>
        <w:t>Mudassar Hasan</w:t>
      </w:r>
    </w:p>
    <w:p w14:paraId="74220333" w14:textId="6D780562" w:rsidR="005F1FF8" w:rsidRPr="000774B9" w:rsidRDefault="005F1FF8" w:rsidP="005F1FF8">
      <w:pPr>
        <w:rPr>
          <w:sz w:val="22"/>
        </w:rPr>
      </w:pPr>
      <w:r w:rsidRPr="000774B9">
        <w:rPr>
          <w:b/>
          <w:bCs/>
          <w:sz w:val="22"/>
        </w:rPr>
        <w:t>Programme</w:t>
      </w:r>
      <w:r w:rsidRPr="000774B9">
        <w:rPr>
          <w:sz w:val="22"/>
        </w:rPr>
        <w:t>: BA (Hons) Leadership and Management skills for the Workplace</w:t>
      </w:r>
    </w:p>
    <w:p w14:paraId="18457E8D" w14:textId="77777777" w:rsidR="005F1FF8" w:rsidRPr="000774B9" w:rsidRDefault="005F1FF8" w:rsidP="005F1FF8">
      <w:pPr>
        <w:rPr>
          <w:sz w:val="22"/>
        </w:rPr>
      </w:pPr>
      <w:r w:rsidRPr="000774B9">
        <w:rPr>
          <w:b/>
          <w:bCs/>
          <w:sz w:val="22"/>
        </w:rPr>
        <w:t>Module Title</w:t>
      </w:r>
      <w:r w:rsidRPr="000774B9">
        <w:rPr>
          <w:sz w:val="22"/>
        </w:rPr>
        <w:t>: LCLM 5002 Developing and Managing Individuals and Teams</w:t>
      </w:r>
    </w:p>
    <w:p w14:paraId="57E1AFD1" w14:textId="5496F0DE" w:rsidR="005F1FF8" w:rsidRPr="000774B9" w:rsidRDefault="005F1FF8" w:rsidP="005F1FF8">
      <w:pPr>
        <w:rPr>
          <w:sz w:val="22"/>
        </w:rPr>
      </w:pPr>
      <w:r w:rsidRPr="000774B9">
        <w:rPr>
          <w:b/>
          <w:bCs/>
          <w:sz w:val="22"/>
        </w:rPr>
        <w:t>Assignment Title</w:t>
      </w:r>
      <w:r w:rsidRPr="000774B9">
        <w:rPr>
          <w:sz w:val="22"/>
        </w:rPr>
        <w:t>: Component 2 - Individual Report</w:t>
      </w:r>
    </w:p>
    <w:p w14:paraId="3DA34DF7" w14:textId="77777777" w:rsidR="005F1FF8" w:rsidRDefault="005F1FF8">
      <w:pPr>
        <w:spacing w:line="259" w:lineRule="auto"/>
        <w:jc w:val="left"/>
        <w:rPr>
          <w:szCs w:val="24"/>
        </w:rPr>
      </w:pPr>
      <w:r>
        <w:rPr>
          <w:szCs w:val="24"/>
        </w:rPr>
        <w:br w:type="page"/>
      </w:r>
    </w:p>
    <w:p w14:paraId="4BE613EB" w14:textId="77777777" w:rsidR="005F1FF8" w:rsidRPr="008A7036" w:rsidRDefault="005F1FF8" w:rsidP="005F1FF8">
      <w:pPr>
        <w:rPr>
          <w:szCs w:val="24"/>
        </w:rPr>
      </w:pPr>
    </w:p>
    <w:sdt>
      <w:sdtPr>
        <w:rPr>
          <w:rFonts w:ascii="Times New Roman" w:eastAsiaTheme="minorHAnsi" w:hAnsi="Times New Roman" w:cstheme="minorBidi"/>
          <w:color w:val="auto"/>
          <w:kern w:val="2"/>
          <w:sz w:val="24"/>
          <w:szCs w:val="22"/>
          <w:lang w:val="en-GB"/>
          <w14:ligatures w14:val="standardContextual"/>
        </w:rPr>
        <w:id w:val="-1874070508"/>
        <w:docPartObj>
          <w:docPartGallery w:val="Table of Contents"/>
          <w:docPartUnique/>
        </w:docPartObj>
      </w:sdtPr>
      <w:sdtEndPr>
        <w:rPr>
          <w:rFonts w:ascii="Arial" w:hAnsi="Arial"/>
          <w:b/>
          <w:bCs/>
          <w:noProof/>
          <w:kern w:val="0"/>
          <w:lang w:val="en-US"/>
          <w14:ligatures w14:val="none"/>
        </w:rPr>
      </w:sdtEndPr>
      <w:sdtContent>
        <w:p w14:paraId="33A68817" w14:textId="77777777" w:rsidR="000774B9" w:rsidRPr="00595CB4" w:rsidRDefault="000774B9" w:rsidP="000774B9">
          <w:pPr>
            <w:pStyle w:val="TOCHeading"/>
            <w:spacing w:line="360" w:lineRule="auto"/>
            <w:jc w:val="center"/>
            <w:rPr>
              <w:rFonts w:ascii="Arial" w:hAnsi="Arial" w:cs="Arial"/>
              <w:b/>
              <w:bCs/>
              <w:sz w:val="28"/>
              <w:szCs w:val="28"/>
            </w:rPr>
          </w:pPr>
          <w:r w:rsidRPr="00595CB4">
            <w:rPr>
              <w:rFonts w:ascii="Arial" w:hAnsi="Arial" w:cs="Arial"/>
              <w:b/>
              <w:bCs/>
              <w:sz w:val="28"/>
              <w:szCs w:val="28"/>
            </w:rPr>
            <w:t>Table of Contents</w:t>
          </w:r>
        </w:p>
        <w:p w14:paraId="16BF9673" w14:textId="77777777" w:rsidR="000774B9" w:rsidRPr="00595CB4" w:rsidRDefault="000774B9" w:rsidP="000774B9">
          <w:pPr>
            <w:pStyle w:val="TOC1"/>
            <w:tabs>
              <w:tab w:val="right" w:leader="dot" w:pos="9350"/>
            </w:tabs>
            <w:rPr>
              <w:rFonts w:ascii="Arial" w:eastAsiaTheme="minorEastAsia" w:hAnsi="Arial" w:cs="Arial"/>
              <w:noProof/>
              <w:sz w:val="22"/>
              <w:lang w:val="en-US"/>
            </w:rPr>
          </w:pPr>
          <w:r w:rsidRPr="00595CB4">
            <w:rPr>
              <w:rFonts w:ascii="Arial" w:hAnsi="Arial" w:cs="Arial"/>
              <w:sz w:val="22"/>
            </w:rPr>
            <w:fldChar w:fldCharType="begin"/>
          </w:r>
          <w:r w:rsidRPr="00595CB4">
            <w:rPr>
              <w:rFonts w:ascii="Arial" w:hAnsi="Arial" w:cs="Arial"/>
              <w:sz w:val="22"/>
            </w:rPr>
            <w:instrText xml:space="preserve"> TOC \o "1-3" \h \z \u </w:instrText>
          </w:r>
          <w:r w:rsidRPr="00595CB4">
            <w:rPr>
              <w:rFonts w:ascii="Arial" w:hAnsi="Arial" w:cs="Arial"/>
              <w:sz w:val="22"/>
            </w:rPr>
            <w:fldChar w:fldCharType="separate"/>
          </w:r>
          <w:hyperlink w:anchor="_Toc213972212" w:history="1">
            <w:r w:rsidRPr="00595CB4">
              <w:rPr>
                <w:rStyle w:val="Hyperlink"/>
                <w:rFonts w:ascii="Arial" w:hAnsi="Arial" w:cs="Arial"/>
                <w:noProof/>
                <w:sz w:val="22"/>
              </w:rPr>
              <w:t>Introduction</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_Toc213972212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3</w:t>
            </w:r>
            <w:r w:rsidRPr="00595CB4">
              <w:rPr>
                <w:rFonts w:ascii="Arial" w:hAnsi="Arial" w:cs="Arial"/>
                <w:noProof/>
                <w:webHidden/>
                <w:sz w:val="22"/>
              </w:rPr>
              <w:fldChar w:fldCharType="end"/>
            </w:r>
          </w:hyperlink>
        </w:p>
        <w:p w14:paraId="4EFB872D" w14:textId="77777777" w:rsidR="000774B9" w:rsidRPr="00595CB4" w:rsidRDefault="000774B9" w:rsidP="000774B9">
          <w:pPr>
            <w:pStyle w:val="TOC1"/>
            <w:tabs>
              <w:tab w:val="right" w:leader="dot" w:pos="9350"/>
            </w:tabs>
            <w:rPr>
              <w:rFonts w:ascii="Arial" w:eastAsiaTheme="minorEastAsia" w:hAnsi="Arial" w:cs="Arial"/>
              <w:noProof/>
              <w:sz w:val="22"/>
              <w:lang w:val="en-US"/>
            </w:rPr>
          </w:pPr>
          <w:hyperlink w:anchor="_Toc213972213" w:history="1">
            <w:r w:rsidRPr="00595CB4">
              <w:rPr>
                <w:rStyle w:val="Hyperlink"/>
                <w:rFonts w:ascii="Arial" w:hAnsi="Arial" w:cs="Arial"/>
                <w:noProof/>
                <w:sz w:val="22"/>
              </w:rPr>
              <w:t>Factors Related to Business Transformation, Digital Technology Trends and Flexible Working Arrangements</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_Toc213972213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3</w:t>
            </w:r>
            <w:r w:rsidRPr="00595CB4">
              <w:rPr>
                <w:rFonts w:ascii="Arial" w:hAnsi="Arial" w:cs="Arial"/>
                <w:noProof/>
                <w:webHidden/>
                <w:sz w:val="22"/>
              </w:rPr>
              <w:fldChar w:fldCharType="end"/>
            </w:r>
          </w:hyperlink>
        </w:p>
        <w:p w14:paraId="227DBB8A" w14:textId="77777777" w:rsidR="000774B9" w:rsidRPr="00595CB4" w:rsidRDefault="000774B9" w:rsidP="000774B9">
          <w:pPr>
            <w:pStyle w:val="TOC2"/>
            <w:tabs>
              <w:tab w:val="right" w:leader="dot" w:pos="9350"/>
            </w:tabs>
            <w:rPr>
              <w:rFonts w:ascii="Arial" w:eastAsiaTheme="minorEastAsia" w:hAnsi="Arial" w:cs="Arial"/>
              <w:noProof/>
              <w:sz w:val="22"/>
              <w:lang w:val="en-US"/>
            </w:rPr>
          </w:pPr>
          <w:hyperlink w:anchor="_Toc213972214" w:history="1">
            <w:r w:rsidRPr="00595CB4">
              <w:rPr>
                <w:rStyle w:val="Hyperlink"/>
                <w:rFonts w:ascii="Arial" w:hAnsi="Arial" w:cs="Arial"/>
                <w:noProof/>
                <w:sz w:val="22"/>
              </w:rPr>
              <w:t>Business Transformation Factors</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_Toc213972214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3</w:t>
            </w:r>
            <w:r w:rsidRPr="00595CB4">
              <w:rPr>
                <w:rFonts w:ascii="Arial" w:hAnsi="Arial" w:cs="Arial"/>
                <w:noProof/>
                <w:webHidden/>
                <w:sz w:val="22"/>
              </w:rPr>
              <w:fldChar w:fldCharType="end"/>
            </w:r>
          </w:hyperlink>
        </w:p>
        <w:p w14:paraId="4C907014" w14:textId="77777777" w:rsidR="000774B9" w:rsidRPr="00595CB4" w:rsidRDefault="000774B9" w:rsidP="000774B9">
          <w:pPr>
            <w:pStyle w:val="TOC2"/>
            <w:tabs>
              <w:tab w:val="right" w:leader="dot" w:pos="9350"/>
            </w:tabs>
            <w:rPr>
              <w:rFonts w:ascii="Arial" w:eastAsiaTheme="minorEastAsia" w:hAnsi="Arial" w:cs="Arial"/>
              <w:noProof/>
              <w:sz w:val="22"/>
              <w:lang w:val="en-US"/>
            </w:rPr>
          </w:pPr>
          <w:hyperlink w:anchor="_Toc213972215" w:history="1">
            <w:r w:rsidRPr="00595CB4">
              <w:rPr>
                <w:rStyle w:val="Hyperlink"/>
                <w:rFonts w:ascii="Arial" w:hAnsi="Arial" w:cs="Arial"/>
                <w:noProof/>
                <w:sz w:val="22"/>
              </w:rPr>
              <w:t>Digital Technology Trends</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_Toc213972215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4</w:t>
            </w:r>
            <w:r w:rsidRPr="00595CB4">
              <w:rPr>
                <w:rFonts w:ascii="Arial" w:hAnsi="Arial" w:cs="Arial"/>
                <w:noProof/>
                <w:webHidden/>
                <w:sz w:val="22"/>
              </w:rPr>
              <w:fldChar w:fldCharType="end"/>
            </w:r>
          </w:hyperlink>
        </w:p>
        <w:p w14:paraId="5C288C07" w14:textId="77777777" w:rsidR="000774B9" w:rsidRPr="00595CB4" w:rsidRDefault="000774B9" w:rsidP="000774B9">
          <w:pPr>
            <w:pStyle w:val="TOC2"/>
            <w:tabs>
              <w:tab w:val="right" w:leader="dot" w:pos="9350"/>
            </w:tabs>
            <w:rPr>
              <w:rFonts w:ascii="Arial" w:eastAsiaTheme="minorEastAsia" w:hAnsi="Arial" w:cs="Arial"/>
              <w:noProof/>
              <w:sz w:val="22"/>
              <w:lang w:val="en-US"/>
            </w:rPr>
          </w:pPr>
          <w:hyperlink w:anchor="_Toc213972216" w:history="1">
            <w:r w:rsidRPr="00595CB4">
              <w:rPr>
                <w:rStyle w:val="Hyperlink"/>
                <w:rFonts w:ascii="Arial" w:hAnsi="Arial" w:cs="Arial"/>
                <w:noProof/>
                <w:sz w:val="22"/>
              </w:rPr>
              <w:t>Flexible Working Arrangements</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_Toc213972216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4</w:t>
            </w:r>
            <w:r w:rsidRPr="00595CB4">
              <w:rPr>
                <w:rFonts w:ascii="Arial" w:hAnsi="Arial" w:cs="Arial"/>
                <w:noProof/>
                <w:webHidden/>
                <w:sz w:val="22"/>
              </w:rPr>
              <w:fldChar w:fldCharType="end"/>
            </w:r>
          </w:hyperlink>
        </w:p>
        <w:p w14:paraId="1A90BD70" w14:textId="77777777" w:rsidR="000774B9" w:rsidRPr="00595CB4" w:rsidRDefault="000774B9" w:rsidP="000774B9">
          <w:pPr>
            <w:pStyle w:val="TOC1"/>
            <w:tabs>
              <w:tab w:val="right" w:leader="dot" w:pos="9350"/>
            </w:tabs>
            <w:rPr>
              <w:rFonts w:ascii="Arial" w:eastAsiaTheme="minorEastAsia" w:hAnsi="Arial" w:cs="Arial"/>
              <w:noProof/>
              <w:sz w:val="22"/>
              <w:lang w:val="en-US"/>
            </w:rPr>
          </w:pPr>
          <w:hyperlink w:anchor="_Toc213972217" w:history="1">
            <w:r w:rsidRPr="00595CB4">
              <w:rPr>
                <w:rStyle w:val="Hyperlink"/>
                <w:rFonts w:ascii="Arial" w:hAnsi="Arial" w:cs="Arial"/>
                <w:noProof/>
                <w:sz w:val="22"/>
              </w:rPr>
              <w:t>Evaluation of Contemporary HR Practices to Address Each Factor</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_Toc213972217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5</w:t>
            </w:r>
            <w:r w:rsidRPr="00595CB4">
              <w:rPr>
                <w:rFonts w:ascii="Arial" w:hAnsi="Arial" w:cs="Arial"/>
                <w:noProof/>
                <w:webHidden/>
                <w:sz w:val="22"/>
              </w:rPr>
              <w:fldChar w:fldCharType="end"/>
            </w:r>
          </w:hyperlink>
        </w:p>
        <w:p w14:paraId="3DC043CF" w14:textId="77777777" w:rsidR="000774B9" w:rsidRPr="00595CB4" w:rsidRDefault="000774B9" w:rsidP="000774B9">
          <w:pPr>
            <w:pStyle w:val="TOC2"/>
            <w:tabs>
              <w:tab w:val="right" w:leader="dot" w:pos="9350"/>
            </w:tabs>
            <w:rPr>
              <w:rFonts w:ascii="Arial" w:eastAsiaTheme="minorEastAsia" w:hAnsi="Arial" w:cs="Arial"/>
              <w:noProof/>
              <w:sz w:val="22"/>
              <w:lang w:val="en-US"/>
            </w:rPr>
          </w:pPr>
          <w:hyperlink w:anchor="_Toc213972218" w:history="1">
            <w:r w:rsidRPr="00595CB4">
              <w:rPr>
                <w:rStyle w:val="Hyperlink"/>
                <w:rFonts w:ascii="Arial" w:hAnsi="Arial" w:cs="Arial"/>
                <w:noProof/>
                <w:sz w:val="22"/>
              </w:rPr>
              <w:t>HR Practices for Business Transformation</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_Toc213972218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5</w:t>
            </w:r>
            <w:r w:rsidRPr="00595CB4">
              <w:rPr>
                <w:rFonts w:ascii="Arial" w:hAnsi="Arial" w:cs="Arial"/>
                <w:noProof/>
                <w:webHidden/>
                <w:sz w:val="22"/>
              </w:rPr>
              <w:fldChar w:fldCharType="end"/>
            </w:r>
          </w:hyperlink>
        </w:p>
        <w:p w14:paraId="13F6390A" w14:textId="77777777" w:rsidR="000774B9" w:rsidRPr="00595CB4" w:rsidRDefault="000774B9" w:rsidP="000774B9">
          <w:pPr>
            <w:pStyle w:val="TOC2"/>
            <w:tabs>
              <w:tab w:val="right" w:leader="dot" w:pos="9350"/>
            </w:tabs>
            <w:rPr>
              <w:rFonts w:ascii="Arial" w:eastAsiaTheme="minorEastAsia" w:hAnsi="Arial" w:cs="Arial"/>
              <w:noProof/>
              <w:sz w:val="22"/>
              <w:lang w:val="en-US"/>
            </w:rPr>
          </w:pPr>
          <w:hyperlink w:anchor="_Toc213972219" w:history="1">
            <w:r w:rsidRPr="00595CB4">
              <w:rPr>
                <w:rStyle w:val="Hyperlink"/>
                <w:rFonts w:ascii="Arial" w:hAnsi="Arial" w:cs="Arial"/>
                <w:noProof/>
                <w:sz w:val="22"/>
              </w:rPr>
              <w:t>HR Practices for Digital Technology Trends</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_Toc213972219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5</w:t>
            </w:r>
            <w:r w:rsidRPr="00595CB4">
              <w:rPr>
                <w:rFonts w:ascii="Arial" w:hAnsi="Arial" w:cs="Arial"/>
                <w:noProof/>
                <w:webHidden/>
                <w:sz w:val="22"/>
              </w:rPr>
              <w:fldChar w:fldCharType="end"/>
            </w:r>
          </w:hyperlink>
        </w:p>
        <w:p w14:paraId="67F6EA21" w14:textId="77777777" w:rsidR="000774B9" w:rsidRPr="00595CB4" w:rsidRDefault="000774B9" w:rsidP="000774B9">
          <w:pPr>
            <w:pStyle w:val="TOC2"/>
            <w:tabs>
              <w:tab w:val="right" w:leader="dot" w:pos="9350"/>
            </w:tabs>
            <w:rPr>
              <w:rFonts w:ascii="Arial" w:eastAsiaTheme="minorEastAsia" w:hAnsi="Arial" w:cs="Arial"/>
              <w:noProof/>
              <w:sz w:val="22"/>
              <w:lang w:val="en-US"/>
            </w:rPr>
          </w:pPr>
          <w:hyperlink w:anchor="_Toc213972220" w:history="1">
            <w:r w:rsidRPr="00595CB4">
              <w:rPr>
                <w:rStyle w:val="Hyperlink"/>
                <w:rFonts w:ascii="Arial" w:hAnsi="Arial" w:cs="Arial"/>
                <w:noProof/>
                <w:sz w:val="22"/>
              </w:rPr>
              <w:t>HR Practices for Flexible Working Arrangements</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_Toc213972220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6</w:t>
            </w:r>
            <w:r w:rsidRPr="00595CB4">
              <w:rPr>
                <w:rFonts w:ascii="Arial" w:hAnsi="Arial" w:cs="Arial"/>
                <w:noProof/>
                <w:webHidden/>
                <w:sz w:val="22"/>
              </w:rPr>
              <w:fldChar w:fldCharType="end"/>
            </w:r>
          </w:hyperlink>
        </w:p>
        <w:p w14:paraId="0680E85B" w14:textId="77777777" w:rsidR="000774B9" w:rsidRPr="00595CB4" w:rsidRDefault="000774B9" w:rsidP="000774B9">
          <w:pPr>
            <w:pStyle w:val="TOC1"/>
            <w:tabs>
              <w:tab w:val="right" w:leader="dot" w:pos="9350"/>
            </w:tabs>
            <w:rPr>
              <w:rFonts w:ascii="Arial" w:eastAsiaTheme="minorEastAsia" w:hAnsi="Arial" w:cs="Arial"/>
              <w:noProof/>
              <w:sz w:val="22"/>
              <w:lang w:val="en-US"/>
            </w:rPr>
          </w:pPr>
          <w:hyperlink w:anchor="_Toc213972221" w:history="1">
            <w:r w:rsidRPr="00595CB4">
              <w:rPr>
                <w:rStyle w:val="Hyperlink"/>
                <w:rFonts w:ascii="Arial" w:hAnsi="Arial" w:cs="Arial"/>
                <w:noProof/>
                <w:sz w:val="22"/>
              </w:rPr>
              <w:t>Critical Evaluation of How Departmental Managers Can Ensure Urgent Implementation</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_Toc213972221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7</w:t>
            </w:r>
            <w:r w:rsidRPr="00595CB4">
              <w:rPr>
                <w:rFonts w:ascii="Arial" w:hAnsi="Arial" w:cs="Arial"/>
                <w:noProof/>
                <w:webHidden/>
                <w:sz w:val="22"/>
              </w:rPr>
              <w:fldChar w:fldCharType="end"/>
            </w:r>
          </w:hyperlink>
        </w:p>
        <w:p w14:paraId="1A5EA1E9" w14:textId="77777777" w:rsidR="000774B9" w:rsidRPr="00595CB4" w:rsidRDefault="000774B9" w:rsidP="000774B9">
          <w:pPr>
            <w:pStyle w:val="TOC2"/>
            <w:tabs>
              <w:tab w:val="right" w:leader="dot" w:pos="9350"/>
            </w:tabs>
            <w:rPr>
              <w:rFonts w:ascii="Arial" w:eastAsiaTheme="minorEastAsia" w:hAnsi="Arial" w:cs="Arial"/>
              <w:noProof/>
              <w:sz w:val="22"/>
              <w:lang w:val="en-US"/>
            </w:rPr>
          </w:pPr>
          <w:hyperlink w:anchor="_Toc213972222" w:history="1">
            <w:r w:rsidRPr="00595CB4">
              <w:rPr>
                <w:rStyle w:val="Hyperlink"/>
                <w:rFonts w:ascii="Arial" w:hAnsi="Arial" w:cs="Arial"/>
                <w:noProof/>
                <w:sz w:val="22"/>
              </w:rPr>
              <w:t>The Critical Role of Managers</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_Toc213972222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7</w:t>
            </w:r>
            <w:r w:rsidRPr="00595CB4">
              <w:rPr>
                <w:rFonts w:ascii="Arial" w:hAnsi="Arial" w:cs="Arial"/>
                <w:noProof/>
                <w:webHidden/>
                <w:sz w:val="22"/>
              </w:rPr>
              <w:fldChar w:fldCharType="end"/>
            </w:r>
          </w:hyperlink>
        </w:p>
        <w:p w14:paraId="3B76199F" w14:textId="77777777" w:rsidR="000774B9" w:rsidRPr="00595CB4" w:rsidRDefault="000774B9" w:rsidP="000774B9">
          <w:pPr>
            <w:pStyle w:val="TOC2"/>
            <w:tabs>
              <w:tab w:val="right" w:leader="dot" w:pos="9350"/>
            </w:tabs>
            <w:rPr>
              <w:rFonts w:ascii="Arial" w:eastAsiaTheme="minorEastAsia" w:hAnsi="Arial" w:cs="Arial"/>
              <w:noProof/>
              <w:sz w:val="22"/>
              <w:lang w:val="en-US"/>
            </w:rPr>
          </w:pPr>
          <w:hyperlink w:anchor="_Toc213972223" w:history="1">
            <w:r w:rsidRPr="00595CB4">
              <w:rPr>
                <w:rStyle w:val="Hyperlink"/>
                <w:rFonts w:ascii="Arial" w:hAnsi="Arial" w:cs="Arial"/>
                <w:noProof/>
                <w:sz w:val="22"/>
              </w:rPr>
              <w:t>Creating Accountability and Support Systems</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_Toc213972223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7</w:t>
            </w:r>
            <w:r w:rsidRPr="00595CB4">
              <w:rPr>
                <w:rFonts w:ascii="Arial" w:hAnsi="Arial" w:cs="Arial"/>
                <w:noProof/>
                <w:webHidden/>
                <w:sz w:val="22"/>
              </w:rPr>
              <w:fldChar w:fldCharType="end"/>
            </w:r>
          </w:hyperlink>
        </w:p>
        <w:p w14:paraId="3CC1C885" w14:textId="77777777" w:rsidR="000774B9" w:rsidRPr="00595CB4" w:rsidRDefault="000774B9" w:rsidP="000774B9">
          <w:pPr>
            <w:pStyle w:val="TOC2"/>
            <w:tabs>
              <w:tab w:val="right" w:leader="dot" w:pos="9350"/>
            </w:tabs>
            <w:rPr>
              <w:rFonts w:ascii="Arial" w:eastAsiaTheme="minorEastAsia" w:hAnsi="Arial" w:cs="Arial"/>
              <w:noProof/>
              <w:sz w:val="22"/>
              <w:lang w:val="en-US"/>
            </w:rPr>
          </w:pPr>
          <w:hyperlink w:anchor="_Toc213972224" w:history="1">
            <w:r w:rsidRPr="00595CB4">
              <w:rPr>
                <w:rStyle w:val="Hyperlink"/>
                <w:rFonts w:ascii="Arial" w:hAnsi="Arial" w:cs="Arial"/>
                <w:noProof/>
                <w:sz w:val="22"/>
              </w:rPr>
              <w:t>Addressing Resistance and Barriers</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_Toc213972224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7</w:t>
            </w:r>
            <w:r w:rsidRPr="00595CB4">
              <w:rPr>
                <w:rFonts w:ascii="Arial" w:hAnsi="Arial" w:cs="Arial"/>
                <w:noProof/>
                <w:webHidden/>
                <w:sz w:val="22"/>
              </w:rPr>
              <w:fldChar w:fldCharType="end"/>
            </w:r>
          </w:hyperlink>
        </w:p>
        <w:p w14:paraId="71367566" w14:textId="77777777" w:rsidR="000774B9" w:rsidRPr="00595CB4" w:rsidRDefault="000774B9" w:rsidP="000774B9">
          <w:pPr>
            <w:pStyle w:val="TOC1"/>
            <w:tabs>
              <w:tab w:val="right" w:leader="dot" w:pos="9350"/>
            </w:tabs>
            <w:rPr>
              <w:rFonts w:ascii="Arial" w:eastAsiaTheme="minorEastAsia" w:hAnsi="Arial" w:cs="Arial"/>
              <w:noProof/>
              <w:sz w:val="22"/>
              <w:lang w:val="en-US"/>
            </w:rPr>
          </w:pPr>
          <w:hyperlink w:anchor="_Toc213972225" w:history="1">
            <w:r w:rsidRPr="00595CB4">
              <w:rPr>
                <w:rStyle w:val="Hyperlink"/>
                <w:rFonts w:ascii="Arial" w:hAnsi="Arial" w:cs="Arial"/>
                <w:noProof/>
                <w:sz w:val="22"/>
              </w:rPr>
              <w:t>Conclusion and Recommendations</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_Toc213972225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8</w:t>
            </w:r>
            <w:r w:rsidRPr="00595CB4">
              <w:rPr>
                <w:rFonts w:ascii="Arial" w:hAnsi="Arial" w:cs="Arial"/>
                <w:noProof/>
                <w:webHidden/>
                <w:sz w:val="22"/>
              </w:rPr>
              <w:fldChar w:fldCharType="end"/>
            </w:r>
          </w:hyperlink>
        </w:p>
        <w:p w14:paraId="5142B726" w14:textId="77777777" w:rsidR="000774B9" w:rsidRPr="00595CB4" w:rsidRDefault="000774B9" w:rsidP="000774B9">
          <w:pPr>
            <w:pStyle w:val="TOC1"/>
            <w:tabs>
              <w:tab w:val="right" w:leader="dot" w:pos="9350"/>
            </w:tabs>
            <w:rPr>
              <w:rFonts w:ascii="Arial" w:eastAsiaTheme="minorEastAsia" w:hAnsi="Arial" w:cs="Arial"/>
              <w:noProof/>
              <w:sz w:val="22"/>
              <w:lang w:val="en-US"/>
            </w:rPr>
          </w:pPr>
          <w:hyperlink w:anchor="_Toc213972226" w:history="1">
            <w:r w:rsidRPr="00595CB4">
              <w:rPr>
                <w:rStyle w:val="Hyperlink"/>
                <w:rFonts w:ascii="Arial" w:hAnsi="Arial" w:cs="Arial"/>
                <w:noProof/>
                <w:sz w:val="22"/>
              </w:rPr>
              <w:t>References</w:t>
            </w:r>
            <w:r w:rsidRPr="00595CB4">
              <w:rPr>
                <w:rFonts w:ascii="Arial" w:hAnsi="Arial" w:cs="Arial"/>
                <w:noProof/>
                <w:webHidden/>
                <w:sz w:val="22"/>
              </w:rPr>
              <w:tab/>
            </w:r>
            <w:r w:rsidRPr="00595CB4">
              <w:rPr>
                <w:rFonts w:ascii="Arial" w:hAnsi="Arial" w:cs="Arial"/>
                <w:noProof/>
                <w:webHidden/>
                <w:sz w:val="22"/>
              </w:rPr>
              <w:fldChar w:fldCharType="begin"/>
            </w:r>
            <w:r w:rsidRPr="00595CB4">
              <w:rPr>
                <w:rFonts w:ascii="Arial" w:hAnsi="Arial" w:cs="Arial"/>
                <w:noProof/>
                <w:webHidden/>
                <w:sz w:val="22"/>
              </w:rPr>
              <w:instrText xml:space="preserve"> PAGEREF _Toc213972226 \h </w:instrText>
            </w:r>
            <w:r w:rsidRPr="00595CB4">
              <w:rPr>
                <w:rFonts w:ascii="Arial" w:hAnsi="Arial" w:cs="Arial"/>
                <w:noProof/>
                <w:webHidden/>
                <w:sz w:val="22"/>
              </w:rPr>
            </w:r>
            <w:r w:rsidRPr="00595CB4">
              <w:rPr>
                <w:rFonts w:ascii="Arial" w:hAnsi="Arial" w:cs="Arial"/>
                <w:noProof/>
                <w:webHidden/>
                <w:sz w:val="22"/>
              </w:rPr>
              <w:fldChar w:fldCharType="separate"/>
            </w:r>
            <w:r>
              <w:rPr>
                <w:rFonts w:ascii="Arial" w:hAnsi="Arial" w:cs="Arial"/>
                <w:noProof/>
                <w:webHidden/>
                <w:sz w:val="22"/>
              </w:rPr>
              <w:t>9</w:t>
            </w:r>
            <w:r w:rsidRPr="00595CB4">
              <w:rPr>
                <w:rFonts w:ascii="Arial" w:hAnsi="Arial" w:cs="Arial"/>
                <w:noProof/>
                <w:webHidden/>
                <w:sz w:val="22"/>
              </w:rPr>
              <w:fldChar w:fldCharType="end"/>
            </w:r>
          </w:hyperlink>
        </w:p>
        <w:p w14:paraId="077918A1" w14:textId="77777777" w:rsidR="000774B9" w:rsidRDefault="000774B9" w:rsidP="000774B9">
          <w:pPr>
            <w:rPr>
              <w:b/>
              <w:bCs/>
              <w:noProof/>
            </w:rPr>
          </w:pPr>
          <w:r w:rsidRPr="00595CB4">
            <w:rPr>
              <w:rFonts w:cs="Arial"/>
              <w:b/>
              <w:bCs/>
              <w:noProof/>
              <w:sz w:val="22"/>
            </w:rPr>
            <w:fldChar w:fldCharType="end"/>
          </w:r>
        </w:p>
      </w:sdtContent>
    </w:sdt>
    <w:p w14:paraId="7227E0A7" w14:textId="724D014D" w:rsidR="000774B9" w:rsidRDefault="000774B9">
      <w:pPr>
        <w:spacing w:line="259" w:lineRule="auto"/>
        <w:jc w:val="left"/>
      </w:pPr>
      <w:r>
        <w:br w:type="page"/>
      </w:r>
    </w:p>
    <w:p w14:paraId="63A103DC" w14:textId="77777777" w:rsidR="000774B9" w:rsidRPr="000774B9" w:rsidRDefault="000774B9" w:rsidP="000774B9">
      <w:pPr>
        <w:pStyle w:val="Heading1"/>
        <w:rPr>
          <w:rFonts w:ascii="Arial" w:hAnsi="Arial" w:cs="Arial"/>
          <w:b/>
          <w:bCs/>
          <w:sz w:val="28"/>
          <w:szCs w:val="28"/>
        </w:rPr>
      </w:pPr>
      <w:bookmarkStart w:id="0" w:name="_Toc213972212"/>
      <w:r w:rsidRPr="000774B9">
        <w:rPr>
          <w:rFonts w:ascii="Arial" w:hAnsi="Arial" w:cs="Arial"/>
          <w:b/>
          <w:bCs/>
          <w:sz w:val="28"/>
          <w:szCs w:val="28"/>
        </w:rPr>
        <w:lastRenderedPageBreak/>
        <w:t>Introduction</w:t>
      </w:r>
      <w:bookmarkEnd w:id="0"/>
    </w:p>
    <w:p w14:paraId="331E06F5" w14:textId="77777777" w:rsidR="000774B9" w:rsidRDefault="000774B9" w:rsidP="000774B9">
      <w:pPr>
        <w:keepNext/>
        <w:jc w:val="center"/>
      </w:pPr>
      <w:r w:rsidRPr="006669D0">
        <w:rPr>
          <w:rFonts w:cs="Arial"/>
          <w:noProof/>
          <w:sz w:val="22"/>
          <w:szCs w:val="20"/>
        </w:rPr>
        <w:drawing>
          <wp:inline distT="0" distB="0" distL="0" distR="0" wp14:anchorId="0E27964E" wp14:editId="1FBDEF9A">
            <wp:extent cx="2743200" cy="1543050"/>
            <wp:effectExtent l="0" t="0" r="0" b="0"/>
            <wp:docPr id="225527738" name="Picture 1" descr="Sainsbury's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sbury's Logo, symbol, meaning, history, PNG, bran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48219" cy="1545873"/>
                    </a:xfrm>
                    <a:prstGeom prst="rect">
                      <a:avLst/>
                    </a:prstGeom>
                    <a:noFill/>
                    <a:ln>
                      <a:noFill/>
                    </a:ln>
                  </pic:spPr>
                </pic:pic>
              </a:graphicData>
            </a:graphic>
          </wp:inline>
        </w:drawing>
      </w:r>
    </w:p>
    <w:p w14:paraId="21FDBE65" w14:textId="77777777" w:rsidR="000774B9" w:rsidRPr="006669D0" w:rsidRDefault="000774B9" w:rsidP="000774B9">
      <w:pPr>
        <w:pStyle w:val="Caption"/>
        <w:spacing w:line="360" w:lineRule="auto"/>
        <w:jc w:val="center"/>
        <w:rPr>
          <w:rFonts w:ascii="Arial" w:hAnsi="Arial" w:cs="Arial"/>
          <w:color w:val="auto"/>
          <w:sz w:val="28"/>
          <w:szCs w:val="24"/>
        </w:rPr>
      </w:pPr>
      <w:r w:rsidRPr="006669D0">
        <w:rPr>
          <w:rFonts w:ascii="Arial" w:hAnsi="Arial" w:cs="Arial"/>
          <w:color w:val="auto"/>
          <w:sz w:val="22"/>
          <w:szCs w:val="22"/>
        </w:rPr>
        <w:t xml:space="preserve">Figure </w:t>
      </w:r>
      <w:r w:rsidRPr="006669D0">
        <w:rPr>
          <w:rFonts w:ascii="Arial" w:hAnsi="Arial" w:cs="Arial"/>
          <w:color w:val="auto"/>
          <w:sz w:val="22"/>
          <w:szCs w:val="22"/>
        </w:rPr>
        <w:fldChar w:fldCharType="begin"/>
      </w:r>
      <w:r w:rsidRPr="006669D0">
        <w:rPr>
          <w:rFonts w:ascii="Arial" w:hAnsi="Arial" w:cs="Arial"/>
          <w:color w:val="auto"/>
          <w:sz w:val="22"/>
          <w:szCs w:val="22"/>
        </w:rPr>
        <w:instrText xml:space="preserve"> SEQ Figure \* ARABIC </w:instrText>
      </w:r>
      <w:r w:rsidRPr="006669D0">
        <w:rPr>
          <w:rFonts w:ascii="Arial" w:hAnsi="Arial" w:cs="Arial"/>
          <w:color w:val="auto"/>
          <w:sz w:val="22"/>
          <w:szCs w:val="22"/>
        </w:rPr>
        <w:fldChar w:fldCharType="separate"/>
      </w:r>
      <w:r w:rsidRPr="006669D0">
        <w:rPr>
          <w:rFonts w:ascii="Arial" w:hAnsi="Arial" w:cs="Arial"/>
          <w:noProof/>
          <w:color w:val="auto"/>
          <w:sz w:val="22"/>
          <w:szCs w:val="22"/>
        </w:rPr>
        <w:t>1</w:t>
      </w:r>
      <w:r w:rsidRPr="006669D0">
        <w:rPr>
          <w:rFonts w:ascii="Arial" w:hAnsi="Arial" w:cs="Arial"/>
          <w:color w:val="auto"/>
          <w:sz w:val="22"/>
          <w:szCs w:val="22"/>
        </w:rPr>
        <w:fldChar w:fldCharType="end"/>
      </w:r>
      <w:r w:rsidRPr="006669D0">
        <w:rPr>
          <w:rFonts w:ascii="Arial" w:hAnsi="Arial" w:cs="Arial"/>
          <w:color w:val="auto"/>
          <w:sz w:val="22"/>
          <w:szCs w:val="22"/>
        </w:rPr>
        <w:t>: Logo of Sainsbury's (Sainsbury's, 2025)</w:t>
      </w:r>
    </w:p>
    <w:p w14:paraId="1E7DF6EB" w14:textId="2283CBF7" w:rsidR="000774B9" w:rsidRPr="001134B1" w:rsidRDefault="000774B9" w:rsidP="000774B9">
      <w:pPr>
        <w:rPr>
          <w:rFonts w:cs="Arial"/>
          <w:sz w:val="22"/>
          <w:szCs w:val="20"/>
        </w:rPr>
      </w:pPr>
      <w:r w:rsidRPr="001134B1">
        <w:rPr>
          <w:rFonts w:cs="Arial"/>
          <w:sz w:val="22"/>
          <w:szCs w:val="20"/>
        </w:rPr>
        <w:t>Sainsbury</w:t>
      </w:r>
      <w:r>
        <w:rPr>
          <w:rFonts w:cs="Arial"/>
          <w:sz w:val="22"/>
          <w:szCs w:val="20"/>
        </w:rPr>
        <w:t>’s</w:t>
      </w:r>
      <w:r w:rsidRPr="001134B1">
        <w:rPr>
          <w:rFonts w:cs="Arial"/>
          <w:sz w:val="22"/>
          <w:szCs w:val="20"/>
        </w:rPr>
        <w:t xml:space="preserve"> chain is a supermarket company based in UK with over 140,000 employees located all over the country (Sainsbury’s, 2025). However, there exist certain problems in human resource department. Among the primary issues is the number of complaints expressed by the employees. The areas of concern are business transformation, digital technology trends, and flexible working arrangements. This report talks about these details, evaluates the modern HR </w:t>
      </w:r>
      <w:r w:rsidR="000C3095" w:rsidRPr="001134B1">
        <w:rPr>
          <w:rFonts w:cs="Arial"/>
          <w:sz w:val="22"/>
          <w:szCs w:val="20"/>
        </w:rPr>
        <w:t>practices</w:t>
      </w:r>
      <w:r w:rsidRPr="001134B1">
        <w:rPr>
          <w:rFonts w:cs="Arial"/>
          <w:sz w:val="22"/>
          <w:szCs w:val="20"/>
        </w:rPr>
        <w:t xml:space="preserve"> that might be applied to address them, and critically analyses how managers may </w:t>
      </w:r>
      <w:r w:rsidR="000C3095" w:rsidRPr="001134B1">
        <w:rPr>
          <w:rFonts w:cs="Arial"/>
          <w:sz w:val="22"/>
          <w:szCs w:val="20"/>
        </w:rPr>
        <w:t>utilize</w:t>
      </w:r>
      <w:r w:rsidRPr="001134B1">
        <w:rPr>
          <w:rFonts w:cs="Arial"/>
          <w:sz w:val="22"/>
          <w:szCs w:val="20"/>
        </w:rPr>
        <w:t xml:space="preserve"> the </w:t>
      </w:r>
      <w:r w:rsidR="000C3095" w:rsidRPr="001134B1">
        <w:rPr>
          <w:rFonts w:cs="Arial"/>
          <w:sz w:val="22"/>
          <w:szCs w:val="20"/>
        </w:rPr>
        <w:t>practices</w:t>
      </w:r>
      <w:r w:rsidRPr="001134B1">
        <w:rPr>
          <w:rFonts w:cs="Arial"/>
          <w:sz w:val="22"/>
          <w:szCs w:val="20"/>
        </w:rPr>
        <w:t xml:space="preserve"> in the short term. The goal will be to provide practical solutions that will make employees happier and reduce workplace disputes.</w:t>
      </w:r>
    </w:p>
    <w:p w14:paraId="6176611F" w14:textId="77777777" w:rsidR="000774B9" w:rsidRPr="00950577" w:rsidRDefault="000774B9" w:rsidP="000774B9">
      <w:pPr>
        <w:pStyle w:val="Heading1"/>
        <w:rPr>
          <w:rFonts w:ascii="Arial" w:hAnsi="Arial" w:cs="Arial"/>
          <w:b/>
          <w:bCs/>
          <w:sz w:val="28"/>
          <w:szCs w:val="28"/>
        </w:rPr>
      </w:pPr>
      <w:bookmarkStart w:id="1" w:name="_Toc213972213"/>
      <w:r w:rsidRPr="00950577">
        <w:rPr>
          <w:rFonts w:ascii="Arial" w:hAnsi="Arial" w:cs="Arial"/>
          <w:b/>
          <w:bCs/>
          <w:sz w:val="28"/>
          <w:szCs w:val="28"/>
        </w:rPr>
        <w:t>Factors Related to Business Transformation, Digital Technology Trends and Flexible Working Arrangements</w:t>
      </w:r>
      <w:bookmarkEnd w:id="1"/>
    </w:p>
    <w:p w14:paraId="1578D49B" w14:textId="77777777" w:rsidR="000774B9" w:rsidRPr="00950577" w:rsidRDefault="000774B9" w:rsidP="000774B9">
      <w:pPr>
        <w:pStyle w:val="Heading2"/>
        <w:rPr>
          <w:rFonts w:ascii="Arial" w:hAnsi="Arial" w:cs="Arial"/>
          <w:b/>
          <w:bCs/>
          <w:color w:val="000000" w:themeColor="text1"/>
          <w:sz w:val="24"/>
          <w:szCs w:val="24"/>
        </w:rPr>
      </w:pPr>
      <w:bookmarkStart w:id="2" w:name="_Toc213972214"/>
      <w:r w:rsidRPr="00950577">
        <w:rPr>
          <w:rFonts w:ascii="Arial" w:hAnsi="Arial" w:cs="Arial"/>
          <w:b/>
          <w:bCs/>
          <w:color w:val="000000" w:themeColor="text1"/>
          <w:sz w:val="24"/>
          <w:szCs w:val="24"/>
        </w:rPr>
        <w:t>Business Transformation Factors</w:t>
      </w:r>
      <w:bookmarkEnd w:id="2"/>
    </w:p>
    <w:p w14:paraId="5780F8D4" w14:textId="19A821F0" w:rsidR="000774B9" w:rsidRPr="001134B1" w:rsidRDefault="000774B9" w:rsidP="000774B9">
      <w:pPr>
        <w:rPr>
          <w:rFonts w:cs="Arial"/>
          <w:sz w:val="22"/>
          <w:szCs w:val="20"/>
        </w:rPr>
      </w:pPr>
      <w:r w:rsidRPr="001134B1">
        <w:rPr>
          <w:rFonts w:cs="Arial"/>
          <w:sz w:val="22"/>
          <w:szCs w:val="20"/>
        </w:rPr>
        <w:t xml:space="preserve">In recent years, Sainsbury’s has been undergoing significant business changes. The company has moved its old-fashioned retail business to an omnichannel model that comprises brick and mortar stores and online shopping. This change </w:t>
      </w:r>
      <w:r w:rsidR="00BD741C" w:rsidRPr="001134B1">
        <w:rPr>
          <w:rFonts w:cs="Arial"/>
          <w:sz w:val="22"/>
          <w:szCs w:val="20"/>
        </w:rPr>
        <w:t>ha</w:t>
      </w:r>
      <w:r w:rsidR="00BD741C">
        <w:rPr>
          <w:rFonts w:cs="Arial"/>
          <w:sz w:val="22"/>
          <w:szCs w:val="20"/>
        </w:rPr>
        <w:t>s</w:t>
      </w:r>
      <w:r w:rsidRPr="001134B1">
        <w:rPr>
          <w:rFonts w:cs="Arial"/>
          <w:sz w:val="22"/>
          <w:szCs w:val="20"/>
        </w:rPr>
        <w:t xml:space="preserve"> brought various problems to employees. Now many of the employees that have been trained in in-store customer service have to take online orders, handle click and collect, and automated checkouts. Armstrong and Taylor (2020) state that business transformation can lead to </w:t>
      </w:r>
      <w:r w:rsidR="00950577" w:rsidRPr="001134B1">
        <w:rPr>
          <w:rFonts w:cs="Arial"/>
          <w:sz w:val="22"/>
          <w:szCs w:val="20"/>
        </w:rPr>
        <w:t>anxiety</w:t>
      </w:r>
      <w:r w:rsidRPr="001134B1">
        <w:rPr>
          <w:rFonts w:cs="Arial"/>
          <w:sz w:val="22"/>
          <w:szCs w:val="20"/>
        </w:rPr>
        <w:t xml:space="preserve"> of employees since workers are afraid that their skills will become obsolete or their jobs will be lost.</w:t>
      </w:r>
    </w:p>
    <w:p w14:paraId="09D6B18A" w14:textId="440C492E" w:rsidR="000774B9" w:rsidRPr="001134B1" w:rsidRDefault="000774B9" w:rsidP="000774B9">
      <w:pPr>
        <w:rPr>
          <w:rFonts w:cs="Arial"/>
          <w:sz w:val="22"/>
          <w:szCs w:val="20"/>
        </w:rPr>
      </w:pPr>
      <w:r w:rsidRPr="001134B1">
        <w:rPr>
          <w:rFonts w:cs="Arial"/>
          <w:sz w:val="22"/>
          <w:szCs w:val="20"/>
        </w:rPr>
        <w:t xml:space="preserve">The transformation has brought about changes in job roles at Sainsbury’s. Store assistants are now required to be versatile in various units, deal with technology which they are not comfortable with, and adjust to new working practices. These changes make some employees overwhelmed and anxious about job security. Especially, older employees find it difficult to adjust to emerging demands. The company has also </w:t>
      </w:r>
      <w:r w:rsidR="00950577" w:rsidRPr="001134B1">
        <w:rPr>
          <w:rFonts w:cs="Arial"/>
          <w:sz w:val="22"/>
          <w:szCs w:val="20"/>
        </w:rPr>
        <w:t>reorganized</w:t>
      </w:r>
      <w:r w:rsidRPr="001134B1">
        <w:rPr>
          <w:rFonts w:cs="Arial"/>
          <w:sz w:val="22"/>
          <w:szCs w:val="20"/>
        </w:rPr>
        <w:t xml:space="preserve"> its management structures </w:t>
      </w:r>
      <w:r w:rsidRPr="001134B1">
        <w:rPr>
          <w:rFonts w:cs="Arial"/>
          <w:sz w:val="22"/>
          <w:szCs w:val="20"/>
        </w:rPr>
        <w:lastRenderedPageBreak/>
        <w:t>with no clear career advancement paths. The transformation factors have led to stress and employee grievances.</w:t>
      </w:r>
    </w:p>
    <w:p w14:paraId="0C65AA6B" w14:textId="77777777" w:rsidR="000774B9" w:rsidRPr="00950577" w:rsidRDefault="000774B9" w:rsidP="000774B9">
      <w:pPr>
        <w:pStyle w:val="Heading2"/>
        <w:rPr>
          <w:rFonts w:ascii="Arial" w:hAnsi="Arial" w:cs="Arial"/>
          <w:b/>
          <w:bCs/>
          <w:color w:val="000000" w:themeColor="text1"/>
          <w:sz w:val="24"/>
          <w:szCs w:val="24"/>
        </w:rPr>
      </w:pPr>
      <w:bookmarkStart w:id="3" w:name="_Toc213972215"/>
      <w:r w:rsidRPr="00950577">
        <w:rPr>
          <w:rFonts w:ascii="Arial" w:hAnsi="Arial" w:cs="Arial"/>
          <w:b/>
          <w:bCs/>
          <w:color w:val="000000" w:themeColor="text1"/>
          <w:sz w:val="24"/>
          <w:szCs w:val="24"/>
        </w:rPr>
        <w:t>Digital Technology Trends</w:t>
      </w:r>
      <w:bookmarkEnd w:id="3"/>
    </w:p>
    <w:p w14:paraId="33476F96" w14:textId="6E2E98D0" w:rsidR="000774B9" w:rsidRPr="001134B1" w:rsidRDefault="000774B9" w:rsidP="000774B9">
      <w:pPr>
        <w:rPr>
          <w:rFonts w:cs="Arial"/>
          <w:sz w:val="22"/>
          <w:szCs w:val="20"/>
        </w:rPr>
      </w:pPr>
      <w:r w:rsidRPr="001134B1">
        <w:rPr>
          <w:rFonts w:cs="Arial"/>
          <w:sz w:val="22"/>
          <w:szCs w:val="20"/>
        </w:rPr>
        <w:t xml:space="preserve">Sainsbury’s has transformed its operations </w:t>
      </w:r>
      <w:r w:rsidR="00950577" w:rsidRPr="001134B1">
        <w:rPr>
          <w:rFonts w:cs="Arial"/>
          <w:sz w:val="22"/>
          <w:szCs w:val="20"/>
        </w:rPr>
        <w:t>into</w:t>
      </w:r>
      <w:r w:rsidRPr="001134B1">
        <w:rPr>
          <w:rFonts w:cs="Arial"/>
          <w:sz w:val="22"/>
          <w:szCs w:val="20"/>
        </w:rPr>
        <w:t xml:space="preserve"> digital technology. The self-service checkouts, mobile scanning applications, electronic shelf labels, automated stock management systems, and data analytics tools are all now implemented by the company. Although these technologies enhance efficiency, they present a major challenge to the workforce. A lot of workers do not feel comfortable with the usage of new digital tools and systems. Bratton et al. (2017) explain that fast changes in technology in a retail setting tend to leave the employees unprepared and undervalued.</w:t>
      </w:r>
    </w:p>
    <w:p w14:paraId="5690A77B" w14:textId="1327C66D" w:rsidR="000774B9" w:rsidRPr="001134B1" w:rsidRDefault="000774B9" w:rsidP="000774B9">
      <w:pPr>
        <w:rPr>
          <w:rFonts w:cs="Arial"/>
          <w:sz w:val="22"/>
          <w:szCs w:val="20"/>
        </w:rPr>
      </w:pPr>
      <w:r w:rsidRPr="001134B1">
        <w:rPr>
          <w:rFonts w:cs="Arial"/>
          <w:sz w:val="22"/>
          <w:szCs w:val="20"/>
        </w:rPr>
        <w:t xml:space="preserve">In Sainsbury’s, there have been several challenges associated with technology. Employees complain that they are not given enough training on new systems, which result in errors and customer complaints. The stock checking application frequently </w:t>
      </w:r>
      <w:r w:rsidR="00950577" w:rsidRPr="001134B1">
        <w:rPr>
          <w:rFonts w:cs="Arial"/>
          <w:sz w:val="22"/>
          <w:szCs w:val="20"/>
        </w:rPr>
        <w:t>crashes,</w:t>
      </w:r>
      <w:r w:rsidRPr="001134B1">
        <w:rPr>
          <w:rFonts w:cs="Arial"/>
          <w:sz w:val="22"/>
          <w:szCs w:val="20"/>
        </w:rPr>
        <w:t xml:space="preserve"> which is frustrating on the mobile app. Employees are pressured to acquire new technologies within a short time frame without having to reduce their regular workload. Also, there are employees who are afraid of the fact that more automation will one day substitute human beings. The shift to artificial intelligence in scheduling and inventory management of the company has also brought up the concern of diminished human decision-making (Enholm et al., 2022). These digital trends have led to a skills gap whereby several employees are left behind with technological advancements.</w:t>
      </w:r>
    </w:p>
    <w:p w14:paraId="0675F94C" w14:textId="77777777" w:rsidR="000774B9" w:rsidRPr="00950577" w:rsidRDefault="000774B9" w:rsidP="000774B9">
      <w:pPr>
        <w:pStyle w:val="Heading2"/>
        <w:rPr>
          <w:rFonts w:ascii="Arial" w:hAnsi="Arial" w:cs="Arial"/>
          <w:b/>
          <w:bCs/>
          <w:color w:val="000000" w:themeColor="text1"/>
          <w:sz w:val="24"/>
          <w:szCs w:val="24"/>
        </w:rPr>
      </w:pPr>
      <w:bookmarkStart w:id="4" w:name="_Toc213972216"/>
      <w:r w:rsidRPr="00950577">
        <w:rPr>
          <w:rFonts w:ascii="Arial" w:hAnsi="Arial" w:cs="Arial"/>
          <w:b/>
          <w:bCs/>
          <w:color w:val="000000" w:themeColor="text1"/>
          <w:sz w:val="24"/>
          <w:szCs w:val="24"/>
        </w:rPr>
        <w:t>Flexible Working Arrangements</w:t>
      </w:r>
      <w:bookmarkEnd w:id="4"/>
    </w:p>
    <w:p w14:paraId="76E98364" w14:textId="77777777" w:rsidR="000774B9" w:rsidRPr="001134B1" w:rsidRDefault="000774B9" w:rsidP="000774B9">
      <w:pPr>
        <w:rPr>
          <w:rFonts w:cs="Arial"/>
          <w:sz w:val="22"/>
          <w:szCs w:val="20"/>
        </w:rPr>
      </w:pPr>
      <w:r w:rsidRPr="001134B1">
        <w:rPr>
          <w:rFonts w:cs="Arial"/>
          <w:sz w:val="22"/>
          <w:szCs w:val="20"/>
        </w:rPr>
        <w:t>The issue of flexible working has gained significance over the past few years, particularly after the COVID-19 pandemic (Meyer et al., 2022). At Sainsbury’s, it involves hybrid working among office employees, flexible work arrangements among store employees and remote working among some employees. Nonetheless, flexible working has been problematic to implement. To begin with, the departments lack consistency. Whereas the staff at the head office can work at home a few days a week, the flexibility of a store worker is limited by the nature of the job. This has created a sense of injustice in the employees.</w:t>
      </w:r>
    </w:p>
    <w:p w14:paraId="776288AA" w14:textId="2A3E04C0" w:rsidR="000774B9" w:rsidRPr="001134B1" w:rsidRDefault="000774B9" w:rsidP="000774B9">
      <w:pPr>
        <w:rPr>
          <w:rFonts w:cs="Arial"/>
          <w:sz w:val="22"/>
          <w:szCs w:val="20"/>
        </w:rPr>
      </w:pPr>
      <w:r w:rsidRPr="001134B1">
        <w:rPr>
          <w:rFonts w:cs="Arial"/>
          <w:sz w:val="22"/>
          <w:szCs w:val="20"/>
        </w:rPr>
        <w:t xml:space="preserve">The store workers have been complaining </w:t>
      </w:r>
      <w:r w:rsidR="000C3095" w:rsidRPr="001134B1">
        <w:rPr>
          <w:rFonts w:cs="Arial"/>
          <w:sz w:val="22"/>
          <w:szCs w:val="20"/>
        </w:rPr>
        <w:t>about</w:t>
      </w:r>
      <w:r w:rsidRPr="001134B1">
        <w:rPr>
          <w:rFonts w:cs="Arial"/>
          <w:sz w:val="22"/>
          <w:szCs w:val="20"/>
        </w:rPr>
        <w:t xml:space="preserve"> unfair patterns of shifts that do not allow planning of individual commitments. The company has automated scheduling software which at times assigns shifts with less notice. Parents who work at odd hours find it hard to </w:t>
      </w:r>
      <w:r w:rsidR="000C3095" w:rsidRPr="001134B1">
        <w:rPr>
          <w:rFonts w:cs="Arial"/>
          <w:sz w:val="22"/>
          <w:szCs w:val="20"/>
        </w:rPr>
        <w:t>balance</w:t>
      </w:r>
      <w:r w:rsidRPr="001134B1">
        <w:rPr>
          <w:rFonts w:cs="Arial"/>
          <w:sz w:val="22"/>
          <w:szCs w:val="20"/>
        </w:rPr>
        <w:t xml:space="preserve"> childcare. Part-time workers also claim that they are often requested to work extra shifts at </w:t>
      </w:r>
      <w:r w:rsidR="000C3095" w:rsidRPr="001134B1">
        <w:rPr>
          <w:rFonts w:cs="Arial"/>
          <w:sz w:val="22"/>
          <w:szCs w:val="20"/>
        </w:rPr>
        <w:t>short</w:t>
      </w:r>
      <w:r w:rsidRPr="001134B1">
        <w:rPr>
          <w:rFonts w:cs="Arial"/>
          <w:sz w:val="22"/>
          <w:szCs w:val="20"/>
        </w:rPr>
        <w:t xml:space="preserve"> notice, which interferes with their working-life balance. According to Galanti et al. (2021), office-workers that work from home experience isolation and disconnection with their groups. </w:t>
      </w:r>
      <w:r w:rsidRPr="001134B1">
        <w:rPr>
          <w:rFonts w:cs="Arial"/>
          <w:sz w:val="22"/>
          <w:szCs w:val="20"/>
        </w:rPr>
        <w:lastRenderedPageBreak/>
        <w:t xml:space="preserve">Some managers oppose the idea of flexible working arrangements since some feel that there is reduced productivity when employees are absent. Such opposing ideas regarding working flexibly have </w:t>
      </w:r>
      <w:r w:rsidR="000C3095" w:rsidRPr="001134B1">
        <w:rPr>
          <w:rFonts w:cs="Arial"/>
          <w:sz w:val="22"/>
          <w:szCs w:val="20"/>
        </w:rPr>
        <w:t>fueled</w:t>
      </w:r>
      <w:r w:rsidRPr="001134B1">
        <w:rPr>
          <w:rFonts w:cs="Arial"/>
          <w:sz w:val="22"/>
          <w:szCs w:val="20"/>
        </w:rPr>
        <w:t xml:space="preserve"> conflicts at the workplace and added to the burden of complaints.</w:t>
      </w:r>
    </w:p>
    <w:p w14:paraId="1A21CCFC" w14:textId="77777777" w:rsidR="000774B9" w:rsidRPr="00FB3263" w:rsidRDefault="000774B9" w:rsidP="000774B9">
      <w:pPr>
        <w:pStyle w:val="Heading1"/>
        <w:rPr>
          <w:rFonts w:ascii="Arial" w:hAnsi="Arial" w:cs="Arial"/>
          <w:b/>
          <w:bCs/>
          <w:sz w:val="28"/>
          <w:szCs w:val="28"/>
        </w:rPr>
      </w:pPr>
      <w:bookmarkStart w:id="5" w:name="_Toc213972217"/>
      <w:r w:rsidRPr="00FB3263">
        <w:rPr>
          <w:rFonts w:ascii="Arial" w:hAnsi="Arial" w:cs="Arial"/>
          <w:b/>
          <w:bCs/>
          <w:sz w:val="28"/>
          <w:szCs w:val="28"/>
        </w:rPr>
        <w:t>Evaluation of Contemporary HR Practices to Address Each Factor</w:t>
      </w:r>
      <w:bookmarkEnd w:id="5"/>
    </w:p>
    <w:p w14:paraId="1DC19054" w14:textId="77777777" w:rsidR="000774B9" w:rsidRPr="00FB3263" w:rsidRDefault="000774B9" w:rsidP="000774B9">
      <w:pPr>
        <w:pStyle w:val="Heading2"/>
        <w:rPr>
          <w:rFonts w:ascii="Arial" w:hAnsi="Arial" w:cs="Arial"/>
          <w:b/>
          <w:bCs/>
          <w:color w:val="000000" w:themeColor="text1"/>
          <w:sz w:val="24"/>
          <w:szCs w:val="24"/>
        </w:rPr>
      </w:pPr>
      <w:bookmarkStart w:id="6" w:name="_Toc213972218"/>
      <w:r w:rsidRPr="00FB3263">
        <w:rPr>
          <w:rFonts w:ascii="Arial" w:hAnsi="Arial" w:cs="Arial"/>
          <w:b/>
          <w:bCs/>
          <w:color w:val="000000" w:themeColor="text1"/>
          <w:sz w:val="24"/>
          <w:szCs w:val="24"/>
        </w:rPr>
        <w:t>HR Practices for Business Transformation</w:t>
      </w:r>
      <w:bookmarkEnd w:id="6"/>
    </w:p>
    <w:p w14:paraId="25CAA382" w14:textId="04775067" w:rsidR="000774B9" w:rsidRPr="001134B1" w:rsidRDefault="000774B9" w:rsidP="000774B9">
      <w:pPr>
        <w:rPr>
          <w:rFonts w:cs="Arial"/>
          <w:sz w:val="22"/>
          <w:szCs w:val="20"/>
        </w:rPr>
      </w:pPr>
      <w:r w:rsidRPr="001134B1">
        <w:rPr>
          <w:rFonts w:cs="Arial"/>
          <w:sz w:val="22"/>
          <w:szCs w:val="20"/>
        </w:rPr>
        <w:t xml:space="preserve">Sainsbury’s </w:t>
      </w:r>
      <w:r w:rsidR="00FB3263" w:rsidRPr="001134B1">
        <w:rPr>
          <w:rFonts w:cs="Arial"/>
          <w:sz w:val="22"/>
          <w:szCs w:val="20"/>
        </w:rPr>
        <w:t>must</w:t>
      </w:r>
      <w:r w:rsidRPr="001134B1">
        <w:rPr>
          <w:rFonts w:cs="Arial"/>
          <w:sz w:val="22"/>
          <w:szCs w:val="20"/>
        </w:rPr>
        <w:t xml:space="preserve"> adopt a </w:t>
      </w:r>
      <w:r w:rsidR="00FB3263" w:rsidRPr="001134B1">
        <w:rPr>
          <w:rFonts w:cs="Arial"/>
          <w:sz w:val="22"/>
          <w:szCs w:val="20"/>
        </w:rPr>
        <w:t>comprehensive</w:t>
      </w:r>
      <w:r w:rsidRPr="001134B1">
        <w:rPr>
          <w:rFonts w:cs="Arial"/>
          <w:sz w:val="22"/>
          <w:szCs w:val="20"/>
        </w:rPr>
        <w:t xml:space="preserve"> management programme to deal with the challenge of business transformation. Hayes (2022) indicates that effective </w:t>
      </w:r>
      <w:r w:rsidR="00FB3263" w:rsidRPr="001134B1">
        <w:rPr>
          <w:rFonts w:cs="Arial"/>
          <w:sz w:val="22"/>
          <w:szCs w:val="20"/>
        </w:rPr>
        <w:t>organizational</w:t>
      </w:r>
      <w:r w:rsidRPr="001134B1">
        <w:rPr>
          <w:rFonts w:cs="Arial"/>
          <w:sz w:val="22"/>
          <w:szCs w:val="20"/>
        </w:rPr>
        <w:t xml:space="preserve"> change must involve effective communication, participation of employees and sustained support. The company must form teams of transformation that are made up of employees of varied levels and departments. Such teams can give feedback on changes that are suggested and design solutions that are practical.</w:t>
      </w:r>
    </w:p>
    <w:p w14:paraId="69EF8685" w14:textId="739A1D11" w:rsidR="000774B9" w:rsidRPr="001134B1" w:rsidRDefault="000774B9" w:rsidP="000774B9">
      <w:pPr>
        <w:rPr>
          <w:rFonts w:cs="Arial"/>
          <w:sz w:val="22"/>
          <w:szCs w:val="20"/>
        </w:rPr>
      </w:pPr>
      <w:r w:rsidRPr="001134B1">
        <w:rPr>
          <w:rFonts w:cs="Arial"/>
          <w:sz w:val="22"/>
          <w:szCs w:val="20"/>
        </w:rPr>
        <w:t xml:space="preserve">During times of transition, career development programmes are needed. Sainsbury’s should also develop transparent career advancement that indicates to staff how they can also grow with the company. This involves the provision of internal promotions and lateral transfer options into other fields. Talent management systems can identify employees who have potential and offer them specific development opportunities (McDonnell et al., 2017). Frequent career discussions between managers and employees keep employees aware of their future and </w:t>
      </w:r>
      <w:r w:rsidR="00FB3263" w:rsidRPr="001134B1">
        <w:rPr>
          <w:rFonts w:cs="Arial"/>
          <w:sz w:val="22"/>
          <w:szCs w:val="20"/>
        </w:rPr>
        <w:t>minimize</w:t>
      </w:r>
      <w:r w:rsidRPr="001134B1">
        <w:rPr>
          <w:rFonts w:cs="Arial"/>
          <w:sz w:val="22"/>
          <w:szCs w:val="20"/>
        </w:rPr>
        <w:t xml:space="preserve"> uncertainty. Engagement activities are also important to employees. Regular surveys should be </w:t>
      </w:r>
      <w:r w:rsidR="00FB3263" w:rsidRPr="001134B1">
        <w:rPr>
          <w:rFonts w:cs="Arial"/>
          <w:sz w:val="22"/>
          <w:szCs w:val="20"/>
        </w:rPr>
        <w:t>conducted</w:t>
      </w:r>
      <w:r w:rsidRPr="001134B1">
        <w:rPr>
          <w:rFonts w:cs="Arial"/>
          <w:sz w:val="22"/>
          <w:szCs w:val="20"/>
        </w:rPr>
        <w:t xml:space="preserve"> to determine employee issues and the level of satisfaction in Sainsbury’s. Trust can be developed through town hall meetings where top leaders can explain the plans of the transformation and discuss questions in person. Employees that are successful in adjusting to changes can be given recognition programmes that inspire others. These standards will make employees feel important when things are uncertain and lessen opposition to change.</w:t>
      </w:r>
    </w:p>
    <w:p w14:paraId="2508836B" w14:textId="77777777" w:rsidR="000774B9" w:rsidRPr="00FB3263" w:rsidRDefault="000774B9" w:rsidP="000774B9">
      <w:pPr>
        <w:pStyle w:val="Heading2"/>
        <w:rPr>
          <w:rFonts w:ascii="Arial" w:hAnsi="Arial" w:cs="Arial"/>
          <w:b/>
          <w:bCs/>
          <w:color w:val="000000" w:themeColor="text1"/>
          <w:sz w:val="24"/>
          <w:szCs w:val="24"/>
        </w:rPr>
      </w:pPr>
      <w:bookmarkStart w:id="7" w:name="_Toc213972219"/>
      <w:r w:rsidRPr="00FB3263">
        <w:rPr>
          <w:rFonts w:ascii="Arial" w:hAnsi="Arial" w:cs="Arial"/>
          <w:b/>
          <w:bCs/>
          <w:color w:val="000000" w:themeColor="text1"/>
          <w:sz w:val="24"/>
          <w:szCs w:val="24"/>
        </w:rPr>
        <w:t>HR Practices for Digital Technology Trends</w:t>
      </w:r>
      <w:bookmarkEnd w:id="7"/>
    </w:p>
    <w:p w14:paraId="52A67750" w14:textId="6CD91D39" w:rsidR="000774B9" w:rsidRPr="001134B1" w:rsidRDefault="000774B9" w:rsidP="000774B9">
      <w:pPr>
        <w:rPr>
          <w:rFonts w:cs="Arial"/>
          <w:sz w:val="22"/>
          <w:szCs w:val="20"/>
        </w:rPr>
      </w:pPr>
      <w:r w:rsidRPr="001134B1">
        <w:rPr>
          <w:rFonts w:cs="Arial"/>
          <w:sz w:val="22"/>
          <w:szCs w:val="20"/>
        </w:rPr>
        <w:t xml:space="preserve">Digital technology issue demands intense emphasis on learning and development. Sainsbury’s should carry out an extensive digital skills training programme. Garavan et al. (2021) claimed that the proper training should be available, practical and continuous, but not a one-time event. It should also have various forms of learning such as online tutorials, workshops and peer mentoring. Training must be adjusted to the skills, so that weaker employees </w:t>
      </w:r>
      <w:r w:rsidR="00FB3263" w:rsidRPr="001134B1">
        <w:rPr>
          <w:rFonts w:cs="Arial"/>
          <w:sz w:val="22"/>
          <w:szCs w:val="20"/>
        </w:rPr>
        <w:t>can</w:t>
      </w:r>
      <w:r w:rsidRPr="001134B1">
        <w:rPr>
          <w:rFonts w:cs="Arial"/>
          <w:sz w:val="22"/>
          <w:szCs w:val="20"/>
        </w:rPr>
        <w:t xml:space="preserve"> be properly supported.</w:t>
      </w:r>
    </w:p>
    <w:p w14:paraId="573C10ED" w14:textId="3D6ECD64" w:rsidR="000774B9" w:rsidRPr="001134B1" w:rsidRDefault="000774B9" w:rsidP="000774B9">
      <w:pPr>
        <w:rPr>
          <w:rFonts w:cs="Arial"/>
          <w:sz w:val="22"/>
          <w:szCs w:val="20"/>
        </w:rPr>
      </w:pPr>
      <w:r w:rsidRPr="001134B1">
        <w:rPr>
          <w:rFonts w:cs="Arial"/>
          <w:sz w:val="22"/>
          <w:szCs w:val="20"/>
        </w:rPr>
        <w:t xml:space="preserve">Embedding new technologies can be done through the creation of a digital champion network. A small group of employees </w:t>
      </w:r>
      <w:r w:rsidR="000C3095" w:rsidRPr="001134B1">
        <w:rPr>
          <w:rFonts w:cs="Arial"/>
          <w:sz w:val="22"/>
          <w:szCs w:val="20"/>
        </w:rPr>
        <w:t>are</w:t>
      </w:r>
      <w:r w:rsidRPr="001134B1">
        <w:rPr>
          <w:rFonts w:cs="Arial"/>
          <w:sz w:val="22"/>
          <w:szCs w:val="20"/>
        </w:rPr>
        <w:t xml:space="preserve"> chosen in each department who </w:t>
      </w:r>
      <w:r w:rsidR="000C3095">
        <w:rPr>
          <w:rFonts w:cs="Arial"/>
          <w:sz w:val="22"/>
          <w:szCs w:val="20"/>
        </w:rPr>
        <w:t>are</w:t>
      </w:r>
      <w:r w:rsidRPr="001134B1">
        <w:rPr>
          <w:rFonts w:cs="Arial"/>
          <w:sz w:val="22"/>
          <w:szCs w:val="20"/>
        </w:rPr>
        <w:t xml:space="preserve"> then trained on the highly </w:t>
      </w:r>
      <w:r w:rsidRPr="001134B1">
        <w:rPr>
          <w:rFonts w:cs="Arial"/>
          <w:sz w:val="22"/>
          <w:szCs w:val="20"/>
        </w:rPr>
        <w:lastRenderedPageBreak/>
        <w:t xml:space="preserve">technical level and they in turn provide advice to their colleagues on daily </w:t>
      </w:r>
      <w:r w:rsidR="000C3095" w:rsidRPr="001134B1">
        <w:rPr>
          <w:rFonts w:cs="Arial"/>
          <w:sz w:val="22"/>
          <w:szCs w:val="20"/>
        </w:rPr>
        <w:t>technology-related</w:t>
      </w:r>
      <w:r w:rsidRPr="001134B1">
        <w:rPr>
          <w:rFonts w:cs="Arial"/>
          <w:sz w:val="22"/>
          <w:szCs w:val="20"/>
        </w:rPr>
        <w:t xml:space="preserve"> questions. This peer-to-</w:t>
      </w:r>
      <w:r w:rsidR="000C3095" w:rsidRPr="001134B1">
        <w:rPr>
          <w:rFonts w:cs="Arial"/>
          <w:sz w:val="22"/>
          <w:szCs w:val="20"/>
        </w:rPr>
        <w:t>peer support</w:t>
      </w:r>
      <w:r w:rsidRPr="001134B1">
        <w:rPr>
          <w:rFonts w:cs="Arial"/>
          <w:sz w:val="22"/>
          <w:szCs w:val="20"/>
        </w:rPr>
        <w:t xml:space="preserve"> can be more efficient than any formal training since employees feel free to ask some basic questions. The digital champions can also give responses to IT teams regarding issues concerning the system and user experience.</w:t>
      </w:r>
    </w:p>
    <w:p w14:paraId="36623E46" w14:textId="77777777" w:rsidR="000774B9" w:rsidRPr="001134B1" w:rsidRDefault="000774B9" w:rsidP="000774B9">
      <w:pPr>
        <w:rPr>
          <w:rFonts w:cs="Arial"/>
          <w:sz w:val="22"/>
          <w:szCs w:val="20"/>
        </w:rPr>
      </w:pPr>
      <w:r w:rsidRPr="001134B1">
        <w:rPr>
          <w:rFonts w:cs="Arial"/>
          <w:sz w:val="22"/>
          <w:szCs w:val="20"/>
        </w:rPr>
        <w:t>Sainsbury’s should also consider taking a slow technology roll out strategy. The company can also pilot new systems in only a few of its stores, use the feedback to perfect the technology and then roll it out to other locations. This eases the strain on employees and gives them time to prepare (Weiner, 2020). Also, continuous technical assistance by helpdesks and frequent refresher training helps the staff feel they are not left behind once they have been implemented.</w:t>
      </w:r>
    </w:p>
    <w:p w14:paraId="71FBC5AA" w14:textId="77777777" w:rsidR="000774B9" w:rsidRPr="00FB3263" w:rsidRDefault="000774B9" w:rsidP="000774B9">
      <w:pPr>
        <w:pStyle w:val="Heading2"/>
        <w:rPr>
          <w:rFonts w:ascii="Arial" w:hAnsi="Arial" w:cs="Arial"/>
          <w:b/>
          <w:bCs/>
          <w:color w:val="000000" w:themeColor="text1"/>
          <w:sz w:val="24"/>
          <w:szCs w:val="24"/>
        </w:rPr>
      </w:pPr>
      <w:bookmarkStart w:id="8" w:name="_Toc213972220"/>
      <w:r w:rsidRPr="00FB3263">
        <w:rPr>
          <w:rFonts w:ascii="Arial" w:hAnsi="Arial" w:cs="Arial"/>
          <w:b/>
          <w:bCs/>
          <w:color w:val="000000" w:themeColor="text1"/>
          <w:sz w:val="24"/>
          <w:szCs w:val="24"/>
        </w:rPr>
        <w:t>HR Practices for Flexible Working Arrangements</w:t>
      </w:r>
      <w:bookmarkEnd w:id="8"/>
    </w:p>
    <w:p w14:paraId="62DAFA79" w14:textId="77777777" w:rsidR="000774B9" w:rsidRPr="001134B1" w:rsidRDefault="000774B9" w:rsidP="000774B9">
      <w:pPr>
        <w:rPr>
          <w:rFonts w:cs="Arial"/>
          <w:sz w:val="22"/>
          <w:szCs w:val="20"/>
        </w:rPr>
      </w:pPr>
      <w:r w:rsidRPr="001134B1">
        <w:rPr>
          <w:rFonts w:cs="Arial"/>
          <w:sz w:val="22"/>
          <w:szCs w:val="20"/>
        </w:rPr>
        <w:t>To resolve the issue of flexible work, Sainsbury’s should come up with equitable and transparent policies on flexible work. CIPD (2021) states that effective flexible working needs structured protocols, education of managers, and frequent review of the policy. The company should develop a flexible working structure, which is fair to all positions but reasonable in consideration of practical constraints. For example, store workers could not work at home, but they could receive more flexibility of working schedules or compressed weeks. It is necessary to implement better scheduling systems. Sainsbury’s need to invest in scheduling software which takes the employee preferences and offers them sufficient periods of notice. The employees might be enabled to enter their availability choices, change shifts using an app and have schedules at least two weeks before. This ensures that workers have more control with regard to their work-life balance.</w:t>
      </w:r>
    </w:p>
    <w:p w14:paraId="05C7ED92" w14:textId="2A2B78D4" w:rsidR="000774B9" w:rsidRPr="001134B1" w:rsidRDefault="000774B9" w:rsidP="000774B9">
      <w:pPr>
        <w:rPr>
          <w:rFonts w:cs="Arial"/>
          <w:sz w:val="22"/>
          <w:szCs w:val="20"/>
        </w:rPr>
      </w:pPr>
      <w:r w:rsidRPr="001134B1">
        <w:rPr>
          <w:rFonts w:cs="Arial"/>
          <w:sz w:val="22"/>
          <w:szCs w:val="20"/>
        </w:rPr>
        <w:t xml:space="preserve">Training </w:t>
      </w:r>
      <w:r w:rsidR="000C3095" w:rsidRPr="001134B1">
        <w:rPr>
          <w:rFonts w:cs="Arial"/>
          <w:sz w:val="22"/>
          <w:szCs w:val="20"/>
        </w:rPr>
        <w:t>managers</w:t>
      </w:r>
      <w:r w:rsidRPr="001134B1">
        <w:rPr>
          <w:rFonts w:cs="Arial"/>
          <w:sz w:val="22"/>
          <w:szCs w:val="20"/>
        </w:rPr>
        <w:t xml:space="preserve"> </w:t>
      </w:r>
      <w:r w:rsidR="000C3095">
        <w:rPr>
          <w:rFonts w:cs="Arial"/>
          <w:sz w:val="22"/>
          <w:szCs w:val="20"/>
        </w:rPr>
        <w:t>in</w:t>
      </w:r>
      <w:r w:rsidRPr="001134B1">
        <w:rPr>
          <w:rFonts w:cs="Arial"/>
          <w:sz w:val="22"/>
          <w:szCs w:val="20"/>
        </w:rPr>
        <w:t xml:space="preserve"> flexible </w:t>
      </w:r>
      <w:r w:rsidR="00D71094" w:rsidRPr="001134B1">
        <w:rPr>
          <w:rFonts w:cs="Arial"/>
          <w:sz w:val="22"/>
          <w:szCs w:val="20"/>
        </w:rPr>
        <w:t>work</w:t>
      </w:r>
      <w:r w:rsidRPr="001134B1">
        <w:rPr>
          <w:rFonts w:cs="Arial"/>
          <w:sz w:val="22"/>
          <w:szCs w:val="20"/>
        </w:rPr>
        <w:t xml:space="preserve"> is essential. Most managers are not comfortable with flexible arrangements due to lack of trust in dealing with remote or flexible teams. The training should include how to communicate with flexible workers, how to manage </w:t>
      </w:r>
      <w:r w:rsidR="000C3095" w:rsidRPr="001134B1">
        <w:rPr>
          <w:rFonts w:cs="Arial"/>
          <w:sz w:val="22"/>
          <w:szCs w:val="20"/>
        </w:rPr>
        <w:t>performance</w:t>
      </w:r>
      <w:r w:rsidRPr="001134B1">
        <w:rPr>
          <w:rFonts w:cs="Arial"/>
          <w:sz w:val="22"/>
          <w:szCs w:val="20"/>
        </w:rPr>
        <w:t xml:space="preserve"> and how to create cohesion among the workers when they work on different patterns. Also, the issue of collaboration and communication can be resolved by setting core hours during which every team member would be accessible. Frequent visits to managers and flexible employees can keep them in touch and prevent issues before they arise.</w:t>
      </w:r>
    </w:p>
    <w:p w14:paraId="61F1A5F2" w14:textId="77777777" w:rsidR="000774B9" w:rsidRPr="00FB3263" w:rsidRDefault="000774B9" w:rsidP="000774B9">
      <w:pPr>
        <w:pStyle w:val="Heading1"/>
        <w:rPr>
          <w:rFonts w:ascii="Arial" w:hAnsi="Arial" w:cs="Arial"/>
          <w:b/>
          <w:bCs/>
          <w:sz w:val="28"/>
          <w:szCs w:val="28"/>
        </w:rPr>
      </w:pPr>
      <w:bookmarkStart w:id="9" w:name="_Toc213972221"/>
      <w:r w:rsidRPr="00FB3263">
        <w:rPr>
          <w:rFonts w:ascii="Arial" w:hAnsi="Arial" w:cs="Arial"/>
          <w:b/>
          <w:bCs/>
          <w:sz w:val="28"/>
          <w:szCs w:val="28"/>
        </w:rPr>
        <w:lastRenderedPageBreak/>
        <w:t>Critical Evaluation of How Departmental Managers Can Ensure Urgent Implementation</w:t>
      </w:r>
      <w:bookmarkEnd w:id="9"/>
    </w:p>
    <w:p w14:paraId="0E781FB1" w14:textId="77777777" w:rsidR="000774B9" w:rsidRPr="00FB3263" w:rsidRDefault="000774B9" w:rsidP="000774B9">
      <w:pPr>
        <w:pStyle w:val="Heading2"/>
        <w:rPr>
          <w:rFonts w:ascii="Arial" w:hAnsi="Arial" w:cs="Arial"/>
          <w:b/>
          <w:bCs/>
          <w:color w:val="000000" w:themeColor="text1"/>
          <w:sz w:val="24"/>
          <w:szCs w:val="24"/>
        </w:rPr>
      </w:pPr>
      <w:bookmarkStart w:id="10" w:name="_Toc213972222"/>
      <w:r w:rsidRPr="00FB3263">
        <w:rPr>
          <w:rFonts w:ascii="Arial" w:hAnsi="Arial" w:cs="Arial"/>
          <w:b/>
          <w:bCs/>
          <w:color w:val="000000" w:themeColor="text1"/>
          <w:sz w:val="24"/>
          <w:szCs w:val="24"/>
        </w:rPr>
        <w:t>The Critical Role of Managers</w:t>
      </w:r>
      <w:bookmarkEnd w:id="10"/>
    </w:p>
    <w:p w14:paraId="3164768F" w14:textId="39CBE466" w:rsidR="000774B9" w:rsidRPr="001134B1" w:rsidRDefault="000774B9" w:rsidP="000774B9">
      <w:pPr>
        <w:rPr>
          <w:rFonts w:cs="Arial"/>
          <w:sz w:val="22"/>
          <w:szCs w:val="20"/>
        </w:rPr>
      </w:pPr>
      <w:r w:rsidRPr="001134B1">
        <w:rPr>
          <w:rFonts w:cs="Arial"/>
          <w:sz w:val="22"/>
          <w:szCs w:val="20"/>
        </w:rPr>
        <w:t xml:space="preserve">Sainsbury’s departmental managers play a critical role in the implementation of current HR </w:t>
      </w:r>
      <w:r w:rsidR="000C3095" w:rsidRPr="001134B1">
        <w:rPr>
          <w:rFonts w:cs="Arial"/>
          <w:sz w:val="22"/>
          <w:szCs w:val="20"/>
        </w:rPr>
        <w:t>practices</w:t>
      </w:r>
      <w:r w:rsidRPr="001134B1">
        <w:rPr>
          <w:rFonts w:cs="Arial"/>
          <w:sz w:val="22"/>
          <w:szCs w:val="20"/>
        </w:rPr>
        <w:t xml:space="preserve">. However, managers have their own challenges. Most are promoted on </w:t>
      </w:r>
      <w:r w:rsidR="000C3095" w:rsidRPr="001134B1">
        <w:rPr>
          <w:rFonts w:cs="Arial"/>
          <w:sz w:val="22"/>
          <w:szCs w:val="20"/>
        </w:rPr>
        <w:t>technical</w:t>
      </w:r>
      <w:r w:rsidRPr="001134B1">
        <w:rPr>
          <w:rFonts w:cs="Arial"/>
          <w:sz w:val="22"/>
          <w:szCs w:val="20"/>
        </w:rPr>
        <w:t xml:space="preserve"> skills, but not people management skills. Gilbert et al. (2015) explain that line managers have limited resources due to their lack of training and time to carry out HR initiatives. The managers in Sainsbury have been under pressure to achieve sales </w:t>
      </w:r>
      <w:r w:rsidR="000C3095" w:rsidRPr="001134B1">
        <w:rPr>
          <w:rFonts w:cs="Arial"/>
          <w:sz w:val="22"/>
          <w:szCs w:val="20"/>
        </w:rPr>
        <w:t>targets</w:t>
      </w:r>
      <w:r w:rsidRPr="001134B1">
        <w:rPr>
          <w:rFonts w:cs="Arial"/>
          <w:sz w:val="22"/>
          <w:szCs w:val="20"/>
        </w:rPr>
        <w:t xml:space="preserve"> and at the same time managing their teams through major changes. Firstly, the managers themselves should be thoroughly trained </w:t>
      </w:r>
      <w:r w:rsidR="000C3095" w:rsidRPr="001134B1">
        <w:rPr>
          <w:rFonts w:cs="Arial"/>
          <w:sz w:val="22"/>
          <w:szCs w:val="20"/>
        </w:rPr>
        <w:t>to</w:t>
      </w:r>
      <w:r w:rsidRPr="001134B1">
        <w:rPr>
          <w:rFonts w:cs="Arial"/>
          <w:sz w:val="22"/>
          <w:szCs w:val="20"/>
        </w:rPr>
        <w:t xml:space="preserve"> implement it urgently. This needs to include change management, coaching skills, tough conversations, and nurturing of employee wellbeing. However, training is not enough. Managers should have sufficient time used solely to manage people. Many managers are concerned now with balancing between the needs of operation and the need to develop employees.</w:t>
      </w:r>
    </w:p>
    <w:p w14:paraId="76251AB2" w14:textId="77777777" w:rsidR="000774B9" w:rsidRPr="00FB3263" w:rsidRDefault="000774B9" w:rsidP="000774B9">
      <w:pPr>
        <w:pStyle w:val="Heading2"/>
        <w:rPr>
          <w:rFonts w:ascii="Arial" w:hAnsi="Arial" w:cs="Arial"/>
          <w:b/>
          <w:bCs/>
          <w:color w:val="000000" w:themeColor="text1"/>
          <w:sz w:val="24"/>
          <w:szCs w:val="24"/>
        </w:rPr>
      </w:pPr>
      <w:bookmarkStart w:id="11" w:name="_Toc213972223"/>
      <w:r w:rsidRPr="00FB3263">
        <w:rPr>
          <w:rFonts w:ascii="Arial" w:hAnsi="Arial" w:cs="Arial"/>
          <w:b/>
          <w:bCs/>
          <w:color w:val="000000" w:themeColor="text1"/>
          <w:sz w:val="24"/>
          <w:szCs w:val="24"/>
        </w:rPr>
        <w:t>Creating Accountability and Support Systems</w:t>
      </w:r>
      <w:bookmarkEnd w:id="11"/>
    </w:p>
    <w:p w14:paraId="087E1B33" w14:textId="0F072D4A" w:rsidR="000774B9" w:rsidRPr="001134B1" w:rsidRDefault="000774B9" w:rsidP="000774B9">
      <w:pPr>
        <w:rPr>
          <w:rFonts w:cs="Arial"/>
          <w:sz w:val="22"/>
          <w:szCs w:val="20"/>
        </w:rPr>
      </w:pPr>
      <w:r w:rsidRPr="001134B1">
        <w:rPr>
          <w:rFonts w:cs="Arial"/>
          <w:sz w:val="22"/>
          <w:szCs w:val="20"/>
        </w:rPr>
        <w:t xml:space="preserve">Sainsbury’s needs to set up clear accountability instruments </w:t>
      </w:r>
      <w:r w:rsidR="000C3095" w:rsidRPr="001134B1">
        <w:rPr>
          <w:rFonts w:cs="Arial"/>
          <w:sz w:val="22"/>
          <w:szCs w:val="20"/>
        </w:rPr>
        <w:t>for</w:t>
      </w:r>
      <w:r w:rsidRPr="001134B1">
        <w:rPr>
          <w:rFonts w:cs="Arial"/>
          <w:sz w:val="22"/>
          <w:szCs w:val="20"/>
        </w:rPr>
        <w:t xml:space="preserve"> managers. Manager performance objectives should have implementation targets on HR initiatives. For example, managers may be asked to undergo a set amount of career development talks in a quarter or reach certain employee satisfaction outcomes. Nevertheless, accountability should be combined with support. The top leaders are expected to visit the managers often to offer support and challenges.</w:t>
      </w:r>
    </w:p>
    <w:p w14:paraId="68E622CE" w14:textId="1018FF7B" w:rsidR="000774B9" w:rsidRPr="001134B1" w:rsidRDefault="000774B9" w:rsidP="000774B9">
      <w:pPr>
        <w:rPr>
          <w:rFonts w:cs="Arial"/>
          <w:sz w:val="22"/>
          <w:szCs w:val="20"/>
        </w:rPr>
      </w:pPr>
      <w:r w:rsidRPr="001134B1">
        <w:rPr>
          <w:rFonts w:cs="Arial"/>
          <w:sz w:val="22"/>
          <w:szCs w:val="20"/>
        </w:rPr>
        <w:t xml:space="preserve">Forming peer networks of managers can prove useful. Frequent forums to exchange experiences, challenges and solutions with managers working in various departments contribute to collective capability building (Evans, 2017). These networks enable managers to study other managers who are successfully </w:t>
      </w:r>
      <w:r w:rsidR="000C3095" w:rsidRPr="001134B1">
        <w:rPr>
          <w:rFonts w:cs="Arial"/>
          <w:sz w:val="22"/>
          <w:szCs w:val="20"/>
        </w:rPr>
        <w:t>practicing</w:t>
      </w:r>
      <w:r w:rsidRPr="001134B1">
        <w:rPr>
          <w:rFonts w:cs="Arial"/>
          <w:sz w:val="22"/>
          <w:szCs w:val="20"/>
        </w:rPr>
        <w:t xml:space="preserve"> new </w:t>
      </w:r>
      <w:r w:rsidR="000C3095" w:rsidRPr="001134B1">
        <w:rPr>
          <w:rFonts w:cs="Arial"/>
          <w:sz w:val="22"/>
          <w:szCs w:val="20"/>
        </w:rPr>
        <w:t>practices</w:t>
      </w:r>
      <w:r w:rsidRPr="001134B1">
        <w:rPr>
          <w:rFonts w:cs="Arial"/>
          <w:sz w:val="22"/>
          <w:szCs w:val="20"/>
        </w:rPr>
        <w:t>. Also, by supplying managers with basic implementation toolkits of templates, conversation guidelines and checklists, implementation becomes easier.</w:t>
      </w:r>
    </w:p>
    <w:p w14:paraId="5FD22A47" w14:textId="77777777" w:rsidR="000774B9" w:rsidRPr="00FB3263" w:rsidRDefault="000774B9" w:rsidP="000774B9">
      <w:pPr>
        <w:pStyle w:val="Heading2"/>
        <w:rPr>
          <w:rFonts w:ascii="Arial" w:hAnsi="Arial" w:cs="Arial"/>
          <w:b/>
          <w:bCs/>
          <w:color w:val="000000" w:themeColor="text1"/>
          <w:sz w:val="24"/>
          <w:szCs w:val="24"/>
        </w:rPr>
      </w:pPr>
      <w:bookmarkStart w:id="12" w:name="_Toc213972224"/>
      <w:r w:rsidRPr="00FB3263">
        <w:rPr>
          <w:rFonts w:ascii="Arial" w:hAnsi="Arial" w:cs="Arial"/>
          <w:b/>
          <w:bCs/>
          <w:color w:val="000000" w:themeColor="text1"/>
          <w:sz w:val="24"/>
          <w:szCs w:val="24"/>
        </w:rPr>
        <w:t>Addressing Resistance and Barriers</w:t>
      </w:r>
      <w:bookmarkEnd w:id="12"/>
    </w:p>
    <w:p w14:paraId="1CACBFC9" w14:textId="0D8DB545" w:rsidR="000774B9" w:rsidRPr="001134B1" w:rsidRDefault="00D71094" w:rsidP="000774B9">
      <w:pPr>
        <w:rPr>
          <w:rFonts w:cs="Arial"/>
          <w:sz w:val="22"/>
          <w:szCs w:val="20"/>
        </w:rPr>
      </w:pPr>
      <w:r w:rsidRPr="001134B1">
        <w:rPr>
          <w:rFonts w:cs="Arial"/>
          <w:sz w:val="22"/>
          <w:szCs w:val="20"/>
        </w:rPr>
        <w:t>Managers,</w:t>
      </w:r>
      <w:r w:rsidR="000774B9" w:rsidRPr="001134B1">
        <w:rPr>
          <w:rFonts w:cs="Arial"/>
          <w:sz w:val="22"/>
          <w:szCs w:val="20"/>
        </w:rPr>
        <w:t xml:space="preserve"> despite their good </w:t>
      </w:r>
      <w:r w:rsidR="000C3095" w:rsidRPr="001134B1">
        <w:rPr>
          <w:rFonts w:cs="Arial"/>
          <w:sz w:val="22"/>
          <w:szCs w:val="20"/>
        </w:rPr>
        <w:t>intentions,</w:t>
      </w:r>
      <w:r w:rsidR="000774B9" w:rsidRPr="001134B1">
        <w:rPr>
          <w:rFonts w:cs="Arial"/>
          <w:sz w:val="22"/>
          <w:szCs w:val="20"/>
        </w:rPr>
        <w:t xml:space="preserve"> are being resisted by employees and at times upper management. There are those employees who resist change or are </w:t>
      </w:r>
      <w:r w:rsidR="000C3095" w:rsidRPr="001134B1">
        <w:rPr>
          <w:rFonts w:cs="Arial"/>
          <w:sz w:val="22"/>
          <w:szCs w:val="20"/>
        </w:rPr>
        <w:t>skeptical</w:t>
      </w:r>
      <w:r w:rsidR="000774B9" w:rsidRPr="001134B1">
        <w:rPr>
          <w:rFonts w:cs="Arial"/>
          <w:sz w:val="22"/>
          <w:szCs w:val="20"/>
        </w:rPr>
        <w:t xml:space="preserve"> to new programmes. Managers must have the skills to handle the concerns, </w:t>
      </w:r>
      <w:r w:rsidR="000C3095" w:rsidRPr="001134B1">
        <w:rPr>
          <w:rFonts w:cs="Arial"/>
          <w:sz w:val="22"/>
          <w:szCs w:val="20"/>
        </w:rPr>
        <w:t>instill</w:t>
      </w:r>
      <w:r w:rsidR="000774B9" w:rsidRPr="001134B1">
        <w:rPr>
          <w:rFonts w:cs="Arial"/>
          <w:sz w:val="22"/>
          <w:szCs w:val="20"/>
        </w:rPr>
        <w:t xml:space="preserve"> trust and show the benefits of changes. This needs emotional intelligence and influencing skills. Ulrich and Dulebohn (2017) </w:t>
      </w:r>
      <w:r w:rsidR="000C3095" w:rsidRPr="001134B1">
        <w:rPr>
          <w:rFonts w:cs="Arial"/>
          <w:sz w:val="22"/>
          <w:szCs w:val="20"/>
        </w:rPr>
        <w:t>emphasize</w:t>
      </w:r>
      <w:r w:rsidR="000774B9" w:rsidRPr="001134B1">
        <w:rPr>
          <w:rFonts w:cs="Arial"/>
          <w:sz w:val="22"/>
          <w:szCs w:val="20"/>
        </w:rPr>
        <w:t xml:space="preserve"> that managers can act as role models to influence their followers </w:t>
      </w:r>
      <w:r w:rsidR="000774B9" w:rsidRPr="001134B1">
        <w:rPr>
          <w:rFonts w:cs="Arial"/>
          <w:sz w:val="22"/>
          <w:szCs w:val="20"/>
        </w:rPr>
        <w:lastRenderedPageBreak/>
        <w:t xml:space="preserve">by modelling the desired </w:t>
      </w:r>
      <w:r w:rsidR="000C3095" w:rsidRPr="001134B1">
        <w:rPr>
          <w:rFonts w:cs="Arial"/>
          <w:sz w:val="22"/>
          <w:szCs w:val="20"/>
        </w:rPr>
        <w:t>behaviors</w:t>
      </w:r>
      <w:r w:rsidR="000774B9" w:rsidRPr="001134B1">
        <w:rPr>
          <w:rFonts w:cs="Arial"/>
          <w:sz w:val="22"/>
          <w:szCs w:val="20"/>
        </w:rPr>
        <w:t xml:space="preserve"> themselves. Support of the senior leadership is also critical. Without the visible embrace of senior leaders to flexible working or digital transformation, managers will find it difficult to execute the same. Sainsbury’s must make sure that the top-level managers on a regular basis share the relevance of HR programmes, engage in the execution of the initiatives, and set an example that other members are expected to follow.</w:t>
      </w:r>
    </w:p>
    <w:p w14:paraId="2A463B44" w14:textId="77777777" w:rsidR="000774B9" w:rsidRPr="00FB3263" w:rsidRDefault="000774B9" w:rsidP="000774B9">
      <w:pPr>
        <w:pStyle w:val="Heading1"/>
        <w:rPr>
          <w:rFonts w:ascii="Arial" w:hAnsi="Arial" w:cs="Arial"/>
          <w:b/>
          <w:bCs/>
          <w:color w:val="000000" w:themeColor="text1"/>
          <w:sz w:val="24"/>
          <w:szCs w:val="24"/>
        </w:rPr>
      </w:pPr>
      <w:bookmarkStart w:id="13" w:name="_Toc213972225"/>
      <w:r w:rsidRPr="00FB3263">
        <w:rPr>
          <w:rFonts w:ascii="Arial" w:hAnsi="Arial" w:cs="Arial"/>
          <w:b/>
          <w:bCs/>
          <w:color w:val="000000" w:themeColor="text1"/>
          <w:sz w:val="24"/>
          <w:szCs w:val="24"/>
        </w:rPr>
        <w:t>Conclusion and Recommendations</w:t>
      </w:r>
      <w:bookmarkEnd w:id="13"/>
    </w:p>
    <w:p w14:paraId="635C70D9" w14:textId="670E34F8" w:rsidR="000774B9" w:rsidRPr="001134B1" w:rsidRDefault="000774B9" w:rsidP="000774B9">
      <w:pPr>
        <w:rPr>
          <w:rFonts w:cs="Arial"/>
          <w:sz w:val="22"/>
          <w:szCs w:val="20"/>
        </w:rPr>
      </w:pPr>
      <w:r w:rsidRPr="001134B1">
        <w:rPr>
          <w:rFonts w:cs="Arial"/>
          <w:sz w:val="22"/>
          <w:szCs w:val="20"/>
        </w:rPr>
        <w:t xml:space="preserve">The grievance crisis at Sainsbury’s is linked to three issues that are interconnected. Modern HR </w:t>
      </w:r>
      <w:r w:rsidR="000C3095" w:rsidRPr="001134B1">
        <w:rPr>
          <w:rFonts w:cs="Arial"/>
          <w:sz w:val="22"/>
          <w:szCs w:val="20"/>
        </w:rPr>
        <w:t>practices</w:t>
      </w:r>
      <w:r w:rsidRPr="001134B1">
        <w:rPr>
          <w:rFonts w:cs="Arial"/>
          <w:sz w:val="22"/>
          <w:szCs w:val="20"/>
        </w:rPr>
        <w:t xml:space="preserve"> offer definite answers such as change management programmes, the overall extensive digital training, career developments paths, and equitable flexible working policies. </w:t>
      </w:r>
      <w:r w:rsidR="00D71094" w:rsidRPr="001134B1">
        <w:rPr>
          <w:rFonts w:cs="Arial"/>
          <w:sz w:val="22"/>
          <w:szCs w:val="20"/>
        </w:rPr>
        <w:t>Success</w:t>
      </w:r>
      <w:r w:rsidR="000C3095" w:rsidRPr="001134B1">
        <w:rPr>
          <w:rFonts w:cs="Arial"/>
          <w:sz w:val="22"/>
          <w:szCs w:val="20"/>
        </w:rPr>
        <w:t>, however,</w:t>
      </w:r>
      <w:r w:rsidRPr="001134B1">
        <w:rPr>
          <w:rFonts w:cs="Arial"/>
          <w:sz w:val="22"/>
          <w:szCs w:val="20"/>
        </w:rPr>
        <w:t xml:space="preserve"> is critically dependent on the departmental managers who must be well trained, well equipped and supported by senior leadership to undertake the </w:t>
      </w:r>
      <w:r w:rsidR="000C3095" w:rsidRPr="001134B1">
        <w:rPr>
          <w:rFonts w:cs="Arial"/>
          <w:sz w:val="22"/>
          <w:szCs w:val="20"/>
        </w:rPr>
        <w:t>practices</w:t>
      </w:r>
      <w:r w:rsidRPr="001134B1">
        <w:rPr>
          <w:rFonts w:cs="Arial"/>
          <w:sz w:val="22"/>
          <w:szCs w:val="20"/>
        </w:rPr>
        <w:t xml:space="preserve">. The situation at hand requires prompt intervention to ensure future employee dissatisfaction is avoided and talent is not lost. Sainsbury’s needs to go beyond a policy announcement to actual </w:t>
      </w:r>
      <w:r w:rsidR="000C3095" w:rsidRPr="001134B1">
        <w:rPr>
          <w:rFonts w:cs="Arial"/>
          <w:sz w:val="22"/>
          <w:szCs w:val="20"/>
        </w:rPr>
        <w:t>practice</w:t>
      </w:r>
      <w:r w:rsidRPr="001134B1">
        <w:rPr>
          <w:rFonts w:cs="Arial"/>
          <w:sz w:val="22"/>
          <w:szCs w:val="20"/>
        </w:rPr>
        <w:t>, making sure that managers are positioned and empowered to assist their teams with these major changes at the workplace.</w:t>
      </w:r>
    </w:p>
    <w:p w14:paraId="6C622A2B" w14:textId="693D7C2A" w:rsidR="000774B9" w:rsidRDefault="000774B9" w:rsidP="000774B9">
      <w:pPr>
        <w:rPr>
          <w:rFonts w:cs="Arial"/>
          <w:sz w:val="22"/>
          <w:szCs w:val="20"/>
        </w:rPr>
      </w:pPr>
      <w:r w:rsidRPr="001134B1">
        <w:rPr>
          <w:rFonts w:cs="Arial"/>
          <w:sz w:val="22"/>
          <w:szCs w:val="20"/>
        </w:rPr>
        <w:t xml:space="preserve">Sainsbury’s should start emergency management training </w:t>
      </w:r>
      <w:r w:rsidR="00D71094" w:rsidRPr="001134B1">
        <w:rPr>
          <w:rFonts w:cs="Arial"/>
          <w:sz w:val="22"/>
          <w:szCs w:val="20"/>
        </w:rPr>
        <w:t>for</w:t>
      </w:r>
      <w:r w:rsidRPr="001134B1">
        <w:rPr>
          <w:rFonts w:cs="Arial"/>
          <w:sz w:val="22"/>
          <w:szCs w:val="20"/>
        </w:rPr>
        <w:t xml:space="preserve"> one month now and focus on </w:t>
      </w:r>
      <w:r w:rsidR="000C3095" w:rsidRPr="001134B1">
        <w:rPr>
          <w:rFonts w:cs="Arial"/>
          <w:sz w:val="22"/>
          <w:szCs w:val="20"/>
        </w:rPr>
        <w:t>changing</w:t>
      </w:r>
      <w:r w:rsidRPr="001134B1">
        <w:rPr>
          <w:rFonts w:cs="Arial"/>
          <w:sz w:val="22"/>
          <w:szCs w:val="20"/>
        </w:rPr>
        <w:t xml:space="preserve"> management and employee support skills. Three months later, create employee transformation groups, create digital champion networks, and implement equitable flexible working policies across departments. Within six months, establish detailed career ladders and management support systems. Hold town hall meetings on a regular basis and </w:t>
      </w:r>
      <w:r w:rsidR="000C3095" w:rsidRPr="001134B1">
        <w:rPr>
          <w:rFonts w:cs="Arial"/>
          <w:sz w:val="22"/>
          <w:szCs w:val="20"/>
        </w:rPr>
        <w:t>survey</w:t>
      </w:r>
      <w:r w:rsidRPr="001134B1">
        <w:rPr>
          <w:rFonts w:cs="Arial"/>
          <w:sz w:val="22"/>
          <w:szCs w:val="20"/>
        </w:rPr>
        <w:t xml:space="preserve"> employees every quarter. The senior management will be required to set an example and facilitate process. These will help to reduce complaints and increase job satisfaction. Overall, these will create a workforce that will help to face </w:t>
      </w:r>
      <w:r w:rsidR="000C3095" w:rsidRPr="001134B1">
        <w:rPr>
          <w:rFonts w:cs="Arial"/>
          <w:sz w:val="22"/>
          <w:szCs w:val="20"/>
        </w:rPr>
        <w:t>future</w:t>
      </w:r>
      <w:r w:rsidRPr="001134B1">
        <w:rPr>
          <w:rFonts w:cs="Arial"/>
          <w:sz w:val="22"/>
          <w:szCs w:val="20"/>
        </w:rPr>
        <w:t xml:space="preserve"> challenges.</w:t>
      </w:r>
    </w:p>
    <w:p w14:paraId="0CF89EB2" w14:textId="77777777" w:rsidR="000774B9" w:rsidRDefault="000774B9" w:rsidP="000774B9">
      <w:pPr>
        <w:spacing w:line="259" w:lineRule="auto"/>
        <w:jc w:val="left"/>
        <w:rPr>
          <w:rFonts w:cs="Arial"/>
          <w:sz w:val="22"/>
          <w:szCs w:val="20"/>
        </w:rPr>
      </w:pPr>
      <w:r>
        <w:rPr>
          <w:rFonts w:cs="Arial"/>
          <w:sz w:val="22"/>
          <w:szCs w:val="20"/>
        </w:rPr>
        <w:br w:type="page"/>
      </w:r>
    </w:p>
    <w:bookmarkStart w:id="14" w:name="_Toc213972226" w:displacedByCustomXml="next"/>
    <w:sdt>
      <w:sdtPr>
        <w:rPr>
          <w:rFonts w:ascii="Times New Roman" w:eastAsiaTheme="minorHAnsi" w:hAnsi="Times New Roman" w:cstheme="minorBidi"/>
          <w:b/>
          <w:color w:val="auto"/>
          <w:sz w:val="24"/>
          <w:szCs w:val="22"/>
        </w:rPr>
        <w:id w:val="56674861"/>
        <w:docPartObj>
          <w:docPartGallery w:val="Bibliographies"/>
          <w:docPartUnique/>
        </w:docPartObj>
      </w:sdtPr>
      <w:sdtEndPr>
        <w:rPr>
          <w:rFonts w:ascii="Arial" w:hAnsi="Arial"/>
          <w:b w:val="0"/>
        </w:rPr>
      </w:sdtEndPr>
      <w:sdtContent>
        <w:p w14:paraId="38ECDBDF" w14:textId="77777777" w:rsidR="000774B9" w:rsidRPr="00FB3263" w:rsidRDefault="000774B9" w:rsidP="000774B9">
          <w:pPr>
            <w:pStyle w:val="Heading1"/>
            <w:rPr>
              <w:rFonts w:ascii="Arial" w:hAnsi="Arial" w:cs="Arial"/>
              <w:b/>
              <w:bCs/>
              <w:sz w:val="28"/>
              <w:szCs w:val="28"/>
            </w:rPr>
          </w:pPr>
          <w:r w:rsidRPr="00FB3263">
            <w:rPr>
              <w:rFonts w:ascii="Arial" w:hAnsi="Arial" w:cs="Arial"/>
              <w:b/>
              <w:bCs/>
              <w:sz w:val="28"/>
              <w:szCs w:val="28"/>
            </w:rPr>
            <w:t>References</w:t>
          </w:r>
          <w:bookmarkEnd w:id="14"/>
        </w:p>
        <w:sdt>
          <w:sdtPr>
            <w:id w:val="-573587230"/>
            <w:bibliography/>
          </w:sdtPr>
          <w:sdtContent>
            <w:p w14:paraId="71BBBF3E" w14:textId="77777777" w:rsidR="000774B9" w:rsidRPr="0009794A" w:rsidRDefault="000774B9" w:rsidP="000774B9">
              <w:pPr>
                <w:rPr>
                  <w:rFonts w:cs="Arial"/>
                  <w:sz w:val="22"/>
                  <w:szCs w:val="20"/>
                </w:rPr>
              </w:pPr>
              <w:r w:rsidRPr="0009794A">
                <w:rPr>
                  <w:rFonts w:cs="Arial"/>
                  <w:sz w:val="22"/>
                  <w:szCs w:val="20"/>
                </w:rPr>
                <w:t>Armstrong, M., and Taylor, S. (2023). A Handbook of Human Resource Management Practice. Kogan Page.</w:t>
              </w:r>
            </w:p>
            <w:p w14:paraId="4AA4A76E" w14:textId="77777777" w:rsidR="000774B9" w:rsidRPr="0009794A" w:rsidRDefault="000774B9" w:rsidP="000774B9">
              <w:pPr>
                <w:rPr>
                  <w:rFonts w:cs="Arial"/>
                  <w:sz w:val="22"/>
                  <w:szCs w:val="20"/>
                </w:rPr>
              </w:pPr>
              <w:r w:rsidRPr="0009794A">
                <w:rPr>
                  <w:rFonts w:cs="Arial"/>
                  <w:sz w:val="22"/>
                  <w:szCs w:val="20"/>
                </w:rPr>
                <w:t>Bratton, J., Gold, J., Bratton, A. and Steele, L. (2021). Human resource management. Bloomsbury Publishing.</w:t>
              </w:r>
            </w:p>
            <w:p w14:paraId="29B8152F" w14:textId="77777777" w:rsidR="000774B9" w:rsidRPr="0009794A" w:rsidRDefault="000774B9" w:rsidP="000774B9">
              <w:pPr>
                <w:rPr>
                  <w:rFonts w:cs="Arial"/>
                  <w:sz w:val="22"/>
                  <w:szCs w:val="20"/>
                </w:rPr>
              </w:pPr>
              <w:r w:rsidRPr="0009794A">
                <w:rPr>
                  <w:rFonts w:cs="Arial"/>
                  <w:sz w:val="22"/>
                  <w:szCs w:val="20"/>
                </w:rPr>
                <w:t>CIPD. (2021). Flexible Working: Lessons from the Pandemic. Available at: https://www.cipd.org/globalassets/media/knowledge/knowledge-hub/reports/flexible-working-lessons-from-pandemic-report_tcm18-92644.pdf (Accessed: 13 November 2025).</w:t>
              </w:r>
            </w:p>
            <w:p w14:paraId="161166F9" w14:textId="77777777" w:rsidR="000774B9" w:rsidRPr="0009794A" w:rsidRDefault="000774B9" w:rsidP="000774B9">
              <w:pPr>
                <w:rPr>
                  <w:rFonts w:cs="Arial"/>
                  <w:sz w:val="22"/>
                  <w:szCs w:val="20"/>
                </w:rPr>
              </w:pPr>
              <w:r w:rsidRPr="0009794A">
                <w:rPr>
                  <w:rFonts w:cs="Arial"/>
                  <w:sz w:val="22"/>
                  <w:szCs w:val="20"/>
                </w:rPr>
                <w:t xml:space="preserve">Enholm, I.M., </w:t>
              </w:r>
              <w:proofErr w:type="spellStart"/>
              <w:r w:rsidRPr="0009794A">
                <w:rPr>
                  <w:rFonts w:cs="Arial"/>
                  <w:sz w:val="22"/>
                  <w:szCs w:val="20"/>
                </w:rPr>
                <w:t>Papagiannidis</w:t>
              </w:r>
              <w:proofErr w:type="spellEnd"/>
              <w:r w:rsidRPr="0009794A">
                <w:rPr>
                  <w:rFonts w:cs="Arial"/>
                  <w:sz w:val="22"/>
                  <w:szCs w:val="20"/>
                </w:rPr>
                <w:t xml:space="preserve">, E., </w:t>
              </w:r>
              <w:proofErr w:type="spellStart"/>
              <w:r w:rsidRPr="0009794A">
                <w:rPr>
                  <w:rFonts w:cs="Arial"/>
                  <w:sz w:val="22"/>
                  <w:szCs w:val="20"/>
                </w:rPr>
                <w:t>Mikalef</w:t>
              </w:r>
              <w:proofErr w:type="spellEnd"/>
              <w:r w:rsidRPr="0009794A">
                <w:rPr>
                  <w:rFonts w:cs="Arial"/>
                  <w:sz w:val="22"/>
                  <w:szCs w:val="20"/>
                </w:rPr>
                <w:t>, P. and Krogstie, J. (2022). Artificial intelligence and business value: A literature review. Information systems frontiers, 24(5), pp.1709-1734.</w:t>
              </w:r>
            </w:p>
            <w:p w14:paraId="34A80918" w14:textId="77777777" w:rsidR="000774B9" w:rsidRPr="0009794A" w:rsidRDefault="000774B9" w:rsidP="000774B9">
              <w:pPr>
                <w:rPr>
                  <w:rFonts w:cs="Arial"/>
                  <w:sz w:val="22"/>
                  <w:szCs w:val="20"/>
                </w:rPr>
              </w:pPr>
              <w:r w:rsidRPr="0009794A">
                <w:rPr>
                  <w:rFonts w:cs="Arial"/>
                  <w:sz w:val="22"/>
                  <w:szCs w:val="20"/>
                </w:rPr>
                <w:t>Evans, S. (2017). HRM and front line managers: the influence of role stress. The International Journal of Human Resource Management, 28(22), pp.3128-3148.</w:t>
              </w:r>
            </w:p>
            <w:p w14:paraId="2D719EC2" w14:textId="77777777" w:rsidR="000774B9" w:rsidRPr="0009794A" w:rsidRDefault="000774B9" w:rsidP="000774B9">
              <w:pPr>
                <w:rPr>
                  <w:rFonts w:cs="Arial"/>
                  <w:sz w:val="22"/>
                  <w:szCs w:val="20"/>
                </w:rPr>
              </w:pPr>
              <w:r w:rsidRPr="0009794A">
                <w:rPr>
                  <w:rFonts w:cs="Arial"/>
                  <w:sz w:val="22"/>
                  <w:szCs w:val="20"/>
                </w:rPr>
                <w:t xml:space="preserve">Galanti, T., Guidetti, G., Mazzei, E., </w:t>
              </w:r>
              <w:proofErr w:type="spellStart"/>
              <w:r w:rsidRPr="0009794A">
                <w:rPr>
                  <w:rFonts w:cs="Arial"/>
                  <w:sz w:val="22"/>
                  <w:szCs w:val="20"/>
                </w:rPr>
                <w:t>Zappalà</w:t>
              </w:r>
              <w:proofErr w:type="spellEnd"/>
              <w:r w:rsidRPr="0009794A">
                <w:rPr>
                  <w:rFonts w:cs="Arial"/>
                  <w:sz w:val="22"/>
                  <w:szCs w:val="20"/>
                </w:rPr>
                <w:t>, S. and Toscano, F. (2021). Work from home during the COVID-19 outbreak: The impact on employees’ remote work productivity, engagement, and stress. Journal of occupational and environmental medicine, 63(7), pp.e426-e432.</w:t>
              </w:r>
            </w:p>
            <w:p w14:paraId="7AE4456D" w14:textId="77777777" w:rsidR="000774B9" w:rsidRPr="0009794A" w:rsidRDefault="000774B9" w:rsidP="000774B9">
              <w:pPr>
                <w:rPr>
                  <w:rFonts w:cs="Arial"/>
                  <w:sz w:val="22"/>
                  <w:szCs w:val="20"/>
                </w:rPr>
              </w:pPr>
              <w:r w:rsidRPr="0009794A">
                <w:rPr>
                  <w:rFonts w:cs="Arial"/>
                  <w:sz w:val="22"/>
                  <w:szCs w:val="20"/>
                </w:rPr>
                <w:t xml:space="preserve">Garavan, T., McCarthy, A., Lai, Y., Murphy, K., Sheehan, M. and Carbery, R. (2021). Training and </w:t>
              </w:r>
              <w:proofErr w:type="spellStart"/>
              <w:r w:rsidRPr="0009794A">
                <w:rPr>
                  <w:rFonts w:cs="Arial"/>
                  <w:sz w:val="22"/>
                  <w:szCs w:val="20"/>
                </w:rPr>
                <w:t>organisational</w:t>
              </w:r>
              <w:proofErr w:type="spellEnd"/>
              <w:r w:rsidRPr="0009794A">
                <w:rPr>
                  <w:rFonts w:cs="Arial"/>
                  <w:sz w:val="22"/>
                  <w:szCs w:val="20"/>
                </w:rPr>
                <w:t xml:space="preserve"> performance: A meta</w:t>
              </w:r>
              <w:r w:rsidRPr="0009794A">
                <w:rPr>
                  <w:rFonts w:ascii="Cambria Math" w:hAnsi="Cambria Math" w:cs="Cambria Math"/>
                  <w:sz w:val="22"/>
                  <w:szCs w:val="20"/>
                </w:rPr>
                <w:t>‐</w:t>
              </w:r>
              <w:r w:rsidRPr="0009794A">
                <w:rPr>
                  <w:rFonts w:cs="Arial"/>
                  <w:sz w:val="22"/>
                  <w:szCs w:val="20"/>
                </w:rPr>
                <w:t xml:space="preserve">analysis of temporal, institutional and </w:t>
              </w:r>
              <w:proofErr w:type="spellStart"/>
              <w:r w:rsidRPr="0009794A">
                <w:rPr>
                  <w:rFonts w:cs="Arial"/>
                  <w:sz w:val="22"/>
                  <w:szCs w:val="20"/>
                </w:rPr>
                <w:t>organisational</w:t>
              </w:r>
              <w:proofErr w:type="spellEnd"/>
              <w:r w:rsidRPr="0009794A">
                <w:rPr>
                  <w:rFonts w:cs="Arial"/>
                  <w:sz w:val="22"/>
                  <w:szCs w:val="20"/>
                </w:rPr>
                <w:t xml:space="preserve"> context moderators. Human Resource Management Journal, 31(1), pp.93-119.</w:t>
              </w:r>
            </w:p>
            <w:p w14:paraId="22485558" w14:textId="77777777" w:rsidR="000774B9" w:rsidRPr="0009794A" w:rsidRDefault="000774B9" w:rsidP="000774B9">
              <w:pPr>
                <w:rPr>
                  <w:rFonts w:cs="Arial"/>
                  <w:sz w:val="22"/>
                  <w:szCs w:val="20"/>
                </w:rPr>
              </w:pPr>
              <w:r w:rsidRPr="0009794A">
                <w:rPr>
                  <w:rFonts w:cs="Arial"/>
                  <w:sz w:val="22"/>
                  <w:szCs w:val="20"/>
                </w:rPr>
                <w:t>Gilbert, C., De Winne, S. and Sels, L. (2015). Strong HRM processes and line managers' effective HRM implementation: a balanced view. Human Resource Management Journal, 25(4), pp.600-616.</w:t>
              </w:r>
            </w:p>
            <w:p w14:paraId="4BFED66D" w14:textId="77777777" w:rsidR="000774B9" w:rsidRPr="0009794A" w:rsidRDefault="000774B9" w:rsidP="000774B9">
              <w:pPr>
                <w:rPr>
                  <w:rFonts w:cs="Arial"/>
                  <w:sz w:val="22"/>
                  <w:szCs w:val="20"/>
                </w:rPr>
              </w:pPr>
              <w:r w:rsidRPr="0009794A">
                <w:rPr>
                  <w:rFonts w:cs="Arial"/>
                  <w:sz w:val="22"/>
                  <w:szCs w:val="20"/>
                </w:rPr>
                <w:t>Hayes, J. (2022). The theory and practice of change management. Bloomsbury Publishing.</w:t>
              </w:r>
            </w:p>
            <w:p w14:paraId="0A74FC0D" w14:textId="77777777" w:rsidR="000774B9" w:rsidRPr="0009794A" w:rsidRDefault="000774B9" w:rsidP="000774B9">
              <w:pPr>
                <w:rPr>
                  <w:rFonts w:cs="Arial"/>
                  <w:sz w:val="22"/>
                  <w:szCs w:val="20"/>
                </w:rPr>
              </w:pPr>
              <w:r w:rsidRPr="0009794A">
                <w:rPr>
                  <w:rFonts w:cs="Arial"/>
                  <w:sz w:val="22"/>
                  <w:szCs w:val="20"/>
                </w:rPr>
                <w:t xml:space="preserve">McDonnell, A., Collings, D.G., </w:t>
              </w:r>
              <w:proofErr w:type="spellStart"/>
              <w:r w:rsidRPr="0009794A">
                <w:rPr>
                  <w:rFonts w:cs="Arial"/>
                  <w:sz w:val="22"/>
                  <w:szCs w:val="20"/>
                </w:rPr>
                <w:t>Mellahi</w:t>
              </w:r>
              <w:proofErr w:type="spellEnd"/>
              <w:r w:rsidRPr="0009794A">
                <w:rPr>
                  <w:rFonts w:cs="Arial"/>
                  <w:sz w:val="22"/>
                  <w:szCs w:val="20"/>
                </w:rPr>
                <w:t>, K. and Schuler, R. (2017). Talent management: a systematic review and future prospects. European Journal of International Management, 11(1), pp.86-128.</w:t>
              </w:r>
            </w:p>
            <w:p w14:paraId="44F63A24" w14:textId="77777777" w:rsidR="000774B9" w:rsidRPr="0009794A" w:rsidRDefault="000774B9" w:rsidP="000774B9">
              <w:pPr>
                <w:rPr>
                  <w:rFonts w:cs="Arial"/>
                  <w:sz w:val="22"/>
                  <w:szCs w:val="20"/>
                </w:rPr>
              </w:pPr>
              <w:r w:rsidRPr="0009794A">
                <w:rPr>
                  <w:rFonts w:cs="Arial"/>
                  <w:sz w:val="22"/>
                  <w:szCs w:val="20"/>
                </w:rPr>
                <w:t>Meyer, B.H., Prescott, B. and Sheng, X.S. (2022). The impact of the COVID-19 pandemic on business expectations. International Journal of Forecasting, 38(2), pp.529-544.</w:t>
              </w:r>
            </w:p>
            <w:p w14:paraId="3521527E" w14:textId="77777777" w:rsidR="000774B9" w:rsidRPr="0009794A" w:rsidRDefault="000774B9" w:rsidP="000774B9">
              <w:pPr>
                <w:rPr>
                  <w:rFonts w:cs="Arial"/>
                  <w:sz w:val="22"/>
                  <w:szCs w:val="20"/>
                </w:rPr>
              </w:pPr>
              <w:r w:rsidRPr="0009794A">
                <w:rPr>
                  <w:rFonts w:cs="Arial"/>
                  <w:sz w:val="22"/>
                  <w:szCs w:val="20"/>
                </w:rPr>
                <w:t>Sainsbury’s. (2025). J Sainsbury plc: About us. Available at: https://corporate.sainsburys.co.uk/about-us (Accessed: 13 November 2025).</w:t>
              </w:r>
            </w:p>
            <w:p w14:paraId="5A667653" w14:textId="77777777" w:rsidR="000774B9" w:rsidRPr="0009794A" w:rsidRDefault="000774B9" w:rsidP="000774B9">
              <w:pPr>
                <w:rPr>
                  <w:rFonts w:cs="Arial"/>
                  <w:sz w:val="22"/>
                  <w:szCs w:val="20"/>
                </w:rPr>
              </w:pPr>
              <w:r w:rsidRPr="0009794A">
                <w:rPr>
                  <w:rFonts w:cs="Arial"/>
                  <w:sz w:val="22"/>
                  <w:szCs w:val="20"/>
                </w:rPr>
                <w:lastRenderedPageBreak/>
                <w:t>Ulrich, D. and Dulebohn, J.H. (2015). Are we there yet? What's next for HR?. Human resource management review, 25(2), pp.188-204.</w:t>
              </w:r>
            </w:p>
            <w:p w14:paraId="27D64417" w14:textId="77777777" w:rsidR="000774B9" w:rsidRPr="003954FB" w:rsidRDefault="000774B9" w:rsidP="000774B9">
              <w:pPr>
                <w:rPr>
                  <w:rFonts w:cs="Arial"/>
                  <w:sz w:val="22"/>
                  <w:szCs w:val="20"/>
                </w:rPr>
              </w:pPr>
              <w:r w:rsidRPr="0009794A">
                <w:rPr>
                  <w:rFonts w:cs="Arial"/>
                  <w:sz w:val="22"/>
                  <w:szCs w:val="20"/>
                </w:rPr>
                <w:t>Weiner, B.J. (2020). A theory of organizational readiness for change. In Handbook on implementation science (pp. 215-232). Edward Elgar Publishing.</w:t>
              </w:r>
            </w:p>
          </w:sdtContent>
        </w:sdt>
      </w:sdtContent>
    </w:sdt>
    <w:p w14:paraId="61FEFC72" w14:textId="77777777" w:rsidR="000774B9" w:rsidRPr="001134B1" w:rsidRDefault="000774B9" w:rsidP="000774B9">
      <w:pPr>
        <w:rPr>
          <w:rFonts w:cs="Arial"/>
          <w:sz w:val="22"/>
          <w:szCs w:val="20"/>
        </w:rPr>
      </w:pPr>
    </w:p>
    <w:p w14:paraId="0F37E36F" w14:textId="77777777" w:rsidR="00966186" w:rsidRDefault="00966186"/>
    <w:sectPr w:rsidR="009661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FF8"/>
    <w:rsid w:val="000774B9"/>
    <w:rsid w:val="000C3095"/>
    <w:rsid w:val="00184C82"/>
    <w:rsid w:val="00412546"/>
    <w:rsid w:val="005F1FF8"/>
    <w:rsid w:val="00870A62"/>
    <w:rsid w:val="00950577"/>
    <w:rsid w:val="00966186"/>
    <w:rsid w:val="00AC176A"/>
    <w:rsid w:val="00BD741C"/>
    <w:rsid w:val="00D71094"/>
    <w:rsid w:val="00FB3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FD617"/>
  <w15:chartTrackingRefBased/>
  <w15:docId w15:val="{AF7B736E-CD72-4984-838C-6EA5147AF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FF8"/>
    <w:pPr>
      <w:spacing w:line="360" w:lineRule="auto"/>
      <w:jc w:val="both"/>
    </w:pPr>
    <w:rPr>
      <w:rFonts w:ascii="Arial" w:hAnsi="Arial"/>
      <w:sz w:val="24"/>
      <w:lang w:val="en-US"/>
    </w:rPr>
  </w:style>
  <w:style w:type="paragraph" w:styleId="Heading1">
    <w:name w:val="heading 1"/>
    <w:basedOn w:val="Normal"/>
    <w:next w:val="Normal"/>
    <w:link w:val="Heading1Char"/>
    <w:uiPriority w:val="9"/>
    <w:qFormat/>
    <w:rsid w:val="005F1F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1F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1F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1F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1F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1F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F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F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F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F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F1F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F1F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F1F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F1F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F1F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F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F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FF8"/>
    <w:rPr>
      <w:rFonts w:eastAsiaTheme="majorEastAsia" w:cstheme="majorBidi"/>
      <w:color w:val="272727" w:themeColor="text1" w:themeTint="D8"/>
    </w:rPr>
  </w:style>
  <w:style w:type="paragraph" w:styleId="Title">
    <w:name w:val="Title"/>
    <w:basedOn w:val="Normal"/>
    <w:next w:val="Normal"/>
    <w:link w:val="TitleChar"/>
    <w:uiPriority w:val="10"/>
    <w:qFormat/>
    <w:rsid w:val="005F1F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F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1F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F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1FF8"/>
    <w:pPr>
      <w:spacing w:before="160"/>
      <w:jc w:val="center"/>
    </w:pPr>
    <w:rPr>
      <w:i/>
      <w:iCs/>
      <w:color w:val="404040" w:themeColor="text1" w:themeTint="BF"/>
    </w:rPr>
  </w:style>
  <w:style w:type="character" w:customStyle="1" w:styleId="QuoteChar">
    <w:name w:val="Quote Char"/>
    <w:basedOn w:val="DefaultParagraphFont"/>
    <w:link w:val="Quote"/>
    <w:uiPriority w:val="29"/>
    <w:rsid w:val="005F1FF8"/>
    <w:rPr>
      <w:i/>
      <w:iCs/>
      <w:color w:val="404040" w:themeColor="text1" w:themeTint="BF"/>
    </w:rPr>
  </w:style>
  <w:style w:type="paragraph" w:styleId="ListParagraph">
    <w:name w:val="List Paragraph"/>
    <w:basedOn w:val="Normal"/>
    <w:uiPriority w:val="34"/>
    <w:qFormat/>
    <w:rsid w:val="005F1FF8"/>
    <w:pPr>
      <w:ind w:left="720"/>
      <w:contextualSpacing/>
    </w:pPr>
  </w:style>
  <w:style w:type="character" w:styleId="IntenseEmphasis">
    <w:name w:val="Intense Emphasis"/>
    <w:basedOn w:val="DefaultParagraphFont"/>
    <w:uiPriority w:val="21"/>
    <w:qFormat/>
    <w:rsid w:val="005F1FF8"/>
    <w:rPr>
      <w:i/>
      <w:iCs/>
      <w:color w:val="2F5496" w:themeColor="accent1" w:themeShade="BF"/>
    </w:rPr>
  </w:style>
  <w:style w:type="paragraph" w:styleId="IntenseQuote">
    <w:name w:val="Intense Quote"/>
    <w:basedOn w:val="Normal"/>
    <w:next w:val="Normal"/>
    <w:link w:val="IntenseQuoteChar"/>
    <w:uiPriority w:val="30"/>
    <w:qFormat/>
    <w:rsid w:val="005F1F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1FF8"/>
    <w:rPr>
      <w:i/>
      <w:iCs/>
      <w:color w:val="2F5496" w:themeColor="accent1" w:themeShade="BF"/>
    </w:rPr>
  </w:style>
  <w:style w:type="character" w:styleId="IntenseReference">
    <w:name w:val="Intense Reference"/>
    <w:basedOn w:val="DefaultParagraphFont"/>
    <w:uiPriority w:val="32"/>
    <w:qFormat/>
    <w:rsid w:val="005F1FF8"/>
    <w:rPr>
      <w:b/>
      <w:bCs/>
      <w:smallCaps/>
      <w:color w:val="2F5496" w:themeColor="accent1" w:themeShade="BF"/>
      <w:spacing w:val="5"/>
    </w:rPr>
  </w:style>
  <w:style w:type="paragraph" w:styleId="TOCHeading">
    <w:name w:val="TOC Heading"/>
    <w:basedOn w:val="Heading1"/>
    <w:next w:val="Normal"/>
    <w:uiPriority w:val="39"/>
    <w:unhideWhenUsed/>
    <w:qFormat/>
    <w:rsid w:val="000774B9"/>
    <w:pPr>
      <w:spacing w:before="240" w:after="0" w:line="259" w:lineRule="auto"/>
      <w:jc w:val="left"/>
      <w:outlineLvl w:val="9"/>
    </w:pPr>
    <w:rPr>
      <w:sz w:val="32"/>
      <w:szCs w:val="32"/>
    </w:rPr>
  </w:style>
  <w:style w:type="paragraph" w:styleId="TOC1">
    <w:name w:val="toc 1"/>
    <w:basedOn w:val="Normal"/>
    <w:next w:val="Normal"/>
    <w:autoRedefine/>
    <w:uiPriority w:val="39"/>
    <w:unhideWhenUsed/>
    <w:rsid w:val="000774B9"/>
    <w:pPr>
      <w:spacing w:after="100"/>
    </w:pPr>
    <w:rPr>
      <w:rFonts w:ascii="Times New Roman" w:hAnsi="Times New Roman"/>
      <w:kern w:val="2"/>
      <w:lang w:val="en-GB"/>
      <w14:ligatures w14:val="standardContextual"/>
    </w:rPr>
  </w:style>
  <w:style w:type="paragraph" w:styleId="TOC2">
    <w:name w:val="toc 2"/>
    <w:basedOn w:val="Normal"/>
    <w:next w:val="Normal"/>
    <w:autoRedefine/>
    <w:uiPriority w:val="39"/>
    <w:unhideWhenUsed/>
    <w:rsid w:val="000774B9"/>
    <w:pPr>
      <w:spacing w:after="100"/>
      <w:ind w:left="240"/>
    </w:pPr>
    <w:rPr>
      <w:rFonts w:ascii="Times New Roman" w:hAnsi="Times New Roman"/>
      <w:kern w:val="2"/>
      <w:lang w:val="en-GB"/>
      <w14:ligatures w14:val="standardContextual"/>
    </w:rPr>
  </w:style>
  <w:style w:type="character" w:styleId="Hyperlink">
    <w:name w:val="Hyperlink"/>
    <w:basedOn w:val="DefaultParagraphFont"/>
    <w:uiPriority w:val="99"/>
    <w:unhideWhenUsed/>
    <w:rsid w:val="000774B9"/>
    <w:rPr>
      <w:color w:val="0563C1" w:themeColor="hyperlink"/>
      <w:u w:val="single"/>
    </w:rPr>
  </w:style>
  <w:style w:type="paragraph" w:styleId="Caption">
    <w:name w:val="caption"/>
    <w:basedOn w:val="Normal"/>
    <w:next w:val="Normal"/>
    <w:uiPriority w:val="35"/>
    <w:unhideWhenUsed/>
    <w:qFormat/>
    <w:rsid w:val="000774B9"/>
    <w:pPr>
      <w:spacing w:after="200" w:line="240" w:lineRule="auto"/>
    </w:pPr>
    <w:rPr>
      <w:rFonts w:ascii="Times New Roman" w:hAnsi="Times New Roman"/>
      <w:i/>
      <w:iCs/>
      <w:color w:val="44546A" w:themeColor="text2"/>
      <w:kern w:val="2"/>
      <w:sz w:val="18"/>
      <w:szCs w:val="18"/>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2772</Words>
  <Characters>15801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EVELINA</dc:creator>
  <cp:keywords/>
  <dc:description/>
  <cp:lastModifiedBy>LINA EVELINA</cp:lastModifiedBy>
  <cp:revision>12</cp:revision>
  <dcterms:created xsi:type="dcterms:W3CDTF">2025-11-09T09:42:00Z</dcterms:created>
  <dcterms:modified xsi:type="dcterms:W3CDTF">2025-11-21T10:19:00Z</dcterms:modified>
</cp:coreProperties>
</file>