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142BA2" w14:textId="16071296" w:rsidR="00E104ED" w:rsidRDefault="009C1D84" w:rsidP="00EA5E8F">
      <w:pPr>
        <w:rPr>
          <w:b/>
          <w:bCs/>
        </w:rPr>
      </w:pPr>
      <w:r>
        <w:rPr>
          <w:b/>
          <w:bCs/>
        </w:rPr>
        <w:t>To what extent, if at all, is the person and work of Christ as explained in Anselm’s Cur Deus Homo (as found in the extracts provided) a contribution to our understanding of the Doctrine of the Trinity?</w:t>
      </w:r>
    </w:p>
    <w:p w14:paraId="038F3894" w14:textId="77777777" w:rsidR="009C1D84" w:rsidRDefault="009C1D84" w:rsidP="00EA5E8F">
      <w:pPr>
        <w:rPr>
          <w:b/>
          <w:bCs/>
        </w:rPr>
      </w:pPr>
    </w:p>
    <w:p w14:paraId="67F48074" w14:textId="6B6AF9DC" w:rsidR="00DF5ED2" w:rsidRDefault="009052D6" w:rsidP="00EA5E8F">
      <w:r>
        <w:t xml:space="preserve">Though the Doctrine of the Trinity is not explicitly raised in </w:t>
      </w:r>
      <w:r w:rsidR="008C42C8">
        <w:rPr>
          <w:i/>
          <w:iCs/>
        </w:rPr>
        <w:t>Cur Deus Homo</w:t>
      </w:r>
      <w:r>
        <w:t xml:space="preserve">, it is a pertinent question, since there is a presumption of the Trinity that informs Anselm’s thinking on the issue of the </w:t>
      </w:r>
      <w:proofErr w:type="gramStart"/>
      <w:r>
        <w:t>God-man</w:t>
      </w:r>
      <w:proofErr w:type="gramEnd"/>
      <w:r>
        <w:rPr>
          <w:rStyle w:val="FootnoteReference"/>
        </w:rPr>
        <w:footnoteReference w:id="1"/>
      </w:r>
      <w:r>
        <w:t xml:space="preserve">. His early work </w:t>
      </w:r>
      <w:proofErr w:type="spellStart"/>
      <w:r w:rsidRPr="00422BB1">
        <w:rPr>
          <w:i/>
          <w:iCs/>
        </w:rPr>
        <w:t>Monologion</w:t>
      </w:r>
      <w:proofErr w:type="spellEnd"/>
      <w:r>
        <w:t xml:space="preserve"> </w:t>
      </w:r>
      <w:r w:rsidR="00DF5ED2">
        <w:t xml:space="preserve">deals with the structure of the Trinity, </w:t>
      </w:r>
      <w:r w:rsidR="00A85811">
        <w:t>and in it,</w:t>
      </w:r>
      <w:r w:rsidR="00DF5ED2">
        <w:t xml:space="preserve"> as Lauge Nielsen notes, Anselm </w:t>
      </w:r>
      <w:r w:rsidR="00A85811">
        <w:t>emphasizes that ‘it does not make any important difference which terms are used to signify unity and Trinity in the divine.’</w:t>
      </w:r>
      <w:r w:rsidR="00A85811">
        <w:rPr>
          <w:rStyle w:val="FootnoteReference"/>
        </w:rPr>
        <w:footnoteReference w:id="2"/>
      </w:r>
      <w:r w:rsidR="00A85811">
        <w:t xml:space="preserve"> </w:t>
      </w:r>
      <w:r w:rsidR="00E67A07">
        <w:t xml:space="preserve">This may indicate that Anselm was less concerned with nomenclature than with the internal logical consistency of the Trinity. But in the current work, there is a question whether the logical force of the argument for why God became man supports the </w:t>
      </w:r>
      <w:r w:rsidR="00796D33">
        <w:t>Doctrine or</w:t>
      </w:r>
      <w:r w:rsidR="00E67A07">
        <w:t xml:space="preserve"> undermines it.</w:t>
      </w:r>
      <w:r w:rsidR="00A85811">
        <w:t xml:space="preserve"> </w:t>
      </w:r>
    </w:p>
    <w:p w14:paraId="607C0940" w14:textId="77777777" w:rsidR="00181519" w:rsidRDefault="00181519" w:rsidP="00EA5E8F"/>
    <w:p w14:paraId="532A94D6" w14:textId="37798F8B" w:rsidR="00181519" w:rsidRDefault="00181519" w:rsidP="00EA5E8F">
      <w:r>
        <w:t>For Anselm, the coming of Christ serves a logical function within the wider perspective of the fall of man and God’s creative and re-creative purpose. He takes for granted that the Trinity is proved by the Incarnation and focuses his argument on the question raised by his (imagined) interlocutor Boso</w:t>
      </w:r>
      <w:r w:rsidR="00882E88">
        <w:t>, namely what it was that caused God in his omnipotence to take on the insignificance and feebleness of human nature so that it might be renewed.</w:t>
      </w:r>
      <w:r w:rsidR="00882E88">
        <w:rPr>
          <w:rStyle w:val="FootnoteReference"/>
        </w:rPr>
        <w:footnoteReference w:id="3"/>
      </w:r>
      <w:r>
        <w:t xml:space="preserve"> </w:t>
      </w:r>
      <w:r w:rsidR="00882E88">
        <w:t xml:space="preserve">Anselm establishes the idea of ‘fittingness’ early on – as an aspect of God’s </w:t>
      </w:r>
      <w:r w:rsidR="00882E88" w:rsidRPr="00882E88">
        <w:rPr>
          <w:i/>
          <w:iCs/>
        </w:rPr>
        <w:t>modus operandi</w:t>
      </w:r>
      <w:r w:rsidR="00882E88">
        <w:t xml:space="preserve"> – and uses it to </w:t>
      </w:r>
      <w:r w:rsidR="00C45264">
        <w:t xml:space="preserve">demonstrate how appropriate it was that where </w:t>
      </w:r>
      <w:r w:rsidR="00882E88">
        <w:t xml:space="preserve">death came upon the human race through man’s disobedience, </w:t>
      </w:r>
      <w:r w:rsidR="00C45264">
        <w:t>life might be restored by man’s obedience</w:t>
      </w:r>
      <w:r w:rsidR="00882E88">
        <w:rPr>
          <w:rStyle w:val="FootnoteReference"/>
        </w:rPr>
        <w:footnoteReference w:id="4"/>
      </w:r>
      <w:r w:rsidR="00882E88">
        <w:t xml:space="preserve">. </w:t>
      </w:r>
    </w:p>
    <w:p w14:paraId="344FBEA2" w14:textId="77777777" w:rsidR="00A50806" w:rsidRDefault="00A50806" w:rsidP="00EA5E8F"/>
    <w:p w14:paraId="1A361CD1" w14:textId="77777777" w:rsidR="005F1029" w:rsidRDefault="00A50806" w:rsidP="00EA5E8F">
      <w:r>
        <w:t>In the eighth chapter the issue is raised of the potential debasement of God in assuming human form</w:t>
      </w:r>
      <w:r w:rsidR="00874607">
        <w:t>: the nature of the Lord Jesus Christ, wherein his Divine aspect may not be diminished, but rather his human aspect ‘exalted’. The Christ is, as Anselm claims, one person in two natures, and this idea is the natural conclusion of his argument in chapter seven of Book 2</w:t>
      </w:r>
      <w:r w:rsidR="00243B73">
        <w:t xml:space="preserve">, where he seeks to prove how it is necessary for the two natures of the </w:t>
      </w:r>
      <w:proofErr w:type="gramStart"/>
      <w:r w:rsidR="00243B73">
        <w:t>God-man</w:t>
      </w:r>
      <w:proofErr w:type="gramEnd"/>
      <w:r w:rsidR="00243B73">
        <w:t xml:space="preserve"> not to impinge on each other</w:t>
      </w:r>
      <w:r w:rsidR="00243B73">
        <w:rPr>
          <w:rStyle w:val="FootnoteReference"/>
        </w:rPr>
        <w:footnoteReference w:id="5"/>
      </w:r>
      <w:r w:rsidR="00243B73">
        <w:t>. This is reminiscent of the debates of the 4</w:t>
      </w:r>
      <w:r w:rsidR="00243B73" w:rsidRPr="00243B73">
        <w:rPr>
          <w:vertAlign w:val="superscript"/>
        </w:rPr>
        <w:t>th</w:t>
      </w:r>
      <w:r w:rsidR="00243B73">
        <w:t xml:space="preserve"> and 5</w:t>
      </w:r>
      <w:r w:rsidR="00243B73" w:rsidRPr="00243B73">
        <w:rPr>
          <w:vertAlign w:val="superscript"/>
        </w:rPr>
        <w:t>th</w:t>
      </w:r>
      <w:r w:rsidR="00243B73">
        <w:t xml:space="preserve"> centuries, where the </w:t>
      </w:r>
      <w:r w:rsidR="005F1029">
        <w:t xml:space="preserve">tradition of the </w:t>
      </w:r>
      <w:r w:rsidR="00243B73">
        <w:t xml:space="preserve">Trinity (the Father, Son and Holy Spirit) </w:t>
      </w:r>
      <w:r w:rsidR="005F1029">
        <w:t>of an un-commingled unity of three persons was established.</w:t>
      </w:r>
    </w:p>
    <w:p w14:paraId="6D67B4F1" w14:textId="77777777" w:rsidR="005F1029" w:rsidRDefault="005F1029" w:rsidP="00EA5E8F"/>
    <w:p w14:paraId="2A49B3E3" w14:textId="3BCB436E" w:rsidR="00A50806" w:rsidRDefault="005F1029" w:rsidP="00EA5E8F">
      <w:r>
        <w:t xml:space="preserve">The </w:t>
      </w:r>
      <w:r w:rsidR="00466739">
        <w:t>following two chapters</w:t>
      </w:r>
      <w:r>
        <w:t xml:space="preserve"> argue </w:t>
      </w:r>
      <w:proofErr w:type="gramStart"/>
      <w:r>
        <w:t>that,</w:t>
      </w:r>
      <w:proofErr w:type="gramEnd"/>
      <w:r>
        <w:t xml:space="preserve"> whatever evidence Boso may quote to the contrary, the actions of the incarnate Son in undergoing death for the salvation of humanity</w:t>
      </w:r>
      <w:r w:rsidR="00466739">
        <w:t xml:space="preserve"> were done voluntarily, and not under the compulsion of obedience to the will of the Father. Anselm’s proof of this is that Christ’s ‘holy will </w:t>
      </w:r>
      <w:proofErr w:type="gramStart"/>
      <w:r w:rsidR="00466739">
        <w:t>was</w:t>
      </w:r>
      <w:proofErr w:type="gramEnd"/>
      <w:r w:rsidR="00466739">
        <w:t xml:space="preserve"> not derived from his humanity, but from his divinity.’</w:t>
      </w:r>
      <w:r w:rsidR="00466739">
        <w:rPr>
          <w:rStyle w:val="FootnoteReference"/>
        </w:rPr>
        <w:footnoteReference w:id="6"/>
      </w:r>
      <w:r w:rsidR="00466739">
        <w:t xml:space="preserve"> And in the same chapter, there is the only reference to </w:t>
      </w:r>
      <w:r w:rsidR="00466739">
        <w:lastRenderedPageBreak/>
        <w:t xml:space="preserve">the Holy Spirit in a putative agreement by the Trinity that the death of Christ was the only method of making known to the world the omnipotence of the Father. </w:t>
      </w:r>
    </w:p>
    <w:p w14:paraId="6B43F7A4" w14:textId="77777777" w:rsidR="00652377" w:rsidRDefault="00652377" w:rsidP="00EA5E8F"/>
    <w:p w14:paraId="372AC522" w14:textId="6277D34D" w:rsidR="00652377" w:rsidRDefault="00E67A07" w:rsidP="00EA5E8F">
      <w:r>
        <w:t>These are</w:t>
      </w:r>
      <w:r w:rsidR="00652377">
        <w:t xml:space="preserve"> </w:t>
      </w:r>
      <w:r w:rsidR="001D6EA8">
        <w:t>slim pickings</w:t>
      </w:r>
      <w:r>
        <w:t xml:space="preserve">. They indicate that Anselm is focussed on a schema of salvation </w:t>
      </w:r>
      <w:r w:rsidR="001D6EA8">
        <w:t>that depends more on internal logic</w:t>
      </w:r>
      <w:r>
        <w:t xml:space="preserve"> </w:t>
      </w:r>
      <w:r w:rsidR="001D6EA8">
        <w:t xml:space="preserve">than on the operation of the persons of the Trinity. Indeed, it is that logic that raises the debate about whether God acted according to his will, or if it were by necessity. </w:t>
      </w:r>
    </w:p>
    <w:p w14:paraId="5267C661" w14:textId="77777777" w:rsidR="00A7357C" w:rsidRDefault="00A7357C" w:rsidP="00EA5E8F"/>
    <w:p w14:paraId="09EF5897" w14:textId="7FA1F0D8" w:rsidR="00EE60AE" w:rsidRDefault="001D6EA8" w:rsidP="00EA5E8F">
      <w:r>
        <w:t>Jonathan McIntosh</w:t>
      </w:r>
      <w:r w:rsidR="0021726B">
        <w:rPr>
          <w:rStyle w:val="FootnoteReference"/>
        </w:rPr>
        <w:footnoteReference w:id="7"/>
      </w:r>
      <w:r>
        <w:t xml:space="preserve"> outlines the distinction between the essentialist interpretation of the act of Incarnation and the voluntarist view</w:t>
      </w:r>
      <w:r w:rsidR="00EE60AE">
        <w:t xml:space="preserve"> (contrasting the necessity where God acts according to the dictates of his nature, and the necessity derived from prior determined choices); and </w:t>
      </w:r>
      <w:r w:rsidR="00422BB1">
        <w:t xml:space="preserve">he </w:t>
      </w:r>
      <w:r w:rsidR="00EE60AE">
        <w:t>offers an alternative reading of Anselm’s ‘necessity’, as a form of ‘actualism’: in the case of the necessity of the Incarnation, it derives from what God ‘has actually done’ in creating the humanity that he did. He offers examples of where this interpretation is, in his view, successful (</w:t>
      </w:r>
      <w:r w:rsidR="000B1A04">
        <w:t xml:space="preserve">such as in </w:t>
      </w:r>
      <w:r w:rsidR="00EE60AE">
        <w:t>book 1, chapters 10 and 11</w:t>
      </w:r>
      <w:r w:rsidR="000B1A04">
        <w:t>, and book 2, chapter 5</w:t>
      </w:r>
      <w:r w:rsidR="00EE60AE">
        <w:t>)</w:t>
      </w:r>
      <w:r w:rsidR="000B1A04">
        <w:t>. His hope is to accord God a degree of freedom from the constraints of what others acknowledge in Anselm’s argument to be excessive l</w:t>
      </w:r>
      <w:r w:rsidR="00422BB1">
        <w:t xml:space="preserve">ogical </w:t>
      </w:r>
      <w:r w:rsidR="000B1A04">
        <w:t xml:space="preserve">constraints on God’s actions. Such constraints range from the theory of ‘satisfaction’ to the need for God to complete </w:t>
      </w:r>
      <w:r w:rsidR="00353A49">
        <w:t xml:space="preserve">his creative (and recreative) </w:t>
      </w:r>
      <w:r w:rsidR="007B5976">
        <w:t>project for</w:t>
      </w:r>
      <w:r w:rsidR="00353A49">
        <w:t xml:space="preserve"> humanity.</w:t>
      </w:r>
    </w:p>
    <w:p w14:paraId="09A70BA9" w14:textId="77777777" w:rsidR="00353A49" w:rsidRDefault="00353A49" w:rsidP="00EA5E8F"/>
    <w:p w14:paraId="38BBD299" w14:textId="0ED89F9C" w:rsidR="00353A49" w:rsidRDefault="00353A49" w:rsidP="00EA5E8F">
      <w:r>
        <w:t>Other attempts have been made to remove the logical straitjacket that Anselm imposes on God, such as that by Deme, who tries to argue that since God’s actions take place outside of time (in an ‘eternal present’), ‘God freely binds himself to the accomplishment of the future act in which he will save man from the bondage of sin.’</w:t>
      </w:r>
      <w:r>
        <w:rPr>
          <w:rStyle w:val="FootnoteReference"/>
        </w:rPr>
        <w:footnoteReference w:id="8"/>
      </w:r>
    </w:p>
    <w:p w14:paraId="1B3C34BA" w14:textId="4297C04D" w:rsidR="00EE60AE" w:rsidRDefault="0021726B" w:rsidP="00EA5E8F">
      <w:r>
        <w:t>McIntosh himself claims that God’s binding act of creation is identical to the subsequent binding act of redemption.</w:t>
      </w:r>
      <w:r>
        <w:rPr>
          <w:rStyle w:val="FootnoteReference"/>
        </w:rPr>
        <w:footnoteReference w:id="9"/>
      </w:r>
      <w:r>
        <w:t xml:space="preserve"> </w:t>
      </w:r>
    </w:p>
    <w:p w14:paraId="0E3F63C7" w14:textId="77777777" w:rsidR="007B5976" w:rsidRDefault="007B5976" w:rsidP="00EA5E8F"/>
    <w:p w14:paraId="1B441CEE" w14:textId="524DD29E" w:rsidR="00B91637" w:rsidRDefault="008416F9" w:rsidP="00EA5E8F">
      <w:r>
        <w:t xml:space="preserve">The bind on God is found everywhere. </w:t>
      </w:r>
      <w:r w:rsidR="007B5976">
        <w:t xml:space="preserve">A good example is the objection that the character Boso raises </w:t>
      </w:r>
      <w:r w:rsidR="00796D33">
        <w:t>in book 1, chapter 12, to the absence of God’s mercy. This follows Anselm’s argument that God may not let sin go unpunished. In an echo of his appeal to what is fitting or becoming for God, Anselm is claiming that if the sinner goes unpunished then God will not distinguish between the guilty and the innocent, and that this would ill</w:t>
      </w:r>
      <w:r w:rsidR="00422BB1">
        <w:t xml:space="preserve"> </w:t>
      </w:r>
      <w:r w:rsidR="00796D33">
        <w:t xml:space="preserve">become God. This is particularly striking for the student of the New Testament, because Jesus appears at odds with the Pharisees, precisely because he pits God’s mercy against Pharisaic law. As Anselm goes on to say, ‘If sin is neither paid for nor punished, it is subject to </w:t>
      </w:r>
      <w:r w:rsidR="00796D33" w:rsidRPr="00796D33">
        <w:rPr>
          <w:i/>
          <w:iCs/>
        </w:rPr>
        <w:t>no law</w:t>
      </w:r>
      <w:r w:rsidR="00796D33">
        <w:t xml:space="preserve">.’ </w:t>
      </w:r>
      <w:r>
        <w:t>And in answer to Boso’s objection on the grounds of supposed divine mercy, he says, ‘If God desires a thing, it is right that he should desire that which involves no unfitness.’</w:t>
      </w:r>
      <w:r>
        <w:rPr>
          <w:rStyle w:val="FootnoteReference"/>
        </w:rPr>
        <w:footnoteReference w:id="10"/>
      </w:r>
      <w:r>
        <w:t xml:space="preserve"> In similar vein, Anselm speaks of the dignity of God.</w:t>
      </w:r>
      <w:r>
        <w:rPr>
          <w:rStyle w:val="FootnoteReference"/>
        </w:rPr>
        <w:footnoteReference w:id="11"/>
      </w:r>
      <w:r>
        <w:t xml:space="preserve"> </w:t>
      </w:r>
    </w:p>
    <w:p w14:paraId="4A38789B" w14:textId="77777777" w:rsidR="008416F9" w:rsidRDefault="008416F9" w:rsidP="00EA5E8F"/>
    <w:p w14:paraId="2230A380" w14:textId="0509872F" w:rsidR="007B5976" w:rsidRDefault="008416F9" w:rsidP="00EA5E8F">
      <w:r>
        <w:t xml:space="preserve">It is difficult not to see the wider difficulty in these attempts to unshackle God from Anselm’s logical constraints. </w:t>
      </w:r>
      <w:r w:rsidR="007B5976" w:rsidRPr="00796D33">
        <w:t>For</w:t>
      </w:r>
      <w:r w:rsidR="007B5976">
        <w:t xml:space="preserve"> the more that he is at pains to push to an unassailable conclusion his </w:t>
      </w:r>
      <w:proofErr w:type="gramStart"/>
      <w:r w:rsidR="007B5976">
        <w:t>particular model</w:t>
      </w:r>
      <w:proofErr w:type="gramEnd"/>
      <w:r w:rsidR="007B5976">
        <w:t xml:space="preserve"> of the work of Christ in remitting the sins of humanity, the less he needs to appeal to the scripture from which the theory of the Incarnation springs. </w:t>
      </w:r>
      <w:r w:rsidR="00B91637">
        <w:t xml:space="preserve">And on the part of his advocates, the more the argument is pressed that God is not constrained, the further we seem to travel from any form of Christology. </w:t>
      </w:r>
    </w:p>
    <w:p w14:paraId="62D010E0" w14:textId="77777777" w:rsidR="00B91637" w:rsidRDefault="00B91637" w:rsidP="00EA5E8F"/>
    <w:p w14:paraId="7A825573" w14:textId="77777777" w:rsidR="00C31605" w:rsidRDefault="00B91637" w:rsidP="00EA5E8F">
      <w:r>
        <w:t>Anselm’s project is to prove that the Incarnation was a logical necessity. An example has already been given of how that seems to militate against scripture. And even so, for all its force, Anselm’s logic is itself subject to criticism</w:t>
      </w:r>
      <w:r w:rsidR="00C31605">
        <w:t>. H</w:t>
      </w:r>
      <w:r>
        <w:t xml:space="preserve">is conclusion about the price to be paid for the sin of humanity (the ‘satisfaction’) only being able to be exacted from the one </w:t>
      </w:r>
      <w:r w:rsidR="00C31605">
        <w:t xml:space="preserve">who </w:t>
      </w:r>
      <w:r>
        <w:t>is both</w:t>
      </w:r>
      <w:r w:rsidR="00F53110">
        <w:t xml:space="preserve"> ‘very God’ and ‘very man’</w:t>
      </w:r>
      <w:r w:rsidR="00F53110">
        <w:rPr>
          <w:rStyle w:val="FootnoteReference"/>
        </w:rPr>
        <w:footnoteReference w:id="12"/>
      </w:r>
      <w:r>
        <w:t xml:space="preserve"> leaves hanging </w:t>
      </w:r>
      <w:r w:rsidR="00C31605">
        <w:t>a</w:t>
      </w:r>
      <w:r>
        <w:t xml:space="preserve"> hard question about </w:t>
      </w:r>
      <w:r w:rsidR="00C31605">
        <w:t xml:space="preserve">the second person of the Trinity: is this one person (un-commingled) real (and discoverable in scripture or in life): or is he a fantastical composite in Anselm’s imagination of both perfect God and perfect man? </w:t>
      </w:r>
      <w:r w:rsidR="002B13A1">
        <w:t xml:space="preserve"> </w:t>
      </w:r>
    </w:p>
    <w:p w14:paraId="459E1F96" w14:textId="77777777" w:rsidR="00C31605" w:rsidRDefault="00C31605" w:rsidP="00EA5E8F"/>
    <w:p w14:paraId="644CA6AA" w14:textId="77777777" w:rsidR="007918CB" w:rsidRDefault="00C31605" w:rsidP="00EA5E8F">
      <w:r>
        <w:t xml:space="preserve">The story of the Incarnation and the appearance of the Hoy Spirit at Pentecost gave historical rise to the concept of the Trinity, which over the following three centuries became the article of faith for Christian followers. In failing to address either the historical or scriptural accounts, Anselm is walking away from </w:t>
      </w:r>
      <w:r w:rsidR="007918CB">
        <w:t>the so-called</w:t>
      </w:r>
      <w:r>
        <w:t xml:space="preserve"> anthropological Christology</w:t>
      </w:r>
      <w:r w:rsidR="007918CB">
        <w:rPr>
          <w:rStyle w:val="FootnoteReference"/>
        </w:rPr>
        <w:footnoteReference w:id="13"/>
      </w:r>
      <w:r>
        <w:t xml:space="preserve">. </w:t>
      </w:r>
      <w:r w:rsidR="007918CB">
        <w:t>The nearest typology for Anselm’s Christ may be the political version, and if not in the conventional sense of Lordship, then in a more overtly social and legal sense. Equally, in terms of a cosmological Christology, Anselm advances a meagre case.  It appears that so</w:t>
      </w:r>
      <w:r w:rsidR="00310410">
        <w:t xml:space="preserve"> heavy a reliance</w:t>
      </w:r>
      <w:r w:rsidR="007918CB">
        <w:t xml:space="preserve"> </w:t>
      </w:r>
      <w:r w:rsidR="00310410">
        <w:t xml:space="preserve">on logical proof has the perhaps unintended consequence of stripping the second person of the Trinity of nearly all Christological content. </w:t>
      </w:r>
    </w:p>
    <w:p w14:paraId="59045D6B" w14:textId="77777777" w:rsidR="007918CB" w:rsidRDefault="007918CB" w:rsidP="00EA5E8F"/>
    <w:p w14:paraId="258E5B86" w14:textId="537994EB" w:rsidR="007918CB" w:rsidRDefault="007918CB" w:rsidP="00EA5E8F">
      <w:r>
        <w:t xml:space="preserve">For that reason, it is not inapposite, in terms of Anselm’s contribution to the Doctrine of the Trinity, that, </w:t>
      </w:r>
      <w:r>
        <w:t xml:space="preserve">in the studied extracts of </w:t>
      </w:r>
      <w:r>
        <w:rPr>
          <w:i/>
          <w:iCs/>
        </w:rPr>
        <w:t>Cur Deus Homo</w:t>
      </w:r>
      <w:r>
        <w:rPr>
          <w:i/>
          <w:iCs/>
        </w:rPr>
        <w:t>,</w:t>
      </w:r>
      <w:r>
        <w:t xml:space="preserve"> he makes mention only once of the Holy Spirit,</w:t>
      </w:r>
      <w:r>
        <w:rPr>
          <w:i/>
          <w:iCs/>
        </w:rPr>
        <w:t xml:space="preserve"> </w:t>
      </w:r>
      <w:r>
        <w:t xml:space="preserve">and of Christ some ten times. This compares with the word ‘Father’ being used over forty times. The persons of the Trinity have become for Anselm mere labels, or logical instruments in </w:t>
      </w:r>
      <w:r w:rsidR="00422BB1">
        <w:t>his</w:t>
      </w:r>
      <w:r>
        <w:t xml:space="preserve"> deterministic world.</w:t>
      </w:r>
    </w:p>
    <w:p w14:paraId="52969D8D" w14:textId="77777777" w:rsidR="007918CB" w:rsidRDefault="007918CB" w:rsidP="00EA5E8F"/>
    <w:p w14:paraId="12C156E2" w14:textId="6159F19A" w:rsidR="00A7357C" w:rsidRDefault="00C93648" w:rsidP="00EA5E8F">
      <w:r>
        <w:t xml:space="preserve">As </w:t>
      </w:r>
      <w:proofErr w:type="spellStart"/>
      <w:r>
        <w:t>O’Collins</w:t>
      </w:r>
      <w:proofErr w:type="spellEnd"/>
      <w:r>
        <w:t xml:space="preserve"> notes, ‘Anselm turned Christ’s life in to a mere prelude to death.’</w:t>
      </w:r>
      <w:r>
        <w:rPr>
          <w:rStyle w:val="FootnoteReference"/>
        </w:rPr>
        <w:footnoteReference w:id="14"/>
      </w:r>
    </w:p>
    <w:p w14:paraId="33C84FF1" w14:textId="77777777" w:rsidR="00181519" w:rsidRDefault="00181519" w:rsidP="00EA5E8F"/>
    <w:p w14:paraId="3B4B39F5" w14:textId="2D834D13" w:rsidR="00181519" w:rsidRDefault="00181519" w:rsidP="00EA5E8F"/>
    <w:p w14:paraId="728FF5F3" w14:textId="77777777" w:rsidR="002331C1" w:rsidRDefault="002331C1" w:rsidP="00EA5E8F"/>
    <w:p w14:paraId="5886161E" w14:textId="77777777" w:rsidR="002331C1" w:rsidRDefault="002331C1" w:rsidP="00EA5E8F"/>
    <w:p w14:paraId="4C094A8C" w14:textId="77777777" w:rsidR="00A85811" w:rsidRDefault="00A85811" w:rsidP="00EA5E8F"/>
    <w:p w14:paraId="42FBCA00" w14:textId="77777777" w:rsidR="00A85811" w:rsidRDefault="00A85811" w:rsidP="00EA5E8F"/>
    <w:p w14:paraId="4B5759FD" w14:textId="77777777" w:rsidR="00FE4A80" w:rsidRDefault="00FE4A80" w:rsidP="00EA5E8F">
      <w:pPr>
        <w:rPr>
          <w:b/>
          <w:bCs/>
        </w:rPr>
      </w:pPr>
    </w:p>
    <w:p w14:paraId="1234FFA6" w14:textId="77777777" w:rsidR="00FE4A80" w:rsidRDefault="00FE4A80" w:rsidP="00EA5E8F">
      <w:pPr>
        <w:rPr>
          <w:b/>
          <w:bCs/>
        </w:rPr>
      </w:pPr>
    </w:p>
    <w:p w14:paraId="37D5F017" w14:textId="77777777" w:rsidR="00FE4A80" w:rsidRDefault="00FE4A80" w:rsidP="00EA5E8F">
      <w:pPr>
        <w:rPr>
          <w:b/>
          <w:bCs/>
        </w:rPr>
      </w:pPr>
    </w:p>
    <w:p w14:paraId="312FC157" w14:textId="77777777" w:rsidR="00FE4A80" w:rsidRDefault="00FE4A80" w:rsidP="00EA5E8F">
      <w:pPr>
        <w:rPr>
          <w:b/>
          <w:bCs/>
        </w:rPr>
      </w:pPr>
    </w:p>
    <w:p w14:paraId="2B01DDC7" w14:textId="77777777" w:rsidR="00FE4A80" w:rsidRDefault="00FE4A80" w:rsidP="00EA5E8F">
      <w:pPr>
        <w:rPr>
          <w:b/>
          <w:bCs/>
        </w:rPr>
      </w:pPr>
    </w:p>
    <w:p w14:paraId="526FDC6D" w14:textId="77777777" w:rsidR="00FE4A80" w:rsidRDefault="00FE4A80" w:rsidP="00EA5E8F">
      <w:pPr>
        <w:rPr>
          <w:b/>
          <w:bCs/>
        </w:rPr>
      </w:pPr>
    </w:p>
    <w:p w14:paraId="3D13F346" w14:textId="77777777" w:rsidR="00FE4A80" w:rsidRDefault="00FE4A80" w:rsidP="00EA5E8F">
      <w:pPr>
        <w:rPr>
          <w:b/>
          <w:bCs/>
        </w:rPr>
      </w:pPr>
    </w:p>
    <w:p w14:paraId="629E507E" w14:textId="77777777" w:rsidR="00FE4A80" w:rsidRDefault="00FE4A80" w:rsidP="00EA5E8F">
      <w:pPr>
        <w:rPr>
          <w:b/>
          <w:bCs/>
        </w:rPr>
      </w:pPr>
    </w:p>
    <w:p w14:paraId="2AEF7607" w14:textId="77777777" w:rsidR="00FE4A80" w:rsidRDefault="00FE4A80" w:rsidP="00EA5E8F">
      <w:pPr>
        <w:rPr>
          <w:b/>
          <w:bCs/>
        </w:rPr>
      </w:pPr>
    </w:p>
    <w:p w14:paraId="0717D02D" w14:textId="77777777" w:rsidR="00FE4A80" w:rsidRDefault="00FE4A80" w:rsidP="00EA5E8F">
      <w:pPr>
        <w:rPr>
          <w:b/>
          <w:bCs/>
        </w:rPr>
      </w:pPr>
    </w:p>
    <w:p w14:paraId="2C2D7757" w14:textId="77777777" w:rsidR="00FE4A80" w:rsidRDefault="00FE4A80" w:rsidP="00EA5E8F">
      <w:pPr>
        <w:rPr>
          <w:b/>
          <w:bCs/>
        </w:rPr>
      </w:pPr>
    </w:p>
    <w:p w14:paraId="53325F31" w14:textId="77777777" w:rsidR="00FE4A80" w:rsidRDefault="00FE4A80" w:rsidP="00EA5E8F">
      <w:pPr>
        <w:rPr>
          <w:b/>
          <w:bCs/>
        </w:rPr>
      </w:pPr>
    </w:p>
    <w:p w14:paraId="54990770" w14:textId="77777777" w:rsidR="00FE4A80" w:rsidRDefault="00FE4A80" w:rsidP="00EA5E8F">
      <w:pPr>
        <w:rPr>
          <w:b/>
          <w:bCs/>
        </w:rPr>
      </w:pPr>
    </w:p>
    <w:p w14:paraId="7D0B45A3" w14:textId="77777777" w:rsidR="00FE4A80" w:rsidRDefault="00FE4A80" w:rsidP="00EA5E8F">
      <w:pPr>
        <w:rPr>
          <w:b/>
          <w:bCs/>
        </w:rPr>
      </w:pPr>
    </w:p>
    <w:p w14:paraId="02AD499A" w14:textId="77777777" w:rsidR="00FE4A80" w:rsidRDefault="00FE4A80" w:rsidP="00EA5E8F">
      <w:pPr>
        <w:rPr>
          <w:b/>
          <w:bCs/>
        </w:rPr>
      </w:pPr>
    </w:p>
    <w:p w14:paraId="1D6E6714" w14:textId="77777777" w:rsidR="00FE4A80" w:rsidRDefault="00FE4A80" w:rsidP="00EA5E8F">
      <w:pPr>
        <w:rPr>
          <w:b/>
          <w:bCs/>
        </w:rPr>
      </w:pPr>
    </w:p>
    <w:p w14:paraId="1D0E30F0" w14:textId="77777777" w:rsidR="00FE4A80" w:rsidRPr="00FE4A80" w:rsidRDefault="00FE4A80" w:rsidP="00FE4A80"/>
    <w:p w14:paraId="734D5841" w14:textId="77777777" w:rsidR="00FE4A80" w:rsidRPr="00FE4A80" w:rsidRDefault="00FE4A80" w:rsidP="00FE4A80"/>
    <w:p w14:paraId="1B2C3051" w14:textId="77777777" w:rsidR="00FE4A80" w:rsidRPr="00FE4A80" w:rsidRDefault="00FE4A80" w:rsidP="00FE4A80"/>
    <w:p w14:paraId="672F2831" w14:textId="77777777" w:rsidR="00FE4A80" w:rsidRPr="00FE4A80" w:rsidRDefault="00FE4A80" w:rsidP="00FE4A80"/>
    <w:p w14:paraId="21E4657D" w14:textId="77777777" w:rsidR="00FE4A80" w:rsidRPr="00FE4A80" w:rsidRDefault="00FE4A80" w:rsidP="00FE4A80"/>
    <w:p w14:paraId="36BDCE88" w14:textId="77777777" w:rsidR="00FE4A80" w:rsidRPr="00FE4A80" w:rsidRDefault="00FE4A80" w:rsidP="00FE4A80"/>
    <w:p w14:paraId="340FE3A9" w14:textId="77777777" w:rsidR="00FE4A80" w:rsidRPr="00FE4A80" w:rsidRDefault="00FE4A80" w:rsidP="00FE4A80"/>
    <w:p w14:paraId="1B4D9C7D" w14:textId="77777777" w:rsidR="00FE4A80" w:rsidRPr="00FE4A80" w:rsidRDefault="00FE4A80" w:rsidP="00FE4A80"/>
    <w:p w14:paraId="411D3BB9" w14:textId="77777777" w:rsidR="00FE4A80" w:rsidRPr="00FE4A80" w:rsidRDefault="00FE4A80" w:rsidP="00FE4A80"/>
    <w:p w14:paraId="36432D80" w14:textId="77777777" w:rsidR="00FE4A80" w:rsidRPr="00FE4A80" w:rsidRDefault="00FE4A80" w:rsidP="00FE4A80"/>
    <w:p w14:paraId="7BDBA42C" w14:textId="77777777" w:rsidR="00FE4A80" w:rsidRPr="00FE4A80" w:rsidRDefault="00FE4A80" w:rsidP="00FE4A80"/>
    <w:p w14:paraId="1C8C47B9" w14:textId="77777777" w:rsidR="00FE4A80" w:rsidRPr="00FE4A80" w:rsidRDefault="00FE4A80" w:rsidP="00FE4A80"/>
    <w:p w14:paraId="6DEB550B" w14:textId="77777777" w:rsidR="00FE4A80" w:rsidRPr="00FE4A80" w:rsidRDefault="00FE4A80" w:rsidP="00FE4A80"/>
    <w:p w14:paraId="4311A872" w14:textId="2F752B88" w:rsidR="00FE4A80" w:rsidRPr="00FE4A80" w:rsidRDefault="00FE4A80" w:rsidP="00FE4A80"/>
    <w:sectPr w:rsidR="00FE4A80" w:rsidRPr="00FE4A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A369BB" w14:textId="77777777" w:rsidR="00FB3570" w:rsidRDefault="00FB3570" w:rsidP="009052D6">
      <w:r>
        <w:separator/>
      </w:r>
    </w:p>
  </w:endnote>
  <w:endnote w:type="continuationSeparator" w:id="0">
    <w:p w14:paraId="65A1FE12" w14:textId="77777777" w:rsidR="00FB3570" w:rsidRDefault="00FB3570" w:rsidP="009052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73E1D0" w14:textId="77777777" w:rsidR="00FB3570" w:rsidRDefault="00FB3570" w:rsidP="009052D6">
      <w:r>
        <w:separator/>
      </w:r>
    </w:p>
  </w:footnote>
  <w:footnote w:type="continuationSeparator" w:id="0">
    <w:p w14:paraId="3F9D5ED7" w14:textId="77777777" w:rsidR="00FB3570" w:rsidRDefault="00FB3570" w:rsidP="009052D6">
      <w:r>
        <w:continuationSeparator/>
      </w:r>
    </w:p>
  </w:footnote>
  <w:footnote w:id="1">
    <w:p w14:paraId="22E2172A" w14:textId="30C7E5CA" w:rsidR="009052D6" w:rsidRPr="009052D6" w:rsidRDefault="009052D6">
      <w:pPr>
        <w:pStyle w:val="FootnoteText"/>
      </w:pPr>
      <w:r>
        <w:rPr>
          <w:rStyle w:val="FootnoteReference"/>
        </w:rPr>
        <w:footnoteRef/>
      </w:r>
      <w:r>
        <w:t xml:space="preserve"> Anselm, </w:t>
      </w:r>
      <w:r>
        <w:rPr>
          <w:i/>
          <w:iCs/>
        </w:rPr>
        <w:t>Cur Deus Homo</w:t>
      </w:r>
      <w:r>
        <w:t>, Book 2, chapter</w:t>
      </w:r>
      <w:r w:rsidR="00F53110">
        <w:t xml:space="preserve"> 6</w:t>
      </w:r>
      <w:r w:rsidR="00243B73">
        <w:t>.</w:t>
      </w:r>
    </w:p>
  </w:footnote>
  <w:footnote w:id="2">
    <w:p w14:paraId="27248DE9" w14:textId="748D13E3" w:rsidR="00A85811" w:rsidRDefault="00A85811">
      <w:pPr>
        <w:pStyle w:val="FootnoteText"/>
      </w:pPr>
      <w:r>
        <w:rPr>
          <w:rStyle w:val="FootnoteReference"/>
        </w:rPr>
        <w:footnoteRef/>
      </w:r>
      <w:r>
        <w:t xml:space="preserve"> </w:t>
      </w:r>
      <w:r w:rsidRPr="00A85811">
        <w:t>Nielsen, Lauge O., 'Trinitarian Theology from Alcuin to Anselm', in Gilles Emery, and Matthew Levering (eds), </w:t>
      </w:r>
      <w:r w:rsidRPr="00A85811">
        <w:rPr>
          <w:i/>
          <w:iCs/>
        </w:rPr>
        <w:t>The Oxford Handbook of the Trinity</w:t>
      </w:r>
      <w:r w:rsidRPr="00A85811">
        <w:t> (2011</w:t>
      </w:r>
      <w:r>
        <w:t>) p 162.</w:t>
      </w:r>
    </w:p>
  </w:footnote>
  <w:footnote w:id="3">
    <w:p w14:paraId="7A7AE155" w14:textId="7FC750AB" w:rsidR="00882E88" w:rsidRDefault="00882E88">
      <w:pPr>
        <w:pStyle w:val="FootnoteText"/>
      </w:pPr>
      <w:r>
        <w:rPr>
          <w:rStyle w:val="FootnoteReference"/>
        </w:rPr>
        <w:footnoteRef/>
      </w:r>
      <w:r>
        <w:t xml:space="preserve"> </w:t>
      </w:r>
      <w:r>
        <w:t xml:space="preserve">Anselm, </w:t>
      </w:r>
      <w:r>
        <w:rPr>
          <w:i/>
          <w:iCs/>
        </w:rPr>
        <w:t>Cur Deus Homo</w:t>
      </w:r>
      <w:r>
        <w:t xml:space="preserve">, Book </w:t>
      </w:r>
      <w:r>
        <w:t>1</w:t>
      </w:r>
      <w:r>
        <w:t xml:space="preserve">, chapter </w:t>
      </w:r>
      <w:r>
        <w:t>2</w:t>
      </w:r>
      <w:r w:rsidR="00243B73">
        <w:t>.</w:t>
      </w:r>
    </w:p>
  </w:footnote>
  <w:footnote w:id="4">
    <w:p w14:paraId="5EADC105" w14:textId="1C6EAB9B" w:rsidR="00882E88" w:rsidRDefault="00882E88">
      <w:pPr>
        <w:pStyle w:val="FootnoteText"/>
      </w:pPr>
      <w:r>
        <w:rPr>
          <w:rStyle w:val="FootnoteReference"/>
        </w:rPr>
        <w:footnoteRef/>
      </w:r>
      <w:r>
        <w:t xml:space="preserve"> </w:t>
      </w:r>
      <w:r>
        <w:t xml:space="preserve">Anselm, </w:t>
      </w:r>
      <w:r>
        <w:rPr>
          <w:i/>
          <w:iCs/>
        </w:rPr>
        <w:t>Cur Deus Homo</w:t>
      </w:r>
      <w:r>
        <w:t xml:space="preserve">, Book 1, chapter </w:t>
      </w:r>
      <w:r>
        <w:t>3</w:t>
      </w:r>
      <w:r w:rsidR="00243B73">
        <w:t>.</w:t>
      </w:r>
    </w:p>
  </w:footnote>
  <w:footnote w:id="5">
    <w:p w14:paraId="0121BE1F" w14:textId="004F6836" w:rsidR="00243B73" w:rsidRPr="00243B73" w:rsidRDefault="00243B73">
      <w:pPr>
        <w:pStyle w:val="FootnoteText"/>
        <w:rPr>
          <w:i/>
          <w:iCs/>
        </w:rPr>
      </w:pPr>
      <w:r>
        <w:rPr>
          <w:rStyle w:val="FootnoteReference"/>
        </w:rPr>
        <w:footnoteRef/>
      </w:r>
      <w:r>
        <w:t xml:space="preserve"> Anselm, </w:t>
      </w:r>
      <w:r>
        <w:rPr>
          <w:i/>
          <w:iCs/>
        </w:rPr>
        <w:t xml:space="preserve">Cur Deus Homo, </w:t>
      </w:r>
      <w:r>
        <w:t xml:space="preserve">Book 2, chapter 7: </w:t>
      </w:r>
      <w:r w:rsidRPr="00243B73">
        <w:t>‘</w:t>
      </w:r>
      <w:r w:rsidRPr="00243B73">
        <w:rPr>
          <w:i/>
          <w:iCs/>
        </w:rPr>
        <w:t xml:space="preserve">for otherwise it is impossible that the same </w:t>
      </w:r>
      <w:proofErr w:type="gramStart"/>
      <w:r w:rsidRPr="00243B73">
        <w:rPr>
          <w:i/>
          <w:iCs/>
        </w:rPr>
        <w:t>being</w:t>
      </w:r>
      <w:r>
        <w:rPr>
          <w:i/>
          <w:iCs/>
        </w:rPr>
        <w:t xml:space="preserve"> should be</w:t>
      </w:r>
      <w:proofErr w:type="gramEnd"/>
      <w:r>
        <w:rPr>
          <w:i/>
          <w:iCs/>
        </w:rPr>
        <w:t xml:space="preserve"> very God and very man.’</w:t>
      </w:r>
    </w:p>
  </w:footnote>
  <w:footnote w:id="6">
    <w:p w14:paraId="65615BAD" w14:textId="431CC9CE" w:rsidR="00466739" w:rsidRDefault="00466739">
      <w:pPr>
        <w:pStyle w:val="FootnoteText"/>
      </w:pPr>
      <w:r>
        <w:rPr>
          <w:rStyle w:val="FootnoteReference"/>
        </w:rPr>
        <w:footnoteRef/>
      </w:r>
      <w:r>
        <w:t xml:space="preserve"> </w:t>
      </w:r>
      <w:r>
        <w:t xml:space="preserve">Anselm, </w:t>
      </w:r>
      <w:r>
        <w:rPr>
          <w:i/>
          <w:iCs/>
        </w:rPr>
        <w:t>Cur Deus Homo</w:t>
      </w:r>
      <w:r>
        <w:t xml:space="preserve">, Book 1, chapter </w:t>
      </w:r>
      <w:r>
        <w:t>9</w:t>
      </w:r>
      <w:r>
        <w:t>.</w:t>
      </w:r>
    </w:p>
  </w:footnote>
  <w:footnote w:id="7">
    <w:p w14:paraId="7BBF738B" w14:textId="2D6CAF89" w:rsidR="0021726B" w:rsidRDefault="0021726B">
      <w:pPr>
        <w:pStyle w:val="FootnoteText"/>
      </w:pPr>
      <w:r>
        <w:rPr>
          <w:rStyle w:val="FootnoteReference"/>
        </w:rPr>
        <w:footnoteRef/>
      </w:r>
      <w:r>
        <w:t xml:space="preserve"> </w:t>
      </w:r>
      <w:r w:rsidRPr="0021726B">
        <w:t xml:space="preserve">McIntosh J.S., ‘God, Creator of His Own Necessity: The Logic of Divine Action in Anselm’s </w:t>
      </w:r>
      <w:r w:rsidRPr="0021726B">
        <w:rPr>
          <w:i/>
          <w:iCs/>
        </w:rPr>
        <w:t>Cur Deus Homo</w:t>
      </w:r>
      <w:r w:rsidRPr="0021726B">
        <w:t xml:space="preserve">’ </w:t>
      </w:r>
      <w:r w:rsidRPr="0021726B">
        <w:rPr>
          <w:i/>
          <w:iCs/>
        </w:rPr>
        <w:t>The Saint Anselm Journal</w:t>
      </w:r>
      <w:r w:rsidRPr="0021726B">
        <w:t xml:space="preserve"> 13.1, 2017, pp 68 </w:t>
      </w:r>
      <w:r>
        <w:t>–</w:t>
      </w:r>
      <w:r w:rsidRPr="0021726B">
        <w:t xml:space="preserve"> 81</w:t>
      </w:r>
      <w:r>
        <w:t>.</w:t>
      </w:r>
    </w:p>
  </w:footnote>
  <w:footnote w:id="8">
    <w:p w14:paraId="276FEA08" w14:textId="4B9A32FC" w:rsidR="00353A49" w:rsidRPr="00353A49" w:rsidRDefault="00353A49">
      <w:pPr>
        <w:pStyle w:val="FootnoteText"/>
        <w:rPr>
          <w:b/>
          <w:bCs/>
        </w:rPr>
      </w:pPr>
      <w:r>
        <w:rPr>
          <w:rStyle w:val="FootnoteReference"/>
        </w:rPr>
        <w:footnoteRef/>
      </w:r>
      <w:r>
        <w:t xml:space="preserve"> </w:t>
      </w:r>
      <w:r w:rsidRPr="00353A49">
        <w:t>D. Deme, </w:t>
      </w:r>
      <w:r w:rsidRPr="00353A49">
        <w:rPr>
          <w:i/>
          <w:iCs/>
        </w:rPr>
        <w:t>The Christology of Anselm of Canterbury</w:t>
      </w:r>
      <w:r w:rsidRPr="00353A49">
        <w:t xml:space="preserve"> (Aldershot: Ashgate, 2003), </w:t>
      </w:r>
      <w:r>
        <w:t xml:space="preserve">pp. 42-43, as quoted by </w:t>
      </w:r>
      <w:r w:rsidR="0021726B">
        <w:t>McIntosh above.</w:t>
      </w:r>
    </w:p>
  </w:footnote>
  <w:footnote w:id="9">
    <w:p w14:paraId="6A4E1290" w14:textId="018485A4" w:rsidR="0021726B" w:rsidRDefault="0021726B">
      <w:pPr>
        <w:pStyle w:val="FootnoteText"/>
      </w:pPr>
      <w:r>
        <w:rPr>
          <w:rStyle w:val="FootnoteReference"/>
        </w:rPr>
        <w:footnoteRef/>
      </w:r>
      <w:r>
        <w:t xml:space="preserve"> </w:t>
      </w:r>
      <w:r w:rsidRPr="0021726B">
        <w:t xml:space="preserve">McIntosh J.S., ‘God, Creator of His Own Necessity: The Logic of Divine Action in Anselm’s </w:t>
      </w:r>
      <w:r w:rsidRPr="0021726B">
        <w:rPr>
          <w:i/>
          <w:iCs/>
        </w:rPr>
        <w:t>Cur Deus Homo</w:t>
      </w:r>
      <w:r w:rsidRPr="0021726B">
        <w:t xml:space="preserve">’ </w:t>
      </w:r>
      <w:r w:rsidRPr="0021726B">
        <w:rPr>
          <w:i/>
          <w:iCs/>
        </w:rPr>
        <w:t>The Saint Anselm Journal</w:t>
      </w:r>
      <w:r w:rsidRPr="0021726B">
        <w:t xml:space="preserve"> 13.1, 2017, </w:t>
      </w:r>
      <w:r>
        <w:t>p 77.</w:t>
      </w:r>
    </w:p>
  </w:footnote>
  <w:footnote w:id="10">
    <w:p w14:paraId="26E7E87F" w14:textId="04C54679" w:rsidR="008416F9" w:rsidRDefault="008416F9">
      <w:pPr>
        <w:pStyle w:val="FootnoteText"/>
      </w:pPr>
      <w:r>
        <w:rPr>
          <w:rStyle w:val="FootnoteReference"/>
        </w:rPr>
        <w:footnoteRef/>
      </w:r>
      <w:r>
        <w:t xml:space="preserve"> </w:t>
      </w:r>
      <w:r>
        <w:t xml:space="preserve">Anselm, </w:t>
      </w:r>
      <w:r>
        <w:rPr>
          <w:i/>
          <w:iCs/>
        </w:rPr>
        <w:t>Cur Deus Homo</w:t>
      </w:r>
      <w:r>
        <w:t xml:space="preserve">, Book 1, chapter </w:t>
      </w:r>
      <w:r>
        <w:t>12.</w:t>
      </w:r>
    </w:p>
  </w:footnote>
  <w:footnote w:id="11">
    <w:p w14:paraId="3FBAF685" w14:textId="212E6EB7" w:rsidR="008416F9" w:rsidRPr="008416F9" w:rsidRDefault="008416F9">
      <w:pPr>
        <w:pStyle w:val="FootnoteText"/>
        <w:rPr>
          <w:i/>
          <w:iCs/>
        </w:rPr>
      </w:pPr>
      <w:r>
        <w:rPr>
          <w:rStyle w:val="FootnoteReference"/>
        </w:rPr>
        <w:footnoteRef/>
      </w:r>
      <w:r>
        <w:t xml:space="preserve"> </w:t>
      </w:r>
      <w:r>
        <w:t xml:space="preserve">Anselm, </w:t>
      </w:r>
      <w:r>
        <w:rPr>
          <w:i/>
          <w:iCs/>
        </w:rPr>
        <w:t>Cur Deus Homo</w:t>
      </w:r>
      <w:r>
        <w:t>, Book 1, chapter 1</w:t>
      </w:r>
      <w:r>
        <w:t xml:space="preserve">3: </w:t>
      </w:r>
      <w:r>
        <w:rPr>
          <w:i/>
          <w:iCs/>
        </w:rPr>
        <w:t>‘Therefore God maintains nothing with more justice than the honour of his own dignity.’</w:t>
      </w:r>
    </w:p>
  </w:footnote>
  <w:footnote w:id="12">
    <w:p w14:paraId="3C068CF3" w14:textId="3158CEDE" w:rsidR="00F53110" w:rsidRDefault="00F53110">
      <w:pPr>
        <w:pStyle w:val="FootnoteText"/>
      </w:pPr>
      <w:r>
        <w:rPr>
          <w:rStyle w:val="FootnoteReference"/>
        </w:rPr>
        <w:footnoteRef/>
      </w:r>
      <w:r>
        <w:t xml:space="preserve"> </w:t>
      </w:r>
      <w:r>
        <w:t xml:space="preserve">Anselm, </w:t>
      </w:r>
      <w:r>
        <w:rPr>
          <w:i/>
          <w:iCs/>
        </w:rPr>
        <w:t>Cur Deus Homo</w:t>
      </w:r>
      <w:r>
        <w:t xml:space="preserve">, Book 2, chapter </w:t>
      </w:r>
      <w:r>
        <w:t>7</w:t>
      </w:r>
    </w:p>
  </w:footnote>
  <w:footnote w:id="13">
    <w:p w14:paraId="47939C82" w14:textId="77777777" w:rsidR="007918CB" w:rsidRDefault="007918CB" w:rsidP="007918CB">
      <w:pPr>
        <w:pStyle w:val="FootnoteText"/>
      </w:pPr>
      <w:r>
        <w:rPr>
          <w:rStyle w:val="FootnoteReference"/>
        </w:rPr>
        <w:footnoteRef/>
      </w:r>
      <w:r>
        <w:t xml:space="preserve"> Following Colin Greene’s typology: Colin Greene, </w:t>
      </w:r>
      <w:r>
        <w:rPr>
          <w:i/>
          <w:iCs/>
        </w:rPr>
        <w:t xml:space="preserve">Christology in Cultural Perspective </w:t>
      </w:r>
      <w:r>
        <w:t>(Carlisle: Paternoster Press, 2003), Chapter 2.</w:t>
      </w:r>
    </w:p>
  </w:footnote>
  <w:footnote w:id="14">
    <w:p w14:paraId="1EB5DFC2" w14:textId="30A1DD00" w:rsidR="00C93648" w:rsidRPr="00C93648" w:rsidRDefault="00C93648" w:rsidP="00C93648">
      <w:pPr>
        <w:pStyle w:val="FootnoteText"/>
      </w:pPr>
      <w:r>
        <w:rPr>
          <w:rStyle w:val="FootnoteReference"/>
        </w:rPr>
        <w:footnoteRef/>
      </w:r>
      <w:r>
        <w:t xml:space="preserve"> Gerald O’Collins S.J., </w:t>
      </w:r>
      <w:r w:rsidRPr="00C93648">
        <w:t>Christology</w:t>
      </w:r>
      <w:r>
        <w:t xml:space="preserve">, </w:t>
      </w:r>
      <w:r w:rsidRPr="00C93648">
        <w:t xml:space="preserve">A Biblical, Historical, and Systematic Study of Jesus </w:t>
      </w:r>
      <w:r>
        <w:t>(Oxford: OUP, 2009), p 205.</w:t>
      </w:r>
    </w:p>
    <w:p w14:paraId="7FA37F7A" w14:textId="4255EA5F" w:rsidR="00C93648" w:rsidRDefault="00C93648">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720"/>
    <w:rsid w:val="000B1A04"/>
    <w:rsid w:val="00181519"/>
    <w:rsid w:val="001D6EA8"/>
    <w:rsid w:val="0021726B"/>
    <w:rsid w:val="002331C1"/>
    <w:rsid w:val="00243B73"/>
    <w:rsid w:val="002B13A1"/>
    <w:rsid w:val="00310410"/>
    <w:rsid w:val="00353A49"/>
    <w:rsid w:val="00422BB1"/>
    <w:rsid w:val="00466739"/>
    <w:rsid w:val="00477A1D"/>
    <w:rsid w:val="00551C72"/>
    <w:rsid w:val="005A3B58"/>
    <w:rsid w:val="005A5C59"/>
    <w:rsid w:val="005F1029"/>
    <w:rsid w:val="00652377"/>
    <w:rsid w:val="007918CB"/>
    <w:rsid w:val="00796D33"/>
    <w:rsid w:val="007B5976"/>
    <w:rsid w:val="007D6B72"/>
    <w:rsid w:val="008416F9"/>
    <w:rsid w:val="00872873"/>
    <w:rsid w:val="00874607"/>
    <w:rsid w:val="00882E88"/>
    <w:rsid w:val="008C42C8"/>
    <w:rsid w:val="009052D6"/>
    <w:rsid w:val="00930805"/>
    <w:rsid w:val="009C1D84"/>
    <w:rsid w:val="00A50806"/>
    <w:rsid w:val="00A7357C"/>
    <w:rsid w:val="00A85811"/>
    <w:rsid w:val="00B56720"/>
    <w:rsid w:val="00B91637"/>
    <w:rsid w:val="00BA7CCC"/>
    <w:rsid w:val="00C31605"/>
    <w:rsid w:val="00C45264"/>
    <w:rsid w:val="00C93648"/>
    <w:rsid w:val="00DF5ED2"/>
    <w:rsid w:val="00E104ED"/>
    <w:rsid w:val="00E174EF"/>
    <w:rsid w:val="00E67A07"/>
    <w:rsid w:val="00EA5E8F"/>
    <w:rsid w:val="00EE60AE"/>
    <w:rsid w:val="00F53110"/>
    <w:rsid w:val="00F5521D"/>
    <w:rsid w:val="00FB3570"/>
    <w:rsid w:val="00FE4A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5DBFC0"/>
  <w15:chartTrackingRefBased/>
  <w15:docId w15:val="{52306831-CE6D-E84A-B576-FE06AA3F7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67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67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67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67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67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672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72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72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72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7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67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67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67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67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67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67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67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6720"/>
    <w:rPr>
      <w:rFonts w:eastAsiaTheme="majorEastAsia" w:cstheme="majorBidi"/>
      <w:color w:val="272727" w:themeColor="text1" w:themeTint="D8"/>
    </w:rPr>
  </w:style>
  <w:style w:type="paragraph" w:styleId="Title">
    <w:name w:val="Title"/>
    <w:basedOn w:val="Normal"/>
    <w:next w:val="Normal"/>
    <w:link w:val="TitleChar"/>
    <w:uiPriority w:val="10"/>
    <w:qFormat/>
    <w:rsid w:val="00B5672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7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672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67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672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56720"/>
    <w:rPr>
      <w:i/>
      <w:iCs/>
      <w:color w:val="404040" w:themeColor="text1" w:themeTint="BF"/>
    </w:rPr>
  </w:style>
  <w:style w:type="paragraph" w:styleId="ListParagraph">
    <w:name w:val="List Paragraph"/>
    <w:basedOn w:val="Normal"/>
    <w:uiPriority w:val="34"/>
    <w:qFormat/>
    <w:rsid w:val="00B56720"/>
    <w:pPr>
      <w:ind w:left="720"/>
      <w:contextualSpacing/>
    </w:pPr>
  </w:style>
  <w:style w:type="character" w:styleId="IntenseEmphasis">
    <w:name w:val="Intense Emphasis"/>
    <w:basedOn w:val="DefaultParagraphFont"/>
    <w:uiPriority w:val="21"/>
    <w:qFormat/>
    <w:rsid w:val="00B56720"/>
    <w:rPr>
      <w:i/>
      <w:iCs/>
      <w:color w:val="0F4761" w:themeColor="accent1" w:themeShade="BF"/>
    </w:rPr>
  </w:style>
  <w:style w:type="paragraph" w:styleId="IntenseQuote">
    <w:name w:val="Intense Quote"/>
    <w:basedOn w:val="Normal"/>
    <w:next w:val="Normal"/>
    <w:link w:val="IntenseQuoteChar"/>
    <w:uiPriority w:val="30"/>
    <w:qFormat/>
    <w:rsid w:val="00B567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6720"/>
    <w:rPr>
      <w:i/>
      <w:iCs/>
      <w:color w:val="0F4761" w:themeColor="accent1" w:themeShade="BF"/>
    </w:rPr>
  </w:style>
  <w:style w:type="character" w:styleId="IntenseReference">
    <w:name w:val="Intense Reference"/>
    <w:basedOn w:val="DefaultParagraphFont"/>
    <w:uiPriority w:val="32"/>
    <w:qFormat/>
    <w:rsid w:val="00B56720"/>
    <w:rPr>
      <w:b/>
      <w:bCs/>
      <w:smallCaps/>
      <w:color w:val="0F4761" w:themeColor="accent1" w:themeShade="BF"/>
      <w:spacing w:val="5"/>
    </w:rPr>
  </w:style>
  <w:style w:type="character" w:customStyle="1" w:styleId="apple-converted-space">
    <w:name w:val="apple-converted-space"/>
    <w:basedOn w:val="DefaultParagraphFont"/>
    <w:rsid w:val="00FE4A80"/>
  </w:style>
  <w:style w:type="paragraph" w:styleId="FootnoteText">
    <w:name w:val="footnote text"/>
    <w:basedOn w:val="Normal"/>
    <w:link w:val="FootnoteTextChar"/>
    <w:uiPriority w:val="99"/>
    <w:semiHidden/>
    <w:unhideWhenUsed/>
    <w:rsid w:val="009052D6"/>
    <w:rPr>
      <w:sz w:val="20"/>
      <w:szCs w:val="20"/>
    </w:rPr>
  </w:style>
  <w:style w:type="character" w:customStyle="1" w:styleId="FootnoteTextChar">
    <w:name w:val="Footnote Text Char"/>
    <w:basedOn w:val="DefaultParagraphFont"/>
    <w:link w:val="FootnoteText"/>
    <w:uiPriority w:val="99"/>
    <w:semiHidden/>
    <w:rsid w:val="009052D6"/>
    <w:rPr>
      <w:sz w:val="20"/>
      <w:szCs w:val="20"/>
    </w:rPr>
  </w:style>
  <w:style w:type="character" w:styleId="FootnoteReference">
    <w:name w:val="footnote reference"/>
    <w:basedOn w:val="DefaultParagraphFont"/>
    <w:uiPriority w:val="99"/>
    <w:semiHidden/>
    <w:unhideWhenUsed/>
    <w:rsid w:val="009052D6"/>
    <w:rPr>
      <w:vertAlign w:val="superscript"/>
    </w:rPr>
  </w:style>
  <w:style w:type="character" w:styleId="Emphasis">
    <w:name w:val="Emphasis"/>
    <w:basedOn w:val="DefaultParagraphFont"/>
    <w:uiPriority w:val="20"/>
    <w:qFormat/>
    <w:rsid w:val="00DF5ED2"/>
    <w:rPr>
      <w:i/>
      <w:iCs/>
    </w:rPr>
  </w:style>
  <w:style w:type="character" w:customStyle="1" w:styleId="contributors">
    <w:name w:val="contributors"/>
    <w:basedOn w:val="DefaultParagraphFont"/>
    <w:rsid w:val="00DF5ED2"/>
  </w:style>
  <w:style w:type="character" w:customStyle="1" w:styleId="maintitle">
    <w:name w:val="maintitle"/>
    <w:basedOn w:val="DefaultParagraphFont"/>
    <w:rsid w:val="00DF5ED2"/>
  </w:style>
  <w:style w:type="character" w:customStyle="1" w:styleId="editors">
    <w:name w:val="editors"/>
    <w:basedOn w:val="DefaultParagraphFont"/>
    <w:rsid w:val="00DF5ED2"/>
  </w:style>
  <w:style w:type="character" w:customStyle="1" w:styleId="print-publication-date">
    <w:name w:val="print-publication-date"/>
    <w:basedOn w:val="DefaultParagraphFont"/>
    <w:rsid w:val="00DF5ED2"/>
  </w:style>
  <w:style w:type="paragraph" w:styleId="NormalWeb">
    <w:name w:val="Normal (Web)"/>
    <w:basedOn w:val="Normal"/>
    <w:uiPriority w:val="99"/>
    <w:semiHidden/>
    <w:unhideWhenUsed/>
    <w:rsid w:val="00C93648"/>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E98F72-F4DD-814C-B3AC-593D0C3728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384</TotalTime>
  <Pages>4</Pages>
  <Words>1203</Words>
  <Characters>6858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Young</dc:creator>
  <cp:keywords/>
  <dc:description/>
  <cp:lastModifiedBy>Patrick Young</cp:lastModifiedBy>
  <cp:revision>6</cp:revision>
  <dcterms:created xsi:type="dcterms:W3CDTF">2025-07-23T17:58:00Z</dcterms:created>
  <dcterms:modified xsi:type="dcterms:W3CDTF">2025-07-24T21:45:00Z</dcterms:modified>
</cp:coreProperties>
</file>