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8F11B3" w14:textId="654C2C22" w:rsidR="009D05CE" w:rsidRPr="00536CCD" w:rsidRDefault="009D05CE" w:rsidP="009D05CE">
      <w:pPr>
        <w:tabs>
          <w:tab w:val="left" w:pos="3544"/>
        </w:tabs>
        <w:jc w:val="center"/>
        <w:rPr>
          <w:rFonts w:ascii="Arial" w:hAnsi="Arial" w:cs="Arial"/>
          <w:b/>
          <w:sz w:val="24"/>
          <w:szCs w:val="24"/>
        </w:rPr>
      </w:pPr>
      <w:r w:rsidRPr="00536CCD">
        <w:rPr>
          <w:rFonts w:ascii="Arial" w:hAnsi="Arial" w:cs="Arial"/>
          <w:b/>
          <w:sz w:val="24"/>
          <w:szCs w:val="24"/>
        </w:rPr>
        <w:t xml:space="preserve">Module: </w:t>
      </w:r>
      <w:r>
        <w:rPr>
          <w:rFonts w:ascii="Arial" w:hAnsi="Arial" w:cs="Arial"/>
          <w:b/>
          <w:sz w:val="24"/>
          <w:szCs w:val="24"/>
        </w:rPr>
        <w:t>BANKING FINANC</w:t>
      </w:r>
      <w:r w:rsidR="00EA2940">
        <w:rPr>
          <w:rFonts w:ascii="Arial" w:hAnsi="Arial" w:cs="Arial"/>
          <w:b/>
          <w:sz w:val="24"/>
          <w:szCs w:val="24"/>
        </w:rPr>
        <w:t>IAL MANAGEMENT AND FINANCIAL MARKETS</w:t>
      </w:r>
      <w:bookmarkStart w:id="0" w:name="_GoBack"/>
      <w:bookmarkEnd w:id="0"/>
    </w:p>
    <w:p w14:paraId="52A6E554" w14:textId="77777777" w:rsidR="009D05CE" w:rsidRPr="00536CCD" w:rsidRDefault="009D05CE" w:rsidP="009D05CE">
      <w:pPr>
        <w:tabs>
          <w:tab w:val="left" w:pos="3544"/>
        </w:tabs>
        <w:jc w:val="center"/>
        <w:rPr>
          <w:rFonts w:ascii="Arial" w:hAnsi="Arial" w:cs="Arial"/>
          <w:b/>
          <w:sz w:val="24"/>
          <w:szCs w:val="24"/>
        </w:rPr>
      </w:pPr>
    </w:p>
    <w:p w14:paraId="67B8B788" w14:textId="77777777" w:rsidR="009D05CE" w:rsidRPr="00536CCD" w:rsidRDefault="009D05CE" w:rsidP="009D05CE">
      <w:pPr>
        <w:tabs>
          <w:tab w:val="left" w:pos="3544"/>
        </w:tabs>
        <w:jc w:val="center"/>
        <w:rPr>
          <w:rFonts w:ascii="Arial" w:hAnsi="Arial" w:cs="Arial"/>
          <w:b/>
          <w:sz w:val="24"/>
          <w:szCs w:val="24"/>
        </w:rPr>
      </w:pPr>
    </w:p>
    <w:p w14:paraId="3465CB73" w14:textId="77777777" w:rsidR="009D05CE" w:rsidRPr="00536CCD" w:rsidRDefault="009D05CE" w:rsidP="009D05CE">
      <w:pPr>
        <w:tabs>
          <w:tab w:val="left" w:pos="3544"/>
        </w:tabs>
        <w:jc w:val="center"/>
        <w:rPr>
          <w:rFonts w:ascii="Arial" w:hAnsi="Arial" w:cs="Arial"/>
          <w:b/>
          <w:sz w:val="24"/>
          <w:szCs w:val="24"/>
        </w:rPr>
      </w:pPr>
    </w:p>
    <w:p w14:paraId="403ADBF6" w14:textId="77777777" w:rsidR="009D05CE" w:rsidRPr="00536CCD" w:rsidRDefault="009D05CE" w:rsidP="009D05CE">
      <w:pPr>
        <w:tabs>
          <w:tab w:val="left" w:pos="3544"/>
        </w:tabs>
        <w:jc w:val="center"/>
        <w:rPr>
          <w:rFonts w:ascii="Arial" w:hAnsi="Arial" w:cs="Arial"/>
          <w:b/>
          <w:sz w:val="24"/>
          <w:szCs w:val="24"/>
        </w:rPr>
      </w:pPr>
    </w:p>
    <w:p w14:paraId="2D153666" w14:textId="77777777" w:rsidR="009D05CE" w:rsidRPr="00536CCD" w:rsidRDefault="009D05CE" w:rsidP="009D05CE">
      <w:pPr>
        <w:tabs>
          <w:tab w:val="left" w:pos="3544"/>
        </w:tabs>
        <w:jc w:val="center"/>
        <w:rPr>
          <w:rFonts w:ascii="Arial" w:hAnsi="Arial" w:cs="Arial"/>
          <w:b/>
          <w:sz w:val="24"/>
          <w:szCs w:val="24"/>
        </w:rPr>
      </w:pPr>
    </w:p>
    <w:p w14:paraId="21D4AC37" w14:textId="77777777" w:rsidR="009D05CE" w:rsidRPr="00536CCD" w:rsidRDefault="009D05CE" w:rsidP="009D05CE">
      <w:pPr>
        <w:tabs>
          <w:tab w:val="left" w:pos="3544"/>
        </w:tabs>
        <w:jc w:val="center"/>
        <w:rPr>
          <w:rFonts w:ascii="Arial" w:hAnsi="Arial" w:cs="Arial"/>
          <w:b/>
          <w:sz w:val="24"/>
          <w:szCs w:val="24"/>
        </w:rPr>
      </w:pPr>
    </w:p>
    <w:p w14:paraId="76DF868E" w14:textId="77777777" w:rsidR="009D05CE" w:rsidRPr="00536CCD" w:rsidRDefault="009D05CE" w:rsidP="009D05CE">
      <w:pPr>
        <w:tabs>
          <w:tab w:val="left" w:pos="3544"/>
        </w:tabs>
        <w:jc w:val="center"/>
        <w:rPr>
          <w:rFonts w:ascii="Arial" w:hAnsi="Arial" w:cs="Arial"/>
          <w:b/>
          <w:sz w:val="24"/>
          <w:szCs w:val="24"/>
        </w:rPr>
      </w:pPr>
    </w:p>
    <w:p w14:paraId="7839E7D9" w14:textId="1BEE5DC2" w:rsidR="009D05CE" w:rsidRPr="00536CCD" w:rsidRDefault="009D05CE" w:rsidP="009D05CE">
      <w:pPr>
        <w:pStyle w:val="Title"/>
        <w:jc w:val="center"/>
        <w:rPr>
          <w:rFonts w:ascii="Arial" w:hAnsi="Arial" w:cs="Arial"/>
          <w:sz w:val="24"/>
          <w:szCs w:val="24"/>
        </w:rPr>
      </w:pPr>
      <w:r>
        <w:rPr>
          <w:rFonts w:ascii="Arial" w:hAnsi="Arial" w:cs="Arial"/>
          <w:sz w:val="24"/>
          <w:szCs w:val="24"/>
        </w:rPr>
        <w:t>BANKS’ RISKS AND REGULATIONS</w:t>
      </w:r>
    </w:p>
    <w:p w14:paraId="6080702F" w14:textId="77777777" w:rsidR="009D05CE" w:rsidRPr="00536CCD" w:rsidRDefault="009D05CE" w:rsidP="009D05CE">
      <w:pPr>
        <w:tabs>
          <w:tab w:val="left" w:pos="3544"/>
        </w:tabs>
        <w:jc w:val="center"/>
        <w:rPr>
          <w:rFonts w:ascii="Arial" w:hAnsi="Arial" w:cs="Arial"/>
          <w:sz w:val="24"/>
          <w:szCs w:val="24"/>
        </w:rPr>
      </w:pPr>
      <w:r w:rsidRPr="00536CCD">
        <w:rPr>
          <w:rFonts w:ascii="Arial" w:hAnsi="Arial" w:cs="Arial"/>
          <w:sz w:val="24"/>
          <w:szCs w:val="24"/>
        </w:rPr>
        <w:t>Giorgia Bertaina, student number: 1818666</w:t>
      </w:r>
    </w:p>
    <w:p w14:paraId="3A5C9AC2" w14:textId="5BAB71CC" w:rsidR="009D05CE" w:rsidRPr="00536CCD" w:rsidRDefault="009D05CE" w:rsidP="009D05CE">
      <w:pPr>
        <w:tabs>
          <w:tab w:val="left" w:pos="3544"/>
        </w:tabs>
        <w:jc w:val="center"/>
        <w:rPr>
          <w:rFonts w:ascii="Arial" w:hAnsi="Arial" w:cs="Arial"/>
          <w:sz w:val="24"/>
          <w:szCs w:val="24"/>
        </w:rPr>
      </w:pPr>
      <w:r>
        <w:rPr>
          <w:rFonts w:ascii="Arial" w:hAnsi="Arial" w:cs="Arial"/>
          <w:sz w:val="24"/>
          <w:szCs w:val="24"/>
        </w:rPr>
        <w:t>9</w:t>
      </w:r>
      <w:r w:rsidRPr="00536CCD">
        <w:rPr>
          <w:rFonts w:ascii="Arial" w:hAnsi="Arial" w:cs="Arial"/>
          <w:sz w:val="24"/>
          <w:szCs w:val="24"/>
          <w:vertAlign w:val="superscript"/>
        </w:rPr>
        <w:t>th</w:t>
      </w:r>
      <w:r w:rsidRPr="00536CCD">
        <w:rPr>
          <w:rFonts w:ascii="Arial" w:hAnsi="Arial" w:cs="Arial"/>
          <w:sz w:val="24"/>
          <w:szCs w:val="24"/>
        </w:rPr>
        <w:t xml:space="preserve"> of January 2020</w:t>
      </w:r>
    </w:p>
    <w:p w14:paraId="0DA9DC98" w14:textId="77777777" w:rsidR="009D05CE" w:rsidRPr="00536CCD" w:rsidRDefault="009D05CE" w:rsidP="009D05CE">
      <w:pPr>
        <w:tabs>
          <w:tab w:val="left" w:pos="3544"/>
        </w:tabs>
        <w:jc w:val="center"/>
        <w:rPr>
          <w:rFonts w:ascii="Arial" w:hAnsi="Arial" w:cs="Arial"/>
          <w:sz w:val="24"/>
          <w:szCs w:val="24"/>
        </w:rPr>
      </w:pPr>
    </w:p>
    <w:p w14:paraId="48807E12" w14:textId="77777777" w:rsidR="009D05CE" w:rsidRPr="00536CCD" w:rsidRDefault="009D05CE" w:rsidP="009D05CE">
      <w:pPr>
        <w:tabs>
          <w:tab w:val="left" w:pos="3544"/>
        </w:tabs>
        <w:jc w:val="center"/>
        <w:rPr>
          <w:rFonts w:ascii="Arial" w:hAnsi="Arial" w:cs="Arial"/>
          <w:sz w:val="24"/>
          <w:szCs w:val="24"/>
        </w:rPr>
      </w:pPr>
    </w:p>
    <w:p w14:paraId="047163FD" w14:textId="77777777" w:rsidR="009D05CE" w:rsidRPr="00536CCD" w:rsidRDefault="009D05CE" w:rsidP="009D05CE">
      <w:pPr>
        <w:tabs>
          <w:tab w:val="left" w:pos="3544"/>
        </w:tabs>
        <w:jc w:val="center"/>
        <w:rPr>
          <w:rFonts w:ascii="Arial" w:hAnsi="Arial" w:cs="Arial"/>
          <w:sz w:val="24"/>
          <w:szCs w:val="24"/>
        </w:rPr>
      </w:pPr>
    </w:p>
    <w:p w14:paraId="0D15A686" w14:textId="77777777" w:rsidR="009D05CE" w:rsidRPr="00536CCD" w:rsidRDefault="009D05CE" w:rsidP="009D05CE">
      <w:pPr>
        <w:tabs>
          <w:tab w:val="left" w:pos="3544"/>
        </w:tabs>
        <w:jc w:val="center"/>
        <w:rPr>
          <w:rFonts w:ascii="Arial" w:hAnsi="Arial" w:cs="Arial"/>
          <w:sz w:val="24"/>
          <w:szCs w:val="24"/>
        </w:rPr>
      </w:pPr>
    </w:p>
    <w:p w14:paraId="12A20C58" w14:textId="77777777" w:rsidR="009D05CE" w:rsidRPr="00536CCD" w:rsidRDefault="009D05CE" w:rsidP="009D05CE">
      <w:pPr>
        <w:tabs>
          <w:tab w:val="left" w:pos="3544"/>
        </w:tabs>
        <w:jc w:val="center"/>
        <w:rPr>
          <w:rFonts w:ascii="Arial" w:hAnsi="Arial" w:cs="Arial"/>
          <w:sz w:val="24"/>
          <w:szCs w:val="24"/>
        </w:rPr>
      </w:pPr>
    </w:p>
    <w:p w14:paraId="6DC03F24" w14:textId="77777777" w:rsidR="009D05CE" w:rsidRPr="00536CCD" w:rsidRDefault="009D05CE" w:rsidP="009D05CE">
      <w:pPr>
        <w:tabs>
          <w:tab w:val="left" w:pos="3544"/>
        </w:tabs>
        <w:jc w:val="center"/>
        <w:rPr>
          <w:rFonts w:ascii="Arial" w:hAnsi="Arial" w:cs="Arial"/>
          <w:sz w:val="24"/>
          <w:szCs w:val="24"/>
        </w:rPr>
      </w:pPr>
    </w:p>
    <w:p w14:paraId="03434A9B" w14:textId="77777777" w:rsidR="009D05CE" w:rsidRPr="00536CCD" w:rsidRDefault="009D05CE" w:rsidP="009D05CE">
      <w:pPr>
        <w:tabs>
          <w:tab w:val="left" w:pos="3544"/>
        </w:tabs>
        <w:jc w:val="center"/>
        <w:rPr>
          <w:rFonts w:ascii="Arial" w:hAnsi="Arial" w:cs="Arial"/>
          <w:sz w:val="24"/>
          <w:szCs w:val="24"/>
        </w:rPr>
      </w:pPr>
    </w:p>
    <w:p w14:paraId="4791DFF8" w14:textId="77777777" w:rsidR="009D05CE" w:rsidRPr="00536CCD" w:rsidRDefault="009D05CE" w:rsidP="009D05CE">
      <w:pPr>
        <w:tabs>
          <w:tab w:val="left" w:pos="3544"/>
        </w:tabs>
        <w:jc w:val="center"/>
        <w:rPr>
          <w:rFonts w:ascii="Arial" w:hAnsi="Arial" w:cs="Arial"/>
          <w:sz w:val="24"/>
          <w:szCs w:val="24"/>
        </w:rPr>
      </w:pPr>
    </w:p>
    <w:p w14:paraId="424A07C2" w14:textId="77777777" w:rsidR="009D05CE" w:rsidRPr="00536CCD" w:rsidRDefault="009D05CE" w:rsidP="009D05CE">
      <w:pPr>
        <w:tabs>
          <w:tab w:val="left" w:pos="3544"/>
        </w:tabs>
        <w:jc w:val="center"/>
        <w:rPr>
          <w:rFonts w:ascii="Arial" w:hAnsi="Arial" w:cs="Arial"/>
          <w:sz w:val="24"/>
          <w:szCs w:val="24"/>
        </w:rPr>
      </w:pPr>
    </w:p>
    <w:p w14:paraId="2D188614" w14:textId="77777777" w:rsidR="009D05CE" w:rsidRPr="00536CCD" w:rsidRDefault="009D05CE" w:rsidP="009D05CE">
      <w:pPr>
        <w:tabs>
          <w:tab w:val="left" w:pos="3544"/>
        </w:tabs>
        <w:jc w:val="center"/>
        <w:rPr>
          <w:rFonts w:ascii="Arial" w:hAnsi="Arial" w:cs="Arial"/>
          <w:sz w:val="24"/>
          <w:szCs w:val="24"/>
        </w:rPr>
      </w:pPr>
    </w:p>
    <w:p w14:paraId="20DC769F" w14:textId="77777777" w:rsidR="009D05CE" w:rsidRPr="00536CCD" w:rsidRDefault="009D05CE" w:rsidP="009D05CE">
      <w:pPr>
        <w:tabs>
          <w:tab w:val="left" w:pos="3544"/>
        </w:tabs>
        <w:jc w:val="center"/>
        <w:rPr>
          <w:rFonts w:ascii="Arial" w:hAnsi="Arial" w:cs="Arial"/>
          <w:sz w:val="24"/>
          <w:szCs w:val="24"/>
        </w:rPr>
      </w:pPr>
    </w:p>
    <w:p w14:paraId="44BF84EF" w14:textId="77777777" w:rsidR="009D05CE" w:rsidRPr="00536CCD" w:rsidRDefault="009D05CE" w:rsidP="009D05CE">
      <w:pPr>
        <w:tabs>
          <w:tab w:val="left" w:pos="3544"/>
        </w:tabs>
        <w:jc w:val="center"/>
        <w:rPr>
          <w:rFonts w:ascii="Arial" w:hAnsi="Arial" w:cs="Arial"/>
          <w:sz w:val="24"/>
          <w:szCs w:val="24"/>
        </w:rPr>
      </w:pPr>
    </w:p>
    <w:p w14:paraId="025B9022" w14:textId="77777777" w:rsidR="009D05CE" w:rsidRPr="00536CCD" w:rsidRDefault="009D05CE" w:rsidP="009D05CE">
      <w:pPr>
        <w:tabs>
          <w:tab w:val="left" w:pos="3544"/>
        </w:tabs>
        <w:jc w:val="center"/>
        <w:rPr>
          <w:rFonts w:ascii="Arial" w:hAnsi="Arial" w:cs="Arial"/>
          <w:sz w:val="24"/>
          <w:szCs w:val="24"/>
        </w:rPr>
      </w:pPr>
    </w:p>
    <w:p w14:paraId="0DB50A86" w14:textId="77777777" w:rsidR="009D05CE" w:rsidRPr="00536CCD" w:rsidRDefault="009D05CE" w:rsidP="009D05CE">
      <w:pPr>
        <w:tabs>
          <w:tab w:val="left" w:pos="3544"/>
        </w:tabs>
        <w:jc w:val="center"/>
        <w:rPr>
          <w:rFonts w:ascii="Arial" w:hAnsi="Arial" w:cs="Arial"/>
          <w:sz w:val="24"/>
          <w:szCs w:val="24"/>
        </w:rPr>
      </w:pPr>
    </w:p>
    <w:p w14:paraId="75616390" w14:textId="77777777" w:rsidR="009D05CE" w:rsidRDefault="009D05CE" w:rsidP="009D05CE">
      <w:pPr>
        <w:tabs>
          <w:tab w:val="left" w:pos="3544"/>
        </w:tabs>
        <w:jc w:val="center"/>
        <w:rPr>
          <w:rFonts w:ascii="Arial" w:hAnsi="Arial" w:cs="Arial"/>
          <w:b/>
          <w:sz w:val="24"/>
          <w:szCs w:val="24"/>
        </w:rPr>
      </w:pPr>
      <w:r w:rsidRPr="00536CCD">
        <w:rPr>
          <w:rFonts w:ascii="Arial" w:hAnsi="Arial" w:cs="Arial"/>
          <w:b/>
          <w:sz w:val="24"/>
          <w:szCs w:val="24"/>
        </w:rPr>
        <w:t>University of Wales, Trinity Saint David – London</w:t>
      </w:r>
    </w:p>
    <w:p w14:paraId="543BCD22" w14:textId="77777777" w:rsidR="005877FD" w:rsidRDefault="005877FD">
      <w:pPr>
        <w:rPr>
          <w:rFonts w:ascii="Arial" w:hAnsi="Arial" w:cs="Arial"/>
          <w:b/>
          <w:sz w:val="24"/>
          <w:szCs w:val="24"/>
        </w:rPr>
      </w:pPr>
      <w:r>
        <w:rPr>
          <w:rFonts w:ascii="Arial" w:hAnsi="Arial" w:cs="Arial"/>
          <w:b/>
          <w:sz w:val="24"/>
          <w:szCs w:val="24"/>
        </w:rPr>
        <w:br w:type="page"/>
      </w:r>
    </w:p>
    <w:sdt>
      <w:sdtPr>
        <w:rPr>
          <w:rFonts w:asciiTheme="minorHAnsi" w:eastAsiaTheme="minorHAnsi" w:hAnsiTheme="minorHAnsi" w:cstheme="minorBidi"/>
          <w:color w:val="auto"/>
          <w:sz w:val="22"/>
          <w:szCs w:val="22"/>
          <w:lang w:val="en-GB"/>
        </w:rPr>
        <w:id w:val="-1308388379"/>
        <w:docPartObj>
          <w:docPartGallery w:val="Table of Contents"/>
          <w:docPartUnique/>
        </w:docPartObj>
      </w:sdtPr>
      <w:sdtEndPr>
        <w:rPr>
          <w:b/>
          <w:bCs/>
          <w:noProof/>
        </w:rPr>
      </w:sdtEndPr>
      <w:sdtContent>
        <w:p w14:paraId="489255F7" w14:textId="50B1ABF6" w:rsidR="000478CE" w:rsidRDefault="000478CE">
          <w:pPr>
            <w:pStyle w:val="TOCHeading"/>
            <w:rPr>
              <w:b/>
              <w:bCs/>
              <w:color w:val="auto"/>
            </w:rPr>
          </w:pPr>
          <w:r w:rsidRPr="000478CE">
            <w:rPr>
              <w:b/>
              <w:bCs/>
              <w:color w:val="auto"/>
            </w:rPr>
            <w:t>SUMMARY</w:t>
          </w:r>
        </w:p>
        <w:p w14:paraId="4B1EE8CA" w14:textId="77777777" w:rsidR="000478CE" w:rsidRPr="000478CE" w:rsidRDefault="000478CE" w:rsidP="000478CE">
          <w:pPr>
            <w:rPr>
              <w:lang w:val="en-US"/>
            </w:rPr>
          </w:pPr>
        </w:p>
        <w:p w14:paraId="2591A71E" w14:textId="4BDCD059" w:rsidR="000478CE" w:rsidRPr="000478CE" w:rsidRDefault="000478CE">
          <w:pPr>
            <w:pStyle w:val="TOC1"/>
            <w:tabs>
              <w:tab w:val="right" w:leader="dot" w:pos="9016"/>
            </w:tabs>
            <w:rPr>
              <w:rFonts w:eastAsiaTheme="minorEastAsia"/>
              <w:noProof/>
              <w:lang w:eastAsia="en-GB"/>
            </w:rPr>
          </w:pPr>
          <w:r w:rsidRPr="000478CE">
            <w:fldChar w:fldCharType="begin"/>
          </w:r>
          <w:r w:rsidRPr="000478CE">
            <w:instrText xml:space="preserve"> TOC \o "1-3" \h \z \u </w:instrText>
          </w:r>
          <w:r w:rsidRPr="000478CE">
            <w:fldChar w:fldCharType="separate"/>
          </w:r>
          <w:hyperlink w:anchor="_Toc29314107" w:history="1">
            <w:r w:rsidRPr="000478CE">
              <w:rPr>
                <w:rStyle w:val="Hyperlink"/>
                <w:noProof/>
              </w:rPr>
              <w:t>Abstract</w:t>
            </w:r>
            <w:r w:rsidRPr="000478CE">
              <w:rPr>
                <w:noProof/>
                <w:webHidden/>
              </w:rPr>
              <w:tab/>
            </w:r>
            <w:r w:rsidRPr="000478CE">
              <w:rPr>
                <w:noProof/>
                <w:webHidden/>
              </w:rPr>
              <w:fldChar w:fldCharType="begin"/>
            </w:r>
            <w:r w:rsidRPr="000478CE">
              <w:rPr>
                <w:noProof/>
                <w:webHidden/>
              </w:rPr>
              <w:instrText xml:space="preserve"> PAGEREF _Toc29314107 \h </w:instrText>
            </w:r>
            <w:r w:rsidRPr="000478CE">
              <w:rPr>
                <w:noProof/>
                <w:webHidden/>
              </w:rPr>
            </w:r>
            <w:r w:rsidRPr="000478CE">
              <w:rPr>
                <w:noProof/>
                <w:webHidden/>
              </w:rPr>
              <w:fldChar w:fldCharType="separate"/>
            </w:r>
            <w:r w:rsidRPr="000478CE">
              <w:rPr>
                <w:noProof/>
                <w:webHidden/>
              </w:rPr>
              <w:t>3</w:t>
            </w:r>
            <w:r w:rsidRPr="000478CE">
              <w:rPr>
                <w:noProof/>
                <w:webHidden/>
              </w:rPr>
              <w:fldChar w:fldCharType="end"/>
            </w:r>
          </w:hyperlink>
        </w:p>
        <w:p w14:paraId="5FC4F13B" w14:textId="49F5BEA3" w:rsidR="000478CE" w:rsidRPr="000478CE" w:rsidRDefault="000959EE">
          <w:pPr>
            <w:pStyle w:val="TOC1"/>
            <w:tabs>
              <w:tab w:val="right" w:leader="dot" w:pos="9016"/>
            </w:tabs>
            <w:rPr>
              <w:rFonts w:eastAsiaTheme="minorEastAsia"/>
              <w:noProof/>
              <w:lang w:eastAsia="en-GB"/>
            </w:rPr>
          </w:pPr>
          <w:hyperlink w:anchor="_Toc29314108" w:history="1">
            <w:r w:rsidR="000478CE" w:rsidRPr="000478CE">
              <w:rPr>
                <w:rStyle w:val="Hyperlink"/>
                <w:noProof/>
              </w:rPr>
              <w:t>A – Bank regulation</w:t>
            </w:r>
            <w:r w:rsidR="000478CE" w:rsidRPr="000478CE">
              <w:rPr>
                <w:noProof/>
                <w:webHidden/>
              </w:rPr>
              <w:tab/>
            </w:r>
            <w:r w:rsidR="000478CE" w:rsidRPr="000478CE">
              <w:rPr>
                <w:noProof/>
                <w:webHidden/>
              </w:rPr>
              <w:fldChar w:fldCharType="begin"/>
            </w:r>
            <w:r w:rsidR="000478CE" w:rsidRPr="000478CE">
              <w:rPr>
                <w:noProof/>
                <w:webHidden/>
              </w:rPr>
              <w:instrText xml:space="preserve"> PAGEREF _Toc29314108 \h </w:instrText>
            </w:r>
            <w:r w:rsidR="000478CE" w:rsidRPr="000478CE">
              <w:rPr>
                <w:noProof/>
                <w:webHidden/>
              </w:rPr>
            </w:r>
            <w:r w:rsidR="000478CE" w:rsidRPr="000478CE">
              <w:rPr>
                <w:noProof/>
                <w:webHidden/>
              </w:rPr>
              <w:fldChar w:fldCharType="separate"/>
            </w:r>
            <w:r w:rsidR="000478CE" w:rsidRPr="000478CE">
              <w:rPr>
                <w:noProof/>
                <w:webHidden/>
              </w:rPr>
              <w:t>3</w:t>
            </w:r>
            <w:r w:rsidR="000478CE" w:rsidRPr="000478CE">
              <w:rPr>
                <w:noProof/>
                <w:webHidden/>
              </w:rPr>
              <w:fldChar w:fldCharType="end"/>
            </w:r>
          </w:hyperlink>
        </w:p>
        <w:p w14:paraId="21673B47" w14:textId="72EEA04A" w:rsidR="000478CE" w:rsidRPr="000478CE" w:rsidRDefault="000959EE">
          <w:pPr>
            <w:pStyle w:val="TOC2"/>
            <w:tabs>
              <w:tab w:val="right" w:leader="dot" w:pos="9016"/>
            </w:tabs>
            <w:rPr>
              <w:rFonts w:eastAsiaTheme="minorEastAsia"/>
              <w:noProof/>
              <w:lang w:eastAsia="en-GB"/>
            </w:rPr>
          </w:pPr>
          <w:hyperlink w:anchor="_Toc29314109" w:history="1">
            <w:r w:rsidR="000478CE" w:rsidRPr="000478CE">
              <w:rPr>
                <w:rStyle w:val="Hyperlink"/>
                <w:noProof/>
              </w:rPr>
              <w:t>Why banks need regulation?  Market risks and market failure</w:t>
            </w:r>
            <w:r w:rsidR="000478CE" w:rsidRPr="000478CE">
              <w:rPr>
                <w:noProof/>
                <w:webHidden/>
              </w:rPr>
              <w:tab/>
            </w:r>
            <w:r w:rsidR="000478CE" w:rsidRPr="000478CE">
              <w:rPr>
                <w:noProof/>
                <w:webHidden/>
              </w:rPr>
              <w:fldChar w:fldCharType="begin"/>
            </w:r>
            <w:r w:rsidR="000478CE" w:rsidRPr="000478CE">
              <w:rPr>
                <w:noProof/>
                <w:webHidden/>
              </w:rPr>
              <w:instrText xml:space="preserve"> PAGEREF _Toc29314109 \h </w:instrText>
            </w:r>
            <w:r w:rsidR="000478CE" w:rsidRPr="000478CE">
              <w:rPr>
                <w:noProof/>
                <w:webHidden/>
              </w:rPr>
            </w:r>
            <w:r w:rsidR="000478CE" w:rsidRPr="000478CE">
              <w:rPr>
                <w:noProof/>
                <w:webHidden/>
              </w:rPr>
              <w:fldChar w:fldCharType="separate"/>
            </w:r>
            <w:r w:rsidR="000478CE" w:rsidRPr="000478CE">
              <w:rPr>
                <w:noProof/>
                <w:webHidden/>
              </w:rPr>
              <w:t>3</w:t>
            </w:r>
            <w:r w:rsidR="000478CE" w:rsidRPr="000478CE">
              <w:rPr>
                <w:noProof/>
                <w:webHidden/>
              </w:rPr>
              <w:fldChar w:fldCharType="end"/>
            </w:r>
          </w:hyperlink>
        </w:p>
        <w:p w14:paraId="1059DA47" w14:textId="66C6732A" w:rsidR="000478CE" w:rsidRPr="000478CE" w:rsidRDefault="000959EE">
          <w:pPr>
            <w:pStyle w:val="TOC1"/>
            <w:tabs>
              <w:tab w:val="right" w:leader="dot" w:pos="9016"/>
            </w:tabs>
            <w:rPr>
              <w:rFonts w:eastAsiaTheme="minorEastAsia"/>
              <w:noProof/>
              <w:lang w:eastAsia="en-GB"/>
            </w:rPr>
          </w:pPr>
          <w:hyperlink w:anchor="_Toc29314110" w:history="1">
            <w:r w:rsidR="000478CE" w:rsidRPr="000478CE">
              <w:rPr>
                <w:rStyle w:val="Hyperlink"/>
                <w:noProof/>
                <w:shd w:val="clear" w:color="auto" w:fill="FFFFFF"/>
              </w:rPr>
              <w:t>B - REGULATORY CAPITAL, EFFICIENCY AND LIQUIDITY</w:t>
            </w:r>
            <w:r w:rsidR="000478CE" w:rsidRPr="000478CE">
              <w:rPr>
                <w:noProof/>
                <w:webHidden/>
              </w:rPr>
              <w:tab/>
            </w:r>
            <w:r w:rsidR="000478CE" w:rsidRPr="000478CE">
              <w:rPr>
                <w:noProof/>
                <w:webHidden/>
              </w:rPr>
              <w:fldChar w:fldCharType="begin"/>
            </w:r>
            <w:r w:rsidR="000478CE" w:rsidRPr="000478CE">
              <w:rPr>
                <w:noProof/>
                <w:webHidden/>
              </w:rPr>
              <w:instrText xml:space="preserve"> PAGEREF _Toc29314110 \h </w:instrText>
            </w:r>
            <w:r w:rsidR="000478CE" w:rsidRPr="000478CE">
              <w:rPr>
                <w:noProof/>
                <w:webHidden/>
              </w:rPr>
            </w:r>
            <w:r w:rsidR="000478CE" w:rsidRPr="000478CE">
              <w:rPr>
                <w:noProof/>
                <w:webHidden/>
              </w:rPr>
              <w:fldChar w:fldCharType="separate"/>
            </w:r>
            <w:r w:rsidR="000478CE" w:rsidRPr="000478CE">
              <w:rPr>
                <w:noProof/>
                <w:webHidden/>
              </w:rPr>
              <w:t>6</w:t>
            </w:r>
            <w:r w:rsidR="000478CE" w:rsidRPr="000478CE">
              <w:rPr>
                <w:noProof/>
                <w:webHidden/>
              </w:rPr>
              <w:fldChar w:fldCharType="end"/>
            </w:r>
          </w:hyperlink>
        </w:p>
        <w:p w14:paraId="62179435" w14:textId="1C28036C" w:rsidR="000478CE" w:rsidRPr="000478CE" w:rsidRDefault="000959EE">
          <w:pPr>
            <w:pStyle w:val="TOC2"/>
            <w:tabs>
              <w:tab w:val="right" w:leader="dot" w:pos="9016"/>
            </w:tabs>
            <w:rPr>
              <w:rFonts w:eastAsiaTheme="minorEastAsia"/>
              <w:noProof/>
              <w:lang w:eastAsia="en-GB"/>
            </w:rPr>
          </w:pPr>
          <w:hyperlink w:anchor="_Toc29314111" w:history="1">
            <w:r w:rsidR="000478CE" w:rsidRPr="000478CE">
              <w:rPr>
                <w:rStyle w:val="Hyperlink"/>
                <w:noProof/>
                <w:shd w:val="clear" w:color="auto" w:fill="FFFFFF"/>
              </w:rPr>
              <w:t>B.1. Regulatory capital and Lending</w:t>
            </w:r>
            <w:r w:rsidR="000478CE" w:rsidRPr="000478CE">
              <w:rPr>
                <w:noProof/>
                <w:webHidden/>
              </w:rPr>
              <w:tab/>
            </w:r>
            <w:r w:rsidR="000478CE" w:rsidRPr="000478CE">
              <w:rPr>
                <w:noProof/>
                <w:webHidden/>
              </w:rPr>
              <w:fldChar w:fldCharType="begin"/>
            </w:r>
            <w:r w:rsidR="000478CE" w:rsidRPr="000478CE">
              <w:rPr>
                <w:noProof/>
                <w:webHidden/>
              </w:rPr>
              <w:instrText xml:space="preserve"> PAGEREF _Toc29314111 \h </w:instrText>
            </w:r>
            <w:r w:rsidR="000478CE" w:rsidRPr="000478CE">
              <w:rPr>
                <w:noProof/>
                <w:webHidden/>
              </w:rPr>
            </w:r>
            <w:r w:rsidR="000478CE" w:rsidRPr="000478CE">
              <w:rPr>
                <w:noProof/>
                <w:webHidden/>
              </w:rPr>
              <w:fldChar w:fldCharType="separate"/>
            </w:r>
            <w:r w:rsidR="000478CE" w:rsidRPr="000478CE">
              <w:rPr>
                <w:noProof/>
                <w:webHidden/>
              </w:rPr>
              <w:t>6</w:t>
            </w:r>
            <w:r w:rsidR="000478CE" w:rsidRPr="000478CE">
              <w:rPr>
                <w:noProof/>
                <w:webHidden/>
              </w:rPr>
              <w:fldChar w:fldCharType="end"/>
            </w:r>
          </w:hyperlink>
        </w:p>
        <w:p w14:paraId="3D9D9ADB" w14:textId="48E35C19" w:rsidR="000478CE" w:rsidRPr="000478CE" w:rsidRDefault="000478CE">
          <w:pPr>
            <w:pStyle w:val="TOC2"/>
            <w:tabs>
              <w:tab w:val="right" w:leader="dot" w:pos="9016"/>
            </w:tabs>
            <w:rPr>
              <w:rFonts w:eastAsiaTheme="minorEastAsia"/>
              <w:noProof/>
              <w:lang w:eastAsia="en-GB"/>
            </w:rPr>
          </w:pPr>
          <w:r>
            <w:rPr>
              <w:rStyle w:val="Hyperlink"/>
              <w:noProof/>
            </w:rPr>
            <w:t xml:space="preserve">    </w:t>
          </w:r>
          <w:hyperlink w:anchor="_Toc29314112" w:history="1">
            <w:r w:rsidRPr="000478CE">
              <w:rPr>
                <w:rStyle w:val="Hyperlink"/>
                <w:rFonts w:cstheme="minorHAnsi"/>
                <w:noProof/>
                <w:shd w:val="clear" w:color="auto" w:fill="FFFFFF"/>
                <w:lang w:val="en"/>
              </w:rPr>
              <w:t>-</w:t>
            </w:r>
            <w:r w:rsidRPr="000478CE">
              <w:rPr>
                <w:rStyle w:val="Hyperlink"/>
                <w:noProof/>
              </w:rPr>
              <w:t>Literature</w:t>
            </w:r>
            <w:r w:rsidRPr="000478CE">
              <w:rPr>
                <w:noProof/>
                <w:webHidden/>
              </w:rPr>
              <w:tab/>
            </w:r>
            <w:r w:rsidRPr="000478CE">
              <w:rPr>
                <w:noProof/>
                <w:webHidden/>
              </w:rPr>
              <w:fldChar w:fldCharType="begin"/>
            </w:r>
            <w:r w:rsidRPr="000478CE">
              <w:rPr>
                <w:noProof/>
                <w:webHidden/>
              </w:rPr>
              <w:instrText xml:space="preserve"> PAGEREF _Toc29314112 \h </w:instrText>
            </w:r>
            <w:r w:rsidRPr="000478CE">
              <w:rPr>
                <w:noProof/>
                <w:webHidden/>
              </w:rPr>
            </w:r>
            <w:r w:rsidRPr="000478CE">
              <w:rPr>
                <w:noProof/>
                <w:webHidden/>
              </w:rPr>
              <w:fldChar w:fldCharType="separate"/>
            </w:r>
            <w:r w:rsidRPr="000478CE">
              <w:rPr>
                <w:noProof/>
                <w:webHidden/>
              </w:rPr>
              <w:t>7</w:t>
            </w:r>
            <w:r w:rsidRPr="000478CE">
              <w:rPr>
                <w:noProof/>
                <w:webHidden/>
              </w:rPr>
              <w:fldChar w:fldCharType="end"/>
            </w:r>
          </w:hyperlink>
        </w:p>
        <w:p w14:paraId="624AA916" w14:textId="4C47B659" w:rsidR="000478CE" w:rsidRPr="000478CE" w:rsidRDefault="000959EE">
          <w:pPr>
            <w:pStyle w:val="TOC3"/>
            <w:tabs>
              <w:tab w:val="right" w:leader="dot" w:pos="9016"/>
            </w:tabs>
            <w:rPr>
              <w:rFonts w:eastAsiaTheme="minorEastAsia"/>
              <w:noProof/>
              <w:lang w:eastAsia="en-GB"/>
            </w:rPr>
          </w:pPr>
          <w:hyperlink w:anchor="_Toc29314113" w:history="1">
            <w:r w:rsidR="000478CE" w:rsidRPr="000478CE">
              <w:rPr>
                <w:rStyle w:val="Hyperlink"/>
                <w:noProof/>
                <w:shd w:val="clear" w:color="auto" w:fill="FFFFFF"/>
              </w:rPr>
              <w:t>-</w:t>
            </w:r>
            <w:r w:rsidR="000478CE" w:rsidRPr="000478CE">
              <w:rPr>
                <w:rStyle w:val="Hyperlink"/>
                <w:noProof/>
              </w:rPr>
              <w:t>Banks portfolio</w:t>
            </w:r>
            <w:r w:rsidR="000478CE" w:rsidRPr="000478CE">
              <w:rPr>
                <w:noProof/>
                <w:webHidden/>
              </w:rPr>
              <w:tab/>
            </w:r>
            <w:r w:rsidR="000478CE" w:rsidRPr="000478CE">
              <w:rPr>
                <w:noProof/>
                <w:webHidden/>
              </w:rPr>
              <w:fldChar w:fldCharType="begin"/>
            </w:r>
            <w:r w:rsidR="000478CE" w:rsidRPr="000478CE">
              <w:rPr>
                <w:noProof/>
                <w:webHidden/>
              </w:rPr>
              <w:instrText xml:space="preserve"> PAGEREF _Toc29314113 \h </w:instrText>
            </w:r>
            <w:r w:rsidR="000478CE" w:rsidRPr="000478CE">
              <w:rPr>
                <w:noProof/>
                <w:webHidden/>
              </w:rPr>
            </w:r>
            <w:r w:rsidR="000478CE" w:rsidRPr="000478CE">
              <w:rPr>
                <w:noProof/>
                <w:webHidden/>
              </w:rPr>
              <w:fldChar w:fldCharType="separate"/>
            </w:r>
            <w:r w:rsidR="000478CE" w:rsidRPr="000478CE">
              <w:rPr>
                <w:noProof/>
                <w:webHidden/>
              </w:rPr>
              <w:t>8</w:t>
            </w:r>
            <w:r w:rsidR="000478CE" w:rsidRPr="000478CE">
              <w:rPr>
                <w:noProof/>
                <w:webHidden/>
              </w:rPr>
              <w:fldChar w:fldCharType="end"/>
            </w:r>
          </w:hyperlink>
        </w:p>
        <w:p w14:paraId="65458F8D" w14:textId="4B4C9755" w:rsidR="000478CE" w:rsidRPr="000478CE" w:rsidRDefault="000959EE">
          <w:pPr>
            <w:pStyle w:val="TOC2"/>
            <w:tabs>
              <w:tab w:val="right" w:leader="dot" w:pos="9016"/>
            </w:tabs>
            <w:rPr>
              <w:rFonts w:eastAsiaTheme="minorEastAsia"/>
              <w:noProof/>
              <w:lang w:eastAsia="en-GB"/>
            </w:rPr>
          </w:pPr>
          <w:hyperlink w:anchor="_Toc29314114" w:history="1">
            <w:r w:rsidR="000478CE" w:rsidRPr="000478CE">
              <w:rPr>
                <w:rStyle w:val="Hyperlink"/>
                <w:noProof/>
                <w:shd w:val="clear" w:color="auto" w:fill="FFFFFF"/>
              </w:rPr>
              <w:t>B2. LIQUIDITY LEVEL AND LENDING</w:t>
            </w:r>
            <w:r w:rsidR="000478CE" w:rsidRPr="000478CE">
              <w:rPr>
                <w:noProof/>
                <w:webHidden/>
              </w:rPr>
              <w:tab/>
            </w:r>
            <w:r w:rsidR="000478CE" w:rsidRPr="000478CE">
              <w:rPr>
                <w:noProof/>
                <w:webHidden/>
              </w:rPr>
              <w:fldChar w:fldCharType="begin"/>
            </w:r>
            <w:r w:rsidR="000478CE" w:rsidRPr="000478CE">
              <w:rPr>
                <w:noProof/>
                <w:webHidden/>
              </w:rPr>
              <w:instrText xml:space="preserve"> PAGEREF _Toc29314114 \h </w:instrText>
            </w:r>
            <w:r w:rsidR="000478CE" w:rsidRPr="000478CE">
              <w:rPr>
                <w:noProof/>
                <w:webHidden/>
              </w:rPr>
            </w:r>
            <w:r w:rsidR="000478CE" w:rsidRPr="000478CE">
              <w:rPr>
                <w:noProof/>
                <w:webHidden/>
              </w:rPr>
              <w:fldChar w:fldCharType="separate"/>
            </w:r>
            <w:r w:rsidR="000478CE" w:rsidRPr="000478CE">
              <w:rPr>
                <w:noProof/>
                <w:webHidden/>
              </w:rPr>
              <w:t>10</w:t>
            </w:r>
            <w:r w:rsidR="000478CE" w:rsidRPr="000478CE">
              <w:rPr>
                <w:noProof/>
                <w:webHidden/>
              </w:rPr>
              <w:fldChar w:fldCharType="end"/>
            </w:r>
          </w:hyperlink>
        </w:p>
        <w:p w14:paraId="38A0F6E7" w14:textId="5D6301CA" w:rsidR="000478CE" w:rsidRPr="000478CE" w:rsidRDefault="000959EE">
          <w:pPr>
            <w:pStyle w:val="TOC3"/>
            <w:tabs>
              <w:tab w:val="right" w:leader="dot" w:pos="9016"/>
            </w:tabs>
            <w:rPr>
              <w:rFonts w:eastAsiaTheme="minorEastAsia"/>
              <w:noProof/>
              <w:lang w:eastAsia="en-GB"/>
            </w:rPr>
          </w:pPr>
          <w:hyperlink w:anchor="_Toc29314115" w:history="1">
            <w:r w:rsidR="000478CE" w:rsidRPr="000478CE">
              <w:rPr>
                <w:rStyle w:val="Hyperlink"/>
                <w:noProof/>
                <w:shd w:val="clear" w:color="auto" w:fill="FFFFFF"/>
              </w:rPr>
              <w:t>-Literature</w:t>
            </w:r>
            <w:r w:rsidR="000478CE" w:rsidRPr="000478CE">
              <w:rPr>
                <w:noProof/>
                <w:webHidden/>
              </w:rPr>
              <w:tab/>
            </w:r>
            <w:r w:rsidR="000478CE" w:rsidRPr="000478CE">
              <w:rPr>
                <w:noProof/>
                <w:webHidden/>
              </w:rPr>
              <w:fldChar w:fldCharType="begin"/>
            </w:r>
            <w:r w:rsidR="000478CE" w:rsidRPr="000478CE">
              <w:rPr>
                <w:noProof/>
                <w:webHidden/>
              </w:rPr>
              <w:instrText xml:space="preserve"> PAGEREF _Toc29314115 \h </w:instrText>
            </w:r>
            <w:r w:rsidR="000478CE" w:rsidRPr="000478CE">
              <w:rPr>
                <w:noProof/>
                <w:webHidden/>
              </w:rPr>
            </w:r>
            <w:r w:rsidR="000478CE" w:rsidRPr="000478CE">
              <w:rPr>
                <w:noProof/>
                <w:webHidden/>
              </w:rPr>
              <w:fldChar w:fldCharType="separate"/>
            </w:r>
            <w:r w:rsidR="000478CE" w:rsidRPr="000478CE">
              <w:rPr>
                <w:noProof/>
                <w:webHidden/>
              </w:rPr>
              <w:t>11</w:t>
            </w:r>
            <w:r w:rsidR="000478CE" w:rsidRPr="000478CE">
              <w:rPr>
                <w:noProof/>
                <w:webHidden/>
              </w:rPr>
              <w:fldChar w:fldCharType="end"/>
            </w:r>
          </w:hyperlink>
        </w:p>
        <w:p w14:paraId="122CDE3A" w14:textId="481BB8EE" w:rsidR="000478CE" w:rsidRPr="000478CE" w:rsidRDefault="000959EE">
          <w:pPr>
            <w:pStyle w:val="TOC3"/>
            <w:tabs>
              <w:tab w:val="right" w:leader="dot" w:pos="9016"/>
            </w:tabs>
            <w:rPr>
              <w:rFonts w:eastAsiaTheme="minorEastAsia"/>
              <w:noProof/>
              <w:lang w:eastAsia="en-GB"/>
            </w:rPr>
          </w:pPr>
          <w:hyperlink w:anchor="_Toc29314116" w:history="1">
            <w:r w:rsidR="000478CE" w:rsidRPr="000478CE">
              <w:rPr>
                <w:rStyle w:val="Hyperlink"/>
                <w:noProof/>
                <w:shd w:val="clear" w:color="auto" w:fill="FFFFFF"/>
              </w:rPr>
              <w:t>-</w:t>
            </w:r>
            <w:r w:rsidR="000478CE" w:rsidRPr="000478CE">
              <w:rPr>
                <w:rStyle w:val="Hyperlink"/>
                <w:noProof/>
              </w:rPr>
              <w:t>Impact of Liquidity regulation on Banks’s balance sheet structure</w:t>
            </w:r>
            <w:r w:rsidR="000478CE" w:rsidRPr="000478CE">
              <w:rPr>
                <w:noProof/>
                <w:webHidden/>
              </w:rPr>
              <w:tab/>
            </w:r>
            <w:r w:rsidR="000478CE" w:rsidRPr="000478CE">
              <w:rPr>
                <w:noProof/>
                <w:webHidden/>
              </w:rPr>
              <w:fldChar w:fldCharType="begin"/>
            </w:r>
            <w:r w:rsidR="000478CE" w:rsidRPr="000478CE">
              <w:rPr>
                <w:noProof/>
                <w:webHidden/>
              </w:rPr>
              <w:instrText xml:space="preserve"> PAGEREF _Toc29314116 \h </w:instrText>
            </w:r>
            <w:r w:rsidR="000478CE" w:rsidRPr="000478CE">
              <w:rPr>
                <w:noProof/>
                <w:webHidden/>
              </w:rPr>
            </w:r>
            <w:r w:rsidR="000478CE" w:rsidRPr="000478CE">
              <w:rPr>
                <w:noProof/>
                <w:webHidden/>
              </w:rPr>
              <w:fldChar w:fldCharType="separate"/>
            </w:r>
            <w:r w:rsidR="000478CE" w:rsidRPr="000478CE">
              <w:rPr>
                <w:noProof/>
                <w:webHidden/>
              </w:rPr>
              <w:t>12</w:t>
            </w:r>
            <w:r w:rsidR="000478CE" w:rsidRPr="000478CE">
              <w:rPr>
                <w:noProof/>
                <w:webHidden/>
              </w:rPr>
              <w:fldChar w:fldCharType="end"/>
            </w:r>
          </w:hyperlink>
        </w:p>
        <w:p w14:paraId="5E561688" w14:textId="337D163B" w:rsidR="000478CE" w:rsidRPr="000478CE" w:rsidRDefault="000959EE">
          <w:pPr>
            <w:pStyle w:val="TOC2"/>
            <w:tabs>
              <w:tab w:val="right" w:leader="dot" w:pos="9016"/>
            </w:tabs>
            <w:rPr>
              <w:rFonts w:eastAsiaTheme="minorEastAsia"/>
              <w:noProof/>
              <w:lang w:eastAsia="en-GB"/>
            </w:rPr>
          </w:pPr>
          <w:hyperlink w:anchor="_Toc29314117" w:history="1">
            <w:r w:rsidR="000478CE" w:rsidRPr="000478CE">
              <w:rPr>
                <w:rStyle w:val="Hyperlink"/>
                <w:noProof/>
                <w:lang w:val="en"/>
              </w:rPr>
              <w:t>B3. EFFICIENCY AND LENDING</w:t>
            </w:r>
            <w:r w:rsidR="000478CE" w:rsidRPr="000478CE">
              <w:rPr>
                <w:noProof/>
                <w:webHidden/>
              </w:rPr>
              <w:tab/>
            </w:r>
            <w:r w:rsidR="000478CE" w:rsidRPr="000478CE">
              <w:rPr>
                <w:noProof/>
                <w:webHidden/>
              </w:rPr>
              <w:fldChar w:fldCharType="begin"/>
            </w:r>
            <w:r w:rsidR="000478CE" w:rsidRPr="000478CE">
              <w:rPr>
                <w:noProof/>
                <w:webHidden/>
              </w:rPr>
              <w:instrText xml:space="preserve"> PAGEREF _Toc29314117 \h </w:instrText>
            </w:r>
            <w:r w:rsidR="000478CE" w:rsidRPr="000478CE">
              <w:rPr>
                <w:noProof/>
                <w:webHidden/>
              </w:rPr>
            </w:r>
            <w:r w:rsidR="000478CE" w:rsidRPr="000478CE">
              <w:rPr>
                <w:noProof/>
                <w:webHidden/>
              </w:rPr>
              <w:fldChar w:fldCharType="separate"/>
            </w:r>
            <w:r w:rsidR="000478CE" w:rsidRPr="000478CE">
              <w:rPr>
                <w:noProof/>
                <w:webHidden/>
              </w:rPr>
              <w:t>13</w:t>
            </w:r>
            <w:r w:rsidR="000478CE" w:rsidRPr="000478CE">
              <w:rPr>
                <w:noProof/>
                <w:webHidden/>
              </w:rPr>
              <w:fldChar w:fldCharType="end"/>
            </w:r>
          </w:hyperlink>
        </w:p>
        <w:p w14:paraId="27AB59D7" w14:textId="0867C0F7" w:rsidR="000478CE" w:rsidRPr="000478CE" w:rsidRDefault="000959EE">
          <w:pPr>
            <w:pStyle w:val="TOC3"/>
            <w:tabs>
              <w:tab w:val="right" w:leader="dot" w:pos="9016"/>
            </w:tabs>
            <w:rPr>
              <w:rFonts w:eastAsiaTheme="minorEastAsia"/>
              <w:noProof/>
              <w:lang w:eastAsia="en-GB"/>
            </w:rPr>
          </w:pPr>
          <w:hyperlink w:anchor="_Toc29314118" w:history="1">
            <w:r w:rsidR="000478CE" w:rsidRPr="000478CE">
              <w:rPr>
                <w:rStyle w:val="Hyperlink"/>
                <w:noProof/>
              </w:rPr>
              <w:t>-Literature</w:t>
            </w:r>
            <w:r w:rsidR="000478CE" w:rsidRPr="000478CE">
              <w:rPr>
                <w:noProof/>
                <w:webHidden/>
              </w:rPr>
              <w:tab/>
            </w:r>
            <w:r w:rsidR="000478CE" w:rsidRPr="000478CE">
              <w:rPr>
                <w:noProof/>
                <w:webHidden/>
              </w:rPr>
              <w:fldChar w:fldCharType="begin"/>
            </w:r>
            <w:r w:rsidR="000478CE" w:rsidRPr="000478CE">
              <w:rPr>
                <w:noProof/>
                <w:webHidden/>
              </w:rPr>
              <w:instrText xml:space="preserve"> PAGEREF _Toc29314118 \h </w:instrText>
            </w:r>
            <w:r w:rsidR="000478CE" w:rsidRPr="000478CE">
              <w:rPr>
                <w:noProof/>
                <w:webHidden/>
              </w:rPr>
            </w:r>
            <w:r w:rsidR="000478CE" w:rsidRPr="000478CE">
              <w:rPr>
                <w:noProof/>
                <w:webHidden/>
              </w:rPr>
              <w:fldChar w:fldCharType="separate"/>
            </w:r>
            <w:r w:rsidR="000478CE" w:rsidRPr="000478CE">
              <w:rPr>
                <w:noProof/>
                <w:webHidden/>
              </w:rPr>
              <w:t>14</w:t>
            </w:r>
            <w:r w:rsidR="000478CE" w:rsidRPr="000478CE">
              <w:rPr>
                <w:noProof/>
                <w:webHidden/>
              </w:rPr>
              <w:fldChar w:fldCharType="end"/>
            </w:r>
          </w:hyperlink>
        </w:p>
        <w:p w14:paraId="73A25F4D" w14:textId="3EFEAF6A" w:rsidR="000478CE" w:rsidRPr="000478CE" w:rsidRDefault="000959EE">
          <w:pPr>
            <w:pStyle w:val="TOC3"/>
            <w:tabs>
              <w:tab w:val="right" w:leader="dot" w:pos="9016"/>
            </w:tabs>
            <w:rPr>
              <w:rFonts w:eastAsiaTheme="minorEastAsia"/>
              <w:noProof/>
              <w:lang w:eastAsia="en-GB"/>
            </w:rPr>
          </w:pPr>
          <w:hyperlink w:anchor="_Toc29314119" w:history="1">
            <w:r w:rsidR="000478CE" w:rsidRPr="000478CE">
              <w:rPr>
                <w:rStyle w:val="Hyperlink"/>
                <w:noProof/>
                <w:lang w:val="en"/>
              </w:rPr>
              <w:t>-The relationship between efficiency and banks financial intermediation role</w:t>
            </w:r>
            <w:r w:rsidR="000478CE" w:rsidRPr="000478CE">
              <w:rPr>
                <w:noProof/>
                <w:webHidden/>
              </w:rPr>
              <w:tab/>
            </w:r>
            <w:r w:rsidR="000478CE" w:rsidRPr="000478CE">
              <w:rPr>
                <w:noProof/>
                <w:webHidden/>
              </w:rPr>
              <w:fldChar w:fldCharType="begin"/>
            </w:r>
            <w:r w:rsidR="000478CE" w:rsidRPr="000478CE">
              <w:rPr>
                <w:noProof/>
                <w:webHidden/>
              </w:rPr>
              <w:instrText xml:space="preserve"> PAGEREF _Toc29314119 \h </w:instrText>
            </w:r>
            <w:r w:rsidR="000478CE" w:rsidRPr="000478CE">
              <w:rPr>
                <w:noProof/>
                <w:webHidden/>
              </w:rPr>
            </w:r>
            <w:r w:rsidR="000478CE" w:rsidRPr="000478CE">
              <w:rPr>
                <w:noProof/>
                <w:webHidden/>
              </w:rPr>
              <w:fldChar w:fldCharType="separate"/>
            </w:r>
            <w:r w:rsidR="000478CE" w:rsidRPr="000478CE">
              <w:rPr>
                <w:noProof/>
                <w:webHidden/>
              </w:rPr>
              <w:t>15</w:t>
            </w:r>
            <w:r w:rsidR="000478CE" w:rsidRPr="000478CE">
              <w:rPr>
                <w:noProof/>
                <w:webHidden/>
              </w:rPr>
              <w:fldChar w:fldCharType="end"/>
            </w:r>
          </w:hyperlink>
        </w:p>
        <w:p w14:paraId="372EF0C7" w14:textId="410E0943" w:rsidR="000478CE" w:rsidRPr="000478CE" w:rsidRDefault="000959EE">
          <w:pPr>
            <w:pStyle w:val="TOC1"/>
            <w:tabs>
              <w:tab w:val="right" w:leader="dot" w:pos="9016"/>
            </w:tabs>
            <w:rPr>
              <w:rFonts w:eastAsiaTheme="minorEastAsia"/>
              <w:noProof/>
              <w:lang w:eastAsia="en-GB"/>
            </w:rPr>
          </w:pPr>
          <w:hyperlink w:anchor="_Toc29314120" w:history="1">
            <w:r w:rsidR="000478CE" w:rsidRPr="000478CE">
              <w:rPr>
                <w:rStyle w:val="Hyperlink"/>
                <w:noProof/>
              </w:rPr>
              <w:t>C. THE IMPACT OF REGULATORY CAPITAL ON PROFITABILITY</w:t>
            </w:r>
            <w:r w:rsidR="000478CE" w:rsidRPr="000478CE">
              <w:rPr>
                <w:noProof/>
                <w:webHidden/>
              </w:rPr>
              <w:tab/>
            </w:r>
            <w:r w:rsidR="000478CE" w:rsidRPr="000478CE">
              <w:rPr>
                <w:noProof/>
                <w:webHidden/>
              </w:rPr>
              <w:fldChar w:fldCharType="begin"/>
            </w:r>
            <w:r w:rsidR="000478CE" w:rsidRPr="000478CE">
              <w:rPr>
                <w:noProof/>
                <w:webHidden/>
              </w:rPr>
              <w:instrText xml:space="preserve"> PAGEREF _Toc29314120 \h </w:instrText>
            </w:r>
            <w:r w:rsidR="000478CE" w:rsidRPr="000478CE">
              <w:rPr>
                <w:noProof/>
                <w:webHidden/>
              </w:rPr>
            </w:r>
            <w:r w:rsidR="000478CE" w:rsidRPr="000478CE">
              <w:rPr>
                <w:noProof/>
                <w:webHidden/>
              </w:rPr>
              <w:fldChar w:fldCharType="separate"/>
            </w:r>
            <w:r w:rsidR="000478CE" w:rsidRPr="000478CE">
              <w:rPr>
                <w:noProof/>
                <w:webHidden/>
              </w:rPr>
              <w:t>16</w:t>
            </w:r>
            <w:r w:rsidR="000478CE" w:rsidRPr="000478CE">
              <w:rPr>
                <w:noProof/>
                <w:webHidden/>
              </w:rPr>
              <w:fldChar w:fldCharType="end"/>
            </w:r>
          </w:hyperlink>
        </w:p>
        <w:p w14:paraId="1ED7DA09" w14:textId="315235B6" w:rsidR="000478CE" w:rsidRPr="000478CE" w:rsidRDefault="000959EE">
          <w:pPr>
            <w:pStyle w:val="TOC1"/>
            <w:tabs>
              <w:tab w:val="right" w:leader="dot" w:pos="9016"/>
            </w:tabs>
            <w:rPr>
              <w:rFonts w:eastAsiaTheme="minorEastAsia"/>
              <w:noProof/>
              <w:lang w:eastAsia="en-GB"/>
            </w:rPr>
          </w:pPr>
          <w:hyperlink w:anchor="_Toc29314121" w:history="1">
            <w:r w:rsidR="000478CE" w:rsidRPr="000478CE">
              <w:rPr>
                <w:rStyle w:val="Hyperlink"/>
                <w:noProof/>
                <w:lang w:val="en"/>
              </w:rPr>
              <w:t>D. BANKS RISKS AND MITIGATION STRATEGIES</w:t>
            </w:r>
            <w:r w:rsidR="000478CE" w:rsidRPr="000478CE">
              <w:rPr>
                <w:noProof/>
                <w:webHidden/>
              </w:rPr>
              <w:tab/>
            </w:r>
            <w:r w:rsidR="000478CE" w:rsidRPr="000478CE">
              <w:rPr>
                <w:noProof/>
                <w:webHidden/>
              </w:rPr>
              <w:fldChar w:fldCharType="begin"/>
            </w:r>
            <w:r w:rsidR="000478CE" w:rsidRPr="000478CE">
              <w:rPr>
                <w:noProof/>
                <w:webHidden/>
              </w:rPr>
              <w:instrText xml:space="preserve"> PAGEREF _Toc29314121 \h </w:instrText>
            </w:r>
            <w:r w:rsidR="000478CE" w:rsidRPr="000478CE">
              <w:rPr>
                <w:noProof/>
                <w:webHidden/>
              </w:rPr>
            </w:r>
            <w:r w:rsidR="000478CE" w:rsidRPr="000478CE">
              <w:rPr>
                <w:noProof/>
                <w:webHidden/>
              </w:rPr>
              <w:fldChar w:fldCharType="separate"/>
            </w:r>
            <w:r w:rsidR="000478CE" w:rsidRPr="000478CE">
              <w:rPr>
                <w:noProof/>
                <w:webHidden/>
              </w:rPr>
              <w:t>17</w:t>
            </w:r>
            <w:r w:rsidR="000478CE" w:rsidRPr="000478CE">
              <w:rPr>
                <w:noProof/>
                <w:webHidden/>
              </w:rPr>
              <w:fldChar w:fldCharType="end"/>
            </w:r>
          </w:hyperlink>
        </w:p>
        <w:p w14:paraId="59D459A5" w14:textId="07F7A2C9" w:rsidR="000478CE" w:rsidRPr="000478CE" w:rsidRDefault="000959EE">
          <w:pPr>
            <w:pStyle w:val="TOC1"/>
            <w:tabs>
              <w:tab w:val="right" w:leader="dot" w:pos="9016"/>
            </w:tabs>
            <w:rPr>
              <w:rFonts w:eastAsiaTheme="minorEastAsia"/>
              <w:noProof/>
              <w:lang w:eastAsia="en-GB"/>
            </w:rPr>
          </w:pPr>
          <w:hyperlink w:anchor="_Toc29314122" w:history="1">
            <w:r w:rsidR="000478CE" w:rsidRPr="000478CE">
              <w:rPr>
                <w:rStyle w:val="Hyperlink"/>
                <w:noProof/>
              </w:rPr>
              <w:t>CONCLUSIONS</w:t>
            </w:r>
            <w:r w:rsidR="000478CE" w:rsidRPr="000478CE">
              <w:rPr>
                <w:noProof/>
                <w:webHidden/>
              </w:rPr>
              <w:tab/>
            </w:r>
            <w:r w:rsidR="000478CE" w:rsidRPr="000478CE">
              <w:rPr>
                <w:noProof/>
                <w:webHidden/>
              </w:rPr>
              <w:fldChar w:fldCharType="begin"/>
            </w:r>
            <w:r w:rsidR="000478CE" w:rsidRPr="000478CE">
              <w:rPr>
                <w:noProof/>
                <w:webHidden/>
              </w:rPr>
              <w:instrText xml:space="preserve"> PAGEREF _Toc29314122 \h </w:instrText>
            </w:r>
            <w:r w:rsidR="000478CE" w:rsidRPr="000478CE">
              <w:rPr>
                <w:noProof/>
                <w:webHidden/>
              </w:rPr>
            </w:r>
            <w:r w:rsidR="000478CE" w:rsidRPr="000478CE">
              <w:rPr>
                <w:noProof/>
                <w:webHidden/>
              </w:rPr>
              <w:fldChar w:fldCharType="separate"/>
            </w:r>
            <w:r w:rsidR="000478CE" w:rsidRPr="000478CE">
              <w:rPr>
                <w:noProof/>
                <w:webHidden/>
              </w:rPr>
              <w:t>19</w:t>
            </w:r>
            <w:r w:rsidR="000478CE" w:rsidRPr="000478CE">
              <w:rPr>
                <w:noProof/>
                <w:webHidden/>
              </w:rPr>
              <w:fldChar w:fldCharType="end"/>
            </w:r>
          </w:hyperlink>
        </w:p>
        <w:p w14:paraId="427FE8A1" w14:textId="33A260C4" w:rsidR="000478CE" w:rsidRPr="000478CE" w:rsidRDefault="000959EE">
          <w:pPr>
            <w:pStyle w:val="TOC1"/>
            <w:tabs>
              <w:tab w:val="right" w:leader="dot" w:pos="9016"/>
            </w:tabs>
            <w:rPr>
              <w:rFonts w:eastAsiaTheme="minorEastAsia"/>
              <w:noProof/>
              <w:lang w:eastAsia="en-GB"/>
            </w:rPr>
          </w:pPr>
          <w:hyperlink w:anchor="_Toc29314123" w:history="1">
            <w:r w:rsidR="000478CE" w:rsidRPr="000478CE">
              <w:rPr>
                <w:rStyle w:val="Hyperlink"/>
                <w:rFonts w:cstheme="minorHAnsi"/>
                <w:noProof/>
              </w:rPr>
              <w:t>REFERENCES</w:t>
            </w:r>
            <w:r w:rsidR="000478CE" w:rsidRPr="000478CE">
              <w:rPr>
                <w:noProof/>
                <w:webHidden/>
              </w:rPr>
              <w:tab/>
            </w:r>
            <w:r w:rsidR="000478CE" w:rsidRPr="000478CE">
              <w:rPr>
                <w:noProof/>
                <w:webHidden/>
              </w:rPr>
              <w:fldChar w:fldCharType="begin"/>
            </w:r>
            <w:r w:rsidR="000478CE" w:rsidRPr="000478CE">
              <w:rPr>
                <w:noProof/>
                <w:webHidden/>
              </w:rPr>
              <w:instrText xml:space="preserve"> PAGEREF _Toc29314123 \h </w:instrText>
            </w:r>
            <w:r w:rsidR="000478CE" w:rsidRPr="000478CE">
              <w:rPr>
                <w:noProof/>
                <w:webHidden/>
              </w:rPr>
            </w:r>
            <w:r w:rsidR="000478CE" w:rsidRPr="000478CE">
              <w:rPr>
                <w:noProof/>
                <w:webHidden/>
              </w:rPr>
              <w:fldChar w:fldCharType="separate"/>
            </w:r>
            <w:r w:rsidR="000478CE" w:rsidRPr="000478CE">
              <w:rPr>
                <w:noProof/>
                <w:webHidden/>
              </w:rPr>
              <w:t>20</w:t>
            </w:r>
            <w:r w:rsidR="000478CE" w:rsidRPr="000478CE">
              <w:rPr>
                <w:noProof/>
                <w:webHidden/>
              </w:rPr>
              <w:fldChar w:fldCharType="end"/>
            </w:r>
          </w:hyperlink>
        </w:p>
        <w:p w14:paraId="30F8CFCE" w14:textId="77670436" w:rsidR="000478CE" w:rsidRDefault="000478CE">
          <w:r w:rsidRPr="000478CE">
            <w:rPr>
              <w:noProof/>
            </w:rPr>
            <w:fldChar w:fldCharType="end"/>
          </w:r>
        </w:p>
      </w:sdtContent>
    </w:sdt>
    <w:p w14:paraId="34357496" w14:textId="0C668653" w:rsidR="005877FD" w:rsidRDefault="005877FD">
      <w:pPr>
        <w:rPr>
          <w:rFonts w:ascii="Arial" w:hAnsi="Arial" w:cs="Arial"/>
          <w:b/>
          <w:sz w:val="24"/>
          <w:szCs w:val="24"/>
        </w:rPr>
      </w:pPr>
    </w:p>
    <w:p w14:paraId="7F8C0BE5" w14:textId="77777777" w:rsidR="009D05CE" w:rsidRDefault="009D05CE" w:rsidP="009D05CE">
      <w:pPr>
        <w:tabs>
          <w:tab w:val="left" w:pos="3544"/>
        </w:tabs>
        <w:jc w:val="center"/>
        <w:rPr>
          <w:rFonts w:ascii="Arial" w:hAnsi="Arial" w:cs="Arial"/>
          <w:b/>
          <w:sz w:val="24"/>
          <w:szCs w:val="24"/>
        </w:rPr>
      </w:pPr>
    </w:p>
    <w:p w14:paraId="01C68047" w14:textId="77777777" w:rsidR="009D05CE" w:rsidRDefault="009D05CE" w:rsidP="009D05CE">
      <w:pPr>
        <w:tabs>
          <w:tab w:val="left" w:pos="3544"/>
        </w:tabs>
        <w:jc w:val="center"/>
        <w:rPr>
          <w:rFonts w:ascii="Arial" w:hAnsi="Arial" w:cs="Arial"/>
          <w:b/>
          <w:sz w:val="24"/>
          <w:szCs w:val="24"/>
        </w:rPr>
      </w:pPr>
    </w:p>
    <w:p w14:paraId="5CF26480" w14:textId="3D8A9AFD" w:rsidR="009D05CE" w:rsidRPr="009D05CE" w:rsidRDefault="009D05CE" w:rsidP="009D05CE">
      <w:pPr>
        <w:rPr>
          <w:rFonts w:ascii="Arial" w:hAnsi="Arial" w:cs="Arial"/>
          <w:b/>
          <w:sz w:val="24"/>
          <w:szCs w:val="24"/>
        </w:rPr>
      </w:pPr>
      <w:r>
        <w:rPr>
          <w:rFonts w:ascii="Arial" w:hAnsi="Arial" w:cs="Arial"/>
          <w:b/>
          <w:sz w:val="24"/>
          <w:szCs w:val="24"/>
        </w:rPr>
        <w:br w:type="page"/>
      </w:r>
    </w:p>
    <w:p w14:paraId="71F8D6CC" w14:textId="74B849C1" w:rsidR="00C77E35" w:rsidRDefault="00C77E35" w:rsidP="004E084E">
      <w:pPr>
        <w:pStyle w:val="Heading1"/>
        <w:spacing w:line="360" w:lineRule="auto"/>
        <w:rPr>
          <w:b/>
          <w:bCs/>
          <w:color w:val="auto"/>
        </w:rPr>
      </w:pPr>
      <w:bookmarkStart w:id="1" w:name="_Toc29313851"/>
      <w:bookmarkStart w:id="2" w:name="_Toc29314026"/>
      <w:bookmarkStart w:id="3" w:name="_Toc29314107"/>
      <w:r>
        <w:rPr>
          <w:b/>
          <w:bCs/>
          <w:color w:val="auto"/>
        </w:rPr>
        <w:lastRenderedPageBreak/>
        <w:t>Abstract</w:t>
      </w:r>
      <w:bookmarkEnd w:id="1"/>
      <w:bookmarkEnd w:id="2"/>
      <w:bookmarkEnd w:id="3"/>
    </w:p>
    <w:p w14:paraId="00DD25C6" w14:textId="77777777" w:rsidR="00204700" w:rsidRDefault="00204700" w:rsidP="004E084E">
      <w:pPr>
        <w:spacing w:line="360" w:lineRule="auto"/>
      </w:pPr>
    </w:p>
    <w:p w14:paraId="0354037E" w14:textId="0C0D9A17" w:rsidR="00204700" w:rsidRDefault="00204700" w:rsidP="004E084E">
      <w:pPr>
        <w:spacing w:line="360" w:lineRule="auto"/>
        <w:jc w:val="both"/>
      </w:pPr>
      <w:r>
        <w:t xml:space="preserve">On a global level, the changes and crises that have taken place in recent decades have had a significant impact on the global banking system. The purpose of this paper is to study the main consequences occurred in the international banking system, with </w:t>
      </w:r>
      <w:proofErr w:type="gramStart"/>
      <w:r>
        <w:t>particular attention</w:t>
      </w:r>
      <w:proofErr w:type="gramEnd"/>
      <w:r>
        <w:t xml:space="preserve"> to the English scenario, taking into consideration the data from Barclays, Lloyds and Royal Bank of Scotland.</w:t>
      </w:r>
    </w:p>
    <w:p w14:paraId="4916B577" w14:textId="77777777" w:rsidR="00204700" w:rsidRDefault="00204700" w:rsidP="004E084E">
      <w:pPr>
        <w:spacing w:line="360" w:lineRule="auto"/>
        <w:jc w:val="both"/>
      </w:pPr>
      <w:r>
        <w:t>In the first section, the need for regulation of the banking system has been assessed, in a scenario in which the presence of international policies increases.</w:t>
      </w:r>
    </w:p>
    <w:p w14:paraId="073C7505" w14:textId="77777777" w:rsidR="00204700" w:rsidRDefault="00204700" w:rsidP="004E084E">
      <w:pPr>
        <w:spacing w:line="360" w:lineRule="auto"/>
        <w:jc w:val="both"/>
      </w:pPr>
      <w:r>
        <w:t>The second part has analysed, in more detail, the impact than the regulations on regulatory capital, liquidity level and efficiency have on the banks' intermediation role, with a special focus on the lending activity.</w:t>
      </w:r>
    </w:p>
    <w:p w14:paraId="0AB110DD" w14:textId="356202AE" w:rsidR="00204700" w:rsidRPr="00204700" w:rsidRDefault="00204700" w:rsidP="004E084E">
      <w:pPr>
        <w:spacing w:line="360" w:lineRule="auto"/>
        <w:jc w:val="both"/>
      </w:pPr>
      <w:r>
        <w:t>Subsequently, the relationship between capital regulations and banks' profitability has been evaluated, while, in conclusion, the main risks faced by the banking system have been briefly presented.</w:t>
      </w:r>
    </w:p>
    <w:p w14:paraId="5697D9FF" w14:textId="77777777" w:rsidR="00C77E35" w:rsidRDefault="00C77E35" w:rsidP="004E084E">
      <w:pPr>
        <w:spacing w:line="360" w:lineRule="auto"/>
      </w:pPr>
    </w:p>
    <w:p w14:paraId="4A030C55" w14:textId="77777777" w:rsidR="00C77E35" w:rsidRDefault="00C77E35" w:rsidP="004E084E">
      <w:pPr>
        <w:pStyle w:val="Heading1"/>
        <w:spacing w:line="360" w:lineRule="auto"/>
        <w:rPr>
          <w:b/>
          <w:bCs/>
          <w:color w:val="auto"/>
        </w:rPr>
      </w:pPr>
    </w:p>
    <w:p w14:paraId="11ED059B" w14:textId="725535EF" w:rsidR="00C413A9" w:rsidRPr="000A002F" w:rsidRDefault="00375A0A" w:rsidP="004E084E">
      <w:pPr>
        <w:pStyle w:val="Heading1"/>
        <w:spacing w:line="360" w:lineRule="auto"/>
        <w:rPr>
          <w:b/>
          <w:bCs/>
          <w:color w:val="auto"/>
        </w:rPr>
      </w:pPr>
      <w:bookmarkStart w:id="4" w:name="_Toc29313852"/>
      <w:bookmarkStart w:id="5" w:name="_Toc29314027"/>
      <w:bookmarkStart w:id="6" w:name="_Toc29314108"/>
      <w:r w:rsidRPr="000A002F">
        <w:rPr>
          <w:b/>
          <w:bCs/>
          <w:color w:val="auto"/>
        </w:rPr>
        <w:t>A – Bank regulation</w:t>
      </w:r>
      <w:bookmarkEnd w:id="4"/>
      <w:bookmarkEnd w:id="5"/>
      <w:bookmarkEnd w:id="6"/>
    </w:p>
    <w:p w14:paraId="4D4B791B" w14:textId="1BD24900" w:rsidR="00375A0A" w:rsidRPr="000A002F" w:rsidRDefault="00375A0A" w:rsidP="004E084E">
      <w:pPr>
        <w:pStyle w:val="Heading2"/>
        <w:spacing w:line="360" w:lineRule="auto"/>
        <w:rPr>
          <w:b/>
          <w:bCs/>
          <w:color w:val="auto"/>
        </w:rPr>
      </w:pPr>
      <w:bookmarkStart w:id="7" w:name="_Toc29313853"/>
      <w:bookmarkStart w:id="8" w:name="_Toc29314028"/>
      <w:bookmarkStart w:id="9" w:name="_Toc29314109"/>
      <w:r w:rsidRPr="000A002F">
        <w:rPr>
          <w:b/>
          <w:bCs/>
          <w:color w:val="auto"/>
        </w:rPr>
        <w:t>Why banks need regulation?  Market risks and market failure</w:t>
      </w:r>
      <w:bookmarkEnd w:id="7"/>
      <w:bookmarkEnd w:id="8"/>
      <w:bookmarkEnd w:id="9"/>
    </w:p>
    <w:p w14:paraId="4F87AEC8" w14:textId="77777777" w:rsidR="000A002F" w:rsidRDefault="000A002F" w:rsidP="004E084E">
      <w:pPr>
        <w:spacing w:line="360" w:lineRule="auto"/>
      </w:pPr>
    </w:p>
    <w:p w14:paraId="3AC3A3A9" w14:textId="0CC07CFD" w:rsidR="003D1D19" w:rsidRDefault="003D1D19" w:rsidP="004E084E">
      <w:pPr>
        <w:spacing w:line="360" w:lineRule="auto"/>
        <w:jc w:val="both"/>
      </w:pPr>
      <w:r>
        <w:t>The regulation of the banking system in the UK is under the responsibility of three entities: Prudential Regulation Authority (PRA) and the Financial Conduct Authority (FCA) that are the lead bank regulator and the Bank of England (BoE) which is the resolution authority (Penn et al., 2019).</w:t>
      </w:r>
    </w:p>
    <w:p w14:paraId="2A598468" w14:textId="77777777" w:rsidR="003D1D19" w:rsidRPr="003D1D19" w:rsidRDefault="003D1D19" w:rsidP="004E084E">
      <w:pPr>
        <w:spacing w:line="360" w:lineRule="auto"/>
        <w:jc w:val="both"/>
      </w:pPr>
      <w:r>
        <w:t xml:space="preserve">In the UK, the primary source of regulation is the Financial Services and Markets Act 2000 (FSMA), which is flanked by Europeans law which establishes the minimum requirement to be applied in the European Economic Area. In 1988 the Basel I agreement was established, with a revised framework in 2004 (Basel II) and a third one (Basel III) after the financial crisis of 2007/2008. These agreements set a common standard that encourages bank to develop more sophisticated systems of risk management, which includes minimum capital and liquidity requirement and stress tests, which have become strengthened further after the </w:t>
      </w:r>
      <w:r w:rsidRPr="003D1D19">
        <w:t>crisis (Heimler, 2008).</w:t>
      </w:r>
    </w:p>
    <w:p w14:paraId="47394D37" w14:textId="77777777" w:rsidR="003D1D19" w:rsidRPr="003D1D19" w:rsidRDefault="003D1D19" w:rsidP="004E084E">
      <w:pPr>
        <w:spacing w:line="360" w:lineRule="auto"/>
        <w:jc w:val="both"/>
      </w:pPr>
      <w:r w:rsidRPr="003D1D19">
        <w:lastRenderedPageBreak/>
        <w:t>In order to prevent one of the most feared events in banking, the ‘</w:t>
      </w:r>
      <w:r w:rsidRPr="003D1D19">
        <w:rPr>
          <w:u w:val="single"/>
        </w:rPr>
        <w:t>market failure’</w:t>
      </w:r>
      <w:r w:rsidRPr="003D1D19">
        <w:t>, defined as the inefficient distribution of resources in the market, regulation is vital in the banking system. Before analysing the concept of regulation, it is necessary to shift the focus on the ‘systemic risk’ that the marked faced. The definitions of ‘Systemic Risk’ are manifold. Each of them mentions the correlation and interconnection among the parts that compose a system, and therefore the probability that, to the failure of one of them, the effects are transmitted on the entire system with a consequent breakdown of it (Scott et al., 2001)</w:t>
      </w:r>
    </w:p>
    <w:p w14:paraId="70E25664" w14:textId="77777777" w:rsidR="003D1D19" w:rsidRPr="003D1D19" w:rsidRDefault="003D1D19" w:rsidP="004E084E">
      <w:pPr>
        <w:spacing w:line="360" w:lineRule="auto"/>
        <w:jc w:val="both"/>
      </w:pPr>
      <w:r w:rsidRPr="003D1D19">
        <w:t>In the banking system, to avert the collapse of a bank and the possibility that, as a fire spreading, the crisis spread to the others and wreak havoc the entire economy, the need for regulation arises. The possibility of contagion, however, is only one of the main reasons which are flanked by the </w:t>
      </w:r>
      <w:r w:rsidRPr="003D1D19">
        <w:rPr>
          <w:u w:val="single"/>
        </w:rPr>
        <w:t>‘customer protection’</w:t>
      </w:r>
      <w:r w:rsidRPr="003D1D19">
        <w:t> concern. From the moment a customer becomes part of an efficient payment system, simply opening a bank account, many people will </w:t>
      </w:r>
      <w:r w:rsidRPr="003D1D19">
        <w:rPr>
          <w:b/>
          <w:bCs/>
        </w:rPr>
        <w:t>benefit</w:t>
      </w:r>
      <w:r w:rsidRPr="003D1D19">
        <w:t> but, in the possibility of crisis and eneral panic, the payment system could fail. This situation is a risk and a </w:t>
      </w:r>
      <w:r w:rsidRPr="003D1D19">
        <w:rPr>
          <w:b/>
          <w:bCs/>
        </w:rPr>
        <w:t>cost</w:t>
      </w:r>
      <w:r w:rsidRPr="003D1D19">
        <w:t> that could affect the entire society, not only the parties involved in the original deal (Bankofengland.co.uk, 2019).</w:t>
      </w:r>
    </w:p>
    <w:p w14:paraId="36192DCB" w14:textId="77777777" w:rsidR="003D1D19" w:rsidRPr="003D1D19" w:rsidRDefault="003D1D19" w:rsidP="004E084E">
      <w:pPr>
        <w:spacing w:line="360" w:lineRule="auto"/>
        <w:jc w:val="both"/>
      </w:pPr>
      <w:r w:rsidRPr="003D1D19">
        <w:t>In addition to that, these policies objectives concern financial safety and stability monitoring, competition control, the reduction of asymmetric information between potential borrowers and banks, growth and development support (Heimler, 2008).</w:t>
      </w:r>
    </w:p>
    <w:p w14:paraId="719A3A62" w14:textId="77777777" w:rsidR="003D1D19" w:rsidRDefault="003D1D19" w:rsidP="004E084E">
      <w:pPr>
        <w:spacing w:line="360" w:lineRule="auto"/>
        <w:jc w:val="both"/>
      </w:pPr>
      <w:r w:rsidRPr="003D1D19">
        <w:t>The essential nature of the regulation of the banking system is therefore evident, especially in an increasingly complex environment which has been the protagonist of the major crisis that destabilised the entire system. Today the regulatory structure has undergone a considerable change as a result of the development in the marketplace, reaching tighter levels justified even by the not fully rational behaviour that people have (Parker et al.,2015). In addition to this, the new regulatory philosophy has less faith in market forces, with an increase in consideration of the skills and competence of new bank directors </w:t>
      </w:r>
      <w:r>
        <w:t>(House of Commons, 2009).</w:t>
      </w:r>
    </w:p>
    <w:p w14:paraId="44BEBE48" w14:textId="77777777" w:rsidR="003D1D19" w:rsidRDefault="003D1D19" w:rsidP="004E084E">
      <w:pPr>
        <w:spacing w:line="360" w:lineRule="auto"/>
        <w:jc w:val="both"/>
      </w:pPr>
      <w:r>
        <w:t>At the opposite side, lighter-regulated entities have taken place on the market, arising a debate on the possible benefits that the system could derive from lighter regulations.</w:t>
      </w:r>
    </w:p>
    <w:p w14:paraId="6496B396" w14:textId="77777777" w:rsidR="003D1D19" w:rsidRDefault="003D1D19" w:rsidP="004E084E">
      <w:pPr>
        <w:spacing w:line="360" w:lineRule="auto"/>
        <w:jc w:val="both"/>
      </w:pPr>
      <w:r>
        <w:t>There are therefore conflicting opinions which arose in the aftermath of the financial crisis such as the theory of Miao and Wang (2015) which specifically analysed the minimum capital requirement introduced by Basel regulations. They support the idea that, in a system based on Value-at-Risk as Basel II and III, there is a maximum level of capital requirement, which acts as a watershed between positive and negative impact on the equilibrium. Above this level the market present negative bubbles that lead to a credit crunch with a consequential reduction of the welfare (Chevallier et al., 2019).</w:t>
      </w:r>
    </w:p>
    <w:p w14:paraId="73E37228" w14:textId="77777777" w:rsidR="003D1D19" w:rsidRDefault="003D1D19" w:rsidP="004E084E">
      <w:pPr>
        <w:spacing w:line="360" w:lineRule="auto"/>
        <w:jc w:val="both"/>
      </w:pPr>
      <w:r>
        <w:lastRenderedPageBreak/>
        <w:t>The consequences of this thick regulation are also highlighted by Edmund Parker, head of finance and partner at Meyer Brown, that underlines how this extra-regulated environment is so suffocating for bankers that the best are leaving towards less-regulated entities which are not caught by these rules (Parker et al.,2015).</w:t>
      </w:r>
    </w:p>
    <w:p w14:paraId="779F5493" w14:textId="77777777" w:rsidR="003D1D19" w:rsidRDefault="003D1D19" w:rsidP="004E084E">
      <w:pPr>
        <w:spacing w:line="360" w:lineRule="auto"/>
        <w:jc w:val="both"/>
      </w:pPr>
      <w:r>
        <w:t>It seems instead that Sam Woods, chief of Prudential Regulation Authority, is against the de-regulation and support the idea that the regulation after-crisis encourage job creation. In a world situation that shows an anti-regulation stance promoted by the US President and the Brexit that faces the scene, the BoE official defines as ‘misguided’ the proposal of return to a light-regulation (Binham, 2017).</w:t>
      </w:r>
    </w:p>
    <w:p w14:paraId="367C88E8" w14:textId="77777777" w:rsidR="003D1D19" w:rsidRDefault="003D1D19" w:rsidP="004E084E">
      <w:pPr>
        <w:spacing w:line="360" w:lineRule="auto"/>
        <w:jc w:val="both"/>
      </w:pPr>
      <w:r>
        <w:t>The ideas are conflicting, and it seems impossible to create a crisis-free financial system, given the complexity and the continuous change that the market faces. Before the crisis was commonly believed that institutions and market were unlikely to fail, but the consequences highlighted that this paradigm was wrong. Increasing regulation, for now, has not shown to have solved the problem.</w:t>
      </w:r>
    </w:p>
    <w:p w14:paraId="7EFE9B23" w14:textId="5BC8763D" w:rsidR="003D1D19" w:rsidRPr="003D1D19" w:rsidRDefault="003D1D19" w:rsidP="004E084E">
      <w:pPr>
        <w:spacing w:line="360" w:lineRule="auto"/>
        <w:jc w:val="both"/>
      </w:pPr>
      <w:r>
        <w:t xml:space="preserve">Surely the answer to this question is not simple and to avoid that the same situation occurs again, the regulators must challenge themselves, </w:t>
      </w:r>
      <w:r w:rsidRPr="003D1D19">
        <w:t>considering the impact of their actions carefully.</w:t>
      </w:r>
    </w:p>
    <w:p w14:paraId="4DC8CE9C" w14:textId="7CD67D56" w:rsidR="008A3123" w:rsidRDefault="008A3123" w:rsidP="004E084E">
      <w:pPr>
        <w:spacing w:line="360" w:lineRule="auto"/>
        <w:rPr>
          <w:rFonts w:cstheme="minorHAnsi"/>
          <w:b/>
          <w:bCs/>
          <w:shd w:val="clear" w:color="auto" w:fill="FFFFFF"/>
        </w:rPr>
      </w:pPr>
    </w:p>
    <w:p w14:paraId="4B934879" w14:textId="6C502A16" w:rsidR="009D05CE" w:rsidRDefault="009D05CE" w:rsidP="004E084E">
      <w:pPr>
        <w:spacing w:line="360" w:lineRule="auto"/>
        <w:rPr>
          <w:rFonts w:cstheme="minorHAnsi"/>
          <w:b/>
          <w:bCs/>
          <w:shd w:val="clear" w:color="auto" w:fill="FFFFFF"/>
        </w:rPr>
      </w:pPr>
    </w:p>
    <w:p w14:paraId="5A6B8FEB" w14:textId="1E107F57" w:rsidR="009D05CE" w:rsidRDefault="009D05CE" w:rsidP="004E084E">
      <w:pPr>
        <w:spacing w:line="360" w:lineRule="auto"/>
        <w:rPr>
          <w:rFonts w:cstheme="minorHAnsi"/>
          <w:b/>
          <w:bCs/>
          <w:shd w:val="clear" w:color="auto" w:fill="FFFFFF"/>
        </w:rPr>
      </w:pPr>
    </w:p>
    <w:p w14:paraId="79F1F43C" w14:textId="52339483" w:rsidR="004E084E" w:rsidRDefault="004E084E" w:rsidP="004E084E">
      <w:pPr>
        <w:spacing w:line="360" w:lineRule="auto"/>
        <w:rPr>
          <w:rFonts w:cstheme="minorHAnsi"/>
          <w:b/>
          <w:bCs/>
          <w:shd w:val="clear" w:color="auto" w:fill="FFFFFF"/>
        </w:rPr>
      </w:pPr>
    </w:p>
    <w:p w14:paraId="1FD54307" w14:textId="53792A6D" w:rsidR="004E084E" w:rsidRDefault="004E084E" w:rsidP="004E084E">
      <w:pPr>
        <w:spacing w:line="360" w:lineRule="auto"/>
        <w:rPr>
          <w:rFonts w:cstheme="minorHAnsi"/>
          <w:b/>
          <w:bCs/>
          <w:shd w:val="clear" w:color="auto" w:fill="FFFFFF"/>
        </w:rPr>
      </w:pPr>
    </w:p>
    <w:p w14:paraId="6A5D6AFE" w14:textId="1CDE727C" w:rsidR="004E084E" w:rsidRDefault="004E084E" w:rsidP="004E084E">
      <w:pPr>
        <w:spacing w:line="360" w:lineRule="auto"/>
        <w:rPr>
          <w:rFonts w:cstheme="minorHAnsi"/>
          <w:b/>
          <w:bCs/>
          <w:shd w:val="clear" w:color="auto" w:fill="FFFFFF"/>
        </w:rPr>
      </w:pPr>
    </w:p>
    <w:p w14:paraId="1CDABB37" w14:textId="0E4D015A" w:rsidR="004E084E" w:rsidRDefault="004E084E" w:rsidP="004E084E">
      <w:pPr>
        <w:spacing w:line="360" w:lineRule="auto"/>
        <w:rPr>
          <w:rFonts w:cstheme="minorHAnsi"/>
          <w:b/>
          <w:bCs/>
          <w:shd w:val="clear" w:color="auto" w:fill="FFFFFF"/>
        </w:rPr>
      </w:pPr>
    </w:p>
    <w:p w14:paraId="3B39A167" w14:textId="2CF1BFBD" w:rsidR="004E084E" w:rsidRDefault="004E084E" w:rsidP="004E084E">
      <w:pPr>
        <w:spacing w:line="360" w:lineRule="auto"/>
        <w:rPr>
          <w:rFonts w:cstheme="minorHAnsi"/>
          <w:b/>
          <w:bCs/>
          <w:shd w:val="clear" w:color="auto" w:fill="FFFFFF"/>
        </w:rPr>
      </w:pPr>
    </w:p>
    <w:p w14:paraId="51558EE6" w14:textId="5A57F435" w:rsidR="004E084E" w:rsidRDefault="004E084E" w:rsidP="004E084E">
      <w:pPr>
        <w:spacing w:line="360" w:lineRule="auto"/>
        <w:rPr>
          <w:rFonts w:cstheme="minorHAnsi"/>
          <w:b/>
          <w:bCs/>
          <w:shd w:val="clear" w:color="auto" w:fill="FFFFFF"/>
        </w:rPr>
      </w:pPr>
    </w:p>
    <w:p w14:paraId="7B40693F" w14:textId="7112877A" w:rsidR="004E084E" w:rsidRDefault="004E084E" w:rsidP="004E084E">
      <w:pPr>
        <w:spacing w:line="360" w:lineRule="auto"/>
        <w:rPr>
          <w:rFonts w:cstheme="minorHAnsi"/>
          <w:b/>
          <w:bCs/>
          <w:shd w:val="clear" w:color="auto" w:fill="FFFFFF"/>
        </w:rPr>
      </w:pPr>
    </w:p>
    <w:p w14:paraId="6EE43B3E" w14:textId="44C1B754" w:rsidR="004E084E" w:rsidRDefault="004E084E" w:rsidP="004E084E">
      <w:pPr>
        <w:spacing w:line="360" w:lineRule="auto"/>
        <w:rPr>
          <w:rFonts w:cstheme="minorHAnsi"/>
          <w:b/>
          <w:bCs/>
          <w:shd w:val="clear" w:color="auto" w:fill="FFFFFF"/>
        </w:rPr>
      </w:pPr>
    </w:p>
    <w:p w14:paraId="56A2EA74" w14:textId="77777777" w:rsidR="004E084E" w:rsidRPr="00382658" w:rsidRDefault="004E084E" w:rsidP="004E084E">
      <w:pPr>
        <w:spacing w:line="360" w:lineRule="auto"/>
        <w:rPr>
          <w:rFonts w:cstheme="minorHAnsi"/>
          <w:b/>
          <w:bCs/>
          <w:shd w:val="clear" w:color="auto" w:fill="FFFFFF"/>
        </w:rPr>
      </w:pPr>
    </w:p>
    <w:p w14:paraId="695BA067" w14:textId="50E6B479" w:rsidR="00F66B17" w:rsidRPr="00382658" w:rsidRDefault="00382658" w:rsidP="004E084E">
      <w:pPr>
        <w:pStyle w:val="Heading1"/>
        <w:spacing w:line="360" w:lineRule="auto"/>
        <w:rPr>
          <w:b/>
          <w:bCs/>
          <w:color w:val="auto"/>
          <w:shd w:val="clear" w:color="auto" w:fill="FFFFFF"/>
        </w:rPr>
      </w:pPr>
      <w:bookmarkStart w:id="10" w:name="_Toc29313854"/>
      <w:bookmarkStart w:id="11" w:name="_Toc29314029"/>
      <w:bookmarkStart w:id="12" w:name="_Toc29314110"/>
      <w:r w:rsidRPr="00382658">
        <w:rPr>
          <w:b/>
          <w:bCs/>
          <w:color w:val="auto"/>
          <w:shd w:val="clear" w:color="auto" w:fill="FFFFFF"/>
        </w:rPr>
        <w:lastRenderedPageBreak/>
        <w:t xml:space="preserve">B - </w:t>
      </w:r>
      <w:r w:rsidR="00F66B17" w:rsidRPr="00382658">
        <w:rPr>
          <w:b/>
          <w:bCs/>
          <w:color w:val="auto"/>
          <w:shd w:val="clear" w:color="auto" w:fill="FFFFFF"/>
        </w:rPr>
        <w:t>REGULATORY CAPITAL, EFFICIENCY AND LIQUIDITY</w:t>
      </w:r>
      <w:bookmarkEnd w:id="10"/>
      <w:bookmarkEnd w:id="11"/>
      <w:bookmarkEnd w:id="12"/>
    </w:p>
    <w:p w14:paraId="685FEFDB" w14:textId="43818AE9" w:rsidR="00F66B17" w:rsidRDefault="00F66B17" w:rsidP="004E084E">
      <w:pPr>
        <w:spacing w:line="360" w:lineRule="auto"/>
        <w:rPr>
          <w:rFonts w:cstheme="minorHAnsi"/>
          <w:color w:val="000000"/>
          <w:shd w:val="clear" w:color="auto" w:fill="FFFFFF"/>
        </w:rPr>
      </w:pPr>
    </w:p>
    <w:tbl>
      <w:tblPr>
        <w:tblW w:w="7080" w:type="dxa"/>
        <w:tblLook w:val="04A0" w:firstRow="1" w:lastRow="0" w:firstColumn="1" w:lastColumn="0" w:noHBand="0" w:noVBand="1"/>
      </w:tblPr>
      <w:tblGrid>
        <w:gridCol w:w="1000"/>
        <w:gridCol w:w="1128"/>
        <w:gridCol w:w="1000"/>
        <w:gridCol w:w="1000"/>
        <w:gridCol w:w="1000"/>
        <w:gridCol w:w="1080"/>
        <w:gridCol w:w="1000"/>
      </w:tblGrid>
      <w:tr w:rsidR="00F66B17" w:rsidRPr="00F66B17" w14:paraId="2644104A" w14:textId="77777777" w:rsidTr="00F66B17">
        <w:trPr>
          <w:trHeight w:val="288"/>
        </w:trPr>
        <w:tc>
          <w:tcPr>
            <w:tcW w:w="10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FBD547" w14:textId="77777777" w:rsidR="00F66B17" w:rsidRPr="00F66B17" w:rsidRDefault="00F66B17" w:rsidP="004E084E">
            <w:pPr>
              <w:spacing w:after="0" w:line="360" w:lineRule="auto"/>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YEAR</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5831B917" w14:textId="77777777" w:rsidR="00F66B17" w:rsidRPr="00F66B17" w:rsidRDefault="00F66B17" w:rsidP="004E084E">
            <w:pPr>
              <w:spacing w:after="0" w:line="360" w:lineRule="auto"/>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BANK</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06969F52" w14:textId="77777777" w:rsidR="00F66B17" w:rsidRPr="00F66B17" w:rsidRDefault="00F66B17" w:rsidP="004E084E">
            <w:pPr>
              <w:spacing w:after="0" w:line="360" w:lineRule="auto"/>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TIER 1</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5B6AC44F" w14:textId="77777777" w:rsidR="00F66B17" w:rsidRPr="00F66B17" w:rsidRDefault="00F66B17" w:rsidP="004E084E">
            <w:pPr>
              <w:spacing w:after="0" w:line="360" w:lineRule="auto"/>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LRC</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29F9FB65" w14:textId="77777777" w:rsidR="00F66B17" w:rsidRPr="00F66B17" w:rsidRDefault="00F66B17" w:rsidP="004E084E">
            <w:pPr>
              <w:spacing w:after="0" w:line="360" w:lineRule="auto"/>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CIR</w:t>
            </w:r>
          </w:p>
        </w:tc>
        <w:tc>
          <w:tcPr>
            <w:tcW w:w="1080" w:type="dxa"/>
            <w:tcBorders>
              <w:top w:val="single" w:sz="4" w:space="0" w:color="auto"/>
              <w:left w:val="nil"/>
              <w:bottom w:val="single" w:sz="4" w:space="0" w:color="auto"/>
              <w:right w:val="single" w:sz="4" w:space="0" w:color="auto"/>
            </w:tcBorders>
            <w:shd w:val="clear" w:color="auto" w:fill="auto"/>
            <w:noWrap/>
            <w:vAlign w:val="bottom"/>
            <w:hideMark/>
          </w:tcPr>
          <w:p w14:paraId="762E0C5B" w14:textId="77777777" w:rsidR="00F66B17" w:rsidRPr="00F66B17" w:rsidRDefault="00F66B17" w:rsidP="004E084E">
            <w:pPr>
              <w:spacing w:after="0" w:line="360" w:lineRule="auto"/>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 xml:space="preserve">LENDING </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5F9D07E0" w14:textId="77777777" w:rsidR="00F66B17" w:rsidRPr="00F66B17" w:rsidRDefault="00F66B17" w:rsidP="004E084E">
            <w:pPr>
              <w:spacing w:after="0" w:line="360" w:lineRule="auto"/>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ROE</w:t>
            </w:r>
          </w:p>
        </w:tc>
      </w:tr>
      <w:tr w:rsidR="00F66B17" w:rsidRPr="00F66B17" w14:paraId="36F14688" w14:textId="77777777" w:rsidTr="00F66B17">
        <w:trPr>
          <w:trHeight w:val="288"/>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1C31C0A6" w14:textId="77777777" w:rsidR="00F66B17" w:rsidRPr="00F66B17" w:rsidRDefault="00F66B17" w:rsidP="004E084E">
            <w:pPr>
              <w:spacing w:after="0" w:line="360" w:lineRule="auto"/>
              <w:jc w:val="right"/>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2014</w:t>
            </w:r>
          </w:p>
        </w:tc>
        <w:tc>
          <w:tcPr>
            <w:tcW w:w="1000" w:type="dxa"/>
            <w:tcBorders>
              <w:top w:val="nil"/>
              <w:left w:val="nil"/>
              <w:bottom w:val="single" w:sz="4" w:space="0" w:color="auto"/>
              <w:right w:val="single" w:sz="4" w:space="0" w:color="auto"/>
            </w:tcBorders>
            <w:shd w:val="clear" w:color="auto" w:fill="auto"/>
            <w:noWrap/>
            <w:vAlign w:val="bottom"/>
            <w:hideMark/>
          </w:tcPr>
          <w:p w14:paraId="3BB86B02"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BARCLAYS</w:t>
            </w:r>
          </w:p>
        </w:tc>
        <w:tc>
          <w:tcPr>
            <w:tcW w:w="1000" w:type="dxa"/>
            <w:tcBorders>
              <w:top w:val="nil"/>
              <w:left w:val="nil"/>
              <w:bottom w:val="single" w:sz="4" w:space="0" w:color="auto"/>
              <w:right w:val="single" w:sz="4" w:space="0" w:color="auto"/>
            </w:tcBorders>
            <w:shd w:val="clear" w:color="auto" w:fill="auto"/>
            <w:noWrap/>
            <w:vAlign w:val="bottom"/>
            <w:hideMark/>
          </w:tcPr>
          <w:p w14:paraId="2CEE093D"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10.30%</w:t>
            </w:r>
          </w:p>
        </w:tc>
        <w:tc>
          <w:tcPr>
            <w:tcW w:w="1000" w:type="dxa"/>
            <w:tcBorders>
              <w:top w:val="nil"/>
              <w:left w:val="nil"/>
              <w:bottom w:val="single" w:sz="4" w:space="0" w:color="auto"/>
              <w:right w:val="single" w:sz="4" w:space="0" w:color="auto"/>
            </w:tcBorders>
            <w:shd w:val="clear" w:color="auto" w:fill="auto"/>
            <w:noWrap/>
            <w:vAlign w:val="bottom"/>
            <w:hideMark/>
          </w:tcPr>
          <w:p w14:paraId="42E53703"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124%</w:t>
            </w:r>
          </w:p>
        </w:tc>
        <w:tc>
          <w:tcPr>
            <w:tcW w:w="1000" w:type="dxa"/>
            <w:tcBorders>
              <w:top w:val="nil"/>
              <w:left w:val="nil"/>
              <w:bottom w:val="single" w:sz="4" w:space="0" w:color="auto"/>
              <w:right w:val="single" w:sz="4" w:space="0" w:color="auto"/>
            </w:tcBorders>
            <w:shd w:val="clear" w:color="auto" w:fill="auto"/>
            <w:noWrap/>
            <w:vAlign w:val="bottom"/>
            <w:hideMark/>
          </w:tcPr>
          <w:p w14:paraId="6E7C3D5D"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81%</w:t>
            </w:r>
          </w:p>
        </w:tc>
        <w:tc>
          <w:tcPr>
            <w:tcW w:w="1080" w:type="dxa"/>
            <w:tcBorders>
              <w:top w:val="nil"/>
              <w:left w:val="nil"/>
              <w:bottom w:val="single" w:sz="4" w:space="0" w:color="auto"/>
              <w:right w:val="single" w:sz="4" w:space="0" w:color="auto"/>
            </w:tcBorders>
            <w:shd w:val="clear" w:color="auto" w:fill="auto"/>
            <w:noWrap/>
            <w:vAlign w:val="bottom"/>
            <w:hideMark/>
          </w:tcPr>
          <w:p w14:paraId="2F4AF95E"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89%</w:t>
            </w:r>
          </w:p>
        </w:tc>
        <w:tc>
          <w:tcPr>
            <w:tcW w:w="1000" w:type="dxa"/>
            <w:tcBorders>
              <w:top w:val="nil"/>
              <w:left w:val="nil"/>
              <w:bottom w:val="single" w:sz="4" w:space="0" w:color="auto"/>
              <w:right w:val="single" w:sz="4" w:space="0" w:color="auto"/>
            </w:tcBorders>
            <w:shd w:val="clear" w:color="auto" w:fill="auto"/>
            <w:noWrap/>
            <w:vAlign w:val="bottom"/>
            <w:hideMark/>
          </w:tcPr>
          <w:p w14:paraId="6A4D6A3B"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1.28%</w:t>
            </w:r>
          </w:p>
        </w:tc>
      </w:tr>
      <w:tr w:rsidR="00F66B17" w:rsidRPr="00F66B17" w14:paraId="4197C591" w14:textId="77777777" w:rsidTr="00F66B17">
        <w:trPr>
          <w:trHeight w:val="288"/>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612B94DD" w14:textId="77777777" w:rsidR="00F66B17" w:rsidRPr="00F66B17" w:rsidRDefault="00F66B17" w:rsidP="004E084E">
            <w:pPr>
              <w:spacing w:after="0" w:line="360" w:lineRule="auto"/>
              <w:jc w:val="right"/>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2015</w:t>
            </w:r>
          </w:p>
        </w:tc>
        <w:tc>
          <w:tcPr>
            <w:tcW w:w="1000" w:type="dxa"/>
            <w:tcBorders>
              <w:top w:val="nil"/>
              <w:left w:val="nil"/>
              <w:bottom w:val="single" w:sz="4" w:space="0" w:color="auto"/>
              <w:right w:val="single" w:sz="4" w:space="0" w:color="auto"/>
            </w:tcBorders>
            <w:shd w:val="clear" w:color="auto" w:fill="auto"/>
            <w:noWrap/>
            <w:vAlign w:val="bottom"/>
            <w:hideMark/>
          </w:tcPr>
          <w:p w14:paraId="5FFACABC"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BARCLAYS</w:t>
            </w:r>
          </w:p>
        </w:tc>
        <w:tc>
          <w:tcPr>
            <w:tcW w:w="1000" w:type="dxa"/>
            <w:tcBorders>
              <w:top w:val="nil"/>
              <w:left w:val="nil"/>
              <w:bottom w:val="single" w:sz="4" w:space="0" w:color="auto"/>
              <w:right w:val="single" w:sz="4" w:space="0" w:color="auto"/>
            </w:tcBorders>
            <w:shd w:val="clear" w:color="auto" w:fill="auto"/>
            <w:noWrap/>
            <w:vAlign w:val="bottom"/>
            <w:hideMark/>
          </w:tcPr>
          <w:p w14:paraId="33407014"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11.40%</w:t>
            </w:r>
          </w:p>
        </w:tc>
        <w:tc>
          <w:tcPr>
            <w:tcW w:w="1000" w:type="dxa"/>
            <w:tcBorders>
              <w:top w:val="nil"/>
              <w:left w:val="nil"/>
              <w:bottom w:val="single" w:sz="4" w:space="0" w:color="auto"/>
              <w:right w:val="single" w:sz="4" w:space="0" w:color="auto"/>
            </w:tcBorders>
            <w:shd w:val="clear" w:color="auto" w:fill="auto"/>
            <w:noWrap/>
            <w:vAlign w:val="bottom"/>
            <w:hideMark/>
          </w:tcPr>
          <w:p w14:paraId="4A188AAE"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133%</w:t>
            </w:r>
          </w:p>
        </w:tc>
        <w:tc>
          <w:tcPr>
            <w:tcW w:w="1000" w:type="dxa"/>
            <w:tcBorders>
              <w:top w:val="nil"/>
              <w:left w:val="nil"/>
              <w:bottom w:val="single" w:sz="4" w:space="0" w:color="auto"/>
              <w:right w:val="single" w:sz="4" w:space="0" w:color="auto"/>
            </w:tcBorders>
            <w:shd w:val="clear" w:color="auto" w:fill="auto"/>
            <w:noWrap/>
            <w:vAlign w:val="bottom"/>
            <w:hideMark/>
          </w:tcPr>
          <w:p w14:paraId="2A8CFFC4"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81%</w:t>
            </w:r>
          </w:p>
        </w:tc>
        <w:tc>
          <w:tcPr>
            <w:tcW w:w="1080" w:type="dxa"/>
            <w:tcBorders>
              <w:top w:val="nil"/>
              <w:left w:val="nil"/>
              <w:bottom w:val="single" w:sz="4" w:space="0" w:color="auto"/>
              <w:right w:val="single" w:sz="4" w:space="0" w:color="auto"/>
            </w:tcBorders>
            <w:shd w:val="clear" w:color="auto" w:fill="auto"/>
            <w:noWrap/>
            <w:vAlign w:val="bottom"/>
            <w:hideMark/>
          </w:tcPr>
          <w:p w14:paraId="7E3CD1C6"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86%</w:t>
            </w:r>
          </w:p>
        </w:tc>
        <w:tc>
          <w:tcPr>
            <w:tcW w:w="1000" w:type="dxa"/>
            <w:tcBorders>
              <w:top w:val="nil"/>
              <w:left w:val="nil"/>
              <w:bottom w:val="single" w:sz="4" w:space="0" w:color="auto"/>
              <w:right w:val="single" w:sz="4" w:space="0" w:color="auto"/>
            </w:tcBorders>
            <w:shd w:val="clear" w:color="auto" w:fill="auto"/>
            <w:noWrap/>
            <w:vAlign w:val="bottom"/>
            <w:hideMark/>
          </w:tcPr>
          <w:p w14:paraId="7E489562"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0.95%</w:t>
            </w:r>
          </w:p>
        </w:tc>
      </w:tr>
      <w:tr w:rsidR="00F66B17" w:rsidRPr="00F66B17" w14:paraId="5B8A8DA2" w14:textId="77777777" w:rsidTr="00F66B17">
        <w:trPr>
          <w:trHeight w:val="288"/>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768313FB" w14:textId="77777777" w:rsidR="00F66B17" w:rsidRPr="00F66B17" w:rsidRDefault="00F66B17" w:rsidP="004E084E">
            <w:pPr>
              <w:spacing w:after="0" w:line="360" w:lineRule="auto"/>
              <w:jc w:val="right"/>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2016</w:t>
            </w:r>
          </w:p>
        </w:tc>
        <w:tc>
          <w:tcPr>
            <w:tcW w:w="1000" w:type="dxa"/>
            <w:tcBorders>
              <w:top w:val="nil"/>
              <w:left w:val="nil"/>
              <w:bottom w:val="single" w:sz="4" w:space="0" w:color="auto"/>
              <w:right w:val="single" w:sz="4" w:space="0" w:color="auto"/>
            </w:tcBorders>
            <w:shd w:val="clear" w:color="auto" w:fill="auto"/>
            <w:noWrap/>
            <w:vAlign w:val="bottom"/>
            <w:hideMark/>
          </w:tcPr>
          <w:p w14:paraId="1DA268E4"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BARCLAYS</w:t>
            </w:r>
          </w:p>
        </w:tc>
        <w:tc>
          <w:tcPr>
            <w:tcW w:w="1000" w:type="dxa"/>
            <w:tcBorders>
              <w:top w:val="nil"/>
              <w:left w:val="nil"/>
              <w:bottom w:val="single" w:sz="4" w:space="0" w:color="auto"/>
              <w:right w:val="single" w:sz="4" w:space="0" w:color="auto"/>
            </w:tcBorders>
            <w:shd w:val="clear" w:color="auto" w:fill="auto"/>
            <w:noWrap/>
            <w:vAlign w:val="bottom"/>
            <w:hideMark/>
          </w:tcPr>
          <w:p w14:paraId="7A9EAB19"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12.40%</w:t>
            </w:r>
          </w:p>
        </w:tc>
        <w:tc>
          <w:tcPr>
            <w:tcW w:w="1000" w:type="dxa"/>
            <w:tcBorders>
              <w:top w:val="nil"/>
              <w:left w:val="nil"/>
              <w:bottom w:val="single" w:sz="4" w:space="0" w:color="auto"/>
              <w:right w:val="single" w:sz="4" w:space="0" w:color="auto"/>
            </w:tcBorders>
            <w:shd w:val="clear" w:color="auto" w:fill="auto"/>
            <w:noWrap/>
            <w:vAlign w:val="bottom"/>
            <w:hideMark/>
          </w:tcPr>
          <w:p w14:paraId="3416C7BB"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121%</w:t>
            </w:r>
          </w:p>
        </w:tc>
        <w:tc>
          <w:tcPr>
            <w:tcW w:w="1000" w:type="dxa"/>
            <w:tcBorders>
              <w:top w:val="nil"/>
              <w:left w:val="nil"/>
              <w:bottom w:val="single" w:sz="4" w:space="0" w:color="auto"/>
              <w:right w:val="single" w:sz="4" w:space="0" w:color="auto"/>
            </w:tcBorders>
            <w:shd w:val="clear" w:color="auto" w:fill="auto"/>
            <w:noWrap/>
            <w:vAlign w:val="bottom"/>
            <w:hideMark/>
          </w:tcPr>
          <w:p w14:paraId="68F92F44"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74%</w:t>
            </w:r>
          </w:p>
        </w:tc>
        <w:tc>
          <w:tcPr>
            <w:tcW w:w="1080" w:type="dxa"/>
            <w:tcBorders>
              <w:top w:val="nil"/>
              <w:left w:val="nil"/>
              <w:bottom w:val="single" w:sz="4" w:space="0" w:color="auto"/>
              <w:right w:val="single" w:sz="4" w:space="0" w:color="auto"/>
            </w:tcBorders>
            <w:shd w:val="clear" w:color="auto" w:fill="auto"/>
            <w:noWrap/>
            <w:vAlign w:val="bottom"/>
            <w:hideMark/>
          </w:tcPr>
          <w:p w14:paraId="3A9737D8"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83%</w:t>
            </w:r>
          </w:p>
        </w:tc>
        <w:tc>
          <w:tcPr>
            <w:tcW w:w="1000" w:type="dxa"/>
            <w:tcBorders>
              <w:top w:val="nil"/>
              <w:left w:val="nil"/>
              <w:bottom w:val="single" w:sz="4" w:space="0" w:color="auto"/>
              <w:right w:val="single" w:sz="4" w:space="0" w:color="auto"/>
            </w:tcBorders>
            <w:shd w:val="clear" w:color="auto" w:fill="auto"/>
            <w:noWrap/>
            <w:vAlign w:val="bottom"/>
            <w:hideMark/>
          </w:tcPr>
          <w:p w14:paraId="564621C6"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3.13%</w:t>
            </w:r>
          </w:p>
        </w:tc>
      </w:tr>
      <w:tr w:rsidR="00F66B17" w:rsidRPr="00F66B17" w14:paraId="0D64E8D2" w14:textId="77777777" w:rsidTr="00F66B17">
        <w:trPr>
          <w:trHeight w:val="288"/>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6D685E7C" w14:textId="77777777" w:rsidR="00F66B17" w:rsidRPr="00F66B17" w:rsidRDefault="00F66B17" w:rsidP="004E084E">
            <w:pPr>
              <w:spacing w:after="0" w:line="360" w:lineRule="auto"/>
              <w:jc w:val="right"/>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2017</w:t>
            </w:r>
          </w:p>
        </w:tc>
        <w:tc>
          <w:tcPr>
            <w:tcW w:w="1000" w:type="dxa"/>
            <w:tcBorders>
              <w:top w:val="nil"/>
              <w:left w:val="nil"/>
              <w:bottom w:val="single" w:sz="4" w:space="0" w:color="auto"/>
              <w:right w:val="single" w:sz="4" w:space="0" w:color="auto"/>
            </w:tcBorders>
            <w:shd w:val="clear" w:color="auto" w:fill="auto"/>
            <w:noWrap/>
            <w:vAlign w:val="bottom"/>
            <w:hideMark/>
          </w:tcPr>
          <w:p w14:paraId="57FDA4B2"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BARCLAYS</w:t>
            </w:r>
          </w:p>
        </w:tc>
        <w:tc>
          <w:tcPr>
            <w:tcW w:w="1000" w:type="dxa"/>
            <w:tcBorders>
              <w:top w:val="nil"/>
              <w:left w:val="nil"/>
              <w:bottom w:val="single" w:sz="4" w:space="0" w:color="auto"/>
              <w:right w:val="single" w:sz="4" w:space="0" w:color="auto"/>
            </w:tcBorders>
            <w:shd w:val="clear" w:color="auto" w:fill="auto"/>
            <w:noWrap/>
            <w:vAlign w:val="bottom"/>
            <w:hideMark/>
          </w:tcPr>
          <w:p w14:paraId="38A41F00"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13.30%</w:t>
            </w:r>
          </w:p>
        </w:tc>
        <w:tc>
          <w:tcPr>
            <w:tcW w:w="1000" w:type="dxa"/>
            <w:tcBorders>
              <w:top w:val="nil"/>
              <w:left w:val="nil"/>
              <w:bottom w:val="single" w:sz="4" w:space="0" w:color="auto"/>
              <w:right w:val="single" w:sz="4" w:space="0" w:color="auto"/>
            </w:tcBorders>
            <w:shd w:val="clear" w:color="auto" w:fill="auto"/>
            <w:noWrap/>
            <w:vAlign w:val="bottom"/>
            <w:hideMark/>
          </w:tcPr>
          <w:p w14:paraId="0B4610C7"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154%</w:t>
            </w:r>
          </w:p>
        </w:tc>
        <w:tc>
          <w:tcPr>
            <w:tcW w:w="1000" w:type="dxa"/>
            <w:tcBorders>
              <w:top w:val="nil"/>
              <w:left w:val="nil"/>
              <w:bottom w:val="single" w:sz="4" w:space="0" w:color="auto"/>
              <w:right w:val="single" w:sz="4" w:space="0" w:color="auto"/>
            </w:tcBorders>
            <w:shd w:val="clear" w:color="auto" w:fill="auto"/>
            <w:noWrap/>
            <w:vAlign w:val="bottom"/>
            <w:hideMark/>
          </w:tcPr>
          <w:p w14:paraId="19FE6A9A"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73%</w:t>
            </w:r>
          </w:p>
        </w:tc>
        <w:tc>
          <w:tcPr>
            <w:tcW w:w="1080" w:type="dxa"/>
            <w:tcBorders>
              <w:top w:val="nil"/>
              <w:left w:val="nil"/>
              <w:bottom w:val="single" w:sz="4" w:space="0" w:color="auto"/>
              <w:right w:val="single" w:sz="4" w:space="0" w:color="auto"/>
            </w:tcBorders>
            <w:shd w:val="clear" w:color="auto" w:fill="auto"/>
            <w:noWrap/>
            <w:vAlign w:val="bottom"/>
            <w:hideMark/>
          </w:tcPr>
          <w:p w14:paraId="504C5449"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95%</w:t>
            </w:r>
          </w:p>
        </w:tc>
        <w:tc>
          <w:tcPr>
            <w:tcW w:w="1000" w:type="dxa"/>
            <w:tcBorders>
              <w:top w:val="nil"/>
              <w:left w:val="nil"/>
              <w:bottom w:val="single" w:sz="4" w:space="0" w:color="auto"/>
              <w:right w:val="single" w:sz="4" w:space="0" w:color="auto"/>
            </w:tcBorders>
            <w:shd w:val="clear" w:color="auto" w:fill="auto"/>
            <w:noWrap/>
            <w:vAlign w:val="bottom"/>
            <w:hideMark/>
          </w:tcPr>
          <w:p w14:paraId="1B4A5328"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1.97%</w:t>
            </w:r>
          </w:p>
        </w:tc>
      </w:tr>
      <w:tr w:rsidR="00F66B17" w:rsidRPr="00F66B17" w14:paraId="241ACB6B" w14:textId="77777777" w:rsidTr="00F66B17">
        <w:trPr>
          <w:trHeight w:val="288"/>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7344781C" w14:textId="77777777" w:rsidR="00F66B17" w:rsidRPr="00F66B17" w:rsidRDefault="00F66B17" w:rsidP="004E084E">
            <w:pPr>
              <w:spacing w:after="0" w:line="360" w:lineRule="auto"/>
              <w:jc w:val="right"/>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2018</w:t>
            </w:r>
          </w:p>
        </w:tc>
        <w:tc>
          <w:tcPr>
            <w:tcW w:w="1000" w:type="dxa"/>
            <w:tcBorders>
              <w:top w:val="nil"/>
              <w:left w:val="nil"/>
              <w:bottom w:val="single" w:sz="4" w:space="0" w:color="auto"/>
              <w:right w:val="single" w:sz="4" w:space="0" w:color="auto"/>
            </w:tcBorders>
            <w:shd w:val="clear" w:color="auto" w:fill="auto"/>
            <w:noWrap/>
            <w:vAlign w:val="bottom"/>
            <w:hideMark/>
          </w:tcPr>
          <w:p w14:paraId="24C0B060"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BARCLAYS</w:t>
            </w:r>
          </w:p>
        </w:tc>
        <w:tc>
          <w:tcPr>
            <w:tcW w:w="1000" w:type="dxa"/>
            <w:tcBorders>
              <w:top w:val="nil"/>
              <w:left w:val="nil"/>
              <w:bottom w:val="single" w:sz="4" w:space="0" w:color="auto"/>
              <w:right w:val="single" w:sz="4" w:space="0" w:color="auto"/>
            </w:tcBorders>
            <w:shd w:val="clear" w:color="auto" w:fill="auto"/>
            <w:noWrap/>
            <w:vAlign w:val="bottom"/>
            <w:hideMark/>
          </w:tcPr>
          <w:p w14:paraId="0F3B236D"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13.20%</w:t>
            </w:r>
          </w:p>
        </w:tc>
        <w:tc>
          <w:tcPr>
            <w:tcW w:w="1000" w:type="dxa"/>
            <w:tcBorders>
              <w:top w:val="nil"/>
              <w:left w:val="nil"/>
              <w:bottom w:val="single" w:sz="4" w:space="0" w:color="auto"/>
              <w:right w:val="single" w:sz="4" w:space="0" w:color="auto"/>
            </w:tcBorders>
            <w:shd w:val="clear" w:color="auto" w:fill="auto"/>
            <w:noWrap/>
            <w:vAlign w:val="bottom"/>
            <w:hideMark/>
          </w:tcPr>
          <w:p w14:paraId="6ACACA30" w14:textId="77777777" w:rsidR="00F66B17" w:rsidRPr="0048253D" w:rsidRDefault="00F66B17" w:rsidP="004E084E">
            <w:pPr>
              <w:spacing w:after="0" w:line="360" w:lineRule="auto"/>
              <w:jc w:val="right"/>
              <w:rPr>
                <w:rFonts w:ascii="Calibri" w:eastAsia="Times New Roman" w:hAnsi="Calibri" w:cs="Calibri"/>
                <w:lang w:eastAsia="en-GB"/>
              </w:rPr>
            </w:pPr>
            <w:r w:rsidRPr="0048253D">
              <w:rPr>
                <w:rFonts w:ascii="Calibri" w:eastAsia="Times New Roman" w:hAnsi="Calibri" w:cs="Calibri"/>
                <w:lang w:eastAsia="en-GB"/>
              </w:rPr>
              <w:t>169%</w:t>
            </w:r>
          </w:p>
        </w:tc>
        <w:tc>
          <w:tcPr>
            <w:tcW w:w="1000" w:type="dxa"/>
            <w:tcBorders>
              <w:top w:val="nil"/>
              <w:left w:val="nil"/>
              <w:bottom w:val="single" w:sz="4" w:space="0" w:color="auto"/>
              <w:right w:val="single" w:sz="4" w:space="0" w:color="auto"/>
            </w:tcBorders>
            <w:shd w:val="clear" w:color="auto" w:fill="auto"/>
            <w:noWrap/>
            <w:vAlign w:val="bottom"/>
            <w:hideMark/>
          </w:tcPr>
          <w:p w14:paraId="00BB791F" w14:textId="77777777" w:rsidR="00F66B17" w:rsidRPr="0048253D" w:rsidRDefault="00F66B17" w:rsidP="004E084E">
            <w:pPr>
              <w:spacing w:after="0" w:line="360" w:lineRule="auto"/>
              <w:jc w:val="right"/>
              <w:rPr>
                <w:rFonts w:ascii="Calibri" w:eastAsia="Times New Roman" w:hAnsi="Calibri" w:cs="Calibri"/>
                <w:lang w:eastAsia="en-GB"/>
              </w:rPr>
            </w:pPr>
            <w:r w:rsidRPr="0048253D">
              <w:rPr>
                <w:rFonts w:ascii="Calibri" w:eastAsia="Times New Roman" w:hAnsi="Calibri" w:cs="Calibri"/>
                <w:lang w:eastAsia="en-GB"/>
              </w:rPr>
              <w:t>77%</w:t>
            </w:r>
          </w:p>
        </w:tc>
        <w:tc>
          <w:tcPr>
            <w:tcW w:w="1080" w:type="dxa"/>
            <w:tcBorders>
              <w:top w:val="nil"/>
              <w:left w:val="nil"/>
              <w:bottom w:val="single" w:sz="4" w:space="0" w:color="auto"/>
              <w:right w:val="single" w:sz="4" w:space="0" w:color="auto"/>
            </w:tcBorders>
            <w:shd w:val="clear" w:color="auto" w:fill="auto"/>
            <w:noWrap/>
            <w:vAlign w:val="bottom"/>
            <w:hideMark/>
          </w:tcPr>
          <w:p w14:paraId="33223A1B"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96%</w:t>
            </w:r>
          </w:p>
        </w:tc>
        <w:tc>
          <w:tcPr>
            <w:tcW w:w="1000" w:type="dxa"/>
            <w:tcBorders>
              <w:top w:val="nil"/>
              <w:left w:val="nil"/>
              <w:bottom w:val="single" w:sz="4" w:space="0" w:color="auto"/>
              <w:right w:val="single" w:sz="4" w:space="0" w:color="auto"/>
            </w:tcBorders>
            <w:shd w:val="clear" w:color="auto" w:fill="auto"/>
            <w:noWrap/>
            <w:vAlign w:val="bottom"/>
            <w:hideMark/>
          </w:tcPr>
          <w:p w14:paraId="431BFF37"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3.80%</w:t>
            </w:r>
          </w:p>
        </w:tc>
      </w:tr>
      <w:tr w:rsidR="00F66B17" w:rsidRPr="00F66B17" w14:paraId="0B661D2E" w14:textId="77777777" w:rsidTr="00F66B17">
        <w:trPr>
          <w:trHeight w:val="288"/>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32FA8F5B" w14:textId="77777777" w:rsidR="00F66B17" w:rsidRPr="00F66B17" w:rsidRDefault="00F66B17" w:rsidP="004E084E">
            <w:pPr>
              <w:spacing w:after="0" w:line="360" w:lineRule="auto"/>
              <w:jc w:val="right"/>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2014</w:t>
            </w:r>
          </w:p>
        </w:tc>
        <w:tc>
          <w:tcPr>
            <w:tcW w:w="1000" w:type="dxa"/>
            <w:tcBorders>
              <w:top w:val="nil"/>
              <w:left w:val="nil"/>
              <w:bottom w:val="single" w:sz="4" w:space="0" w:color="auto"/>
              <w:right w:val="single" w:sz="4" w:space="0" w:color="auto"/>
            </w:tcBorders>
            <w:shd w:val="clear" w:color="auto" w:fill="auto"/>
            <w:noWrap/>
            <w:vAlign w:val="bottom"/>
            <w:hideMark/>
          </w:tcPr>
          <w:p w14:paraId="515A5479"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LLOYDS</w:t>
            </w:r>
          </w:p>
        </w:tc>
        <w:tc>
          <w:tcPr>
            <w:tcW w:w="1000" w:type="dxa"/>
            <w:tcBorders>
              <w:top w:val="nil"/>
              <w:left w:val="nil"/>
              <w:bottom w:val="single" w:sz="4" w:space="0" w:color="auto"/>
              <w:right w:val="single" w:sz="4" w:space="0" w:color="auto"/>
            </w:tcBorders>
            <w:shd w:val="clear" w:color="auto" w:fill="auto"/>
            <w:noWrap/>
            <w:vAlign w:val="bottom"/>
            <w:hideMark/>
          </w:tcPr>
          <w:p w14:paraId="11678B90"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16.50%</w:t>
            </w:r>
          </w:p>
        </w:tc>
        <w:tc>
          <w:tcPr>
            <w:tcW w:w="1000" w:type="dxa"/>
            <w:tcBorders>
              <w:top w:val="nil"/>
              <w:left w:val="nil"/>
              <w:bottom w:val="single" w:sz="4" w:space="0" w:color="auto"/>
              <w:right w:val="single" w:sz="4" w:space="0" w:color="auto"/>
            </w:tcBorders>
            <w:shd w:val="clear" w:color="auto" w:fill="auto"/>
            <w:noWrap/>
            <w:vAlign w:val="bottom"/>
            <w:hideMark/>
          </w:tcPr>
          <w:p w14:paraId="4C61D27A" w14:textId="33C4E743" w:rsidR="00F66B17" w:rsidRPr="0048253D" w:rsidRDefault="00F66B17" w:rsidP="004E084E">
            <w:pPr>
              <w:spacing w:after="0" w:line="360" w:lineRule="auto"/>
              <w:jc w:val="right"/>
              <w:rPr>
                <w:rFonts w:ascii="Calibri" w:eastAsia="Times New Roman" w:hAnsi="Calibri" w:cs="Calibri"/>
                <w:lang w:eastAsia="en-GB"/>
              </w:rPr>
            </w:pPr>
            <w:r w:rsidRPr="0048253D">
              <w:rPr>
                <w:rFonts w:ascii="Calibri" w:eastAsia="Times New Roman" w:hAnsi="Calibri" w:cs="Calibri"/>
                <w:lang w:eastAsia="en-GB"/>
              </w:rPr>
              <w:t> </w:t>
            </w:r>
            <w:r w:rsidR="00DA6FAB" w:rsidRPr="0048253D">
              <w:rPr>
                <w:rFonts w:ascii="Calibri" w:eastAsia="Times New Roman" w:hAnsi="Calibri" w:cs="Calibri"/>
                <w:lang w:eastAsia="en-GB"/>
              </w:rPr>
              <w:t>121%</w:t>
            </w:r>
          </w:p>
        </w:tc>
        <w:tc>
          <w:tcPr>
            <w:tcW w:w="1000" w:type="dxa"/>
            <w:tcBorders>
              <w:top w:val="nil"/>
              <w:left w:val="nil"/>
              <w:bottom w:val="single" w:sz="4" w:space="0" w:color="auto"/>
              <w:right w:val="single" w:sz="4" w:space="0" w:color="auto"/>
            </w:tcBorders>
            <w:shd w:val="clear" w:color="auto" w:fill="auto"/>
            <w:noWrap/>
            <w:vAlign w:val="bottom"/>
            <w:hideMark/>
          </w:tcPr>
          <w:p w14:paraId="5FD470E1" w14:textId="77777777" w:rsidR="00F66B17" w:rsidRPr="0048253D" w:rsidRDefault="00F66B17" w:rsidP="004E084E">
            <w:pPr>
              <w:spacing w:after="0" w:line="360" w:lineRule="auto"/>
              <w:jc w:val="right"/>
              <w:rPr>
                <w:rFonts w:ascii="Calibri" w:eastAsia="Times New Roman" w:hAnsi="Calibri" w:cs="Calibri"/>
                <w:lang w:eastAsia="en-GB"/>
              </w:rPr>
            </w:pPr>
            <w:r w:rsidRPr="0048253D">
              <w:rPr>
                <w:rFonts w:ascii="Calibri" w:eastAsia="Times New Roman" w:hAnsi="Calibri" w:cs="Calibri"/>
                <w:lang w:eastAsia="en-GB"/>
              </w:rPr>
              <w:t>55.30%</w:t>
            </w:r>
          </w:p>
        </w:tc>
        <w:tc>
          <w:tcPr>
            <w:tcW w:w="1080" w:type="dxa"/>
            <w:tcBorders>
              <w:top w:val="nil"/>
              <w:left w:val="nil"/>
              <w:bottom w:val="single" w:sz="4" w:space="0" w:color="auto"/>
              <w:right w:val="single" w:sz="4" w:space="0" w:color="auto"/>
            </w:tcBorders>
            <w:shd w:val="clear" w:color="auto" w:fill="auto"/>
            <w:noWrap/>
            <w:vAlign w:val="bottom"/>
            <w:hideMark/>
          </w:tcPr>
          <w:p w14:paraId="73FB4A6A"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107%</w:t>
            </w:r>
          </w:p>
        </w:tc>
        <w:tc>
          <w:tcPr>
            <w:tcW w:w="1000" w:type="dxa"/>
            <w:tcBorders>
              <w:top w:val="nil"/>
              <w:left w:val="nil"/>
              <w:bottom w:val="single" w:sz="4" w:space="0" w:color="auto"/>
              <w:right w:val="single" w:sz="4" w:space="0" w:color="auto"/>
            </w:tcBorders>
            <w:shd w:val="clear" w:color="auto" w:fill="auto"/>
            <w:noWrap/>
            <w:vAlign w:val="bottom"/>
            <w:hideMark/>
          </w:tcPr>
          <w:p w14:paraId="0A62CD2E"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3.00%</w:t>
            </w:r>
          </w:p>
        </w:tc>
      </w:tr>
      <w:tr w:rsidR="00F66B17" w:rsidRPr="00F66B17" w14:paraId="3B7E9323" w14:textId="77777777" w:rsidTr="00F66B17">
        <w:trPr>
          <w:trHeight w:val="288"/>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677A1B6A" w14:textId="77777777" w:rsidR="00F66B17" w:rsidRPr="00F66B17" w:rsidRDefault="00F66B17" w:rsidP="004E084E">
            <w:pPr>
              <w:spacing w:after="0" w:line="360" w:lineRule="auto"/>
              <w:jc w:val="right"/>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2015</w:t>
            </w:r>
          </w:p>
        </w:tc>
        <w:tc>
          <w:tcPr>
            <w:tcW w:w="1000" w:type="dxa"/>
            <w:tcBorders>
              <w:top w:val="nil"/>
              <w:left w:val="nil"/>
              <w:bottom w:val="single" w:sz="4" w:space="0" w:color="auto"/>
              <w:right w:val="single" w:sz="4" w:space="0" w:color="auto"/>
            </w:tcBorders>
            <w:shd w:val="clear" w:color="auto" w:fill="auto"/>
            <w:noWrap/>
            <w:vAlign w:val="bottom"/>
            <w:hideMark/>
          </w:tcPr>
          <w:p w14:paraId="527AAA11"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LLOYDS</w:t>
            </w:r>
          </w:p>
        </w:tc>
        <w:tc>
          <w:tcPr>
            <w:tcW w:w="1000" w:type="dxa"/>
            <w:tcBorders>
              <w:top w:val="nil"/>
              <w:left w:val="nil"/>
              <w:bottom w:val="single" w:sz="4" w:space="0" w:color="auto"/>
              <w:right w:val="single" w:sz="4" w:space="0" w:color="auto"/>
            </w:tcBorders>
            <w:shd w:val="clear" w:color="auto" w:fill="auto"/>
            <w:noWrap/>
            <w:vAlign w:val="bottom"/>
            <w:hideMark/>
          </w:tcPr>
          <w:p w14:paraId="46DB31FB"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16.40%</w:t>
            </w:r>
          </w:p>
        </w:tc>
        <w:tc>
          <w:tcPr>
            <w:tcW w:w="1000" w:type="dxa"/>
            <w:tcBorders>
              <w:top w:val="nil"/>
              <w:left w:val="nil"/>
              <w:bottom w:val="single" w:sz="4" w:space="0" w:color="auto"/>
              <w:right w:val="single" w:sz="4" w:space="0" w:color="auto"/>
            </w:tcBorders>
            <w:shd w:val="clear" w:color="auto" w:fill="auto"/>
            <w:noWrap/>
            <w:vAlign w:val="bottom"/>
            <w:hideMark/>
          </w:tcPr>
          <w:p w14:paraId="621941EC" w14:textId="77777777" w:rsidR="00F66B17" w:rsidRPr="0048253D" w:rsidRDefault="00F66B17" w:rsidP="004E084E">
            <w:pPr>
              <w:spacing w:after="0" w:line="360" w:lineRule="auto"/>
              <w:jc w:val="right"/>
              <w:rPr>
                <w:rFonts w:ascii="Calibri" w:eastAsia="Times New Roman" w:hAnsi="Calibri" w:cs="Calibri"/>
                <w:lang w:eastAsia="en-GB"/>
              </w:rPr>
            </w:pPr>
            <w:r w:rsidRPr="0048253D">
              <w:rPr>
                <w:rFonts w:ascii="Calibri" w:eastAsia="Times New Roman" w:hAnsi="Calibri" w:cs="Calibri"/>
                <w:lang w:eastAsia="en-GB"/>
              </w:rPr>
              <w:t>123%</w:t>
            </w:r>
          </w:p>
        </w:tc>
        <w:tc>
          <w:tcPr>
            <w:tcW w:w="1000" w:type="dxa"/>
            <w:tcBorders>
              <w:top w:val="nil"/>
              <w:left w:val="nil"/>
              <w:bottom w:val="single" w:sz="4" w:space="0" w:color="auto"/>
              <w:right w:val="single" w:sz="4" w:space="0" w:color="auto"/>
            </w:tcBorders>
            <w:shd w:val="clear" w:color="auto" w:fill="auto"/>
            <w:noWrap/>
            <w:vAlign w:val="bottom"/>
            <w:hideMark/>
          </w:tcPr>
          <w:p w14:paraId="7E02EF78" w14:textId="77777777" w:rsidR="00F66B17" w:rsidRPr="0048253D" w:rsidRDefault="00F66B17" w:rsidP="004E084E">
            <w:pPr>
              <w:spacing w:after="0" w:line="360" w:lineRule="auto"/>
              <w:jc w:val="right"/>
              <w:rPr>
                <w:rFonts w:ascii="Calibri" w:eastAsia="Times New Roman" w:hAnsi="Calibri" w:cs="Calibri"/>
                <w:lang w:eastAsia="en-GB"/>
              </w:rPr>
            </w:pPr>
            <w:r w:rsidRPr="0048253D">
              <w:rPr>
                <w:rFonts w:ascii="Calibri" w:eastAsia="Times New Roman" w:hAnsi="Calibri" w:cs="Calibri"/>
                <w:lang w:eastAsia="en-GB"/>
              </w:rPr>
              <w:t>54.20%</w:t>
            </w:r>
          </w:p>
        </w:tc>
        <w:tc>
          <w:tcPr>
            <w:tcW w:w="1080" w:type="dxa"/>
            <w:tcBorders>
              <w:top w:val="nil"/>
              <w:left w:val="nil"/>
              <w:bottom w:val="single" w:sz="4" w:space="0" w:color="auto"/>
              <w:right w:val="single" w:sz="4" w:space="0" w:color="auto"/>
            </w:tcBorders>
            <w:shd w:val="clear" w:color="auto" w:fill="auto"/>
            <w:noWrap/>
            <w:vAlign w:val="bottom"/>
            <w:hideMark/>
          </w:tcPr>
          <w:p w14:paraId="51A9CEA5"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107%</w:t>
            </w:r>
          </w:p>
        </w:tc>
        <w:tc>
          <w:tcPr>
            <w:tcW w:w="1000" w:type="dxa"/>
            <w:tcBorders>
              <w:top w:val="nil"/>
              <w:left w:val="nil"/>
              <w:bottom w:val="single" w:sz="4" w:space="0" w:color="auto"/>
              <w:right w:val="single" w:sz="4" w:space="0" w:color="auto"/>
            </w:tcBorders>
            <w:shd w:val="clear" w:color="auto" w:fill="auto"/>
            <w:noWrap/>
            <w:vAlign w:val="bottom"/>
            <w:hideMark/>
          </w:tcPr>
          <w:p w14:paraId="7A697A1D"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2.03%</w:t>
            </w:r>
          </w:p>
        </w:tc>
      </w:tr>
      <w:tr w:rsidR="00F66B17" w:rsidRPr="00F66B17" w14:paraId="61A1BB38" w14:textId="77777777" w:rsidTr="00F66B17">
        <w:trPr>
          <w:trHeight w:val="288"/>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01DF6F13" w14:textId="77777777" w:rsidR="00F66B17" w:rsidRPr="00F66B17" w:rsidRDefault="00F66B17" w:rsidP="004E084E">
            <w:pPr>
              <w:spacing w:after="0" w:line="360" w:lineRule="auto"/>
              <w:jc w:val="right"/>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2016</w:t>
            </w:r>
          </w:p>
        </w:tc>
        <w:tc>
          <w:tcPr>
            <w:tcW w:w="1000" w:type="dxa"/>
            <w:tcBorders>
              <w:top w:val="nil"/>
              <w:left w:val="nil"/>
              <w:bottom w:val="single" w:sz="4" w:space="0" w:color="auto"/>
              <w:right w:val="single" w:sz="4" w:space="0" w:color="auto"/>
            </w:tcBorders>
            <w:shd w:val="clear" w:color="auto" w:fill="auto"/>
            <w:noWrap/>
            <w:vAlign w:val="bottom"/>
            <w:hideMark/>
          </w:tcPr>
          <w:p w14:paraId="73B4D8B5"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LLOYDS</w:t>
            </w:r>
          </w:p>
        </w:tc>
        <w:tc>
          <w:tcPr>
            <w:tcW w:w="1000" w:type="dxa"/>
            <w:tcBorders>
              <w:top w:val="nil"/>
              <w:left w:val="nil"/>
              <w:bottom w:val="single" w:sz="4" w:space="0" w:color="auto"/>
              <w:right w:val="single" w:sz="4" w:space="0" w:color="auto"/>
            </w:tcBorders>
            <w:shd w:val="clear" w:color="auto" w:fill="auto"/>
            <w:noWrap/>
            <w:vAlign w:val="bottom"/>
            <w:hideMark/>
          </w:tcPr>
          <w:p w14:paraId="7BEA896B"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17%</w:t>
            </w:r>
          </w:p>
        </w:tc>
        <w:tc>
          <w:tcPr>
            <w:tcW w:w="1000" w:type="dxa"/>
            <w:tcBorders>
              <w:top w:val="nil"/>
              <w:left w:val="nil"/>
              <w:bottom w:val="single" w:sz="4" w:space="0" w:color="auto"/>
              <w:right w:val="single" w:sz="4" w:space="0" w:color="auto"/>
            </w:tcBorders>
            <w:shd w:val="clear" w:color="auto" w:fill="auto"/>
            <w:noWrap/>
            <w:vAlign w:val="bottom"/>
            <w:hideMark/>
          </w:tcPr>
          <w:p w14:paraId="6FA6D3C4" w14:textId="77777777" w:rsidR="00F66B17" w:rsidRPr="0048253D" w:rsidRDefault="00F66B17" w:rsidP="004E084E">
            <w:pPr>
              <w:spacing w:after="0" w:line="360" w:lineRule="auto"/>
              <w:jc w:val="right"/>
              <w:rPr>
                <w:rFonts w:ascii="Calibri" w:eastAsia="Times New Roman" w:hAnsi="Calibri" w:cs="Calibri"/>
                <w:lang w:eastAsia="en-GB"/>
              </w:rPr>
            </w:pPr>
            <w:r w:rsidRPr="0048253D">
              <w:rPr>
                <w:rFonts w:ascii="Calibri" w:eastAsia="Times New Roman" w:hAnsi="Calibri" w:cs="Calibri"/>
                <w:lang w:eastAsia="en-GB"/>
              </w:rPr>
              <w:t>121%</w:t>
            </w:r>
          </w:p>
        </w:tc>
        <w:tc>
          <w:tcPr>
            <w:tcW w:w="1000" w:type="dxa"/>
            <w:tcBorders>
              <w:top w:val="nil"/>
              <w:left w:val="nil"/>
              <w:bottom w:val="single" w:sz="4" w:space="0" w:color="auto"/>
              <w:right w:val="single" w:sz="4" w:space="0" w:color="auto"/>
            </w:tcBorders>
            <w:shd w:val="clear" w:color="auto" w:fill="auto"/>
            <w:noWrap/>
            <w:vAlign w:val="bottom"/>
            <w:hideMark/>
          </w:tcPr>
          <w:p w14:paraId="6E16F6D1" w14:textId="77777777" w:rsidR="00F66B17" w:rsidRPr="0048253D" w:rsidRDefault="00F66B17" w:rsidP="004E084E">
            <w:pPr>
              <w:spacing w:after="0" w:line="360" w:lineRule="auto"/>
              <w:jc w:val="right"/>
              <w:rPr>
                <w:rFonts w:ascii="Calibri" w:eastAsia="Times New Roman" w:hAnsi="Calibri" w:cs="Calibri"/>
                <w:lang w:eastAsia="en-GB"/>
              </w:rPr>
            </w:pPr>
            <w:r w:rsidRPr="0048253D">
              <w:rPr>
                <w:rFonts w:ascii="Calibri" w:eastAsia="Times New Roman" w:hAnsi="Calibri" w:cs="Calibri"/>
                <w:lang w:eastAsia="en-GB"/>
              </w:rPr>
              <w:t>55.30%</w:t>
            </w:r>
          </w:p>
        </w:tc>
        <w:tc>
          <w:tcPr>
            <w:tcW w:w="1080" w:type="dxa"/>
            <w:tcBorders>
              <w:top w:val="nil"/>
              <w:left w:val="nil"/>
              <w:bottom w:val="single" w:sz="4" w:space="0" w:color="auto"/>
              <w:right w:val="single" w:sz="4" w:space="0" w:color="auto"/>
            </w:tcBorders>
            <w:shd w:val="clear" w:color="auto" w:fill="auto"/>
            <w:noWrap/>
            <w:vAlign w:val="bottom"/>
            <w:hideMark/>
          </w:tcPr>
          <w:p w14:paraId="0207B06F"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109%</w:t>
            </w:r>
          </w:p>
        </w:tc>
        <w:tc>
          <w:tcPr>
            <w:tcW w:w="1000" w:type="dxa"/>
            <w:tcBorders>
              <w:top w:val="nil"/>
              <w:left w:val="nil"/>
              <w:bottom w:val="single" w:sz="4" w:space="0" w:color="auto"/>
              <w:right w:val="single" w:sz="4" w:space="0" w:color="auto"/>
            </w:tcBorders>
            <w:shd w:val="clear" w:color="auto" w:fill="auto"/>
            <w:noWrap/>
            <w:vAlign w:val="bottom"/>
            <w:hideMark/>
          </w:tcPr>
          <w:p w14:paraId="7C083337"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4.47%</w:t>
            </w:r>
          </w:p>
        </w:tc>
      </w:tr>
      <w:tr w:rsidR="00F66B17" w:rsidRPr="00F66B17" w14:paraId="38171830" w14:textId="77777777" w:rsidTr="00F66B17">
        <w:trPr>
          <w:trHeight w:val="288"/>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14983607" w14:textId="77777777" w:rsidR="00F66B17" w:rsidRPr="00F66B17" w:rsidRDefault="00F66B17" w:rsidP="004E084E">
            <w:pPr>
              <w:spacing w:after="0" w:line="360" w:lineRule="auto"/>
              <w:jc w:val="right"/>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2017</w:t>
            </w:r>
          </w:p>
        </w:tc>
        <w:tc>
          <w:tcPr>
            <w:tcW w:w="1000" w:type="dxa"/>
            <w:tcBorders>
              <w:top w:val="nil"/>
              <w:left w:val="nil"/>
              <w:bottom w:val="single" w:sz="4" w:space="0" w:color="auto"/>
              <w:right w:val="single" w:sz="4" w:space="0" w:color="auto"/>
            </w:tcBorders>
            <w:shd w:val="clear" w:color="auto" w:fill="auto"/>
            <w:noWrap/>
            <w:vAlign w:val="bottom"/>
            <w:hideMark/>
          </w:tcPr>
          <w:p w14:paraId="2E5D667D"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LLOYDS</w:t>
            </w:r>
          </w:p>
        </w:tc>
        <w:tc>
          <w:tcPr>
            <w:tcW w:w="1000" w:type="dxa"/>
            <w:tcBorders>
              <w:top w:val="nil"/>
              <w:left w:val="nil"/>
              <w:bottom w:val="single" w:sz="4" w:space="0" w:color="auto"/>
              <w:right w:val="single" w:sz="4" w:space="0" w:color="auto"/>
            </w:tcBorders>
            <w:shd w:val="clear" w:color="auto" w:fill="auto"/>
            <w:noWrap/>
            <w:vAlign w:val="bottom"/>
            <w:hideMark/>
          </w:tcPr>
          <w:p w14:paraId="503188E0"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17.20%</w:t>
            </w:r>
          </w:p>
        </w:tc>
        <w:tc>
          <w:tcPr>
            <w:tcW w:w="1000" w:type="dxa"/>
            <w:tcBorders>
              <w:top w:val="nil"/>
              <w:left w:val="nil"/>
              <w:bottom w:val="single" w:sz="4" w:space="0" w:color="auto"/>
              <w:right w:val="single" w:sz="4" w:space="0" w:color="auto"/>
            </w:tcBorders>
            <w:shd w:val="clear" w:color="auto" w:fill="auto"/>
            <w:noWrap/>
            <w:vAlign w:val="bottom"/>
            <w:hideMark/>
          </w:tcPr>
          <w:p w14:paraId="175CCD73" w14:textId="77777777" w:rsidR="00F66B17" w:rsidRPr="0048253D" w:rsidRDefault="00F66B17" w:rsidP="004E084E">
            <w:pPr>
              <w:spacing w:after="0" w:line="360" w:lineRule="auto"/>
              <w:jc w:val="right"/>
              <w:rPr>
                <w:rFonts w:ascii="Calibri" w:eastAsia="Times New Roman" w:hAnsi="Calibri" w:cs="Calibri"/>
                <w:lang w:eastAsia="en-GB"/>
              </w:rPr>
            </w:pPr>
            <w:r w:rsidRPr="0048253D">
              <w:rPr>
                <w:rFonts w:ascii="Calibri" w:eastAsia="Times New Roman" w:hAnsi="Calibri" w:cs="Calibri"/>
                <w:lang w:eastAsia="en-GB"/>
              </w:rPr>
              <w:t>127%</w:t>
            </w:r>
          </w:p>
        </w:tc>
        <w:tc>
          <w:tcPr>
            <w:tcW w:w="1000" w:type="dxa"/>
            <w:tcBorders>
              <w:top w:val="nil"/>
              <w:left w:val="nil"/>
              <w:bottom w:val="single" w:sz="4" w:space="0" w:color="auto"/>
              <w:right w:val="single" w:sz="4" w:space="0" w:color="auto"/>
            </w:tcBorders>
            <w:shd w:val="clear" w:color="auto" w:fill="auto"/>
            <w:noWrap/>
            <w:vAlign w:val="bottom"/>
            <w:hideMark/>
          </w:tcPr>
          <w:p w14:paraId="5E42609C" w14:textId="77777777" w:rsidR="00F66B17" w:rsidRPr="0048253D" w:rsidRDefault="00F66B17" w:rsidP="004E084E">
            <w:pPr>
              <w:spacing w:after="0" w:line="360" w:lineRule="auto"/>
              <w:jc w:val="right"/>
              <w:rPr>
                <w:rFonts w:ascii="Calibri" w:eastAsia="Times New Roman" w:hAnsi="Calibri" w:cs="Calibri"/>
                <w:lang w:eastAsia="en-GB"/>
              </w:rPr>
            </w:pPr>
            <w:r w:rsidRPr="0048253D">
              <w:rPr>
                <w:rFonts w:ascii="Calibri" w:eastAsia="Times New Roman" w:hAnsi="Calibri" w:cs="Calibri"/>
                <w:lang w:eastAsia="en-GB"/>
              </w:rPr>
              <w:t>51.80%</w:t>
            </w:r>
          </w:p>
        </w:tc>
        <w:tc>
          <w:tcPr>
            <w:tcW w:w="1080" w:type="dxa"/>
            <w:tcBorders>
              <w:top w:val="nil"/>
              <w:left w:val="nil"/>
              <w:bottom w:val="single" w:sz="4" w:space="0" w:color="auto"/>
              <w:right w:val="single" w:sz="4" w:space="0" w:color="auto"/>
            </w:tcBorders>
            <w:shd w:val="clear" w:color="auto" w:fill="auto"/>
            <w:noWrap/>
            <w:vAlign w:val="bottom"/>
            <w:hideMark/>
          </w:tcPr>
          <w:p w14:paraId="3381247A"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109%</w:t>
            </w:r>
          </w:p>
        </w:tc>
        <w:tc>
          <w:tcPr>
            <w:tcW w:w="1000" w:type="dxa"/>
            <w:tcBorders>
              <w:top w:val="nil"/>
              <w:left w:val="nil"/>
              <w:bottom w:val="single" w:sz="4" w:space="0" w:color="auto"/>
              <w:right w:val="single" w:sz="4" w:space="0" w:color="auto"/>
            </w:tcBorders>
            <w:shd w:val="clear" w:color="auto" w:fill="auto"/>
            <w:noWrap/>
            <w:vAlign w:val="bottom"/>
            <w:hideMark/>
          </w:tcPr>
          <w:p w14:paraId="7C61340F"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7.93%</w:t>
            </w:r>
          </w:p>
        </w:tc>
      </w:tr>
      <w:tr w:rsidR="00F66B17" w:rsidRPr="00F66B17" w14:paraId="5F561B3A" w14:textId="77777777" w:rsidTr="00F66B17">
        <w:trPr>
          <w:trHeight w:val="288"/>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6907C346" w14:textId="77777777" w:rsidR="00F66B17" w:rsidRPr="00F66B17" w:rsidRDefault="00F66B17" w:rsidP="004E084E">
            <w:pPr>
              <w:spacing w:after="0" w:line="360" w:lineRule="auto"/>
              <w:jc w:val="right"/>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2018</w:t>
            </w:r>
          </w:p>
        </w:tc>
        <w:tc>
          <w:tcPr>
            <w:tcW w:w="1000" w:type="dxa"/>
            <w:tcBorders>
              <w:top w:val="nil"/>
              <w:left w:val="nil"/>
              <w:bottom w:val="single" w:sz="4" w:space="0" w:color="auto"/>
              <w:right w:val="single" w:sz="4" w:space="0" w:color="auto"/>
            </w:tcBorders>
            <w:shd w:val="clear" w:color="auto" w:fill="auto"/>
            <w:noWrap/>
            <w:vAlign w:val="bottom"/>
            <w:hideMark/>
          </w:tcPr>
          <w:p w14:paraId="69DB4C76"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LLOYDS</w:t>
            </w:r>
          </w:p>
        </w:tc>
        <w:tc>
          <w:tcPr>
            <w:tcW w:w="1000" w:type="dxa"/>
            <w:tcBorders>
              <w:top w:val="nil"/>
              <w:left w:val="nil"/>
              <w:bottom w:val="single" w:sz="4" w:space="0" w:color="auto"/>
              <w:right w:val="single" w:sz="4" w:space="0" w:color="auto"/>
            </w:tcBorders>
            <w:shd w:val="clear" w:color="auto" w:fill="auto"/>
            <w:noWrap/>
            <w:vAlign w:val="bottom"/>
            <w:hideMark/>
          </w:tcPr>
          <w:p w14:paraId="1D114A9F"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18.20%</w:t>
            </w:r>
          </w:p>
        </w:tc>
        <w:tc>
          <w:tcPr>
            <w:tcW w:w="1000" w:type="dxa"/>
            <w:tcBorders>
              <w:top w:val="nil"/>
              <w:left w:val="nil"/>
              <w:bottom w:val="single" w:sz="4" w:space="0" w:color="auto"/>
              <w:right w:val="single" w:sz="4" w:space="0" w:color="auto"/>
            </w:tcBorders>
            <w:shd w:val="clear" w:color="auto" w:fill="auto"/>
            <w:noWrap/>
            <w:vAlign w:val="bottom"/>
            <w:hideMark/>
          </w:tcPr>
          <w:p w14:paraId="3B6883FD"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130%</w:t>
            </w:r>
          </w:p>
        </w:tc>
        <w:tc>
          <w:tcPr>
            <w:tcW w:w="1000" w:type="dxa"/>
            <w:tcBorders>
              <w:top w:val="nil"/>
              <w:left w:val="nil"/>
              <w:bottom w:val="single" w:sz="4" w:space="0" w:color="auto"/>
              <w:right w:val="single" w:sz="4" w:space="0" w:color="auto"/>
            </w:tcBorders>
            <w:shd w:val="clear" w:color="auto" w:fill="auto"/>
            <w:noWrap/>
            <w:vAlign w:val="bottom"/>
            <w:hideMark/>
          </w:tcPr>
          <w:p w14:paraId="339C4CAA"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49.30%</w:t>
            </w:r>
          </w:p>
        </w:tc>
        <w:tc>
          <w:tcPr>
            <w:tcW w:w="1080" w:type="dxa"/>
            <w:tcBorders>
              <w:top w:val="nil"/>
              <w:left w:val="nil"/>
              <w:bottom w:val="single" w:sz="4" w:space="0" w:color="auto"/>
              <w:right w:val="single" w:sz="4" w:space="0" w:color="auto"/>
            </w:tcBorders>
            <w:shd w:val="clear" w:color="auto" w:fill="auto"/>
            <w:noWrap/>
            <w:vAlign w:val="bottom"/>
            <w:hideMark/>
          </w:tcPr>
          <w:p w14:paraId="0E35E1BD"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107%</w:t>
            </w:r>
          </w:p>
        </w:tc>
        <w:tc>
          <w:tcPr>
            <w:tcW w:w="1000" w:type="dxa"/>
            <w:tcBorders>
              <w:top w:val="nil"/>
              <w:left w:val="nil"/>
              <w:bottom w:val="single" w:sz="4" w:space="0" w:color="auto"/>
              <w:right w:val="single" w:sz="4" w:space="0" w:color="auto"/>
            </w:tcBorders>
            <w:shd w:val="clear" w:color="auto" w:fill="auto"/>
            <w:noWrap/>
            <w:vAlign w:val="bottom"/>
            <w:hideMark/>
          </w:tcPr>
          <w:p w14:paraId="4421CA2E"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8.77%</w:t>
            </w:r>
          </w:p>
        </w:tc>
      </w:tr>
      <w:tr w:rsidR="00F66B17" w:rsidRPr="00F66B17" w14:paraId="6F5E75E3" w14:textId="77777777" w:rsidTr="00F66B17">
        <w:trPr>
          <w:trHeight w:val="288"/>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055F7C15" w14:textId="77777777" w:rsidR="00F66B17" w:rsidRPr="00F66B17" w:rsidRDefault="00F66B17" w:rsidP="004E084E">
            <w:pPr>
              <w:spacing w:after="0" w:line="360" w:lineRule="auto"/>
              <w:jc w:val="right"/>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2014</w:t>
            </w:r>
          </w:p>
        </w:tc>
        <w:tc>
          <w:tcPr>
            <w:tcW w:w="1000" w:type="dxa"/>
            <w:tcBorders>
              <w:top w:val="nil"/>
              <w:left w:val="nil"/>
              <w:bottom w:val="single" w:sz="4" w:space="0" w:color="auto"/>
              <w:right w:val="single" w:sz="4" w:space="0" w:color="auto"/>
            </w:tcBorders>
            <w:shd w:val="clear" w:color="auto" w:fill="auto"/>
            <w:noWrap/>
            <w:vAlign w:val="bottom"/>
            <w:hideMark/>
          </w:tcPr>
          <w:p w14:paraId="3B27D658"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RBS</w:t>
            </w:r>
          </w:p>
        </w:tc>
        <w:tc>
          <w:tcPr>
            <w:tcW w:w="1000" w:type="dxa"/>
            <w:tcBorders>
              <w:top w:val="nil"/>
              <w:left w:val="nil"/>
              <w:bottom w:val="single" w:sz="4" w:space="0" w:color="auto"/>
              <w:right w:val="single" w:sz="4" w:space="0" w:color="auto"/>
            </w:tcBorders>
            <w:shd w:val="clear" w:color="auto" w:fill="auto"/>
            <w:noWrap/>
            <w:vAlign w:val="bottom"/>
            <w:hideMark/>
          </w:tcPr>
          <w:p w14:paraId="0256C7F6"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13.90%</w:t>
            </w:r>
          </w:p>
        </w:tc>
        <w:tc>
          <w:tcPr>
            <w:tcW w:w="1000" w:type="dxa"/>
            <w:tcBorders>
              <w:top w:val="nil"/>
              <w:left w:val="nil"/>
              <w:bottom w:val="single" w:sz="4" w:space="0" w:color="auto"/>
              <w:right w:val="single" w:sz="4" w:space="0" w:color="auto"/>
            </w:tcBorders>
            <w:shd w:val="clear" w:color="auto" w:fill="auto"/>
            <w:noWrap/>
            <w:vAlign w:val="bottom"/>
            <w:hideMark/>
          </w:tcPr>
          <w:p w14:paraId="5641E19D"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112%</w:t>
            </w:r>
          </w:p>
        </w:tc>
        <w:tc>
          <w:tcPr>
            <w:tcW w:w="1000" w:type="dxa"/>
            <w:tcBorders>
              <w:top w:val="nil"/>
              <w:left w:val="nil"/>
              <w:bottom w:val="single" w:sz="4" w:space="0" w:color="auto"/>
              <w:right w:val="single" w:sz="4" w:space="0" w:color="auto"/>
            </w:tcBorders>
            <w:shd w:val="clear" w:color="auto" w:fill="auto"/>
            <w:noWrap/>
            <w:vAlign w:val="bottom"/>
            <w:hideMark/>
          </w:tcPr>
          <w:p w14:paraId="38791530"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91%</w:t>
            </w:r>
          </w:p>
        </w:tc>
        <w:tc>
          <w:tcPr>
            <w:tcW w:w="1080" w:type="dxa"/>
            <w:tcBorders>
              <w:top w:val="nil"/>
              <w:left w:val="nil"/>
              <w:bottom w:val="single" w:sz="4" w:space="0" w:color="auto"/>
              <w:right w:val="single" w:sz="4" w:space="0" w:color="auto"/>
            </w:tcBorders>
            <w:shd w:val="clear" w:color="auto" w:fill="auto"/>
            <w:noWrap/>
            <w:vAlign w:val="bottom"/>
            <w:hideMark/>
          </w:tcPr>
          <w:p w14:paraId="182E920E"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95%</w:t>
            </w:r>
          </w:p>
        </w:tc>
        <w:tc>
          <w:tcPr>
            <w:tcW w:w="1000" w:type="dxa"/>
            <w:tcBorders>
              <w:top w:val="nil"/>
              <w:left w:val="nil"/>
              <w:bottom w:val="single" w:sz="4" w:space="0" w:color="auto"/>
              <w:right w:val="single" w:sz="4" w:space="0" w:color="auto"/>
            </w:tcBorders>
            <w:shd w:val="clear" w:color="auto" w:fill="auto"/>
            <w:noWrap/>
            <w:vAlign w:val="bottom"/>
            <w:hideMark/>
          </w:tcPr>
          <w:p w14:paraId="4DA5DEBA"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1.22%</w:t>
            </w:r>
          </w:p>
        </w:tc>
      </w:tr>
      <w:tr w:rsidR="00F66B17" w:rsidRPr="00F66B17" w14:paraId="7E6D291D" w14:textId="77777777" w:rsidTr="00F66B17">
        <w:trPr>
          <w:trHeight w:val="288"/>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15DD6A06" w14:textId="77777777" w:rsidR="00F66B17" w:rsidRPr="00F66B17" w:rsidRDefault="00F66B17" w:rsidP="004E084E">
            <w:pPr>
              <w:spacing w:after="0" w:line="360" w:lineRule="auto"/>
              <w:jc w:val="right"/>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2015</w:t>
            </w:r>
          </w:p>
        </w:tc>
        <w:tc>
          <w:tcPr>
            <w:tcW w:w="1000" w:type="dxa"/>
            <w:tcBorders>
              <w:top w:val="nil"/>
              <w:left w:val="nil"/>
              <w:bottom w:val="single" w:sz="4" w:space="0" w:color="auto"/>
              <w:right w:val="single" w:sz="4" w:space="0" w:color="auto"/>
            </w:tcBorders>
            <w:shd w:val="clear" w:color="auto" w:fill="auto"/>
            <w:noWrap/>
            <w:vAlign w:val="bottom"/>
            <w:hideMark/>
          </w:tcPr>
          <w:p w14:paraId="6A3912A9"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RBS</w:t>
            </w:r>
          </w:p>
        </w:tc>
        <w:tc>
          <w:tcPr>
            <w:tcW w:w="1000" w:type="dxa"/>
            <w:tcBorders>
              <w:top w:val="nil"/>
              <w:left w:val="nil"/>
              <w:bottom w:val="single" w:sz="4" w:space="0" w:color="auto"/>
              <w:right w:val="single" w:sz="4" w:space="0" w:color="auto"/>
            </w:tcBorders>
            <w:shd w:val="clear" w:color="auto" w:fill="auto"/>
            <w:noWrap/>
            <w:vAlign w:val="bottom"/>
            <w:hideMark/>
          </w:tcPr>
          <w:p w14:paraId="2A8DDD39"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17.10%</w:t>
            </w:r>
          </w:p>
        </w:tc>
        <w:tc>
          <w:tcPr>
            <w:tcW w:w="1000" w:type="dxa"/>
            <w:tcBorders>
              <w:top w:val="nil"/>
              <w:left w:val="nil"/>
              <w:bottom w:val="single" w:sz="4" w:space="0" w:color="auto"/>
              <w:right w:val="single" w:sz="4" w:space="0" w:color="auto"/>
            </w:tcBorders>
            <w:shd w:val="clear" w:color="auto" w:fill="auto"/>
            <w:noWrap/>
            <w:vAlign w:val="bottom"/>
            <w:hideMark/>
          </w:tcPr>
          <w:p w14:paraId="1F6CA8E7"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136%</w:t>
            </w:r>
          </w:p>
        </w:tc>
        <w:tc>
          <w:tcPr>
            <w:tcW w:w="1000" w:type="dxa"/>
            <w:tcBorders>
              <w:top w:val="nil"/>
              <w:left w:val="nil"/>
              <w:bottom w:val="single" w:sz="4" w:space="0" w:color="auto"/>
              <w:right w:val="single" w:sz="4" w:space="0" w:color="auto"/>
            </w:tcBorders>
            <w:shd w:val="clear" w:color="auto" w:fill="auto"/>
            <w:noWrap/>
            <w:vAlign w:val="bottom"/>
            <w:hideMark/>
          </w:tcPr>
          <w:p w14:paraId="26986D8D"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127%</w:t>
            </w:r>
          </w:p>
        </w:tc>
        <w:tc>
          <w:tcPr>
            <w:tcW w:w="1080" w:type="dxa"/>
            <w:tcBorders>
              <w:top w:val="nil"/>
              <w:left w:val="nil"/>
              <w:bottom w:val="single" w:sz="4" w:space="0" w:color="auto"/>
              <w:right w:val="single" w:sz="4" w:space="0" w:color="auto"/>
            </w:tcBorders>
            <w:shd w:val="clear" w:color="auto" w:fill="auto"/>
            <w:noWrap/>
            <w:vAlign w:val="bottom"/>
            <w:hideMark/>
          </w:tcPr>
          <w:p w14:paraId="40AF8693"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89%</w:t>
            </w:r>
          </w:p>
        </w:tc>
        <w:tc>
          <w:tcPr>
            <w:tcW w:w="1000" w:type="dxa"/>
            <w:tcBorders>
              <w:top w:val="nil"/>
              <w:left w:val="nil"/>
              <w:bottom w:val="single" w:sz="4" w:space="0" w:color="auto"/>
              <w:right w:val="single" w:sz="4" w:space="0" w:color="auto"/>
            </w:tcBorders>
            <w:shd w:val="clear" w:color="auto" w:fill="auto"/>
            <w:noWrap/>
            <w:vAlign w:val="bottom"/>
            <w:hideMark/>
          </w:tcPr>
          <w:p w14:paraId="28CA92C4"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-5.03%</w:t>
            </w:r>
          </w:p>
        </w:tc>
      </w:tr>
      <w:tr w:rsidR="00F66B17" w:rsidRPr="00F66B17" w14:paraId="68259F3B" w14:textId="77777777" w:rsidTr="00F66B17">
        <w:trPr>
          <w:trHeight w:val="288"/>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3CCF3B6A" w14:textId="77777777" w:rsidR="00F66B17" w:rsidRPr="00F66B17" w:rsidRDefault="00F66B17" w:rsidP="004E084E">
            <w:pPr>
              <w:spacing w:after="0" w:line="360" w:lineRule="auto"/>
              <w:jc w:val="right"/>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2016</w:t>
            </w:r>
          </w:p>
        </w:tc>
        <w:tc>
          <w:tcPr>
            <w:tcW w:w="1000" w:type="dxa"/>
            <w:tcBorders>
              <w:top w:val="nil"/>
              <w:left w:val="nil"/>
              <w:bottom w:val="single" w:sz="4" w:space="0" w:color="auto"/>
              <w:right w:val="single" w:sz="4" w:space="0" w:color="auto"/>
            </w:tcBorders>
            <w:shd w:val="clear" w:color="auto" w:fill="auto"/>
            <w:noWrap/>
            <w:vAlign w:val="bottom"/>
            <w:hideMark/>
          </w:tcPr>
          <w:p w14:paraId="75273157"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RBS</w:t>
            </w:r>
          </w:p>
        </w:tc>
        <w:tc>
          <w:tcPr>
            <w:tcW w:w="1000" w:type="dxa"/>
            <w:tcBorders>
              <w:top w:val="nil"/>
              <w:left w:val="nil"/>
              <w:bottom w:val="single" w:sz="4" w:space="0" w:color="auto"/>
              <w:right w:val="single" w:sz="4" w:space="0" w:color="auto"/>
            </w:tcBorders>
            <w:shd w:val="clear" w:color="auto" w:fill="auto"/>
            <w:noWrap/>
            <w:vAlign w:val="bottom"/>
            <w:hideMark/>
          </w:tcPr>
          <w:p w14:paraId="7B9CBCA8"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14.10%</w:t>
            </w:r>
          </w:p>
        </w:tc>
        <w:tc>
          <w:tcPr>
            <w:tcW w:w="1000" w:type="dxa"/>
            <w:tcBorders>
              <w:top w:val="nil"/>
              <w:left w:val="nil"/>
              <w:bottom w:val="single" w:sz="4" w:space="0" w:color="auto"/>
              <w:right w:val="single" w:sz="4" w:space="0" w:color="auto"/>
            </w:tcBorders>
            <w:shd w:val="clear" w:color="auto" w:fill="auto"/>
            <w:noWrap/>
            <w:vAlign w:val="bottom"/>
            <w:hideMark/>
          </w:tcPr>
          <w:p w14:paraId="46FE6228"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123%</w:t>
            </w:r>
          </w:p>
        </w:tc>
        <w:tc>
          <w:tcPr>
            <w:tcW w:w="1000" w:type="dxa"/>
            <w:tcBorders>
              <w:top w:val="nil"/>
              <w:left w:val="nil"/>
              <w:bottom w:val="single" w:sz="4" w:space="0" w:color="auto"/>
              <w:right w:val="single" w:sz="4" w:space="0" w:color="auto"/>
            </w:tcBorders>
            <w:shd w:val="clear" w:color="auto" w:fill="auto"/>
            <w:noWrap/>
            <w:vAlign w:val="bottom"/>
            <w:hideMark/>
          </w:tcPr>
          <w:p w14:paraId="28086C61"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129%</w:t>
            </w:r>
          </w:p>
        </w:tc>
        <w:tc>
          <w:tcPr>
            <w:tcW w:w="1080" w:type="dxa"/>
            <w:tcBorders>
              <w:top w:val="nil"/>
              <w:left w:val="nil"/>
              <w:bottom w:val="single" w:sz="4" w:space="0" w:color="auto"/>
              <w:right w:val="single" w:sz="4" w:space="0" w:color="auto"/>
            </w:tcBorders>
            <w:shd w:val="clear" w:color="auto" w:fill="auto"/>
            <w:noWrap/>
            <w:vAlign w:val="bottom"/>
            <w:hideMark/>
          </w:tcPr>
          <w:p w14:paraId="66328287"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91%</w:t>
            </w:r>
          </w:p>
        </w:tc>
        <w:tc>
          <w:tcPr>
            <w:tcW w:w="1000" w:type="dxa"/>
            <w:tcBorders>
              <w:top w:val="nil"/>
              <w:left w:val="nil"/>
              <w:bottom w:val="single" w:sz="4" w:space="0" w:color="auto"/>
              <w:right w:val="single" w:sz="4" w:space="0" w:color="auto"/>
            </w:tcBorders>
            <w:shd w:val="clear" w:color="auto" w:fill="auto"/>
            <w:noWrap/>
            <w:vAlign w:val="bottom"/>
            <w:hideMark/>
          </w:tcPr>
          <w:p w14:paraId="3AC66536"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-10.62%</w:t>
            </w:r>
          </w:p>
        </w:tc>
      </w:tr>
      <w:tr w:rsidR="00F66B17" w:rsidRPr="00F66B17" w14:paraId="3CDB0EB3" w14:textId="77777777" w:rsidTr="00F66B17">
        <w:trPr>
          <w:trHeight w:val="288"/>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065A99BE" w14:textId="77777777" w:rsidR="00F66B17" w:rsidRPr="00F66B17" w:rsidRDefault="00F66B17" w:rsidP="004E084E">
            <w:pPr>
              <w:spacing w:after="0" w:line="360" w:lineRule="auto"/>
              <w:jc w:val="right"/>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2017</w:t>
            </w:r>
          </w:p>
        </w:tc>
        <w:tc>
          <w:tcPr>
            <w:tcW w:w="1000" w:type="dxa"/>
            <w:tcBorders>
              <w:top w:val="nil"/>
              <w:left w:val="nil"/>
              <w:bottom w:val="single" w:sz="4" w:space="0" w:color="auto"/>
              <w:right w:val="single" w:sz="4" w:space="0" w:color="auto"/>
            </w:tcBorders>
            <w:shd w:val="clear" w:color="auto" w:fill="auto"/>
            <w:noWrap/>
            <w:vAlign w:val="bottom"/>
            <w:hideMark/>
          </w:tcPr>
          <w:p w14:paraId="5CC8B270"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RBS</w:t>
            </w:r>
          </w:p>
        </w:tc>
        <w:tc>
          <w:tcPr>
            <w:tcW w:w="1000" w:type="dxa"/>
            <w:tcBorders>
              <w:top w:val="nil"/>
              <w:left w:val="nil"/>
              <w:bottom w:val="single" w:sz="4" w:space="0" w:color="auto"/>
              <w:right w:val="single" w:sz="4" w:space="0" w:color="auto"/>
            </w:tcBorders>
            <w:shd w:val="clear" w:color="auto" w:fill="auto"/>
            <w:noWrap/>
            <w:vAlign w:val="bottom"/>
            <w:hideMark/>
          </w:tcPr>
          <w:p w14:paraId="1A72572B"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16.10%</w:t>
            </w:r>
          </w:p>
        </w:tc>
        <w:tc>
          <w:tcPr>
            <w:tcW w:w="1000" w:type="dxa"/>
            <w:tcBorders>
              <w:top w:val="nil"/>
              <w:left w:val="nil"/>
              <w:bottom w:val="single" w:sz="4" w:space="0" w:color="auto"/>
              <w:right w:val="single" w:sz="4" w:space="0" w:color="auto"/>
            </w:tcBorders>
            <w:shd w:val="clear" w:color="auto" w:fill="auto"/>
            <w:noWrap/>
            <w:vAlign w:val="bottom"/>
            <w:hideMark/>
          </w:tcPr>
          <w:p w14:paraId="2F86D65A"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152%</w:t>
            </w:r>
          </w:p>
        </w:tc>
        <w:tc>
          <w:tcPr>
            <w:tcW w:w="1000" w:type="dxa"/>
            <w:tcBorders>
              <w:top w:val="nil"/>
              <w:left w:val="nil"/>
              <w:bottom w:val="single" w:sz="4" w:space="0" w:color="auto"/>
              <w:right w:val="single" w:sz="4" w:space="0" w:color="auto"/>
            </w:tcBorders>
            <w:shd w:val="clear" w:color="auto" w:fill="auto"/>
            <w:noWrap/>
            <w:vAlign w:val="bottom"/>
            <w:hideMark/>
          </w:tcPr>
          <w:p w14:paraId="62DA0A58"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79%</w:t>
            </w:r>
          </w:p>
        </w:tc>
        <w:tc>
          <w:tcPr>
            <w:tcW w:w="1080" w:type="dxa"/>
            <w:tcBorders>
              <w:top w:val="nil"/>
              <w:left w:val="nil"/>
              <w:bottom w:val="single" w:sz="4" w:space="0" w:color="auto"/>
              <w:right w:val="single" w:sz="4" w:space="0" w:color="auto"/>
            </w:tcBorders>
            <w:shd w:val="clear" w:color="auto" w:fill="auto"/>
            <w:noWrap/>
            <w:vAlign w:val="bottom"/>
            <w:hideMark/>
          </w:tcPr>
          <w:p w14:paraId="61CBAF07"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86%</w:t>
            </w:r>
          </w:p>
        </w:tc>
        <w:tc>
          <w:tcPr>
            <w:tcW w:w="1000" w:type="dxa"/>
            <w:tcBorders>
              <w:top w:val="nil"/>
              <w:left w:val="nil"/>
              <w:bottom w:val="single" w:sz="4" w:space="0" w:color="auto"/>
              <w:right w:val="single" w:sz="4" w:space="0" w:color="auto"/>
            </w:tcBorders>
            <w:shd w:val="clear" w:color="auto" w:fill="auto"/>
            <w:noWrap/>
            <w:vAlign w:val="bottom"/>
            <w:hideMark/>
          </w:tcPr>
          <w:p w14:paraId="5E06904F"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2.88%</w:t>
            </w:r>
          </w:p>
        </w:tc>
      </w:tr>
      <w:tr w:rsidR="00F66B17" w:rsidRPr="00F66B17" w14:paraId="5ECA3300" w14:textId="77777777" w:rsidTr="00F66B17">
        <w:trPr>
          <w:trHeight w:val="288"/>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3ACFC75D" w14:textId="77777777" w:rsidR="00F66B17" w:rsidRPr="00F66B17" w:rsidRDefault="00F66B17" w:rsidP="004E084E">
            <w:pPr>
              <w:spacing w:after="0" w:line="360" w:lineRule="auto"/>
              <w:jc w:val="right"/>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2018</w:t>
            </w:r>
          </w:p>
        </w:tc>
        <w:tc>
          <w:tcPr>
            <w:tcW w:w="1000" w:type="dxa"/>
            <w:tcBorders>
              <w:top w:val="nil"/>
              <w:left w:val="nil"/>
              <w:bottom w:val="single" w:sz="4" w:space="0" w:color="auto"/>
              <w:right w:val="single" w:sz="4" w:space="0" w:color="auto"/>
            </w:tcBorders>
            <w:shd w:val="clear" w:color="auto" w:fill="auto"/>
            <w:noWrap/>
            <w:vAlign w:val="bottom"/>
            <w:hideMark/>
          </w:tcPr>
          <w:p w14:paraId="5020088F"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RBS</w:t>
            </w:r>
          </w:p>
        </w:tc>
        <w:tc>
          <w:tcPr>
            <w:tcW w:w="1000" w:type="dxa"/>
            <w:tcBorders>
              <w:top w:val="nil"/>
              <w:left w:val="nil"/>
              <w:bottom w:val="single" w:sz="4" w:space="0" w:color="auto"/>
              <w:right w:val="single" w:sz="4" w:space="0" w:color="auto"/>
            </w:tcBorders>
            <w:shd w:val="clear" w:color="auto" w:fill="auto"/>
            <w:noWrap/>
            <w:vAlign w:val="bottom"/>
            <w:hideMark/>
          </w:tcPr>
          <w:p w14:paraId="77F5449D"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16.20%</w:t>
            </w:r>
          </w:p>
        </w:tc>
        <w:tc>
          <w:tcPr>
            <w:tcW w:w="1000" w:type="dxa"/>
            <w:tcBorders>
              <w:top w:val="nil"/>
              <w:left w:val="nil"/>
              <w:bottom w:val="single" w:sz="4" w:space="0" w:color="auto"/>
              <w:right w:val="single" w:sz="4" w:space="0" w:color="auto"/>
            </w:tcBorders>
            <w:shd w:val="clear" w:color="auto" w:fill="auto"/>
            <w:noWrap/>
            <w:vAlign w:val="bottom"/>
            <w:hideMark/>
          </w:tcPr>
          <w:p w14:paraId="1756461B"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158%</w:t>
            </w:r>
          </w:p>
        </w:tc>
        <w:tc>
          <w:tcPr>
            <w:tcW w:w="1000" w:type="dxa"/>
            <w:tcBorders>
              <w:top w:val="nil"/>
              <w:left w:val="nil"/>
              <w:bottom w:val="single" w:sz="4" w:space="0" w:color="auto"/>
              <w:right w:val="single" w:sz="4" w:space="0" w:color="auto"/>
            </w:tcBorders>
            <w:shd w:val="clear" w:color="auto" w:fill="auto"/>
            <w:noWrap/>
            <w:vAlign w:val="bottom"/>
            <w:hideMark/>
          </w:tcPr>
          <w:p w14:paraId="63CC3214"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71.70%</w:t>
            </w:r>
          </w:p>
        </w:tc>
        <w:tc>
          <w:tcPr>
            <w:tcW w:w="1080" w:type="dxa"/>
            <w:tcBorders>
              <w:top w:val="nil"/>
              <w:left w:val="nil"/>
              <w:bottom w:val="single" w:sz="4" w:space="0" w:color="auto"/>
              <w:right w:val="single" w:sz="4" w:space="0" w:color="auto"/>
            </w:tcBorders>
            <w:shd w:val="clear" w:color="auto" w:fill="auto"/>
            <w:noWrap/>
            <w:vAlign w:val="bottom"/>
            <w:hideMark/>
          </w:tcPr>
          <w:p w14:paraId="2BAA12EB"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85%</w:t>
            </w:r>
          </w:p>
        </w:tc>
        <w:tc>
          <w:tcPr>
            <w:tcW w:w="1000" w:type="dxa"/>
            <w:tcBorders>
              <w:top w:val="nil"/>
              <w:left w:val="nil"/>
              <w:bottom w:val="single" w:sz="4" w:space="0" w:color="auto"/>
              <w:right w:val="single" w:sz="4" w:space="0" w:color="auto"/>
            </w:tcBorders>
            <w:shd w:val="clear" w:color="auto" w:fill="auto"/>
            <w:noWrap/>
            <w:vAlign w:val="bottom"/>
            <w:hideMark/>
          </w:tcPr>
          <w:p w14:paraId="36A47932"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4.48%</w:t>
            </w:r>
          </w:p>
        </w:tc>
      </w:tr>
    </w:tbl>
    <w:p w14:paraId="5BBAEB21" w14:textId="1CD2379A" w:rsidR="00F66B17" w:rsidRDefault="00F66B17" w:rsidP="004E084E">
      <w:pPr>
        <w:spacing w:line="360" w:lineRule="auto"/>
        <w:rPr>
          <w:rFonts w:cstheme="minorHAnsi"/>
          <w:color w:val="000000"/>
          <w:shd w:val="clear" w:color="auto" w:fill="FFFFFF"/>
        </w:rPr>
      </w:pPr>
    </w:p>
    <w:tbl>
      <w:tblPr>
        <w:tblW w:w="6000" w:type="dxa"/>
        <w:tblLook w:val="04A0" w:firstRow="1" w:lastRow="0" w:firstColumn="1" w:lastColumn="0" w:noHBand="0" w:noVBand="1"/>
      </w:tblPr>
      <w:tblGrid>
        <w:gridCol w:w="1044"/>
        <w:gridCol w:w="1053"/>
        <w:gridCol w:w="1053"/>
        <w:gridCol w:w="1000"/>
        <w:gridCol w:w="1053"/>
        <w:gridCol w:w="1000"/>
      </w:tblGrid>
      <w:tr w:rsidR="00F66B17" w:rsidRPr="00F66B17" w14:paraId="41AB3728" w14:textId="77777777" w:rsidTr="00F66B17">
        <w:trPr>
          <w:trHeight w:val="288"/>
        </w:trPr>
        <w:tc>
          <w:tcPr>
            <w:tcW w:w="10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D238BF" w14:textId="77777777" w:rsidR="00F66B17" w:rsidRPr="00F66B17" w:rsidRDefault="00F66B17" w:rsidP="004E084E">
            <w:pPr>
              <w:spacing w:after="0" w:line="360" w:lineRule="auto"/>
              <w:jc w:val="center"/>
              <w:rPr>
                <w:rFonts w:ascii="Calibri" w:eastAsia="Times New Roman" w:hAnsi="Calibri" w:cs="Calibri"/>
                <w:i/>
                <w:iCs/>
                <w:color w:val="000000"/>
                <w:lang w:eastAsia="en-GB"/>
              </w:rPr>
            </w:pPr>
            <w:r w:rsidRPr="00F66B17">
              <w:rPr>
                <w:rFonts w:ascii="Calibri" w:eastAsia="Times New Roman" w:hAnsi="Calibri" w:cs="Calibri"/>
                <w:i/>
                <w:iCs/>
                <w:color w:val="000000"/>
                <w:lang w:eastAsia="en-GB"/>
              </w:rPr>
              <w:t> </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1FD7CC0F" w14:textId="77777777" w:rsidR="00F66B17" w:rsidRPr="00F66B17" w:rsidRDefault="00F66B17" w:rsidP="004E084E">
            <w:pPr>
              <w:spacing w:after="0" w:line="360" w:lineRule="auto"/>
              <w:jc w:val="center"/>
              <w:rPr>
                <w:rFonts w:ascii="Calibri" w:eastAsia="Times New Roman" w:hAnsi="Calibri" w:cs="Calibri"/>
                <w:b/>
                <w:bCs/>
                <w:i/>
                <w:iCs/>
                <w:color w:val="000000"/>
                <w:lang w:eastAsia="en-GB"/>
              </w:rPr>
            </w:pPr>
            <w:r w:rsidRPr="00F66B17">
              <w:rPr>
                <w:rFonts w:ascii="Calibri" w:eastAsia="Times New Roman" w:hAnsi="Calibri" w:cs="Calibri"/>
                <w:b/>
                <w:bCs/>
                <w:i/>
                <w:iCs/>
                <w:color w:val="000000"/>
                <w:lang w:eastAsia="en-GB"/>
              </w:rPr>
              <w:t>TIER 1</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34BC18AB" w14:textId="77777777" w:rsidR="00F66B17" w:rsidRPr="00F66B17" w:rsidRDefault="00F66B17" w:rsidP="004E084E">
            <w:pPr>
              <w:spacing w:after="0" w:line="360" w:lineRule="auto"/>
              <w:jc w:val="center"/>
              <w:rPr>
                <w:rFonts w:ascii="Calibri" w:eastAsia="Times New Roman" w:hAnsi="Calibri" w:cs="Calibri"/>
                <w:b/>
                <w:bCs/>
                <w:i/>
                <w:iCs/>
                <w:color w:val="000000"/>
                <w:lang w:eastAsia="en-GB"/>
              </w:rPr>
            </w:pPr>
            <w:r w:rsidRPr="00F66B17">
              <w:rPr>
                <w:rFonts w:ascii="Calibri" w:eastAsia="Times New Roman" w:hAnsi="Calibri" w:cs="Calibri"/>
                <w:b/>
                <w:bCs/>
                <w:i/>
                <w:iCs/>
                <w:color w:val="000000"/>
                <w:lang w:eastAsia="en-GB"/>
              </w:rPr>
              <w:t>LCR</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2F0B1AF5" w14:textId="77777777" w:rsidR="00F66B17" w:rsidRPr="00F66B17" w:rsidRDefault="00F66B17" w:rsidP="004E084E">
            <w:pPr>
              <w:spacing w:after="0" w:line="360" w:lineRule="auto"/>
              <w:jc w:val="center"/>
              <w:rPr>
                <w:rFonts w:ascii="Calibri" w:eastAsia="Times New Roman" w:hAnsi="Calibri" w:cs="Calibri"/>
                <w:b/>
                <w:bCs/>
                <w:i/>
                <w:iCs/>
                <w:color w:val="000000"/>
                <w:lang w:eastAsia="en-GB"/>
              </w:rPr>
            </w:pPr>
            <w:r w:rsidRPr="00F66B17">
              <w:rPr>
                <w:rFonts w:ascii="Calibri" w:eastAsia="Times New Roman" w:hAnsi="Calibri" w:cs="Calibri"/>
                <w:b/>
                <w:bCs/>
                <w:i/>
                <w:iCs/>
                <w:color w:val="000000"/>
                <w:lang w:eastAsia="en-GB"/>
              </w:rPr>
              <w:t>CIR</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581603BE" w14:textId="77777777" w:rsidR="00F66B17" w:rsidRPr="00F66B17" w:rsidRDefault="00F66B17" w:rsidP="004E084E">
            <w:pPr>
              <w:spacing w:after="0" w:line="360" w:lineRule="auto"/>
              <w:jc w:val="center"/>
              <w:rPr>
                <w:rFonts w:ascii="Calibri" w:eastAsia="Times New Roman" w:hAnsi="Calibri" w:cs="Calibri"/>
                <w:b/>
                <w:bCs/>
                <w:i/>
                <w:iCs/>
                <w:color w:val="000000"/>
                <w:lang w:eastAsia="en-GB"/>
              </w:rPr>
            </w:pPr>
            <w:r w:rsidRPr="00F66B17">
              <w:rPr>
                <w:rFonts w:ascii="Calibri" w:eastAsia="Times New Roman" w:hAnsi="Calibri" w:cs="Calibri"/>
                <w:b/>
                <w:bCs/>
                <w:i/>
                <w:iCs/>
                <w:color w:val="000000"/>
                <w:lang w:eastAsia="en-GB"/>
              </w:rPr>
              <w:t>LENDING</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5F9A6896" w14:textId="77777777" w:rsidR="00F66B17" w:rsidRPr="00F66B17" w:rsidRDefault="00F66B17" w:rsidP="004E084E">
            <w:pPr>
              <w:spacing w:after="0" w:line="360" w:lineRule="auto"/>
              <w:jc w:val="center"/>
              <w:rPr>
                <w:rFonts w:ascii="Calibri" w:eastAsia="Times New Roman" w:hAnsi="Calibri" w:cs="Calibri"/>
                <w:b/>
                <w:bCs/>
                <w:i/>
                <w:iCs/>
                <w:color w:val="000000"/>
                <w:lang w:eastAsia="en-GB"/>
              </w:rPr>
            </w:pPr>
            <w:r w:rsidRPr="00F66B17">
              <w:rPr>
                <w:rFonts w:ascii="Calibri" w:eastAsia="Times New Roman" w:hAnsi="Calibri" w:cs="Calibri"/>
                <w:b/>
                <w:bCs/>
                <w:i/>
                <w:iCs/>
                <w:color w:val="000000"/>
                <w:lang w:eastAsia="en-GB"/>
              </w:rPr>
              <w:t>ROE</w:t>
            </w:r>
          </w:p>
        </w:tc>
      </w:tr>
      <w:tr w:rsidR="00F66B17" w:rsidRPr="00F66B17" w14:paraId="4A238DD9" w14:textId="77777777" w:rsidTr="00F66B17">
        <w:trPr>
          <w:trHeight w:val="288"/>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606FCC40" w14:textId="77777777" w:rsidR="00F66B17" w:rsidRPr="00F66B17" w:rsidRDefault="00F66B17" w:rsidP="004E084E">
            <w:pPr>
              <w:spacing w:after="0" w:line="360" w:lineRule="auto"/>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TIER 1</w:t>
            </w:r>
          </w:p>
        </w:tc>
        <w:tc>
          <w:tcPr>
            <w:tcW w:w="1000" w:type="dxa"/>
            <w:tcBorders>
              <w:top w:val="nil"/>
              <w:left w:val="nil"/>
              <w:bottom w:val="single" w:sz="4" w:space="0" w:color="auto"/>
              <w:right w:val="single" w:sz="4" w:space="0" w:color="auto"/>
            </w:tcBorders>
            <w:shd w:val="clear" w:color="auto" w:fill="auto"/>
            <w:noWrap/>
            <w:vAlign w:val="bottom"/>
            <w:hideMark/>
          </w:tcPr>
          <w:p w14:paraId="3BFBA178"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w:t>
            </w:r>
          </w:p>
        </w:tc>
        <w:tc>
          <w:tcPr>
            <w:tcW w:w="1000" w:type="dxa"/>
            <w:tcBorders>
              <w:top w:val="nil"/>
              <w:left w:val="nil"/>
              <w:bottom w:val="single" w:sz="4" w:space="0" w:color="auto"/>
              <w:right w:val="single" w:sz="4" w:space="0" w:color="auto"/>
            </w:tcBorders>
            <w:shd w:val="clear" w:color="auto" w:fill="auto"/>
            <w:noWrap/>
            <w:vAlign w:val="bottom"/>
            <w:hideMark/>
          </w:tcPr>
          <w:p w14:paraId="3F6E59DA"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 </w:t>
            </w:r>
          </w:p>
        </w:tc>
        <w:tc>
          <w:tcPr>
            <w:tcW w:w="1000" w:type="dxa"/>
            <w:tcBorders>
              <w:top w:val="nil"/>
              <w:left w:val="nil"/>
              <w:bottom w:val="single" w:sz="4" w:space="0" w:color="auto"/>
              <w:right w:val="single" w:sz="4" w:space="0" w:color="auto"/>
            </w:tcBorders>
            <w:shd w:val="clear" w:color="auto" w:fill="auto"/>
            <w:noWrap/>
            <w:vAlign w:val="bottom"/>
            <w:hideMark/>
          </w:tcPr>
          <w:p w14:paraId="0779D132"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 </w:t>
            </w:r>
          </w:p>
        </w:tc>
        <w:tc>
          <w:tcPr>
            <w:tcW w:w="1000" w:type="dxa"/>
            <w:tcBorders>
              <w:top w:val="nil"/>
              <w:left w:val="nil"/>
              <w:bottom w:val="single" w:sz="4" w:space="0" w:color="auto"/>
              <w:right w:val="single" w:sz="4" w:space="0" w:color="auto"/>
            </w:tcBorders>
            <w:shd w:val="clear" w:color="auto" w:fill="auto"/>
            <w:noWrap/>
            <w:vAlign w:val="bottom"/>
            <w:hideMark/>
          </w:tcPr>
          <w:p w14:paraId="675B2C33"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 </w:t>
            </w:r>
          </w:p>
        </w:tc>
        <w:tc>
          <w:tcPr>
            <w:tcW w:w="1000" w:type="dxa"/>
            <w:tcBorders>
              <w:top w:val="nil"/>
              <w:left w:val="nil"/>
              <w:bottom w:val="single" w:sz="4" w:space="0" w:color="auto"/>
              <w:right w:val="single" w:sz="4" w:space="0" w:color="auto"/>
            </w:tcBorders>
            <w:shd w:val="clear" w:color="auto" w:fill="auto"/>
            <w:noWrap/>
            <w:vAlign w:val="bottom"/>
            <w:hideMark/>
          </w:tcPr>
          <w:p w14:paraId="2FBB93D8"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 </w:t>
            </w:r>
          </w:p>
        </w:tc>
      </w:tr>
      <w:tr w:rsidR="00F66B17" w:rsidRPr="00F66B17" w14:paraId="6A441CAC" w14:textId="77777777" w:rsidTr="00F66B17">
        <w:trPr>
          <w:trHeight w:val="288"/>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5105A981" w14:textId="77777777" w:rsidR="00F66B17" w:rsidRPr="00F66B17" w:rsidRDefault="00F66B17" w:rsidP="004E084E">
            <w:pPr>
              <w:spacing w:after="0" w:line="360" w:lineRule="auto"/>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LCR</w:t>
            </w:r>
          </w:p>
        </w:tc>
        <w:tc>
          <w:tcPr>
            <w:tcW w:w="1000" w:type="dxa"/>
            <w:tcBorders>
              <w:top w:val="nil"/>
              <w:left w:val="nil"/>
              <w:bottom w:val="single" w:sz="4" w:space="0" w:color="auto"/>
              <w:right w:val="single" w:sz="4" w:space="0" w:color="auto"/>
            </w:tcBorders>
            <w:shd w:val="clear" w:color="auto" w:fill="auto"/>
            <w:noWrap/>
            <w:vAlign w:val="bottom"/>
            <w:hideMark/>
          </w:tcPr>
          <w:p w14:paraId="61449460"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0.011691</w:t>
            </w:r>
          </w:p>
        </w:tc>
        <w:tc>
          <w:tcPr>
            <w:tcW w:w="1000" w:type="dxa"/>
            <w:tcBorders>
              <w:top w:val="nil"/>
              <w:left w:val="nil"/>
              <w:bottom w:val="single" w:sz="4" w:space="0" w:color="auto"/>
              <w:right w:val="single" w:sz="4" w:space="0" w:color="auto"/>
            </w:tcBorders>
            <w:shd w:val="clear" w:color="auto" w:fill="auto"/>
            <w:noWrap/>
            <w:vAlign w:val="bottom"/>
            <w:hideMark/>
          </w:tcPr>
          <w:p w14:paraId="1EFD10E7"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w:t>
            </w:r>
          </w:p>
        </w:tc>
        <w:tc>
          <w:tcPr>
            <w:tcW w:w="1000" w:type="dxa"/>
            <w:tcBorders>
              <w:top w:val="nil"/>
              <w:left w:val="nil"/>
              <w:bottom w:val="single" w:sz="4" w:space="0" w:color="auto"/>
              <w:right w:val="single" w:sz="4" w:space="0" w:color="auto"/>
            </w:tcBorders>
            <w:shd w:val="clear" w:color="auto" w:fill="auto"/>
            <w:noWrap/>
            <w:vAlign w:val="bottom"/>
            <w:hideMark/>
          </w:tcPr>
          <w:p w14:paraId="6D7E2237"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 </w:t>
            </w:r>
          </w:p>
        </w:tc>
        <w:tc>
          <w:tcPr>
            <w:tcW w:w="1000" w:type="dxa"/>
            <w:tcBorders>
              <w:top w:val="nil"/>
              <w:left w:val="nil"/>
              <w:bottom w:val="single" w:sz="4" w:space="0" w:color="auto"/>
              <w:right w:val="single" w:sz="4" w:space="0" w:color="auto"/>
            </w:tcBorders>
            <w:shd w:val="clear" w:color="auto" w:fill="auto"/>
            <w:noWrap/>
            <w:vAlign w:val="bottom"/>
            <w:hideMark/>
          </w:tcPr>
          <w:p w14:paraId="1AF38FF1"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 </w:t>
            </w:r>
          </w:p>
        </w:tc>
        <w:tc>
          <w:tcPr>
            <w:tcW w:w="1000" w:type="dxa"/>
            <w:tcBorders>
              <w:top w:val="nil"/>
              <w:left w:val="nil"/>
              <w:bottom w:val="single" w:sz="4" w:space="0" w:color="auto"/>
              <w:right w:val="single" w:sz="4" w:space="0" w:color="auto"/>
            </w:tcBorders>
            <w:shd w:val="clear" w:color="auto" w:fill="auto"/>
            <w:noWrap/>
            <w:vAlign w:val="bottom"/>
            <w:hideMark/>
          </w:tcPr>
          <w:p w14:paraId="0CE5E30D"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 </w:t>
            </w:r>
          </w:p>
        </w:tc>
      </w:tr>
      <w:tr w:rsidR="00F66B17" w:rsidRPr="00F66B17" w14:paraId="4D9B9521" w14:textId="77777777" w:rsidTr="00F66B17">
        <w:trPr>
          <w:trHeight w:val="288"/>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520CE01B" w14:textId="77777777" w:rsidR="00F66B17" w:rsidRPr="00F66B17" w:rsidRDefault="00F66B17" w:rsidP="004E084E">
            <w:pPr>
              <w:spacing w:after="0" w:line="360" w:lineRule="auto"/>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CIR</w:t>
            </w:r>
          </w:p>
        </w:tc>
        <w:tc>
          <w:tcPr>
            <w:tcW w:w="1000" w:type="dxa"/>
            <w:tcBorders>
              <w:top w:val="nil"/>
              <w:left w:val="nil"/>
              <w:bottom w:val="single" w:sz="4" w:space="0" w:color="auto"/>
              <w:right w:val="single" w:sz="4" w:space="0" w:color="auto"/>
            </w:tcBorders>
            <w:shd w:val="clear" w:color="auto" w:fill="auto"/>
            <w:noWrap/>
            <w:vAlign w:val="bottom"/>
            <w:hideMark/>
          </w:tcPr>
          <w:p w14:paraId="52FE3BAE"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-0.28427</w:t>
            </w:r>
          </w:p>
        </w:tc>
        <w:tc>
          <w:tcPr>
            <w:tcW w:w="1000" w:type="dxa"/>
            <w:tcBorders>
              <w:top w:val="nil"/>
              <w:left w:val="nil"/>
              <w:bottom w:val="single" w:sz="4" w:space="0" w:color="auto"/>
              <w:right w:val="single" w:sz="4" w:space="0" w:color="auto"/>
            </w:tcBorders>
            <w:shd w:val="clear" w:color="auto" w:fill="auto"/>
            <w:noWrap/>
            <w:vAlign w:val="bottom"/>
            <w:hideMark/>
          </w:tcPr>
          <w:p w14:paraId="7E44742C"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-0.02655</w:t>
            </w:r>
          </w:p>
        </w:tc>
        <w:tc>
          <w:tcPr>
            <w:tcW w:w="1000" w:type="dxa"/>
            <w:tcBorders>
              <w:top w:val="nil"/>
              <w:left w:val="nil"/>
              <w:bottom w:val="single" w:sz="4" w:space="0" w:color="auto"/>
              <w:right w:val="single" w:sz="4" w:space="0" w:color="auto"/>
            </w:tcBorders>
            <w:shd w:val="clear" w:color="auto" w:fill="auto"/>
            <w:noWrap/>
            <w:vAlign w:val="bottom"/>
            <w:hideMark/>
          </w:tcPr>
          <w:p w14:paraId="2329C6C1"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w:t>
            </w:r>
          </w:p>
        </w:tc>
        <w:tc>
          <w:tcPr>
            <w:tcW w:w="1000" w:type="dxa"/>
            <w:tcBorders>
              <w:top w:val="nil"/>
              <w:left w:val="nil"/>
              <w:bottom w:val="single" w:sz="4" w:space="0" w:color="auto"/>
              <w:right w:val="single" w:sz="4" w:space="0" w:color="auto"/>
            </w:tcBorders>
            <w:shd w:val="clear" w:color="auto" w:fill="auto"/>
            <w:noWrap/>
            <w:vAlign w:val="bottom"/>
            <w:hideMark/>
          </w:tcPr>
          <w:p w14:paraId="14BA9CE1"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 </w:t>
            </w:r>
          </w:p>
        </w:tc>
        <w:tc>
          <w:tcPr>
            <w:tcW w:w="1000" w:type="dxa"/>
            <w:tcBorders>
              <w:top w:val="nil"/>
              <w:left w:val="nil"/>
              <w:bottom w:val="single" w:sz="4" w:space="0" w:color="auto"/>
              <w:right w:val="single" w:sz="4" w:space="0" w:color="auto"/>
            </w:tcBorders>
            <w:shd w:val="clear" w:color="auto" w:fill="auto"/>
            <w:noWrap/>
            <w:vAlign w:val="bottom"/>
            <w:hideMark/>
          </w:tcPr>
          <w:p w14:paraId="56211125"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 </w:t>
            </w:r>
          </w:p>
        </w:tc>
      </w:tr>
      <w:tr w:rsidR="00F66B17" w:rsidRPr="00F66B17" w14:paraId="0A2B1065" w14:textId="77777777" w:rsidTr="00F66B17">
        <w:trPr>
          <w:trHeight w:val="288"/>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64B4E0E9" w14:textId="77777777" w:rsidR="00F66B17" w:rsidRPr="00F66B17" w:rsidRDefault="00F66B17" w:rsidP="004E084E">
            <w:pPr>
              <w:spacing w:after="0" w:line="360" w:lineRule="auto"/>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LENDING</w:t>
            </w:r>
          </w:p>
        </w:tc>
        <w:tc>
          <w:tcPr>
            <w:tcW w:w="1000" w:type="dxa"/>
            <w:tcBorders>
              <w:top w:val="nil"/>
              <w:left w:val="nil"/>
              <w:bottom w:val="single" w:sz="4" w:space="0" w:color="auto"/>
              <w:right w:val="single" w:sz="4" w:space="0" w:color="auto"/>
            </w:tcBorders>
            <w:shd w:val="clear" w:color="auto" w:fill="auto"/>
            <w:noWrap/>
            <w:vAlign w:val="bottom"/>
            <w:hideMark/>
          </w:tcPr>
          <w:p w14:paraId="0A254741"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0.592213</w:t>
            </w:r>
          </w:p>
        </w:tc>
        <w:tc>
          <w:tcPr>
            <w:tcW w:w="1000" w:type="dxa"/>
            <w:tcBorders>
              <w:top w:val="nil"/>
              <w:left w:val="nil"/>
              <w:bottom w:val="single" w:sz="4" w:space="0" w:color="auto"/>
              <w:right w:val="single" w:sz="4" w:space="0" w:color="auto"/>
            </w:tcBorders>
            <w:shd w:val="clear" w:color="auto" w:fill="auto"/>
            <w:noWrap/>
            <w:vAlign w:val="bottom"/>
            <w:hideMark/>
          </w:tcPr>
          <w:p w14:paraId="532B3EB6"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-0.27071</w:t>
            </w:r>
          </w:p>
        </w:tc>
        <w:tc>
          <w:tcPr>
            <w:tcW w:w="1000" w:type="dxa"/>
            <w:tcBorders>
              <w:top w:val="nil"/>
              <w:left w:val="nil"/>
              <w:bottom w:val="single" w:sz="4" w:space="0" w:color="auto"/>
              <w:right w:val="single" w:sz="4" w:space="0" w:color="auto"/>
            </w:tcBorders>
            <w:shd w:val="clear" w:color="auto" w:fill="auto"/>
            <w:noWrap/>
            <w:vAlign w:val="bottom"/>
            <w:hideMark/>
          </w:tcPr>
          <w:p w14:paraId="3D11AB80"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-0.60891</w:t>
            </w:r>
          </w:p>
        </w:tc>
        <w:tc>
          <w:tcPr>
            <w:tcW w:w="1000" w:type="dxa"/>
            <w:tcBorders>
              <w:top w:val="nil"/>
              <w:left w:val="nil"/>
              <w:bottom w:val="single" w:sz="4" w:space="0" w:color="auto"/>
              <w:right w:val="single" w:sz="4" w:space="0" w:color="auto"/>
            </w:tcBorders>
            <w:shd w:val="clear" w:color="auto" w:fill="auto"/>
            <w:noWrap/>
            <w:vAlign w:val="bottom"/>
            <w:hideMark/>
          </w:tcPr>
          <w:p w14:paraId="69ED301A"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w:t>
            </w:r>
          </w:p>
        </w:tc>
        <w:tc>
          <w:tcPr>
            <w:tcW w:w="1000" w:type="dxa"/>
            <w:tcBorders>
              <w:top w:val="nil"/>
              <w:left w:val="nil"/>
              <w:bottom w:val="single" w:sz="4" w:space="0" w:color="auto"/>
              <w:right w:val="single" w:sz="4" w:space="0" w:color="auto"/>
            </w:tcBorders>
            <w:shd w:val="clear" w:color="auto" w:fill="auto"/>
            <w:noWrap/>
            <w:vAlign w:val="bottom"/>
            <w:hideMark/>
          </w:tcPr>
          <w:p w14:paraId="4B5B5725" w14:textId="77777777" w:rsidR="00F66B17" w:rsidRPr="00F66B17" w:rsidRDefault="00F66B17" w:rsidP="004E084E">
            <w:pPr>
              <w:spacing w:after="0" w:line="360" w:lineRule="auto"/>
              <w:rPr>
                <w:rFonts w:ascii="Calibri" w:eastAsia="Times New Roman" w:hAnsi="Calibri" w:cs="Calibri"/>
                <w:color w:val="000000"/>
                <w:lang w:eastAsia="en-GB"/>
              </w:rPr>
            </w:pPr>
            <w:r w:rsidRPr="00F66B17">
              <w:rPr>
                <w:rFonts w:ascii="Calibri" w:eastAsia="Times New Roman" w:hAnsi="Calibri" w:cs="Calibri"/>
                <w:color w:val="000000"/>
                <w:lang w:eastAsia="en-GB"/>
              </w:rPr>
              <w:t> </w:t>
            </w:r>
          </w:p>
        </w:tc>
      </w:tr>
      <w:tr w:rsidR="00F66B17" w:rsidRPr="00F66B17" w14:paraId="2E2A1E14" w14:textId="77777777" w:rsidTr="00F66B17">
        <w:trPr>
          <w:trHeight w:val="288"/>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3120A006" w14:textId="77777777" w:rsidR="00F66B17" w:rsidRPr="00F66B17" w:rsidRDefault="00F66B17" w:rsidP="004E084E">
            <w:pPr>
              <w:spacing w:after="0" w:line="360" w:lineRule="auto"/>
              <w:rPr>
                <w:rFonts w:ascii="Calibri" w:eastAsia="Times New Roman" w:hAnsi="Calibri" w:cs="Calibri"/>
                <w:b/>
                <w:bCs/>
                <w:color w:val="000000"/>
                <w:lang w:eastAsia="en-GB"/>
              </w:rPr>
            </w:pPr>
            <w:r w:rsidRPr="00F66B17">
              <w:rPr>
                <w:rFonts w:ascii="Calibri" w:eastAsia="Times New Roman" w:hAnsi="Calibri" w:cs="Calibri"/>
                <w:b/>
                <w:bCs/>
                <w:color w:val="000000"/>
                <w:lang w:eastAsia="en-GB"/>
              </w:rPr>
              <w:t>ROE</w:t>
            </w:r>
          </w:p>
        </w:tc>
        <w:tc>
          <w:tcPr>
            <w:tcW w:w="1000" w:type="dxa"/>
            <w:tcBorders>
              <w:top w:val="nil"/>
              <w:left w:val="nil"/>
              <w:bottom w:val="single" w:sz="4" w:space="0" w:color="auto"/>
              <w:right w:val="single" w:sz="4" w:space="0" w:color="auto"/>
            </w:tcBorders>
            <w:shd w:val="clear" w:color="auto" w:fill="auto"/>
            <w:noWrap/>
            <w:vAlign w:val="bottom"/>
            <w:hideMark/>
          </w:tcPr>
          <w:p w14:paraId="4BA7DBE6"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0.276673</w:t>
            </w:r>
          </w:p>
        </w:tc>
        <w:tc>
          <w:tcPr>
            <w:tcW w:w="1000" w:type="dxa"/>
            <w:tcBorders>
              <w:top w:val="nil"/>
              <w:left w:val="nil"/>
              <w:bottom w:val="single" w:sz="4" w:space="0" w:color="auto"/>
              <w:right w:val="single" w:sz="4" w:space="0" w:color="auto"/>
            </w:tcBorders>
            <w:shd w:val="clear" w:color="auto" w:fill="auto"/>
            <w:noWrap/>
            <w:vAlign w:val="bottom"/>
            <w:hideMark/>
          </w:tcPr>
          <w:p w14:paraId="01ABD89B"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0.160162</w:t>
            </w:r>
          </w:p>
        </w:tc>
        <w:tc>
          <w:tcPr>
            <w:tcW w:w="1000" w:type="dxa"/>
            <w:tcBorders>
              <w:top w:val="nil"/>
              <w:left w:val="nil"/>
              <w:bottom w:val="single" w:sz="4" w:space="0" w:color="auto"/>
              <w:right w:val="single" w:sz="4" w:space="0" w:color="auto"/>
            </w:tcBorders>
            <w:shd w:val="clear" w:color="auto" w:fill="auto"/>
            <w:noWrap/>
            <w:vAlign w:val="bottom"/>
            <w:hideMark/>
          </w:tcPr>
          <w:p w14:paraId="38A161D0"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-0.90266</w:t>
            </w:r>
          </w:p>
        </w:tc>
        <w:tc>
          <w:tcPr>
            <w:tcW w:w="1000" w:type="dxa"/>
            <w:tcBorders>
              <w:top w:val="nil"/>
              <w:left w:val="nil"/>
              <w:bottom w:val="single" w:sz="4" w:space="0" w:color="auto"/>
              <w:right w:val="single" w:sz="4" w:space="0" w:color="auto"/>
            </w:tcBorders>
            <w:shd w:val="clear" w:color="auto" w:fill="auto"/>
            <w:noWrap/>
            <w:vAlign w:val="bottom"/>
            <w:hideMark/>
          </w:tcPr>
          <w:p w14:paraId="2232488D"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0.427342</w:t>
            </w:r>
          </w:p>
        </w:tc>
        <w:tc>
          <w:tcPr>
            <w:tcW w:w="1000" w:type="dxa"/>
            <w:tcBorders>
              <w:top w:val="nil"/>
              <w:left w:val="nil"/>
              <w:bottom w:val="single" w:sz="4" w:space="0" w:color="auto"/>
              <w:right w:val="single" w:sz="4" w:space="0" w:color="auto"/>
            </w:tcBorders>
            <w:shd w:val="clear" w:color="auto" w:fill="auto"/>
            <w:noWrap/>
            <w:vAlign w:val="bottom"/>
            <w:hideMark/>
          </w:tcPr>
          <w:p w14:paraId="7E16077C" w14:textId="77777777" w:rsidR="00F66B17" w:rsidRPr="00F66B17" w:rsidRDefault="00F66B17" w:rsidP="004E084E">
            <w:pPr>
              <w:spacing w:after="0" w:line="360" w:lineRule="auto"/>
              <w:jc w:val="right"/>
              <w:rPr>
                <w:rFonts w:ascii="Calibri" w:eastAsia="Times New Roman" w:hAnsi="Calibri" w:cs="Calibri"/>
                <w:color w:val="000000"/>
                <w:lang w:eastAsia="en-GB"/>
              </w:rPr>
            </w:pPr>
            <w:r w:rsidRPr="00F66B17">
              <w:rPr>
                <w:rFonts w:ascii="Calibri" w:eastAsia="Times New Roman" w:hAnsi="Calibri" w:cs="Calibri"/>
                <w:color w:val="000000"/>
                <w:lang w:eastAsia="en-GB"/>
              </w:rPr>
              <w:t>1</w:t>
            </w:r>
          </w:p>
        </w:tc>
      </w:tr>
    </w:tbl>
    <w:p w14:paraId="47ABCE42" w14:textId="77777777" w:rsidR="00F66B17" w:rsidRDefault="00F66B17" w:rsidP="004E084E">
      <w:pPr>
        <w:spacing w:line="360" w:lineRule="auto"/>
        <w:rPr>
          <w:rFonts w:cstheme="minorHAnsi"/>
          <w:color w:val="000000"/>
          <w:shd w:val="clear" w:color="auto" w:fill="FFFFFF"/>
        </w:rPr>
      </w:pPr>
    </w:p>
    <w:p w14:paraId="4D0B285A" w14:textId="40AA16FD" w:rsidR="006845B8" w:rsidRPr="00382658" w:rsidRDefault="00D93212" w:rsidP="004E084E">
      <w:pPr>
        <w:pStyle w:val="Heading2"/>
        <w:spacing w:line="360" w:lineRule="auto"/>
        <w:rPr>
          <w:b/>
          <w:bCs/>
          <w:color w:val="auto"/>
          <w:shd w:val="clear" w:color="auto" w:fill="FFFFFF"/>
        </w:rPr>
      </w:pPr>
      <w:bookmarkStart w:id="13" w:name="_Toc29313855"/>
      <w:bookmarkStart w:id="14" w:name="_Toc29314030"/>
      <w:bookmarkStart w:id="15" w:name="_Toc29314111"/>
      <w:r w:rsidRPr="00382658">
        <w:rPr>
          <w:b/>
          <w:bCs/>
          <w:color w:val="auto"/>
          <w:shd w:val="clear" w:color="auto" w:fill="FFFFFF"/>
        </w:rPr>
        <w:t>B.1. Regulatory capital and Lending</w:t>
      </w:r>
      <w:bookmarkEnd w:id="13"/>
      <w:bookmarkEnd w:id="14"/>
      <w:bookmarkEnd w:id="15"/>
    </w:p>
    <w:p w14:paraId="39604DFF" w14:textId="77777777" w:rsidR="00382658" w:rsidRDefault="00382658" w:rsidP="004E084E">
      <w:pPr>
        <w:spacing w:line="360" w:lineRule="auto"/>
        <w:rPr>
          <w:rFonts w:cstheme="minorHAnsi"/>
          <w:color w:val="000000"/>
          <w:shd w:val="clear" w:color="auto" w:fill="FFFFFF"/>
          <w:lang w:val="en"/>
        </w:rPr>
      </w:pPr>
    </w:p>
    <w:p w14:paraId="36DDFA24" w14:textId="4A9B0D76" w:rsidR="00382658" w:rsidRPr="00382658" w:rsidRDefault="00382658" w:rsidP="004E084E">
      <w:pPr>
        <w:spacing w:line="360" w:lineRule="auto"/>
        <w:jc w:val="both"/>
        <w:rPr>
          <w:rFonts w:cstheme="minorHAnsi"/>
          <w:color w:val="000000"/>
          <w:shd w:val="clear" w:color="auto" w:fill="FFFFFF"/>
          <w:lang w:val="en"/>
        </w:rPr>
      </w:pPr>
      <w:r w:rsidRPr="00382658">
        <w:rPr>
          <w:rFonts w:cstheme="minorHAnsi"/>
          <w:color w:val="000000"/>
          <w:shd w:val="clear" w:color="auto" w:fill="FFFFFF"/>
          <w:lang w:val="en"/>
        </w:rPr>
        <w:t xml:space="preserve">In 1988, the Basel Accord, generated for the G10 countries but later adopted by many others, has introduced a series of minimum requirement as a constraint on banks’ behaviour. This agreement </w:t>
      </w:r>
      <w:r w:rsidRPr="00382658">
        <w:rPr>
          <w:rFonts w:cstheme="minorHAnsi"/>
          <w:color w:val="000000"/>
          <w:shd w:val="clear" w:color="auto" w:fill="FFFFFF"/>
          <w:lang w:val="en"/>
        </w:rPr>
        <w:lastRenderedPageBreak/>
        <w:t>introduced a minimum level of total capital (8%) composed by a basket of different assets which are differentiated into two categories of capital, Tier1 and Tier2. This accord was stipulated with the aim to align regulatory capital requirement across nations, reducing the risks of unexpected losses and encouraging the prudential management of banks (Federal Reserve Bank of San Francisco, 2001).</w:t>
      </w:r>
    </w:p>
    <w:p w14:paraId="3D0A97DC" w14:textId="77777777" w:rsidR="00382658" w:rsidRDefault="00382658" w:rsidP="004E084E">
      <w:pPr>
        <w:spacing w:line="360" w:lineRule="auto"/>
        <w:jc w:val="both"/>
        <w:rPr>
          <w:rFonts w:cstheme="minorHAnsi"/>
          <w:color w:val="000000"/>
          <w:shd w:val="clear" w:color="auto" w:fill="FFFFFF"/>
          <w:lang w:val="en"/>
        </w:rPr>
      </w:pPr>
      <w:r w:rsidRPr="00382658">
        <w:rPr>
          <w:rFonts w:cstheme="minorHAnsi"/>
          <w:color w:val="000000"/>
          <w:shd w:val="clear" w:color="auto" w:fill="FFFFFF"/>
          <w:lang w:val="en"/>
        </w:rPr>
        <w:t>The agreement underlined as the Tier 1, or Equity Capital, should be at least the 50% of the Total Capital and it is the main constraint that Banks must meet; on the other side, Tier 2 is mainly composed by debt-like instrument. Although the intention of this agreement was to highlight the importance of the Total Capital, it is worldwide preferable to emphasize on the equity capital: most Banks hold an elevated Tier 1 level, which many times exceed already the minimum capital requirement (Chami et al., 2003).</w:t>
      </w:r>
    </w:p>
    <w:p w14:paraId="2C844A56" w14:textId="6F6EB472" w:rsidR="00382658" w:rsidRDefault="00382658" w:rsidP="004E084E">
      <w:pPr>
        <w:spacing w:line="360" w:lineRule="auto"/>
        <w:jc w:val="both"/>
        <w:rPr>
          <w:rFonts w:cstheme="minorHAnsi"/>
          <w:color w:val="000000"/>
          <w:shd w:val="clear" w:color="auto" w:fill="FFFFFF"/>
          <w:lang w:val="en"/>
        </w:rPr>
      </w:pPr>
      <w:r w:rsidRPr="00382658">
        <w:rPr>
          <w:rFonts w:cstheme="minorHAnsi"/>
          <w:color w:val="000000"/>
          <w:shd w:val="clear" w:color="auto" w:fill="FFFFFF"/>
          <w:lang w:val="en"/>
        </w:rPr>
        <w:t>The effects and links between these regulatory capital policies and bank lending are subject to studies and debates. The financial crisis has increased the use of these policies to reduce banks’ financial risks, thus creating and reviewing several theories that examine the correlation between the fluctuation of the level of capital and the consequences on lending (Bridges et al., 2014).</w:t>
      </w:r>
    </w:p>
    <w:p w14:paraId="00144073" w14:textId="5A709801" w:rsidR="00DD5B24" w:rsidRDefault="00DD5B24" w:rsidP="000478CE">
      <w:pPr>
        <w:pStyle w:val="Heading2"/>
        <w:rPr>
          <w:rFonts w:cstheme="minorHAnsi"/>
          <w:color w:val="000000"/>
          <w:shd w:val="clear" w:color="auto" w:fill="FFFFFF"/>
          <w:lang w:val="en"/>
        </w:rPr>
      </w:pPr>
      <w:bookmarkStart w:id="16" w:name="_Toc29314031"/>
      <w:bookmarkStart w:id="17" w:name="_Toc29314112"/>
      <w:r>
        <w:rPr>
          <w:rFonts w:cstheme="minorHAnsi"/>
          <w:color w:val="000000"/>
          <w:shd w:val="clear" w:color="auto" w:fill="FFFFFF"/>
          <w:lang w:val="en"/>
        </w:rPr>
        <w:t>-</w:t>
      </w:r>
      <w:r w:rsidRPr="00757A82">
        <w:rPr>
          <w:rStyle w:val="Heading3Char"/>
          <w:b/>
          <w:bCs/>
          <w:color w:val="auto"/>
        </w:rPr>
        <w:t>Literature</w:t>
      </w:r>
      <w:bookmarkEnd w:id="16"/>
      <w:bookmarkEnd w:id="17"/>
    </w:p>
    <w:p w14:paraId="59C63B1F" w14:textId="77777777" w:rsidR="000478CE" w:rsidRDefault="000478CE" w:rsidP="004E084E">
      <w:pPr>
        <w:spacing w:line="360" w:lineRule="auto"/>
        <w:jc w:val="both"/>
        <w:rPr>
          <w:rFonts w:cstheme="minorHAnsi"/>
          <w:color w:val="000000"/>
          <w:shd w:val="clear" w:color="auto" w:fill="FFFFFF"/>
        </w:rPr>
      </w:pPr>
    </w:p>
    <w:p w14:paraId="0EF81741" w14:textId="5E5E1130" w:rsidR="00757A82" w:rsidRPr="00757A82" w:rsidRDefault="00757A82" w:rsidP="004E084E">
      <w:pPr>
        <w:spacing w:line="360" w:lineRule="auto"/>
        <w:jc w:val="both"/>
        <w:rPr>
          <w:rFonts w:cstheme="minorHAnsi"/>
          <w:color w:val="000000"/>
          <w:shd w:val="clear" w:color="auto" w:fill="FFFFFF"/>
        </w:rPr>
      </w:pPr>
      <w:r w:rsidRPr="00757A82">
        <w:rPr>
          <w:rFonts w:cstheme="minorHAnsi"/>
          <w:color w:val="000000"/>
          <w:shd w:val="clear" w:color="auto" w:fill="FFFFFF"/>
        </w:rPr>
        <w:t>One of the most debated theories on the relationship between capital and lending is the classic </w:t>
      </w:r>
      <w:r w:rsidRPr="00757A82">
        <w:rPr>
          <w:rFonts w:cstheme="minorHAnsi"/>
          <w:b/>
          <w:bCs/>
          <w:color w:val="000000"/>
          <w:shd w:val="clear" w:color="auto" w:fill="FFFFFF"/>
        </w:rPr>
        <w:t>Modigliani and Miller theorem</w:t>
      </w:r>
      <w:r w:rsidRPr="00757A82">
        <w:rPr>
          <w:rFonts w:cstheme="minorHAnsi"/>
          <w:color w:val="000000"/>
          <w:shd w:val="clear" w:color="auto" w:fill="FFFFFF"/>
        </w:rPr>
        <w:t> (1958) which implies that the change in the structure and composition of a bank’s capital does not affect its credit supply in a frictionless market. The existence of a possible range of frictions, however, means that banks investment policies are not neutral to the fluctuations of capital ratios. The most cited frictions in literature are the tax-deducibility of the interests on debts, debt overhang and the asymmetric information, which highlight the existence of failures in the MM theory (Bridges et al., 2014).</w:t>
      </w:r>
    </w:p>
    <w:p w14:paraId="6E10AF73" w14:textId="77777777" w:rsidR="00757A82" w:rsidRPr="00757A82" w:rsidRDefault="00757A82" w:rsidP="004E084E">
      <w:pPr>
        <w:spacing w:line="360" w:lineRule="auto"/>
        <w:jc w:val="both"/>
        <w:rPr>
          <w:rFonts w:cstheme="minorHAnsi"/>
          <w:color w:val="000000"/>
          <w:shd w:val="clear" w:color="auto" w:fill="FFFFFF"/>
        </w:rPr>
      </w:pPr>
      <w:r w:rsidRPr="00757A82">
        <w:rPr>
          <w:rFonts w:cstheme="minorHAnsi"/>
          <w:color w:val="000000"/>
          <w:shd w:val="clear" w:color="auto" w:fill="FFFFFF"/>
        </w:rPr>
        <w:t>A second model that focuses on the relationship between target capital and its impact on the lending is the </w:t>
      </w:r>
      <w:r w:rsidRPr="00757A82">
        <w:rPr>
          <w:rFonts w:cstheme="minorHAnsi"/>
          <w:b/>
          <w:bCs/>
          <w:color w:val="000000"/>
          <w:shd w:val="clear" w:color="auto" w:fill="FFFFFF"/>
        </w:rPr>
        <w:t>partial adjustment model</w:t>
      </w:r>
      <w:r w:rsidRPr="00757A82">
        <w:rPr>
          <w:rFonts w:cstheme="minorHAnsi"/>
          <w:color w:val="000000"/>
          <w:shd w:val="clear" w:color="auto" w:fill="FFFFFF"/>
        </w:rPr>
        <w:t> of Hancock and Wilcox (1994), subsequently review by Francis and Osborne (2009). This approach analysed the increasing of one-point percentage on the capital requirement, which results in a fall of 0.8% in total lending after one year. The correlation in the short period, appear negative, with a -1.6% in total risk-weighted assets (Francis W. et al.,2009). </w:t>
      </w:r>
    </w:p>
    <w:p w14:paraId="643D18C2" w14:textId="77777777" w:rsidR="00757A82" w:rsidRPr="00757A82" w:rsidRDefault="00757A82" w:rsidP="004E084E">
      <w:pPr>
        <w:spacing w:line="360" w:lineRule="auto"/>
        <w:jc w:val="both"/>
        <w:rPr>
          <w:rFonts w:cstheme="minorHAnsi"/>
          <w:color w:val="000000"/>
          <w:shd w:val="clear" w:color="auto" w:fill="FFFFFF"/>
        </w:rPr>
      </w:pPr>
      <w:r w:rsidRPr="00757A82">
        <w:rPr>
          <w:rFonts w:cstheme="minorHAnsi"/>
          <w:color w:val="000000"/>
          <w:shd w:val="clear" w:color="auto" w:fill="FFFFFF"/>
        </w:rPr>
        <w:t xml:space="preserve">Other studies carried out by Jackson et al. (1999) underline how evidence suggests that in the short period, within three years, the correlation between the increase in capital requirement and the lending is negative. One of the limitations of these analyses is that the study did not specify how exactly banks answer to a higher capital requirement on their capital ratio. The research did not </w:t>
      </w:r>
      <w:r w:rsidRPr="00757A82">
        <w:rPr>
          <w:rFonts w:cstheme="minorHAnsi"/>
          <w:color w:val="000000"/>
          <w:shd w:val="clear" w:color="auto" w:fill="FFFFFF"/>
        </w:rPr>
        <w:lastRenderedPageBreak/>
        <w:t>explain if they react by adjusting the capital or acting on the risk-weighted assets, not providing empirical evidence of how the lending may change. More up-to-date analysis, as the assumption of Van Hoose (2008), lead to more complete conclusions which can be summarised in two main consequences deriving from the increase in capital requirement: almost all research noticed that as a </w:t>
      </w:r>
      <w:r w:rsidRPr="00757A82">
        <w:rPr>
          <w:rFonts w:cstheme="minorHAnsi"/>
          <w:i/>
          <w:iCs/>
          <w:color w:val="000000"/>
          <w:shd w:val="clear" w:color="auto" w:fill="FFFFFF"/>
        </w:rPr>
        <w:t>short-run effects</w:t>
      </w:r>
      <w:r w:rsidRPr="00757A82">
        <w:rPr>
          <w:rFonts w:cstheme="minorHAnsi"/>
          <w:color w:val="000000"/>
          <w:shd w:val="clear" w:color="auto" w:fill="FFFFFF"/>
        </w:rPr>
        <w:t>, the lending decrease, whereas in the </w:t>
      </w:r>
      <w:r w:rsidRPr="00757A82">
        <w:rPr>
          <w:rFonts w:cstheme="minorHAnsi"/>
          <w:i/>
          <w:iCs/>
          <w:color w:val="000000"/>
          <w:shd w:val="clear" w:color="auto" w:fill="FFFFFF"/>
        </w:rPr>
        <w:t>long-run effects</w:t>
      </w:r>
      <w:r w:rsidRPr="00757A82">
        <w:rPr>
          <w:rFonts w:cstheme="minorHAnsi"/>
          <w:color w:val="000000"/>
          <w:shd w:val="clear" w:color="auto" w:fill="FFFFFF"/>
        </w:rPr>
        <w:t>, increases in bank lending were recorded. This situation is justified by two different effects: an increase in loans rate, and a consequential reduction in loan supply in the </w:t>
      </w:r>
      <w:r w:rsidRPr="00757A82">
        <w:rPr>
          <w:rFonts w:cstheme="minorHAnsi"/>
          <w:i/>
          <w:iCs/>
          <w:color w:val="000000"/>
          <w:shd w:val="clear" w:color="auto" w:fill="FFFFFF"/>
        </w:rPr>
        <w:t>short</w:t>
      </w:r>
      <w:r w:rsidRPr="00757A82">
        <w:rPr>
          <w:rFonts w:cstheme="minorHAnsi"/>
          <w:color w:val="000000"/>
          <w:shd w:val="clear" w:color="auto" w:fill="FFFFFF"/>
        </w:rPr>
        <w:t> </w:t>
      </w:r>
      <w:r w:rsidRPr="00757A82">
        <w:rPr>
          <w:rFonts w:cstheme="minorHAnsi"/>
          <w:i/>
          <w:iCs/>
          <w:color w:val="000000"/>
          <w:shd w:val="clear" w:color="auto" w:fill="FFFFFF"/>
        </w:rPr>
        <w:t>period</w:t>
      </w:r>
      <w:r w:rsidRPr="00757A82">
        <w:rPr>
          <w:rFonts w:cstheme="minorHAnsi"/>
          <w:color w:val="000000"/>
          <w:shd w:val="clear" w:color="auto" w:fill="FFFFFF"/>
        </w:rPr>
        <w:t>, and, in the </w:t>
      </w:r>
      <w:r w:rsidRPr="00757A82">
        <w:rPr>
          <w:rFonts w:cstheme="minorHAnsi"/>
          <w:i/>
          <w:iCs/>
          <w:color w:val="000000"/>
          <w:shd w:val="clear" w:color="auto" w:fill="FFFFFF"/>
        </w:rPr>
        <w:t>long-term</w:t>
      </w:r>
      <w:r w:rsidRPr="00757A82">
        <w:rPr>
          <w:rFonts w:cstheme="minorHAnsi"/>
          <w:color w:val="000000"/>
          <w:shd w:val="clear" w:color="auto" w:fill="FFFFFF"/>
        </w:rPr>
        <w:t> a capital increase, also relative to loans (Francis W. et al.,2009). </w:t>
      </w:r>
    </w:p>
    <w:p w14:paraId="1127C2B2" w14:textId="09350F32" w:rsidR="00757A82" w:rsidRPr="00757A82" w:rsidRDefault="00757A82" w:rsidP="004E084E">
      <w:pPr>
        <w:spacing w:line="360" w:lineRule="auto"/>
        <w:jc w:val="both"/>
        <w:rPr>
          <w:rFonts w:cstheme="minorHAnsi"/>
          <w:color w:val="000000"/>
          <w:shd w:val="clear" w:color="auto" w:fill="FFFFFF"/>
        </w:rPr>
      </w:pPr>
      <w:r w:rsidRPr="00757A82">
        <w:rPr>
          <w:rFonts w:cstheme="minorHAnsi"/>
          <w:color w:val="000000"/>
          <w:shd w:val="clear" w:color="auto" w:fill="FFFFFF"/>
        </w:rPr>
        <w:t>These effects follow the results of the ‘</w:t>
      </w:r>
      <w:r w:rsidRPr="00757A82">
        <w:rPr>
          <w:rFonts w:cstheme="minorHAnsi"/>
          <w:b/>
          <w:bCs/>
          <w:color w:val="000000"/>
          <w:shd w:val="clear" w:color="auto" w:fill="FFFFFF"/>
        </w:rPr>
        <w:t>bank capital channel’</w:t>
      </w:r>
      <w:r w:rsidRPr="00757A82">
        <w:rPr>
          <w:rFonts w:cstheme="minorHAnsi"/>
          <w:color w:val="000000"/>
          <w:shd w:val="clear" w:color="auto" w:fill="FFFFFF"/>
        </w:rPr>
        <w:t> thesis, used for the first time in the earlies 1990s with the introduction of the risk-based capital requirement. This analysis focused mainly on the US where, with the introduction of the Basel accord in 1988, economists recorded a decline in lending during the years 1990-1991, to which the introduction of these regulations has certainly contributed (Francis W. et al.,2009). Similar analysis recorded similar effects in the UK, Germany and Japan.</w:t>
      </w:r>
    </w:p>
    <w:p w14:paraId="5EA0DDD8" w14:textId="77777777" w:rsidR="00757A82" w:rsidRPr="009D05CE" w:rsidRDefault="00757A82" w:rsidP="000478CE">
      <w:pPr>
        <w:pStyle w:val="Heading3"/>
        <w:rPr>
          <w:shd w:val="clear" w:color="auto" w:fill="FFFFFF"/>
        </w:rPr>
      </w:pPr>
    </w:p>
    <w:p w14:paraId="404EBADC" w14:textId="4E2291C7" w:rsidR="00AE3AD4" w:rsidRPr="009D05CE" w:rsidRDefault="008B0C6F" w:rsidP="000478CE">
      <w:pPr>
        <w:pStyle w:val="Heading3"/>
        <w:rPr>
          <w:shd w:val="clear" w:color="auto" w:fill="FFFFFF"/>
        </w:rPr>
      </w:pPr>
      <w:bookmarkStart w:id="18" w:name="_Toc29314113"/>
      <w:r w:rsidRPr="009D05CE">
        <w:rPr>
          <w:shd w:val="clear" w:color="auto" w:fill="FFFFFF"/>
        </w:rPr>
        <w:t>-</w:t>
      </w:r>
      <w:r w:rsidRPr="009D05CE">
        <w:rPr>
          <w:rStyle w:val="Heading3Char"/>
          <w:b/>
          <w:bCs/>
          <w:color w:val="auto"/>
        </w:rPr>
        <w:t>Banks portfolio</w:t>
      </w:r>
      <w:bookmarkEnd w:id="18"/>
    </w:p>
    <w:p w14:paraId="3B5991A1" w14:textId="77777777" w:rsidR="000478CE" w:rsidRDefault="000478CE" w:rsidP="004E084E">
      <w:pPr>
        <w:spacing w:line="360" w:lineRule="auto"/>
        <w:jc w:val="both"/>
        <w:rPr>
          <w:rFonts w:cstheme="minorHAnsi"/>
          <w:color w:val="000000"/>
          <w:shd w:val="clear" w:color="auto" w:fill="FFFFFF"/>
          <w:lang w:val="en"/>
        </w:rPr>
      </w:pPr>
    </w:p>
    <w:p w14:paraId="3E407C3D" w14:textId="31AC5585" w:rsidR="00757A82" w:rsidRPr="00757A82" w:rsidRDefault="00757A82" w:rsidP="004E084E">
      <w:pPr>
        <w:spacing w:line="360" w:lineRule="auto"/>
        <w:jc w:val="both"/>
        <w:rPr>
          <w:rFonts w:cstheme="minorHAnsi"/>
          <w:color w:val="000000"/>
          <w:shd w:val="clear" w:color="auto" w:fill="FFFFFF"/>
          <w:lang w:val="en"/>
        </w:rPr>
      </w:pPr>
      <w:r w:rsidRPr="00757A82">
        <w:rPr>
          <w:rFonts w:cstheme="minorHAnsi"/>
          <w:color w:val="000000"/>
          <w:shd w:val="clear" w:color="auto" w:fill="FFFFFF"/>
          <w:lang w:val="en"/>
        </w:rPr>
        <w:t>To understand how the banks' portfolio changed with the introduction of Basel I and the more stringent capital requirements, it is useful to analyse the theory of the economist Craig Furfine (This study is based on the banking system in the US which however had a similar trend in the UK).</w:t>
      </w:r>
    </w:p>
    <w:p w14:paraId="2E00227E" w14:textId="4AEB16A9" w:rsidR="00255E6B" w:rsidRDefault="00757A82" w:rsidP="004E084E">
      <w:pPr>
        <w:spacing w:line="360" w:lineRule="auto"/>
        <w:jc w:val="both"/>
        <w:rPr>
          <w:rFonts w:cstheme="minorHAnsi"/>
          <w:color w:val="000000"/>
          <w:shd w:val="clear" w:color="auto" w:fill="FFFFFF"/>
          <w:lang w:val="en"/>
        </w:rPr>
      </w:pPr>
      <w:r w:rsidRPr="00757A82">
        <w:rPr>
          <w:rFonts w:cstheme="minorHAnsi"/>
          <w:color w:val="000000"/>
          <w:shd w:val="clear" w:color="auto" w:fill="FFFFFF"/>
          <w:lang w:val="en"/>
        </w:rPr>
        <w:t xml:space="preserve">Immediately following the introduction of </w:t>
      </w:r>
      <w:proofErr w:type="gramStart"/>
      <w:r w:rsidRPr="00757A82">
        <w:rPr>
          <w:rFonts w:cstheme="minorHAnsi"/>
          <w:color w:val="000000"/>
          <w:shd w:val="clear" w:color="auto" w:fill="FFFFFF"/>
          <w:lang w:val="en"/>
        </w:rPr>
        <w:t>Basel</w:t>
      </w:r>
      <w:proofErr w:type="gramEnd"/>
      <w:r w:rsidRPr="00757A82">
        <w:rPr>
          <w:rFonts w:cstheme="minorHAnsi"/>
          <w:color w:val="000000"/>
          <w:shd w:val="clear" w:color="auto" w:fill="FFFFFF"/>
          <w:lang w:val="en"/>
        </w:rPr>
        <w:t xml:space="preserve"> I in 1988, the banks' portfolio registered a fall in the banks' credit invested in loans, with a -22% in 1989 but less than -14% in 1994. In the same period, banks have increased their investment in Government securities (+25%). Since 1994, this trend has reversed, as can be seen from the graph below (Furfine, 2001).</w:t>
      </w:r>
    </w:p>
    <w:p w14:paraId="3EC4CF2D" w14:textId="34F425B5" w:rsidR="00255E6B" w:rsidRPr="00255E6B" w:rsidRDefault="00255E6B" w:rsidP="004E084E">
      <w:pPr>
        <w:spacing w:line="360" w:lineRule="auto"/>
        <w:jc w:val="center"/>
        <w:rPr>
          <w:rFonts w:cstheme="minorHAnsi"/>
          <w:color w:val="000000"/>
          <w:shd w:val="clear" w:color="auto" w:fill="FFFFFF"/>
        </w:rPr>
      </w:pPr>
      <w:r>
        <w:rPr>
          <w:rFonts w:cstheme="minorHAnsi"/>
          <w:noProof/>
          <w:color w:val="000000"/>
          <w:shd w:val="clear" w:color="auto" w:fill="FFFFFF"/>
        </w:rPr>
        <w:lastRenderedPageBreak/>
        <w:drawing>
          <wp:inline distT="0" distB="0" distL="0" distR="0" wp14:anchorId="07206DAC" wp14:editId="3DCB226B">
            <wp:extent cx="5727700" cy="303212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7700" cy="3032125"/>
                    </a:xfrm>
                    <a:prstGeom prst="rect">
                      <a:avLst/>
                    </a:prstGeom>
                    <a:noFill/>
                    <a:ln>
                      <a:noFill/>
                    </a:ln>
                  </pic:spPr>
                </pic:pic>
              </a:graphicData>
            </a:graphic>
          </wp:inline>
        </w:drawing>
      </w:r>
    </w:p>
    <w:p w14:paraId="313487F4" w14:textId="54FE4A79" w:rsidR="00255E6B" w:rsidRPr="00255E6B" w:rsidRDefault="00255E6B" w:rsidP="004E084E">
      <w:pPr>
        <w:spacing w:line="360" w:lineRule="auto"/>
        <w:rPr>
          <w:rFonts w:cstheme="minorHAnsi"/>
          <w:color w:val="000000"/>
          <w:shd w:val="clear" w:color="auto" w:fill="FFFFFF"/>
        </w:rPr>
      </w:pPr>
    </w:p>
    <w:p w14:paraId="18EFE0D8" w14:textId="3AAEFA43" w:rsidR="008B0C6F" w:rsidRPr="008B0C6F" w:rsidRDefault="008B0C6F" w:rsidP="004E084E">
      <w:pPr>
        <w:spacing w:line="360" w:lineRule="auto"/>
        <w:rPr>
          <w:rFonts w:cstheme="minorHAnsi"/>
          <w:color w:val="000000"/>
          <w:shd w:val="clear" w:color="auto" w:fill="FFFFFF"/>
        </w:rPr>
      </w:pPr>
    </w:p>
    <w:p w14:paraId="7243797F" w14:textId="27AD11AF" w:rsidR="00757A82" w:rsidRDefault="00757A82" w:rsidP="004E084E">
      <w:pPr>
        <w:spacing w:line="360" w:lineRule="auto"/>
        <w:jc w:val="both"/>
        <w:rPr>
          <w:rFonts w:cstheme="minorHAnsi"/>
          <w:color w:val="000000"/>
          <w:shd w:val="clear" w:color="auto" w:fill="FFFFFF"/>
        </w:rPr>
      </w:pPr>
      <w:r w:rsidRPr="00757A82">
        <w:rPr>
          <w:rFonts w:cstheme="minorHAnsi"/>
          <w:color w:val="000000"/>
          <w:shd w:val="clear" w:color="auto" w:fill="FFFFFF"/>
        </w:rPr>
        <w:t xml:space="preserve">As the credit crunch occurred immediately after the introduction of the minimum capital requirements, they were given the responsibility of the decrease in lending, but it cannot be said with certainty whether this reduction was induced by this or by the recession (lower loan demand). In his analysis, Furfine </w:t>
      </w:r>
      <w:r w:rsidR="008B27BD" w:rsidRPr="00757A82">
        <w:rPr>
          <w:rFonts w:cstheme="minorHAnsi"/>
          <w:color w:val="000000"/>
          <w:shd w:val="clear" w:color="auto" w:fill="FFFFFF"/>
        </w:rPr>
        <w:t>concluded</w:t>
      </w:r>
      <w:r w:rsidRPr="00757A82">
        <w:rPr>
          <w:rFonts w:cstheme="minorHAnsi"/>
          <w:color w:val="000000"/>
          <w:shd w:val="clear" w:color="auto" w:fill="FFFFFF"/>
        </w:rPr>
        <w:t xml:space="preserve"> that the regulatory standard played a role in the banks’ portfolio allocation; however, the impact cannot be measured with certainty. In addition to that, the new standards in the long period suggested an increase in the number of loans which are safer, decreasing the risks of another credit crunch (Furfine, 2001).</w:t>
      </w:r>
    </w:p>
    <w:p w14:paraId="6F99EDD0" w14:textId="77777777" w:rsidR="00757A82" w:rsidRPr="00757A82" w:rsidRDefault="00757A82" w:rsidP="004E084E">
      <w:pPr>
        <w:spacing w:line="360" w:lineRule="auto"/>
        <w:jc w:val="both"/>
        <w:rPr>
          <w:rFonts w:cstheme="minorHAnsi"/>
          <w:color w:val="000000"/>
          <w:shd w:val="clear" w:color="auto" w:fill="FFFFFF"/>
        </w:rPr>
      </w:pPr>
      <w:r w:rsidRPr="00757A82">
        <w:rPr>
          <w:rFonts w:cstheme="minorHAnsi"/>
          <w:color w:val="000000"/>
          <w:shd w:val="clear" w:color="auto" w:fill="FFFFFF"/>
        </w:rPr>
        <w:t>Bank of England also analysed the impact that capital requirements had on banks' loan portfolios from 1990 to 2011, and the results showed:</w:t>
      </w:r>
    </w:p>
    <w:p w14:paraId="7F4539E6" w14:textId="77777777" w:rsidR="00757A82" w:rsidRPr="00757A82" w:rsidRDefault="00757A82" w:rsidP="004E084E">
      <w:pPr>
        <w:numPr>
          <w:ilvl w:val="0"/>
          <w:numId w:val="2"/>
        </w:numPr>
        <w:spacing w:line="360" w:lineRule="auto"/>
        <w:jc w:val="both"/>
        <w:rPr>
          <w:rFonts w:cstheme="minorHAnsi"/>
          <w:color w:val="000000"/>
          <w:shd w:val="clear" w:color="auto" w:fill="FFFFFF"/>
        </w:rPr>
      </w:pPr>
      <w:r w:rsidRPr="00757A82">
        <w:rPr>
          <w:rFonts w:cstheme="minorHAnsi"/>
          <w:color w:val="000000"/>
          <w:shd w:val="clear" w:color="auto" w:fill="FFFFFF"/>
        </w:rPr>
        <w:t>In Household secured lending, there was a 0.9pp decrease in the first year, but from the second one, the loan growth has been restored to its previous rate;</w:t>
      </w:r>
    </w:p>
    <w:p w14:paraId="1DCB17C8" w14:textId="77777777" w:rsidR="00757A82" w:rsidRPr="00757A82" w:rsidRDefault="00757A82" w:rsidP="004E084E">
      <w:pPr>
        <w:numPr>
          <w:ilvl w:val="0"/>
          <w:numId w:val="2"/>
        </w:numPr>
        <w:spacing w:line="360" w:lineRule="auto"/>
        <w:jc w:val="both"/>
        <w:rPr>
          <w:rFonts w:cstheme="minorHAnsi"/>
          <w:color w:val="000000"/>
          <w:shd w:val="clear" w:color="auto" w:fill="FFFFFF"/>
        </w:rPr>
      </w:pPr>
      <w:r w:rsidRPr="00757A82">
        <w:rPr>
          <w:rFonts w:cstheme="minorHAnsi"/>
          <w:color w:val="000000"/>
          <w:shd w:val="clear" w:color="auto" w:fill="FFFFFF"/>
        </w:rPr>
        <w:t>In Household unsecured lending the reduction in growth reaches 0.7pp in the first year, then decreases in succession until it re-establishes itself at 0.2pp in the long period;</w:t>
      </w:r>
    </w:p>
    <w:p w14:paraId="135C0470" w14:textId="77777777" w:rsidR="00757A82" w:rsidRPr="00757A82" w:rsidRDefault="00757A82" w:rsidP="004E084E">
      <w:pPr>
        <w:numPr>
          <w:ilvl w:val="0"/>
          <w:numId w:val="2"/>
        </w:numPr>
        <w:spacing w:line="360" w:lineRule="auto"/>
        <w:jc w:val="both"/>
        <w:rPr>
          <w:rFonts w:cstheme="minorHAnsi"/>
          <w:color w:val="000000"/>
          <w:shd w:val="clear" w:color="auto" w:fill="FFFFFF"/>
        </w:rPr>
      </w:pPr>
      <w:r w:rsidRPr="00757A82">
        <w:rPr>
          <w:rFonts w:cstheme="minorHAnsi"/>
          <w:color w:val="000000"/>
          <w:shd w:val="clear" w:color="auto" w:fill="FFFFFF"/>
        </w:rPr>
        <w:t>CRE lending falls significantly for 8pp in the first year, further after this period, the growth rate stabilised around 1.3pp, that is 0.5pp lower than it was previously;</w:t>
      </w:r>
    </w:p>
    <w:p w14:paraId="4C22F9AE" w14:textId="77777777" w:rsidR="00757A82" w:rsidRPr="00757A82" w:rsidRDefault="00757A82" w:rsidP="004E084E">
      <w:pPr>
        <w:numPr>
          <w:ilvl w:val="0"/>
          <w:numId w:val="2"/>
        </w:numPr>
        <w:spacing w:line="360" w:lineRule="auto"/>
        <w:jc w:val="both"/>
        <w:rPr>
          <w:rFonts w:cstheme="minorHAnsi"/>
          <w:color w:val="000000"/>
          <w:shd w:val="clear" w:color="auto" w:fill="FFFFFF"/>
        </w:rPr>
      </w:pPr>
      <w:r w:rsidRPr="00757A82">
        <w:rPr>
          <w:rFonts w:cstheme="minorHAnsi"/>
          <w:color w:val="000000"/>
          <w:shd w:val="clear" w:color="auto" w:fill="FFFFFF"/>
        </w:rPr>
        <w:t>Non-CRE corporate lending follows a similar trend to the previous one, no significant long-run effects (Bridges et al., 2014). </w:t>
      </w:r>
    </w:p>
    <w:p w14:paraId="1F0AA8B0" w14:textId="0968A232" w:rsidR="00EF79D1" w:rsidRDefault="00757A82" w:rsidP="004E084E">
      <w:pPr>
        <w:spacing w:line="360" w:lineRule="auto"/>
        <w:jc w:val="both"/>
        <w:rPr>
          <w:rFonts w:cstheme="minorHAnsi"/>
          <w:color w:val="000000"/>
          <w:shd w:val="clear" w:color="auto" w:fill="FFFFFF"/>
        </w:rPr>
      </w:pPr>
      <w:r w:rsidRPr="00757A82">
        <w:rPr>
          <w:rFonts w:cstheme="minorHAnsi"/>
          <w:color w:val="000000"/>
          <w:shd w:val="clear" w:color="auto" w:fill="FFFFFF"/>
        </w:rPr>
        <w:lastRenderedPageBreak/>
        <w:t>The analysis underlines how the loan growth recovers within three years, with the only exception of CRE loans that have effects in the long period. A new policy regime has different implications for banks that will adjust their capital and their capacity to lend. Overall, having analysed the results of three of the largest banks in the United Kingdom (Barclays, Lloyds and Royal Bank of Scotland) for the past five years, and having revisited the literature and studies on correlation between Capital requirement and lending, in the long run, the relationship between the two seems to be positive.</w:t>
      </w:r>
    </w:p>
    <w:p w14:paraId="0E231A2E" w14:textId="77777777" w:rsidR="009D05CE" w:rsidRDefault="009D05CE" w:rsidP="004E084E">
      <w:pPr>
        <w:spacing w:line="360" w:lineRule="auto"/>
        <w:rPr>
          <w:rFonts w:cstheme="minorHAnsi"/>
          <w:color w:val="000000"/>
          <w:shd w:val="clear" w:color="auto" w:fill="FFFFFF"/>
        </w:rPr>
      </w:pPr>
    </w:p>
    <w:p w14:paraId="5D60A254" w14:textId="4DC12F0C" w:rsidR="00EF79D1" w:rsidRDefault="00EF79D1" w:rsidP="004E084E">
      <w:pPr>
        <w:pStyle w:val="Heading2"/>
        <w:spacing w:line="360" w:lineRule="auto"/>
        <w:rPr>
          <w:b/>
          <w:bCs/>
          <w:color w:val="auto"/>
          <w:shd w:val="clear" w:color="auto" w:fill="FFFFFF"/>
        </w:rPr>
      </w:pPr>
      <w:bookmarkStart w:id="19" w:name="_Toc29313856"/>
      <w:bookmarkStart w:id="20" w:name="_Toc29314032"/>
      <w:bookmarkStart w:id="21" w:name="_Toc29314114"/>
      <w:r w:rsidRPr="00757A82">
        <w:rPr>
          <w:b/>
          <w:bCs/>
          <w:color w:val="auto"/>
          <w:shd w:val="clear" w:color="auto" w:fill="FFFFFF"/>
        </w:rPr>
        <w:t>B2. LIQUIDITY LEVEL AND LENDING</w:t>
      </w:r>
      <w:bookmarkEnd w:id="19"/>
      <w:bookmarkEnd w:id="20"/>
      <w:bookmarkEnd w:id="21"/>
    </w:p>
    <w:p w14:paraId="0736C378" w14:textId="532C5E0E" w:rsidR="00757A82" w:rsidRDefault="00757A82" w:rsidP="004E084E">
      <w:pPr>
        <w:spacing w:line="360" w:lineRule="auto"/>
        <w:jc w:val="both"/>
      </w:pPr>
    </w:p>
    <w:p w14:paraId="67641CEC" w14:textId="77777777" w:rsidR="00F5788C" w:rsidRPr="00F5788C" w:rsidRDefault="00F5788C" w:rsidP="004E084E">
      <w:pPr>
        <w:spacing w:line="360" w:lineRule="auto"/>
        <w:jc w:val="both"/>
      </w:pPr>
      <w:r w:rsidRPr="00F5788C">
        <w:t xml:space="preserve">The financial crisis that hit the entire financial system in 2007, vividly highlighted the vulnerability of the banking system on liquidity risk. During this phase, most banks, while respecting capital requirements, encountered liquidity difficulties which spread and infected the broader financial system. </w:t>
      </w:r>
      <w:proofErr w:type="gramStart"/>
      <w:r w:rsidRPr="00F5788C">
        <w:t>In particular, policymaker</w:t>
      </w:r>
      <w:proofErr w:type="gramEnd"/>
      <w:r w:rsidRPr="00F5788C">
        <w:t xml:space="preserve"> and regulator stressed the importance, for banks, of having sufficient liquidity to perform their intermediation role in a prudent way, and to respond to the possible shocks that the market may have. These difficulties experienced, were therefore due to lack in basic liquidity requirements and measurements (Bank for international settlements, 2014). </w:t>
      </w:r>
    </w:p>
    <w:p w14:paraId="78B63D1A" w14:textId="77777777" w:rsidR="00F5788C" w:rsidRDefault="00F5788C" w:rsidP="004E084E">
      <w:pPr>
        <w:spacing w:line="360" w:lineRule="auto"/>
        <w:jc w:val="both"/>
      </w:pPr>
      <w:r w:rsidRPr="00F5788C">
        <w:t>In response, the following year, the BCBS (Basel Committee on Banking Supervision) developed specific guidance on the liquidity risk through </w:t>
      </w:r>
      <w:r w:rsidRPr="00F5788C">
        <w:rPr>
          <w:i/>
          <w:iCs/>
        </w:rPr>
        <w:t>‘Sounds Principles’,</w:t>
      </w:r>
      <w:r w:rsidRPr="00F5788C">
        <w:t xml:space="preserve"> providing liquidity and a funding standard. The two main objectives were to ensure the ability of banks to have </w:t>
      </w:r>
      <w:proofErr w:type="gramStart"/>
      <w:r w:rsidRPr="00F5788C">
        <w:t>sufficient</w:t>
      </w:r>
      <w:proofErr w:type="gramEnd"/>
      <w:r>
        <w:t xml:space="preserve"> HQLA to survive to a 30 days stress scenario and to require banks to utilise enough stable sources of funding to reduce the risk: to achieve these goals, Basel III was established. The 1st January 2015 the LCR (liquidity coverage ratio) was introduced, requiring a value of the ratio no lower than 60% (100% from 2019) which indicates the proportion of high-quality liquidity assets, or those assets that can be easily and quickly transformed into cash, hold by the financial institutions (Kim and Sohn, 2017).</w:t>
      </w:r>
    </w:p>
    <w:p w14:paraId="68210FEE" w14:textId="66AB3D26" w:rsidR="00F5788C" w:rsidRDefault="00F5788C" w:rsidP="004E084E">
      <w:pPr>
        <w:spacing w:line="360" w:lineRule="auto"/>
        <w:jc w:val="both"/>
      </w:pPr>
      <w:r>
        <w:t>Understand the connection and impact that liquidity disclosure requirements have on lending is a key issue; subsequently, this paper will briefly analyse how the literature explains the correlation between the two variables and the results from three of the major UK banks in the past five years will be examined.</w:t>
      </w:r>
    </w:p>
    <w:p w14:paraId="5255D6A9" w14:textId="43095548" w:rsidR="009D05CE" w:rsidRDefault="009D05CE" w:rsidP="004E084E">
      <w:pPr>
        <w:spacing w:line="360" w:lineRule="auto"/>
        <w:jc w:val="both"/>
      </w:pPr>
    </w:p>
    <w:p w14:paraId="58198FA2" w14:textId="77777777" w:rsidR="004E084E" w:rsidRPr="00757A82" w:rsidRDefault="004E084E" w:rsidP="004E084E">
      <w:pPr>
        <w:spacing w:line="360" w:lineRule="auto"/>
        <w:jc w:val="both"/>
      </w:pPr>
    </w:p>
    <w:p w14:paraId="35E95F5C" w14:textId="4218F4E6" w:rsidR="009D05CE" w:rsidRDefault="009D05CE" w:rsidP="004E084E">
      <w:pPr>
        <w:pStyle w:val="Heading3"/>
        <w:spacing w:line="360" w:lineRule="auto"/>
        <w:rPr>
          <w:b/>
          <w:bCs/>
          <w:color w:val="auto"/>
          <w:shd w:val="clear" w:color="auto" w:fill="FFFFFF"/>
        </w:rPr>
      </w:pPr>
      <w:bookmarkStart w:id="22" w:name="_Toc29313857"/>
      <w:bookmarkStart w:id="23" w:name="_Toc29314033"/>
      <w:bookmarkStart w:id="24" w:name="_Toc29314115"/>
      <w:r>
        <w:rPr>
          <w:b/>
          <w:bCs/>
          <w:color w:val="auto"/>
          <w:shd w:val="clear" w:color="auto" w:fill="FFFFFF"/>
        </w:rPr>
        <w:lastRenderedPageBreak/>
        <w:t>-</w:t>
      </w:r>
      <w:r w:rsidR="001D2487" w:rsidRPr="00F5788C">
        <w:rPr>
          <w:b/>
          <w:bCs/>
          <w:color w:val="auto"/>
          <w:shd w:val="clear" w:color="auto" w:fill="FFFFFF"/>
        </w:rPr>
        <w:t>Literature</w:t>
      </w:r>
      <w:bookmarkEnd w:id="22"/>
      <w:bookmarkEnd w:id="23"/>
      <w:bookmarkEnd w:id="24"/>
    </w:p>
    <w:p w14:paraId="5277FDC9" w14:textId="77777777" w:rsidR="009D05CE" w:rsidRPr="009D05CE" w:rsidRDefault="009D05CE" w:rsidP="004E084E">
      <w:pPr>
        <w:spacing w:line="360" w:lineRule="auto"/>
      </w:pPr>
    </w:p>
    <w:p w14:paraId="4D4F6D58" w14:textId="77777777" w:rsidR="00F5788C" w:rsidRPr="00F5788C" w:rsidRDefault="00F5788C" w:rsidP="004E084E">
      <w:pPr>
        <w:spacing w:line="360" w:lineRule="auto"/>
        <w:jc w:val="both"/>
        <w:rPr>
          <w:rFonts w:cstheme="minorHAnsi"/>
          <w:shd w:val="clear" w:color="auto" w:fill="FFFFFF"/>
        </w:rPr>
      </w:pPr>
      <w:r w:rsidRPr="00F5788C">
        <w:rPr>
          <w:rFonts w:cstheme="minorHAnsi"/>
          <w:shd w:val="clear" w:color="auto" w:fill="FFFFFF"/>
        </w:rPr>
        <w:t xml:space="preserve">The literature has analysed the impact that various variables have on lending. </w:t>
      </w:r>
      <w:proofErr w:type="gramStart"/>
      <w:r w:rsidRPr="00F5788C">
        <w:rPr>
          <w:rFonts w:cstheme="minorHAnsi"/>
          <w:shd w:val="clear" w:color="auto" w:fill="FFFFFF"/>
        </w:rPr>
        <w:t>Indeed</w:t>
      </w:r>
      <w:proofErr w:type="gramEnd"/>
      <w:r w:rsidRPr="00F5788C">
        <w:rPr>
          <w:rFonts w:cstheme="minorHAnsi"/>
          <w:shd w:val="clear" w:color="auto" w:fill="FFFFFF"/>
        </w:rPr>
        <w:t xml:space="preserve"> many empirical studies have analysed the relationship between the level of liquidity and its impact on lending. Since the announcement of the introduction of new regulations, addressed to lead to stronger and more stable banks, policymakers and academics discussed the possible impacts of these reforms.</w:t>
      </w:r>
    </w:p>
    <w:p w14:paraId="7B22AFD8" w14:textId="77777777" w:rsidR="00F5788C" w:rsidRPr="00F5788C" w:rsidRDefault="00F5788C" w:rsidP="004E084E">
      <w:pPr>
        <w:spacing w:line="360" w:lineRule="auto"/>
        <w:jc w:val="both"/>
        <w:rPr>
          <w:rFonts w:cstheme="minorHAnsi"/>
          <w:shd w:val="clear" w:color="auto" w:fill="FFFFFF"/>
        </w:rPr>
      </w:pPr>
      <w:r w:rsidRPr="00F5788C">
        <w:rPr>
          <w:rFonts w:cstheme="minorHAnsi"/>
          <w:shd w:val="clear" w:color="auto" w:fill="FFFFFF"/>
        </w:rPr>
        <w:t xml:space="preserve">Most of the literature pays </w:t>
      </w:r>
      <w:proofErr w:type="gramStart"/>
      <w:r w:rsidRPr="00F5788C">
        <w:rPr>
          <w:rFonts w:cstheme="minorHAnsi"/>
          <w:shd w:val="clear" w:color="auto" w:fill="FFFFFF"/>
        </w:rPr>
        <w:t>particular attention</w:t>
      </w:r>
      <w:proofErr w:type="gramEnd"/>
      <w:r w:rsidRPr="00F5788C">
        <w:rPr>
          <w:rFonts w:cstheme="minorHAnsi"/>
          <w:shd w:val="clear" w:color="auto" w:fill="FFFFFF"/>
        </w:rPr>
        <w:t xml:space="preserve"> to </w:t>
      </w:r>
      <w:r w:rsidRPr="00F5788C">
        <w:rPr>
          <w:rFonts w:cstheme="minorHAnsi"/>
          <w:b/>
          <w:bCs/>
          <w:shd w:val="clear" w:color="auto" w:fill="FFFFFF"/>
        </w:rPr>
        <w:t>funding liquidity risk</w:t>
      </w:r>
      <w:r w:rsidRPr="00F5788C">
        <w:rPr>
          <w:rFonts w:cstheme="minorHAnsi"/>
          <w:shd w:val="clear" w:color="auto" w:fill="FFFFFF"/>
        </w:rPr>
        <w:t>, defined as the situation in which the bank is unable to respond immediately to the request for liquidity from the depositors. The European Central Bank measured the FLR (founding liquidity risk) from 2005 to 2008 utilising as measure the insurance premium, highlighting how the liquidity risk has increased significantly with the financial crisis. The research result showed a negative correlation between the FLR and the Market Liquidity, a conclusion that was supported by </w:t>
      </w:r>
      <w:hyperlink r:id="rId9" w:anchor="bib38" w:tgtFrame="_blank" w:history="1">
        <w:r w:rsidRPr="00F5788C">
          <w:rPr>
            <w:rStyle w:val="Hyperlink"/>
            <w:rFonts w:cstheme="minorHAnsi"/>
            <w:color w:val="auto"/>
            <w:u w:val="none"/>
            <w:shd w:val="clear" w:color="auto" w:fill="FFFFFF"/>
          </w:rPr>
          <w:t>Dahir et al. (2018)</w:t>
        </w:r>
      </w:hyperlink>
      <w:r w:rsidRPr="00F5788C">
        <w:rPr>
          <w:rFonts w:cstheme="minorHAnsi"/>
          <w:shd w:val="clear" w:color="auto" w:fill="FFFFFF"/>
        </w:rPr>
        <w:t>, which underline the negative link (Dahir et al., 2019).</w:t>
      </w:r>
    </w:p>
    <w:p w14:paraId="4CCD073F" w14:textId="77777777" w:rsidR="00F5788C" w:rsidRPr="00F5788C" w:rsidRDefault="00F5788C" w:rsidP="004E084E">
      <w:pPr>
        <w:spacing w:line="360" w:lineRule="auto"/>
        <w:jc w:val="both"/>
        <w:rPr>
          <w:rFonts w:cstheme="minorHAnsi"/>
          <w:shd w:val="clear" w:color="auto" w:fill="FFFFFF"/>
        </w:rPr>
      </w:pPr>
      <w:r w:rsidRPr="00F5788C">
        <w:rPr>
          <w:rFonts w:cstheme="minorHAnsi"/>
          <w:shd w:val="clear" w:color="auto" w:fill="FFFFFF"/>
        </w:rPr>
        <w:t>The same results emerged from the studies of </w:t>
      </w:r>
      <w:hyperlink r:id="rId10" w:anchor="bib29" w:tgtFrame="_blank" w:history="1">
        <w:r w:rsidRPr="00F5788C">
          <w:rPr>
            <w:rStyle w:val="Hyperlink"/>
            <w:rFonts w:cstheme="minorHAnsi"/>
            <w:color w:val="auto"/>
            <w:u w:val="none"/>
            <w:shd w:val="clear" w:color="auto" w:fill="FFFFFF"/>
          </w:rPr>
          <w:t>Khan et al. (2017)</w:t>
        </w:r>
      </w:hyperlink>
      <w:r w:rsidRPr="00F5788C">
        <w:rPr>
          <w:rFonts w:cstheme="minorHAnsi"/>
          <w:shd w:val="clear" w:color="auto" w:fill="FFFFFF"/>
        </w:rPr>
        <w:t> and Vasquez et al. (2015), which, always analysing the relationship between the two variables, found that banking risk had increased due to the high fund liquidity risk detected. During the global financial crisis, researchers show that domestic banks and bank with high leverage and non-</w:t>
      </w:r>
      <w:proofErr w:type="gramStart"/>
      <w:r w:rsidRPr="00F5788C">
        <w:rPr>
          <w:rFonts w:cstheme="minorHAnsi"/>
          <w:shd w:val="clear" w:color="auto" w:fill="FFFFFF"/>
        </w:rPr>
        <w:t>sufficient</w:t>
      </w:r>
      <w:proofErr w:type="gramEnd"/>
      <w:r w:rsidRPr="00F5788C">
        <w:rPr>
          <w:rFonts w:cstheme="minorHAnsi"/>
          <w:shd w:val="clear" w:color="auto" w:fill="FFFFFF"/>
        </w:rPr>
        <w:t xml:space="preserve"> liquidity were more likely susceptible to liquidity risk. Also, the analysis of Umar et al. (2016), discovered the negative association between liquidity creation and funding liquidity (Dahir et al., 2019).</w:t>
      </w:r>
    </w:p>
    <w:p w14:paraId="709BE59C" w14:textId="77777777" w:rsidR="00F5788C" w:rsidRPr="00F5788C" w:rsidRDefault="00F5788C" w:rsidP="004E084E">
      <w:pPr>
        <w:spacing w:line="360" w:lineRule="auto"/>
        <w:jc w:val="both"/>
        <w:rPr>
          <w:rFonts w:cstheme="minorHAnsi"/>
          <w:shd w:val="clear" w:color="auto" w:fill="FFFFFF"/>
        </w:rPr>
      </w:pPr>
      <w:r w:rsidRPr="00F5788C">
        <w:rPr>
          <w:rFonts w:cstheme="minorHAnsi"/>
          <w:shd w:val="clear" w:color="auto" w:fill="FFFFFF"/>
        </w:rPr>
        <w:t>According to Giovannini and Giavazzi in 2011, liquidity plays a fundamental role in the stability of the financial system. In a situation where short-term deposits decide to withdraw their money at the same time and the bank run-out of liquidity, the impact of this situation destabilises the entire financial market (as the episode of the Northern Rock Bank) (Bonner and Eijffinger, 2012).</w:t>
      </w:r>
    </w:p>
    <w:p w14:paraId="27C476D4" w14:textId="77777777" w:rsidR="00F5788C" w:rsidRPr="00F5788C" w:rsidRDefault="00F5788C" w:rsidP="004E084E">
      <w:pPr>
        <w:spacing w:line="360" w:lineRule="auto"/>
        <w:jc w:val="both"/>
        <w:rPr>
          <w:rFonts w:cstheme="minorHAnsi"/>
          <w:shd w:val="clear" w:color="auto" w:fill="FFFFFF"/>
        </w:rPr>
      </w:pPr>
      <w:r w:rsidRPr="00F5788C">
        <w:rPr>
          <w:rFonts w:cstheme="minorHAnsi"/>
          <w:shd w:val="clear" w:color="auto" w:fill="FFFFFF"/>
        </w:rPr>
        <w:t>Taking into consideration specifically the Liquidity requirement introduced by Basel III, the evaluation of its impact has a wide range of views. The result of these regulations is seen in a contrasting way: some economists argue that its influence may be negative by increasing the cost of funding, while others argue that its consequences may be limited. The empirical literature has, however, taking into consideration more the implications of regulatory capital requirements, not found significant impacts deriving from the liquidity regulation on lending. However, specific assumption and simulations suggest a large negative impact between the rise of liquidity regulation and lending (Chiaramonte et al., 2018).</w:t>
      </w:r>
    </w:p>
    <w:p w14:paraId="08BF5255" w14:textId="209B58A0" w:rsidR="00937A03" w:rsidRDefault="00AD3C25" w:rsidP="004E084E">
      <w:pPr>
        <w:spacing w:line="360" w:lineRule="auto"/>
        <w:jc w:val="both"/>
        <w:rPr>
          <w:rFonts w:cstheme="minorHAnsi"/>
          <w:shd w:val="clear" w:color="auto" w:fill="FFFFFF"/>
        </w:rPr>
      </w:pPr>
      <w:r>
        <w:rPr>
          <w:rFonts w:cstheme="minorHAnsi"/>
          <w:shd w:val="clear" w:color="auto" w:fill="FFFFFF"/>
        </w:rPr>
        <w:lastRenderedPageBreak/>
        <w:t xml:space="preserve">Schmitz in 2009 and 2010, </w:t>
      </w:r>
      <w:r w:rsidRPr="00AD3C25">
        <w:rPr>
          <w:rFonts w:cstheme="minorHAnsi"/>
          <w:shd w:val="clear" w:color="auto" w:fill="FFFFFF"/>
          <w:lang w:val="en"/>
        </w:rPr>
        <w:t xml:space="preserve">argues that the introduction of the </w:t>
      </w:r>
      <w:r w:rsidRPr="00CA79DE">
        <w:rPr>
          <w:rFonts w:cstheme="minorHAnsi"/>
          <w:b/>
          <w:bCs/>
          <w:shd w:val="clear" w:color="auto" w:fill="FFFFFF"/>
          <w:lang w:val="en"/>
        </w:rPr>
        <w:t>LCR</w:t>
      </w:r>
      <w:r w:rsidRPr="00AD3C25">
        <w:rPr>
          <w:rFonts w:cstheme="minorHAnsi"/>
          <w:shd w:val="clear" w:color="auto" w:fill="FFFFFF"/>
          <w:lang w:val="en"/>
        </w:rPr>
        <w:t xml:space="preserve"> has discouraged banks from offering loans</w:t>
      </w:r>
      <w:r w:rsidR="00937A03">
        <w:rPr>
          <w:rFonts w:cstheme="minorHAnsi"/>
          <w:shd w:val="clear" w:color="auto" w:fill="FFFFFF"/>
          <w:lang w:val="en"/>
        </w:rPr>
        <w:t xml:space="preserve"> in the insecure money market</w:t>
      </w:r>
      <w:r>
        <w:rPr>
          <w:rFonts w:cstheme="minorHAnsi"/>
          <w:shd w:val="clear" w:color="auto" w:fill="FFFFFF"/>
          <w:lang w:val="en"/>
        </w:rPr>
        <w:t xml:space="preserve">, </w:t>
      </w:r>
      <w:r w:rsidR="00937A03" w:rsidRPr="00937A03">
        <w:rPr>
          <w:rFonts w:cstheme="minorHAnsi"/>
          <w:shd w:val="clear" w:color="auto" w:fill="FFFFFF"/>
          <w:lang w:val="en"/>
        </w:rPr>
        <w:t>as the bank is required to hold more liquidity</w:t>
      </w:r>
      <w:r w:rsidRPr="00AD3C25">
        <w:rPr>
          <w:rFonts w:cstheme="minorHAnsi"/>
          <w:shd w:val="clear" w:color="auto" w:fill="FFFFFF"/>
          <w:lang w:val="en"/>
        </w:rPr>
        <w:t>,</w:t>
      </w:r>
      <w:r w:rsidR="00937A03" w:rsidRPr="00937A03">
        <w:rPr>
          <w:rFonts w:ascii="inherit" w:eastAsia="Times New Roman" w:hAnsi="inherit" w:cs="Courier New"/>
          <w:color w:val="222222"/>
          <w:sz w:val="42"/>
          <w:szCs w:val="42"/>
          <w:lang w:val="en" w:eastAsia="en-GB"/>
        </w:rPr>
        <w:t xml:space="preserve"> </w:t>
      </w:r>
      <w:r w:rsidR="00937A03" w:rsidRPr="00937A03">
        <w:rPr>
          <w:rFonts w:cstheme="minorHAnsi"/>
          <w:shd w:val="clear" w:color="auto" w:fill="FFFFFF"/>
          <w:lang w:val="en"/>
        </w:rPr>
        <w:t>therefore having to balance its outflows</w:t>
      </w:r>
      <w:r>
        <w:rPr>
          <w:rFonts w:cstheme="minorHAnsi"/>
          <w:shd w:val="clear" w:color="auto" w:fill="FFFFFF"/>
          <w:lang w:val="en"/>
        </w:rPr>
        <w:t xml:space="preserve">. </w:t>
      </w:r>
      <w:r w:rsidR="00937A03">
        <w:rPr>
          <w:rFonts w:cstheme="minorHAnsi"/>
          <w:shd w:val="clear" w:color="auto" w:fill="FFFFFF"/>
          <w:lang w:val="en"/>
        </w:rPr>
        <w:t>S</w:t>
      </w:r>
      <w:r w:rsidR="00937A03" w:rsidRPr="00937A03">
        <w:rPr>
          <w:rFonts w:cstheme="minorHAnsi"/>
          <w:shd w:val="clear" w:color="auto" w:fill="FFFFFF"/>
          <w:lang w:val="en"/>
        </w:rPr>
        <w:t>ubsequently, the economist expanded his analysis, emphasizing the fact that the LCR has no significant impact on loans</w:t>
      </w:r>
      <w:r w:rsidR="00937A03">
        <w:rPr>
          <w:rFonts w:cstheme="minorHAnsi"/>
          <w:shd w:val="clear" w:color="auto" w:fill="FFFFFF"/>
          <w:lang w:val="en"/>
        </w:rPr>
        <w:t xml:space="preserve"> with maturity</w:t>
      </w:r>
      <w:r w:rsidR="00937A03" w:rsidRPr="00937A03">
        <w:rPr>
          <w:rFonts w:cstheme="minorHAnsi"/>
          <w:shd w:val="clear" w:color="auto" w:fill="FFFFFF"/>
          <w:lang w:val="en"/>
        </w:rPr>
        <w:t xml:space="preserve"> </w:t>
      </w:r>
      <w:r w:rsidR="00937A03">
        <w:rPr>
          <w:rFonts w:cstheme="minorHAnsi"/>
          <w:shd w:val="clear" w:color="auto" w:fill="FFFFFF"/>
          <w:lang w:val="en"/>
        </w:rPr>
        <w:t>shorter</w:t>
      </w:r>
      <w:r w:rsidR="00937A03" w:rsidRPr="00937A03">
        <w:rPr>
          <w:rFonts w:cstheme="minorHAnsi"/>
          <w:shd w:val="clear" w:color="auto" w:fill="FFFFFF"/>
          <w:lang w:val="en"/>
        </w:rPr>
        <w:t xml:space="preserve"> than 30 days</w:t>
      </w:r>
      <w:r w:rsidR="00937A03">
        <w:rPr>
          <w:rFonts w:cstheme="minorHAnsi"/>
          <w:shd w:val="clear" w:color="auto" w:fill="FFFFFF"/>
          <w:lang w:val="en"/>
        </w:rPr>
        <w:t xml:space="preserve">, </w:t>
      </w:r>
      <w:r w:rsidR="00937A03" w:rsidRPr="00937A03">
        <w:rPr>
          <w:rFonts w:cstheme="minorHAnsi"/>
          <w:shd w:val="clear" w:color="auto" w:fill="FFFFFF"/>
          <w:lang w:val="en"/>
        </w:rPr>
        <w:t>while those with a maturity of over 30 days have a direct impact</w:t>
      </w:r>
      <w:r w:rsidR="00937A03">
        <w:rPr>
          <w:rFonts w:cstheme="minorHAnsi"/>
          <w:shd w:val="clear" w:color="auto" w:fill="FFFFFF"/>
          <w:lang w:val="en"/>
        </w:rPr>
        <w:t xml:space="preserve"> </w:t>
      </w:r>
      <w:r w:rsidR="00937A03" w:rsidRPr="00937A03">
        <w:rPr>
          <w:rFonts w:cstheme="minorHAnsi"/>
          <w:shd w:val="clear" w:color="auto" w:fill="FFFFFF"/>
        </w:rPr>
        <w:t xml:space="preserve">(Bonner </w:t>
      </w:r>
      <w:r w:rsidR="00F5788C">
        <w:rPr>
          <w:rFonts w:cstheme="minorHAnsi"/>
          <w:shd w:val="clear" w:color="auto" w:fill="FFFFFF"/>
        </w:rPr>
        <w:t>et al.</w:t>
      </w:r>
      <w:r w:rsidR="00937A03" w:rsidRPr="00937A03">
        <w:rPr>
          <w:rFonts w:cstheme="minorHAnsi"/>
          <w:shd w:val="clear" w:color="auto" w:fill="FFFFFF"/>
        </w:rPr>
        <w:t>, 2012)</w:t>
      </w:r>
      <w:r w:rsidR="00937A03">
        <w:rPr>
          <w:rFonts w:cstheme="minorHAnsi"/>
          <w:shd w:val="clear" w:color="auto" w:fill="FFFFFF"/>
        </w:rPr>
        <w:t>.</w:t>
      </w:r>
    </w:p>
    <w:p w14:paraId="683ED310" w14:textId="45F55D37" w:rsidR="00B434AF" w:rsidRDefault="007B425C" w:rsidP="004E084E">
      <w:pPr>
        <w:spacing w:line="360" w:lineRule="auto"/>
        <w:jc w:val="both"/>
        <w:rPr>
          <w:rFonts w:cstheme="minorHAnsi"/>
          <w:shd w:val="clear" w:color="auto" w:fill="FFFFFF"/>
        </w:rPr>
      </w:pPr>
      <w:r>
        <w:rPr>
          <w:rFonts w:cstheme="minorHAnsi"/>
          <w:shd w:val="clear" w:color="auto" w:fill="FFFFFF"/>
        </w:rPr>
        <w:t>D</w:t>
      </w:r>
      <w:r w:rsidRPr="007B425C">
        <w:rPr>
          <w:rFonts w:cstheme="minorHAnsi"/>
          <w:shd w:val="clear" w:color="auto" w:fill="FFFFFF"/>
        </w:rPr>
        <w:t>espite various studies and hypotheses, there are no studies that affirm with certainty the direct impact of the</w:t>
      </w:r>
      <w:r>
        <w:rPr>
          <w:rFonts w:cstheme="minorHAnsi"/>
          <w:shd w:val="clear" w:color="auto" w:fill="FFFFFF"/>
        </w:rPr>
        <w:t xml:space="preserve"> liquidity</w:t>
      </w:r>
      <w:r w:rsidRPr="007B425C">
        <w:rPr>
          <w:rFonts w:cstheme="minorHAnsi"/>
          <w:shd w:val="clear" w:color="auto" w:fill="FFFFFF"/>
        </w:rPr>
        <w:t xml:space="preserve"> regulation </w:t>
      </w:r>
      <w:r>
        <w:rPr>
          <w:rFonts w:cstheme="minorHAnsi"/>
          <w:shd w:val="clear" w:color="auto" w:fill="FFFFFF"/>
        </w:rPr>
        <w:t>on the interbank lending market</w:t>
      </w:r>
      <w:r w:rsidR="00856BF9">
        <w:rPr>
          <w:rFonts w:cstheme="minorHAnsi"/>
          <w:shd w:val="clear" w:color="auto" w:fill="FFFFFF"/>
        </w:rPr>
        <w:t xml:space="preserve"> </w:t>
      </w:r>
      <w:r w:rsidR="00856BF9" w:rsidRPr="00937A03">
        <w:rPr>
          <w:rFonts w:cstheme="minorHAnsi"/>
          <w:shd w:val="clear" w:color="auto" w:fill="FFFFFF"/>
        </w:rPr>
        <w:t xml:space="preserve">(Bonner </w:t>
      </w:r>
      <w:r w:rsidR="00F5788C">
        <w:rPr>
          <w:rFonts w:cstheme="minorHAnsi"/>
          <w:shd w:val="clear" w:color="auto" w:fill="FFFFFF"/>
        </w:rPr>
        <w:t>et al.</w:t>
      </w:r>
      <w:r w:rsidR="00856BF9" w:rsidRPr="00937A03">
        <w:rPr>
          <w:rFonts w:cstheme="minorHAnsi"/>
          <w:shd w:val="clear" w:color="auto" w:fill="FFFFFF"/>
        </w:rPr>
        <w:t>, 2012)</w:t>
      </w:r>
      <w:r w:rsidR="00856BF9">
        <w:rPr>
          <w:rFonts w:cstheme="minorHAnsi"/>
          <w:shd w:val="clear" w:color="auto" w:fill="FFFFFF"/>
        </w:rPr>
        <w:t>.</w:t>
      </w:r>
    </w:p>
    <w:p w14:paraId="596BEB59" w14:textId="0ED75250" w:rsidR="00856BF9" w:rsidRDefault="00856BF9" w:rsidP="000478CE">
      <w:pPr>
        <w:pStyle w:val="Heading3"/>
        <w:rPr>
          <w:shd w:val="clear" w:color="auto" w:fill="FFFFFF"/>
        </w:rPr>
      </w:pPr>
    </w:p>
    <w:p w14:paraId="5D800B2E" w14:textId="43A9036E" w:rsidR="00B434AF" w:rsidRPr="009D05CE" w:rsidRDefault="00856BF9" w:rsidP="000478CE">
      <w:pPr>
        <w:pStyle w:val="Heading3"/>
        <w:rPr>
          <w:b/>
          <w:bCs/>
        </w:rPr>
      </w:pPr>
      <w:bookmarkStart w:id="25" w:name="_Toc29314116"/>
      <w:r>
        <w:rPr>
          <w:shd w:val="clear" w:color="auto" w:fill="FFFFFF"/>
        </w:rPr>
        <w:t>-</w:t>
      </w:r>
      <w:r w:rsidRPr="00F5788C">
        <w:rPr>
          <w:rStyle w:val="Heading3Char"/>
          <w:b/>
          <w:bCs/>
          <w:color w:val="auto"/>
        </w:rPr>
        <w:t>Impact of Liquidity regulation on Banks’s balance sheet structure</w:t>
      </w:r>
      <w:bookmarkEnd w:id="25"/>
    </w:p>
    <w:p w14:paraId="54E80312" w14:textId="77777777" w:rsidR="000478CE" w:rsidRDefault="000478CE" w:rsidP="004E084E">
      <w:pPr>
        <w:spacing w:line="360" w:lineRule="auto"/>
        <w:jc w:val="both"/>
        <w:rPr>
          <w:rFonts w:cstheme="minorHAnsi"/>
        </w:rPr>
      </w:pPr>
    </w:p>
    <w:p w14:paraId="05C262D2" w14:textId="1EA5ACEF" w:rsidR="00F5788C" w:rsidRPr="00F5788C" w:rsidRDefault="00F5788C" w:rsidP="004E084E">
      <w:pPr>
        <w:spacing w:line="360" w:lineRule="auto"/>
        <w:jc w:val="both"/>
        <w:rPr>
          <w:rFonts w:cstheme="minorHAnsi"/>
        </w:rPr>
      </w:pPr>
      <w:r w:rsidRPr="00F5788C">
        <w:rPr>
          <w:rFonts w:cstheme="minorHAnsi"/>
        </w:rPr>
        <w:t xml:space="preserve">The purpose of this analysis is to identify how banks have reacted to the introduction of Basel III regulation, specifically regarding the NSFR and the LCR. </w:t>
      </w:r>
    </w:p>
    <w:p w14:paraId="0D55B715" w14:textId="77777777" w:rsidR="00F5788C" w:rsidRPr="00F5788C" w:rsidRDefault="00F5788C" w:rsidP="004E084E">
      <w:pPr>
        <w:spacing w:line="360" w:lineRule="auto"/>
        <w:jc w:val="both"/>
        <w:rPr>
          <w:rFonts w:cstheme="minorHAnsi"/>
        </w:rPr>
      </w:pPr>
      <w:r w:rsidRPr="00F5788C">
        <w:rPr>
          <w:rFonts w:cstheme="minorHAnsi"/>
        </w:rPr>
        <w:t>Empirical evidences were provided by Giordana and Schumacher (2013), who carried out an analysis on the banks of Luxembourg. Their analysis is taken into consideration as the banks have undergone a similar trend as in the UK. Therefore, empirical studies carried out in other European countries on banks with more similar business models, show similar results to trends in the UK (Giordana et al., 2013).</w:t>
      </w:r>
    </w:p>
    <w:p w14:paraId="4579D0B0" w14:textId="2A7CC4B3" w:rsidR="00F5788C" w:rsidRDefault="00F5788C" w:rsidP="004E084E">
      <w:pPr>
        <w:spacing w:line="360" w:lineRule="auto"/>
        <w:jc w:val="both"/>
        <w:rPr>
          <w:rFonts w:cstheme="minorHAnsi"/>
        </w:rPr>
      </w:pPr>
      <w:r w:rsidRPr="00F5788C">
        <w:rPr>
          <w:rFonts w:cstheme="minorHAnsi"/>
        </w:rPr>
        <w:t xml:space="preserve">The results of their study show an asymmetry between the responses of different banks. Small banks are more affected by the shock of the new monetary policies, being less able to shelter their loan portfolio. At the opposite, banks with a high level of HQLA and Available Stable Funding show to be more prepared to absorb the shocks of the new regulations. Instead, Banks with high NO (Net Outflow) struggle to respond to monetary shocks (Giordana </w:t>
      </w:r>
      <w:r w:rsidR="007A04B9">
        <w:rPr>
          <w:rFonts w:cstheme="minorHAnsi"/>
        </w:rPr>
        <w:t>et al.</w:t>
      </w:r>
      <w:r w:rsidRPr="00F5788C">
        <w:rPr>
          <w:rFonts w:cstheme="minorHAnsi"/>
        </w:rPr>
        <w:t>, 2013).</w:t>
      </w:r>
    </w:p>
    <w:p w14:paraId="55A31C9B" w14:textId="40EFD4E1" w:rsidR="007A04B9" w:rsidRPr="007A04B9" w:rsidRDefault="007A04B9" w:rsidP="004E084E">
      <w:pPr>
        <w:spacing w:line="360" w:lineRule="auto"/>
        <w:jc w:val="both"/>
        <w:rPr>
          <w:rFonts w:cstheme="minorHAnsi"/>
        </w:rPr>
      </w:pPr>
      <w:r w:rsidRPr="007A04B9">
        <w:rPr>
          <w:rFonts w:cstheme="minorHAnsi"/>
        </w:rPr>
        <w:t xml:space="preserve">The study suggests that the introduction of NSFR and LCR results to have, consequently, reduced the relevance of the bank lending channel. The NSFR </w:t>
      </w:r>
      <w:r>
        <w:rPr>
          <w:rFonts w:cstheme="minorHAnsi"/>
        </w:rPr>
        <w:t>shows</w:t>
      </w:r>
      <w:r w:rsidRPr="007A04B9">
        <w:rPr>
          <w:rFonts w:cstheme="minorHAnsi"/>
        </w:rPr>
        <w:t>, however, to have greater statistical result than the LCR, as banks, to overcome the requirement and improve their LCR position, can increase their stock of HQLA by borrowing short-term, i.e. increasing the NO (Giordana et al., 2013).</w:t>
      </w:r>
    </w:p>
    <w:p w14:paraId="6D8D5460" w14:textId="77777777" w:rsidR="007A04B9" w:rsidRPr="007A04B9" w:rsidRDefault="007A04B9" w:rsidP="004E084E">
      <w:pPr>
        <w:spacing w:line="360" w:lineRule="auto"/>
        <w:jc w:val="both"/>
        <w:rPr>
          <w:rFonts w:cstheme="minorHAnsi"/>
        </w:rPr>
      </w:pPr>
      <w:r w:rsidRPr="007A04B9">
        <w:rPr>
          <w:rFonts w:cstheme="minorHAnsi"/>
        </w:rPr>
        <w:t>Analysing a study carried out by Bank of England in 2010 on the introduction of the ILG (Individual Liquidity Guidance), the results appear to follow the same trend previously explained. The application of the ILG in 2010 has tightened the liquidity regulation, exactly as it happened after the creation of the LCR. The response that the banks have given to these regulations is interesting as, overall, instead that adjust the size of their balance sheet, they acted on their composition. The </w:t>
      </w:r>
      <w:r w:rsidRPr="007A04B9">
        <w:rPr>
          <w:rFonts w:cstheme="minorHAnsi"/>
          <w:u w:val="single"/>
        </w:rPr>
        <w:t>assets</w:t>
      </w:r>
      <w:r w:rsidRPr="007A04B9">
        <w:rPr>
          <w:rFonts w:cstheme="minorHAnsi"/>
        </w:rPr>
        <w:t xml:space="preserve"> trend shows a 12% increase in HQLA to total assets, accompanied by a decrease to the same extent in short-term </w:t>
      </w:r>
      <w:r w:rsidRPr="007A04B9">
        <w:rPr>
          <w:rFonts w:cstheme="minorHAnsi"/>
        </w:rPr>
        <w:lastRenderedPageBreak/>
        <w:t>intra finance loans. Regarding the </w:t>
      </w:r>
      <w:r w:rsidRPr="007A04B9">
        <w:rPr>
          <w:rFonts w:cstheme="minorHAnsi"/>
          <w:u w:val="single"/>
        </w:rPr>
        <w:t>liabilities</w:t>
      </w:r>
      <w:r w:rsidRPr="007A04B9">
        <w:rPr>
          <w:rFonts w:cstheme="minorHAnsi"/>
        </w:rPr>
        <w:t>, banks have reduced their dependence on less secure wholesale and non-UK funding, increasing on the other side more stable and non-financial funding. In terms of </w:t>
      </w:r>
      <w:r w:rsidRPr="007A04B9">
        <w:rPr>
          <w:rFonts w:cstheme="minorHAnsi"/>
          <w:u w:val="single"/>
        </w:rPr>
        <w:t>price</w:t>
      </w:r>
      <w:r w:rsidRPr="007A04B9">
        <w:rPr>
          <w:rFonts w:cstheme="minorHAnsi"/>
        </w:rPr>
        <w:t>, the analysis didn't find empirical evidence of its increase due to the introduction of regulations (Banerjee et al., 2015).</w:t>
      </w:r>
    </w:p>
    <w:p w14:paraId="61EAE08F" w14:textId="77777777" w:rsidR="007A04B9" w:rsidRPr="007A04B9" w:rsidRDefault="007A04B9" w:rsidP="004E084E">
      <w:pPr>
        <w:spacing w:line="360" w:lineRule="auto"/>
        <w:jc w:val="both"/>
        <w:rPr>
          <w:rFonts w:cstheme="minorHAnsi"/>
        </w:rPr>
      </w:pPr>
      <w:r w:rsidRPr="007A04B9">
        <w:rPr>
          <w:rFonts w:cstheme="minorHAnsi"/>
        </w:rPr>
        <w:t>Overall, different studies suggest that the introduction of tighter liquidity regulations lead to a change in the composition of banks' balance sheet; in particular, it appears to have a negative impact on bank lending. The results of Barclays, Lloyds and RBS underline this trend, showing a negative correlation of 0.3.</w:t>
      </w:r>
    </w:p>
    <w:p w14:paraId="198CDC06" w14:textId="4BE18B46" w:rsidR="00332146" w:rsidRPr="007A04B9" w:rsidRDefault="00332146" w:rsidP="004E084E">
      <w:pPr>
        <w:pStyle w:val="Heading2"/>
        <w:spacing w:line="360" w:lineRule="auto"/>
        <w:rPr>
          <w:b/>
          <w:bCs/>
          <w:color w:val="auto"/>
        </w:rPr>
      </w:pPr>
    </w:p>
    <w:p w14:paraId="02D39718" w14:textId="7105E10B" w:rsidR="00332146" w:rsidRDefault="00332146" w:rsidP="004E084E">
      <w:pPr>
        <w:pStyle w:val="Heading2"/>
        <w:spacing w:line="360" w:lineRule="auto"/>
        <w:rPr>
          <w:b/>
          <w:bCs/>
          <w:color w:val="auto"/>
          <w:lang w:val="en"/>
        </w:rPr>
      </w:pPr>
      <w:bookmarkStart w:id="26" w:name="_Toc29313858"/>
      <w:bookmarkStart w:id="27" w:name="_Toc29314034"/>
      <w:bookmarkStart w:id="28" w:name="_Toc29314117"/>
      <w:r w:rsidRPr="007A04B9">
        <w:rPr>
          <w:b/>
          <w:bCs/>
          <w:color w:val="auto"/>
          <w:lang w:val="en"/>
        </w:rPr>
        <w:t>B3. EFFICIENCY AND LENDING</w:t>
      </w:r>
      <w:bookmarkEnd w:id="26"/>
      <w:bookmarkEnd w:id="27"/>
      <w:bookmarkEnd w:id="28"/>
    </w:p>
    <w:p w14:paraId="09974994" w14:textId="77777777" w:rsidR="009D05CE" w:rsidRPr="009D05CE" w:rsidRDefault="009D05CE" w:rsidP="004E084E">
      <w:pPr>
        <w:spacing w:line="360" w:lineRule="auto"/>
        <w:jc w:val="both"/>
        <w:rPr>
          <w:lang w:val="en"/>
        </w:rPr>
      </w:pPr>
    </w:p>
    <w:p w14:paraId="14BE17C6" w14:textId="77777777" w:rsidR="00C70A38" w:rsidRPr="00C70A38" w:rsidRDefault="00C70A38" w:rsidP="004E084E">
      <w:pPr>
        <w:spacing w:line="360" w:lineRule="auto"/>
        <w:jc w:val="both"/>
        <w:rPr>
          <w:rFonts w:cstheme="minorHAnsi"/>
        </w:rPr>
      </w:pPr>
      <w:r w:rsidRPr="00C70A38">
        <w:rPr>
          <w:rFonts w:cstheme="minorHAnsi"/>
        </w:rPr>
        <w:t>As previously explained, banks have undergone dramatic changes in the past two decades. Various forces have influenced the performance of the financial sector and, therefore, the concern of the banks regarding the control and monitoring of their costs and revenues has increased. The efficiency of financial markets is of interest to all economists and policymakers, and its measurement is essential in the financial system. One of the most prominent measures used to calculate the efficiency has always been the </w:t>
      </w:r>
      <w:r w:rsidRPr="00C70A38">
        <w:rPr>
          <w:rFonts w:cstheme="minorHAnsi"/>
          <w:i/>
          <w:iCs/>
        </w:rPr>
        <w:t>Interest Spread </w:t>
      </w:r>
      <w:r w:rsidRPr="00C70A38">
        <w:rPr>
          <w:rFonts w:cstheme="minorHAnsi"/>
        </w:rPr>
        <w:t>or the difference between the rate of lending and the one of deposit. The amount of spread has always varied widely between developed and undeveloped financial systems in different countries (Beck, 2006).</w:t>
      </w:r>
    </w:p>
    <w:p w14:paraId="5BA2B66F" w14:textId="77777777" w:rsidR="00C70A38" w:rsidRPr="00C70A38" w:rsidRDefault="00C70A38" w:rsidP="004E084E">
      <w:pPr>
        <w:spacing w:line="360" w:lineRule="auto"/>
        <w:jc w:val="both"/>
        <w:rPr>
          <w:rFonts w:cstheme="minorHAnsi"/>
        </w:rPr>
      </w:pPr>
      <w:r w:rsidRPr="00C70A38">
        <w:rPr>
          <w:rFonts w:cstheme="minorHAnsi"/>
        </w:rPr>
        <w:t>Nowadays, banks play a much broader role than traditional intermediation role between loan and deposit. After the effects of deregulation, the attention of the bank managers has focused on controlling efficiency, therefore reducing costs, in order to compete in a world market that is increasingly competitive (Werner et al., 2009)</w:t>
      </w:r>
    </w:p>
    <w:p w14:paraId="51710A2B" w14:textId="77777777" w:rsidR="00C70A38" w:rsidRPr="00C70A38" w:rsidRDefault="00C70A38" w:rsidP="004E084E">
      <w:pPr>
        <w:spacing w:line="360" w:lineRule="auto"/>
        <w:jc w:val="both"/>
        <w:rPr>
          <w:rFonts w:cstheme="minorHAnsi"/>
        </w:rPr>
      </w:pPr>
      <w:r w:rsidRPr="00C70A38">
        <w:rPr>
          <w:rFonts w:cstheme="minorHAnsi"/>
        </w:rPr>
        <w:t>In the banking sector, the Cost Efficiency Ratio is one of the measures utilised to analyse the banks’ ability to generate revenue through their resources. A low ratio is a positive sign, while an increase in the index means either an increase in costs or a decrease in revenue. Different banks Efficiency Ratio derives as well from different banks business models, even if they record the same amount of revenues; for this reason, in order to be able to compare banks through this ratio accurately, they must have the same business model (Arafat et al., 2013).</w:t>
      </w:r>
    </w:p>
    <w:p w14:paraId="5E74D95C" w14:textId="51EC802E" w:rsidR="00FB475B" w:rsidRDefault="00C70A38" w:rsidP="004E084E">
      <w:pPr>
        <w:spacing w:line="360" w:lineRule="auto"/>
        <w:jc w:val="both"/>
        <w:rPr>
          <w:rFonts w:cstheme="minorHAnsi"/>
        </w:rPr>
      </w:pPr>
      <w:r w:rsidRPr="00C70A38">
        <w:rPr>
          <w:rFonts w:cstheme="minorHAnsi"/>
        </w:rPr>
        <w:t>In this paper, as an efficiency measure, CIR (Cost Income Ratio) will be used. This ratio shows the weight of the costs on the total income, providing information on how the banks are running. Before that, a review of the literature on efficiency in the financial system will be presented.</w:t>
      </w:r>
    </w:p>
    <w:p w14:paraId="78FE4823" w14:textId="77777777" w:rsidR="009D05CE" w:rsidRDefault="009D05CE" w:rsidP="004E084E">
      <w:pPr>
        <w:spacing w:line="360" w:lineRule="auto"/>
        <w:rPr>
          <w:rFonts w:cstheme="minorHAnsi"/>
        </w:rPr>
      </w:pPr>
    </w:p>
    <w:p w14:paraId="34AEB932" w14:textId="0BEE5982" w:rsidR="00FB475B" w:rsidRPr="00AB67EE" w:rsidRDefault="009D05CE" w:rsidP="004E084E">
      <w:pPr>
        <w:pStyle w:val="Heading3"/>
        <w:spacing w:line="360" w:lineRule="auto"/>
        <w:rPr>
          <w:b/>
          <w:bCs/>
        </w:rPr>
      </w:pPr>
      <w:bookmarkStart w:id="29" w:name="_Toc29313859"/>
      <w:bookmarkStart w:id="30" w:name="_Toc29314035"/>
      <w:bookmarkStart w:id="31" w:name="_Toc29314118"/>
      <w:r>
        <w:rPr>
          <w:b/>
          <w:bCs/>
          <w:color w:val="auto"/>
        </w:rPr>
        <w:t>-</w:t>
      </w:r>
      <w:r w:rsidR="00FB475B" w:rsidRPr="00AB67EE">
        <w:rPr>
          <w:b/>
          <w:bCs/>
          <w:color w:val="auto"/>
        </w:rPr>
        <w:t>Literature</w:t>
      </w:r>
      <w:bookmarkEnd w:id="29"/>
      <w:bookmarkEnd w:id="30"/>
      <w:bookmarkEnd w:id="31"/>
    </w:p>
    <w:p w14:paraId="630705A6" w14:textId="77777777" w:rsidR="009D05CE" w:rsidRDefault="009D05CE" w:rsidP="004E084E">
      <w:pPr>
        <w:spacing w:line="360" w:lineRule="auto"/>
        <w:jc w:val="both"/>
        <w:rPr>
          <w:bCs/>
          <w:szCs w:val="24"/>
          <w:lang w:val="en"/>
        </w:rPr>
      </w:pPr>
    </w:p>
    <w:p w14:paraId="5233AB8D" w14:textId="74EA7E95" w:rsidR="00AB67EE" w:rsidRPr="00AB67EE" w:rsidRDefault="00AB67EE" w:rsidP="004E084E">
      <w:pPr>
        <w:spacing w:line="360" w:lineRule="auto"/>
        <w:jc w:val="both"/>
        <w:rPr>
          <w:bCs/>
          <w:szCs w:val="24"/>
          <w:lang w:val="en"/>
        </w:rPr>
      </w:pPr>
      <w:r w:rsidRPr="00AB67EE">
        <w:rPr>
          <w:bCs/>
          <w:szCs w:val="24"/>
          <w:lang w:val="en"/>
        </w:rPr>
        <w:t>In the past decades, banks’ efficiency has been the subject of many researches, among them, in 2001, Altunbas et al. analysed the model of European banks up to the early 2000s. Their finding underlines how the reduction of inefficiencies, mostly at the managerial level, allows greatest saving costs; in addition to that, technical progress is crucial to achieving economies of scale (Altunbas et al.,2001)</w:t>
      </w:r>
    </w:p>
    <w:p w14:paraId="2349303E" w14:textId="05788E81" w:rsidR="00AB67EE" w:rsidRPr="00AB67EE" w:rsidRDefault="00AB67EE" w:rsidP="004E084E">
      <w:pPr>
        <w:spacing w:line="360" w:lineRule="auto"/>
        <w:jc w:val="both"/>
        <w:rPr>
          <w:bCs/>
          <w:szCs w:val="24"/>
          <w:lang w:val="en"/>
        </w:rPr>
      </w:pPr>
      <w:r w:rsidRPr="00AB67EE">
        <w:rPr>
          <w:bCs/>
          <w:szCs w:val="24"/>
          <w:lang w:val="en"/>
        </w:rPr>
        <w:t>In 2003, Casu registered development in the efficiency of the European banking system, a result obtained through DEA ​​analysis, which highlights the improvement of the convergence of efficiency in the financial system</w:t>
      </w:r>
      <w:r w:rsidR="00A13203">
        <w:rPr>
          <w:bCs/>
          <w:szCs w:val="24"/>
          <w:lang w:val="en"/>
        </w:rPr>
        <w:t xml:space="preserve"> (Casu et al., 2013).</w:t>
      </w:r>
    </w:p>
    <w:p w14:paraId="49CC8334" w14:textId="77777777" w:rsidR="00AB67EE" w:rsidRPr="00AB67EE" w:rsidRDefault="00AB67EE" w:rsidP="004E084E">
      <w:pPr>
        <w:spacing w:line="360" w:lineRule="auto"/>
        <w:jc w:val="both"/>
        <w:rPr>
          <w:bCs/>
          <w:szCs w:val="24"/>
          <w:lang w:val="en"/>
        </w:rPr>
      </w:pPr>
      <w:r w:rsidRPr="00AB67EE">
        <w:rPr>
          <w:bCs/>
          <w:szCs w:val="24"/>
          <w:lang w:val="en"/>
        </w:rPr>
        <w:t>In the same year, the economist Weill (2003) found out that banks that have encountered superior stock-price growth, are those that maintained a consistent efficiency approach, effectively managing their operating costs (Weill, 2003)</w:t>
      </w:r>
    </w:p>
    <w:p w14:paraId="4C780AFC" w14:textId="5D71330F" w:rsidR="00AB67EE" w:rsidRDefault="00AB67EE" w:rsidP="004E084E">
      <w:pPr>
        <w:spacing w:line="360" w:lineRule="auto"/>
        <w:jc w:val="both"/>
        <w:rPr>
          <w:bCs/>
          <w:szCs w:val="24"/>
          <w:lang w:val="en"/>
        </w:rPr>
      </w:pPr>
      <w:r w:rsidRPr="00AB67EE">
        <w:rPr>
          <w:bCs/>
          <w:szCs w:val="24"/>
          <w:lang w:val="en"/>
        </w:rPr>
        <w:t>Going beyond national borders, in 2008, Lensink ha</w:t>
      </w:r>
      <w:r w:rsidR="00A13203">
        <w:rPr>
          <w:bCs/>
          <w:szCs w:val="24"/>
          <w:lang w:val="en"/>
        </w:rPr>
        <w:t>s</w:t>
      </w:r>
      <w:r w:rsidRPr="00AB67EE">
        <w:rPr>
          <w:bCs/>
          <w:szCs w:val="24"/>
          <w:lang w:val="en"/>
        </w:rPr>
        <w:t xml:space="preserve"> analysed the relationship between efficiency and bank foreign ownership. The results of this research were negative, showing a negative correlation between the two variables but, however, finding some exceptions. This negative impact, in countries with higher quality and similarity of the governance and of the institutions in both home and host country, is less pronounced</w:t>
      </w:r>
      <w:r w:rsidR="00A13203">
        <w:rPr>
          <w:bCs/>
          <w:szCs w:val="24"/>
          <w:lang w:val="en"/>
        </w:rPr>
        <w:t xml:space="preserve"> (Lensink et al., 2008).</w:t>
      </w:r>
    </w:p>
    <w:p w14:paraId="163EC986" w14:textId="77777777" w:rsidR="005F4728" w:rsidRPr="005F4728" w:rsidRDefault="005F4728" w:rsidP="004E084E">
      <w:pPr>
        <w:spacing w:line="360" w:lineRule="auto"/>
        <w:jc w:val="both"/>
        <w:rPr>
          <w:szCs w:val="24"/>
        </w:rPr>
      </w:pPr>
      <w:r w:rsidRPr="005F4728">
        <w:rPr>
          <w:szCs w:val="24"/>
        </w:rPr>
        <w:t>Other studies, such as those of Lozano-Vivas in 2010, instead, sought the effect on the efficiency of non-traditional banking activities. The banking activities considered as traditional in this study are loans and other earning assets, while the non-traditional activities include items that are off-balance sheet or non-interest income. The research shows that if the non-traditional activities are taken into consideration, the efficiency level increases, while costs and efficiency improve thanks to monitoring and supervision regulations. (Lozano et al., 2010)</w:t>
      </w:r>
    </w:p>
    <w:p w14:paraId="01C5CD02" w14:textId="77777777" w:rsidR="005F4728" w:rsidRPr="005F4728" w:rsidRDefault="005F4728" w:rsidP="004E084E">
      <w:pPr>
        <w:spacing w:line="360" w:lineRule="auto"/>
        <w:jc w:val="both"/>
        <w:rPr>
          <w:szCs w:val="24"/>
        </w:rPr>
      </w:pPr>
      <w:r w:rsidRPr="005F4728">
        <w:rPr>
          <w:szCs w:val="24"/>
        </w:rPr>
        <w:t>In 2013, the economist Gaganis studied the role of Central Banks and how their involvement impact on the financial system. The results of this empirical research showed that the greater the areas that the central bank must supervise, more the efficiency tends to decrease. The unification of financial authorities into a single entity, in some cases, seems to have negatively reduced the efficiency (Gaganis et al., 2013)</w:t>
      </w:r>
    </w:p>
    <w:p w14:paraId="39FC22E8" w14:textId="27618C96" w:rsidR="00917781" w:rsidRDefault="005F4728" w:rsidP="004E084E">
      <w:pPr>
        <w:spacing w:line="360" w:lineRule="auto"/>
        <w:jc w:val="both"/>
        <w:rPr>
          <w:szCs w:val="24"/>
          <w:lang w:val="en"/>
        </w:rPr>
      </w:pPr>
      <w:r w:rsidRPr="005F4728">
        <w:rPr>
          <w:szCs w:val="24"/>
        </w:rPr>
        <w:t xml:space="preserve">Always in 2013, Chortareas examined how the financial regulations influenced the financial system, underlining how tighter policies and restrictions can improve banks’ efficiency, through wider </w:t>
      </w:r>
      <w:r w:rsidRPr="005F4728">
        <w:rPr>
          <w:szCs w:val="24"/>
        </w:rPr>
        <w:lastRenderedPageBreak/>
        <w:t xml:space="preserve">monitoring and supervising. However, the same authors investigate </w:t>
      </w:r>
      <w:proofErr w:type="gramStart"/>
      <w:r w:rsidRPr="005F4728">
        <w:rPr>
          <w:szCs w:val="24"/>
        </w:rPr>
        <w:t>as well the impact of financial freedom</w:t>
      </w:r>
      <w:proofErr w:type="gramEnd"/>
      <w:r w:rsidRPr="005F4728">
        <w:rPr>
          <w:szCs w:val="24"/>
        </w:rPr>
        <w:t xml:space="preserve">, discovering, in some cases, positive correlation between a bank’s overall </w:t>
      </w:r>
      <w:r w:rsidR="0070261F">
        <w:rPr>
          <w:szCs w:val="24"/>
        </w:rPr>
        <w:t>efficiency and its financial freedom. This situation happens mostly in countries with higher quality governance and freer political systems</w:t>
      </w:r>
      <w:r>
        <w:rPr>
          <w:szCs w:val="24"/>
        </w:rPr>
        <w:t>;</w:t>
      </w:r>
      <w:r w:rsidR="00374CFE">
        <w:rPr>
          <w:szCs w:val="24"/>
        </w:rPr>
        <w:t xml:space="preserve"> </w:t>
      </w:r>
      <w:r w:rsidR="00374CFE" w:rsidRPr="00374CFE">
        <w:rPr>
          <w:szCs w:val="24"/>
          <w:lang w:val="en"/>
        </w:rPr>
        <w:t xml:space="preserve">transparency also </w:t>
      </w:r>
      <w:r w:rsidR="00374CFE">
        <w:rPr>
          <w:szCs w:val="24"/>
          <w:lang w:val="en"/>
        </w:rPr>
        <w:t>seems to have</w:t>
      </w:r>
      <w:r w:rsidR="00374CFE" w:rsidRPr="00374CFE">
        <w:rPr>
          <w:szCs w:val="24"/>
          <w:lang w:val="en"/>
        </w:rPr>
        <w:t xml:space="preserve"> a positive influence on efficiency</w:t>
      </w:r>
      <w:r w:rsidR="00A13203">
        <w:rPr>
          <w:szCs w:val="24"/>
          <w:lang w:val="en"/>
        </w:rPr>
        <w:t xml:space="preserve"> (</w:t>
      </w:r>
      <w:r w:rsidR="00A13203" w:rsidRPr="005F4728">
        <w:rPr>
          <w:szCs w:val="24"/>
        </w:rPr>
        <w:t>Chortareas</w:t>
      </w:r>
      <w:r w:rsidR="00A13203">
        <w:rPr>
          <w:szCs w:val="24"/>
        </w:rPr>
        <w:t xml:space="preserve"> et al., 2013).</w:t>
      </w:r>
    </w:p>
    <w:p w14:paraId="16CB8FF9" w14:textId="77777777" w:rsidR="00917781" w:rsidRDefault="00917781" w:rsidP="004E084E">
      <w:pPr>
        <w:spacing w:line="360" w:lineRule="auto"/>
        <w:rPr>
          <w:szCs w:val="24"/>
          <w:lang w:val="en"/>
        </w:rPr>
      </w:pPr>
    </w:p>
    <w:p w14:paraId="1E191C10" w14:textId="213B7DF9" w:rsidR="00917781" w:rsidRPr="005F4728" w:rsidRDefault="009D05CE" w:rsidP="004E084E">
      <w:pPr>
        <w:pStyle w:val="Heading3"/>
        <w:spacing w:line="360" w:lineRule="auto"/>
        <w:rPr>
          <w:b/>
          <w:bCs/>
          <w:color w:val="auto"/>
          <w:lang w:val="en"/>
        </w:rPr>
      </w:pPr>
      <w:bookmarkStart w:id="32" w:name="_Toc29313860"/>
      <w:bookmarkStart w:id="33" w:name="_Toc29314036"/>
      <w:bookmarkStart w:id="34" w:name="_Toc29314119"/>
      <w:r>
        <w:rPr>
          <w:b/>
          <w:bCs/>
          <w:color w:val="auto"/>
          <w:lang w:val="en"/>
        </w:rPr>
        <w:t>-</w:t>
      </w:r>
      <w:r w:rsidR="00917781" w:rsidRPr="005F4728">
        <w:rPr>
          <w:b/>
          <w:bCs/>
          <w:color w:val="auto"/>
          <w:lang w:val="en"/>
        </w:rPr>
        <w:t>The relationship between</w:t>
      </w:r>
      <w:r w:rsidR="00CD5B23" w:rsidRPr="005F4728">
        <w:rPr>
          <w:b/>
          <w:bCs/>
          <w:color w:val="auto"/>
          <w:lang w:val="en"/>
        </w:rPr>
        <w:t xml:space="preserve"> efficiency</w:t>
      </w:r>
      <w:r w:rsidR="00917781" w:rsidRPr="005F4728">
        <w:rPr>
          <w:b/>
          <w:bCs/>
          <w:color w:val="auto"/>
          <w:lang w:val="en"/>
        </w:rPr>
        <w:t xml:space="preserve"> and banks financial intermediation role</w:t>
      </w:r>
      <w:bookmarkEnd w:id="32"/>
      <w:bookmarkEnd w:id="33"/>
      <w:bookmarkEnd w:id="34"/>
    </w:p>
    <w:p w14:paraId="1D19C2D3" w14:textId="77777777" w:rsidR="00F11FBC" w:rsidRDefault="00F11FBC" w:rsidP="004E084E">
      <w:pPr>
        <w:spacing w:line="360" w:lineRule="auto"/>
        <w:jc w:val="both"/>
        <w:rPr>
          <w:szCs w:val="24"/>
          <w:lang w:val="en"/>
        </w:rPr>
      </w:pPr>
    </w:p>
    <w:p w14:paraId="2D4A597A" w14:textId="356C76E3" w:rsidR="005F4728" w:rsidRPr="005F4728" w:rsidRDefault="005F4728" w:rsidP="004E084E">
      <w:pPr>
        <w:spacing w:line="360" w:lineRule="auto"/>
        <w:jc w:val="both"/>
        <w:rPr>
          <w:szCs w:val="24"/>
          <w:lang w:val="en"/>
        </w:rPr>
      </w:pPr>
      <w:r w:rsidRPr="005F4728">
        <w:rPr>
          <w:szCs w:val="24"/>
          <w:lang w:val="en"/>
        </w:rPr>
        <w:t>Bank efficiency appears to be one of the most important aspects of banking. Equally important is lending, one of the main activities offered by banks in their intermediation role.</w:t>
      </w:r>
    </w:p>
    <w:p w14:paraId="18577AFC" w14:textId="77777777" w:rsidR="005F4728" w:rsidRPr="005F4728" w:rsidRDefault="005F4728" w:rsidP="004E084E">
      <w:pPr>
        <w:spacing w:line="360" w:lineRule="auto"/>
        <w:jc w:val="both"/>
        <w:rPr>
          <w:szCs w:val="24"/>
          <w:lang w:val="en"/>
        </w:rPr>
      </w:pPr>
      <w:r w:rsidRPr="005F4728">
        <w:rPr>
          <w:szCs w:val="24"/>
          <w:lang w:val="en"/>
        </w:rPr>
        <w:t>Analysis carried out on the relationship and the correlation between the two offer different results, depending on banks' business model, market situations and regulations. Subsequently, some studies will be presented, with the relative results obtained.</w:t>
      </w:r>
    </w:p>
    <w:p w14:paraId="6FF991BD" w14:textId="77777777" w:rsidR="005F4728" w:rsidRDefault="005F4728" w:rsidP="004E084E">
      <w:pPr>
        <w:spacing w:line="360" w:lineRule="auto"/>
        <w:jc w:val="both"/>
        <w:rPr>
          <w:szCs w:val="24"/>
          <w:lang w:val="en"/>
        </w:rPr>
      </w:pPr>
      <w:r w:rsidRPr="005F4728">
        <w:rPr>
          <w:szCs w:val="24"/>
          <w:lang w:val="en"/>
        </w:rPr>
        <w:t xml:space="preserve">A study done in the late 1900s by David Tripe, a researcher at Massey University, on the Australian banking system, underlined how the business structure of banks affects the cost's ratio. It showed how banks with higher wholesale/corporate lending, compared to financial institutions that operate predominantly in retail lending, present lower costs to assets ratio. At the opposite, showed a higher cost ratio banks that focus on deal-making, instead of those that run a large lending book. It can, therefore, be argued that the business mix structure of financial institutions reflects to the cost-to-asset ratio and it is interesting to note how the Australian system is </w:t>
      </w:r>
      <w:proofErr w:type="gramStart"/>
      <w:r w:rsidRPr="005F4728">
        <w:rPr>
          <w:szCs w:val="24"/>
          <w:lang w:val="en"/>
        </w:rPr>
        <w:t>similar to</w:t>
      </w:r>
      <w:proofErr w:type="gramEnd"/>
      <w:r w:rsidRPr="005F4728">
        <w:rPr>
          <w:szCs w:val="24"/>
          <w:lang w:val="en"/>
        </w:rPr>
        <w:t xml:space="preserve"> the Canadian and the English one (Tripe, 1998).</w:t>
      </w:r>
    </w:p>
    <w:p w14:paraId="714FD9DD" w14:textId="77777777" w:rsidR="0028600D" w:rsidRDefault="0028600D" w:rsidP="004E084E">
      <w:pPr>
        <w:spacing w:line="360" w:lineRule="auto"/>
        <w:jc w:val="both"/>
        <w:rPr>
          <w:szCs w:val="24"/>
          <w:lang w:val="en"/>
        </w:rPr>
      </w:pPr>
      <w:r w:rsidRPr="0028600D">
        <w:rPr>
          <w:szCs w:val="24"/>
          <w:lang w:val="en"/>
        </w:rPr>
        <w:t>Studies carried out in the period between 1995 and 2008 on European countries researched whether the lending channel is altered if the efficiency is taken into consideration in the study. The results showed a negative correlation between the introduction of monetary policy and the level of the lending: a 1% more on the rate of interest in the short-term loan lead to a reduction of 0.8% in loan supply. By contrast, the interaction term and the coefficient of efficiency don’t seem to be statistically significant for the bank lending channel (Apergis et al., 2011).</w:t>
      </w:r>
    </w:p>
    <w:p w14:paraId="2392A75B" w14:textId="77777777" w:rsidR="0028600D" w:rsidRPr="0028600D" w:rsidRDefault="0028600D" w:rsidP="004E084E">
      <w:pPr>
        <w:spacing w:line="360" w:lineRule="auto"/>
        <w:jc w:val="both"/>
        <w:rPr>
          <w:szCs w:val="24"/>
          <w:lang w:val="en"/>
        </w:rPr>
      </w:pPr>
      <w:r w:rsidRPr="0028600D">
        <w:rPr>
          <w:szCs w:val="24"/>
          <w:lang w:val="en"/>
        </w:rPr>
        <w:t xml:space="preserve">Analysing more recent studies carried out through the DEA methodology, in 2008 it stands out the lowest average of the efficiency score in the European Banking System, due to the financial crisis, which affects input and output data. In general, the research showed that, in post-transaction countries, deposit-oriented banking systems expressed greater cost efficiency. These results highlight </w:t>
      </w:r>
      <w:r w:rsidRPr="0028600D">
        <w:rPr>
          <w:szCs w:val="24"/>
          <w:lang w:val="en"/>
        </w:rPr>
        <w:lastRenderedPageBreak/>
        <w:t>how the financial banking systems that were most exposed to long-term lending activities have received a major impact from the crisis (Tuškan et al., 2016).</w:t>
      </w:r>
    </w:p>
    <w:p w14:paraId="7649C6EF" w14:textId="77777777" w:rsidR="0028600D" w:rsidRDefault="0028600D" w:rsidP="004E084E">
      <w:pPr>
        <w:spacing w:line="360" w:lineRule="auto"/>
        <w:jc w:val="both"/>
        <w:rPr>
          <w:szCs w:val="24"/>
          <w:lang w:val="en"/>
        </w:rPr>
      </w:pPr>
      <w:r w:rsidRPr="0028600D">
        <w:rPr>
          <w:szCs w:val="24"/>
          <w:lang w:val="en"/>
        </w:rPr>
        <w:t>Another analysis implemented on the BRICS countries from the year 2007 to 2015, observed that the cost efficiency showed a negative influence on financial intermediation costs of banks. At the same time, instead, the correlation between cost efficiency and bank capital results to be extremely positive. Extending the field of researches from 2000 to 2015, the study suggests how during the crisis period, the BRICS bank equity ratio remained stable, while bank net interest margins increased. It can be observed how during the crisis, the cost efficiency had a crucial role in the balance to keep higher capital and don’t increase the costs of intermediation (Rahman et al., 2017).</w:t>
      </w:r>
    </w:p>
    <w:p w14:paraId="50CCB42C" w14:textId="77777777" w:rsidR="0028600D" w:rsidRPr="0028600D" w:rsidRDefault="0028600D" w:rsidP="004E084E">
      <w:pPr>
        <w:spacing w:line="360" w:lineRule="auto"/>
        <w:jc w:val="both"/>
        <w:rPr>
          <w:szCs w:val="24"/>
        </w:rPr>
      </w:pPr>
      <w:r w:rsidRPr="0028600D">
        <w:rPr>
          <w:szCs w:val="24"/>
        </w:rPr>
        <w:t>The same research concludes presenting how banks that represent a larger capital are safer, as it can absorb losses. Similarly, for borrowers, low intermediation costs are reflected in cheap financing, showing benefits on the whole economy (Rahman et al., 2017).</w:t>
      </w:r>
    </w:p>
    <w:p w14:paraId="5828D838" w14:textId="77777777" w:rsidR="0028600D" w:rsidRPr="0028600D" w:rsidRDefault="0028600D" w:rsidP="004E084E">
      <w:pPr>
        <w:spacing w:line="360" w:lineRule="auto"/>
        <w:jc w:val="both"/>
        <w:rPr>
          <w:szCs w:val="24"/>
        </w:rPr>
      </w:pPr>
      <w:r w:rsidRPr="0028600D">
        <w:rPr>
          <w:szCs w:val="24"/>
        </w:rPr>
        <w:t xml:space="preserve">In addition to the previous researches, it can be said that to maintain an efficient market, the financial institutions must ensure the information circulations, reducing in this way the costs caused by the information asymmetry, as borrowers detain more information than lenders. It can be recommended, to banks, to work in close collaboration with the regulatory authorities, to optimise and support their intermediation role. </w:t>
      </w:r>
    </w:p>
    <w:p w14:paraId="1CB75822" w14:textId="31FBCD30" w:rsidR="004F4D47" w:rsidRPr="00E71C11" w:rsidRDefault="0028600D" w:rsidP="004E084E">
      <w:pPr>
        <w:spacing w:line="360" w:lineRule="auto"/>
        <w:jc w:val="both"/>
        <w:rPr>
          <w:szCs w:val="24"/>
        </w:rPr>
      </w:pPr>
      <w:r w:rsidRPr="0028600D">
        <w:rPr>
          <w:szCs w:val="24"/>
        </w:rPr>
        <w:t>In conclusion, on a study carried out on Lloyds, Barclays and RBS in the last five years, the correlation coefficient between CIR and lending results negative, with a -0.3 pp, showing how as the cost of capital increases, banks tend to reduce lending.</w:t>
      </w:r>
    </w:p>
    <w:p w14:paraId="3E922B17" w14:textId="2861806D" w:rsidR="00E71C11" w:rsidRPr="00E71C11" w:rsidRDefault="00E71C11" w:rsidP="004E084E">
      <w:pPr>
        <w:spacing w:line="360" w:lineRule="auto"/>
        <w:rPr>
          <w:szCs w:val="24"/>
        </w:rPr>
      </w:pPr>
    </w:p>
    <w:p w14:paraId="155860B1" w14:textId="0158798A" w:rsidR="00BF44C2" w:rsidRDefault="00A37536" w:rsidP="004E084E">
      <w:pPr>
        <w:pStyle w:val="Heading1"/>
        <w:spacing w:line="360" w:lineRule="auto"/>
        <w:rPr>
          <w:b/>
          <w:bCs/>
          <w:color w:val="auto"/>
        </w:rPr>
      </w:pPr>
      <w:bookmarkStart w:id="35" w:name="_Toc29313861"/>
      <w:bookmarkStart w:id="36" w:name="_Toc29314037"/>
      <w:bookmarkStart w:id="37" w:name="_Toc29314120"/>
      <w:r w:rsidRPr="0028600D">
        <w:rPr>
          <w:b/>
          <w:bCs/>
          <w:color w:val="auto"/>
        </w:rPr>
        <w:t>C. THE IMPACT OF REGULATORY CAPITAL ON PROFITABILITY</w:t>
      </w:r>
      <w:bookmarkEnd w:id="35"/>
      <w:bookmarkEnd w:id="36"/>
      <w:bookmarkEnd w:id="37"/>
    </w:p>
    <w:p w14:paraId="3A3B453A" w14:textId="77777777" w:rsidR="009D05CE" w:rsidRPr="009D05CE" w:rsidRDefault="009D05CE" w:rsidP="004E084E">
      <w:pPr>
        <w:spacing w:line="360" w:lineRule="auto"/>
        <w:jc w:val="both"/>
      </w:pPr>
    </w:p>
    <w:p w14:paraId="30C48D5E" w14:textId="77777777" w:rsidR="0028600D" w:rsidRPr="0028600D" w:rsidRDefault="0028600D" w:rsidP="004E084E">
      <w:pPr>
        <w:spacing w:line="360" w:lineRule="auto"/>
        <w:jc w:val="both"/>
        <w:rPr>
          <w:szCs w:val="24"/>
          <w:lang w:val="en"/>
        </w:rPr>
      </w:pPr>
      <w:r w:rsidRPr="0028600D">
        <w:rPr>
          <w:szCs w:val="24"/>
          <w:lang w:val="en"/>
        </w:rPr>
        <w:t xml:space="preserve">As previously stated, the Basel III framework, with the introduction of the capital requirements, affect bank's performances in liquidity, funding, capital, treasury and profitability. </w:t>
      </w:r>
    </w:p>
    <w:p w14:paraId="56C14013" w14:textId="1F709964" w:rsidR="00157323" w:rsidRDefault="0028600D" w:rsidP="004E084E">
      <w:pPr>
        <w:spacing w:line="360" w:lineRule="auto"/>
        <w:jc w:val="both"/>
        <w:rPr>
          <w:szCs w:val="24"/>
          <w:lang w:val="en"/>
        </w:rPr>
      </w:pPr>
      <w:r w:rsidRPr="0028600D">
        <w:rPr>
          <w:szCs w:val="24"/>
          <w:lang w:val="en"/>
        </w:rPr>
        <w:t xml:space="preserve">According to specific corporate theory as the 'Trade-off' theory, higher capital reduces bank's risks and increase profitability, or rather the amount required to cover the premium requested from the investor in the hypothesis of bankruptcy costs. Conforming to this theory, banks should hold an optimal level of capital, which works as a trade-off between benefits and costs. However, due to the increased capital requirement imposed by the regulations, banks are often required to hold higher capital respect to their optimal value. Furthermore, banks' capital optimal value is likely to vary and </w:t>
      </w:r>
      <w:r w:rsidRPr="0028600D">
        <w:rPr>
          <w:szCs w:val="24"/>
          <w:lang w:val="en"/>
        </w:rPr>
        <w:lastRenderedPageBreak/>
        <w:t>increase if there is the risk of distress, making the relationship between capital and profitability cyclical (Osborne et al., 2012)</w:t>
      </w:r>
    </w:p>
    <w:p w14:paraId="48C1D58A" w14:textId="77777777" w:rsidR="00171D24" w:rsidRPr="00171D24" w:rsidRDefault="00171D24" w:rsidP="004E084E">
      <w:pPr>
        <w:spacing w:line="360" w:lineRule="auto"/>
        <w:jc w:val="both"/>
        <w:rPr>
          <w:szCs w:val="24"/>
          <w:lang w:val="en"/>
        </w:rPr>
      </w:pPr>
      <w:r w:rsidRPr="00171D24">
        <w:rPr>
          <w:szCs w:val="24"/>
          <w:lang w:val="en"/>
        </w:rPr>
        <w:t>The research of the economist Berger, in 1995, analysed the positive correlation between capital and profitability in the period between 1983-1989 in the US, due to the stress period that affected the US banking system. Following the trade-off theory, Berger sustained how in periods of distress, higher capital reduces the probability of default (Berger, 1995).</w:t>
      </w:r>
    </w:p>
    <w:p w14:paraId="4F29D830" w14:textId="77777777" w:rsidR="00171D24" w:rsidRPr="00171D24" w:rsidRDefault="00171D24" w:rsidP="004E084E">
      <w:pPr>
        <w:spacing w:line="360" w:lineRule="auto"/>
        <w:jc w:val="both"/>
        <w:rPr>
          <w:szCs w:val="24"/>
          <w:lang w:val="en"/>
        </w:rPr>
      </w:pPr>
      <w:r w:rsidRPr="00171D24">
        <w:rPr>
          <w:szCs w:val="24"/>
          <w:lang w:val="en"/>
        </w:rPr>
        <w:t xml:space="preserve">His idea is reflected during the 2007 crisis, where the negative relationship between capital and profitability occurred in the last decade of the 1900s has been reduced significantly.  </w:t>
      </w:r>
    </w:p>
    <w:p w14:paraId="3DB94B66" w14:textId="1FE6A5DF" w:rsidR="00171D24" w:rsidRDefault="00171D24" w:rsidP="004E084E">
      <w:pPr>
        <w:spacing w:line="360" w:lineRule="auto"/>
        <w:jc w:val="both"/>
        <w:rPr>
          <w:szCs w:val="24"/>
          <w:lang w:val="en"/>
        </w:rPr>
      </w:pPr>
      <w:r w:rsidRPr="00171D24">
        <w:rPr>
          <w:szCs w:val="24"/>
          <w:lang w:val="en"/>
        </w:rPr>
        <w:t>According to the study of Osborne et al. (2012), in the short period, there may be a negative or positive correlation between the two variables, depending if the bank capital is above or below the optimal level. In the long period, levels above the optimal capital ratio lead to a negative relation between the two (Osborne et al., 2012).</w:t>
      </w:r>
    </w:p>
    <w:p w14:paraId="5A9EE34B" w14:textId="77777777" w:rsidR="00171D24" w:rsidRPr="00171D24" w:rsidRDefault="00171D24" w:rsidP="004E084E">
      <w:pPr>
        <w:spacing w:line="360" w:lineRule="auto"/>
        <w:jc w:val="both"/>
        <w:rPr>
          <w:szCs w:val="24"/>
          <w:lang w:val="en"/>
        </w:rPr>
      </w:pPr>
      <w:r w:rsidRPr="00171D24">
        <w:rPr>
          <w:szCs w:val="24"/>
          <w:lang w:val="en"/>
        </w:rPr>
        <w:t>On the other side, focusing mainly on Europe and the euro-zone, authors as Goddard (2004) found a negative correlation between Capital-to-Asset Ratio and profitability, sustaining that institutions that hold a higher proportion of capital are less likely to have a high profit (Goddard et al., 2004)</w:t>
      </w:r>
    </w:p>
    <w:p w14:paraId="1C82ABC2" w14:textId="77777777" w:rsidR="00171D24" w:rsidRPr="00171D24" w:rsidRDefault="00171D24" w:rsidP="004E084E">
      <w:pPr>
        <w:spacing w:line="360" w:lineRule="auto"/>
        <w:jc w:val="both"/>
        <w:rPr>
          <w:szCs w:val="24"/>
          <w:lang w:val="en"/>
        </w:rPr>
      </w:pPr>
      <w:r w:rsidRPr="00171D24">
        <w:rPr>
          <w:szCs w:val="24"/>
          <w:lang w:val="en"/>
        </w:rPr>
        <w:t xml:space="preserve">A study carried by Hakenes (2012), evidenced that the Basel capital requirements imposed the same capital requirement levels for small and large banks, creating a distortion between the competition of different levels of banks. The results in the US banking system showed a reduction in the small banks' market shares due to the increase in their cost of funding (Hakenes et al., 2012). </w:t>
      </w:r>
    </w:p>
    <w:p w14:paraId="6E76230B" w14:textId="0C22E9D2" w:rsidR="00171D24" w:rsidRDefault="00171D24" w:rsidP="004E084E">
      <w:pPr>
        <w:spacing w:line="360" w:lineRule="auto"/>
        <w:jc w:val="both"/>
        <w:rPr>
          <w:szCs w:val="24"/>
          <w:lang w:val="en"/>
        </w:rPr>
      </w:pPr>
      <w:r w:rsidRPr="00171D24">
        <w:rPr>
          <w:szCs w:val="24"/>
          <w:lang w:val="en"/>
        </w:rPr>
        <w:t>Despite the growing debates in literature, the introduction of Basel III gave, overall, macroeconomics benefits, guiding to better policy decisions, thereby lowering the risks of bankruptcy. According to the study carried out on Lloyds, Barclays and RBS, the correlation results positive, showing a level of +0.3.</w:t>
      </w:r>
    </w:p>
    <w:p w14:paraId="3270E3B9" w14:textId="77777777" w:rsidR="009D05CE" w:rsidRDefault="009D05CE" w:rsidP="004E084E">
      <w:pPr>
        <w:spacing w:line="360" w:lineRule="auto"/>
        <w:rPr>
          <w:szCs w:val="24"/>
          <w:lang w:val="en"/>
        </w:rPr>
      </w:pPr>
    </w:p>
    <w:p w14:paraId="4F77C6DB" w14:textId="0EDB8E5A" w:rsidR="00157323" w:rsidRDefault="00A37536" w:rsidP="004E084E">
      <w:pPr>
        <w:pStyle w:val="Heading1"/>
        <w:spacing w:line="360" w:lineRule="auto"/>
        <w:rPr>
          <w:b/>
          <w:bCs/>
          <w:color w:val="auto"/>
          <w:lang w:val="en"/>
        </w:rPr>
      </w:pPr>
      <w:bookmarkStart w:id="38" w:name="_Toc29313862"/>
      <w:bookmarkStart w:id="39" w:name="_Toc29314038"/>
      <w:bookmarkStart w:id="40" w:name="_Toc29314121"/>
      <w:r w:rsidRPr="000455C4">
        <w:rPr>
          <w:b/>
          <w:bCs/>
          <w:color w:val="auto"/>
          <w:lang w:val="en"/>
        </w:rPr>
        <w:t>D. BANKS RISKS AND MITIGATION STRATEGIES</w:t>
      </w:r>
      <w:bookmarkEnd w:id="38"/>
      <w:bookmarkEnd w:id="39"/>
      <w:bookmarkEnd w:id="40"/>
    </w:p>
    <w:p w14:paraId="17F0CE31" w14:textId="77777777" w:rsidR="009D05CE" w:rsidRPr="009D05CE" w:rsidRDefault="009D05CE" w:rsidP="004E084E">
      <w:pPr>
        <w:spacing w:line="360" w:lineRule="auto"/>
        <w:rPr>
          <w:lang w:val="en"/>
        </w:rPr>
      </w:pPr>
    </w:p>
    <w:p w14:paraId="17C189C0" w14:textId="77777777" w:rsidR="00B20542" w:rsidRPr="00B20542" w:rsidRDefault="00B20542" w:rsidP="004E084E">
      <w:pPr>
        <w:spacing w:line="360" w:lineRule="auto"/>
        <w:jc w:val="both"/>
        <w:rPr>
          <w:szCs w:val="24"/>
        </w:rPr>
      </w:pPr>
      <w:proofErr w:type="gramStart"/>
      <w:r w:rsidRPr="00B20542">
        <w:rPr>
          <w:szCs w:val="24"/>
        </w:rPr>
        <w:t>Assuming that</w:t>
      </w:r>
      <w:proofErr w:type="gramEnd"/>
      <w:r w:rsidRPr="00B20542">
        <w:rPr>
          <w:szCs w:val="24"/>
        </w:rPr>
        <w:t xml:space="preserve"> banks have the same purpose as any company, i.e. to maximize the value of their equity, to achieve their purpose, they must ensure the shareholders' wealth, minimizing their risks. The risks to which banks are most exposed, which will be briefly presented in this paper are the liquidity, payment and assets (or 'market') risks. </w:t>
      </w:r>
    </w:p>
    <w:p w14:paraId="76CE4078" w14:textId="24942E39" w:rsidR="00B20542" w:rsidRPr="00B20542" w:rsidRDefault="00B20542" w:rsidP="004E084E">
      <w:pPr>
        <w:spacing w:line="360" w:lineRule="auto"/>
        <w:jc w:val="both"/>
        <w:rPr>
          <w:szCs w:val="24"/>
        </w:rPr>
      </w:pPr>
      <w:r w:rsidRPr="00B20542">
        <w:rPr>
          <w:szCs w:val="24"/>
        </w:rPr>
        <w:lastRenderedPageBreak/>
        <w:t>The </w:t>
      </w:r>
      <w:r w:rsidRPr="00B20542">
        <w:rPr>
          <w:b/>
          <w:bCs/>
          <w:szCs w:val="24"/>
        </w:rPr>
        <w:t>liquidity risk</w:t>
      </w:r>
      <w:r w:rsidRPr="00B20542">
        <w:rPr>
          <w:szCs w:val="24"/>
        </w:rPr>
        <w:t> derives from the probability that the bank is unable to respond to the request for cash from the depositors, risk not to be confused with the bank solvency question (Dahir et al., 2019). The BCBS (Banks Committee on Banking Supervisor) defines this risk as the inability of banks in obtaining enough funds, either by converting assets or rising the liabilities (Chen et al., 2018)</w:t>
      </w:r>
      <w:r w:rsidR="00F75081">
        <w:rPr>
          <w:szCs w:val="24"/>
        </w:rPr>
        <w:t>.</w:t>
      </w:r>
      <w:r w:rsidRPr="00B20542">
        <w:rPr>
          <w:szCs w:val="24"/>
        </w:rPr>
        <w:t xml:space="preserve"> Due to the increasingly interconnection of the financial market, the consequences of a shortfall in a single institution can have a system-wide impact. </w:t>
      </w:r>
    </w:p>
    <w:p w14:paraId="16573878" w14:textId="7D654D9A" w:rsidR="00143D76" w:rsidRPr="00143D76" w:rsidRDefault="00B20542" w:rsidP="004E084E">
      <w:pPr>
        <w:spacing w:line="360" w:lineRule="auto"/>
        <w:jc w:val="both"/>
      </w:pPr>
      <w:r w:rsidRPr="00B20542">
        <w:rPr>
          <w:szCs w:val="24"/>
        </w:rPr>
        <w:t>In order to reduce this risk, the competence and knowledge of the management involved in the strategy's development are essential. But not only, banks' liquidity requirement must also be prosecuted, </w:t>
      </w:r>
      <w:r w:rsidR="00143D76" w:rsidRPr="00143D76">
        <w:t>carefully evaluating the company's performance to be prepared for any negative shock that can impact on the bank's stability. The main steps for banks to protect themselves from this risk are the holding of an adequate Fractional reserve ratio, a careful assets and liability management and the presence of lender of last resort (Hlebik et al., 2017).</w:t>
      </w:r>
    </w:p>
    <w:p w14:paraId="2B1E09D8" w14:textId="77777777" w:rsidR="00143D76" w:rsidRPr="00143D76" w:rsidRDefault="00143D76" w:rsidP="004E084E">
      <w:pPr>
        <w:spacing w:line="360" w:lineRule="auto"/>
        <w:jc w:val="both"/>
        <w:rPr>
          <w:szCs w:val="24"/>
        </w:rPr>
      </w:pPr>
      <w:r w:rsidRPr="00143D76">
        <w:rPr>
          <w:szCs w:val="24"/>
        </w:rPr>
        <w:t>The </w:t>
      </w:r>
      <w:r w:rsidRPr="00143D76">
        <w:rPr>
          <w:b/>
          <w:bCs/>
          <w:szCs w:val="24"/>
        </w:rPr>
        <w:t>payment risk</w:t>
      </w:r>
      <w:r w:rsidRPr="00143D76">
        <w:rPr>
          <w:szCs w:val="24"/>
        </w:rPr>
        <w:t> indicates the situation in which the bank is asked to make an outlay, having to make a transfer with funds that it didn't receive yet. This happens when the payment times are different from those of the transfer of funds needed to make it (Ayiekoh, 2008). </w:t>
      </w:r>
    </w:p>
    <w:p w14:paraId="4FF98729" w14:textId="77777777" w:rsidR="00143D76" w:rsidRPr="00143D76" w:rsidRDefault="00143D76" w:rsidP="004E084E">
      <w:pPr>
        <w:spacing w:line="360" w:lineRule="auto"/>
        <w:jc w:val="both"/>
      </w:pPr>
      <w:r w:rsidRPr="00143D76">
        <w:rPr>
          <w:szCs w:val="24"/>
        </w:rPr>
        <w:t>The regulation of the payment system is essential same as the regulation of the market in general. The complexity of the payment system supported the development of mitigation procedures mainly in four directions: the increase of payment risk awareness, the disincentives of intervention that can encourage risk-taking, the adaptation of legal framework with the new payment practices and the</w:t>
      </w:r>
      <w:r>
        <w:rPr>
          <w:szCs w:val="24"/>
        </w:rPr>
        <w:t xml:space="preserve"> </w:t>
      </w:r>
      <w:r w:rsidRPr="00143D76">
        <w:t>improvement of international coordination. The leading solutions result to be the settlement of a clear delay or lag and the restriction of the membership just to those banks with high reputation (Ayiekoh, 2008).</w:t>
      </w:r>
    </w:p>
    <w:p w14:paraId="3A6C6A6D" w14:textId="67A829F1" w:rsidR="00143D76" w:rsidRPr="00143D76" w:rsidRDefault="00143D76" w:rsidP="004E084E">
      <w:pPr>
        <w:spacing w:line="360" w:lineRule="auto"/>
        <w:jc w:val="both"/>
        <w:rPr>
          <w:szCs w:val="24"/>
        </w:rPr>
      </w:pPr>
      <w:r w:rsidRPr="00143D76">
        <w:rPr>
          <w:szCs w:val="24"/>
        </w:rPr>
        <w:t>The </w:t>
      </w:r>
      <w:r w:rsidRPr="00143D76">
        <w:rPr>
          <w:b/>
          <w:bCs/>
          <w:szCs w:val="24"/>
        </w:rPr>
        <w:t>asset or 'market' risk</w:t>
      </w:r>
      <w:r w:rsidRPr="00143D76">
        <w:rPr>
          <w:szCs w:val="24"/>
        </w:rPr>
        <w:t> has been found to be increasingly consistent for banks in the past years. This risk derives from the probability that banks' value of assets fell on levels lower than the liability value. The causes can be mainly of two types: the first one concern the default of the borrowers on their loans, which value can fall to zero if there is not any prospect of payment or be reduced if the bank is able to recover a fraction of it. The second one regards the market prices' fluctuations, as the banks detain a few assets that are traded on the market, which price can fluctuate and may fall, due mainly to interest rate's change. Prices' fluctuations are due as well from the immediate sale at once of the customers, which is a typical situation when there are the assets' 'forced sales.' Monitoring, diversification and the limitation of exposure are among the best solutions to deal with this risk (Milone, 201</w:t>
      </w:r>
      <w:r>
        <w:rPr>
          <w:szCs w:val="24"/>
        </w:rPr>
        <w:t>8).</w:t>
      </w:r>
    </w:p>
    <w:p w14:paraId="04515227" w14:textId="0EC339C7" w:rsidR="00F97595" w:rsidRPr="006F0C0E" w:rsidRDefault="006F0C0E" w:rsidP="004E084E">
      <w:pPr>
        <w:pStyle w:val="Heading1"/>
        <w:spacing w:line="360" w:lineRule="auto"/>
        <w:rPr>
          <w:b/>
          <w:bCs/>
          <w:color w:val="auto"/>
        </w:rPr>
      </w:pPr>
      <w:bookmarkStart w:id="41" w:name="_Toc29313863"/>
      <w:bookmarkStart w:id="42" w:name="_Toc29314039"/>
      <w:bookmarkStart w:id="43" w:name="_Toc29314122"/>
      <w:r w:rsidRPr="006F0C0E">
        <w:rPr>
          <w:b/>
          <w:bCs/>
          <w:color w:val="auto"/>
        </w:rPr>
        <w:lastRenderedPageBreak/>
        <w:t>C</w:t>
      </w:r>
      <w:r w:rsidR="004E084E">
        <w:rPr>
          <w:b/>
          <w:bCs/>
          <w:color w:val="auto"/>
        </w:rPr>
        <w:t>ONCLUSIONS</w:t>
      </w:r>
      <w:bookmarkEnd w:id="41"/>
      <w:bookmarkEnd w:id="42"/>
      <w:bookmarkEnd w:id="43"/>
    </w:p>
    <w:p w14:paraId="73086041" w14:textId="77777777" w:rsidR="00E44360" w:rsidRPr="00E44360" w:rsidRDefault="00E44360" w:rsidP="004E084E">
      <w:pPr>
        <w:spacing w:line="360" w:lineRule="auto"/>
        <w:rPr>
          <w:szCs w:val="24"/>
        </w:rPr>
      </w:pPr>
    </w:p>
    <w:p w14:paraId="3416A76B" w14:textId="75A676F0" w:rsidR="0057417C" w:rsidRDefault="00E44360" w:rsidP="004E084E">
      <w:pPr>
        <w:spacing w:line="360" w:lineRule="auto"/>
        <w:jc w:val="both"/>
        <w:rPr>
          <w:szCs w:val="24"/>
        </w:rPr>
      </w:pPr>
      <w:r>
        <w:rPr>
          <w:szCs w:val="24"/>
        </w:rPr>
        <w:t>I</w:t>
      </w:r>
      <w:r w:rsidRPr="00E44360">
        <w:rPr>
          <w:szCs w:val="24"/>
        </w:rPr>
        <w:t xml:space="preserve">n conclusion to this research, some elements </w:t>
      </w:r>
      <w:r w:rsidR="00581AE3">
        <w:rPr>
          <w:szCs w:val="24"/>
        </w:rPr>
        <w:t>result</w:t>
      </w:r>
      <w:r w:rsidRPr="00E44360">
        <w:rPr>
          <w:szCs w:val="24"/>
        </w:rPr>
        <w:t xml:space="preserve"> common to the various areas studied. </w:t>
      </w:r>
    </w:p>
    <w:p w14:paraId="4512EF58" w14:textId="6017C8BE" w:rsidR="00581AE3" w:rsidRDefault="00581AE3" w:rsidP="004E084E">
      <w:pPr>
        <w:spacing w:line="360" w:lineRule="auto"/>
        <w:jc w:val="both"/>
        <w:rPr>
          <w:szCs w:val="24"/>
          <w:lang w:val="en"/>
        </w:rPr>
      </w:pPr>
      <w:r>
        <w:rPr>
          <w:szCs w:val="24"/>
        </w:rPr>
        <w:t>The constant monitoring and evaluation</w:t>
      </w:r>
      <w:r w:rsidRPr="00581AE3">
        <w:rPr>
          <w:szCs w:val="24"/>
          <w:lang w:val="en"/>
        </w:rPr>
        <w:t xml:space="preserve"> are indispensable elements, necessary to be able to adapt quickly to market changes and crises. In doing so, the role of regulators must be to support and assist the banking system</w:t>
      </w:r>
      <w:r>
        <w:rPr>
          <w:szCs w:val="24"/>
          <w:lang w:val="en"/>
        </w:rPr>
        <w:t xml:space="preserve">, in order to address the concerns, promote the stability and prevent banks run. </w:t>
      </w:r>
    </w:p>
    <w:p w14:paraId="1CA7D398" w14:textId="3690D2F5" w:rsidR="00581AE3" w:rsidRPr="007E1C04" w:rsidRDefault="007E1C04" w:rsidP="004E084E">
      <w:pPr>
        <w:spacing w:line="360" w:lineRule="auto"/>
        <w:jc w:val="both"/>
        <w:rPr>
          <w:szCs w:val="24"/>
        </w:rPr>
      </w:pPr>
      <w:r>
        <w:rPr>
          <w:szCs w:val="24"/>
          <w:lang w:val="en"/>
        </w:rPr>
        <w:t>After the crisis of 2007, t</w:t>
      </w:r>
      <w:r w:rsidRPr="007E1C04">
        <w:rPr>
          <w:szCs w:val="24"/>
          <w:lang w:val="en"/>
        </w:rPr>
        <w:t>he international banking system seems to be recovering clearly, despite the risk of another crisis</w:t>
      </w:r>
      <w:r>
        <w:rPr>
          <w:szCs w:val="24"/>
          <w:lang w:val="en"/>
        </w:rPr>
        <w:t>. However</w:t>
      </w:r>
      <w:r>
        <w:rPr>
          <w:szCs w:val="24"/>
        </w:rPr>
        <w:t xml:space="preserve">, </w:t>
      </w:r>
      <w:r w:rsidRPr="00581AE3">
        <w:rPr>
          <w:szCs w:val="24"/>
          <w:lang w:val="en"/>
        </w:rPr>
        <w:t>in</w:t>
      </w:r>
      <w:r w:rsidR="00581AE3" w:rsidRPr="00581AE3">
        <w:rPr>
          <w:szCs w:val="24"/>
          <w:lang w:val="en"/>
        </w:rPr>
        <w:t xml:space="preserve"> an environment of </w:t>
      </w:r>
      <w:r>
        <w:rPr>
          <w:szCs w:val="24"/>
          <w:lang w:val="en"/>
        </w:rPr>
        <w:t>instability</w:t>
      </w:r>
      <w:r w:rsidR="00581AE3" w:rsidRPr="00581AE3">
        <w:rPr>
          <w:szCs w:val="24"/>
          <w:lang w:val="en"/>
        </w:rPr>
        <w:t xml:space="preserve"> and constant change, the role of regulators is not simple, but it is essential for the stability and health of the system.</w:t>
      </w:r>
    </w:p>
    <w:p w14:paraId="4E1873C7" w14:textId="4DC029FE" w:rsidR="00204700" w:rsidRPr="00581AE3" w:rsidRDefault="00204700" w:rsidP="004E084E">
      <w:pPr>
        <w:spacing w:line="360" w:lineRule="auto"/>
        <w:rPr>
          <w:szCs w:val="24"/>
        </w:rPr>
      </w:pPr>
    </w:p>
    <w:p w14:paraId="129D4B20" w14:textId="77777777" w:rsidR="00581AE3" w:rsidRPr="00581AE3" w:rsidRDefault="00581AE3" w:rsidP="004E084E">
      <w:pPr>
        <w:spacing w:line="360" w:lineRule="auto"/>
        <w:rPr>
          <w:szCs w:val="24"/>
        </w:rPr>
      </w:pPr>
    </w:p>
    <w:p w14:paraId="7FC78B58" w14:textId="55E336CF" w:rsidR="00581AE3" w:rsidRPr="0057417C" w:rsidRDefault="00581AE3" w:rsidP="004E084E">
      <w:pPr>
        <w:spacing w:line="360" w:lineRule="auto"/>
        <w:rPr>
          <w:szCs w:val="24"/>
        </w:rPr>
      </w:pPr>
    </w:p>
    <w:p w14:paraId="14048CC9" w14:textId="728C3226" w:rsidR="00D23111" w:rsidRDefault="00D23111" w:rsidP="004E084E">
      <w:pPr>
        <w:spacing w:line="360" w:lineRule="auto"/>
        <w:rPr>
          <w:rStyle w:val="selectable"/>
          <w:rFonts w:cstheme="minorHAnsi"/>
          <w:shd w:val="clear" w:color="auto" w:fill="FFFFFF"/>
        </w:rPr>
      </w:pPr>
    </w:p>
    <w:p w14:paraId="076CD81D" w14:textId="75AB9132" w:rsidR="004E084E" w:rsidRDefault="004E084E" w:rsidP="004E084E">
      <w:pPr>
        <w:spacing w:line="360" w:lineRule="auto"/>
        <w:rPr>
          <w:rStyle w:val="selectable"/>
          <w:rFonts w:cstheme="minorHAnsi"/>
          <w:shd w:val="clear" w:color="auto" w:fill="FFFFFF"/>
        </w:rPr>
      </w:pPr>
    </w:p>
    <w:p w14:paraId="51EE2200" w14:textId="379B3723" w:rsidR="004E084E" w:rsidRDefault="004E084E" w:rsidP="004E084E">
      <w:pPr>
        <w:spacing w:line="360" w:lineRule="auto"/>
        <w:rPr>
          <w:rStyle w:val="selectable"/>
          <w:rFonts w:cstheme="minorHAnsi"/>
          <w:shd w:val="clear" w:color="auto" w:fill="FFFFFF"/>
        </w:rPr>
      </w:pPr>
    </w:p>
    <w:p w14:paraId="589F0B16" w14:textId="68792EDF" w:rsidR="004E084E" w:rsidRDefault="004E084E" w:rsidP="004E084E">
      <w:pPr>
        <w:spacing w:line="360" w:lineRule="auto"/>
        <w:rPr>
          <w:rStyle w:val="selectable"/>
          <w:rFonts w:cstheme="minorHAnsi"/>
          <w:shd w:val="clear" w:color="auto" w:fill="FFFFFF"/>
        </w:rPr>
      </w:pPr>
    </w:p>
    <w:p w14:paraId="0C07FFB9" w14:textId="29EA2676" w:rsidR="004E084E" w:rsidRDefault="004E084E" w:rsidP="004E084E">
      <w:pPr>
        <w:spacing w:line="360" w:lineRule="auto"/>
        <w:rPr>
          <w:rStyle w:val="selectable"/>
          <w:rFonts w:cstheme="minorHAnsi"/>
          <w:shd w:val="clear" w:color="auto" w:fill="FFFFFF"/>
        </w:rPr>
      </w:pPr>
    </w:p>
    <w:p w14:paraId="16D256EF" w14:textId="1E5DCF0A" w:rsidR="004E084E" w:rsidRDefault="004E084E" w:rsidP="004E084E">
      <w:pPr>
        <w:spacing w:line="360" w:lineRule="auto"/>
        <w:rPr>
          <w:rStyle w:val="selectable"/>
          <w:rFonts w:cstheme="minorHAnsi"/>
          <w:shd w:val="clear" w:color="auto" w:fill="FFFFFF"/>
        </w:rPr>
      </w:pPr>
    </w:p>
    <w:p w14:paraId="0FDC7FAA" w14:textId="191A45BF" w:rsidR="004E084E" w:rsidRDefault="004E084E" w:rsidP="004E084E">
      <w:pPr>
        <w:spacing w:line="360" w:lineRule="auto"/>
        <w:rPr>
          <w:rStyle w:val="selectable"/>
          <w:rFonts w:cstheme="minorHAnsi"/>
          <w:shd w:val="clear" w:color="auto" w:fill="FFFFFF"/>
        </w:rPr>
      </w:pPr>
    </w:p>
    <w:p w14:paraId="1FF27194" w14:textId="32FBEF4B" w:rsidR="004E084E" w:rsidRDefault="004E084E" w:rsidP="004E084E">
      <w:pPr>
        <w:spacing w:line="360" w:lineRule="auto"/>
        <w:rPr>
          <w:rStyle w:val="selectable"/>
          <w:rFonts w:cstheme="minorHAnsi"/>
          <w:shd w:val="clear" w:color="auto" w:fill="FFFFFF"/>
        </w:rPr>
      </w:pPr>
    </w:p>
    <w:p w14:paraId="0617D063" w14:textId="5AA22C06" w:rsidR="004E084E" w:rsidRDefault="004E084E" w:rsidP="004E084E">
      <w:pPr>
        <w:spacing w:line="360" w:lineRule="auto"/>
        <w:rPr>
          <w:rStyle w:val="selectable"/>
          <w:rFonts w:cstheme="minorHAnsi"/>
          <w:shd w:val="clear" w:color="auto" w:fill="FFFFFF"/>
        </w:rPr>
      </w:pPr>
    </w:p>
    <w:p w14:paraId="1A7FB5A7" w14:textId="3068887B" w:rsidR="004E084E" w:rsidRDefault="004E084E" w:rsidP="004E084E">
      <w:pPr>
        <w:spacing w:line="360" w:lineRule="auto"/>
        <w:rPr>
          <w:rStyle w:val="selectable"/>
          <w:rFonts w:cstheme="minorHAnsi"/>
          <w:shd w:val="clear" w:color="auto" w:fill="FFFFFF"/>
        </w:rPr>
      </w:pPr>
    </w:p>
    <w:p w14:paraId="3548B518" w14:textId="41582E77" w:rsidR="004E084E" w:rsidRDefault="004E084E" w:rsidP="004E084E">
      <w:pPr>
        <w:spacing w:line="360" w:lineRule="auto"/>
        <w:rPr>
          <w:rStyle w:val="selectable"/>
          <w:rFonts w:cstheme="minorHAnsi"/>
          <w:shd w:val="clear" w:color="auto" w:fill="FFFFFF"/>
        </w:rPr>
      </w:pPr>
    </w:p>
    <w:p w14:paraId="6EFB4F6A" w14:textId="77777777" w:rsidR="004E084E" w:rsidRDefault="004E084E" w:rsidP="004E084E">
      <w:pPr>
        <w:spacing w:line="360" w:lineRule="auto"/>
        <w:rPr>
          <w:rStyle w:val="selectable"/>
          <w:rFonts w:cstheme="minorHAnsi"/>
          <w:shd w:val="clear" w:color="auto" w:fill="FFFFFF"/>
        </w:rPr>
      </w:pPr>
    </w:p>
    <w:p w14:paraId="2D2EF89B" w14:textId="77777777" w:rsidR="00F11FBC" w:rsidRPr="009D05CE" w:rsidRDefault="00F11FBC" w:rsidP="004E084E">
      <w:pPr>
        <w:spacing w:line="360" w:lineRule="auto"/>
        <w:rPr>
          <w:rStyle w:val="selectable"/>
          <w:rFonts w:cstheme="minorHAnsi"/>
          <w:shd w:val="clear" w:color="auto" w:fill="FFFFFF"/>
        </w:rPr>
      </w:pPr>
    </w:p>
    <w:p w14:paraId="5EBEEDAA" w14:textId="45969979" w:rsidR="00D23111" w:rsidRPr="009D05CE" w:rsidRDefault="009D05CE" w:rsidP="004E084E">
      <w:pPr>
        <w:pStyle w:val="Heading1"/>
        <w:spacing w:line="360" w:lineRule="auto"/>
        <w:rPr>
          <w:rStyle w:val="selectable"/>
          <w:rFonts w:cstheme="minorHAnsi"/>
          <w:b/>
          <w:bCs/>
          <w:color w:val="auto"/>
        </w:rPr>
      </w:pPr>
      <w:bookmarkStart w:id="44" w:name="_Toc29313864"/>
      <w:bookmarkStart w:id="45" w:name="_Toc29314040"/>
      <w:bookmarkStart w:id="46" w:name="_Toc29314123"/>
      <w:r w:rsidRPr="009D05CE">
        <w:rPr>
          <w:rStyle w:val="selectable"/>
          <w:rFonts w:cstheme="minorHAnsi"/>
          <w:b/>
          <w:bCs/>
          <w:color w:val="auto"/>
        </w:rPr>
        <w:lastRenderedPageBreak/>
        <w:t>REFERENCES</w:t>
      </w:r>
      <w:bookmarkEnd w:id="44"/>
      <w:bookmarkEnd w:id="45"/>
      <w:bookmarkEnd w:id="46"/>
    </w:p>
    <w:p w14:paraId="57E0919C" w14:textId="5D3EF6CB" w:rsidR="00D23111" w:rsidRPr="001A6E81" w:rsidRDefault="00D23111" w:rsidP="004E084E">
      <w:pPr>
        <w:spacing w:line="360" w:lineRule="auto"/>
        <w:rPr>
          <w:rStyle w:val="selectable"/>
          <w:rFonts w:cstheme="minorHAnsi"/>
          <w:color w:val="000000"/>
        </w:rPr>
      </w:pPr>
    </w:p>
    <w:p w14:paraId="538EC3E1" w14:textId="26FD6B6D" w:rsidR="00D23111" w:rsidRPr="001A6E81" w:rsidRDefault="00D23111" w:rsidP="004E084E">
      <w:pPr>
        <w:spacing w:line="360" w:lineRule="auto"/>
        <w:rPr>
          <w:rStyle w:val="selectable"/>
          <w:rFonts w:cstheme="minorHAnsi"/>
          <w:color w:val="000000"/>
        </w:rPr>
      </w:pPr>
    </w:p>
    <w:p w14:paraId="18534F03" w14:textId="77777777" w:rsidR="009D05CE" w:rsidRPr="009D05CE" w:rsidRDefault="009D05CE" w:rsidP="004E084E">
      <w:pPr>
        <w:spacing w:line="360" w:lineRule="auto"/>
        <w:rPr>
          <w:rFonts w:cstheme="minorHAnsi"/>
          <w:lang w:val="en-US"/>
        </w:rPr>
      </w:pPr>
      <w:r w:rsidRPr="009D05CE">
        <w:rPr>
          <w:rFonts w:cstheme="minorHAnsi"/>
          <w:lang w:val="en-US"/>
        </w:rPr>
        <w:t>Altunbas, Y., Carbo, S., Gardener, E.P.M., and Molyneux, P. (2007) Examining the relationships between capital, risk and efficiency in European Banking, European Financial Management 13, 49-70.</w:t>
      </w:r>
    </w:p>
    <w:p w14:paraId="4F0AEE8B" w14:textId="77777777" w:rsidR="009D05CE" w:rsidRPr="009D05CE" w:rsidRDefault="009D05CE" w:rsidP="004E084E">
      <w:pPr>
        <w:spacing w:line="360" w:lineRule="auto"/>
        <w:rPr>
          <w:rFonts w:cstheme="minorHAnsi"/>
        </w:rPr>
      </w:pPr>
      <w:r w:rsidRPr="009D05CE">
        <w:rPr>
          <w:rFonts w:cstheme="minorHAnsi"/>
        </w:rPr>
        <w:t>Banerjee, R. and Mio, H. (2015). The Impact of Liquidity Regulation on Banks. Bank of England, Staff Working Paper No. 536.</w:t>
      </w:r>
    </w:p>
    <w:p w14:paraId="716E3D22" w14:textId="77777777" w:rsidR="009D05CE" w:rsidRPr="009D05CE" w:rsidRDefault="009D05CE" w:rsidP="004E084E">
      <w:pPr>
        <w:spacing w:line="360" w:lineRule="auto"/>
        <w:rPr>
          <w:rFonts w:cstheme="minorHAnsi"/>
          <w:color w:val="000000"/>
          <w:shd w:val="clear" w:color="auto" w:fill="FFFFFF"/>
        </w:rPr>
      </w:pPr>
      <w:r w:rsidRPr="009D05CE">
        <w:rPr>
          <w:rFonts w:cstheme="minorHAnsi"/>
          <w:color w:val="000000"/>
          <w:shd w:val="clear" w:color="auto" w:fill="FFFFFF"/>
        </w:rPr>
        <w:t xml:space="preserve">Bankofengland.co.uk. (2019). </w:t>
      </w:r>
      <w:r w:rsidRPr="009D05CE">
        <w:rPr>
          <w:rFonts w:cstheme="minorHAnsi"/>
          <w:color w:val="000000"/>
        </w:rPr>
        <w:t xml:space="preserve">Why do we regulate </w:t>
      </w:r>
      <w:proofErr w:type="gramStart"/>
      <w:r w:rsidRPr="009D05CE">
        <w:rPr>
          <w:rFonts w:cstheme="minorHAnsi"/>
          <w:color w:val="000000"/>
        </w:rPr>
        <w:t>banks?</w:t>
      </w:r>
      <w:r w:rsidRPr="009D05CE">
        <w:rPr>
          <w:rFonts w:cstheme="minorHAnsi"/>
          <w:color w:val="000000"/>
          <w:shd w:val="clear" w:color="auto" w:fill="FFFFFF"/>
        </w:rPr>
        <w:t>.</w:t>
      </w:r>
      <w:proofErr w:type="gramEnd"/>
      <w:r w:rsidRPr="009D05CE">
        <w:rPr>
          <w:rFonts w:cstheme="minorHAnsi"/>
          <w:color w:val="000000"/>
          <w:shd w:val="clear" w:color="auto" w:fill="FFFFFF"/>
        </w:rPr>
        <w:t xml:space="preserve"> [online] Available at: https://www.bankofengland.co.uk/KnowledgeBank/why-do-we-regulate-banks [Accessed 24 Nov. 2019].</w:t>
      </w:r>
    </w:p>
    <w:p w14:paraId="2D2C3E1C" w14:textId="77777777" w:rsidR="009D05CE" w:rsidRPr="009D05CE" w:rsidRDefault="009D05CE" w:rsidP="004E084E">
      <w:pPr>
        <w:spacing w:line="360" w:lineRule="auto"/>
        <w:rPr>
          <w:rFonts w:cstheme="minorHAnsi"/>
        </w:rPr>
      </w:pPr>
      <w:r w:rsidRPr="009D05CE">
        <w:rPr>
          <w:rFonts w:cstheme="minorHAnsi"/>
        </w:rPr>
        <w:t xml:space="preserve">Basel Committee on Banking Supervision: Liquidity coverage ratio disclosure standards. (2014). </w:t>
      </w:r>
      <w:bookmarkStart w:id="47" w:name="_Hlk28356112"/>
      <w:r w:rsidRPr="009D05CE">
        <w:rPr>
          <w:rFonts w:cstheme="minorHAnsi"/>
        </w:rPr>
        <w:t>Bank for international settlements</w:t>
      </w:r>
      <w:bookmarkEnd w:id="47"/>
      <w:r w:rsidRPr="009D05CE">
        <w:rPr>
          <w:rFonts w:cstheme="minorHAnsi"/>
        </w:rPr>
        <w:t>.</w:t>
      </w:r>
    </w:p>
    <w:p w14:paraId="15577C49" w14:textId="77777777" w:rsidR="009D05CE" w:rsidRPr="009D05CE" w:rsidRDefault="009D05CE" w:rsidP="004E084E">
      <w:pPr>
        <w:spacing w:line="360" w:lineRule="auto"/>
        <w:rPr>
          <w:rFonts w:cstheme="minorHAnsi"/>
        </w:rPr>
      </w:pPr>
      <w:r w:rsidRPr="009D05CE">
        <w:rPr>
          <w:rFonts w:cstheme="minorHAnsi"/>
        </w:rPr>
        <w:t>Beck, T. (2006). Efficiency in Financial Intermediation: Theory and Empirical Measurement. World Bank’s research department.</w:t>
      </w:r>
    </w:p>
    <w:p w14:paraId="5847B444" w14:textId="77777777" w:rsidR="009D05CE" w:rsidRPr="009D05CE" w:rsidRDefault="009D05CE" w:rsidP="004E084E">
      <w:pPr>
        <w:spacing w:line="360" w:lineRule="auto"/>
        <w:rPr>
          <w:rFonts w:cstheme="minorHAnsi"/>
          <w:color w:val="000000"/>
          <w:shd w:val="clear" w:color="auto" w:fill="FFFFFF"/>
        </w:rPr>
      </w:pPr>
      <w:r w:rsidRPr="009D05CE">
        <w:rPr>
          <w:rFonts w:cstheme="minorHAnsi"/>
          <w:color w:val="000000"/>
          <w:shd w:val="clear" w:color="auto" w:fill="FFFFFF"/>
        </w:rPr>
        <w:t xml:space="preserve">Binham, C. (2017). BoE official warns against return to ‘light-touch’ regulation. </w:t>
      </w:r>
      <w:r w:rsidRPr="009D05CE">
        <w:rPr>
          <w:rFonts w:cstheme="minorHAnsi"/>
          <w:color w:val="000000"/>
        </w:rPr>
        <w:t>Financial Times</w:t>
      </w:r>
      <w:r w:rsidRPr="009D05CE">
        <w:rPr>
          <w:rFonts w:cstheme="minorHAnsi"/>
          <w:color w:val="000000"/>
          <w:shd w:val="clear" w:color="auto" w:fill="FFFFFF"/>
        </w:rPr>
        <w:t>.</w:t>
      </w:r>
    </w:p>
    <w:p w14:paraId="51DB73F0" w14:textId="77777777" w:rsidR="009D05CE" w:rsidRPr="009D05CE" w:rsidRDefault="009D05CE" w:rsidP="004E084E">
      <w:pPr>
        <w:spacing w:line="360" w:lineRule="auto"/>
        <w:rPr>
          <w:rFonts w:cstheme="minorHAnsi"/>
        </w:rPr>
      </w:pPr>
      <w:r w:rsidRPr="009D05CE">
        <w:rPr>
          <w:rFonts w:cstheme="minorHAnsi"/>
        </w:rPr>
        <w:t>Bonner, C. and Eijffinger, S. (2012). The Impact of the LCR on the Interbank Money Market. De Nederlandsche Bank, SSRN Electronic Journal.</w:t>
      </w:r>
    </w:p>
    <w:p w14:paraId="6AFB92DB" w14:textId="77777777" w:rsidR="009D05CE" w:rsidRPr="009D05CE" w:rsidRDefault="009D05CE" w:rsidP="004E084E">
      <w:pPr>
        <w:spacing w:line="360" w:lineRule="auto"/>
        <w:rPr>
          <w:rFonts w:cstheme="minorHAnsi"/>
          <w:color w:val="000000"/>
        </w:rPr>
      </w:pPr>
      <w:r w:rsidRPr="009D05CE">
        <w:rPr>
          <w:rFonts w:cstheme="minorHAnsi"/>
          <w:color w:val="000000"/>
          <w:shd w:val="clear" w:color="auto" w:fill="FFFFFF"/>
        </w:rPr>
        <w:t xml:space="preserve">Bridges, J., Gregory, D., Nielsen, M., Pezzini, S., Radia, A. and Spaltro, M. (2014). The Impact of Capital Requirements on Bank Lending. </w:t>
      </w:r>
      <w:r w:rsidRPr="009D05CE">
        <w:rPr>
          <w:rFonts w:cstheme="minorHAnsi"/>
          <w:color w:val="000000"/>
        </w:rPr>
        <w:t>Bank of England</w:t>
      </w:r>
      <w:r w:rsidRPr="009D05CE">
        <w:rPr>
          <w:rFonts w:cstheme="minorHAnsi"/>
          <w:color w:val="000000"/>
          <w:shd w:val="clear" w:color="auto" w:fill="FFFFFF"/>
        </w:rPr>
        <w:t xml:space="preserve">. </w:t>
      </w:r>
      <w:r w:rsidRPr="009D05CE">
        <w:rPr>
          <w:rFonts w:cstheme="minorHAnsi"/>
          <w:color w:val="000000"/>
        </w:rPr>
        <w:t>SSRN Electronic Journal</w:t>
      </w:r>
    </w:p>
    <w:p w14:paraId="503DBF23" w14:textId="77777777" w:rsidR="009D05CE" w:rsidRPr="009D05CE" w:rsidRDefault="009D05CE" w:rsidP="004E084E">
      <w:pPr>
        <w:spacing w:line="360" w:lineRule="auto"/>
        <w:rPr>
          <w:rFonts w:cstheme="minorHAnsi"/>
          <w:lang w:val="en-US"/>
        </w:rPr>
      </w:pPr>
      <w:r w:rsidRPr="009D05CE">
        <w:rPr>
          <w:rFonts w:cstheme="minorHAnsi"/>
          <w:lang w:val="en-US"/>
        </w:rPr>
        <w:t xml:space="preserve">Casu, B., and Molyneux, P. (2003). A comparative study of efficiency in European banking. Applied Economics, 35, 1865-1876. </w:t>
      </w:r>
    </w:p>
    <w:p w14:paraId="6BDA8AFD" w14:textId="77777777" w:rsidR="009D05CE" w:rsidRPr="009D05CE" w:rsidRDefault="009D05CE" w:rsidP="004E084E">
      <w:pPr>
        <w:spacing w:line="360" w:lineRule="auto"/>
        <w:rPr>
          <w:rFonts w:cstheme="minorHAnsi"/>
          <w:color w:val="000000"/>
          <w:shd w:val="clear" w:color="auto" w:fill="FFFFFF"/>
        </w:rPr>
      </w:pPr>
      <w:r w:rsidRPr="009D05CE">
        <w:rPr>
          <w:rFonts w:cstheme="minorHAnsi"/>
          <w:color w:val="000000"/>
          <w:shd w:val="clear" w:color="auto" w:fill="FFFFFF"/>
        </w:rPr>
        <w:t xml:space="preserve">Chami, R. and Cosimano, T. (2003). The Nature of Capital Adequacy Constraints Under the Basel Accord. </w:t>
      </w:r>
      <w:r w:rsidRPr="009D05CE">
        <w:rPr>
          <w:rFonts w:cstheme="minorHAnsi"/>
          <w:color w:val="000000"/>
        </w:rPr>
        <w:t>SSRN Electronic Journal</w:t>
      </w:r>
      <w:r w:rsidRPr="009D05CE">
        <w:rPr>
          <w:rFonts w:cstheme="minorHAnsi"/>
          <w:color w:val="000000"/>
          <w:shd w:val="clear" w:color="auto" w:fill="FFFFFF"/>
        </w:rPr>
        <w:t>.</w:t>
      </w:r>
    </w:p>
    <w:p w14:paraId="3A12ED9E" w14:textId="77777777" w:rsidR="009D05CE" w:rsidRPr="009D05CE" w:rsidRDefault="009D05CE" w:rsidP="004E084E">
      <w:pPr>
        <w:spacing w:line="360" w:lineRule="auto"/>
        <w:rPr>
          <w:rFonts w:cstheme="minorHAnsi"/>
          <w:color w:val="000000"/>
          <w:shd w:val="clear" w:color="auto" w:fill="FFFFFF"/>
        </w:rPr>
      </w:pPr>
      <w:r w:rsidRPr="009D05CE">
        <w:rPr>
          <w:rFonts w:cstheme="minorHAnsi"/>
          <w:color w:val="000000"/>
          <w:shd w:val="clear" w:color="auto" w:fill="FFFFFF"/>
        </w:rPr>
        <w:t xml:space="preserve">Chevallier, C. and El Joueidi, S. (2019). Capital regulation and banking bubbles. </w:t>
      </w:r>
      <w:r w:rsidRPr="009D05CE">
        <w:rPr>
          <w:rFonts w:cstheme="minorHAnsi"/>
          <w:color w:val="000000"/>
        </w:rPr>
        <w:t>Journal of Mathematical Economics</w:t>
      </w:r>
      <w:r w:rsidRPr="009D05CE">
        <w:rPr>
          <w:rFonts w:cstheme="minorHAnsi"/>
          <w:color w:val="000000"/>
          <w:shd w:val="clear" w:color="auto" w:fill="FFFFFF"/>
        </w:rPr>
        <w:t>, 84, pp.117-129.</w:t>
      </w:r>
    </w:p>
    <w:p w14:paraId="03329AD9" w14:textId="77777777" w:rsidR="009D05CE" w:rsidRPr="009D05CE" w:rsidRDefault="009D05CE" w:rsidP="004E084E">
      <w:pPr>
        <w:spacing w:line="360" w:lineRule="auto"/>
        <w:rPr>
          <w:rFonts w:cstheme="minorHAnsi"/>
        </w:rPr>
      </w:pPr>
      <w:r w:rsidRPr="009D05CE">
        <w:rPr>
          <w:rFonts w:cstheme="minorHAnsi"/>
        </w:rPr>
        <w:t>Chiaramonte, C. and Casu, B. (2018). On the relationship between regulatory liquidity and bank lending in the euro area. Cass Business School, City University London, UK.</w:t>
      </w:r>
    </w:p>
    <w:p w14:paraId="476B1F25" w14:textId="77777777" w:rsidR="009D05CE" w:rsidRPr="009D05CE" w:rsidRDefault="009D05CE" w:rsidP="004E084E">
      <w:pPr>
        <w:spacing w:line="360" w:lineRule="auto"/>
        <w:rPr>
          <w:rFonts w:cstheme="minorHAnsi"/>
        </w:rPr>
      </w:pPr>
      <w:r w:rsidRPr="009D05CE">
        <w:rPr>
          <w:rFonts w:cstheme="minorHAnsi"/>
        </w:rPr>
        <w:lastRenderedPageBreak/>
        <w:t>Dahir, A., Mahat, F. and Ali, N. (2018). Funding liquidity risk and bank risk-taking in BRICS countries. International Journal of Emerging Markets, 13(1), pp.231-248.</w:t>
      </w:r>
    </w:p>
    <w:p w14:paraId="73969DA4" w14:textId="77777777" w:rsidR="009D05CE" w:rsidRPr="009D05CE" w:rsidRDefault="009D05CE" w:rsidP="004E084E">
      <w:pPr>
        <w:spacing w:line="360" w:lineRule="auto"/>
        <w:rPr>
          <w:rFonts w:cstheme="minorHAnsi"/>
        </w:rPr>
      </w:pPr>
      <w:r w:rsidRPr="009D05CE">
        <w:rPr>
          <w:rFonts w:cstheme="minorHAnsi"/>
        </w:rPr>
        <w:t>Dahir, A., Mahat, F., Razak, N. and Bany-Ariffin, A. (2019). Capital, funding liquidity, and bank lending in emerging economies: An application of the LSDVC approach. Borsa Istanbul Review, 19(2), pp.139-148.</w:t>
      </w:r>
    </w:p>
    <w:p w14:paraId="742A8D31" w14:textId="77777777" w:rsidR="009D05CE" w:rsidRPr="009D05CE" w:rsidRDefault="009D05CE" w:rsidP="004E084E">
      <w:pPr>
        <w:spacing w:line="360" w:lineRule="auto"/>
        <w:rPr>
          <w:rFonts w:cstheme="minorHAnsi"/>
          <w:color w:val="000000"/>
          <w:shd w:val="clear" w:color="auto" w:fill="FFFFFF"/>
        </w:rPr>
      </w:pPr>
      <w:r w:rsidRPr="009D05CE">
        <w:rPr>
          <w:rFonts w:cstheme="minorHAnsi"/>
          <w:color w:val="000000"/>
          <w:shd w:val="clear" w:color="auto" w:fill="FFFFFF"/>
        </w:rPr>
        <w:t xml:space="preserve">Federal Reserve Bank of San Francisco. (2001). </w:t>
      </w:r>
      <w:r w:rsidRPr="009D05CE">
        <w:rPr>
          <w:rFonts w:cstheme="minorHAnsi"/>
          <w:color w:val="000000"/>
        </w:rPr>
        <w:t xml:space="preserve">Education | What is bank capital and what are the levels or tiers of </w:t>
      </w:r>
      <w:proofErr w:type="gramStart"/>
      <w:r w:rsidRPr="009D05CE">
        <w:rPr>
          <w:rFonts w:cstheme="minorHAnsi"/>
          <w:color w:val="000000"/>
        </w:rPr>
        <w:t>capital?</w:t>
      </w:r>
      <w:r w:rsidRPr="009D05CE">
        <w:rPr>
          <w:rFonts w:cstheme="minorHAnsi"/>
          <w:color w:val="000000"/>
          <w:shd w:val="clear" w:color="auto" w:fill="FFFFFF"/>
        </w:rPr>
        <w:t>.</w:t>
      </w:r>
      <w:proofErr w:type="gramEnd"/>
      <w:r w:rsidRPr="009D05CE">
        <w:rPr>
          <w:rFonts w:cstheme="minorHAnsi"/>
          <w:color w:val="000000"/>
          <w:shd w:val="clear" w:color="auto" w:fill="FFFFFF"/>
        </w:rPr>
        <w:t xml:space="preserve"> [online] Available at: https://www.frbsf.org/education/publications/doctor-econ/2001/september/bank-capital/ [Accessed 22 Dec. 2019].</w:t>
      </w:r>
    </w:p>
    <w:p w14:paraId="1F77914E" w14:textId="77777777" w:rsidR="009D05CE" w:rsidRPr="009D05CE" w:rsidRDefault="009D05CE" w:rsidP="004E084E">
      <w:pPr>
        <w:spacing w:line="360" w:lineRule="auto"/>
        <w:rPr>
          <w:rFonts w:cstheme="minorHAnsi"/>
        </w:rPr>
      </w:pPr>
      <w:r w:rsidRPr="009D05CE">
        <w:rPr>
          <w:rFonts w:cstheme="minorHAnsi"/>
        </w:rPr>
        <w:t>Francis, W and Osborne, M (2009), ‘Bank regulation, capital and credit supply: Measuring the impact of Prudential Standards’, FSA Occasional Paper Series, 36.</w:t>
      </w:r>
    </w:p>
    <w:p w14:paraId="490E2498" w14:textId="77777777" w:rsidR="009D05CE" w:rsidRPr="009D05CE" w:rsidRDefault="009D05CE" w:rsidP="004E084E">
      <w:pPr>
        <w:spacing w:line="360" w:lineRule="auto"/>
        <w:rPr>
          <w:rFonts w:cstheme="minorHAnsi"/>
        </w:rPr>
      </w:pPr>
      <w:r w:rsidRPr="009D05CE">
        <w:rPr>
          <w:rFonts w:cstheme="minorHAnsi"/>
        </w:rPr>
        <w:t xml:space="preserve">Furfine, C. (2001). Bank Portfolio Allocation: The Impact </w:t>
      </w:r>
      <w:proofErr w:type="gramStart"/>
      <w:r w:rsidRPr="009D05CE">
        <w:rPr>
          <w:rFonts w:cstheme="minorHAnsi"/>
        </w:rPr>
        <w:t>Of</w:t>
      </w:r>
      <w:proofErr w:type="gramEnd"/>
      <w:r w:rsidRPr="009D05CE">
        <w:rPr>
          <w:rFonts w:cstheme="minorHAnsi"/>
        </w:rPr>
        <w:t xml:space="preserve"> Capital Requirement, Regulatory Monitoring, and Economics Conditions. Journal of Financial Services Research, 2001, Vol.20(1), pp.33-56.</w:t>
      </w:r>
    </w:p>
    <w:p w14:paraId="3E9EAB18" w14:textId="77777777" w:rsidR="009D05CE" w:rsidRPr="009D05CE" w:rsidRDefault="009D05CE" w:rsidP="004E084E">
      <w:pPr>
        <w:spacing w:line="360" w:lineRule="auto"/>
        <w:rPr>
          <w:rFonts w:cstheme="minorHAnsi"/>
        </w:rPr>
      </w:pPr>
      <w:r w:rsidRPr="009D05CE">
        <w:rPr>
          <w:rFonts w:cstheme="minorHAnsi"/>
        </w:rPr>
        <w:t>Giordana, G. and Schumacher, I. (2013). Bank liquidity risk and monetary policy. Empirical evidence on the impact of Basel III liquidity standards. International Review of Applied Economics, 27(5), pp.633-655.</w:t>
      </w:r>
    </w:p>
    <w:p w14:paraId="68168352" w14:textId="77777777" w:rsidR="009D05CE" w:rsidRPr="009D05CE" w:rsidRDefault="009D05CE" w:rsidP="004E084E">
      <w:pPr>
        <w:spacing w:line="360" w:lineRule="auto"/>
        <w:rPr>
          <w:rFonts w:ascii="Arial" w:hAnsi="Arial" w:cs="Arial"/>
          <w:color w:val="000000"/>
          <w:sz w:val="20"/>
          <w:szCs w:val="20"/>
          <w:shd w:val="clear" w:color="auto" w:fill="FFFFFF"/>
        </w:rPr>
      </w:pPr>
      <w:r w:rsidRPr="00EA2940">
        <w:rPr>
          <w:rFonts w:ascii="Arial" w:hAnsi="Arial" w:cs="Arial"/>
          <w:color w:val="000000"/>
          <w:sz w:val="20"/>
          <w:szCs w:val="20"/>
          <w:shd w:val="clear" w:color="auto" w:fill="FFFFFF"/>
        </w:rPr>
        <w:t xml:space="preserve">Giovannini, A. and Giavazzi, F. (2011). </w:t>
      </w:r>
      <w:r w:rsidRPr="009D05CE">
        <w:rPr>
          <w:rFonts w:ascii="&amp;quot" w:hAnsi="&amp;quot"/>
          <w:color w:val="000000"/>
          <w:sz w:val="20"/>
          <w:szCs w:val="20"/>
        </w:rPr>
        <w:t>Handbook of Central Banking, Financial Regulation and Supervision - After the Financial Crisis</w:t>
      </w:r>
      <w:r w:rsidRPr="009D05CE">
        <w:rPr>
          <w:rFonts w:ascii="Arial" w:hAnsi="Arial" w:cs="Arial"/>
          <w:color w:val="000000"/>
          <w:sz w:val="20"/>
          <w:szCs w:val="20"/>
          <w:shd w:val="clear" w:color="auto" w:fill="FFFFFF"/>
        </w:rPr>
        <w:t>. Edward Elgar Publishing Limited.</w:t>
      </w:r>
    </w:p>
    <w:p w14:paraId="42B8C531" w14:textId="77777777" w:rsidR="009D05CE" w:rsidRPr="009D05CE" w:rsidRDefault="009D05CE" w:rsidP="004E084E">
      <w:pPr>
        <w:spacing w:line="360" w:lineRule="auto"/>
        <w:rPr>
          <w:rFonts w:cstheme="minorHAnsi"/>
        </w:rPr>
      </w:pPr>
      <w:r w:rsidRPr="009D05CE">
        <w:rPr>
          <w:rFonts w:cstheme="minorHAnsi"/>
        </w:rPr>
        <w:t>Hakenes, H. and Schnabel, I. (2012). Bank Size and Risk-Taking under Basel II. Journal of banking and finance.</w:t>
      </w:r>
    </w:p>
    <w:p w14:paraId="4571D1ED" w14:textId="77777777" w:rsidR="009D05CE" w:rsidRPr="009D05CE" w:rsidRDefault="009D05CE" w:rsidP="004E084E">
      <w:pPr>
        <w:spacing w:line="360" w:lineRule="auto"/>
        <w:rPr>
          <w:rFonts w:cstheme="minorHAnsi"/>
        </w:rPr>
      </w:pPr>
      <w:r w:rsidRPr="009D05CE">
        <w:rPr>
          <w:rFonts w:cstheme="minorHAnsi"/>
        </w:rPr>
        <w:t>Heimler, A. (2008). COMPETITION POLICY, ANTITRUST ENFORCEMENT AND BANKING: SOME RECENT DEVELOPMENTS. OECD organisation for economic co-operation and development.</w:t>
      </w:r>
    </w:p>
    <w:p w14:paraId="3A8F44DE" w14:textId="77777777" w:rsidR="009D05CE" w:rsidRPr="009D05CE" w:rsidRDefault="009D05CE" w:rsidP="004E084E">
      <w:pPr>
        <w:spacing w:line="360" w:lineRule="auto"/>
        <w:rPr>
          <w:rFonts w:cstheme="minorHAnsi"/>
          <w:color w:val="000000"/>
          <w:shd w:val="clear" w:color="auto" w:fill="FFFFFF"/>
        </w:rPr>
      </w:pPr>
      <w:r w:rsidRPr="009D05CE">
        <w:rPr>
          <w:rFonts w:cstheme="minorHAnsi"/>
          <w:color w:val="000000"/>
          <w:shd w:val="clear" w:color="auto" w:fill="FFFFFF"/>
        </w:rPr>
        <w:t xml:space="preserve">House of Commons (2009). Banking Crisis: regulation and supervision. </w:t>
      </w:r>
      <w:r w:rsidRPr="009D05CE">
        <w:rPr>
          <w:rFonts w:cstheme="minorHAnsi"/>
          <w:color w:val="000000"/>
        </w:rPr>
        <w:t>House of Common Treasury Commitee: Fourteenth Report of Session 2008–09</w:t>
      </w:r>
      <w:r w:rsidRPr="009D05CE">
        <w:rPr>
          <w:rFonts w:cstheme="minorHAnsi"/>
          <w:color w:val="000000"/>
          <w:shd w:val="clear" w:color="auto" w:fill="FFFFFF"/>
        </w:rPr>
        <w:t>.</w:t>
      </w:r>
    </w:p>
    <w:p w14:paraId="2551D556" w14:textId="77777777" w:rsidR="009D05CE" w:rsidRPr="009D05CE" w:rsidRDefault="009D05CE" w:rsidP="004E084E">
      <w:pPr>
        <w:spacing w:line="360" w:lineRule="auto"/>
        <w:rPr>
          <w:rFonts w:cstheme="minorHAnsi"/>
        </w:rPr>
      </w:pPr>
      <w:r w:rsidRPr="009D05CE">
        <w:rPr>
          <w:rFonts w:cstheme="minorHAnsi"/>
        </w:rPr>
        <w:t>Khan, M., Scheule, H. and Wu, E. (2017). Funding liquidity and bank risk taking. Journal of Banking &amp; Finance, 82, pp.203-216.</w:t>
      </w:r>
    </w:p>
    <w:p w14:paraId="4F72122B" w14:textId="77777777" w:rsidR="009D05CE" w:rsidRPr="009D05CE" w:rsidRDefault="009D05CE" w:rsidP="004E084E">
      <w:pPr>
        <w:spacing w:line="360" w:lineRule="auto"/>
        <w:rPr>
          <w:rFonts w:cstheme="minorHAnsi"/>
        </w:rPr>
      </w:pPr>
      <w:r w:rsidRPr="009D05CE">
        <w:rPr>
          <w:rFonts w:cstheme="minorHAnsi"/>
        </w:rPr>
        <w:t xml:space="preserve">Kim, D. and Sohn, W. (2017). The effect of bank capital on lending: Does liquidity </w:t>
      </w:r>
      <w:proofErr w:type="gramStart"/>
      <w:r w:rsidRPr="009D05CE">
        <w:rPr>
          <w:rFonts w:cstheme="minorHAnsi"/>
        </w:rPr>
        <w:t>matter?.</w:t>
      </w:r>
      <w:proofErr w:type="gramEnd"/>
      <w:r w:rsidRPr="009D05CE">
        <w:rPr>
          <w:rFonts w:cstheme="minorHAnsi"/>
        </w:rPr>
        <w:t xml:space="preserve"> Journal of Banking &amp; Finance, 77, pp.95-107.</w:t>
      </w:r>
    </w:p>
    <w:p w14:paraId="662FD1DD" w14:textId="77777777" w:rsidR="009D05CE" w:rsidRPr="009D05CE" w:rsidRDefault="009D05CE" w:rsidP="004E084E">
      <w:pPr>
        <w:spacing w:line="360" w:lineRule="auto"/>
        <w:rPr>
          <w:rFonts w:cstheme="minorHAnsi"/>
          <w:lang w:val="en-US"/>
        </w:rPr>
      </w:pPr>
      <w:r w:rsidRPr="009D05CE">
        <w:rPr>
          <w:rFonts w:cstheme="minorHAnsi"/>
          <w:lang w:val="en-US"/>
        </w:rPr>
        <w:lastRenderedPageBreak/>
        <w:t xml:space="preserve">Lensink, R., Meesters, A., Naaborg, I. (2008). Bank efficiency and foreign ownership: Do good institutions matter? Journal of Banking and Finance, 32, 834-844. </w:t>
      </w:r>
    </w:p>
    <w:p w14:paraId="5392E7BF" w14:textId="77777777" w:rsidR="009D05CE" w:rsidRPr="009D05CE" w:rsidRDefault="009D05CE" w:rsidP="004E084E">
      <w:pPr>
        <w:spacing w:line="360" w:lineRule="auto"/>
        <w:rPr>
          <w:rFonts w:cstheme="minorHAnsi"/>
          <w:color w:val="000000"/>
          <w:shd w:val="clear" w:color="auto" w:fill="FFFFFF"/>
        </w:rPr>
      </w:pPr>
      <w:r w:rsidRPr="009D05CE">
        <w:rPr>
          <w:rFonts w:cstheme="minorHAnsi"/>
          <w:color w:val="000000"/>
          <w:shd w:val="clear" w:color="auto" w:fill="FFFFFF"/>
        </w:rPr>
        <w:t xml:space="preserve">Parker, E. and Gupta, M. (2015). Too much regulation creates bank brain drain. </w:t>
      </w:r>
      <w:r w:rsidRPr="009D05CE">
        <w:rPr>
          <w:rFonts w:cstheme="minorHAnsi"/>
          <w:color w:val="000000"/>
        </w:rPr>
        <w:t>The Financial Times</w:t>
      </w:r>
      <w:r w:rsidRPr="009D05CE">
        <w:rPr>
          <w:rFonts w:cstheme="minorHAnsi"/>
          <w:color w:val="000000"/>
          <w:shd w:val="clear" w:color="auto" w:fill="FFFFFF"/>
        </w:rPr>
        <w:t>.</w:t>
      </w:r>
    </w:p>
    <w:p w14:paraId="45D169C5" w14:textId="77777777" w:rsidR="009D05CE" w:rsidRPr="009D05CE" w:rsidRDefault="009D05CE" w:rsidP="004E084E">
      <w:pPr>
        <w:spacing w:line="360" w:lineRule="auto"/>
        <w:rPr>
          <w:rFonts w:cstheme="minorHAnsi"/>
          <w:color w:val="000000"/>
          <w:shd w:val="clear" w:color="auto" w:fill="FFFFFF"/>
        </w:rPr>
      </w:pPr>
      <w:r w:rsidRPr="009D05CE">
        <w:rPr>
          <w:rFonts w:cstheme="minorHAnsi"/>
          <w:color w:val="000000"/>
          <w:shd w:val="clear" w:color="auto" w:fill="FFFFFF"/>
        </w:rPr>
        <w:t xml:space="preserve">Penn, B., Allen and Overy (2019). </w:t>
      </w:r>
      <w:r w:rsidRPr="009D05CE">
        <w:rPr>
          <w:rFonts w:cstheme="minorHAnsi"/>
          <w:color w:val="000000"/>
        </w:rPr>
        <w:t>Banking regulation in the UK: overview</w:t>
      </w:r>
      <w:r w:rsidRPr="009D05CE">
        <w:rPr>
          <w:rFonts w:cstheme="minorHAnsi"/>
          <w:color w:val="000000"/>
          <w:shd w:val="clear" w:color="auto" w:fill="FFFFFF"/>
        </w:rPr>
        <w:t>. [online] Uk.practicallaw.thomsonreuters.com. Available at: https://uk.practicallaw.thomsonreuters.com/w-008-0211?transitionType=Default&amp;contextData=(sc.Default)&amp;firstPage=true&amp;bhcp=1 [Accessed 25 Nov. 2019].</w:t>
      </w:r>
    </w:p>
    <w:p w14:paraId="0DD38D2D" w14:textId="77777777" w:rsidR="009D05CE" w:rsidRPr="009D05CE" w:rsidRDefault="009D05CE" w:rsidP="004E084E">
      <w:pPr>
        <w:spacing w:line="360" w:lineRule="auto"/>
        <w:rPr>
          <w:rFonts w:cstheme="minorHAnsi"/>
          <w:color w:val="000000"/>
          <w:shd w:val="clear" w:color="auto" w:fill="FFFFFF"/>
        </w:rPr>
      </w:pPr>
      <w:r w:rsidRPr="009D05CE">
        <w:rPr>
          <w:rFonts w:cstheme="minorHAnsi"/>
          <w:color w:val="000000"/>
          <w:shd w:val="clear" w:color="auto" w:fill="FFFFFF"/>
        </w:rPr>
        <w:t xml:space="preserve">Scott, K. and Kaufman, G. (2001). Does Bank Regulation Retard or Contribute to Systemic </w:t>
      </w:r>
      <w:proofErr w:type="gramStart"/>
      <w:r w:rsidRPr="009D05CE">
        <w:rPr>
          <w:rFonts w:cstheme="minorHAnsi"/>
          <w:color w:val="000000"/>
          <w:shd w:val="clear" w:color="auto" w:fill="FFFFFF"/>
        </w:rPr>
        <w:t>Risk?.</w:t>
      </w:r>
      <w:proofErr w:type="gramEnd"/>
      <w:r w:rsidRPr="009D05CE">
        <w:rPr>
          <w:rFonts w:cstheme="minorHAnsi"/>
          <w:color w:val="000000"/>
          <w:shd w:val="clear" w:color="auto" w:fill="FFFFFF"/>
        </w:rPr>
        <w:t xml:space="preserve"> </w:t>
      </w:r>
      <w:r w:rsidRPr="009D05CE">
        <w:rPr>
          <w:rFonts w:cstheme="minorHAnsi"/>
          <w:color w:val="000000"/>
        </w:rPr>
        <w:t>SSRN Electronic Journal</w:t>
      </w:r>
      <w:r w:rsidRPr="009D05CE">
        <w:rPr>
          <w:rFonts w:cstheme="minorHAnsi"/>
          <w:color w:val="000000"/>
          <w:shd w:val="clear" w:color="auto" w:fill="FFFFFF"/>
        </w:rPr>
        <w:t>.</w:t>
      </w:r>
    </w:p>
    <w:p w14:paraId="07DBAC53" w14:textId="77777777" w:rsidR="009D05CE" w:rsidRPr="009D05CE" w:rsidRDefault="009D05CE" w:rsidP="004E084E">
      <w:pPr>
        <w:spacing w:line="360" w:lineRule="auto"/>
        <w:rPr>
          <w:rFonts w:cstheme="minorHAnsi"/>
        </w:rPr>
      </w:pPr>
      <w:r w:rsidRPr="009D05CE">
        <w:rPr>
          <w:rFonts w:cstheme="minorHAnsi"/>
        </w:rPr>
        <w:t>Umar, M. and Sun, G. (2016). Interaction among funding liquidity, liquidity creation and stock liquidity of banks. Journal of Financial Regulation and Compliance, 24(4), pp.430-452.</w:t>
      </w:r>
    </w:p>
    <w:p w14:paraId="116EAFBE" w14:textId="77777777" w:rsidR="009D05CE" w:rsidRPr="009D05CE" w:rsidRDefault="009D05CE" w:rsidP="004E084E">
      <w:pPr>
        <w:spacing w:line="360" w:lineRule="auto"/>
        <w:rPr>
          <w:rFonts w:cstheme="minorHAnsi"/>
        </w:rPr>
      </w:pPr>
      <w:r w:rsidRPr="009D05CE">
        <w:rPr>
          <w:rFonts w:cstheme="minorHAnsi"/>
        </w:rPr>
        <w:t>Vazquez, F. and Federico, P. (2015). Bank funding structures and risk: Evidence from the global financial crisis. Journal of Banking &amp; Finance, 61, pp.1-14.</w:t>
      </w:r>
    </w:p>
    <w:p w14:paraId="5E58B95B" w14:textId="77777777" w:rsidR="009D05CE" w:rsidRPr="009D05CE" w:rsidRDefault="009D05CE" w:rsidP="004E084E">
      <w:pPr>
        <w:spacing w:line="360" w:lineRule="auto"/>
        <w:rPr>
          <w:rFonts w:cstheme="minorHAnsi"/>
          <w:lang w:val="en-US"/>
        </w:rPr>
      </w:pPr>
      <w:r w:rsidRPr="009D05CE">
        <w:rPr>
          <w:rFonts w:cstheme="minorHAnsi"/>
          <w:lang w:val="en-US"/>
        </w:rPr>
        <w:t>Weill. L. (2003). Banking Efficiency in transition economy, Economy of Transition, Vol.11, No. 3, pp. 569-592</w:t>
      </w:r>
    </w:p>
    <w:p w14:paraId="0CCBADC8" w14:textId="77777777" w:rsidR="009D05CE" w:rsidRPr="009D05CE" w:rsidRDefault="009D05CE" w:rsidP="004E084E">
      <w:pPr>
        <w:spacing w:line="360" w:lineRule="auto"/>
        <w:rPr>
          <w:rFonts w:cstheme="minorHAnsi"/>
        </w:rPr>
      </w:pPr>
      <w:r w:rsidRPr="009D05CE">
        <w:rPr>
          <w:rFonts w:cstheme="minorHAnsi"/>
        </w:rPr>
        <w:t xml:space="preserve">Werner, K. and Jürgen, M. (2009). Efficiency and profitability of European banks: how important is operational </w:t>
      </w:r>
      <w:proofErr w:type="gramStart"/>
      <w:r w:rsidRPr="009D05CE">
        <w:rPr>
          <w:rFonts w:cstheme="minorHAnsi"/>
        </w:rPr>
        <w:t>efficiency?.</w:t>
      </w:r>
      <w:proofErr w:type="gramEnd"/>
      <w:r w:rsidRPr="009D05CE">
        <w:rPr>
          <w:rFonts w:cstheme="minorHAnsi"/>
        </w:rPr>
        <w:t xml:space="preserve"> Frankfurt School of Finance and Management, Working Paper Series, No. 111.</w:t>
      </w:r>
    </w:p>
    <w:p w14:paraId="081B2769" w14:textId="5FDC5256" w:rsidR="00605AE0" w:rsidRDefault="00605AE0" w:rsidP="004E084E">
      <w:pPr>
        <w:spacing w:line="360" w:lineRule="auto"/>
        <w:rPr>
          <w:rFonts w:cstheme="minorHAnsi"/>
        </w:rPr>
      </w:pPr>
      <w:r w:rsidRPr="00605AE0">
        <w:rPr>
          <w:rFonts w:cstheme="minorHAnsi"/>
        </w:rPr>
        <w:t xml:space="preserve">Arafat, M., Warokka, A., Buchdadi, A. and Suherman, N. (2013). Banking efficiency and performance: a test of banking characteristics in an emerging market. </w:t>
      </w:r>
      <w:r w:rsidRPr="00605AE0">
        <w:rPr>
          <w:rFonts w:cstheme="minorHAnsi"/>
          <w:i/>
          <w:iCs/>
        </w:rPr>
        <w:t>J. for Global Business Advancement</w:t>
      </w:r>
      <w:r w:rsidRPr="00605AE0">
        <w:rPr>
          <w:rFonts w:cstheme="minorHAnsi"/>
        </w:rPr>
        <w:t>, 6(1), p.13.</w:t>
      </w:r>
    </w:p>
    <w:p w14:paraId="63F60CA2" w14:textId="34E61B09" w:rsidR="00DA5497" w:rsidRDefault="00DA5497" w:rsidP="004E084E">
      <w:pPr>
        <w:spacing w:line="360" w:lineRule="auto"/>
        <w:rPr>
          <w:rFonts w:cstheme="minorHAnsi"/>
          <w:lang w:val="en-US"/>
        </w:rPr>
      </w:pPr>
      <w:r w:rsidRPr="009100D6">
        <w:rPr>
          <w:rFonts w:cstheme="minorHAnsi"/>
        </w:rPr>
        <w:t xml:space="preserve">Lozano-Vivas, A., Pasiouras, F. (2010). </w:t>
      </w:r>
      <w:r w:rsidRPr="00DA5497">
        <w:rPr>
          <w:rFonts w:cstheme="minorHAnsi"/>
          <w:lang w:val="en-US"/>
        </w:rPr>
        <w:t xml:space="preserve">The impact of non-traditional activities on the estimation of bank efficiency: international evidence. Journal of Banking and Finance, 34, 1436-1449. </w:t>
      </w:r>
    </w:p>
    <w:p w14:paraId="5F0D0015" w14:textId="160198E5" w:rsidR="00F5660B" w:rsidRDefault="00F5660B" w:rsidP="004E084E">
      <w:pPr>
        <w:spacing w:line="360" w:lineRule="auto"/>
        <w:rPr>
          <w:rFonts w:cstheme="minorHAnsi"/>
        </w:rPr>
      </w:pPr>
      <w:r w:rsidRPr="00F5660B">
        <w:rPr>
          <w:rFonts w:cstheme="minorHAnsi"/>
        </w:rPr>
        <w:t>Gaganis, C., and Pasiouras, F. (2013). Financial supervision regimes and bank efficiency: international evidence. Journal of Banking and Finance, 37, 5463-5475.</w:t>
      </w:r>
    </w:p>
    <w:p w14:paraId="5894949A" w14:textId="64262013" w:rsidR="00B71227" w:rsidRDefault="00B71227" w:rsidP="004E084E">
      <w:pPr>
        <w:spacing w:line="360" w:lineRule="auto"/>
        <w:rPr>
          <w:rFonts w:cstheme="minorHAnsi"/>
        </w:rPr>
      </w:pPr>
      <w:r w:rsidRPr="00B71227">
        <w:rPr>
          <w:rFonts w:cstheme="minorHAnsi"/>
        </w:rPr>
        <w:t>Chortareas, G. E., Girardone, C., and Ventouri, A. (2013). Financial freedom and bank efficiency: evidence from the European Union. Journal of Banking and Finance, 37, 1223-1231.</w:t>
      </w:r>
    </w:p>
    <w:p w14:paraId="25A977FC" w14:textId="535AB505" w:rsidR="00822807" w:rsidRPr="00B71227" w:rsidRDefault="00822807" w:rsidP="004E084E">
      <w:pPr>
        <w:spacing w:line="360" w:lineRule="auto"/>
        <w:rPr>
          <w:rFonts w:cstheme="minorHAnsi"/>
        </w:rPr>
      </w:pPr>
      <w:r w:rsidRPr="00822807">
        <w:rPr>
          <w:rFonts w:cstheme="minorHAnsi"/>
        </w:rPr>
        <w:t xml:space="preserve">Tripe, D. (1998). Cost to income ratio in australasian banking. </w:t>
      </w:r>
      <w:r w:rsidRPr="00822807">
        <w:rPr>
          <w:rFonts w:cstheme="minorHAnsi"/>
          <w:i/>
          <w:iCs/>
        </w:rPr>
        <w:t>Department of finance banking and property</w:t>
      </w:r>
      <w:r w:rsidRPr="00822807">
        <w:rPr>
          <w:rFonts w:cstheme="minorHAnsi"/>
        </w:rPr>
        <w:t>.</w:t>
      </w:r>
    </w:p>
    <w:p w14:paraId="5653444F" w14:textId="50B3CFF0" w:rsidR="00B71227" w:rsidRDefault="00D77DAE" w:rsidP="004E084E">
      <w:pPr>
        <w:spacing w:line="360" w:lineRule="auto"/>
        <w:rPr>
          <w:rFonts w:cstheme="minorHAnsi"/>
        </w:rPr>
      </w:pPr>
      <w:r w:rsidRPr="00D77DAE">
        <w:rPr>
          <w:rFonts w:cstheme="minorHAnsi"/>
        </w:rPr>
        <w:lastRenderedPageBreak/>
        <w:t xml:space="preserve">Tuškan, B. and Stojanović, A. (2016). Measurement of cost efficiency in the European banking industry. </w:t>
      </w:r>
      <w:r w:rsidRPr="00D77DAE">
        <w:rPr>
          <w:rFonts w:cstheme="minorHAnsi"/>
          <w:i/>
          <w:iCs/>
        </w:rPr>
        <w:t>Croatian Operational Research Review</w:t>
      </w:r>
      <w:r w:rsidRPr="00D77DAE">
        <w:rPr>
          <w:rFonts w:cstheme="minorHAnsi"/>
        </w:rPr>
        <w:t>, 7(1), pp.47-66.</w:t>
      </w:r>
    </w:p>
    <w:p w14:paraId="1D3D0321" w14:textId="6584817C" w:rsidR="00BF44C2" w:rsidRDefault="00BF44C2" w:rsidP="004E084E">
      <w:pPr>
        <w:spacing w:line="360" w:lineRule="auto"/>
        <w:rPr>
          <w:rFonts w:cstheme="minorHAnsi"/>
        </w:rPr>
      </w:pPr>
      <w:r w:rsidRPr="00BF44C2">
        <w:rPr>
          <w:rFonts w:cstheme="minorHAnsi"/>
        </w:rPr>
        <w:t xml:space="preserve">Apergis, N. and Gabrielsen, A. (2011). The Bank Lending Channel and Lunar Phases: Evidence from a Panel of European Banks. </w:t>
      </w:r>
      <w:r w:rsidRPr="00BF44C2">
        <w:rPr>
          <w:rFonts w:cstheme="minorHAnsi"/>
          <w:i/>
          <w:iCs/>
        </w:rPr>
        <w:t>University of Piraeus, Department of Banking &amp; Financial</w:t>
      </w:r>
      <w:r w:rsidRPr="00BF44C2">
        <w:rPr>
          <w:rFonts w:cstheme="minorHAnsi"/>
        </w:rPr>
        <w:t>.</w:t>
      </w:r>
    </w:p>
    <w:p w14:paraId="276854BB" w14:textId="105ACC59" w:rsidR="00380908" w:rsidRDefault="00380908" w:rsidP="004E084E">
      <w:pPr>
        <w:spacing w:line="360" w:lineRule="auto"/>
        <w:rPr>
          <w:rFonts w:cstheme="minorHAnsi"/>
        </w:rPr>
      </w:pPr>
      <w:r w:rsidRPr="00380908">
        <w:rPr>
          <w:rFonts w:cstheme="minorHAnsi"/>
        </w:rPr>
        <w:t xml:space="preserve">Osborne, M., Fuertes, A. and Milne, A. (2012). Capital and profitability in banking: Evidence from US banks. </w:t>
      </w:r>
      <w:r w:rsidRPr="00380908">
        <w:rPr>
          <w:rFonts w:cstheme="minorHAnsi"/>
          <w:i/>
          <w:iCs/>
        </w:rPr>
        <w:t>Loughborough University School of Business and Economics</w:t>
      </w:r>
      <w:r w:rsidRPr="00380908">
        <w:rPr>
          <w:rFonts w:cstheme="minorHAnsi"/>
        </w:rPr>
        <w:t>.</w:t>
      </w:r>
    </w:p>
    <w:p w14:paraId="065E353F" w14:textId="2A98B16B" w:rsidR="00906528" w:rsidRDefault="00906528" w:rsidP="004E084E">
      <w:pPr>
        <w:spacing w:line="360" w:lineRule="auto"/>
        <w:rPr>
          <w:rFonts w:cstheme="minorHAnsi"/>
        </w:rPr>
      </w:pPr>
      <w:r w:rsidRPr="00906528">
        <w:rPr>
          <w:rFonts w:cstheme="minorHAnsi"/>
        </w:rPr>
        <w:t>Chen, Yi-Kai &amp; Shen, Chung-Hua &amp; Kao, Lanfeng &amp; Yeh, Chuan-Yi. (2018). Bank Liquidity Risk and Performance. Review of Pacific Basin Financial Markets and Policies</w:t>
      </w:r>
    </w:p>
    <w:p w14:paraId="3EDB2944" w14:textId="1DEB7103" w:rsidR="00153C7C" w:rsidRDefault="00153C7C" w:rsidP="004E084E">
      <w:pPr>
        <w:spacing w:line="360" w:lineRule="auto"/>
        <w:rPr>
          <w:rFonts w:cstheme="minorHAnsi"/>
        </w:rPr>
      </w:pPr>
      <w:r w:rsidRPr="00153C7C">
        <w:rPr>
          <w:rFonts w:cstheme="minorHAnsi"/>
        </w:rPr>
        <w:t xml:space="preserve">Hlebik, S. and Ghillani, L. (2017). Management strategies for bank's liquidity risk. </w:t>
      </w:r>
      <w:r w:rsidRPr="00153C7C">
        <w:rPr>
          <w:rFonts w:cstheme="minorHAnsi"/>
          <w:i/>
          <w:iCs/>
        </w:rPr>
        <w:t>International Journal of economics and finance</w:t>
      </w:r>
      <w:r w:rsidRPr="00153C7C">
        <w:rPr>
          <w:rFonts w:cstheme="minorHAnsi"/>
        </w:rPr>
        <w:t>, 9(6).</w:t>
      </w:r>
    </w:p>
    <w:p w14:paraId="6C5B2FD1" w14:textId="28655220" w:rsidR="005B2FC7" w:rsidRDefault="005B2FC7" w:rsidP="004E084E">
      <w:pPr>
        <w:spacing w:line="360" w:lineRule="auto"/>
        <w:rPr>
          <w:rFonts w:cstheme="minorHAnsi"/>
        </w:rPr>
      </w:pPr>
      <w:r w:rsidRPr="005B2FC7">
        <w:rPr>
          <w:rFonts w:cstheme="minorHAnsi"/>
        </w:rPr>
        <w:t xml:space="preserve">Ayiekoh, Y. (2008). Banking Industry, Associated Risks and Mitigation Strategies. </w:t>
      </w:r>
      <w:r w:rsidRPr="005B2FC7">
        <w:rPr>
          <w:rFonts w:cstheme="minorHAnsi"/>
          <w:i/>
          <w:iCs/>
        </w:rPr>
        <w:t>University of Nairobi - Case study Kenia commercial banks</w:t>
      </w:r>
      <w:r w:rsidRPr="005B2FC7">
        <w:rPr>
          <w:rFonts w:cstheme="minorHAnsi"/>
        </w:rPr>
        <w:t>.</w:t>
      </w:r>
    </w:p>
    <w:p w14:paraId="520C4E0C" w14:textId="57823670" w:rsidR="00E2089A" w:rsidRPr="00F5660B" w:rsidRDefault="00E2089A" w:rsidP="004E084E">
      <w:pPr>
        <w:spacing w:line="360" w:lineRule="auto"/>
        <w:rPr>
          <w:rFonts w:cstheme="minorHAnsi"/>
        </w:rPr>
      </w:pPr>
      <w:r w:rsidRPr="00E2089A">
        <w:rPr>
          <w:rFonts w:cstheme="minorHAnsi"/>
        </w:rPr>
        <w:t xml:space="preserve">Milone, M. (2018). Bank asset structure and the risk-taking implications of capital and liquidity requirements. </w:t>
      </w:r>
      <w:r w:rsidRPr="00E2089A">
        <w:rPr>
          <w:rFonts w:cstheme="minorHAnsi"/>
          <w:i/>
          <w:iCs/>
        </w:rPr>
        <w:t>Universit´e Paris Dauphine, DRM</w:t>
      </w:r>
      <w:r w:rsidRPr="00E2089A">
        <w:rPr>
          <w:rFonts w:cstheme="minorHAnsi"/>
        </w:rPr>
        <w:t>.</w:t>
      </w:r>
    </w:p>
    <w:p w14:paraId="7AA7E7A8" w14:textId="77777777" w:rsidR="00F5660B" w:rsidRPr="00DA5497" w:rsidRDefault="00F5660B" w:rsidP="004E084E">
      <w:pPr>
        <w:spacing w:line="360" w:lineRule="auto"/>
        <w:rPr>
          <w:rFonts w:cstheme="minorHAnsi"/>
          <w:lang w:val="en-US"/>
        </w:rPr>
      </w:pPr>
    </w:p>
    <w:p w14:paraId="224F8A88" w14:textId="77777777" w:rsidR="00DA5497" w:rsidRPr="00EE0CC4" w:rsidRDefault="00DA5497" w:rsidP="004E084E">
      <w:pPr>
        <w:spacing w:line="360" w:lineRule="auto"/>
        <w:rPr>
          <w:rFonts w:cstheme="minorHAnsi"/>
          <w:lang w:val="en-US"/>
        </w:rPr>
      </w:pPr>
    </w:p>
    <w:sectPr w:rsidR="00DA5497" w:rsidRPr="00EE0CC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1CE218" w14:textId="77777777" w:rsidR="000959EE" w:rsidRDefault="000959EE" w:rsidP="00F11FBC">
      <w:pPr>
        <w:spacing w:after="0" w:line="240" w:lineRule="auto"/>
      </w:pPr>
      <w:r>
        <w:separator/>
      </w:r>
    </w:p>
  </w:endnote>
  <w:endnote w:type="continuationSeparator" w:id="0">
    <w:p w14:paraId="5EF054B1" w14:textId="77777777" w:rsidR="000959EE" w:rsidRDefault="000959EE" w:rsidP="00F11F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5025797"/>
      <w:docPartObj>
        <w:docPartGallery w:val="Page Numbers (Bottom of Page)"/>
        <w:docPartUnique/>
      </w:docPartObj>
    </w:sdtPr>
    <w:sdtEndPr>
      <w:rPr>
        <w:noProof/>
      </w:rPr>
    </w:sdtEndPr>
    <w:sdtContent>
      <w:p w14:paraId="3EDFFB20" w14:textId="0EA6859A" w:rsidR="005877FD" w:rsidRDefault="005877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029236" w14:textId="77777777" w:rsidR="005877FD" w:rsidRDefault="005877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2C5166" w14:textId="77777777" w:rsidR="000959EE" w:rsidRDefault="000959EE" w:rsidP="00F11FBC">
      <w:pPr>
        <w:spacing w:after="0" w:line="240" w:lineRule="auto"/>
      </w:pPr>
      <w:r>
        <w:separator/>
      </w:r>
    </w:p>
  </w:footnote>
  <w:footnote w:type="continuationSeparator" w:id="0">
    <w:p w14:paraId="4EC3E213" w14:textId="77777777" w:rsidR="000959EE" w:rsidRDefault="000959EE" w:rsidP="00F11F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746563"/>
    <w:multiLevelType w:val="multilevel"/>
    <w:tmpl w:val="AE521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C8261B"/>
    <w:multiLevelType w:val="hybridMultilevel"/>
    <w:tmpl w:val="603441B8"/>
    <w:lvl w:ilvl="0" w:tplc="795654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A0A"/>
    <w:rsid w:val="00004B3F"/>
    <w:rsid w:val="00010917"/>
    <w:rsid w:val="00027A2A"/>
    <w:rsid w:val="00034384"/>
    <w:rsid w:val="00040F47"/>
    <w:rsid w:val="000455C4"/>
    <w:rsid w:val="000478CE"/>
    <w:rsid w:val="00055444"/>
    <w:rsid w:val="00063918"/>
    <w:rsid w:val="00073E80"/>
    <w:rsid w:val="00075984"/>
    <w:rsid w:val="0008016A"/>
    <w:rsid w:val="000916D2"/>
    <w:rsid w:val="0009217F"/>
    <w:rsid w:val="000959EE"/>
    <w:rsid w:val="000A002F"/>
    <w:rsid w:val="000A6B46"/>
    <w:rsid w:val="000B7E8D"/>
    <w:rsid w:val="000C0C0D"/>
    <w:rsid w:val="000D5124"/>
    <w:rsid w:val="000D6A04"/>
    <w:rsid w:val="000E3C89"/>
    <w:rsid w:val="000E69F5"/>
    <w:rsid w:val="000F657C"/>
    <w:rsid w:val="00122CBB"/>
    <w:rsid w:val="00130817"/>
    <w:rsid w:val="00143D76"/>
    <w:rsid w:val="00144500"/>
    <w:rsid w:val="00152CD3"/>
    <w:rsid w:val="00153C7C"/>
    <w:rsid w:val="00157323"/>
    <w:rsid w:val="00171D24"/>
    <w:rsid w:val="001735BE"/>
    <w:rsid w:val="00177DBF"/>
    <w:rsid w:val="00181261"/>
    <w:rsid w:val="00185EAF"/>
    <w:rsid w:val="00191D1A"/>
    <w:rsid w:val="001922A1"/>
    <w:rsid w:val="001A6E81"/>
    <w:rsid w:val="001B6B64"/>
    <w:rsid w:val="001C4281"/>
    <w:rsid w:val="001C5C8B"/>
    <w:rsid w:val="001D2487"/>
    <w:rsid w:val="001D624F"/>
    <w:rsid w:val="00204700"/>
    <w:rsid w:val="00237693"/>
    <w:rsid w:val="00250CEB"/>
    <w:rsid w:val="00255E6B"/>
    <w:rsid w:val="00264B9D"/>
    <w:rsid w:val="002750F0"/>
    <w:rsid w:val="0028600D"/>
    <w:rsid w:val="00287690"/>
    <w:rsid w:val="00292C6D"/>
    <w:rsid w:val="002B6F61"/>
    <w:rsid w:val="002E3EAF"/>
    <w:rsid w:val="00301AE7"/>
    <w:rsid w:val="00332146"/>
    <w:rsid w:val="00334906"/>
    <w:rsid w:val="0035659E"/>
    <w:rsid w:val="0036323A"/>
    <w:rsid w:val="00371055"/>
    <w:rsid w:val="00374CFE"/>
    <w:rsid w:val="00375A0A"/>
    <w:rsid w:val="00380908"/>
    <w:rsid w:val="00382658"/>
    <w:rsid w:val="00382BD5"/>
    <w:rsid w:val="003B3884"/>
    <w:rsid w:val="003D1D19"/>
    <w:rsid w:val="003D4761"/>
    <w:rsid w:val="003E25AB"/>
    <w:rsid w:val="003E43CF"/>
    <w:rsid w:val="003E4527"/>
    <w:rsid w:val="0040415B"/>
    <w:rsid w:val="00435266"/>
    <w:rsid w:val="00465E1C"/>
    <w:rsid w:val="004734A8"/>
    <w:rsid w:val="00475603"/>
    <w:rsid w:val="0047795F"/>
    <w:rsid w:val="0048253D"/>
    <w:rsid w:val="0048334E"/>
    <w:rsid w:val="00484AFE"/>
    <w:rsid w:val="004972F2"/>
    <w:rsid w:val="004B53BD"/>
    <w:rsid w:val="004E084E"/>
    <w:rsid w:val="004F4D47"/>
    <w:rsid w:val="005016EE"/>
    <w:rsid w:val="00521737"/>
    <w:rsid w:val="0053109E"/>
    <w:rsid w:val="00543E75"/>
    <w:rsid w:val="00550BEE"/>
    <w:rsid w:val="00554916"/>
    <w:rsid w:val="00555778"/>
    <w:rsid w:val="005573C2"/>
    <w:rsid w:val="00566265"/>
    <w:rsid w:val="0057417C"/>
    <w:rsid w:val="00581AE3"/>
    <w:rsid w:val="005877FD"/>
    <w:rsid w:val="0059673E"/>
    <w:rsid w:val="005A5A37"/>
    <w:rsid w:val="005B15F7"/>
    <w:rsid w:val="005B2428"/>
    <w:rsid w:val="005B2FC7"/>
    <w:rsid w:val="005C5805"/>
    <w:rsid w:val="005C6513"/>
    <w:rsid w:val="005D244B"/>
    <w:rsid w:val="005F4728"/>
    <w:rsid w:val="0060470B"/>
    <w:rsid w:val="00604C0F"/>
    <w:rsid w:val="00604E55"/>
    <w:rsid w:val="00605AE0"/>
    <w:rsid w:val="0062496D"/>
    <w:rsid w:val="00636AAA"/>
    <w:rsid w:val="00646848"/>
    <w:rsid w:val="006554CE"/>
    <w:rsid w:val="00660C69"/>
    <w:rsid w:val="00661AA7"/>
    <w:rsid w:val="006845B8"/>
    <w:rsid w:val="00687E43"/>
    <w:rsid w:val="00694E51"/>
    <w:rsid w:val="006F0C0E"/>
    <w:rsid w:val="006F18B2"/>
    <w:rsid w:val="0070261F"/>
    <w:rsid w:val="007039A8"/>
    <w:rsid w:val="00725098"/>
    <w:rsid w:val="00726B62"/>
    <w:rsid w:val="00757A82"/>
    <w:rsid w:val="00766093"/>
    <w:rsid w:val="00767558"/>
    <w:rsid w:val="00773EF1"/>
    <w:rsid w:val="00781C32"/>
    <w:rsid w:val="0078260A"/>
    <w:rsid w:val="00784D2C"/>
    <w:rsid w:val="007A04B9"/>
    <w:rsid w:val="007A6FD2"/>
    <w:rsid w:val="007A7D20"/>
    <w:rsid w:val="007B425C"/>
    <w:rsid w:val="007D0086"/>
    <w:rsid w:val="007D69C8"/>
    <w:rsid w:val="007E1C04"/>
    <w:rsid w:val="007F1D9C"/>
    <w:rsid w:val="007F6F0B"/>
    <w:rsid w:val="00802F26"/>
    <w:rsid w:val="00810A19"/>
    <w:rsid w:val="008164B5"/>
    <w:rsid w:val="00820052"/>
    <w:rsid w:val="00822807"/>
    <w:rsid w:val="00824BD5"/>
    <w:rsid w:val="008402DF"/>
    <w:rsid w:val="00856BF9"/>
    <w:rsid w:val="008A3123"/>
    <w:rsid w:val="008B0C6F"/>
    <w:rsid w:val="008B27BD"/>
    <w:rsid w:val="008E1A2B"/>
    <w:rsid w:val="009028F9"/>
    <w:rsid w:val="00906528"/>
    <w:rsid w:val="009100D6"/>
    <w:rsid w:val="00915164"/>
    <w:rsid w:val="00917781"/>
    <w:rsid w:val="00937A03"/>
    <w:rsid w:val="00943BD7"/>
    <w:rsid w:val="0094640C"/>
    <w:rsid w:val="0095097A"/>
    <w:rsid w:val="009763EF"/>
    <w:rsid w:val="009846C4"/>
    <w:rsid w:val="009930E4"/>
    <w:rsid w:val="009B72A8"/>
    <w:rsid w:val="009C4E8C"/>
    <w:rsid w:val="009D05CE"/>
    <w:rsid w:val="009F653B"/>
    <w:rsid w:val="00A13203"/>
    <w:rsid w:val="00A16A78"/>
    <w:rsid w:val="00A249B4"/>
    <w:rsid w:val="00A25A6A"/>
    <w:rsid w:val="00A354DE"/>
    <w:rsid w:val="00A37536"/>
    <w:rsid w:val="00A37849"/>
    <w:rsid w:val="00A46EC7"/>
    <w:rsid w:val="00A515F5"/>
    <w:rsid w:val="00AA503D"/>
    <w:rsid w:val="00AB2814"/>
    <w:rsid w:val="00AB67EE"/>
    <w:rsid w:val="00AB7643"/>
    <w:rsid w:val="00AC2278"/>
    <w:rsid w:val="00AD1138"/>
    <w:rsid w:val="00AD13CE"/>
    <w:rsid w:val="00AD1760"/>
    <w:rsid w:val="00AD3C25"/>
    <w:rsid w:val="00AE2762"/>
    <w:rsid w:val="00AE3AD4"/>
    <w:rsid w:val="00AE7F01"/>
    <w:rsid w:val="00B16B21"/>
    <w:rsid w:val="00B17A04"/>
    <w:rsid w:val="00B204C3"/>
    <w:rsid w:val="00B20542"/>
    <w:rsid w:val="00B2707F"/>
    <w:rsid w:val="00B434AF"/>
    <w:rsid w:val="00B540BD"/>
    <w:rsid w:val="00B7093D"/>
    <w:rsid w:val="00B71227"/>
    <w:rsid w:val="00BA535F"/>
    <w:rsid w:val="00BB5EDC"/>
    <w:rsid w:val="00BC2344"/>
    <w:rsid w:val="00BC4141"/>
    <w:rsid w:val="00BF44C2"/>
    <w:rsid w:val="00C07CAF"/>
    <w:rsid w:val="00C13AED"/>
    <w:rsid w:val="00C32514"/>
    <w:rsid w:val="00C413A9"/>
    <w:rsid w:val="00C45C14"/>
    <w:rsid w:val="00C53224"/>
    <w:rsid w:val="00C61EC4"/>
    <w:rsid w:val="00C70A38"/>
    <w:rsid w:val="00C77E35"/>
    <w:rsid w:val="00C906E1"/>
    <w:rsid w:val="00C912A4"/>
    <w:rsid w:val="00CA79DE"/>
    <w:rsid w:val="00CC2C57"/>
    <w:rsid w:val="00CD5B23"/>
    <w:rsid w:val="00CE78FA"/>
    <w:rsid w:val="00CF0E31"/>
    <w:rsid w:val="00CF40AA"/>
    <w:rsid w:val="00D0140B"/>
    <w:rsid w:val="00D23111"/>
    <w:rsid w:val="00D40B28"/>
    <w:rsid w:val="00D46C25"/>
    <w:rsid w:val="00D75DCD"/>
    <w:rsid w:val="00D77DAE"/>
    <w:rsid w:val="00D85ECB"/>
    <w:rsid w:val="00D93212"/>
    <w:rsid w:val="00DA5497"/>
    <w:rsid w:val="00DA6FAB"/>
    <w:rsid w:val="00DA7A86"/>
    <w:rsid w:val="00DC1185"/>
    <w:rsid w:val="00DC3B7B"/>
    <w:rsid w:val="00DD5B24"/>
    <w:rsid w:val="00DE799E"/>
    <w:rsid w:val="00E201FC"/>
    <w:rsid w:val="00E2089A"/>
    <w:rsid w:val="00E248F2"/>
    <w:rsid w:val="00E25165"/>
    <w:rsid w:val="00E25733"/>
    <w:rsid w:val="00E30CD5"/>
    <w:rsid w:val="00E43960"/>
    <w:rsid w:val="00E44360"/>
    <w:rsid w:val="00E50510"/>
    <w:rsid w:val="00E5539C"/>
    <w:rsid w:val="00E5567E"/>
    <w:rsid w:val="00E6749C"/>
    <w:rsid w:val="00E71C11"/>
    <w:rsid w:val="00E82449"/>
    <w:rsid w:val="00EA2940"/>
    <w:rsid w:val="00EC4852"/>
    <w:rsid w:val="00EE0CC4"/>
    <w:rsid w:val="00EF79D1"/>
    <w:rsid w:val="00F11FBC"/>
    <w:rsid w:val="00F160B4"/>
    <w:rsid w:val="00F160C6"/>
    <w:rsid w:val="00F22DA8"/>
    <w:rsid w:val="00F33EFA"/>
    <w:rsid w:val="00F5660B"/>
    <w:rsid w:val="00F5788C"/>
    <w:rsid w:val="00F65166"/>
    <w:rsid w:val="00F66B17"/>
    <w:rsid w:val="00F75081"/>
    <w:rsid w:val="00F80A20"/>
    <w:rsid w:val="00F94AB8"/>
    <w:rsid w:val="00F97595"/>
    <w:rsid w:val="00FA7A9E"/>
    <w:rsid w:val="00FB122D"/>
    <w:rsid w:val="00FB475B"/>
    <w:rsid w:val="00FB5281"/>
    <w:rsid w:val="00FB7525"/>
    <w:rsid w:val="00FB7C74"/>
    <w:rsid w:val="00FB7D8E"/>
    <w:rsid w:val="00FC251C"/>
    <w:rsid w:val="00FC288D"/>
    <w:rsid w:val="00FC31B7"/>
    <w:rsid w:val="00FE01E7"/>
    <w:rsid w:val="00FE024B"/>
    <w:rsid w:val="00FF60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D8123"/>
  <w15:chartTrackingRefBased/>
  <w15:docId w15:val="{125BA83C-1ABD-4882-B60B-51331CA62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0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002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7A8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5A0A"/>
    <w:pPr>
      <w:ind w:left="720"/>
      <w:contextualSpacing/>
    </w:pPr>
  </w:style>
  <w:style w:type="character" w:customStyle="1" w:styleId="selectable">
    <w:name w:val="selectable"/>
    <w:basedOn w:val="DefaultParagraphFont"/>
    <w:rsid w:val="00D23111"/>
  </w:style>
  <w:style w:type="paragraph" w:styleId="HTMLPreformatted">
    <w:name w:val="HTML Preformatted"/>
    <w:basedOn w:val="Normal"/>
    <w:link w:val="HTMLPreformattedChar"/>
    <w:uiPriority w:val="99"/>
    <w:semiHidden/>
    <w:unhideWhenUsed/>
    <w:rsid w:val="003D4761"/>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3D4761"/>
    <w:rPr>
      <w:rFonts w:ascii="Consolas" w:hAnsi="Consolas"/>
      <w:sz w:val="20"/>
      <w:szCs w:val="20"/>
    </w:rPr>
  </w:style>
  <w:style w:type="character" w:styleId="Hyperlink">
    <w:name w:val="Hyperlink"/>
    <w:basedOn w:val="DefaultParagraphFont"/>
    <w:uiPriority w:val="99"/>
    <w:unhideWhenUsed/>
    <w:rsid w:val="00521737"/>
    <w:rPr>
      <w:color w:val="0563C1" w:themeColor="hyperlink"/>
      <w:u w:val="single"/>
    </w:rPr>
  </w:style>
  <w:style w:type="character" w:styleId="UnresolvedMention">
    <w:name w:val="Unresolved Mention"/>
    <w:basedOn w:val="DefaultParagraphFont"/>
    <w:uiPriority w:val="99"/>
    <w:semiHidden/>
    <w:unhideWhenUsed/>
    <w:rsid w:val="00521737"/>
    <w:rPr>
      <w:color w:val="605E5C"/>
      <w:shd w:val="clear" w:color="auto" w:fill="E1DFDD"/>
    </w:rPr>
  </w:style>
  <w:style w:type="paragraph" w:styleId="NormalWeb">
    <w:name w:val="Normal (Web)"/>
    <w:basedOn w:val="Normal"/>
    <w:uiPriority w:val="99"/>
    <w:semiHidden/>
    <w:unhideWhenUsed/>
    <w:rsid w:val="003D1D19"/>
    <w:rPr>
      <w:rFonts w:ascii="Times New Roman" w:hAnsi="Times New Roman" w:cs="Times New Roman"/>
      <w:sz w:val="24"/>
      <w:szCs w:val="24"/>
    </w:rPr>
  </w:style>
  <w:style w:type="character" w:customStyle="1" w:styleId="Heading1Char">
    <w:name w:val="Heading 1 Char"/>
    <w:basedOn w:val="DefaultParagraphFont"/>
    <w:link w:val="Heading1"/>
    <w:uiPriority w:val="9"/>
    <w:rsid w:val="000A002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A002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57A82"/>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9D05C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05C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F11F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FBC"/>
  </w:style>
  <w:style w:type="paragraph" w:styleId="Footer">
    <w:name w:val="footer"/>
    <w:basedOn w:val="Normal"/>
    <w:link w:val="FooterChar"/>
    <w:uiPriority w:val="99"/>
    <w:unhideWhenUsed/>
    <w:rsid w:val="00F11F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FBC"/>
  </w:style>
  <w:style w:type="paragraph" w:styleId="TOCHeading">
    <w:name w:val="TOC Heading"/>
    <w:basedOn w:val="Heading1"/>
    <w:next w:val="Normal"/>
    <w:uiPriority w:val="39"/>
    <w:unhideWhenUsed/>
    <w:qFormat/>
    <w:rsid w:val="005877FD"/>
    <w:pPr>
      <w:outlineLvl w:val="9"/>
    </w:pPr>
    <w:rPr>
      <w:lang w:val="en-US"/>
    </w:rPr>
  </w:style>
  <w:style w:type="paragraph" w:styleId="TOC1">
    <w:name w:val="toc 1"/>
    <w:basedOn w:val="Normal"/>
    <w:next w:val="Normal"/>
    <w:autoRedefine/>
    <w:uiPriority w:val="39"/>
    <w:unhideWhenUsed/>
    <w:rsid w:val="005877FD"/>
    <w:pPr>
      <w:spacing w:after="100"/>
    </w:pPr>
  </w:style>
  <w:style w:type="paragraph" w:styleId="TOC2">
    <w:name w:val="toc 2"/>
    <w:basedOn w:val="Normal"/>
    <w:next w:val="Normal"/>
    <w:autoRedefine/>
    <w:uiPriority w:val="39"/>
    <w:unhideWhenUsed/>
    <w:rsid w:val="005877FD"/>
    <w:pPr>
      <w:spacing w:after="100"/>
      <w:ind w:left="220"/>
    </w:pPr>
  </w:style>
  <w:style w:type="paragraph" w:styleId="TOC3">
    <w:name w:val="toc 3"/>
    <w:basedOn w:val="Normal"/>
    <w:next w:val="Normal"/>
    <w:autoRedefine/>
    <w:uiPriority w:val="39"/>
    <w:unhideWhenUsed/>
    <w:rsid w:val="005877F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86972">
      <w:bodyDiv w:val="1"/>
      <w:marLeft w:val="0"/>
      <w:marRight w:val="0"/>
      <w:marTop w:val="0"/>
      <w:marBottom w:val="0"/>
      <w:divBdr>
        <w:top w:val="none" w:sz="0" w:space="0" w:color="auto"/>
        <w:left w:val="none" w:sz="0" w:space="0" w:color="auto"/>
        <w:bottom w:val="none" w:sz="0" w:space="0" w:color="auto"/>
        <w:right w:val="none" w:sz="0" w:space="0" w:color="auto"/>
      </w:divBdr>
      <w:divsChild>
        <w:div w:id="1102186760">
          <w:marLeft w:val="-240"/>
          <w:marRight w:val="-240"/>
          <w:marTop w:val="0"/>
          <w:marBottom w:val="0"/>
          <w:divBdr>
            <w:top w:val="none" w:sz="0" w:space="0" w:color="auto"/>
            <w:left w:val="none" w:sz="0" w:space="0" w:color="auto"/>
            <w:bottom w:val="none" w:sz="0" w:space="0" w:color="auto"/>
            <w:right w:val="none" w:sz="0" w:space="0" w:color="auto"/>
          </w:divBdr>
          <w:divsChild>
            <w:div w:id="833688139">
              <w:marLeft w:val="0"/>
              <w:marRight w:val="0"/>
              <w:marTop w:val="0"/>
              <w:marBottom w:val="0"/>
              <w:divBdr>
                <w:top w:val="none" w:sz="0" w:space="0" w:color="auto"/>
                <w:left w:val="none" w:sz="0" w:space="0" w:color="auto"/>
                <w:bottom w:val="none" w:sz="0" w:space="0" w:color="auto"/>
                <w:right w:val="none" w:sz="0" w:space="0" w:color="auto"/>
              </w:divBdr>
              <w:divsChild>
                <w:div w:id="682972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6797">
      <w:bodyDiv w:val="1"/>
      <w:marLeft w:val="0"/>
      <w:marRight w:val="0"/>
      <w:marTop w:val="0"/>
      <w:marBottom w:val="0"/>
      <w:divBdr>
        <w:top w:val="none" w:sz="0" w:space="0" w:color="auto"/>
        <w:left w:val="none" w:sz="0" w:space="0" w:color="auto"/>
        <w:bottom w:val="none" w:sz="0" w:space="0" w:color="auto"/>
        <w:right w:val="none" w:sz="0" w:space="0" w:color="auto"/>
      </w:divBdr>
      <w:divsChild>
        <w:div w:id="544686064">
          <w:marLeft w:val="-240"/>
          <w:marRight w:val="-240"/>
          <w:marTop w:val="0"/>
          <w:marBottom w:val="0"/>
          <w:divBdr>
            <w:top w:val="none" w:sz="0" w:space="0" w:color="auto"/>
            <w:left w:val="none" w:sz="0" w:space="0" w:color="auto"/>
            <w:bottom w:val="none" w:sz="0" w:space="0" w:color="auto"/>
            <w:right w:val="none" w:sz="0" w:space="0" w:color="auto"/>
          </w:divBdr>
          <w:divsChild>
            <w:div w:id="1662390024">
              <w:marLeft w:val="0"/>
              <w:marRight w:val="0"/>
              <w:marTop w:val="0"/>
              <w:marBottom w:val="0"/>
              <w:divBdr>
                <w:top w:val="none" w:sz="0" w:space="0" w:color="auto"/>
                <w:left w:val="none" w:sz="0" w:space="0" w:color="auto"/>
                <w:bottom w:val="none" w:sz="0" w:space="0" w:color="auto"/>
                <w:right w:val="none" w:sz="0" w:space="0" w:color="auto"/>
              </w:divBdr>
              <w:divsChild>
                <w:div w:id="2045716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4011">
      <w:bodyDiv w:val="1"/>
      <w:marLeft w:val="0"/>
      <w:marRight w:val="0"/>
      <w:marTop w:val="0"/>
      <w:marBottom w:val="0"/>
      <w:divBdr>
        <w:top w:val="none" w:sz="0" w:space="0" w:color="auto"/>
        <w:left w:val="none" w:sz="0" w:space="0" w:color="auto"/>
        <w:bottom w:val="none" w:sz="0" w:space="0" w:color="auto"/>
        <w:right w:val="none" w:sz="0" w:space="0" w:color="auto"/>
      </w:divBdr>
    </w:div>
    <w:div w:id="24599285">
      <w:bodyDiv w:val="1"/>
      <w:marLeft w:val="0"/>
      <w:marRight w:val="0"/>
      <w:marTop w:val="0"/>
      <w:marBottom w:val="0"/>
      <w:divBdr>
        <w:top w:val="none" w:sz="0" w:space="0" w:color="auto"/>
        <w:left w:val="none" w:sz="0" w:space="0" w:color="auto"/>
        <w:bottom w:val="none" w:sz="0" w:space="0" w:color="auto"/>
        <w:right w:val="none" w:sz="0" w:space="0" w:color="auto"/>
      </w:divBdr>
      <w:divsChild>
        <w:div w:id="1115253901">
          <w:marLeft w:val="-240"/>
          <w:marRight w:val="-240"/>
          <w:marTop w:val="0"/>
          <w:marBottom w:val="0"/>
          <w:divBdr>
            <w:top w:val="none" w:sz="0" w:space="0" w:color="auto"/>
            <w:left w:val="none" w:sz="0" w:space="0" w:color="auto"/>
            <w:bottom w:val="none" w:sz="0" w:space="0" w:color="auto"/>
            <w:right w:val="none" w:sz="0" w:space="0" w:color="auto"/>
          </w:divBdr>
          <w:divsChild>
            <w:div w:id="54476579">
              <w:marLeft w:val="0"/>
              <w:marRight w:val="0"/>
              <w:marTop w:val="0"/>
              <w:marBottom w:val="0"/>
              <w:divBdr>
                <w:top w:val="none" w:sz="0" w:space="0" w:color="auto"/>
                <w:left w:val="none" w:sz="0" w:space="0" w:color="auto"/>
                <w:bottom w:val="none" w:sz="0" w:space="0" w:color="auto"/>
                <w:right w:val="none" w:sz="0" w:space="0" w:color="auto"/>
              </w:divBdr>
              <w:divsChild>
                <w:div w:id="17742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44404">
      <w:bodyDiv w:val="1"/>
      <w:marLeft w:val="0"/>
      <w:marRight w:val="0"/>
      <w:marTop w:val="0"/>
      <w:marBottom w:val="0"/>
      <w:divBdr>
        <w:top w:val="none" w:sz="0" w:space="0" w:color="auto"/>
        <w:left w:val="none" w:sz="0" w:space="0" w:color="auto"/>
        <w:bottom w:val="none" w:sz="0" w:space="0" w:color="auto"/>
        <w:right w:val="none" w:sz="0" w:space="0" w:color="auto"/>
      </w:divBdr>
    </w:div>
    <w:div w:id="35544299">
      <w:bodyDiv w:val="1"/>
      <w:marLeft w:val="0"/>
      <w:marRight w:val="0"/>
      <w:marTop w:val="0"/>
      <w:marBottom w:val="0"/>
      <w:divBdr>
        <w:top w:val="none" w:sz="0" w:space="0" w:color="auto"/>
        <w:left w:val="none" w:sz="0" w:space="0" w:color="auto"/>
        <w:bottom w:val="none" w:sz="0" w:space="0" w:color="auto"/>
        <w:right w:val="none" w:sz="0" w:space="0" w:color="auto"/>
      </w:divBdr>
      <w:divsChild>
        <w:div w:id="647780542">
          <w:marLeft w:val="-240"/>
          <w:marRight w:val="-240"/>
          <w:marTop w:val="0"/>
          <w:marBottom w:val="0"/>
          <w:divBdr>
            <w:top w:val="none" w:sz="0" w:space="0" w:color="auto"/>
            <w:left w:val="none" w:sz="0" w:space="0" w:color="auto"/>
            <w:bottom w:val="none" w:sz="0" w:space="0" w:color="auto"/>
            <w:right w:val="none" w:sz="0" w:space="0" w:color="auto"/>
          </w:divBdr>
          <w:divsChild>
            <w:div w:id="492375502">
              <w:marLeft w:val="0"/>
              <w:marRight w:val="0"/>
              <w:marTop w:val="0"/>
              <w:marBottom w:val="0"/>
              <w:divBdr>
                <w:top w:val="none" w:sz="0" w:space="0" w:color="auto"/>
                <w:left w:val="none" w:sz="0" w:space="0" w:color="auto"/>
                <w:bottom w:val="none" w:sz="0" w:space="0" w:color="auto"/>
                <w:right w:val="none" w:sz="0" w:space="0" w:color="auto"/>
              </w:divBdr>
              <w:divsChild>
                <w:div w:id="195470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15069">
      <w:bodyDiv w:val="1"/>
      <w:marLeft w:val="0"/>
      <w:marRight w:val="0"/>
      <w:marTop w:val="0"/>
      <w:marBottom w:val="0"/>
      <w:divBdr>
        <w:top w:val="none" w:sz="0" w:space="0" w:color="auto"/>
        <w:left w:val="none" w:sz="0" w:space="0" w:color="auto"/>
        <w:bottom w:val="none" w:sz="0" w:space="0" w:color="auto"/>
        <w:right w:val="none" w:sz="0" w:space="0" w:color="auto"/>
      </w:divBdr>
      <w:divsChild>
        <w:div w:id="1495534853">
          <w:marLeft w:val="-240"/>
          <w:marRight w:val="-240"/>
          <w:marTop w:val="0"/>
          <w:marBottom w:val="0"/>
          <w:divBdr>
            <w:top w:val="none" w:sz="0" w:space="0" w:color="auto"/>
            <w:left w:val="none" w:sz="0" w:space="0" w:color="auto"/>
            <w:bottom w:val="none" w:sz="0" w:space="0" w:color="auto"/>
            <w:right w:val="none" w:sz="0" w:space="0" w:color="auto"/>
          </w:divBdr>
          <w:divsChild>
            <w:div w:id="1276793290">
              <w:marLeft w:val="0"/>
              <w:marRight w:val="0"/>
              <w:marTop w:val="0"/>
              <w:marBottom w:val="0"/>
              <w:divBdr>
                <w:top w:val="none" w:sz="0" w:space="0" w:color="auto"/>
                <w:left w:val="none" w:sz="0" w:space="0" w:color="auto"/>
                <w:bottom w:val="none" w:sz="0" w:space="0" w:color="auto"/>
                <w:right w:val="none" w:sz="0" w:space="0" w:color="auto"/>
              </w:divBdr>
              <w:divsChild>
                <w:div w:id="1512522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75978">
      <w:bodyDiv w:val="1"/>
      <w:marLeft w:val="0"/>
      <w:marRight w:val="0"/>
      <w:marTop w:val="0"/>
      <w:marBottom w:val="0"/>
      <w:divBdr>
        <w:top w:val="none" w:sz="0" w:space="0" w:color="auto"/>
        <w:left w:val="none" w:sz="0" w:space="0" w:color="auto"/>
        <w:bottom w:val="none" w:sz="0" w:space="0" w:color="auto"/>
        <w:right w:val="none" w:sz="0" w:space="0" w:color="auto"/>
      </w:divBdr>
      <w:divsChild>
        <w:div w:id="1687906972">
          <w:marLeft w:val="-240"/>
          <w:marRight w:val="-240"/>
          <w:marTop w:val="0"/>
          <w:marBottom w:val="0"/>
          <w:divBdr>
            <w:top w:val="none" w:sz="0" w:space="0" w:color="auto"/>
            <w:left w:val="none" w:sz="0" w:space="0" w:color="auto"/>
            <w:bottom w:val="none" w:sz="0" w:space="0" w:color="auto"/>
            <w:right w:val="none" w:sz="0" w:space="0" w:color="auto"/>
          </w:divBdr>
          <w:divsChild>
            <w:div w:id="478425714">
              <w:marLeft w:val="0"/>
              <w:marRight w:val="0"/>
              <w:marTop w:val="0"/>
              <w:marBottom w:val="0"/>
              <w:divBdr>
                <w:top w:val="none" w:sz="0" w:space="0" w:color="auto"/>
                <w:left w:val="none" w:sz="0" w:space="0" w:color="auto"/>
                <w:bottom w:val="none" w:sz="0" w:space="0" w:color="auto"/>
                <w:right w:val="none" w:sz="0" w:space="0" w:color="auto"/>
              </w:divBdr>
              <w:divsChild>
                <w:div w:id="54286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45438">
      <w:bodyDiv w:val="1"/>
      <w:marLeft w:val="0"/>
      <w:marRight w:val="0"/>
      <w:marTop w:val="0"/>
      <w:marBottom w:val="0"/>
      <w:divBdr>
        <w:top w:val="none" w:sz="0" w:space="0" w:color="auto"/>
        <w:left w:val="none" w:sz="0" w:space="0" w:color="auto"/>
        <w:bottom w:val="none" w:sz="0" w:space="0" w:color="auto"/>
        <w:right w:val="none" w:sz="0" w:space="0" w:color="auto"/>
      </w:divBdr>
      <w:divsChild>
        <w:div w:id="391200912">
          <w:marLeft w:val="-240"/>
          <w:marRight w:val="-240"/>
          <w:marTop w:val="0"/>
          <w:marBottom w:val="0"/>
          <w:divBdr>
            <w:top w:val="none" w:sz="0" w:space="0" w:color="auto"/>
            <w:left w:val="none" w:sz="0" w:space="0" w:color="auto"/>
            <w:bottom w:val="none" w:sz="0" w:space="0" w:color="auto"/>
            <w:right w:val="none" w:sz="0" w:space="0" w:color="auto"/>
          </w:divBdr>
          <w:divsChild>
            <w:div w:id="105929628">
              <w:marLeft w:val="0"/>
              <w:marRight w:val="0"/>
              <w:marTop w:val="0"/>
              <w:marBottom w:val="0"/>
              <w:divBdr>
                <w:top w:val="none" w:sz="0" w:space="0" w:color="auto"/>
                <w:left w:val="none" w:sz="0" w:space="0" w:color="auto"/>
                <w:bottom w:val="none" w:sz="0" w:space="0" w:color="auto"/>
                <w:right w:val="none" w:sz="0" w:space="0" w:color="auto"/>
              </w:divBdr>
              <w:divsChild>
                <w:div w:id="2026444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09247">
      <w:bodyDiv w:val="1"/>
      <w:marLeft w:val="0"/>
      <w:marRight w:val="0"/>
      <w:marTop w:val="0"/>
      <w:marBottom w:val="0"/>
      <w:divBdr>
        <w:top w:val="none" w:sz="0" w:space="0" w:color="auto"/>
        <w:left w:val="none" w:sz="0" w:space="0" w:color="auto"/>
        <w:bottom w:val="none" w:sz="0" w:space="0" w:color="auto"/>
        <w:right w:val="none" w:sz="0" w:space="0" w:color="auto"/>
      </w:divBdr>
      <w:divsChild>
        <w:div w:id="59908472">
          <w:marLeft w:val="-240"/>
          <w:marRight w:val="-240"/>
          <w:marTop w:val="0"/>
          <w:marBottom w:val="0"/>
          <w:divBdr>
            <w:top w:val="none" w:sz="0" w:space="0" w:color="auto"/>
            <w:left w:val="none" w:sz="0" w:space="0" w:color="auto"/>
            <w:bottom w:val="none" w:sz="0" w:space="0" w:color="auto"/>
            <w:right w:val="none" w:sz="0" w:space="0" w:color="auto"/>
          </w:divBdr>
          <w:divsChild>
            <w:div w:id="1400248075">
              <w:marLeft w:val="0"/>
              <w:marRight w:val="0"/>
              <w:marTop w:val="0"/>
              <w:marBottom w:val="0"/>
              <w:divBdr>
                <w:top w:val="none" w:sz="0" w:space="0" w:color="auto"/>
                <w:left w:val="none" w:sz="0" w:space="0" w:color="auto"/>
                <w:bottom w:val="none" w:sz="0" w:space="0" w:color="auto"/>
                <w:right w:val="none" w:sz="0" w:space="0" w:color="auto"/>
              </w:divBdr>
              <w:divsChild>
                <w:div w:id="28404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66156">
      <w:bodyDiv w:val="1"/>
      <w:marLeft w:val="0"/>
      <w:marRight w:val="0"/>
      <w:marTop w:val="0"/>
      <w:marBottom w:val="0"/>
      <w:divBdr>
        <w:top w:val="none" w:sz="0" w:space="0" w:color="auto"/>
        <w:left w:val="none" w:sz="0" w:space="0" w:color="auto"/>
        <w:bottom w:val="none" w:sz="0" w:space="0" w:color="auto"/>
        <w:right w:val="none" w:sz="0" w:space="0" w:color="auto"/>
      </w:divBdr>
    </w:div>
    <w:div w:id="90005444">
      <w:bodyDiv w:val="1"/>
      <w:marLeft w:val="0"/>
      <w:marRight w:val="0"/>
      <w:marTop w:val="0"/>
      <w:marBottom w:val="0"/>
      <w:divBdr>
        <w:top w:val="none" w:sz="0" w:space="0" w:color="auto"/>
        <w:left w:val="none" w:sz="0" w:space="0" w:color="auto"/>
        <w:bottom w:val="none" w:sz="0" w:space="0" w:color="auto"/>
        <w:right w:val="none" w:sz="0" w:space="0" w:color="auto"/>
      </w:divBdr>
      <w:divsChild>
        <w:div w:id="439450019">
          <w:marLeft w:val="-240"/>
          <w:marRight w:val="-240"/>
          <w:marTop w:val="0"/>
          <w:marBottom w:val="0"/>
          <w:divBdr>
            <w:top w:val="none" w:sz="0" w:space="0" w:color="auto"/>
            <w:left w:val="none" w:sz="0" w:space="0" w:color="auto"/>
            <w:bottom w:val="none" w:sz="0" w:space="0" w:color="auto"/>
            <w:right w:val="none" w:sz="0" w:space="0" w:color="auto"/>
          </w:divBdr>
          <w:divsChild>
            <w:div w:id="1243757980">
              <w:marLeft w:val="0"/>
              <w:marRight w:val="0"/>
              <w:marTop w:val="0"/>
              <w:marBottom w:val="0"/>
              <w:divBdr>
                <w:top w:val="none" w:sz="0" w:space="0" w:color="auto"/>
                <w:left w:val="none" w:sz="0" w:space="0" w:color="auto"/>
                <w:bottom w:val="none" w:sz="0" w:space="0" w:color="auto"/>
                <w:right w:val="none" w:sz="0" w:space="0" w:color="auto"/>
              </w:divBdr>
              <w:divsChild>
                <w:div w:id="258682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56318">
      <w:bodyDiv w:val="1"/>
      <w:marLeft w:val="0"/>
      <w:marRight w:val="0"/>
      <w:marTop w:val="0"/>
      <w:marBottom w:val="0"/>
      <w:divBdr>
        <w:top w:val="none" w:sz="0" w:space="0" w:color="auto"/>
        <w:left w:val="none" w:sz="0" w:space="0" w:color="auto"/>
        <w:bottom w:val="none" w:sz="0" w:space="0" w:color="auto"/>
        <w:right w:val="none" w:sz="0" w:space="0" w:color="auto"/>
      </w:divBdr>
    </w:div>
    <w:div w:id="123929280">
      <w:bodyDiv w:val="1"/>
      <w:marLeft w:val="0"/>
      <w:marRight w:val="0"/>
      <w:marTop w:val="0"/>
      <w:marBottom w:val="0"/>
      <w:divBdr>
        <w:top w:val="none" w:sz="0" w:space="0" w:color="auto"/>
        <w:left w:val="none" w:sz="0" w:space="0" w:color="auto"/>
        <w:bottom w:val="none" w:sz="0" w:space="0" w:color="auto"/>
        <w:right w:val="none" w:sz="0" w:space="0" w:color="auto"/>
      </w:divBdr>
      <w:divsChild>
        <w:div w:id="169755603">
          <w:marLeft w:val="-240"/>
          <w:marRight w:val="-240"/>
          <w:marTop w:val="0"/>
          <w:marBottom w:val="0"/>
          <w:divBdr>
            <w:top w:val="none" w:sz="0" w:space="0" w:color="auto"/>
            <w:left w:val="none" w:sz="0" w:space="0" w:color="auto"/>
            <w:bottom w:val="none" w:sz="0" w:space="0" w:color="auto"/>
            <w:right w:val="none" w:sz="0" w:space="0" w:color="auto"/>
          </w:divBdr>
          <w:divsChild>
            <w:div w:id="1016228311">
              <w:marLeft w:val="0"/>
              <w:marRight w:val="0"/>
              <w:marTop w:val="0"/>
              <w:marBottom w:val="0"/>
              <w:divBdr>
                <w:top w:val="none" w:sz="0" w:space="0" w:color="auto"/>
                <w:left w:val="none" w:sz="0" w:space="0" w:color="auto"/>
                <w:bottom w:val="none" w:sz="0" w:space="0" w:color="auto"/>
                <w:right w:val="none" w:sz="0" w:space="0" w:color="auto"/>
              </w:divBdr>
              <w:divsChild>
                <w:div w:id="42345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30913">
      <w:bodyDiv w:val="1"/>
      <w:marLeft w:val="0"/>
      <w:marRight w:val="0"/>
      <w:marTop w:val="0"/>
      <w:marBottom w:val="0"/>
      <w:divBdr>
        <w:top w:val="none" w:sz="0" w:space="0" w:color="auto"/>
        <w:left w:val="none" w:sz="0" w:space="0" w:color="auto"/>
        <w:bottom w:val="none" w:sz="0" w:space="0" w:color="auto"/>
        <w:right w:val="none" w:sz="0" w:space="0" w:color="auto"/>
      </w:divBdr>
      <w:divsChild>
        <w:div w:id="287469209">
          <w:marLeft w:val="-240"/>
          <w:marRight w:val="-240"/>
          <w:marTop w:val="0"/>
          <w:marBottom w:val="0"/>
          <w:divBdr>
            <w:top w:val="none" w:sz="0" w:space="0" w:color="auto"/>
            <w:left w:val="none" w:sz="0" w:space="0" w:color="auto"/>
            <w:bottom w:val="none" w:sz="0" w:space="0" w:color="auto"/>
            <w:right w:val="none" w:sz="0" w:space="0" w:color="auto"/>
          </w:divBdr>
          <w:divsChild>
            <w:div w:id="1228758360">
              <w:marLeft w:val="0"/>
              <w:marRight w:val="0"/>
              <w:marTop w:val="0"/>
              <w:marBottom w:val="0"/>
              <w:divBdr>
                <w:top w:val="none" w:sz="0" w:space="0" w:color="auto"/>
                <w:left w:val="none" w:sz="0" w:space="0" w:color="auto"/>
                <w:bottom w:val="none" w:sz="0" w:space="0" w:color="auto"/>
                <w:right w:val="none" w:sz="0" w:space="0" w:color="auto"/>
              </w:divBdr>
              <w:divsChild>
                <w:div w:id="2054815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22544">
      <w:bodyDiv w:val="1"/>
      <w:marLeft w:val="0"/>
      <w:marRight w:val="0"/>
      <w:marTop w:val="0"/>
      <w:marBottom w:val="0"/>
      <w:divBdr>
        <w:top w:val="none" w:sz="0" w:space="0" w:color="auto"/>
        <w:left w:val="none" w:sz="0" w:space="0" w:color="auto"/>
        <w:bottom w:val="none" w:sz="0" w:space="0" w:color="auto"/>
        <w:right w:val="none" w:sz="0" w:space="0" w:color="auto"/>
      </w:divBdr>
      <w:divsChild>
        <w:div w:id="912004524">
          <w:marLeft w:val="-240"/>
          <w:marRight w:val="-240"/>
          <w:marTop w:val="0"/>
          <w:marBottom w:val="0"/>
          <w:divBdr>
            <w:top w:val="none" w:sz="0" w:space="0" w:color="auto"/>
            <w:left w:val="none" w:sz="0" w:space="0" w:color="auto"/>
            <w:bottom w:val="none" w:sz="0" w:space="0" w:color="auto"/>
            <w:right w:val="none" w:sz="0" w:space="0" w:color="auto"/>
          </w:divBdr>
          <w:divsChild>
            <w:div w:id="759640012">
              <w:marLeft w:val="0"/>
              <w:marRight w:val="0"/>
              <w:marTop w:val="0"/>
              <w:marBottom w:val="0"/>
              <w:divBdr>
                <w:top w:val="none" w:sz="0" w:space="0" w:color="auto"/>
                <w:left w:val="none" w:sz="0" w:space="0" w:color="auto"/>
                <w:bottom w:val="none" w:sz="0" w:space="0" w:color="auto"/>
                <w:right w:val="none" w:sz="0" w:space="0" w:color="auto"/>
              </w:divBdr>
              <w:divsChild>
                <w:div w:id="962150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60084">
      <w:bodyDiv w:val="1"/>
      <w:marLeft w:val="0"/>
      <w:marRight w:val="0"/>
      <w:marTop w:val="0"/>
      <w:marBottom w:val="0"/>
      <w:divBdr>
        <w:top w:val="none" w:sz="0" w:space="0" w:color="auto"/>
        <w:left w:val="none" w:sz="0" w:space="0" w:color="auto"/>
        <w:bottom w:val="none" w:sz="0" w:space="0" w:color="auto"/>
        <w:right w:val="none" w:sz="0" w:space="0" w:color="auto"/>
      </w:divBdr>
      <w:divsChild>
        <w:div w:id="1890725778">
          <w:marLeft w:val="-240"/>
          <w:marRight w:val="-240"/>
          <w:marTop w:val="0"/>
          <w:marBottom w:val="0"/>
          <w:divBdr>
            <w:top w:val="none" w:sz="0" w:space="0" w:color="auto"/>
            <w:left w:val="none" w:sz="0" w:space="0" w:color="auto"/>
            <w:bottom w:val="none" w:sz="0" w:space="0" w:color="auto"/>
            <w:right w:val="none" w:sz="0" w:space="0" w:color="auto"/>
          </w:divBdr>
          <w:divsChild>
            <w:div w:id="1813059822">
              <w:marLeft w:val="0"/>
              <w:marRight w:val="0"/>
              <w:marTop w:val="0"/>
              <w:marBottom w:val="0"/>
              <w:divBdr>
                <w:top w:val="none" w:sz="0" w:space="0" w:color="auto"/>
                <w:left w:val="none" w:sz="0" w:space="0" w:color="auto"/>
                <w:bottom w:val="none" w:sz="0" w:space="0" w:color="auto"/>
                <w:right w:val="none" w:sz="0" w:space="0" w:color="auto"/>
              </w:divBdr>
              <w:divsChild>
                <w:div w:id="865603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67105">
      <w:bodyDiv w:val="1"/>
      <w:marLeft w:val="0"/>
      <w:marRight w:val="0"/>
      <w:marTop w:val="0"/>
      <w:marBottom w:val="0"/>
      <w:divBdr>
        <w:top w:val="none" w:sz="0" w:space="0" w:color="auto"/>
        <w:left w:val="none" w:sz="0" w:space="0" w:color="auto"/>
        <w:bottom w:val="none" w:sz="0" w:space="0" w:color="auto"/>
        <w:right w:val="none" w:sz="0" w:space="0" w:color="auto"/>
      </w:divBdr>
      <w:divsChild>
        <w:div w:id="1432119030">
          <w:marLeft w:val="-240"/>
          <w:marRight w:val="-240"/>
          <w:marTop w:val="0"/>
          <w:marBottom w:val="0"/>
          <w:divBdr>
            <w:top w:val="none" w:sz="0" w:space="0" w:color="auto"/>
            <w:left w:val="none" w:sz="0" w:space="0" w:color="auto"/>
            <w:bottom w:val="none" w:sz="0" w:space="0" w:color="auto"/>
            <w:right w:val="none" w:sz="0" w:space="0" w:color="auto"/>
          </w:divBdr>
          <w:divsChild>
            <w:div w:id="109053244">
              <w:marLeft w:val="0"/>
              <w:marRight w:val="0"/>
              <w:marTop w:val="0"/>
              <w:marBottom w:val="0"/>
              <w:divBdr>
                <w:top w:val="none" w:sz="0" w:space="0" w:color="auto"/>
                <w:left w:val="none" w:sz="0" w:space="0" w:color="auto"/>
                <w:bottom w:val="none" w:sz="0" w:space="0" w:color="auto"/>
                <w:right w:val="none" w:sz="0" w:space="0" w:color="auto"/>
              </w:divBdr>
              <w:divsChild>
                <w:div w:id="288247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87852">
      <w:bodyDiv w:val="1"/>
      <w:marLeft w:val="0"/>
      <w:marRight w:val="0"/>
      <w:marTop w:val="0"/>
      <w:marBottom w:val="0"/>
      <w:divBdr>
        <w:top w:val="none" w:sz="0" w:space="0" w:color="auto"/>
        <w:left w:val="none" w:sz="0" w:space="0" w:color="auto"/>
        <w:bottom w:val="none" w:sz="0" w:space="0" w:color="auto"/>
        <w:right w:val="none" w:sz="0" w:space="0" w:color="auto"/>
      </w:divBdr>
      <w:divsChild>
        <w:div w:id="1347101475">
          <w:marLeft w:val="-240"/>
          <w:marRight w:val="-240"/>
          <w:marTop w:val="0"/>
          <w:marBottom w:val="0"/>
          <w:divBdr>
            <w:top w:val="none" w:sz="0" w:space="0" w:color="auto"/>
            <w:left w:val="none" w:sz="0" w:space="0" w:color="auto"/>
            <w:bottom w:val="none" w:sz="0" w:space="0" w:color="auto"/>
            <w:right w:val="none" w:sz="0" w:space="0" w:color="auto"/>
          </w:divBdr>
          <w:divsChild>
            <w:div w:id="1327050841">
              <w:marLeft w:val="0"/>
              <w:marRight w:val="0"/>
              <w:marTop w:val="0"/>
              <w:marBottom w:val="0"/>
              <w:divBdr>
                <w:top w:val="none" w:sz="0" w:space="0" w:color="auto"/>
                <w:left w:val="none" w:sz="0" w:space="0" w:color="auto"/>
                <w:bottom w:val="none" w:sz="0" w:space="0" w:color="auto"/>
                <w:right w:val="none" w:sz="0" w:space="0" w:color="auto"/>
              </w:divBdr>
              <w:divsChild>
                <w:div w:id="27960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03876">
      <w:bodyDiv w:val="1"/>
      <w:marLeft w:val="0"/>
      <w:marRight w:val="0"/>
      <w:marTop w:val="0"/>
      <w:marBottom w:val="0"/>
      <w:divBdr>
        <w:top w:val="none" w:sz="0" w:space="0" w:color="auto"/>
        <w:left w:val="none" w:sz="0" w:space="0" w:color="auto"/>
        <w:bottom w:val="none" w:sz="0" w:space="0" w:color="auto"/>
        <w:right w:val="none" w:sz="0" w:space="0" w:color="auto"/>
      </w:divBdr>
    </w:div>
    <w:div w:id="184365818">
      <w:bodyDiv w:val="1"/>
      <w:marLeft w:val="0"/>
      <w:marRight w:val="0"/>
      <w:marTop w:val="0"/>
      <w:marBottom w:val="0"/>
      <w:divBdr>
        <w:top w:val="none" w:sz="0" w:space="0" w:color="auto"/>
        <w:left w:val="none" w:sz="0" w:space="0" w:color="auto"/>
        <w:bottom w:val="none" w:sz="0" w:space="0" w:color="auto"/>
        <w:right w:val="none" w:sz="0" w:space="0" w:color="auto"/>
      </w:divBdr>
      <w:divsChild>
        <w:div w:id="62725919">
          <w:marLeft w:val="-240"/>
          <w:marRight w:val="-240"/>
          <w:marTop w:val="0"/>
          <w:marBottom w:val="0"/>
          <w:divBdr>
            <w:top w:val="none" w:sz="0" w:space="0" w:color="auto"/>
            <w:left w:val="none" w:sz="0" w:space="0" w:color="auto"/>
            <w:bottom w:val="none" w:sz="0" w:space="0" w:color="auto"/>
            <w:right w:val="none" w:sz="0" w:space="0" w:color="auto"/>
          </w:divBdr>
          <w:divsChild>
            <w:div w:id="487553506">
              <w:marLeft w:val="0"/>
              <w:marRight w:val="0"/>
              <w:marTop w:val="0"/>
              <w:marBottom w:val="0"/>
              <w:divBdr>
                <w:top w:val="none" w:sz="0" w:space="0" w:color="auto"/>
                <w:left w:val="none" w:sz="0" w:space="0" w:color="auto"/>
                <w:bottom w:val="none" w:sz="0" w:space="0" w:color="auto"/>
                <w:right w:val="none" w:sz="0" w:space="0" w:color="auto"/>
              </w:divBdr>
              <w:divsChild>
                <w:div w:id="102906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28797">
      <w:bodyDiv w:val="1"/>
      <w:marLeft w:val="0"/>
      <w:marRight w:val="0"/>
      <w:marTop w:val="0"/>
      <w:marBottom w:val="0"/>
      <w:divBdr>
        <w:top w:val="none" w:sz="0" w:space="0" w:color="auto"/>
        <w:left w:val="none" w:sz="0" w:space="0" w:color="auto"/>
        <w:bottom w:val="none" w:sz="0" w:space="0" w:color="auto"/>
        <w:right w:val="none" w:sz="0" w:space="0" w:color="auto"/>
      </w:divBdr>
    </w:div>
    <w:div w:id="204295766">
      <w:bodyDiv w:val="1"/>
      <w:marLeft w:val="0"/>
      <w:marRight w:val="0"/>
      <w:marTop w:val="0"/>
      <w:marBottom w:val="0"/>
      <w:divBdr>
        <w:top w:val="none" w:sz="0" w:space="0" w:color="auto"/>
        <w:left w:val="none" w:sz="0" w:space="0" w:color="auto"/>
        <w:bottom w:val="none" w:sz="0" w:space="0" w:color="auto"/>
        <w:right w:val="none" w:sz="0" w:space="0" w:color="auto"/>
      </w:divBdr>
    </w:div>
    <w:div w:id="205218010">
      <w:bodyDiv w:val="1"/>
      <w:marLeft w:val="0"/>
      <w:marRight w:val="0"/>
      <w:marTop w:val="0"/>
      <w:marBottom w:val="0"/>
      <w:divBdr>
        <w:top w:val="none" w:sz="0" w:space="0" w:color="auto"/>
        <w:left w:val="none" w:sz="0" w:space="0" w:color="auto"/>
        <w:bottom w:val="none" w:sz="0" w:space="0" w:color="auto"/>
        <w:right w:val="none" w:sz="0" w:space="0" w:color="auto"/>
      </w:divBdr>
    </w:div>
    <w:div w:id="210656858">
      <w:bodyDiv w:val="1"/>
      <w:marLeft w:val="0"/>
      <w:marRight w:val="0"/>
      <w:marTop w:val="0"/>
      <w:marBottom w:val="0"/>
      <w:divBdr>
        <w:top w:val="none" w:sz="0" w:space="0" w:color="auto"/>
        <w:left w:val="none" w:sz="0" w:space="0" w:color="auto"/>
        <w:bottom w:val="none" w:sz="0" w:space="0" w:color="auto"/>
        <w:right w:val="none" w:sz="0" w:space="0" w:color="auto"/>
      </w:divBdr>
      <w:divsChild>
        <w:div w:id="1696229984">
          <w:marLeft w:val="-240"/>
          <w:marRight w:val="-240"/>
          <w:marTop w:val="0"/>
          <w:marBottom w:val="0"/>
          <w:divBdr>
            <w:top w:val="none" w:sz="0" w:space="0" w:color="auto"/>
            <w:left w:val="none" w:sz="0" w:space="0" w:color="auto"/>
            <w:bottom w:val="none" w:sz="0" w:space="0" w:color="auto"/>
            <w:right w:val="none" w:sz="0" w:space="0" w:color="auto"/>
          </w:divBdr>
          <w:divsChild>
            <w:div w:id="1546021715">
              <w:marLeft w:val="0"/>
              <w:marRight w:val="0"/>
              <w:marTop w:val="0"/>
              <w:marBottom w:val="0"/>
              <w:divBdr>
                <w:top w:val="none" w:sz="0" w:space="0" w:color="auto"/>
                <w:left w:val="none" w:sz="0" w:space="0" w:color="auto"/>
                <w:bottom w:val="none" w:sz="0" w:space="0" w:color="auto"/>
                <w:right w:val="none" w:sz="0" w:space="0" w:color="auto"/>
              </w:divBdr>
              <w:divsChild>
                <w:div w:id="2077584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836898">
      <w:bodyDiv w:val="1"/>
      <w:marLeft w:val="0"/>
      <w:marRight w:val="0"/>
      <w:marTop w:val="0"/>
      <w:marBottom w:val="0"/>
      <w:divBdr>
        <w:top w:val="none" w:sz="0" w:space="0" w:color="auto"/>
        <w:left w:val="none" w:sz="0" w:space="0" w:color="auto"/>
        <w:bottom w:val="none" w:sz="0" w:space="0" w:color="auto"/>
        <w:right w:val="none" w:sz="0" w:space="0" w:color="auto"/>
      </w:divBdr>
    </w:div>
    <w:div w:id="223837931">
      <w:bodyDiv w:val="1"/>
      <w:marLeft w:val="0"/>
      <w:marRight w:val="0"/>
      <w:marTop w:val="0"/>
      <w:marBottom w:val="0"/>
      <w:divBdr>
        <w:top w:val="none" w:sz="0" w:space="0" w:color="auto"/>
        <w:left w:val="none" w:sz="0" w:space="0" w:color="auto"/>
        <w:bottom w:val="none" w:sz="0" w:space="0" w:color="auto"/>
        <w:right w:val="none" w:sz="0" w:space="0" w:color="auto"/>
      </w:divBdr>
      <w:divsChild>
        <w:div w:id="20980485">
          <w:marLeft w:val="-240"/>
          <w:marRight w:val="-240"/>
          <w:marTop w:val="0"/>
          <w:marBottom w:val="0"/>
          <w:divBdr>
            <w:top w:val="none" w:sz="0" w:space="0" w:color="auto"/>
            <w:left w:val="none" w:sz="0" w:space="0" w:color="auto"/>
            <w:bottom w:val="none" w:sz="0" w:space="0" w:color="auto"/>
            <w:right w:val="none" w:sz="0" w:space="0" w:color="auto"/>
          </w:divBdr>
          <w:divsChild>
            <w:div w:id="1087770088">
              <w:marLeft w:val="0"/>
              <w:marRight w:val="0"/>
              <w:marTop w:val="0"/>
              <w:marBottom w:val="0"/>
              <w:divBdr>
                <w:top w:val="none" w:sz="0" w:space="0" w:color="auto"/>
                <w:left w:val="none" w:sz="0" w:space="0" w:color="auto"/>
                <w:bottom w:val="none" w:sz="0" w:space="0" w:color="auto"/>
                <w:right w:val="none" w:sz="0" w:space="0" w:color="auto"/>
              </w:divBdr>
              <w:divsChild>
                <w:div w:id="162261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650170">
      <w:bodyDiv w:val="1"/>
      <w:marLeft w:val="0"/>
      <w:marRight w:val="0"/>
      <w:marTop w:val="0"/>
      <w:marBottom w:val="0"/>
      <w:divBdr>
        <w:top w:val="none" w:sz="0" w:space="0" w:color="auto"/>
        <w:left w:val="none" w:sz="0" w:space="0" w:color="auto"/>
        <w:bottom w:val="none" w:sz="0" w:space="0" w:color="auto"/>
        <w:right w:val="none" w:sz="0" w:space="0" w:color="auto"/>
      </w:divBdr>
      <w:divsChild>
        <w:div w:id="294678206">
          <w:marLeft w:val="-240"/>
          <w:marRight w:val="-240"/>
          <w:marTop w:val="0"/>
          <w:marBottom w:val="0"/>
          <w:divBdr>
            <w:top w:val="none" w:sz="0" w:space="0" w:color="auto"/>
            <w:left w:val="none" w:sz="0" w:space="0" w:color="auto"/>
            <w:bottom w:val="none" w:sz="0" w:space="0" w:color="auto"/>
            <w:right w:val="none" w:sz="0" w:space="0" w:color="auto"/>
          </w:divBdr>
          <w:divsChild>
            <w:div w:id="124272942">
              <w:marLeft w:val="0"/>
              <w:marRight w:val="0"/>
              <w:marTop w:val="0"/>
              <w:marBottom w:val="0"/>
              <w:divBdr>
                <w:top w:val="none" w:sz="0" w:space="0" w:color="auto"/>
                <w:left w:val="none" w:sz="0" w:space="0" w:color="auto"/>
                <w:bottom w:val="none" w:sz="0" w:space="0" w:color="auto"/>
                <w:right w:val="none" w:sz="0" w:space="0" w:color="auto"/>
              </w:divBdr>
              <w:divsChild>
                <w:div w:id="510340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7964099">
      <w:bodyDiv w:val="1"/>
      <w:marLeft w:val="0"/>
      <w:marRight w:val="0"/>
      <w:marTop w:val="0"/>
      <w:marBottom w:val="0"/>
      <w:divBdr>
        <w:top w:val="none" w:sz="0" w:space="0" w:color="auto"/>
        <w:left w:val="none" w:sz="0" w:space="0" w:color="auto"/>
        <w:bottom w:val="none" w:sz="0" w:space="0" w:color="auto"/>
        <w:right w:val="none" w:sz="0" w:space="0" w:color="auto"/>
      </w:divBdr>
      <w:divsChild>
        <w:div w:id="284429577">
          <w:marLeft w:val="-240"/>
          <w:marRight w:val="-240"/>
          <w:marTop w:val="0"/>
          <w:marBottom w:val="0"/>
          <w:divBdr>
            <w:top w:val="none" w:sz="0" w:space="0" w:color="auto"/>
            <w:left w:val="none" w:sz="0" w:space="0" w:color="auto"/>
            <w:bottom w:val="none" w:sz="0" w:space="0" w:color="auto"/>
            <w:right w:val="none" w:sz="0" w:space="0" w:color="auto"/>
          </w:divBdr>
          <w:divsChild>
            <w:div w:id="177887202">
              <w:marLeft w:val="0"/>
              <w:marRight w:val="0"/>
              <w:marTop w:val="0"/>
              <w:marBottom w:val="0"/>
              <w:divBdr>
                <w:top w:val="none" w:sz="0" w:space="0" w:color="auto"/>
                <w:left w:val="none" w:sz="0" w:space="0" w:color="auto"/>
                <w:bottom w:val="none" w:sz="0" w:space="0" w:color="auto"/>
                <w:right w:val="none" w:sz="0" w:space="0" w:color="auto"/>
              </w:divBdr>
              <w:divsChild>
                <w:div w:id="212109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435447">
      <w:bodyDiv w:val="1"/>
      <w:marLeft w:val="0"/>
      <w:marRight w:val="0"/>
      <w:marTop w:val="0"/>
      <w:marBottom w:val="0"/>
      <w:divBdr>
        <w:top w:val="none" w:sz="0" w:space="0" w:color="auto"/>
        <w:left w:val="none" w:sz="0" w:space="0" w:color="auto"/>
        <w:bottom w:val="none" w:sz="0" w:space="0" w:color="auto"/>
        <w:right w:val="none" w:sz="0" w:space="0" w:color="auto"/>
      </w:divBdr>
      <w:divsChild>
        <w:div w:id="1465583336">
          <w:marLeft w:val="-240"/>
          <w:marRight w:val="-240"/>
          <w:marTop w:val="0"/>
          <w:marBottom w:val="0"/>
          <w:divBdr>
            <w:top w:val="none" w:sz="0" w:space="0" w:color="auto"/>
            <w:left w:val="none" w:sz="0" w:space="0" w:color="auto"/>
            <w:bottom w:val="none" w:sz="0" w:space="0" w:color="auto"/>
            <w:right w:val="none" w:sz="0" w:space="0" w:color="auto"/>
          </w:divBdr>
          <w:divsChild>
            <w:div w:id="1335839401">
              <w:marLeft w:val="0"/>
              <w:marRight w:val="0"/>
              <w:marTop w:val="0"/>
              <w:marBottom w:val="0"/>
              <w:divBdr>
                <w:top w:val="none" w:sz="0" w:space="0" w:color="auto"/>
                <w:left w:val="none" w:sz="0" w:space="0" w:color="auto"/>
                <w:bottom w:val="none" w:sz="0" w:space="0" w:color="auto"/>
                <w:right w:val="none" w:sz="0" w:space="0" w:color="auto"/>
              </w:divBdr>
              <w:divsChild>
                <w:div w:id="1213229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019716">
      <w:bodyDiv w:val="1"/>
      <w:marLeft w:val="0"/>
      <w:marRight w:val="0"/>
      <w:marTop w:val="0"/>
      <w:marBottom w:val="0"/>
      <w:divBdr>
        <w:top w:val="none" w:sz="0" w:space="0" w:color="auto"/>
        <w:left w:val="none" w:sz="0" w:space="0" w:color="auto"/>
        <w:bottom w:val="none" w:sz="0" w:space="0" w:color="auto"/>
        <w:right w:val="none" w:sz="0" w:space="0" w:color="auto"/>
      </w:divBdr>
      <w:divsChild>
        <w:div w:id="891497412">
          <w:marLeft w:val="-240"/>
          <w:marRight w:val="-240"/>
          <w:marTop w:val="0"/>
          <w:marBottom w:val="0"/>
          <w:divBdr>
            <w:top w:val="none" w:sz="0" w:space="0" w:color="auto"/>
            <w:left w:val="none" w:sz="0" w:space="0" w:color="auto"/>
            <w:bottom w:val="none" w:sz="0" w:space="0" w:color="auto"/>
            <w:right w:val="none" w:sz="0" w:space="0" w:color="auto"/>
          </w:divBdr>
          <w:divsChild>
            <w:div w:id="2100978443">
              <w:marLeft w:val="0"/>
              <w:marRight w:val="0"/>
              <w:marTop w:val="0"/>
              <w:marBottom w:val="0"/>
              <w:divBdr>
                <w:top w:val="none" w:sz="0" w:space="0" w:color="auto"/>
                <w:left w:val="none" w:sz="0" w:space="0" w:color="auto"/>
                <w:bottom w:val="none" w:sz="0" w:space="0" w:color="auto"/>
                <w:right w:val="none" w:sz="0" w:space="0" w:color="auto"/>
              </w:divBdr>
              <w:divsChild>
                <w:div w:id="19268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141216">
      <w:bodyDiv w:val="1"/>
      <w:marLeft w:val="0"/>
      <w:marRight w:val="0"/>
      <w:marTop w:val="0"/>
      <w:marBottom w:val="0"/>
      <w:divBdr>
        <w:top w:val="none" w:sz="0" w:space="0" w:color="auto"/>
        <w:left w:val="none" w:sz="0" w:space="0" w:color="auto"/>
        <w:bottom w:val="none" w:sz="0" w:space="0" w:color="auto"/>
        <w:right w:val="none" w:sz="0" w:space="0" w:color="auto"/>
      </w:divBdr>
      <w:divsChild>
        <w:div w:id="1294169834">
          <w:marLeft w:val="-240"/>
          <w:marRight w:val="-240"/>
          <w:marTop w:val="0"/>
          <w:marBottom w:val="0"/>
          <w:divBdr>
            <w:top w:val="none" w:sz="0" w:space="0" w:color="auto"/>
            <w:left w:val="none" w:sz="0" w:space="0" w:color="auto"/>
            <w:bottom w:val="none" w:sz="0" w:space="0" w:color="auto"/>
            <w:right w:val="none" w:sz="0" w:space="0" w:color="auto"/>
          </w:divBdr>
          <w:divsChild>
            <w:div w:id="935869693">
              <w:marLeft w:val="0"/>
              <w:marRight w:val="0"/>
              <w:marTop w:val="0"/>
              <w:marBottom w:val="0"/>
              <w:divBdr>
                <w:top w:val="none" w:sz="0" w:space="0" w:color="auto"/>
                <w:left w:val="none" w:sz="0" w:space="0" w:color="auto"/>
                <w:bottom w:val="none" w:sz="0" w:space="0" w:color="auto"/>
                <w:right w:val="none" w:sz="0" w:space="0" w:color="auto"/>
              </w:divBdr>
              <w:divsChild>
                <w:div w:id="196821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693052">
      <w:bodyDiv w:val="1"/>
      <w:marLeft w:val="0"/>
      <w:marRight w:val="0"/>
      <w:marTop w:val="0"/>
      <w:marBottom w:val="0"/>
      <w:divBdr>
        <w:top w:val="none" w:sz="0" w:space="0" w:color="auto"/>
        <w:left w:val="none" w:sz="0" w:space="0" w:color="auto"/>
        <w:bottom w:val="none" w:sz="0" w:space="0" w:color="auto"/>
        <w:right w:val="none" w:sz="0" w:space="0" w:color="auto"/>
      </w:divBdr>
      <w:divsChild>
        <w:div w:id="210575326">
          <w:marLeft w:val="-240"/>
          <w:marRight w:val="-240"/>
          <w:marTop w:val="0"/>
          <w:marBottom w:val="0"/>
          <w:divBdr>
            <w:top w:val="none" w:sz="0" w:space="0" w:color="auto"/>
            <w:left w:val="none" w:sz="0" w:space="0" w:color="auto"/>
            <w:bottom w:val="none" w:sz="0" w:space="0" w:color="auto"/>
            <w:right w:val="none" w:sz="0" w:space="0" w:color="auto"/>
          </w:divBdr>
          <w:divsChild>
            <w:div w:id="1632243990">
              <w:marLeft w:val="0"/>
              <w:marRight w:val="0"/>
              <w:marTop w:val="0"/>
              <w:marBottom w:val="0"/>
              <w:divBdr>
                <w:top w:val="none" w:sz="0" w:space="0" w:color="auto"/>
                <w:left w:val="none" w:sz="0" w:space="0" w:color="auto"/>
                <w:bottom w:val="none" w:sz="0" w:space="0" w:color="auto"/>
                <w:right w:val="none" w:sz="0" w:space="0" w:color="auto"/>
              </w:divBdr>
              <w:divsChild>
                <w:div w:id="183214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593064">
      <w:bodyDiv w:val="1"/>
      <w:marLeft w:val="0"/>
      <w:marRight w:val="0"/>
      <w:marTop w:val="0"/>
      <w:marBottom w:val="0"/>
      <w:divBdr>
        <w:top w:val="none" w:sz="0" w:space="0" w:color="auto"/>
        <w:left w:val="none" w:sz="0" w:space="0" w:color="auto"/>
        <w:bottom w:val="none" w:sz="0" w:space="0" w:color="auto"/>
        <w:right w:val="none" w:sz="0" w:space="0" w:color="auto"/>
      </w:divBdr>
      <w:divsChild>
        <w:div w:id="178352510">
          <w:marLeft w:val="-240"/>
          <w:marRight w:val="-240"/>
          <w:marTop w:val="0"/>
          <w:marBottom w:val="0"/>
          <w:divBdr>
            <w:top w:val="none" w:sz="0" w:space="0" w:color="auto"/>
            <w:left w:val="none" w:sz="0" w:space="0" w:color="auto"/>
            <w:bottom w:val="none" w:sz="0" w:space="0" w:color="auto"/>
            <w:right w:val="none" w:sz="0" w:space="0" w:color="auto"/>
          </w:divBdr>
          <w:divsChild>
            <w:div w:id="1884978168">
              <w:marLeft w:val="0"/>
              <w:marRight w:val="0"/>
              <w:marTop w:val="0"/>
              <w:marBottom w:val="0"/>
              <w:divBdr>
                <w:top w:val="none" w:sz="0" w:space="0" w:color="auto"/>
                <w:left w:val="none" w:sz="0" w:space="0" w:color="auto"/>
                <w:bottom w:val="none" w:sz="0" w:space="0" w:color="auto"/>
                <w:right w:val="none" w:sz="0" w:space="0" w:color="auto"/>
              </w:divBdr>
              <w:divsChild>
                <w:div w:id="178915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692356">
      <w:bodyDiv w:val="1"/>
      <w:marLeft w:val="0"/>
      <w:marRight w:val="0"/>
      <w:marTop w:val="0"/>
      <w:marBottom w:val="0"/>
      <w:divBdr>
        <w:top w:val="none" w:sz="0" w:space="0" w:color="auto"/>
        <w:left w:val="none" w:sz="0" w:space="0" w:color="auto"/>
        <w:bottom w:val="none" w:sz="0" w:space="0" w:color="auto"/>
        <w:right w:val="none" w:sz="0" w:space="0" w:color="auto"/>
      </w:divBdr>
    </w:div>
    <w:div w:id="266432621">
      <w:bodyDiv w:val="1"/>
      <w:marLeft w:val="0"/>
      <w:marRight w:val="0"/>
      <w:marTop w:val="0"/>
      <w:marBottom w:val="0"/>
      <w:divBdr>
        <w:top w:val="none" w:sz="0" w:space="0" w:color="auto"/>
        <w:left w:val="none" w:sz="0" w:space="0" w:color="auto"/>
        <w:bottom w:val="none" w:sz="0" w:space="0" w:color="auto"/>
        <w:right w:val="none" w:sz="0" w:space="0" w:color="auto"/>
      </w:divBdr>
      <w:divsChild>
        <w:div w:id="1469127786">
          <w:marLeft w:val="-240"/>
          <w:marRight w:val="-240"/>
          <w:marTop w:val="0"/>
          <w:marBottom w:val="0"/>
          <w:divBdr>
            <w:top w:val="none" w:sz="0" w:space="0" w:color="auto"/>
            <w:left w:val="none" w:sz="0" w:space="0" w:color="auto"/>
            <w:bottom w:val="none" w:sz="0" w:space="0" w:color="auto"/>
            <w:right w:val="none" w:sz="0" w:space="0" w:color="auto"/>
          </w:divBdr>
          <w:divsChild>
            <w:div w:id="1761951504">
              <w:marLeft w:val="0"/>
              <w:marRight w:val="0"/>
              <w:marTop w:val="0"/>
              <w:marBottom w:val="0"/>
              <w:divBdr>
                <w:top w:val="none" w:sz="0" w:space="0" w:color="auto"/>
                <w:left w:val="none" w:sz="0" w:space="0" w:color="auto"/>
                <w:bottom w:val="none" w:sz="0" w:space="0" w:color="auto"/>
                <w:right w:val="none" w:sz="0" w:space="0" w:color="auto"/>
              </w:divBdr>
              <w:divsChild>
                <w:div w:id="199247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279346">
      <w:bodyDiv w:val="1"/>
      <w:marLeft w:val="0"/>
      <w:marRight w:val="0"/>
      <w:marTop w:val="0"/>
      <w:marBottom w:val="0"/>
      <w:divBdr>
        <w:top w:val="none" w:sz="0" w:space="0" w:color="auto"/>
        <w:left w:val="none" w:sz="0" w:space="0" w:color="auto"/>
        <w:bottom w:val="none" w:sz="0" w:space="0" w:color="auto"/>
        <w:right w:val="none" w:sz="0" w:space="0" w:color="auto"/>
      </w:divBdr>
      <w:divsChild>
        <w:div w:id="1627391420">
          <w:marLeft w:val="-240"/>
          <w:marRight w:val="-240"/>
          <w:marTop w:val="0"/>
          <w:marBottom w:val="0"/>
          <w:divBdr>
            <w:top w:val="none" w:sz="0" w:space="0" w:color="auto"/>
            <w:left w:val="none" w:sz="0" w:space="0" w:color="auto"/>
            <w:bottom w:val="none" w:sz="0" w:space="0" w:color="auto"/>
            <w:right w:val="none" w:sz="0" w:space="0" w:color="auto"/>
          </w:divBdr>
          <w:divsChild>
            <w:div w:id="1050303513">
              <w:marLeft w:val="0"/>
              <w:marRight w:val="0"/>
              <w:marTop w:val="0"/>
              <w:marBottom w:val="0"/>
              <w:divBdr>
                <w:top w:val="none" w:sz="0" w:space="0" w:color="auto"/>
                <w:left w:val="none" w:sz="0" w:space="0" w:color="auto"/>
                <w:bottom w:val="none" w:sz="0" w:space="0" w:color="auto"/>
                <w:right w:val="none" w:sz="0" w:space="0" w:color="auto"/>
              </w:divBdr>
              <w:divsChild>
                <w:div w:id="51704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378655">
      <w:bodyDiv w:val="1"/>
      <w:marLeft w:val="0"/>
      <w:marRight w:val="0"/>
      <w:marTop w:val="0"/>
      <w:marBottom w:val="0"/>
      <w:divBdr>
        <w:top w:val="none" w:sz="0" w:space="0" w:color="auto"/>
        <w:left w:val="none" w:sz="0" w:space="0" w:color="auto"/>
        <w:bottom w:val="none" w:sz="0" w:space="0" w:color="auto"/>
        <w:right w:val="none" w:sz="0" w:space="0" w:color="auto"/>
      </w:divBdr>
      <w:divsChild>
        <w:div w:id="820388630">
          <w:marLeft w:val="-240"/>
          <w:marRight w:val="-240"/>
          <w:marTop w:val="0"/>
          <w:marBottom w:val="0"/>
          <w:divBdr>
            <w:top w:val="none" w:sz="0" w:space="0" w:color="auto"/>
            <w:left w:val="none" w:sz="0" w:space="0" w:color="auto"/>
            <w:bottom w:val="none" w:sz="0" w:space="0" w:color="auto"/>
            <w:right w:val="none" w:sz="0" w:space="0" w:color="auto"/>
          </w:divBdr>
          <w:divsChild>
            <w:div w:id="1787189569">
              <w:marLeft w:val="0"/>
              <w:marRight w:val="0"/>
              <w:marTop w:val="0"/>
              <w:marBottom w:val="0"/>
              <w:divBdr>
                <w:top w:val="none" w:sz="0" w:space="0" w:color="auto"/>
                <w:left w:val="none" w:sz="0" w:space="0" w:color="auto"/>
                <w:bottom w:val="none" w:sz="0" w:space="0" w:color="auto"/>
                <w:right w:val="none" w:sz="0" w:space="0" w:color="auto"/>
              </w:divBdr>
              <w:divsChild>
                <w:div w:id="63336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629868">
      <w:bodyDiv w:val="1"/>
      <w:marLeft w:val="0"/>
      <w:marRight w:val="0"/>
      <w:marTop w:val="0"/>
      <w:marBottom w:val="0"/>
      <w:divBdr>
        <w:top w:val="none" w:sz="0" w:space="0" w:color="auto"/>
        <w:left w:val="none" w:sz="0" w:space="0" w:color="auto"/>
        <w:bottom w:val="none" w:sz="0" w:space="0" w:color="auto"/>
        <w:right w:val="none" w:sz="0" w:space="0" w:color="auto"/>
      </w:divBdr>
    </w:div>
    <w:div w:id="292104523">
      <w:bodyDiv w:val="1"/>
      <w:marLeft w:val="0"/>
      <w:marRight w:val="0"/>
      <w:marTop w:val="0"/>
      <w:marBottom w:val="0"/>
      <w:divBdr>
        <w:top w:val="none" w:sz="0" w:space="0" w:color="auto"/>
        <w:left w:val="none" w:sz="0" w:space="0" w:color="auto"/>
        <w:bottom w:val="none" w:sz="0" w:space="0" w:color="auto"/>
        <w:right w:val="none" w:sz="0" w:space="0" w:color="auto"/>
      </w:divBdr>
      <w:divsChild>
        <w:div w:id="1086994660">
          <w:marLeft w:val="-240"/>
          <w:marRight w:val="-240"/>
          <w:marTop w:val="0"/>
          <w:marBottom w:val="0"/>
          <w:divBdr>
            <w:top w:val="none" w:sz="0" w:space="0" w:color="auto"/>
            <w:left w:val="none" w:sz="0" w:space="0" w:color="auto"/>
            <w:bottom w:val="none" w:sz="0" w:space="0" w:color="auto"/>
            <w:right w:val="none" w:sz="0" w:space="0" w:color="auto"/>
          </w:divBdr>
          <w:divsChild>
            <w:div w:id="474223489">
              <w:marLeft w:val="0"/>
              <w:marRight w:val="0"/>
              <w:marTop w:val="0"/>
              <w:marBottom w:val="0"/>
              <w:divBdr>
                <w:top w:val="none" w:sz="0" w:space="0" w:color="auto"/>
                <w:left w:val="none" w:sz="0" w:space="0" w:color="auto"/>
                <w:bottom w:val="none" w:sz="0" w:space="0" w:color="auto"/>
                <w:right w:val="none" w:sz="0" w:space="0" w:color="auto"/>
              </w:divBdr>
              <w:divsChild>
                <w:div w:id="1015419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164642">
      <w:bodyDiv w:val="1"/>
      <w:marLeft w:val="0"/>
      <w:marRight w:val="0"/>
      <w:marTop w:val="0"/>
      <w:marBottom w:val="0"/>
      <w:divBdr>
        <w:top w:val="none" w:sz="0" w:space="0" w:color="auto"/>
        <w:left w:val="none" w:sz="0" w:space="0" w:color="auto"/>
        <w:bottom w:val="none" w:sz="0" w:space="0" w:color="auto"/>
        <w:right w:val="none" w:sz="0" w:space="0" w:color="auto"/>
      </w:divBdr>
      <w:divsChild>
        <w:div w:id="315959112">
          <w:marLeft w:val="-240"/>
          <w:marRight w:val="-240"/>
          <w:marTop w:val="0"/>
          <w:marBottom w:val="0"/>
          <w:divBdr>
            <w:top w:val="none" w:sz="0" w:space="0" w:color="auto"/>
            <w:left w:val="none" w:sz="0" w:space="0" w:color="auto"/>
            <w:bottom w:val="none" w:sz="0" w:space="0" w:color="auto"/>
            <w:right w:val="none" w:sz="0" w:space="0" w:color="auto"/>
          </w:divBdr>
          <w:divsChild>
            <w:div w:id="629479519">
              <w:marLeft w:val="0"/>
              <w:marRight w:val="0"/>
              <w:marTop w:val="0"/>
              <w:marBottom w:val="0"/>
              <w:divBdr>
                <w:top w:val="none" w:sz="0" w:space="0" w:color="auto"/>
                <w:left w:val="none" w:sz="0" w:space="0" w:color="auto"/>
                <w:bottom w:val="none" w:sz="0" w:space="0" w:color="auto"/>
                <w:right w:val="none" w:sz="0" w:space="0" w:color="auto"/>
              </w:divBdr>
              <w:divsChild>
                <w:div w:id="147660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841773">
      <w:bodyDiv w:val="1"/>
      <w:marLeft w:val="0"/>
      <w:marRight w:val="0"/>
      <w:marTop w:val="0"/>
      <w:marBottom w:val="0"/>
      <w:divBdr>
        <w:top w:val="none" w:sz="0" w:space="0" w:color="auto"/>
        <w:left w:val="none" w:sz="0" w:space="0" w:color="auto"/>
        <w:bottom w:val="none" w:sz="0" w:space="0" w:color="auto"/>
        <w:right w:val="none" w:sz="0" w:space="0" w:color="auto"/>
      </w:divBdr>
      <w:divsChild>
        <w:div w:id="1822890860">
          <w:marLeft w:val="-240"/>
          <w:marRight w:val="-240"/>
          <w:marTop w:val="0"/>
          <w:marBottom w:val="0"/>
          <w:divBdr>
            <w:top w:val="none" w:sz="0" w:space="0" w:color="auto"/>
            <w:left w:val="none" w:sz="0" w:space="0" w:color="auto"/>
            <w:bottom w:val="none" w:sz="0" w:space="0" w:color="auto"/>
            <w:right w:val="none" w:sz="0" w:space="0" w:color="auto"/>
          </w:divBdr>
          <w:divsChild>
            <w:div w:id="128136472">
              <w:marLeft w:val="0"/>
              <w:marRight w:val="0"/>
              <w:marTop w:val="0"/>
              <w:marBottom w:val="0"/>
              <w:divBdr>
                <w:top w:val="none" w:sz="0" w:space="0" w:color="auto"/>
                <w:left w:val="none" w:sz="0" w:space="0" w:color="auto"/>
                <w:bottom w:val="none" w:sz="0" w:space="0" w:color="auto"/>
                <w:right w:val="none" w:sz="0" w:space="0" w:color="auto"/>
              </w:divBdr>
              <w:divsChild>
                <w:div w:id="65171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836679">
      <w:bodyDiv w:val="1"/>
      <w:marLeft w:val="0"/>
      <w:marRight w:val="0"/>
      <w:marTop w:val="0"/>
      <w:marBottom w:val="0"/>
      <w:divBdr>
        <w:top w:val="none" w:sz="0" w:space="0" w:color="auto"/>
        <w:left w:val="none" w:sz="0" w:space="0" w:color="auto"/>
        <w:bottom w:val="none" w:sz="0" w:space="0" w:color="auto"/>
        <w:right w:val="none" w:sz="0" w:space="0" w:color="auto"/>
      </w:divBdr>
      <w:divsChild>
        <w:div w:id="1709183178">
          <w:marLeft w:val="-240"/>
          <w:marRight w:val="-240"/>
          <w:marTop w:val="0"/>
          <w:marBottom w:val="0"/>
          <w:divBdr>
            <w:top w:val="none" w:sz="0" w:space="0" w:color="auto"/>
            <w:left w:val="none" w:sz="0" w:space="0" w:color="auto"/>
            <w:bottom w:val="none" w:sz="0" w:space="0" w:color="auto"/>
            <w:right w:val="none" w:sz="0" w:space="0" w:color="auto"/>
          </w:divBdr>
          <w:divsChild>
            <w:div w:id="74131768">
              <w:marLeft w:val="0"/>
              <w:marRight w:val="0"/>
              <w:marTop w:val="0"/>
              <w:marBottom w:val="0"/>
              <w:divBdr>
                <w:top w:val="none" w:sz="0" w:space="0" w:color="auto"/>
                <w:left w:val="none" w:sz="0" w:space="0" w:color="auto"/>
                <w:bottom w:val="none" w:sz="0" w:space="0" w:color="auto"/>
                <w:right w:val="none" w:sz="0" w:space="0" w:color="auto"/>
              </w:divBdr>
              <w:divsChild>
                <w:div w:id="81476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302089">
      <w:bodyDiv w:val="1"/>
      <w:marLeft w:val="0"/>
      <w:marRight w:val="0"/>
      <w:marTop w:val="0"/>
      <w:marBottom w:val="0"/>
      <w:divBdr>
        <w:top w:val="none" w:sz="0" w:space="0" w:color="auto"/>
        <w:left w:val="none" w:sz="0" w:space="0" w:color="auto"/>
        <w:bottom w:val="none" w:sz="0" w:space="0" w:color="auto"/>
        <w:right w:val="none" w:sz="0" w:space="0" w:color="auto"/>
      </w:divBdr>
      <w:divsChild>
        <w:div w:id="1130048052">
          <w:marLeft w:val="-240"/>
          <w:marRight w:val="-240"/>
          <w:marTop w:val="0"/>
          <w:marBottom w:val="0"/>
          <w:divBdr>
            <w:top w:val="none" w:sz="0" w:space="0" w:color="auto"/>
            <w:left w:val="none" w:sz="0" w:space="0" w:color="auto"/>
            <w:bottom w:val="none" w:sz="0" w:space="0" w:color="auto"/>
            <w:right w:val="none" w:sz="0" w:space="0" w:color="auto"/>
          </w:divBdr>
          <w:divsChild>
            <w:div w:id="2022511539">
              <w:marLeft w:val="0"/>
              <w:marRight w:val="0"/>
              <w:marTop w:val="0"/>
              <w:marBottom w:val="0"/>
              <w:divBdr>
                <w:top w:val="none" w:sz="0" w:space="0" w:color="auto"/>
                <w:left w:val="none" w:sz="0" w:space="0" w:color="auto"/>
                <w:bottom w:val="none" w:sz="0" w:space="0" w:color="auto"/>
                <w:right w:val="none" w:sz="0" w:space="0" w:color="auto"/>
              </w:divBdr>
              <w:divsChild>
                <w:div w:id="209415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013928">
      <w:bodyDiv w:val="1"/>
      <w:marLeft w:val="0"/>
      <w:marRight w:val="0"/>
      <w:marTop w:val="0"/>
      <w:marBottom w:val="0"/>
      <w:divBdr>
        <w:top w:val="none" w:sz="0" w:space="0" w:color="auto"/>
        <w:left w:val="none" w:sz="0" w:space="0" w:color="auto"/>
        <w:bottom w:val="none" w:sz="0" w:space="0" w:color="auto"/>
        <w:right w:val="none" w:sz="0" w:space="0" w:color="auto"/>
      </w:divBdr>
      <w:divsChild>
        <w:div w:id="1473058688">
          <w:marLeft w:val="-240"/>
          <w:marRight w:val="-240"/>
          <w:marTop w:val="0"/>
          <w:marBottom w:val="0"/>
          <w:divBdr>
            <w:top w:val="none" w:sz="0" w:space="0" w:color="auto"/>
            <w:left w:val="none" w:sz="0" w:space="0" w:color="auto"/>
            <w:bottom w:val="none" w:sz="0" w:space="0" w:color="auto"/>
            <w:right w:val="none" w:sz="0" w:space="0" w:color="auto"/>
          </w:divBdr>
          <w:divsChild>
            <w:div w:id="229778957">
              <w:marLeft w:val="0"/>
              <w:marRight w:val="0"/>
              <w:marTop w:val="0"/>
              <w:marBottom w:val="0"/>
              <w:divBdr>
                <w:top w:val="none" w:sz="0" w:space="0" w:color="auto"/>
                <w:left w:val="none" w:sz="0" w:space="0" w:color="auto"/>
                <w:bottom w:val="none" w:sz="0" w:space="0" w:color="auto"/>
                <w:right w:val="none" w:sz="0" w:space="0" w:color="auto"/>
              </w:divBdr>
              <w:divsChild>
                <w:div w:id="61328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717079">
      <w:bodyDiv w:val="1"/>
      <w:marLeft w:val="0"/>
      <w:marRight w:val="0"/>
      <w:marTop w:val="0"/>
      <w:marBottom w:val="0"/>
      <w:divBdr>
        <w:top w:val="none" w:sz="0" w:space="0" w:color="auto"/>
        <w:left w:val="none" w:sz="0" w:space="0" w:color="auto"/>
        <w:bottom w:val="none" w:sz="0" w:space="0" w:color="auto"/>
        <w:right w:val="none" w:sz="0" w:space="0" w:color="auto"/>
      </w:divBdr>
      <w:divsChild>
        <w:div w:id="537935517">
          <w:marLeft w:val="-240"/>
          <w:marRight w:val="-240"/>
          <w:marTop w:val="0"/>
          <w:marBottom w:val="0"/>
          <w:divBdr>
            <w:top w:val="none" w:sz="0" w:space="0" w:color="auto"/>
            <w:left w:val="none" w:sz="0" w:space="0" w:color="auto"/>
            <w:bottom w:val="none" w:sz="0" w:space="0" w:color="auto"/>
            <w:right w:val="none" w:sz="0" w:space="0" w:color="auto"/>
          </w:divBdr>
          <w:divsChild>
            <w:div w:id="999769477">
              <w:marLeft w:val="0"/>
              <w:marRight w:val="0"/>
              <w:marTop w:val="0"/>
              <w:marBottom w:val="0"/>
              <w:divBdr>
                <w:top w:val="none" w:sz="0" w:space="0" w:color="auto"/>
                <w:left w:val="none" w:sz="0" w:space="0" w:color="auto"/>
                <w:bottom w:val="none" w:sz="0" w:space="0" w:color="auto"/>
                <w:right w:val="none" w:sz="0" w:space="0" w:color="auto"/>
              </w:divBdr>
              <w:divsChild>
                <w:div w:id="81436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683940">
      <w:bodyDiv w:val="1"/>
      <w:marLeft w:val="0"/>
      <w:marRight w:val="0"/>
      <w:marTop w:val="0"/>
      <w:marBottom w:val="0"/>
      <w:divBdr>
        <w:top w:val="none" w:sz="0" w:space="0" w:color="auto"/>
        <w:left w:val="none" w:sz="0" w:space="0" w:color="auto"/>
        <w:bottom w:val="none" w:sz="0" w:space="0" w:color="auto"/>
        <w:right w:val="none" w:sz="0" w:space="0" w:color="auto"/>
      </w:divBdr>
    </w:div>
    <w:div w:id="382759306">
      <w:bodyDiv w:val="1"/>
      <w:marLeft w:val="0"/>
      <w:marRight w:val="0"/>
      <w:marTop w:val="0"/>
      <w:marBottom w:val="0"/>
      <w:divBdr>
        <w:top w:val="none" w:sz="0" w:space="0" w:color="auto"/>
        <w:left w:val="none" w:sz="0" w:space="0" w:color="auto"/>
        <w:bottom w:val="none" w:sz="0" w:space="0" w:color="auto"/>
        <w:right w:val="none" w:sz="0" w:space="0" w:color="auto"/>
      </w:divBdr>
      <w:divsChild>
        <w:div w:id="1772355651">
          <w:marLeft w:val="-240"/>
          <w:marRight w:val="-240"/>
          <w:marTop w:val="0"/>
          <w:marBottom w:val="0"/>
          <w:divBdr>
            <w:top w:val="none" w:sz="0" w:space="0" w:color="auto"/>
            <w:left w:val="none" w:sz="0" w:space="0" w:color="auto"/>
            <w:bottom w:val="none" w:sz="0" w:space="0" w:color="auto"/>
            <w:right w:val="none" w:sz="0" w:space="0" w:color="auto"/>
          </w:divBdr>
          <w:divsChild>
            <w:div w:id="2090881499">
              <w:marLeft w:val="0"/>
              <w:marRight w:val="0"/>
              <w:marTop w:val="0"/>
              <w:marBottom w:val="0"/>
              <w:divBdr>
                <w:top w:val="none" w:sz="0" w:space="0" w:color="auto"/>
                <w:left w:val="none" w:sz="0" w:space="0" w:color="auto"/>
                <w:bottom w:val="none" w:sz="0" w:space="0" w:color="auto"/>
                <w:right w:val="none" w:sz="0" w:space="0" w:color="auto"/>
              </w:divBdr>
              <w:divsChild>
                <w:div w:id="1701323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925894">
      <w:bodyDiv w:val="1"/>
      <w:marLeft w:val="0"/>
      <w:marRight w:val="0"/>
      <w:marTop w:val="0"/>
      <w:marBottom w:val="0"/>
      <w:divBdr>
        <w:top w:val="none" w:sz="0" w:space="0" w:color="auto"/>
        <w:left w:val="none" w:sz="0" w:space="0" w:color="auto"/>
        <w:bottom w:val="none" w:sz="0" w:space="0" w:color="auto"/>
        <w:right w:val="none" w:sz="0" w:space="0" w:color="auto"/>
      </w:divBdr>
      <w:divsChild>
        <w:div w:id="424502410">
          <w:marLeft w:val="-240"/>
          <w:marRight w:val="-240"/>
          <w:marTop w:val="0"/>
          <w:marBottom w:val="0"/>
          <w:divBdr>
            <w:top w:val="none" w:sz="0" w:space="0" w:color="auto"/>
            <w:left w:val="none" w:sz="0" w:space="0" w:color="auto"/>
            <w:bottom w:val="none" w:sz="0" w:space="0" w:color="auto"/>
            <w:right w:val="none" w:sz="0" w:space="0" w:color="auto"/>
          </w:divBdr>
          <w:divsChild>
            <w:div w:id="1523546638">
              <w:marLeft w:val="0"/>
              <w:marRight w:val="0"/>
              <w:marTop w:val="0"/>
              <w:marBottom w:val="0"/>
              <w:divBdr>
                <w:top w:val="none" w:sz="0" w:space="0" w:color="auto"/>
                <w:left w:val="none" w:sz="0" w:space="0" w:color="auto"/>
                <w:bottom w:val="none" w:sz="0" w:space="0" w:color="auto"/>
                <w:right w:val="none" w:sz="0" w:space="0" w:color="auto"/>
              </w:divBdr>
              <w:divsChild>
                <w:div w:id="120732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808960">
      <w:bodyDiv w:val="1"/>
      <w:marLeft w:val="0"/>
      <w:marRight w:val="0"/>
      <w:marTop w:val="0"/>
      <w:marBottom w:val="0"/>
      <w:divBdr>
        <w:top w:val="none" w:sz="0" w:space="0" w:color="auto"/>
        <w:left w:val="none" w:sz="0" w:space="0" w:color="auto"/>
        <w:bottom w:val="none" w:sz="0" w:space="0" w:color="auto"/>
        <w:right w:val="none" w:sz="0" w:space="0" w:color="auto"/>
      </w:divBdr>
      <w:divsChild>
        <w:div w:id="78448487">
          <w:marLeft w:val="-240"/>
          <w:marRight w:val="-240"/>
          <w:marTop w:val="0"/>
          <w:marBottom w:val="0"/>
          <w:divBdr>
            <w:top w:val="none" w:sz="0" w:space="0" w:color="auto"/>
            <w:left w:val="none" w:sz="0" w:space="0" w:color="auto"/>
            <w:bottom w:val="none" w:sz="0" w:space="0" w:color="auto"/>
            <w:right w:val="none" w:sz="0" w:space="0" w:color="auto"/>
          </w:divBdr>
          <w:divsChild>
            <w:div w:id="285082754">
              <w:marLeft w:val="0"/>
              <w:marRight w:val="0"/>
              <w:marTop w:val="0"/>
              <w:marBottom w:val="0"/>
              <w:divBdr>
                <w:top w:val="none" w:sz="0" w:space="0" w:color="auto"/>
                <w:left w:val="none" w:sz="0" w:space="0" w:color="auto"/>
                <w:bottom w:val="none" w:sz="0" w:space="0" w:color="auto"/>
                <w:right w:val="none" w:sz="0" w:space="0" w:color="auto"/>
              </w:divBdr>
              <w:divsChild>
                <w:div w:id="1123042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318519">
      <w:bodyDiv w:val="1"/>
      <w:marLeft w:val="0"/>
      <w:marRight w:val="0"/>
      <w:marTop w:val="0"/>
      <w:marBottom w:val="0"/>
      <w:divBdr>
        <w:top w:val="none" w:sz="0" w:space="0" w:color="auto"/>
        <w:left w:val="none" w:sz="0" w:space="0" w:color="auto"/>
        <w:bottom w:val="none" w:sz="0" w:space="0" w:color="auto"/>
        <w:right w:val="none" w:sz="0" w:space="0" w:color="auto"/>
      </w:divBdr>
    </w:div>
    <w:div w:id="403333855">
      <w:bodyDiv w:val="1"/>
      <w:marLeft w:val="0"/>
      <w:marRight w:val="0"/>
      <w:marTop w:val="0"/>
      <w:marBottom w:val="0"/>
      <w:divBdr>
        <w:top w:val="none" w:sz="0" w:space="0" w:color="auto"/>
        <w:left w:val="none" w:sz="0" w:space="0" w:color="auto"/>
        <w:bottom w:val="none" w:sz="0" w:space="0" w:color="auto"/>
        <w:right w:val="none" w:sz="0" w:space="0" w:color="auto"/>
      </w:divBdr>
      <w:divsChild>
        <w:div w:id="752238143">
          <w:marLeft w:val="-240"/>
          <w:marRight w:val="-240"/>
          <w:marTop w:val="0"/>
          <w:marBottom w:val="0"/>
          <w:divBdr>
            <w:top w:val="none" w:sz="0" w:space="0" w:color="auto"/>
            <w:left w:val="none" w:sz="0" w:space="0" w:color="auto"/>
            <w:bottom w:val="none" w:sz="0" w:space="0" w:color="auto"/>
            <w:right w:val="none" w:sz="0" w:space="0" w:color="auto"/>
          </w:divBdr>
          <w:divsChild>
            <w:div w:id="640574912">
              <w:marLeft w:val="0"/>
              <w:marRight w:val="0"/>
              <w:marTop w:val="0"/>
              <w:marBottom w:val="0"/>
              <w:divBdr>
                <w:top w:val="none" w:sz="0" w:space="0" w:color="auto"/>
                <w:left w:val="none" w:sz="0" w:space="0" w:color="auto"/>
                <w:bottom w:val="none" w:sz="0" w:space="0" w:color="auto"/>
                <w:right w:val="none" w:sz="0" w:space="0" w:color="auto"/>
              </w:divBdr>
              <w:divsChild>
                <w:div w:id="1409691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148403">
      <w:bodyDiv w:val="1"/>
      <w:marLeft w:val="0"/>
      <w:marRight w:val="0"/>
      <w:marTop w:val="0"/>
      <w:marBottom w:val="0"/>
      <w:divBdr>
        <w:top w:val="none" w:sz="0" w:space="0" w:color="auto"/>
        <w:left w:val="none" w:sz="0" w:space="0" w:color="auto"/>
        <w:bottom w:val="none" w:sz="0" w:space="0" w:color="auto"/>
        <w:right w:val="none" w:sz="0" w:space="0" w:color="auto"/>
      </w:divBdr>
      <w:divsChild>
        <w:div w:id="1445080051">
          <w:marLeft w:val="-240"/>
          <w:marRight w:val="-240"/>
          <w:marTop w:val="0"/>
          <w:marBottom w:val="0"/>
          <w:divBdr>
            <w:top w:val="none" w:sz="0" w:space="0" w:color="auto"/>
            <w:left w:val="none" w:sz="0" w:space="0" w:color="auto"/>
            <w:bottom w:val="none" w:sz="0" w:space="0" w:color="auto"/>
            <w:right w:val="none" w:sz="0" w:space="0" w:color="auto"/>
          </w:divBdr>
          <w:divsChild>
            <w:div w:id="1091045028">
              <w:marLeft w:val="0"/>
              <w:marRight w:val="0"/>
              <w:marTop w:val="0"/>
              <w:marBottom w:val="0"/>
              <w:divBdr>
                <w:top w:val="none" w:sz="0" w:space="0" w:color="auto"/>
                <w:left w:val="none" w:sz="0" w:space="0" w:color="auto"/>
                <w:bottom w:val="none" w:sz="0" w:space="0" w:color="auto"/>
                <w:right w:val="none" w:sz="0" w:space="0" w:color="auto"/>
              </w:divBdr>
              <w:divsChild>
                <w:div w:id="173345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901151">
      <w:bodyDiv w:val="1"/>
      <w:marLeft w:val="0"/>
      <w:marRight w:val="0"/>
      <w:marTop w:val="0"/>
      <w:marBottom w:val="0"/>
      <w:divBdr>
        <w:top w:val="none" w:sz="0" w:space="0" w:color="auto"/>
        <w:left w:val="none" w:sz="0" w:space="0" w:color="auto"/>
        <w:bottom w:val="none" w:sz="0" w:space="0" w:color="auto"/>
        <w:right w:val="none" w:sz="0" w:space="0" w:color="auto"/>
      </w:divBdr>
      <w:divsChild>
        <w:div w:id="59910341">
          <w:marLeft w:val="-240"/>
          <w:marRight w:val="-240"/>
          <w:marTop w:val="0"/>
          <w:marBottom w:val="0"/>
          <w:divBdr>
            <w:top w:val="none" w:sz="0" w:space="0" w:color="auto"/>
            <w:left w:val="none" w:sz="0" w:space="0" w:color="auto"/>
            <w:bottom w:val="none" w:sz="0" w:space="0" w:color="auto"/>
            <w:right w:val="none" w:sz="0" w:space="0" w:color="auto"/>
          </w:divBdr>
          <w:divsChild>
            <w:div w:id="748161815">
              <w:marLeft w:val="0"/>
              <w:marRight w:val="0"/>
              <w:marTop w:val="0"/>
              <w:marBottom w:val="0"/>
              <w:divBdr>
                <w:top w:val="none" w:sz="0" w:space="0" w:color="auto"/>
                <w:left w:val="none" w:sz="0" w:space="0" w:color="auto"/>
                <w:bottom w:val="none" w:sz="0" w:space="0" w:color="auto"/>
                <w:right w:val="none" w:sz="0" w:space="0" w:color="auto"/>
              </w:divBdr>
              <w:divsChild>
                <w:div w:id="157215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465306">
      <w:bodyDiv w:val="1"/>
      <w:marLeft w:val="0"/>
      <w:marRight w:val="0"/>
      <w:marTop w:val="0"/>
      <w:marBottom w:val="0"/>
      <w:divBdr>
        <w:top w:val="none" w:sz="0" w:space="0" w:color="auto"/>
        <w:left w:val="none" w:sz="0" w:space="0" w:color="auto"/>
        <w:bottom w:val="none" w:sz="0" w:space="0" w:color="auto"/>
        <w:right w:val="none" w:sz="0" w:space="0" w:color="auto"/>
      </w:divBdr>
      <w:divsChild>
        <w:div w:id="613826371">
          <w:marLeft w:val="-240"/>
          <w:marRight w:val="-240"/>
          <w:marTop w:val="0"/>
          <w:marBottom w:val="0"/>
          <w:divBdr>
            <w:top w:val="none" w:sz="0" w:space="0" w:color="auto"/>
            <w:left w:val="none" w:sz="0" w:space="0" w:color="auto"/>
            <w:bottom w:val="none" w:sz="0" w:space="0" w:color="auto"/>
            <w:right w:val="none" w:sz="0" w:space="0" w:color="auto"/>
          </w:divBdr>
          <w:divsChild>
            <w:div w:id="902254842">
              <w:marLeft w:val="0"/>
              <w:marRight w:val="0"/>
              <w:marTop w:val="0"/>
              <w:marBottom w:val="0"/>
              <w:divBdr>
                <w:top w:val="none" w:sz="0" w:space="0" w:color="auto"/>
                <w:left w:val="none" w:sz="0" w:space="0" w:color="auto"/>
                <w:bottom w:val="none" w:sz="0" w:space="0" w:color="auto"/>
                <w:right w:val="none" w:sz="0" w:space="0" w:color="auto"/>
              </w:divBdr>
              <w:divsChild>
                <w:div w:id="107959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357131">
      <w:bodyDiv w:val="1"/>
      <w:marLeft w:val="0"/>
      <w:marRight w:val="0"/>
      <w:marTop w:val="0"/>
      <w:marBottom w:val="0"/>
      <w:divBdr>
        <w:top w:val="none" w:sz="0" w:space="0" w:color="auto"/>
        <w:left w:val="none" w:sz="0" w:space="0" w:color="auto"/>
        <w:bottom w:val="none" w:sz="0" w:space="0" w:color="auto"/>
        <w:right w:val="none" w:sz="0" w:space="0" w:color="auto"/>
      </w:divBdr>
      <w:divsChild>
        <w:div w:id="1020547976">
          <w:marLeft w:val="-240"/>
          <w:marRight w:val="-240"/>
          <w:marTop w:val="0"/>
          <w:marBottom w:val="0"/>
          <w:divBdr>
            <w:top w:val="none" w:sz="0" w:space="0" w:color="auto"/>
            <w:left w:val="none" w:sz="0" w:space="0" w:color="auto"/>
            <w:bottom w:val="none" w:sz="0" w:space="0" w:color="auto"/>
            <w:right w:val="none" w:sz="0" w:space="0" w:color="auto"/>
          </w:divBdr>
          <w:divsChild>
            <w:div w:id="1928925367">
              <w:marLeft w:val="0"/>
              <w:marRight w:val="0"/>
              <w:marTop w:val="0"/>
              <w:marBottom w:val="0"/>
              <w:divBdr>
                <w:top w:val="none" w:sz="0" w:space="0" w:color="auto"/>
                <w:left w:val="none" w:sz="0" w:space="0" w:color="auto"/>
                <w:bottom w:val="none" w:sz="0" w:space="0" w:color="auto"/>
                <w:right w:val="none" w:sz="0" w:space="0" w:color="auto"/>
              </w:divBdr>
              <w:divsChild>
                <w:div w:id="3685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659331">
      <w:bodyDiv w:val="1"/>
      <w:marLeft w:val="0"/>
      <w:marRight w:val="0"/>
      <w:marTop w:val="0"/>
      <w:marBottom w:val="0"/>
      <w:divBdr>
        <w:top w:val="none" w:sz="0" w:space="0" w:color="auto"/>
        <w:left w:val="none" w:sz="0" w:space="0" w:color="auto"/>
        <w:bottom w:val="none" w:sz="0" w:space="0" w:color="auto"/>
        <w:right w:val="none" w:sz="0" w:space="0" w:color="auto"/>
      </w:divBdr>
    </w:div>
    <w:div w:id="467014763">
      <w:bodyDiv w:val="1"/>
      <w:marLeft w:val="0"/>
      <w:marRight w:val="0"/>
      <w:marTop w:val="0"/>
      <w:marBottom w:val="0"/>
      <w:divBdr>
        <w:top w:val="none" w:sz="0" w:space="0" w:color="auto"/>
        <w:left w:val="none" w:sz="0" w:space="0" w:color="auto"/>
        <w:bottom w:val="none" w:sz="0" w:space="0" w:color="auto"/>
        <w:right w:val="none" w:sz="0" w:space="0" w:color="auto"/>
      </w:divBdr>
      <w:divsChild>
        <w:div w:id="983849554">
          <w:marLeft w:val="-240"/>
          <w:marRight w:val="-240"/>
          <w:marTop w:val="0"/>
          <w:marBottom w:val="0"/>
          <w:divBdr>
            <w:top w:val="none" w:sz="0" w:space="0" w:color="auto"/>
            <w:left w:val="none" w:sz="0" w:space="0" w:color="auto"/>
            <w:bottom w:val="none" w:sz="0" w:space="0" w:color="auto"/>
            <w:right w:val="none" w:sz="0" w:space="0" w:color="auto"/>
          </w:divBdr>
          <w:divsChild>
            <w:div w:id="718358044">
              <w:marLeft w:val="0"/>
              <w:marRight w:val="0"/>
              <w:marTop w:val="0"/>
              <w:marBottom w:val="0"/>
              <w:divBdr>
                <w:top w:val="none" w:sz="0" w:space="0" w:color="auto"/>
                <w:left w:val="none" w:sz="0" w:space="0" w:color="auto"/>
                <w:bottom w:val="none" w:sz="0" w:space="0" w:color="auto"/>
                <w:right w:val="none" w:sz="0" w:space="0" w:color="auto"/>
              </w:divBdr>
              <w:divsChild>
                <w:div w:id="1221940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4226655">
      <w:bodyDiv w:val="1"/>
      <w:marLeft w:val="0"/>
      <w:marRight w:val="0"/>
      <w:marTop w:val="0"/>
      <w:marBottom w:val="0"/>
      <w:divBdr>
        <w:top w:val="none" w:sz="0" w:space="0" w:color="auto"/>
        <w:left w:val="none" w:sz="0" w:space="0" w:color="auto"/>
        <w:bottom w:val="none" w:sz="0" w:space="0" w:color="auto"/>
        <w:right w:val="none" w:sz="0" w:space="0" w:color="auto"/>
      </w:divBdr>
      <w:divsChild>
        <w:div w:id="720206407">
          <w:marLeft w:val="-240"/>
          <w:marRight w:val="-240"/>
          <w:marTop w:val="0"/>
          <w:marBottom w:val="0"/>
          <w:divBdr>
            <w:top w:val="none" w:sz="0" w:space="0" w:color="auto"/>
            <w:left w:val="none" w:sz="0" w:space="0" w:color="auto"/>
            <w:bottom w:val="none" w:sz="0" w:space="0" w:color="auto"/>
            <w:right w:val="none" w:sz="0" w:space="0" w:color="auto"/>
          </w:divBdr>
          <w:divsChild>
            <w:div w:id="1860846604">
              <w:marLeft w:val="0"/>
              <w:marRight w:val="0"/>
              <w:marTop w:val="0"/>
              <w:marBottom w:val="0"/>
              <w:divBdr>
                <w:top w:val="none" w:sz="0" w:space="0" w:color="auto"/>
                <w:left w:val="none" w:sz="0" w:space="0" w:color="auto"/>
                <w:bottom w:val="none" w:sz="0" w:space="0" w:color="auto"/>
                <w:right w:val="none" w:sz="0" w:space="0" w:color="auto"/>
              </w:divBdr>
              <w:divsChild>
                <w:div w:id="2039893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6387444">
      <w:bodyDiv w:val="1"/>
      <w:marLeft w:val="0"/>
      <w:marRight w:val="0"/>
      <w:marTop w:val="0"/>
      <w:marBottom w:val="0"/>
      <w:divBdr>
        <w:top w:val="none" w:sz="0" w:space="0" w:color="auto"/>
        <w:left w:val="none" w:sz="0" w:space="0" w:color="auto"/>
        <w:bottom w:val="none" w:sz="0" w:space="0" w:color="auto"/>
        <w:right w:val="none" w:sz="0" w:space="0" w:color="auto"/>
      </w:divBdr>
      <w:divsChild>
        <w:div w:id="408045477">
          <w:marLeft w:val="-240"/>
          <w:marRight w:val="-240"/>
          <w:marTop w:val="0"/>
          <w:marBottom w:val="0"/>
          <w:divBdr>
            <w:top w:val="none" w:sz="0" w:space="0" w:color="auto"/>
            <w:left w:val="none" w:sz="0" w:space="0" w:color="auto"/>
            <w:bottom w:val="none" w:sz="0" w:space="0" w:color="auto"/>
            <w:right w:val="none" w:sz="0" w:space="0" w:color="auto"/>
          </w:divBdr>
          <w:divsChild>
            <w:div w:id="1040401336">
              <w:marLeft w:val="0"/>
              <w:marRight w:val="0"/>
              <w:marTop w:val="0"/>
              <w:marBottom w:val="0"/>
              <w:divBdr>
                <w:top w:val="none" w:sz="0" w:space="0" w:color="auto"/>
                <w:left w:val="none" w:sz="0" w:space="0" w:color="auto"/>
                <w:bottom w:val="none" w:sz="0" w:space="0" w:color="auto"/>
                <w:right w:val="none" w:sz="0" w:space="0" w:color="auto"/>
              </w:divBdr>
              <w:divsChild>
                <w:div w:id="1382055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093254">
      <w:bodyDiv w:val="1"/>
      <w:marLeft w:val="0"/>
      <w:marRight w:val="0"/>
      <w:marTop w:val="0"/>
      <w:marBottom w:val="0"/>
      <w:divBdr>
        <w:top w:val="none" w:sz="0" w:space="0" w:color="auto"/>
        <w:left w:val="none" w:sz="0" w:space="0" w:color="auto"/>
        <w:bottom w:val="none" w:sz="0" w:space="0" w:color="auto"/>
        <w:right w:val="none" w:sz="0" w:space="0" w:color="auto"/>
      </w:divBdr>
      <w:divsChild>
        <w:div w:id="1824158832">
          <w:marLeft w:val="-240"/>
          <w:marRight w:val="-240"/>
          <w:marTop w:val="0"/>
          <w:marBottom w:val="0"/>
          <w:divBdr>
            <w:top w:val="none" w:sz="0" w:space="0" w:color="auto"/>
            <w:left w:val="none" w:sz="0" w:space="0" w:color="auto"/>
            <w:bottom w:val="none" w:sz="0" w:space="0" w:color="auto"/>
            <w:right w:val="none" w:sz="0" w:space="0" w:color="auto"/>
          </w:divBdr>
          <w:divsChild>
            <w:div w:id="1815632915">
              <w:marLeft w:val="0"/>
              <w:marRight w:val="0"/>
              <w:marTop w:val="0"/>
              <w:marBottom w:val="0"/>
              <w:divBdr>
                <w:top w:val="none" w:sz="0" w:space="0" w:color="auto"/>
                <w:left w:val="none" w:sz="0" w:space="0" w:color="auto"/>
                <w:bottom w:val="none" w:sz="0" w:space="0" w:color="auto"/>
                <w:right w:val="none" w:sz="0" w:space="0" w:color="auto"/>
              </w:divBdr>
              <w:divsChild>
                <w:div w:id="1696537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279762">
      <w:bodyDiv w:val="1"/>
      <w:marLeft w:val="0"/>
      <w:marRight w:val="0"/>
      <w:marTop w:val="0"/>
      <w:marBottom w:val="0"/>
      <w:divBdr>
        <w:top w:val="none" w:sz="0" w:space="0" w:color="auto"/>
        <w:left w:val="none" w:sz="0" w:space="0" w:color="auto"/>
        <w:bottom w:val="none" w:sz="0" w:space="0" w:color="auto"/>
        <w:right w:val="none" w:sz="0" w:space="0" w:color="auto"/>
      </w:divBdr>
    </w:div>
    <w:div w:id="526068561">
      <w:bodyDiv w:val="1"/>
      <w:marLeft w:val="0"/>
      <w:marRight w:val="0"/>
      <w:marTop w:val="0"/>
      <w:marBottom w:val="0"/>
      <w:divBdr>
        <w:top w:val="none" w:sz="0" w:space="0" w:color="auto"/>
        <w:left w:val="none" w:sz="0" w:space="0" w:color="auto"/>
        <w:bottom w:val="none" w:sz="0" w:space="0" w:color="auto"/>
        <w:right w:val="none" w:sz="0" w:space="0" w:color="auto"/>
      </w:divBdr>
      <w:divsChild>
        <w:div w:id="864560">
          <w:marLeft w:val="-240"/>
          <w:marRight w:val="-240"/>
          <w:marTop w:val="0"/>
          <w:marBottom w:val="0"/>
          <w:divBdr>
            <w:top w:val="none" w:sz="0" w:space="0" w:color="auto"/>
            <w:left w:val="none" w:sz="0" w:space="0" w:color="auto"/>
            <w:bottom w:val="none" w:sz="0" w:space="0" w:color="auto"/>
            <w:right w:val="none" w:sz="0" w:space="0" w:color="auto"/>
          </w:divBdr>
          <w:divsChild>
            <w:div w:id="1750424679">
              <w:marLeft w:val="0"/>
              <w:marRight w:val="0"/>
              <w:marTop w:val="0"/>
              <w:marBottom w:val="0"/>
              <w:divBdr>
                <w:top w:val="none" w:sz="0" w:space="0" w:color="auto"/>
                <w:left w:val="none" w:sz="0" w:space="0" w:color="auto"/>
                <w:bottom w:val="none" w:sz="0" w:space="0" w:color="auto"/>
                <w:right w:val="none" w:sz="0" w:space="0" w:color="auto"/>
              </w:divBdr>
              <w:divsChild>
                <w:div w:id="830755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084537">
      <w:bodyDiv w:val="1"/>
      <w:marLeft w:val="0"/>
      <w:marRight w:val="0"/>
      <w:marTop w:val="0"/>
      <w:marBottom w:val="0"/>
      <w:divBdr>
        <w:top w:val="none" w:sz="0" w:space="0" w:color="auto"/>
        <w:left w:val="none" w:sz="0" w:space="0" w:color="auto"/>
        <w:bottom w:val="none" w:sz="0" w:space="0" w:color="auto"/>
        <w:right w:val="none" w:sz="0" w:space="0" w:color="auto"/>
      </w:divBdr>
      <w:divsChild>
        <w:div w:id="1551728556">
          <w:marLeft w:val="-240"/>
          <w:marRight w:val="-240"/>
          <w:marTop w:val="0"/>
          <w:marBottom w:val="0"/>
          <w:divBdr>
            <w:top w:val="none" w:sz="0" w:space="0" w:color="auto"/>
            <w:left w:val="none" w:sz="0" w:space="0" w:color="auto"/>
            <w:bottom w:val="none" w:sz="0" w:space="0" w:color="auto"/>
            <w:right w:val="none" w:sz="0" w:space="0" w:color="auto"/>
          </w:divBdr>
          <w:divsChild>
            <w:div w:id="2086301489">
              <w:marLeft w:val="0"/>
              <w:marRight w:val="0"/>
              <w:marTop w:val="0"/>
              <w:marBottom w:val="0"/>
              <w:divBdr>
                <w:top w:val="none" w:sz="0" w:space="0" w:color="auto"/>
                <w:left w:val="none" w:sz="0" w:space="0" w:color="auto"/>
                <w:bottom w:val="none" w:sz="0" w:space="0" w:color="auto"/>
                <w:right w:val="none" w:sz="0" w:space="0" w:color="auto"/>
              </w:divBdr>
              <w:divsChild>
                <w:div w:id="118432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827010">
      <w:bodyDiv w:val="1"/>
      <w:marLeft w:val="0"/>
      <w:marRight w:val="0"/>
      <w:marTop w:val="0"/>
      <w:marBottom w:val="0"/>
      <w:divBdr>
        <w:top w:val="none" w:sz="0" w:space="0" w:color="auto"/>
        <w:left w:val="none" w:sz="0" w:space="0" w:color="auto"/>
        <w:bottom w:val="none" w:sz="0" w:space="0" w:color="auto"/>
        <w:right w:val="none" w:sz="0" w:space="0" w:color="auto"/>
      </w:divBdr>
    </w:div>
    <w:div w:id="547373010">
      <w:bodyDiv w:val="1"/>
      <w:marLeft w:val="0"/>
      <w:marRight w:val="0"/>
      <w:marTop w:val="0"/>
      <w:marBottom w:val="0"/>
      <w:divBdr>
        <w:top w:val="none" w:sz="0" w:space="0" w:color="auto"/>
        <w:left w:val="none" w:sz="0" w:space="0" w:color="auto"/>
        <w:bottom w:val="none" w:sz="0" w:space="0" w:color="auto"/>
        <w:right w:val="none" w:sz="0" w:space="0" w:color="auto"/>
      </w:divBdr>
      <w:divsChild>
        <w:div w:id="43212684">
          <w:marLeft w:val="-240"/>
          <w:marRight w:val="-240"/>
          <w:marTop w:val="0"/>
          <w:marBottom w:val="0"/>
          <w:divBdr>
            <w:top w:val="none" w:sz="0" w:space="0" w:color="auto"/>
            <w:left w:val="none" w:sz="0" w:space="0" w:color="auto"/>
            <w:bottom w:val="none" w:sz="0" w:space="0" w:color="auto"/>
            <w:right w:val="none" w:sz="0" w:space="0" w:color="auto"/>
          </w:divBdr>
          <w:divsChild>
            <w:div w:id="410781356">
              <w:marLeft w:val="0"/>
              <w:marRight w:val="0"/>
              <w:marTop w:val="0"/>
              <w:marBottom w:val="0"/>
              <w:divBdr>
                <w:top w:val="none" w:sz="0" w:space="0" w:color="auto"/>
                <w:left w:val="none" w:sz="0" w:space="0" w:color="auto"/>
                <w:bottom w:val="none" w:sz="0" w:space="0" w:color="auto"/>
                <w:right w:val="none" w:sz="0" w:space="0" w:color="auto"/>
              </w:divBdr>
              <w:divsChild>
                <w:div w:id="499395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034700">
      <w:bodyDiv w:val="1"/>
      <w:marLeft w:val="0"/>
      <w:marRight w:val="0"/>
      <w:marTop w:val="0"/>
      <w:marBottom w:val="0"/>
      <w:divBdr>
        <w:top w:val="none" w:sz="0" w:space="0" w:color="auto"/>
        <w:left w:val="none" w:sz="0" w:space="0" w:color="auto"/>
        <w:bottom w:val="none" w:sz="0" w:space="0" w:color="auto"/>
        <w:right w:val="none" w:sz="0" w:space="0" w:color="auto"/>
      </w:divBdr>
      <w:divsChild>
        <w:div w:id="420569873">
          <w:marLeft w:val="-240"/>
          <w:marRight w:val="-240"/>
          <w:marTop w:val="0"/>
          <w:marBottom w:val="0"/>
          <w:divBdr>
            <w:top w:val="none" w:sz="0" w:space="0" w:color="auto"/>
            <w:left w:val="none" w:sz="0" w:space="0" w:color="auto"/>
            <w:bottom w:val="none" w:sz="0" w:space="0" w:color="auto"/>
            <w:right w:val="none" w:sz="0" w:space="0" w:color="auto"/>
          </w:divBdr>
          <w:divsChild>
            <w:div w:id="1533574417">
              <w:marLeft w:val="0"/>
              <w:marRight w:val="0"/>
              <w:marTop w:val="0"/>
              <w:marBottom w:val="0"/>
              <w:divBdr>
                <w:top w:val="none" w:sz="0" w:space="0" w:color="auto"/>
                <w:left w:val="none" w:sz="0" w:space="0" w:color="auto"/>
                <w:bottom w:val="none" w:sz="0" w:space="0" w:color="auto"/>
                <w:right w:val="none" w:sz="0" w:space="0" w:color="auto"/>
              </w:divBdr>
              <w:divsChild>
                <w:div w:id="340082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593939">
      <w:bodyDiv w:val="1"/>
      <w:marLeft w:val="0"/>
      <w:marRight w:val="0"/>
      <w:marTop w:val="0"/>
      <w:marBottom w:val="0"/>
      <w:divBdr>
        <w:top w:val="none" w:sz="0" w:space="0" w:color="auto"/>
        <w:left w:val="none" w:sz="0" w:space="0" w:color="auto"/>
        <w:bottom w:val="none" w:sz="0" w:space="0" w:color="auto"/>
        <w:right w:val="none" w:sz="0" w:space="0" w:color="auto"/>
      </w:divBdr>
    </w:div>
    <w:div w:id="569072092">
      <w:bodyDiv w:val="1"/>
      <w:marLeft w:val="0"/>
      <w:marRight w:val="0"/>
      <w:marTop w:val="0"/>
      <w:marBottom w:val="0"/>
      <w:divBdr>
        <w:top w:val="none" w:sz="0" w:space="0" w:color="auto"/>
        <w:left w:val="none" w:sz="0" w:space="0" w:color="auto"/>
        <w:bottom w:val="none" w:sz="0" w:space="0" w:color="auto"/>
        <w:right w:val="none" w:sz="0" w:space="0" w:color="auto"/>
      </w:divBdr>
      <w:divsChild>
        <w:div w:id="231086800">
          <w:marLeft w:val="-240"/>
          <w:marRight w:val="-240"/>
          <w:marTop w:val="0"/>
          <w:marBottom w:val="0"/>
          <w:divBdr>
            <w:top w:val="none" w:sz="0" w:space="0" w:color="auto"/>
            <w:left w:val="none" w:sz="0" w:space="0" w:color="auto"/>
            <w:bottom w:val="none" w:sz="0" w:space="0" w:color="auto"/>
            <w:right w:val="none" w:sz="0" w:space="0" w:color="auto"/>
          </w:divBdr>
          <w:divsChild>
            <w:div w:id="1093433790">
              <w:marLeft w:val="0"/>
              <w:marRight w:val="0"/>
              <w:marTop w:val="0"/>
              <w:marBottom w:val="0"/>
              <w:divBdr>
                <w:top w:val="none" w:sz="0" w:space="0" w:color="auto"/>
                <w:left w:val="none" w:sz="0" w:space="0" w:color="auto"/>
                <w:bottom w:val="none" w:sz="0" w:space="0" w:color="auto"/>
                <w:right w:val="none" w:sz="0" w:space="0" w:color="auto"/>
              </w:divBdr>
              <w:divsChild>
                <w:div w:id="147201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895951">
      <w:bodyDiv w:val="1"/>
      <w:marLeft w:val="0"/>
      <w:marRight w:val="0"/>
      <w:marTop w:val="0"/>
      <w:marBottom w:val="0"/>
      <w:divBdr>
        <w:top w:val="none" w:sz="0" w:space="0" w:color="auto"/>
        <w:left w:val="none" w:sz="0" w:space="0" w:color="auto"/>
        <w:bottom w:val="none" w:sz="0" w:space="0" w:color="auto"/>
        <w:right w:val="none" w:sz="0" w:space="0" w:color="auto"/>
      </w:divBdr>
      <w:divsChild>
        <w:div w:id="1597059450">
          <w:marLeft w:val="-240"/>
          <w:marRight w:val="-240"/>
          <w:marTop w:val="0"/>
          <w:marBottom w:val="0"/>
          <w:divBdr>
            <w:top w:val="none" w:sz="0" w:space="0" w:color="auto"/>
            <w:left w:val="none" w:sz="0" w:space="0" w:color="auto"/>
            <w:bottom w:val="none" w:sz="0" w:space="0" w:color="auto"/>
            <w:right w:val="none" w:sz="0" w:space="0" w:color="auto"/>
          </w:divBdr>
          <w:divsChild>
            <w:div w:id="1335916908">
              <w:marLeft w:val="0"/>
              <w:marRight w:val="0"/>
              <w:marTop w:val="0"/>
              <w:marBottom w:val="0"/>
              <w:divBdr>
                <w:top w:val="none" w:sz="0" w:space="0" w:color="auto"/>
                <w:left w:val="none" w:sz="0" w:space="0" w:color="auto"/>
                <w:bottom w:val="none" w:sz="0" w:space="0" w:color="auto"/>
                <w:right w:val="none" w:sz="0" w:space="0" w:color="auto"/>
              </w:divBdr>
              <w:divsChild>
                <w:div w:id="251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564695">
      <w:bodyDiv w:val="1"/>
      <w:marLeft w:val="0"/>
      <w:marRight w:val="0"/>
      <w:marTop w:val="0"/>
      <w:marBottom w:val="0"/>
      <w:divBdr>
        <w:top w:val="none" w:sz="0" w:space="0" w:color="auto"/>
        <w:left w:val="none" w:sz="0" w:space="0" w:color="auto"/>
        <w:bottom w:val="none" w:sz="0" w:space="0" w:color="auto"/>
        <w:right w:val="none" w:sz="0" w:space="0" w:color="auto"/>
      </w:divBdr>
      <w:divsChild>
        <w:div w:id="1455369910">
          <w:marLeft w:val="-240"/>
          <w:marRight w:val="-240"/>
          <w:marTop w:val="0"/>
          <w:marBottom w:val="0"/>
          <w:divBdr>
            <w:top w:val="none" w:sz="0" w:space="0" w:color="auto"/>
            <w:left w:val="none" w:sz="0" w:space="0" w:color="auto"/>
            <w:bottom w:val="none" w:sz="0" w:space="0" w:color="auto"/>
            <w:right w:val="none" w:sz="0" w:space="0" w:color="auto"/>
          </w:divBdr>
          <w:divsChild>
            <w:div w:id="986517934">
              <w:marLeft w:val="0"/>
              <w:marRight w:val="0"/>
              <w:marTop w:val="0"/>
              <w:marBottom w:val="0"/>
              <w:divBdr>
                <w:top w:val="none" w:sz="0" w:space="0" w:color="auto"/>
                <w:left w:val="none" w:sz="0" w:space="0" w:color="auto"/>
                <w:bottom w:val="none" w:sz="0" w:space="0" w:color="auto"/>
                <w:right w:val="none" w:sz="0" w:space="0" w:color="auto"/>
              </w:divBdr>
              <w:divsChild>
                <w:div w:id="110719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525912">
      <w:bodyDiv w:val="1"/>
      <w:marLeft w:val="0"/>
      <w:marRight w:val="0"/>
      <w:marTop w:val="0"/>
      <w:marBottom w:val="0"/>
      <w:divBdr>
        <w:top w:val="none" w:sz="0" w:space="0" w:color="auto"/>
        <w:left w:val="none" w:sz="0" w:space="0" w:color="auto"/>
        <w:bottom w:val="none" w:sz="0" w:space="0" w:color="auto"/>
        <w:right w:val="none" w:sz="0" w:space="0" w:color="auto"/>
      </w:divBdr>
      <w:divsChild>
        <w:div w:id="2143231119">
          <w:marLeft w:val="-240"/>
          <w:marRight w:val="-240"/>
          <w:marTop w:val="0"/>
          <w:marBottom w:val="0"/>
          <w:divBdr>
            <w:top w:val="none" w:sz="0" w:space="0" w:color="auto"/>
            <w:left w:val="none" w:sz="0" w:space="0" w:color="auto"/>
            <w:bottom w:val="none" w:sz="0" w:space="0" w:color="auto"/>
            <w:right w:val="none" w:sz="0" w:space="0" w:color="auto"/>
          </w:divBdr>
          <w:divsChild>
            <w:div w:id="172309294">
              <w:marLeft w:val="0"/>
              <w:marRight w:val="0"/>
              <w:marTop w:val="0"/>
              <w:marBottom w:val="0"/>
              <w:divBdr>
                <w:top w:val="none" w:sz="0" w:space="0" w:color="auto"/>
                <w:left w:val="none" w:sz="0" w:space="0" w:color="auto"/>
                <w:bottom w:val="none" w:sz="0" w:space="0" w:color="auto"/>
                <w:right w:val="none" w:sz="0" w:space="0" w:color="auto"/>
              </w:divBdr>
              <w:divsChild>
                <w:div w:id="212221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976706">
      <w:bodyDiv w:val="1"/>
      <w:marLeft w:val="0"/>
      <w:marRight w:val="0"/>
      <w:marTop w:val="0"/>
      <w:marBottom w:val="0"/>
      <w:divBdr>
        <w:top w:val="none" w:sz="0" w:space="0" w:color="auto"/>
        <w:left w:val="none" w:sz="0" w:space="0" w:color="auto"/>
        <w:bottom w:val="none" w:sz="0" w:space="0" w:color="auto"/>
        <w:right w:val="none" w:sz="0" w:space="0" w:color="auto"/>
      </w:divBdr>
    </w:div>
    <w:div w:id="595748921">
      <w:bodyDiv w:val="1"/>
      <w:marLeft w:val="0"/>
      <w:marRight w:val="0"/>
      <w:marTop w:val="0"/>
      <w:marBottom w:val="0"/>
      <w:divBdr>
        <w:top w:val="none" w:sz="0" w:space="0" w:color="auto"/>
        <w:left w:val="none" w:sz="0" w:space="0" w:color="auto"/>
        <w:bottom w:val="none" w:sz="0" w:space="0" w:color="auto"/>
        <w:right w:val="none" w:sz="0" w:space="0" w:color="auto"/>
      </w:divBdr>
      <w:divsChild>
        <w:div w:id="555119221">
          <w:marLeft w:val="-240"/>
          <w:marRight w:val="-240"/>
          <w:marTop w:val="0"/>
          <w:marBottom w:val="0"/>
          <w:divBdr>
            <w:top w:val="none" w:sz="0" w:space="0" w:color="auto"/>
            <w:left w:val="none" w:sz="0" w:space="0" w:color="auto"/>
            <w:bottom w:val="none" w:sz="0" w:space="0" w:color="auto"/>
            <w:right w:val="none" w:sz="0" w:space="0" w:color="auto"/>
          </w:divBdr>
          <w:divsChild>
            <w:div w:id="1330281945">
              <w:marLeft w:val="0"/>
              <w:marRight w:val="0"/>
              <w:marTop w:val="0"/>
              <w:marBottom w:val="0"/>
              <w:divBdr>
                <w:top w:val="none" w:sz="0" w:space="0" w:color="auto"/>
                <w:left w:val="none" w:sz="0" w:space="0" w:color="auto"/>
                <w:bottom w:val="none" w:sz="0" w:space="0" w:color="auto"/>
                <w:right w:val="none" w:sz="0" w:space="0" w:color="auto"/>
              </w:divBdr>
              <w:divsChild>
                <w:div w:id="252279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106201">
      <w:bodyDiv w:val="1"/>
      <w:marLeft w:val="0"/>
      <w:marRight w:val="0"/>
      <w:marTop w:val="0"/>
      <w:marBottom w:val="0"/>
      <w:divBdr>
        <w:top w:val="none" w:sz="0" w:space="0" w:color="auto"/>
        <w:left w:val="none" w:sz="0" w:space="0" w:color="auto"/>
        <w:bottom w:val="none" w:sz="0" w:space="0" w:color="auto"/>
        <w:right w:val="none" w:sz="0" w:space="0" w:color="auto"/>
      </w:divBdr>
      <w:divsChild>
        <w:div w:id="935016436">
          <w:marLeft w:val="-240"/>
          <w:marRight w:val="-240"/>
          <w:marTop w:val="0"/>
          <w:marBottom w:val="0"/>
          <w:divBdr>
            <w:top w:val="none" w:sz="0" w:space="0" w:color="auto"/>
            <w:left w:val="none" w:sz="0" w:space="0" w:color="auto"/>
            <w:bottom w:val="none" w:sz="0" w:space="0" w:color="auto"/>
            <w:right w:val="none" w:sz="0" w:space="0" w:color="auto"/>
          </w:divBdr>
          <w:divsChild>
            <w:div w:id="577445775">
              <w:marLeft w:val="0"/>
              <w:marRight w:val="0"/>
              <w:marTop w:val="0"/>
              <w:marBottom w:val="0"/>
              <w:divBdr>
                <w:top w:val="none" w:sz="0" w:space="0" w:color="auto"/>
                <w:left w:val="none" w:sz="0" w:space="0" w:color="auto"/>
                <w:bottom w:val="none" w:sz="0" w:space="0" w:color="auto"/>
                <w:right w:val="none" w:sz="0" w:space="0" w:color="auto"/>
              </w:divBdr>
              <w:divsChild>
                <w:div w:id="991639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724581">
      <w:bodyDiv w:val="1"/>
      <w:marLeft w:val="0"/>
      <w:marRight w:val="0"/>
      <w:marTop w:val="0"/>
      <w:marBottom w:val="0"/>
      <w:divBdr>
        <w:top w:val="none" w:sz="0" w:space="0" w:color="auto"/>
        <w:left w:val="none" w:sz="0" w:space="0" w:color="auto"/>
        <w:bottom w:val="none" w:sz="0" w:space="0" w:color="auto"/>
        <w:right w:val="none" w:sz="0" w:space="0" w:color="auto"/>
      </w:divBdr>
      <w:divsChild>
        <w:div w:id="1964071560">
          <w:marLeft w:val="-240"/>
          <w:marRight w:val="-240"/>
          <w:marTop w:val="0"/>
          <w:marBottom w:val="0"/>
          <w:divBdr>
            <w:top w:val="none" w:sz="0" w:space="0" w:color="auto"/>
            <w:left w:val="none" w:sz="0" w:space="0" w:color="auto"/>
            <w:bottom w:val="none" w:sz="0" w:space="0" w:color="auto"/>
            <w:right w:val="none" w:sz="0" w:space="0" w:color="auto"/>
          </w:divBdr>
          <w:divsChild>
            <w:div w:id="170068058">
              <w:marLeft w:val="0"/>
              <w:marRight w:val="0"/>
              <w:marTop w:val="0"/>
              <w:marBottom w:val="0"/>
              <w:divBdr>
                <w:top w:val="none" w:sz="0" w:space="0" w:color="auto"/>
                <w:left w:val="none" w:sz="0" w:space="0" w:color="auto"/>
                <w:bottom w:val="none" w:sz="0" w:space="0" w:color="auto"/>
                <w:right w:val="none" w:sz="0" w:space="0" w:color="auto"/>
              </w:divBdr>
              <w:divsChild>
                <w:div w:id="143663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378907">
      <w:bodyDiv w:val="1"/>
      <w:marLeft w:val="0"/>
      <w:marRight w:val="0"/>
      <w:marTop w:val="0"/>
      <w:marBottom w:val="0"/>
      <w:divBdr>
        <w:top w:val="none" w:sz="0" w:space="0" w:color="auto"/>
        <w:left w:val="none" w:sz="0" w:space="0" w:color="auto"/>
        <w:bottom w:val="none" w:sz="0" w:space="0" w:color="auto"/>
        <w:right w:val="none" w:sz="0" w:space="0" w:color="auto"/>
      </w:divBdr>
      <w:divsChild>
        <w:div w:id="219481379">
          <w:marLeft w:val="-240"/>
          <w:marRight w:val="-240"/>
          <w:marTop w:val="0"/>
          <w:marBottom w:val="0"/>
          <w:divBdr>
            <w:top w:val="none" w:sz="0" w:space="0" w:color="auto"/>
            <w:left w:val="none" w:sz="0" w:space="0" w:color="auto"/>
            <w:bottom w:val="none" w:sz="0" w:space="0" w:color="auto"/>
            <w:right w:val="none" w:sz="0" w:space="0" w:color="auto"/>
          </w:divBdr>
          <w:divsChild>
            <w:div w:id="1134642545">
              <w:marLeft w:val="0"/>
              <w:marRight w:val="0"/>
              <w:marTop w:val="0"/>
              <w:marBottom w:val="0"/>
              <w:divBdr>
                <w:top w:val="none" w:sz="0" w:space="0" w:color="auto"/>
                <w:left w:val="none" w:sz="0" w:space="0" w:color="auto"/>
                <w:bottom w:val="none" w:sz="0" w:space="0" w:color="auto"/>
                <w:right w:val="none" w:sz="0" w:space="0" w:color="auto"/>
              </w:divBdr>
              <w:divsChild>
                <w:div w:id="112731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922676">
      <w:bodyDiv w:val="1"/>
      <w:marLeft w:val="0"/>
      <w:marRight w:val="0"/>
      <w:marTop w:val="0"/>
      <w:marBottom w:val="0"/>
      <w:divBdr>
        <w:top w:val="none" w:sz="0" w:space="0" w:color="auto"/>
        <w:left w:val="none" w:sz="0" w:space="0" w:color="auto"/>
        <w:bottom w:val="none" w:sz="0" w:space="0" w:color="auto"/>
        <w:right w:val="none" w:sz="0" w:space="0" w:color="auto"/>
      </w:divBdr>
      <w:divsChild>
        <w:div w:id="757141799">
          <w:marLeft w:val="-240"/>
          <w:marRight w:val="-240"/>
          <w:marTop w:val="0"/>
          <w:marBottom w:val="0"/>
          <w:divBdr>
            <w:top w:val="none" w:sz="0" w:space="0" w:color="auto"/>
            <w:left w:val="none" w:sz="0" w:space="0" w:color="auto"/>
            <w:bottom w:val="none" w:sz="0" w:space="0" w:color="auto"/>
            <w:right w:val="none" w:sz="0" w:space="0" w:color="auto"/>
          </w:divBdr>
          <w:divsChild>
            <w:div w:id="1603955454">
              <w:marLeft w:val="0"/>
              <w:marRight w:val="0"/>
              <w:marTop w:val="0"/>
              <w:marBottom w:val="0"/>
              <w:divBdr>
                <w:top w:val="none" w:sz="0" w:space="0" w:color="auto"/>
                <w:left w:val="none" w:sz="0" w:space="0" w:color="auto"/>
                <w:bottom w:val="none" w:sz="0" w:space="0" w:color="auto"/>
                <w:right w:val="none" w:sz="0" w:space="0" w:color="auto"/>
              </w:divBdr>
              <w:divsChild>
                <w:div w:id="1914006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237199">
      <w:bodyDiv w:val="1"/>
      <w:marLeft w:val="0"/>
      <w:marRight w:val="0"/>
      <w:marTop w:val="0"/>
      <w:marBottom w:val="0"/>
      <w:divBdr>
        <w:top w:val="none" w:sz="0" w:space="0" w:color="auto"/>
        <w:left w:val="none" w:sz="0" w:space="0" w:color="auto"/>
        <w:bottom w:val="none" w:sz="0" w:space="0" w:color="auto"/>
        <w:right w:val="none" w:sz="0" w:space="0" w:color="auto"/>
      </w:divBdr>
      <w:divsChild>
        <w:div w:id="1789658210">
          <w:marLeft w:val="-240"/>
          <w:marRight w:val="-240"/>
          <w:marTop w:val="0"/>
          <w:marBottom w:val="0"/>
          <w:divBdr>
            <w:top w:val="none" w:sz="0" w:space="0" w:color="auto"/>
            <w:left w:val="none" w:sz="0" w:space="0" w:color="auto"/>
            <w:bottom w:val="none" w:sz="0" w:space="0" w:color="auto"/>
            <w:right w:val="none" w:sz="0" w:space="0" w:color="auto"/>
          </w:divBdr>
          <w:divsChild>
            <w:div w:id="175390737">
              <w:marLeft w:val="0"/>
              <w:marRight w:val="0"/>
              <w:marTop w:val="0"/>
              <w:marBottom w:val="0"/>
              <w:divBdr>
                <w:top w:val="none" w:sz="0" w:space="0" w:color="auto"/>
                <w:left w:val="none" w:sz="0" w:space="0" w:color="auto"/>
                <w:bottom w:val="none" w:sz="0" w:space="0" w:color="auto"/>
                <w:right w:val="none" w:sz="0" w:space="0" w:color="auto"/>
              </w:divBdr>
              <w:divsChild>
                <w:div w:id="60785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309312">
      <w:bodyDiv w:val="1"/>
      <w:marLeft w:val="0"/>
      <w:marRight w:val="0"/>
      <w:marTop w:val="0"/>
      <w:marBottom w:val="0"/>
      <w:divBdr>
        <w:top w:val="none" w:sz="0" w:space="0" w:color="auto"/>
        <w:left w:val="none" w:sz="0" w:space="0" w:color="auto"/>
        <w:bottom w:val="none" w:sz="0" w:space="0" w:color="auto"/>
        <w:right w:val="none" w:sz="0" w:space="0" w:color="auto"/>
      </w:divBdr>
    </w:div>
    <w:div w:id="606816951">
      <w:bodyDiv w:val="1"/>
      <w:marLeft w:val="0"/>
      <w:marRight w:val="0"/>
      <w:marTop w:val="0"/>
      <w:marBottom w:val="0"/>
      <w:divBdr>
        <w:top w:val="none" w:sz="0" w:space="0" w:color="auto"/>
        <w:left w:val="none" w:sz="0" w:space="0" w:color="auto"/>
        <w:bottom w:val="none" w:sz="0" w:space="0" w:color="auto"/>
        <w:right w:val="none" w:sz="0" w:space="0" w:color="auto"/>
      </w:divBdr>
      <w:divsChild>
        <w:div w:id="2141417150">
          <w:marLeft w:val="-240"/>
          <w:marRight w:val="-240"/>
          <w:marTop w:val="0"/>
          <w:marBottom w:val="0"/>
          <w:divBdr>
            <w:top w:val="none" w:sz="0" w:space="0" w:color="auto"/>
            <w:left w:val="none" w:sz="0" w:space="0" w:color="auto"/>
            <w:bottom w:val="none" w:sz="0" w:space="0" w:color="auto"/>
            <w:right w:val="none" w:sz="0" w:space="0" w:color="auto"/>
          </w:divBdr>
          <w:divsChild>
            <w:div w:id="1900704836">
              <w:marLeft w:val="0"/>
              <w:marRight w:val="0"/>
              <w:marTop w:val="0"/>
              <w:marBottom w:val="0"/>
              <w:divBdr>
                <w:top w:val="none" w:sz="0" w:space="0" w:color="auto"/>
                <w:left w:val="none" w:sz="0" w:space="0" w:color="auto"/>
                <w:bottom w:val="none" w:sz="0" w:space="0" w:color="auto"/>
                <w:right w:val="none" w:sz="0" w:space="0" w:color="auto"/>
              </w:divBdr>
              <w:divsChild>
                <w:div w:id="190790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497008">
      <w:bodyDiv w:val="1"/>
      <w:marLeft w:val="0"/>
      <w:marRight w:val="0"/>
      <w:marTop w:val="0"/>
      <w:marBottom w:val="0"/>
      <w:divBdr>
        <w:top w:val="none" w:sz="0" w:space="0" w:color="auto"/>
        <w:left w:val="none" w:sz="0" w:space="0" w:color="auto"/>
        <w:bottom w:val="none" w:sz="0" w:space="0" w:color="auto"/>
        <w:right w:val="none" w:sz="0" w:space="0" w:color="auto"/>
      </w:divBdr>
      <w:divsChild>
        <w:div w:id="1280186454">
          <w:marLeft w:val="-240"/>
          <w:marRight w:val="-240"/>
          <w:marTop w:val="0"/>
          <w:marBottom w:val="0"/>
          <w:divBdr>
            <w:top w:val="none" w:sz="0" w:space="0" w:color="auto"/>
            <w:left w:val="none" w:sz="0" w:space="0" w:color="auto"/>
            <w:bottom w:val="none" w:sz="0" w:space="0" w:color="auto"/>
            <w:right w:val="none" w:sz="0" w:space="0" w:color="auto"/>
          </w:divBdr>
          <w:divsChild>
            <w:div w:id="1341352195">
              <w:marLeft w:val="0"/>
              <w:marRight w:val="0"/>
              <w:marTop w:val="0"/>
              <w:marBottom w:val="0"/>
              <w:divBdr>
                <w:top w:val="none" w:sz="0" w:space="0" w:color="auto"/>
                <w:left w:val="none" w:sz="0" w:space="0" w:color="auto"/>
                <w:bottom w:val="none" w:sz="0" w:space="0" w:color="auto"/>
                <w:right w:val="none" w:sz="0" w:space="0" w:color="auto"/>
              </w:divBdr>
              <w:divsChild>
                <w:div w:id="121785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558861">
      <w:bodyDiv w:val="1"/>
      <w:marLeft w:val="0"/>
      <w:marRight w:val="0"/>
      <w:marTop w:val="0"/>
      <w:marBottom w:val="0"/>
      <w:divBdr>
        <w:top w:val="none" w:sz="0" w:space="0" w:color="auto"/>
        <w:left w:val="none" w:sz="0" w:space="0" w:color="auto"/>
        <w:bottom w:val="none" w:sz="0" w:space="0" w:color="auto"/>
        <w:right w:val="none" w:sz="0" w:space="0" w:color="auto"/>
      </w:divBdr>
      <w:divsChild>
        <w:div w:id="595140504">
          <w:marLeft w:val="-240"/>
          <w:marRight w:val="-240"/>
          <w:marTop w:val="0"/>
          <w:marBottom w:val="0"/>
          <w:divBdr>
            <w:top w:val="none" w:sz="0" w:space="0" w:color="auto"/>
            <w:left w:val="none" w:sz="0" w:space="0" w:color="auto"/>
            <w:bottom w:val="none" w:sz="0" w:space="0" w:color="auto"/>
            <w:right w:val="none" w:sz="0" w:space="0" w:color="auto"/>
          </w:divBdr>
          <w:divsChild>
            <w:div w:id="1265041769">
              <w:marLeft w:val="0"/>
              <w:marRight w:val="0"/>
              <w:marTop w:val="0"/>
              <w:marBottom w:val="0"/>
              <w:divBdr>
                <w:top w:val="none" w:sz="0" w:space="0" w:color="auto"/>
                <w:left w:val="none" w:sz="0" w:space="0" w:color="auto"/>
                <w:bottom w:val="none" w:sz="0" w:space="0" w:color="auto"/>
                <w:right w:val="none" w:sz="0" w:space="0" w:color="auto"/>
              </w:divBdr>
              <w:divsChild>
                <w:div w:id="1101336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872438">
      <w:bodyDiv w:val="1"/>
      <w:marLeft w:val="0"/>
      <w:marRight w:val="0"/>
      <w:marTop w:val="0"/>
      <w:marBottom w:val="0"/>
      <w:divBdr>
        <w:top w:val="none" w:sz="0" w:space="0" w:color="auto"/>
        <w:left w:val="none" w:sz="0" w:space="0" w:color="auto"/>
        <w:bottom w:val="none" w:sz="0" w:space="0" w:color="auto"/>
        <w:right w:val="none" w:sz="0" w:space="0" w:color="auto"/>
      </w:divBdr>
      <w:divsChild>
        <w:div w:id="1199051431">
          <w:marLeft w:val="-240"/>
          <w:marRight w:val="-240"/>
          <w:marTop w:val="0"/>
          <w:marBottom w:val="0"/>
          <w:divBdr>
            <w:top w:val="none" w:sz="0" w:space="0" w:color="auto"/>
            <w:left w:val="none" w:sz="0" w:space="0" w:color="auto"/>
            <w:bottom w:val="none" w:sz="0" w:space="0" w:color="auto"/>
            <w:right w:val="none" w:sz="0" w:space="0" w:color="auto"/>
          </w:divBdr>
          <w:divsChild>
            <w:div w:id="742415935">
              <w:marLeft w:val="0"/>
              <w:marRight w:val="0"/>
              <w:marTop w:val="0"/>
              <w:marBottom w:val="0"/>
              <w:divBdr>
                <w:top w:val="none" w:sz="0" w:space="0" w:color="auto"/>
                <w:left w:val="none" w:sz="0" w:space="0" w:color="auto"/>
                <w:bottom w:val="none" w:sz="0" w:space="0" w:color="auto"/>
                <w:right w:val="none" w:sz="0" w:space="0" w:color="auto"/>
              </w:divBdr>
              <w:divsChild>
                <w:div w:id="1183399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9358115">
      <w:bodyDiv w:val="1"/>
      <w:marLeft w:val="0"/>
      <w:marRight w:val="0"/>
      <w:marTop w:val="0"/>
      <w:marBottom w:val="0"/>
      <w:divBdr>
        <w:top w:val="none" w:sz="0" w:space="0" w:color="auto"/>
        <w:left w:val="none" w:sz="0" w:space="0" w:color="auto"/>
        <w:bottom w:val="none" w:sz="0" w:space="0" w:color="auto"/>
        <w:right w:val="none" w:sz="0" w:space="0" w:color="auto"/>
      </w:divBdr>
      <w:divsChild>
        <w:div w:id="396057818">
          <w:marLeft w:val="-240"/>
          <w:marRight w:val="-240"/>
          <w:marTop w:val="0"/>
          <w:marBottom w:val="0"/>
          <w:divBdr>
            <w:top w:val="none" w:sz="0" w:space="0" w:color="auto"/>
            <w:left w:val="none" w:sz="0" w:space="0" w:color="auto"/>
            <w:bottom w:val="none" w:sz="0" w:space="0" w:color="auto"/>
            <w:right w:val="none" w:sz="0" w:space="0" w:color="auto"/>
          </w:divBdr>
          <w:divsChild>
            <w:div w:id="1086996892">
              <w:marLeft w:val="0"/>
              <w:marRight w:val="0"/>
              <w:marTop w:val="0"/>
              <w:marBottom w:val="0"/>
              <w:divBdr>
                <w:top w:val="none" w:sz="0" w:space="0" w:color="auto"/>
                <w:left w:val="none" w:sz="0" w:space="0" w:color="auto"/>
                <w:bottom w:val="none" w:sz="0" w:space="0" w:color="auto"/>
                <w:right w:val="none" w:sz="0" w:space="0" w:color="auto"/>
              </w:divBdr>
              <w:divsChild>
                <w:div w:id="50424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702045">
      <w:bodyDiv w:val="1"/>
      <w:marLeft w:val="0"/>
      <w:marRight w:val="0"/>
      <w:marTop w:val="0"/>
      <w:marBottom w:val="0"/>
      <w:divBdr>
        <w:top w:val="none" w:sz="0" w:space="0" w:color="auto"/>
        <w:left w:val="none" w:sz="0" w:space="0" w:color="auto"/>
        <w:bottom w:val="none" w:sz="0" w:space="0" w:color="auto"/>
        <w:right w:val="none" w:sz="0" w:space="0" w:color="auto"/>
      </w:divBdr>
      <w:divsChild>
        <w:div w:id="2089569870">
          <w:marLeft w:val="-240"/>
          <w:marRight w:val="-240"/>
          <w:marTop w:val="0"/>
          <w:marBottom w:val="0"/>
          <w:divBdr>
            <w:top w:val="none" w:sz="0" w:space="0" w:color="auto"/>
            <w:left w:val="none" w:sz="0" w:space="0" w:color="auto"/>
            <w:bottom w:val="none" w:sz="0" w:space="0" w:color="auto"/>
            <w:right w:val="none" w:sz="0" w:space="0" w:color="auto"/>
          </w:divBdr>
          <w:divsChild>
            <w:div w:id="176307528">
              <w:marLeft w:val="0"/>
              <w:marRight w:val="0"/>
              <w:marTop w:val="0"/>
              <w:marBottom w:val="0"/>
              <w:divBdr>
                <w:top w:val="none" w:sz="0" w:space="0" w:color="auto"/>
                <w:left w:val="none" w:sz="0" w:space="0" w:color="auto"/>
                <w:bottom w:val="none" w:sz="0" w:space="0" w:color="auto"/>
                <w:right w:val="none" w:sz="0" w:space="0" w:color="auto"/>
              </w:divBdr>
              <w:divsChild>
                <w:div w:id="36694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798953">
      <w:bodyDiv w:val="1"/>
      <w:marLeft w:val="0"/>
      <w:marRight w:val="0"/>
      <w:marTop w:val="0"/>
      <w:marBottom w:val="0"/>
      <w:divBdr>
        <w:top w:val="none" w:sz="0" w:space="0" w:color="auto"/>
        <w:left w:val="none" w:sz="0" w:space="0" w:color="auto"/>
        <w:bottom w:val="none" w:sz="0" w:space="0" w:color="auto"/>
        <w:right w:val="none" w:sz="0" w:space="0" w:color="auto"/>
      </w:divBdr>
      <w:divsChild>
        <w:div w:id="1734279309">
          <w:marLeft w:val="-240"/>
          <w:marRight w:val="-240"/>
          <w:marTop w:val="0"/>
          <w:marBottom w:val="0"/>
          <w:divBdr>
            <w:top w:val="none" w:sz="0" w:space="0" w:color="auto"/>
            <w:left w:val="none" w:sz="0" w:space="0" w:color="auto"/>
            <w:bottom w:val="none" w:sz="0" w:space="0" w:color="auto"/>
            <w:right w:val="none" w:sz="0" w:space="0" w:color="auto"/>
          </w:divBdr>
          <w:divsChild>
            <w:div w:id="1084956180">
              <w:marLeft w:val="0"/>
              <w:marRight w:val="0"/>
              <w:marTop w:val="0"/>
              <w:marBottom w:val="0"/>
              <w:divBdr>
                <w:top w:val="none" w:sz="0" w:space="0" w:color="auto"/>
                <w:left w:val="none" w:sz="0" w:space="0" w:color="auto"/>
                <w:bottom w:val="none" w:sz="0" w:space="0" w:color="auto"/>
                <w:right w:val="none" w:sz="0" w:space="0" w:color="auto"/>
              </w:divBdr>
              <w:divsChild>
                <w:div w:id="75459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3114320">
      <w:bodyDiv w:val="1"/>
      <w:marLeft w:val="0"/>
      <w:marRight w:val="0"/>
      <w:marTop w:val="0"/>
      <w:marBottom w:val="0"/>
      <w:divBdr>
        <w:top w:val="none" w:sz="0" w:space="0" w:color="auto"/>
        <w:left w:val="none" w:sz="0" w:space="0" w:color="auto"/>
        <w:bottom w:val="none" w:sz="0" w:space="0" w:color="auto"/>
        <w:right w:val="none" w:sz="0" w:space="0" w:color="auto"/>
      </w:divBdr>
    </w:div>
    <w:div w:id="717629503">
      <w:bodyDiv w:val="1"/>
      <w:marLeft w:val="0"/>
      <w:marRight w:val="0"/>
      <w:marTop w:val="0"/>
      <w:marBottom w:val="0"/>
      <w:divBdr>
        <w:top w:val="none" w:sz="0" w:space="0" w:color="auto"/>
        <w:left w:val="none" w:sz="0" w:space="0" w:color="auto"/>
        <w:bottom w:val="none" w:sz="0" w:space="0" w:color="auto"/>
        <w:right w:val="none" w:sz="0" w:space="0" w:color="auto"/>
      </w:divBdr>
      <w:divsChild>
        <w:div w:id="1580091218">
          <w:marLeft w:val="-240"/>
          <w:marRight w:val="-240"/>
          <w:marTop w:val="0"/>
          <w:marBottom w:val="0"/>
          <w:divBdr>
            <w:top w:val="none" w:sz="0" w:space="0" w:color="auto"/>
            <w:left w:val="none" w:sz="0" w:space="0" w:color="auto"/>
            <w:bottom w:val="none" w:sz="0" w:space="0" w:color="auto"/>
            <w:right w:val="none" w:sz="0" w:space="0" w:color="auto"/>
          </w:divBdr>
          <w:divsChild>
            <w:div w:id="524711580">
              <w:marLeft w:val="0"/>
              <w:marRight w:val="0"/>
              <w:marTop w:val="0"/>
              <w:marBottom w:val="0"/>
              <w:divBdr>
                <w:top w:val="none" w:sz="0" w:space="0" w:color="auto"/>
                <w:left w:val="none" w:sz="0" w:space="0" w:color="auto"/>
                <w:bottom w:val="none" w:sz="0" w:space="0" w:color="auto"/>
                <w:right w:val="none" w:sz="0" w:space="0" w:color="auto"/>
              </w:divBdr>
              <w:divsChild>
                <w:div w:id="597832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321511">
      <w:bodyDiv w:val="1"/>
      <w:marLeft w:val="0"/>
      <w:marRight w:val="0"/>
      <w:marTop w:val="0"/>
      <w:marBottom w:val="0"/>
      <w:divBdr>
        <w:top w:val="none" w:sz="0" w:space="0" w:color="auto"/>
        <w:left w:val="none" w:sz="0" w:space="0" w:color="auto"/>
        <w:bottom w:val="none" w:sz="0" w:space="0" w:color="auto"/>
        <w:right w:val="none" w:sz="0" w:space="0" w:color="auto"/>
      </w:divBdr>
      <w:divsChild>
        <w:div w:id="1917981495">
          <w:marLeft w:val="-240"/>
          <w:marRight w:val="-240"/>
          <w:marTop w:val="0"/>
          <w:marBottom w:val="0"/>
          <w:divBdr>
            <w:top w:val="none" w:sz="0" w:space="0" w:color="auto"/>
            <w:left w:val="none" w:sz="0" w:space="0" w:color="auto"/>
            <w:bottom w:val="none" w:sz="0" w:space="0" w:color="auto"/>
            <w:right w:val="none" w:sz="0" w:space="0" w:color="auto"/>
          </w:divBdr>
          <w:divsChild>
            <w:div w:id="1253510895">
              <w:marLeft w:val="0"/>
              <w:marRight w:val="0"/>
              <w:marTop w:val="0"/>
              <w:marBottom w:val="0"/>
              <w:divBdr>
                <w:top w:val="none" w:sz="0" w:space="0" w:color="auto"/>
                <w:left w:val="none" w:sz="0" w:space="0" w:color="auto"/>
                <w:bottom w:val="none" w:sz="0" w:space="0" w:color="auto"/>
                <w:right w:val="none" w:sz="0" w:space="0" w:color="auto"/>
              </w:divBdr>
              <w:divsChild>
                <w:div w:id="1237396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054712">
      <w:bodyDiv w:val="1"/>
      <w:marLeft w:val="0"/>
      <w:marRight w:val="0"/>
      <w:marTop w:val="0"/>
      <w:marBottom w:val="0"/>
      <w:divBdr>
        <w:top w:val="none" w:sz="0" w:space="0" w:color="auto"/>
        <w:left w:val="none" w:sz="0" w:space="0" w:color="auto"/>
        <w:bottom w:val="none" w:sz="0" w:space="0" w:color="auto"/>
        <w:right w:val="none" w:sz="0" w:space="0" w:color="auto"/>
      </w:divBdr>
      <w:divsChild>
        <w:div w:id="662390957">
          <w:marLeft w:val="-240"/>
          <w:marRight w:val="-240"/>
          <w:marTop w:val="0"/>
          <w:marBottom w:val="0"/>
          <w:divBdr>
            <w:top w:val="none" w:sz="0" w:space="0" w:color="auto"/>
            <w:left w:val="none" w:sz="0" w:space="0" w:color="auto"/>
            <w:bottom w:val="none" w:sz="0" w:space="0" w:color="auto"/>
            <w:right w:val="none" w:sz="0" w:space="0" w:color="auto"/>
          </w:divBdr>
          <w:divsChild>
            <w:div w:id="627659873">
              <w:marLeft w:val="0"/>
              <w:marRight w:val="0"/>
              <w:marTop w:val="0"/>
              <w:marBottom w:val="0"/>
              <w:divBdr>
                <w:top w:val="none" w:sz="0" w:space="0" w:color="auto"/>
                <w:left w:val="none" w:sz="0" w:space="0" w:color="auto"/>
                <w:bottom w:val="none" w:sz="0" w:space="0" w:color="auto"/>
                <w:right w:val="none" w:sz="0" w:space="0" w:color="auto"/>
              </w:divBdr>
              <w:divsChild>
                <w:div w:id="846142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663907">
      <w:bodyDiv w:val="1"/>
      <w:marLeft w:val="0"/>
      <w:marRight w:val="0"/>
      <w:marTop w:val="0"/>
      <w:marBottom w:val="0"/>
      <w:divBdr>
        <w:top w:val="none" w:sz="0" w:space="0" w:color="auto"/>
        <w:left w:val="none" w:sz="0" w:space="0" w:color="auto"/>
        <w:bottom w:val="none" w:sz="0" w:space="0" w:color="auto"/>
        <w:right w:val="none" w:sz="0" w:space="0" w:color="auto"/>
      </w:divBdr>
      <w:divsChild>
        <w:div w:id="961107108">
          <w:marLeft w:val="-240"/>
          <w:marRight w:val="-240"/>
          <w:marTop w:val="0"/>
          <w:marBottom w:val="0"/>
          <w:divBdr>
            <w:top w:val="none" w:sz="0" w:space="0" w:color="auto"/>
            <w:left w:val="none" w:sz="0" w:space="0" w:color="auto"/>
            <w:bottom w:val="none" w:sz="0" w:space="0" w:color="auto"/>
            <w:right w:val="none" w:sz="0" w:space="0" w:color="auto"/>
          </w:divBdr>
          <w:divsChild>
            <w:div w:id="1635285642">
              <w:marLeft w:val="0"/>
              <w:marRight w:val="0"/>
              <w:marTop w:val="0"/>
              <w:marBottom w:val="0"/>
              <w:divBdr>
                <w:top w:val="none" w:sz="0" w:space="0" w:color="auto"/>
                <w:left w:val="none" w:sz="0" w:space="0" w:color="auto"/>
                <w:bottom w:val="none" w:sz="0" w:space="0" w:color="auto"/>
                <w:right w:val="none" w:sz="0" w:space="0" w:color="auto"/>
              </w:divBdr>
              <w:divsChild>
                <w:div w:id="1607930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290930">
      <w:bodyDiv w:val="1"/>
      <w:marLeft w:val="0"/>
      <w:marRight w:val="0"/>
      <w:marTop w:val="0"/>
      <w:marBottom w:val="0"/>
      <w:divBdr>
        <w:top w:val="none" w:sz="0" w:space="0" w:color="auto"/>
        <w:left w:val="none" w:sz="0" w:space="0" w:color="auto"/>
        <w:bottom w:val="none" w:sz="0" w:space="0" w:color="auto"/>
        <w:right w:val="none" w:sz="0" w:space="0" w:color="auto"/>
      </w:divBdr>
      <w:divsChild>
        <w:div w:id="1623412979">
          <w:marLeft w:val="-240"/>
          <w:marRight w:val="-240"/>
          <w:marTop w:val="0"/>
          <w:marBottom w:val="0"/>
          <w:divBdr>
            <w:top w:val="none" w:sz="0" w:space="0" w:color="auto"/>
            <w:left w:val="none" w:sz="0" w:space="0" w:color="auto"/>
            <w:bottom w:val="none" w:sz="0" w:space="0" w:color="auto"/>
            <w:right w:val="none" w:sz="0" w:space="0" w:color="auto"/>
          </w:divBdr>
          <w:divsChild>
            <w:div w:id="335614943">
              <w:marLeft w:val="0"/>
              <w:marRight w:val="0"/>
              <w:marTop w:val="0"/>
              <w:marBottom w:val="0"/>
              <w:divBdr>
                <w:top w:val="none" w:sz="0" w:space="0" w:color="auto"/>
                <w:left w:val="none" w:sz="0" w:space="0" w:color="auto"/>
                <w:bottom w:val="none" w:sz="0" w:space="0" w:color="auto"/>
                <w:right w:val="none" w:sz="0" w:space="0" w:color="auto"/>
              </w:divBdr>
              <w:divsChild>
                <w:div w:id="420683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648483">
      <w:bodyDiv w:val="1"/>
      <w:marLeft w:val="0"/>
      <w:marRight w:val="0"/>
      <w:marTop w:val="0"/>
      <w:marBottom w:val="0"/>
      <w:divBdr>
        <w:top w:val="none" w:sz="0" w:space="0" w:color="auto"/>
        <w:left w:val="none" w:sz="0" w:space="0" w:color="auto"/>
        <w:bottom w:val="none" w:sz="0" w:space="0" w:color="auto"/>
        <w:right w:val="none" w:sz="0" w:space="0" w:color="auto"/>
      </w:divBdr>
      <w:divsChild>
        <w:div w:id="1584218024">
          <w:marLeft w:val="-240"/>
          <w:marRight w:val="-240"/>
          <w:marTop w:val="0"/>
          <w:marBottom w:val="0"/>
          <w:divBdr>
            <w:top w:val="none" w:sz="0" w:space="0" w:color="auto"/>
            <w:left w:val="none" w:sz="0" w:space="0" w:color="auto"/>
            <w:bottom w:val="none" w:sz="0" w:space="0" w:color="auto"/>
            <w:right w:val="none" w:sz="0" w:space="0" w:color="auto"/>
          </w:divBdr>
          <w:divsChild>
            <w:div w:id="1462530622">
              <w:marLeft w:val="0"/>
              <w:marRight w:val="0"/>
              <w:marTop w:val="0"/>
              <w:marBottom w:val="0"/>
              <w:divBdr>
                <w:top w:val="none" w:sz="0" w:space="0" w:color="auto"/>
                <w:left w:val="none" w:sz="0" w:space="0" w:color="auto"/>
                <w:bottom w:val="none" w:sz="0" w:space="0" w:color="auto"/>
                <w:right w:val="none" w:sz="0" w:space="0" w:color="auto"/>
              </w:divBdr>
              <w:divsChild>
                <w:div w:id="213983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825949">
      <w:bodyDiv w:val="1"/>
      <w:marLeft w:val="0"/>
      <w:marRight w:val="0"/>
      <w:marTop w:val="0"/>
      <w:marBottom w:val="0"/>
      <w:divBdr>
        <w:top w:val="none" w:sz="0" w:space="0" w:color="auto"/>
        <w:left w:val="none" w:sz="0" w:space="0" w:color="auto"/>
        <w:bottom w:val="none" w:sz="0" w:space="0" w:color="auto"/>
        <w:right w:val="none" w:sz="0" w:space="0" w:color="auto"/>
      </w:divBdr>
      <w:divsChild>
        <w:div w:id="1812862799">
          <w:marLeft w:val="-240"/>
          <w:marRight w:val="-240"/>
          <w:marTop w:val="0"/>
          <w:marBottom w:val="0"/>
          <w:divBdr>
            <w:top w:val="none" w:sz="0" w:space="0" w:color="auto"/>
            <w:left w:val="none" w:sz="0" w:space="0" w:color="auto"/>
            <w:bottom w:val="none" w:sz="0" w:space="0" w:color="auto"/>
            <w:right w:val="none" w:sz="0" w:space="0" w:color="auto"/>
          </w:divBdr>
          <w:divsChild>
            <w:div w:id="620577139">
              <w:marLeft w:val="0"/>
              <w:marRight w:val="0"/>
              <w:marTop w:val="0"/>
              <w:marBottom w:val="0"/>
              <w:divBdr>
                <w:top w:val="none" w:sz="0" w:space="0" w:color="auto"/>
                <w:left w:val="none" w:sz="0" w:space="0" w:color="auto"/>
                <w:bottom w:val="none" w:sz="0" w:space="0" w:color="auto"/>
                <w:right w:val="none" w:sz="0" w:space="0" w:color="auto"/>
              </w:divBdr>
              <w:divsChild>
                <w:div w:id="175507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400481">
      <w:bodyDiv w:val="1"/>
      <w:marLeft w:val="0"/>
      <w:marRight w:val="0"/>
      <w:marTop w:val="0"/>
      <w:marBottom w:val="0"/>
      <w:divBdr>
        <w:top w:val="none" w:sz="0" w:space="0" w:color="auto"/>
        <w:left w:val="none" w:sz="0" w:space="0" w:color="auto"/>
        <w:bottom w:val="none" w:sz="0" w:space="0" w:color="auto"/>
        <w:right w:val="none" w:sz="0" w:space="0" w:color="auto"/>
      </w:divBdr>
      <w:divsChild>
        <w:div w:id="833106722">
          <w:marLeft w:val="-240"/>
          <w:marRight w:val="-240"/>
          <w:marTop w:val="0"/>
          <w:marBottom w:val="0"/>
          <w:divBdr>
            <w:top w:val="none" w:sz="0" w:space="0" w:color="auto"/>
            <w:left w:val="none" w:sz="0" w:space="0" w:color="auto"/>
            <w:bottom w:val="none" w:sz="0" w:space="0" w:color="auto"/>
            <w:right w:val="none" w:sz="0" w:space="0" w:color="auto"/>
          </w:divBdr>
          <w:divsChild>
            <w:div w:id="1138693676">
              <w:marLeft w:val="0"/>
              <w:marRight w:val="0"/>
              <w:marTop w:val="0"/>
              <w:marBottom w:val="0"/>
              <w:divBdr>
                <w:top w:val="none" w:sz="0" w:space="0" w:color="auto"/>
                <w:left w:val="none" w:sz="0" w:space="0" w:color="auto"/>
                <w:bottom w:val="none" w:sz="0" w:space="0" w:color="auto"/>
                <w:right w:val="none" w:sz="0" w:space="0" w:color="auto"/>
              </w:divBdr>
              <w:divsChild>
                <w:div w:id="3450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939200">
      <w:bodyDiv w:val="1"/>
      <w:marLeft w:val="0"/>
      <w:marRight w:val="0"/>
      <w:marTop w:val="0"/>
      <w:marBottom w:val="0"/>
      <w:divBdr>
        <w:top w:val="none" w:sz="0" w:space="0" w:color="auto"/>
        <w:left w:val="none" w:sz="0" w:space="0" w:color="auto"/>
        <w:bottom w:val="none" w:sz="0" w:space="0" w:color="auto"/>
        <w:right w:val="none" w:sz="0" w:space="0" w:color="auto"/>
      </w:divBdr>
      <w:divsChild>
        <w:div w:id="892735300">
          <w:marLeft w:val="-240"/>
          <w:marRight w:val="-240"/>
          <w:marTop w:val="0"/>
          <w:marBottom w:val="0"/>
          <w:divBdr>
            <w:top w:val="none" w:sz="0" w:space="0" w:color="auto"/>
            <w:left w:val="none" w:sz="0" w:space="0" w:color="auto"/>
            <w:bottom w:val="none" w:sz="0" w:space="0" w:color="auto"/>
            <w:right w:val="none" w:sz="0" w:space="0" w:color="auto"/>
          </w:divBdr>
          <w:divsChild>
            <w:div w:id="162207050">
              <w:marLeft w:val="0"/>
              <w:marRight w:val="0"/>
              <w:marTop w:val="0"/>
              <w:marBottom w:val="0"/>
              <w:divBdr>
                <w:top w:val="none" w:sz="0" w:space="0" w:color="auto"/>
                <w:left w:val="none" w:sz="0" w:space="0" w:color="auto"/>
                <w:bottom w:val="none" w:sz="0" w:space="0" w:color="auto"/>
                <w:right w:val="none" w:sz="0" w:space="0" w:color="auto"/>
              </w:divBdr>
              <w:divsChild>
                <w:div w:id="719943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422109">
      <w:bodyDiv w:val="1"/>
      <w:marLeft w:val="0"/>
      <w:marRight w:val="0"/>
      <w:marTop w:val="0"/>
      <w:marBottom w:val="0"/>
      <w:divBdr>
        <w:top w:val="none" w:sz="0" w:space="0" w:color="auto"/>
        <w:left w:val="none" w:sz="0" w:space="0" w:color="auto"/>
        <w:bottom w:val="none" w:sz="0" w:space="0" w:color="auto"/>
        <w:right w:val="none" w:sz="0" w:space="0" w:color="auto"/>
      </w:divBdr>
      <w:divsChild>
        <w:div w:id="1055201633">
          <w:marLeft w:val="-240"/>
          <w:marRight w:val="-240"/>
          <w:marTop w:val="0"/>
          <w:marBottom w:val="0"/>
          <w:divBdr>
            <w:top w:val="none" w:sz="0" w:space="0" w:color="auto"/>
            <w:left w:val="none" w:sz="0" w:space="0" w:color="auto"/>
            <w:bottom w:val="none" w:sz="0" w:space="0" w:color="auto"/>
            <w:right w:val="none" w:sz="0" w:space="0" w:color="auto"/>
          </w:divBdr>
          <w:divsChild>
            <w:div w:id="463275547">
              <w:marLeft w:val="0"/>
              <w:marRight w:val="0"/>
              <w:marTop w:val="0"/>
              <w:marBottom w:val="0"/>
              <w:divBdr>
                <w:top w:val="none" w:sz="0" w:space="0" w:color="auto"/>
                <w:left w:val="none" w:sz="0" w:space="0" w:color="auto"/>
                <w:bottom w:val="none" w:sz="0" w:space="0" w:color="auto"/>
                <w:right w:val="none" w:sz="0" w:space="0" w:color="auto"/>
              </w:divBdr>
              <w:divsChild>
                <w:div w:id="722369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088275">
      <w:bodyDiv w:val="1"/>
      <w:marLeft w:val="0"/>
      <w:marRight w:val="0"/>
      <w:marTop w:val="0"/>
      <w:marBottom w:val="0"/>
      <w:divBdr>
        <w:top w:val="none" w:sz="0" w:space="0" w:color="auto"/>
        <w:left w:val="none" w:sz="0" w:space="0" w:color="auto"/>
        <w:bottom w:val="none" w:sz="0" w:space="0" w:color="auto"/>
        <w:right w:val="none" w:sz="0" w:space="0" w:color="auto"/>
      </w:divBdr>
      <w:divsChild>
        <w:div w:id="732580654">
          <w:marLeft w:val="-240"/>
          <w:marRight w:val="-240"/>
          <w:marTop w:val="0"/>
          <w:marBottom w:val="0"/>
          <w:divBdr>
            <w:top w:val="none" w:sz="0" w:space="0" w:color="auto"/>
            <w:left w:val="none" w:sz="0" w:space="0" w:color="auto"/>
            <w:bottom w:val="none" w:sz="0" w:space="0" w:color="auto"/>
            <w:right w:val="none" w:sz="0" w:space="0" w:color="auto"/>
          </w:divBdr>
          <w:divsChild>
            <w:div w:id="837816415">
              <w:marLeft w:val="0"/>
              <w:marRight w:val="0"/>
              <w:marTop w:val="0"/>
              <w:marBottom w:val="0"/>
              <w:divBdr>
                <w:top w:val="none" w:sz="0" w:space="0" w:color="auto"/>
                <w:left w:val="none" w:sz="0" w:space="0" w:color="auto"/>
                <w:bottom w:val="none" w:sz="0" w:space="0" w:color="auto"/>
                <w:right w:val="none" w:sz="0" w:space="0" w:color="auto"/>
              </w:divBdr>
              <w:divsChild>
                <w:div w:id="755370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768490">
      <w:bodyDiv w:val="1"/>
      <w:marLeft w:val="0"/>
      <w:marRight w:val="0"/>
      <w:marTop w:val="0"/>
      <w:marBottom w:val="0"/>
      <w:divBdr>
        <w:top w:val="none" w:sz="0" w:space="0" w:color="auto"/>
        <w:left w:val="none" w:sz="0" w:space="0" w:color="auto"/>
        <w:bottom w:val="none" w:sz="0" w:space="0" w:color="auto"/>
        <w:right w:val="none" w:sz="0" w:space="0" w:color="auto"/>
      </w:divBdr>
      <w:divsChild>
        <w:div w:id="739981327">
          <w:marLeft w:val="-240"/>
          <w:marRight w:val="-240"/>
          <w:marTop w:val="0"/>
          <w:marBottom w:val="0"/>
          <w:divBdr>
            <w:top w:val="none" w:sz="0" w:space="0" w:color="auto"/>
            <w:left w:val="none" w:sz="0" w:space="0" w:color="auto"/>
            <w:bottom w:val="none" w:sz="0" w:space="0" w:color="auto"/>
            <w:right w:val="none" w:sz="0" w:space="0" w:color="auto"/>
          </w:divBdr>
          <w:divsChild>
            <w:div w:id="392200159">
              <w:marLeft w:val="0"/>
              <w:marRight w:val="0"/>
              <w:marTop w:val="0"/>
              <w:marBottom w:val="0"/>
              <w:divBdr>
                <w:top w:val="none" w:sz="0" w:space="0" w:color="auto"/>
                <w:left w:val="none" w:sz="0" w:space="0" w:color="auto"/>
                <w:bottom w:val="none" w:sz="0" w:space="0" w:color="auto"/>
                <w:right w:val="none" w:sz="0" w:space="0" w:color="auto"/>
              </w:divBdr>
              <w:divsChild>
                <w:div w:id="430855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555422">
      <w:bodyDiv w:val="1"/>
      <w:marLeft w:val="0"/>
      <w:marRight w:val="0"/>
      <w:marTop w:val="0"/>
      <w:marBottom w:val="0"/>
      <w:divBdr>
        <w:top w:val="none" w:sz="0" w:space="0" w:color="auto"/>
        <w:left w:val="none" w:sz="0" w:space="0" w:color="auto"/>
        <w:bottom w:val="none" w:sz="0" w:space="0" w:color="auto"/>
        <w:right w:val="none" w:sz="0" w:space="0" w:color="auto"/>
      </w:divBdr>
      <w:divsChild>
        <w:div w:id="160510303">
          <w:marLeft w:val="-240"/>
          <w:marRight w:val="-240"/>
          <w:marTop w:val="0"/>
          <w:marBottom w:val="0"/>
          <w:divBdr>
            <w:top w:val="none" w:sz="0" w:space="0" w:color="auto"/>
            <w:left w:val="none" w:sz="0" w:space="0" w:color="auto"/>
            <w:bottom w:val="none" w:sz="0" w:space="0" w:color="auto"/>
            <w:right w:val="none" w:sz="0" w:space="0" w:color="auto"/>
          </w:divBdr>
          <w:divsChild>
            <w:div w:id="1562519678">
              <w:marLeft w:val="0"/>
              <w:marRight w:val="0"/>
              <w:marTop w:val="0"/>
              <w:marBottom w:val="0"/>
              <w:divBdr>
                <w:top w:val="none" w:sz="0" w:space="0" w:color="auto"/>
                <w:left w:val="none" w:sz="0" w:space="0" w:color="auto"/>
                <w:bottom w:val="none" w:sz="0" w:space="0" w:color="auto"/>
                <w:right w:val="none" w:sz="0" w:space="0" w:color="auto"/>
              </w:divBdr>
              <w:divsChild>
                <w:div w:id="1024359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636463">
      <w:bodyDiv w:val="1"/>
      <w:marLeft w:val="0"/>
      <w:marRight w:val="0"/>
      <w:marTop w:val="0"/>
      <w:marBottom w:val="0"/>
      <w:divBdr>
        <w:top w:val="none" w:sz="0" w:space="0" w:color="auto"/>
        <w:left w:val="none" w:sz="0" w:space="0" w:color="auto"/>
        <w:bottom w:val="none" w:sz="0" w:space="0" w:color="auto"/>
        <w:right w:val="none" w:sz="0" w:space="0" w:color="auto"/>
      </w:divBdr>
      <w:divsChild>
        <w:div w:id="1599826322">
          <w:marLeft w:val="-240"/>
          <w:marRight w:val="-240"/>
          <w:marTop w:val="0"/>
          <w:marBottom w:val="0"/>
          <w:divBdr>
            <w:top w:val="none" w:sz="0" w:space="0" w:color="auto"/>
            <w:left w:val="none" w:sz="0" w:space="0" w:color="auto"/>
            <w:bottom w:val="none" w:sz="0" w:space="0" w:color="auto"/>
            <w:right w:val="none" w:sz="0" w:space="0" w:color="auto"/>
          </w:divBdr>
          <w:divsChild>
            <w:div w:id="692147645">
              <w:marLeft w:val="0"/>
              <w:marRight w:val="0"/>
              <w:marTop w:val="0"/>
              <w:marBottom w:val="0"/>
              <w:divBdr>
                <w:top w:val="none" w:sz="0" w:space="0" w:color="auto"/>
                <w:left w:val="none" w:sz="0" w:space="0" w:color="auto"/>
                <w:bottom w:val="none" w:sz="0" w:space="0" w:color="auto"/>
                <w:right w:val="none" w:sz="0" w:space="0" w:color="auto"/>
              </w:divBdr>
              <w:divsChild>
                <w:div w:id="30625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603252">
      <w:bodyDiv w:val="1"/>
      <w:marLeft w:val="0"/>
      <w:marRight w:val="0"/>
      <w:marTop w:val="0"/>
      <w:marBottom w:val="0"/>
      <w:divBdr>
        <w:top w:val="none" w:sz="0" w:space="0" w:color="auto"/>
        <w:left w:val="none" w:sz="0" w:space="0" w:color="auto"/>
        <w:bottom w:val="none" w:sz="0" w:space="0" w:color="auto"/>
        <w:right w:val="none" w:sz="0" w:space="0" w:color="auto"/>
      </w:divBdr>
      <w:divsChild>
        <w:div w:id="93868129">
          <w:marLeft w:val="-240"/>
          <w:marRight w:val="-240"/>
          <w:marTop w:val="0"/>
          <w:marBottom w:val="0"/>
          <w:divBdr>
            <w:top w:val="none" w:sz="0" w:space="0" w:color="auto"/>
            <w:left w:val="none" w:sz="0" w:space="0" w:color="auto"/>
            <w:bottom w:val="none" w:sz="0" w:space="0" w:color="auto"/>
            <w:right w:val="none" w:sz="0" w:space="0" w:color="auto"/>
          </w:divBdr>
          <w:divsChild>
            <w:div w:id="1684621737">
              <w:marLeft w:val="0"/>
              <w:marRight w:val="0"/>
              <w:marTop w:val="0"/>
              <w:marBottom w:val="0"/>
              <w:divBdr>
                <w:top w:val="none" w:sz="0" w:space="0" w:color="auto"/>
                <w:left w:val="none" w:sz="0" w:space="0" w:color="auto"/>
                <w:bottom w:val="none" w:sz="0" w:space="0" w:color="auto"/>
                <w:right w:val="none" w:sz="0" w:space="0" w:color="auto"/>
              </w:divBdr>
              <w:divsChild>
                <w:div w:id="275522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833471">
      <w:bodyDiv w:val="1"/>
      <w:marLeft w:val="0"/>
      <w:marRight w:val="0"/>
      <w:marTop w:val="0"/>
      <w:marBottom w:val="0"/>
      <w:divBdr>
        <w:top w:val="none" w:sz="0" w:space="0" w:color="auto"/>
        <w:left w:val="none" w:sz="0" w:space="0" w:color="auto"/>
        <w:bottom w:val="none" w:sz="0" w:space="0" w:color="auto"/>
        <w:right w:val="none" w:sz="0" w:space="0" w:color="auto"/>
      </w:divBdr>
      <w:divsChild>
        <w:div w:id="244731220">
          <w:marLeft w:val="-240"/>
          <w:marRight w:val="-240"/>
          <w:marTop w:val="0"/>
          <w:marBottom w:val="0"/>
          <w:divBdr>
            <w:top w:val="none" w:sz="0" w:space="0" w:color="auto"/>
            <w:left w:val="none" w:sz="0" w:space="0" w:color="auto"/>
            <w:bottom w:val="none" w:sz="0" w:space="0" w:color="auto"/>
            <w:right w:val="none" w:sz="0" w:space="0" w:color="auto"/>
          </w:divBdr>
          <w:divsChild>
            <w:div w:id="214440188">
              <w:marLeft w:val="0"/>
              <w:marRight w:val="0"/>
              <w:marTop w:val="0"/>
              <w:marBottom w:val="0"/>
              <w:divBdr>
                <w:top w:val="none" w:sz="0" w:space="0" w:color="auto"/>
                <w:left w:val="none" w:sz="0" w:space="0" w:color="auto"/>
                <w:bottom w:val="none" w:sz="0" w:space="0" w:color="auto"/>
                <w:right w:val="none" w:sz="0" w:space="0" w:color="auto"/>
              </w:divBdr>
              <w:divsChild>
                <w:div w:id="1457487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787090">
      <w:bodyDiv w:val="1"/>
      <w:marLeft w:val="0"/>
      <w:marRight w:val="0"/>
      <w:marTop w:val="0"/>
      <w:marBottom w:val="0"/>
      <w:divBdr>
        <w:top w:val="none" w:sz="0" w:space="0" w:color="auto"/>
        <w:left w:val="none" w:sz="0" w:space="0" w:color="auto"/>
        <w:bottom w:val="none" w:sz="0" w:space="0" w:color="auto"/>
        <w:right w:val="none" w:sz="0" w:space="0" w:color="auto"/>
      </w:divBdr>
      <w:divsChild>
        <w:div w:id="1969625608">
          <w:marLeft w:val="-240"/>
          <w:marRight w:val="-240"/>
          <w:marTop w:val="0"/>
          <w:marBottom w:val="0"/>
          <w:divBdr>
            <w:top w:val="none" w:sz="0" w:space="0" w:color="auto"/>
            <w:left w:val="none" w:sz="0" w:space="0" w:color="auto"/>
            <w:bottom w:val="none" w:sz="0" w:space="0" w:color="auto"/>
            <w:right w:val="none" w:sz="0" w:space="0" w:color="auto"/>
          </w:divBdr>
          <w:divsChild>
            <w:div w:id="507866463">
              <w:marLeft w:val="0"/>
              <w:marRight w:val="0"/>
              <w:marTop w:val="0"/>
              <w:marBottom w:val="0"/>
              <w:divBdr>
                <w:top w:val="none" w:sz="0" w:space="0" w:color="auto"/>
                <w:left w:val="none" w:sz="0" w:space="0" w:color="auto"/>
                <w:bottom w:val="none" w:sz="0" w:space="0" w:color="auto"/>
                <w:right w:val="none" w:sz="0" w:space="0" w:color="auto"/>
              </w:divBdr>
              <w:divsChild>
                <w:div w:id="325324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850412">
      <w:bodyDiv w:val="1"/>
      <w:marLeft w:val="0"/>
      <w:marRight w:val="0"/>
      <w:marTop w:val="0"/>
      <w:marBottom w:val="0"/>
      <w:divBdr>
        <w:top w:val="none" w:sz="0" w:space="0" w:color="auto"/>
        <w:left w:val="none" w:sz="0" w:space="0" w:color="auto"/>
        <w:bottom w:val="none" w:sz="0" w:space="0" w:color="auto"/>
        <w:right w:val="none" w:sz="0" w:space="0" w:color="auto"/>
      </w:divBdr>
    </w:div>
    <w:div w:id="901057796">
      <w:bodyDiv w:val="1"/>
      <w:marLeft w:val="0"/>
      <w:marRight w:val="0"/>
      <w:marTop w:val="0"/>
      <w:marBottom w:val="0"/>
      <w:divBdr>
        <w:top w:val="none" w:sz="0" w:space="0" w:color="auto"/>
        <w:left w:val="none" w:sz="0" w:space="0" w:color="auto"/>
        <w:bottom w:val="none" w:sz="0" w:space="0" w:color="auto"/>
        <w:right w:val="none" w:sz="0" w:space="0" w:color="auto"/>
      </w:divBdr>
      <w:divsChild>
        <w:div w:id="1644195132">
          <w:marLeft w:val="-240"/>
          <w:marRight w:val="-240"/>
          <w:marTop w:val="0"/>
          <w:marBottom w:val="0"/>
          <w:divBdr>
            <w:top w:val="none" w:sz="0" w:space="0" w:color="auto"/>
            <w:left w:val="none" w:sz="0" w:space="0" w:color="auto"/>
            <w:bottom w:val="none" w:sz="0" w:space="0" w:color="auto"/>
            <w:right w:val="none" w:sz="0" w:space="0" w:color="auto"/>
          </w:divBdr>
          <w:divsChild>
            <w:div w:id="2106226952">
              <w:marLeft w:val="0"/>
              <w:marRight w:val="0"/>
              <w:marTop w:val="0"/>
              <w:marBottom w:val="0"/>
              <w:divBdr>
                <w:top w:val="none" w:sz="0" w:space="0" w:color="auto"/>
                <w:left w:val="none" w:sz="0" w:space="0" w:color="auto"/>
                <w:bottom w:val="none" w:sz="0" w:space="0" w:color="auto"/>
                <w:right w:val="none" w:sz="0" w:space="0" w:color="auto"/>
              </w:divBdr>
              <w:divsChild>
                <w:div w:id="1244026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406967">
      <w:bodyDiv w:val="1"/>
      <w:marLeft w:val="0"/>
      <w:marRight w:val="0"/>
      <w:marTop w:val="0"/>
      <w:marBottom w:val="0"/>
      <w:divBdr>
        <w:top w:val="none" w:sz="0" w:space="0" w:color="auto"/>
        <w:left w:val="none" w:sz="0" w:space="0" w:color="auto"/>
        <w:bottom w:val="none" w:sz="0" w:space="0" w:color="auto"/>
        <w:right w:val="none" w:sz="0" w:space="0" w:color="auto"/>
      </w:divBdr>
      <w:divsChild>
        <w:div w:id="1505439882">
          <w:marLeft w:val="-240"/>
          <w:marRight w:val="-240"/>
          <w:marTop w:val="0"/>
          <w:marBottom w:val="0"/>
          <w:divBdr>
            <w:top w:val="none" w:sz="0" w:space="0" w:color="auto"/>
            <w:left w:val="none" w:sz="0" w:space="0" w:color="auto"/>
            <w:bottom w:val="none" w:sz="0" w:space="0" w:color="auto"/>
            <w:right w:val="none" w:sz="0" w:space="0" w:color="auto"/>
          </w:divBdr>
          <w:divsChild>
            <w:div w:id="96676355">
              <w:marLeft w:val="0"/>
              <w:marRight w:val="0"/>
              <w:marTop w:val="0"/>
              <w:marBottom w:val="0"/>
              <w:divBdr>
                <w:top w:val="none" w:sz="0" w:space="0" w:color="auto"/>
                <w:left w:val="none" w:sz="0" w:space="0" w:color="auto"/>
                <w:bottom w:val="none" w:sz="0" w:space="0" w:color="auto"/>
                <w:right w:val="none" w:sz="0" w:space="0" w:color="auto"/>
              </w:divBdr>
              <w:divsChild>
                <w:div w:id="158611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057456">
      <w:bodyDiv w:val="1"/>
      <w:marLeft w:val="0"/>
      <w:marRight w:val="0"/>
      <w:marTop w:val="0"/>
      <w:marBottom w:val="0"/>
      <w:divBdr>
        <w:top w:val="none" w:sz="0" w:space="0" w:color="auto"/>
        <w:left w:val="none" w:sz="0" w:space="0" w:color="auto"/>
        <w:bottom w:val="none" w:sz="0" w:space="0" w:color="auto"/>
        <w:right w:val="none" w:sz="0" w:space="0" w:color="auto"/>
      </w:divBdr>
      <w:divsChild>
        <w:div w:id="1534853278">
          <w:marLeft w:val="-240"/>
          <w:marRight w:val="-240"/>
          <w:marTop w:val="0"/>
          <w:marBottom w:val="0"/>
          <w:divBdr>
            <w:top w:val="none" w:sz="0" w:space="0" w:color="auto"/>
            <w:left w:val="none" w:sz="0" w:space="0" w:color="auto"/>
            <w:bottom w:val="none" w:sz="0" w:space="0" w:color="auto"/>
            <w:right w:val="none" w:sz="0" w:space="0" w:color="auto"/>
          </w:divBdr>
          <w:divsChild>
            <w:div w:id="128402636">
              <w:marLeft w:val="0"/>
              <w:marRight w:val="0"/>
              <w:marTop w:val="0"/>
              <w:marBottom w:val="0"/>
              <w:divBdr>
                <w:top w:val="none" w:sz="0" w:space="0" w:color="auto"/>
                <w:left w:val="none" w:sz="0" w:space="0" w:color="auto"/>
                <w:bottom w:val="none" w:sz="0" w:space="0" w:color="auto"/>
                <w:right w:val="none" w:sz="0" w:space="0" w:color="auto"/>
              </w:divBdr>
              <w:divsChild>
                <w:div w:id="154633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653227">
      <w:bodyDiv w:val="1"/>
      <w:marLeft w:val="0"/>
      <w:marRight w:val="0"/>
      <w:marTop w:val="0"/>
      <w:marBottom w:val="0"/>
      <w:divBdr>
        <w:top w:val="none" w:sz="0" w:space="0" w:color="auto"/>
        <w:left w:val="none" w:sz="0" w:space="0" w:color="auto"/>
        <w:bottom w:val="none" w:sz="0" w:space="0" w:color="auto"/>
        <w:right w:val="none" w:sz="0" w:space="0" w:color="auto"/>
      </w:divBdr>
      <w:divsChild>
        <w:div w:id="1538816227">
          <w:marLeft w:val="-240"/>
          <w:marRight w:val="-240"/>
          <w:marTop w:val="0"/>
          <w:marBottom w:val="0"/>
          <w:divBdr>
            <w:top w:val="none" w:sz="0" w:space="0" w:color="auto"/>
            <w:left w:val="none" w:sz="0" w:space="0" w:color="auto"/>
            <w:bottom w:val="none" w:sz="0" w:space="0" w:color="auto"/>
            <w:right w:val="none" w:sz="0" w:space="0" w:color="auto"/>
          </w:divBdr>
          <w:divsChild>
            <w:div w:id="1057436137">
              <w:marLeft w:val="0"/>
              <w:marRight w:val="0"/>
              <w:marTop w:val="0"/>
              <w:marBottom w:val="0"/>
              <w:divBdr>
                <w:top w:val="none" w:sz="0" w:space="0" w:color="auto"/>
                <w:left w:val="none" w:sz="0" w:space="0" w:color="auto"/>
                <w:bottom w:val="none" w:sz="0" w:space="0" w:color="auto"/>
                <w:right w:val="none" w:sz="0" w:space="0" w:color="auto"/>
              </w:divBdr>
              <w:divsChild>
                <w:div w:id="93127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160950">
      <w:bodyDiv w:val="1"/>
      <w:marLeft w:val="0"/>
      <w:marRight w:val="0"/>
      <w:marTop w:val="0"/>
      <w:marBottom w:val="0"/>
      <w:divBdr>
        <w:top w:val="none" w:sz="0" w:space="0" w:color="auto"/>
        <w:left w:val="none" w:sz="0" w:space="0" w:color="auto"/>
        <w:bottom w:val="none" w:sz="0" w:space="0" w:color="auto"/>
        <w:right w:val="none" w:sz="0" w:space="0" w:color="auto"/>
      </w:divBdr>
      <w:divsChild>
        <w:div w:id="201404738">
          <w:marLeft w:val="-240"/>
          <w:marRight w:val="-240"/>
          <w:marTop w:val="0"/>
          <w:marBottom w:val="0"/>
          <w:divBdr>
            <w:top w:val="none" w:sz="0" w:space="0" w:color="auto"/>
            <w:left w:val="none" w:sz="0" w:space="0" w:color="auto"/>
            <w:bottom w:val="none" w:sz="0" w:space="0" w:color="auto"/>
            <w:right w:val="none" w:sz="0" w:space="0" w:color="auto"/>
          </w:divBdr>
          <w:divsChild>
            <w:div w:id="1240168230">
              <w:marLeft w:val="0"/>
              <w:marRight w:val="0"/>
              <w:marTop w:val="0"/>
              <w:marBottom w:val="0"/>
              <w:divBdr>
                <w:top w:val="none" w:sz="0" w:space="0" w:color="auto"/>
                <w:left w:val="none" w:sz="0" w:space="0" w:color="auto"/>
                <w:bottom w:val="none" w:sz="0" w:space="0" w:color="auto"/>
                <w:right w:val="none" w:sz="0" w:space="0" w:color="auto"/>
              </w:divBdr>
              <w:divsChild>
                <w:div w:id="167988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169241">
      <w:bodyDiv w:val="1"/>
      <w:marLeft w:val="0"/>
      <w:marRight w:val="0"/>
      <w:marTop w:val="0"/>
      <w:marBottom w:val="0"/>
      <w:divBdr>
        <w:top w:val="none" w:sz="0" w:space="0" w:color="auto"/>
        <w:left w:val="none" w:sz="0" w:space="0" w:color="auto"/>
        <w:bottom w:val="none" w:sz="0" w:space="0" w:color="auto"/>
        <w:right w:val="none" w:sz="0" w:space="0" w:color="auto"/>
      </w:divBdr>
      <w:divsChild>
        <w:div w:id="703138818">
          <w:marLeft w:val="-240"/>
          <w:marRight w:val="-240"/>
          <w:marTop w:val="0"/>
          <w:marBottom w:val="0"/>
          <w:divBdr>
            <w:top w:val="none" w:sz="0" w:space="0" w:color="auto"/>
            <w:left w:val="none" w:sz="0" w:space="0" w:color="auto"/>
            <w:bottom w:val="none" w:sz="0" w:space="0" w:color="auto"/>
            <w:right w:val="none" w:sz="0" w:space="0" w:color="auto"/>
          </w:divBdr>
          <w:divsChild>
            <w:div w:id="330841864">
              <w:marLeft w:val="0"/>
              <w:marRight w:val="0"/>
              <w:marTop w:val="0"/>
              <w:marBottom w:val="0"/>
              <w:divBdr>
                <w:top w:val="none" w:sz="0" w:space="0" w:color="auto"/>
                <w:left w:val="none" w:sz="0" w:space="0" w:color="auto"/>
                <w:bottom w:val="none" w:sz="0" w:space="0" w:color="auto"/>
                <w:right w:val="none" w:sz="0" w:space="0" w:color="auto"/>
              </w:divBdr>
              <w:divsChild>
                <w:div w:id="153245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313030">
      <w:bodyDiv w:val="1"/>
      <w:marLeft w:val="0"/>
      <w:marRight w:val="0"/>
      <w:marTop w:val="0"/>
      <w:marBottom w:val="0"/>
      <w:divBdr>
        <w:top w:val="none" w:sz="0" w:space="0" w:color="auto"/>
        <w:left w:val="none" w:sz="0" w:space="0" w:color="auto"/>
        <w:bottom w:val="none" w:sz="0" w:space="0" w:color="auto"/>
        <w:right w:val="none" w:sz="0" w:space="0" w:color="auto"/>
      </w:divBdr>
      <w:divsChild>
        <w:div w:id="1520467548">
          <w:marLeft w:val="-240"/>
          <w:marRight w:val="-240"/>
          <w:marTop w:val="0"/>
          <w:marBottom w:val="0"/>
          <w:divBdr>
            <w:top w:val="none" w:sz="0" w:space="0" w:color="auto"/>
            <w:left w:val="none" w:sz="0" w:space="0" w:color="auto"/>
            <w:bottom w:val="none" w:sz="0" w:space="0" w:color="auto"/>
            <w:right w:val="none" w:sz="0" w:space="0" w:color="auto"/>
          </w:divBdr>
          <w:divsChild>
            <w:div w:id="1296905589">
              <w:marLeft w:val="0"/>
              <w:marRight w:val="0"/>
              <w:marTop w:val="0"/>
              <w:marBottom w:val="0"/>
              <w:divBdr>
                <w:top w:val="none" w:sz="0" w:space="0" w:color="auto"/>
                <w:left w:val="none" w:sz="0" w:space="0" w:color="auto"/>
                <w:bottom w:val="none" w:sz="0" w:space="0" w:color="auto"/>
                <w:right w:val="none" w:sz="0" w:space="0" w:color="auto"/>
              </w:divBdr>
              <w:divsChild>
                <w:div w:id="139173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044841">
      <w:bodyDiv w:val="1"/>
      <w:marLeft w:val="0"/>
      <w:marRight w:val="0"/>
      <w:marTop w:val="0"/>
      <w:marBottom w:val="0"/>
      <w:divBdr>
        <w:top w:val="none" w:sz="0" w:space="0" w:color="auto"/>
        <w:left w:val="none" w:sz="0" w:space="0" w:color="auto"/>
        <w:bottom w:val="none" w:sz="0" w:space="0" w:color="auto"/>
        <w:right w:val="none" w:sz="0" w:space="0" w:color="auto"/>
      </w:divBdr>
      <w:divsChild>
        <w:div w:id="1649673651">
          <w:marLeft w:val="-240"/>
          <w:marRight w:val="-240"/>
          <w:marTop w:val="0"/>
          <w:marBottom w:val="0"/>
          <w:divBdr>
            <w:top w:val="none" w:sz="0" w:space="0" w:color="auto"/>
            <w:left w:val="none" w:sz="0" w:space="0" w:color="auto"/>
            <w:bottom w:val="none" w:sz="0" w:space="0" w:color="auto"/>
            <w:right w:val="none" w:sz="0" w:space="0" w:color="auto"/>
          </w:divBdr>
          <w:divsChild>
            <w:div w:id="1060859511">
              <w:marLeft w:val="0"/>
              <w:marRight w:val="0"/>
              <w:marTop w:val="0"/>
              <w:marBottom w:val="0"/>
              <w:divBdr>
                <w:top w:val="none" w:sz="0" w:space="0" w:color="auto"/>
                <w:left w:val="none" w:sz="0" w:space="0" w:color="auto"/>
                <w:bottom w:val="none" w:sz="0" w:space="0" w:color="auto"/>
                <w:right w:val="none" w:sz="0" w:space="0" w:color="auto"/>
              </w:divBdr>
              <w:divsChild>
                <w:div w:id="134532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776131">
      <w:bodyDiv w:val="1"/>
      <w:marLeft w:val="0"/>
      <w:marRight w:val="0"/>
      <w:marTop w:val="0"/>
      <w:marBottom w:val="0"/>
      <w:divBdr>
        <w:top w:val="none" w:sz="0" w:space="0" w:color="auto"/>
        <w:left w:val="none" w:sz="0" w:space="0" w:color="auto"/>
        <w:bottom w:val="none" w:sz="0" w:space="0" w:color="auto"/>
        <w:right w:val="none" w:sz="0" w:space="0" w:color="auto"/>
      </w:divBdr>
      <w:divsChild>
        <w:div w:id="1332173001">
          <w:marLeft w:val="-240"/>
          <w:marRight w:val="-240"/>
          <w:marTop w:val="0"/>
          <w:marBottom w:val="0"/>
          <w:divBdr>
            <w:top w:val="none" w:sz="0" w:space="0" w:color="auto"/>
            <w:left w:val="none" w:sz="0" w:space="0" w:color="auto"/>
            <w:bottom w:val="none" w:sz="0" w:space="0" w:color="auto"/>
            <w:right w:val="none" w:sz="0" w:space="0" w:color="auto"/>
          </w:divBdr>
          <w:divsChild>
            <w:div w:id="1694306444">
              <w:marLeft w:val="0"/>
              <w:marRight w:val="0"/>
              <w:marTop w:val="0"/>
              <w:marBottom w:val="0"/>
              <w:divBdr>
                <w:top w:val="none" w:sz="0" w:space="0" w:color="auto"/>
                <w:left w:val="none" w:sz="0" w:space="0" w:color="auto"/>
                <w:bottom w:val="none" w:sz="0" w:space="0" w:color="auto"/>
                <w:right w:val="none" w:sz="0" w:space="0" w:color="auto"/>
              </w:divBdr>
              <w:divsChild>
                <w:div w:id="1594586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444336">
      <w:bodyDiv w:val="1"/>
      <w:marLeft w:val="0"/>
      <w:marRight w:val="0"/>
      <w:marTop w:val="0"/>
      <w:marBottom w:val="0"/>
      <w:divBdr>
        <w:top w:val="none" w:sz="0" w:space="0" w:color="auto"/>
        <w:left w:val="none" w:sz="0" w:space="0" w:color="auto"/>
        <w:bottom w:val="none" w:sz="0" w:space="0" w:color="auto"/>
        <w:right w:val="none" w:sz="0" w:space="0" w:color="auto"/>
      </w:divBdr>
    </w:div>
    <w:div w:id="972758611">
      <w:bodyDiv w:val="1"/>
      <w:marLeft w:val="0"/>
      <w:marRight w:val="0"/>
      <w:marTop w:val="0"/>
      <w:marBottom w:val="0"/>
      <w:divBdr>
        <w:top w:val="none" w:sz="0" w:space="0" w:color="auto"/>
        <w:left w:val="none" w:sz="0" w:space="0" w:color="auto"/>
        <w:bottom w:val="none" w:sz="0" w:space="0" w:color="auto"/>
        <w:right w:val="none" w:sz="0" w:space="0" w:color="auto"/>
      </w:divBdr>
      <w:divsChild>
        <w:div w:id="53555211">
          <w:marLeft w:val="-240"/>
          <w:marRight w:val="-240"/>
          <w:marTop w:val="0"/>
          <w:marBottom w:val="0"/>
          <w:divBdr>
            <w:top w:val="none" w:sz="0" w:space="0" w:color="auto"/>
            <w:left w:val="none" w:sz="0" w:space="0" w:color="auto"/>
            <w:bottom w:val="none" w:sz="0" w:space="0" w:color="auto"/>
            <w:right w:val="none" w:sz="0" w:space="0" w:color="auto"/>
          </w:divBdr>
          <w:divsChild>
            <w:div w:id="1952590140">
              <w:marLeft w:val="0"/>
              <w:marRight w:val="0"/>
              <w:marTop w:val="0"/>
              <w:marBottom w:val="0"/>
              <w:divBdr>
                <w:top w:val="none" w:sz="0" w:space="0" w:color="auto"/>
                <w:left w:val="none" w:sz="0" w:space="0" w:color="auto"/>
                <w:bottom w:val="none" w:sz="0" w:space="0" w:color="auto"/>
                <w:right w:val="none" w:sz="0" w:space="0" w:color="auto"/>
              </w:divBdr>
              <w:divsChild>
                <w:div w:id="938875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999980">
      <w:bodyDiv w:val="1"/>
      <w:marLeft w:val="0"/>
      <w:marRight w:val="0"/>
      <w:marTop w:val="0"/>
      <w:marBottom w:val="0"/>
      <w:divBdr>
        <w:top w:val="none" w:sz="0" w:space="0" w:color="auto"/>
        <w:left w:val="none" w:sz="0" w:space="0" w:color="auto"/>
        <w:bottom w:val="none" w:sz="0" w:space="0" w:color="auto"/>
        <w:right w:val="none" w:sz="0" w:space="0" w:color="auto"/>
      </w:divBdr>
      <w:divsChild>
        <w:div w:id="1597246973">
          <w:marLeft w:val="-240"/>
          <w:marRight w:val="-240"/>
          <w:marTop w:val="0"/>
          <w:marBottom w:val="0"/>
          <w:divBdr>
            <w:top w:val="none" w:sz="0" w:space="0" w:color="auto"/>
            <w:left w:val="none" w:sz="0" w:space="0" w:color="auto"/>
            <w:bottom w:val="none" w:sz="0" w:space="0" w:color="auto"/>
            <w:right w:val="none" w:sz="0" w:space="0" w:color="auto"/>
          </w:divBdr>
          <w:divsChild>
            <w:div w:id="1616904751">
              <w:marLeft w:val="0"/>
              <w:marRight w:val="0"/>
              <w:marTop w:val="0"/>
              <w:marBottom w:val="0"/>
              <w:divBdr>
                <w:top w:val="none" w:sz="0" w:space="0" w:color="auto"/>
                <w:left w:val="none" w:sz="0" w:space="0" w:color="auto"/>
                <w:bottom w:val="none" w:sz="0" w:space="0" w:color="auto"/>
                <w:right w:val="none" w:sz="0" w:space="0" w:color="auto"/>
              </w:divBdr>
              <w:divsChild>
                <w:div w:id="172648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790525">
      <w:bodyDiv w:val="1"/>
      <w:marLeft w:val="0"/>
      <w:marRight w:val="0"/>
      <w:marTop w:val="0"/>
      <w:marBottom w:val="0"/>
      <w:divBdr>
        <w:top w:val="none" w:sz="0" w:space="0" w:color="auto"/>
        <w:left w:val="none" w:sz="0" w:space="0" w:color="auto"/>
        <w:bottom w:val="none" w:sz="0" w:space="0" w:color="auto"/>
        <w:right w:val="none" w:sz="0" w:space="0" w:color="auto"/>
      </w:divBdr>
    </w:div>
    <w:div w:id="996766263">
      <w:bodyDiv w:val="1"/>
      <w:marLeft w:val="0"/>
      <w:marRight w:val="0"/>
      <w:marTop w:val="0"/>
      <w:marBottom w:val="0"/>
      <w:divBdr>
        <w:top w:val="none" w:sz="0" w:space="0" w:color="auto"/>
        <w:left w:val="none" w:sz="0" w:space="0" w:color="auto"/>
        <w:bottom w:val="none" w:sz="0" w:space="0" w:color="auto"/>
        <w:right w:val="none" w:sz="0" w:space="0" w:color="auto"/>
      </w:divBdr>
      <w:divsChild>
        <w:div w:id="1564563997">
          <w:marLeft w:val="-240"/>
          <w:marRight w:val="-240"/>
          <w:marTop w:val="0"/>
          <w:marBottom w:val="0"/>
          <w:divBdr>
            <w:top w:val="none" w:sz="0" w:space="0" w:color="auto"/>
            <w:left w:val="none" w:sz="0" w:space="0" w:color="auto"/>
            <w:bottom w:val="none" w:sz="0" w:space="0" w:color="auto"/>
            <w:right w:val="none" w:sz="0" w:space="0" w:color="auto"/>
          </w:divBdr>
          <w:divsChild>
            <w:div w:id="1000890010">
              <w:marLeft w:val="0"/>
              <w:marRight w:val="0"/>
              <w:marTop w:val="0"/>
              <w:marBottom w:val="0"/>
              <w:divBdr>
                <w:top w:val="none" w:sz="0" w:space="0" w:color="auto"/>
                <w:left w:val="none" w:sz="0" w:space="0" w:color="auto"/>
                <w:bottom w:val="none" w:sz="0" w:space="0" w:color="auto"/>
                <w:right w:val="none" w:sz="0" w:space="0" w:color="auto"/>
              </w:divBdr>
              <w:divsChild>
                <w:div w:id="151441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545805">
      <w:bodyDiv w:val="1"/>
      <w:marLeft w:val="0"/>
      <w:marRight w:val="0"/>
      <w:marTop w:val="0"/>
      <w:marBottom w:val="0"/>
      <w:divBdr>
        <w:top w:val="none" w:sz="0" w:space="0" w:color="auto"/>
        <w:left w:val="none" w:sz="0" w:space="0" w:color="auto"/>
        <w:bottom w:val="none" w:sz="0" w:space="0" w:color="auto"/>
        <w:right w:val="none" w:sz="0" w:space="0" w:color="auto"/>
      </w:divBdr>
      <w:divsChild>
        <w:div w:id="588659010">
          <w:marLeft w:val="-240"/>
          <w:marRight w:val="-240"/>
          <w:marTop w:val="0"/>
          <w:marBottom w:val="0"/>
          <w:divBdr>
            <w:top w:val="none" w:sz="0" w:space="0" w:color="auto"/>
            <w:left w:val="none" w:sz="0" w:space="0" w:color="auto"/>
            <w:bottom w:val="none" w:sz="0" w:space="0" w:color="auto"/>
            <w:right w:val="none" w:sz="0" w:space="0" w:color="auto"/>
          </w:divBdr>
          <w:divsChild>
            <w:div w:id="1546523410">
              <w:marLeft w:val="0"/>
              <w:marRight w:val="0"/>
              <w:marTop w:val="0"/>
              <w:marBottom w:val="0"/>
              <w:divBdr>
                <w:top w:val="none" w:sz="0" w:space="0" w:color="auto"/>
                <w:left w:val="none" w:sz="0" w:space="0" w:color="auto"/>
                <w:bottom w:val="none" w:sz="0" w:space="0" w:color="auto"/>
                <w:right w:val="none" w:sz="0" w:space="0" w:color="auto"/>
              </w:divBdr>
              <w:divsChild>
                <w:div w:id="1114598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255572">
      <w:bodyDiv w:val="1"/>
      <w:marLeft w:val="0"/>
      <w:marRight w:val="0"/>
      <w:marTop w:val="0"/>
      <w:marBottom w:val="0"/>
      <w:divBdr>
        <w:top w:val="none" w:sz="0" w:space="0" w:color="auto"/>
        <w:left w:val="none" w:sz="0" w:space="0" w:color="auto"/>
        <w:bottom w:val="none" w:sz="0" w:space="0" w:color="auto"/>
        <w:right w:val="none" w:sz="0" w:space="0" w:color="auto"/>
      </w:divBdr>
      <w:divsChild>
        <w:div w:id="118839691">
          <w:marLeft w:val="-240"/>
          <w:marRight w:val="-240"/>
          <w:marTop w:val="0"/>
          <w:marBottom w:val="0"/>
          <w:divBdr>
            <w:top w:val="none" w:sz="0" w:space="0" w:color="auto"/>
            <w:left w:val="none" w:sz="0" w:space="0" w:color="auto"/>
            <w:bottom w:val="none" w:sz="0" w:space="0" w:color="auto"/>
            <w:right w:val="none" w:sz="0" w:space="0" w:color="auto"/>
          </w:divBdr>
          <w:divsChild>
            <w:div w:id="737166678">
              <w:marLeft w:val="0"/>
              <w:marRight w:val="0"/>
              <w:marTop w:val="0"/>
              <w:marBottom w:val="0"/>
              <w:divBdr>
                <w:top w:val="none" w:sz="0" w:space="0" w:color="auto"/>
                <w:left w:val="none" w:sz="0" w:space="0" w:color="auto"/>
                <w:bottom w:val="none" w:sz="0" w:space="0" w:color="auto"/>
                <w:right w:val="none" w:sz="0" w:space="0" w:color="auto"/>
              </w:divBdr>
              <w:divsChild>
                <w:div w:id="20626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276619">
      <w:bodyDiv w:val="1"/>
      <w:marLeft w:val="0"/>
      <w:marRight w:val="0"/>
      <w:marTop w:val="0"/>
      <w:marBottom w:val="0"/>
      <w:divBdr>
        <w:top w:val="none" w:sz="0" w:space="0" w:color="auto"/>
        <w:left w:val="none" w:sz="0" w:space="0" w:color="auto"/>
        <w:bottom w:val="none" w:sz="0" w:space="0" w:color="auto"/>
        <w:right w:val="none" w:sz="0" w:space="0" w:color="auto"/>
      </w:divBdr>
      <w:divsChild>
        <w:div w:id="1246261334">
          <w:marLeft w:val="-240"/>
          <w:marRight w:val="-240"/>
          <w:marTop w:val="0"/>
          <w:marBottom w:val="0"/>
          <w:divBdr>
            <w:top w:val="none" w:sz="0" w:space="0" w:color="auto"/>
            <w:left w:val="none" w:sz="0" w:space="0" w:color="auto"/>
            <w:bottom w:val="none" w:sz="0" w:space="0" w:color="auto"/>
            <w:right w:val="none" w:sz="0" w:space="0" w:color="auto"/>
          </w:divBdr>
          <w:divsChild>
            <w:div w:id="1437209083">
              <w:marLeft w:val="0"/>
              <w:marRight w:val="0"/>
              <w:marTop w:val="0"/>
              <w:marBottom w:val="0"/>
              <w:divBdr>
                <w:top w:val="none" w:sz="0" w:space="0" w:color="auto"/>
                <w:left w:val="none" w:sz="0" w:space="0" w:color="auto"/>
                <w:bottom w:val="none" w:sz="0" w:space="0" w:color="auto"/>
                <w:right w:val="none" w:sz="0" w:space="0" w:color="auto"/>
              </w:divBdr>
              <w:divsChild>
                <w:div w:id="19322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440873">
      <w:bodyDiv w:val="1"/>
      <w:marLeft w:val="0"/>
      <w:marRight w:val="0"/>
      <w:marTop w:val="0"/>
      <w:marBottom w:val="0"/>
      <w:divBdr>
        <w:top w:val="none" w:sz="0" w:space="0" w:color="auto"/>
        <w:left w:val="none" w:sz="0" w:space="0" w:color="auto"/>
        <w:bottom w:val="none" w:sz="0" w:space="0" w:color="auto"/>
        <w:right w:val="none" w:sz="0" w:space="0" w:color="auto"/>
      </w:divBdr>
      <w:divsChild>
        <w:div w:id="1582324811">
          <w:marLeft w:val="-240"/>
          <w:marRight w:val="-240"/>
          <w:marTop w:val="0"/>
          <w:marBottom w:val="0"/>
          <w:divBdr>
            <w:top w:val="none" w:sz="0" w:space="0" w:color="auto"/>
            <w:left w:val="none" w:sz="0" w:space="0" w:color="auto"/>
            <w:bottom w:val="none" w:sz="0" w:space="0" w:color="auto"/>
            <w:right w:val="none" w:sz="0" w:space="0" w:color="auto"/>
          </w:divBdr>
          <w:divsChild>
            <w:div w:id="147676389">
              <w:marLeft w:val="0"/>
              <w:marRight w:val="0"/>
              <w:marTop w:val="0"/>
              <w:marBottom w:val="0"/>
              <w:divBdr>
                <w:top w:val="none" w:sz="0" w:space="0" w:color="auto"/>
                <w:left w:val="none" w:sz="0" w:space="0" w:color="auto"/>
                <w:bottom w:val="none" w:sz="0" w:space="0" w:color="auto"/>
                <w:right w:val="none" w:sz="0" w:space="0" w:color="auto"/>
              </w:divBdr>
              <w:divsChild>
                <w:div w:id="184432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290494">
      <w:bodyDiv w:val="1"/>
      <w:marLeft w:val="0"/>
      <w:marRight w:val="0"/>
      <w:marTop w:val="0"/>
      <w:marBottom w:val="0"/>
      <w:divBdr>
        <w:top w:val="none" w:sz="0" w:space="0" w:color="auto"/>
        <w:left w:val="none" w:sz="0" w:space="0" w:color="auto"/>
        <w:bottom w:val="none" w:sz="0" w:space="0" w:color="auto"/>
        <w:right w:val="none" w:sz="0" w:space="0" w:color="auto"/>
      </w:divBdr>
      <w:divsChild>
        <w:div w:id="1348286923">
          <w:marLeft w:val="-240"/>
          <w:marRight w:val="-240"/>
          <w:marTop w:val="0"/>
          <w:marBottom w:val="0"/>
          <w:divBdr>
            <w:top w:val="none" w:sz="0" w:space="0" w:color="auto"/>
            <w:left w:val="none" w:sz="0" w:space="0" w:color="auto"/>
            <w:bottom w:val="none" w:sz="0" w:space="0" w:color="auto"/>
            <w:right w:val="none" w:sz="0" w:space="0" w:color="auto"/>
          </w:divBdr>
          <w:divsChild>
            <w:div w:id="1008337525">
              <w:marLeft w:val="0"/>
              <w:marRight w:val="0"/>
              <w:marTop w:val="0"/>
              <w:marBottom w:val="0"/>
              <w:divBdr>
                <w:top w:val="none" w:sz="0" w:space="0" w:color="auto"/>
                <w:left w:val="none" w:sz="0" w:space="0" w:color="auto"/>
                <w:bottom w:val="none" w:sz="0" w:space="0" w:color="auto"/>
                <w:right w:val="none" w:sz="0" w:space="0" w:color="auto"/>
              </w:divBdr>
              <w:divsChild>
                <w:div w:id="1625692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461801">
      <w:bodyDiv w:val="1"/>
      <w:marLeft w:val="0"/>
      <w:marRight w:val="0"/>
      <w:marTop w:val="0"/>
      <w:marBottom w:val="0"/>
      <w:divBdr>
        <w:top w:val="none" w:sz="0" w:space="0" w:color="auto"/>
        <w:left w:val="none" w:sz="0" w:space="0" w:color="auto"/>
        <w:bottom w:val="none" w:sz="0" w:space="0" w:color="auto"/>
        <w:right w:val="none" w:sz="0" w:space="0" w:color="auto"/>
      </w:divBdr>
      <w:divsChild>
        <w:div w:id="806313929">
          <w:marLeft w:val="-240"/>
          <w:marRight w:val="-240"/>
          <w:marTop w:val="0"/>
          <w:marBottom w:val="0"/>
          <w:divBdr>
            <w:top w:val="none" w:sz="0" w:space="0" w:color="auto"/>
            <w:left w:val="none" w:sz="0" w:space="0" w:color="auto"/>
            <w:bottom w:val="none" w:sz="0" w:space="0" w:color="auto"/>
            <w:right w:val="none" w:sz="0" w:space="0" w:color="auto"/>
          </w:divBdr>
          <w:divsChild>
            <w:div w:id="467863087">
              <w:marLeft w:val="0"/>
              <w:marRight w:val="0"/>
              <w:marTop w:val="0"/>
              <w:marBottom w:val="0"/>
              <w:divBdr>
                <w:top w:val="none" w:sz="0" w:space="0" w:color="auto"/>
                <w:left w:val="none" w:sz="0" w:space="0" w:color="auto"/>
                <w:bottom w:val="none" w:sz="0" w:space="0" w:color="auto"/>
                <w:right w:val="none" w:sz="0" w:space="0" w:color="auto"/>
              </w:divBdr>
              <w:divsChild>
                <w:div w:id="1020662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558168">
      <w:bodyDiv w:val="1"/>
      <w:marLeft w:val="0"/>
      <w:marRight w:val="0"/>
      <w:marTop w:val="0"/>
      <w:marBottom w:val="0"/>
      <w:divBdr>
        <w:top w:val="none" w:sz="0" w:space="0" w:color="auto"/>
        <w:left w:val="none" w:sz="0" w:space="0" w:color="auto"/>
        <w:bottom w:val="none" w:sz="0" w:space="0" w:color="auto"/>
        <w:right w:val="none" w:sz="0" w:space="0" w:color="auto"/>
      </w:divBdr>
      <w:divsChild>
        <w:div w:id="1484270977">
          <w:marLeft w:val="-240"/>
          <w:marRight w:val="-240"/>
          <w:marTop w:val="0"/>
          <w:marBottom w:val="0"/>
          <w:divBdr>
            <w:top w:val="none" w:sz="0" w:space="0" w:color="auto"/>
            <w:left w:val="none" w:sz="0" w:space="0" w:color="auto"/>
            <w:bottom w:val="none" w:sz="0" w:space="0" w:color="auto"/>
            <w:right w:val="none" w:sz="0" w:space="0" w:color="auto"/>
          </w:divBdr>
          <w:divsChild>
            <w:div w:id="395786049">
              <w:marLeft w:val="0"/>
              <w:marRight w:val="0"/>
              <w:marTop w:val="0"/>
              <w:marBottom w:val="0"/>
              <w:divBdr>
                <w:top w:val="none" w:sz="0" w:space="0" w:color="auto"/>
                <w:left w:val="none" w:sz="0" w:space="0" w:color="auto"/>
                <w:bottom w:val="none" w:sz="0" w:space="0" w:color="auto"/>
                <w:right w:val="none" w:sz="0" w:space="0" w:color="auto"/>
              </w:divBdr>
              <w:divsChild>
                <w:div w:id="64894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532880">
      <w:bodyDiv w:val="1"/>
      <w:marLeft w:val="0"/>
      <w:marRight w:val="0"/>
      <w:marTop w:val="0"/>
      <w:marBottom w:val="0"/>
      <w:divBdr>
        <w:top w:val="none" w:sz="0" w:space="0" w:color="auto"/>
        <w:left w:val="none" w:sz="0" w:space="0" w:color="auto"/>
        <w:bottom w:val="none" w:sz="0" w:space="0" w:color="auto"/>
        <w:right w:val="none" w:sz="0" w:space="0" w:color="auto"/>
      </w:divBdr>
      <w:divsChild>
        <w:div w:id="1011033189">
          <w:marLeft w:val="-240"/>
          <w:marRight w:val="-240"/>
          <w:marTop w:val="0"/>
          <w:marBottom w:val="0"/>
          <w:divBdr>
            <w:top w:val="none" w:sz="0" w:space="0" w:color="auto"/>
            <w:left w:val="none" w:sz="0" w:space="0" w:color="auto"/>
            <w:bottom w:val="none" w:sz="0" w:space="0" w:color="auto"/>
            <w:right w:val="none" w:sz="0" w:space="0" w:color="auto"/>
          </w:divBdr>
          <w:divsChild>
            <w:div w:id="1352613040">
              <w:marLeft w:val="0"/>
              <w:marRight w:val="0"/>
              <w:marTop w:val="0"/>
              <w:marBottom w:val="0"/>
              <w:divBdr>
                <w:top w:val="none" w:sz="0" w:space="0" w:color="auto"/>
                <w:left w:val="none" w:sz="0" w:space="0" w:color="auto"/>
                <w:bottom w:val="none" w:sz="0" w:space="0" w:color="auto"/>
                <w:right w:val="none" w:sz="0" w:space="0" w:color="auto"/>
              </w:divBdr>
              <w:divsChild>
                <w:div w:id="1636792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663051">
      <w:bodyDiv w:val="1"/>
      <w:marLeft w:val="0"/>
      <w:marRight w:val="0"/>
      <w:marTop w:val="0"/>
      <w:marBottom w:val="0"/>
      <w:divBdr>
        <w:top w:val="none" w:sz="0" w:space="0" w:color="auto"/>
        <w:left w:val="none" w:sz="0" w:space="0" w:color="auto"/>
        <w:bottom w:val="none" w:sz="0" w:space="0" w:color="auto"/>
        <w:right w:val="none" w:sz="0" w:space="0" w:color="auto"/>
      </w:divBdr>
      <w:divsChild>
        <w:div w:id="335500055">
          <w:marLeft w:val="-240"/>
          <w:marRight w:val="-240"/>
          <w:marTop w:val="0"/>
          <w:marBottom w:val="0"/>
          <w:divBdr>
            <w:top w:val="none" w:sz="0" w:space="0" w:color="auto"/>
            <w:left w:val="none" w:sz="0" w:space="0" w:color="auto"/>
            <w:bottom w:val="none" w:sz="0" w:space="0" w:color="auto"/>
            <w:right w:val="none" w:sz="0" w:space="0" w:color="auto"/>
          </w:divBdr>
          <w:divsChild>
            <w:div w:id="1813718089">
              <w:marLeft w:val="0"/>
              <w:marRight w:val="0"/>
              <w:marTop w:val="0"/>
              <w:marBottom w:val="0"/>
              <w:divBdr>
                <w:top w:val="none" w:sz="0" w:space="0" w:color="auto"/>
                <w:left w:val="none" w:sz="0" w:space="0" w:color="auto"/>
                <w:bottom w:val="none" w:sz="0" w:space="0" w:color="auto"/>
                <w:right w:val="none" w:sz="0" w:space="0" w:color="auto"/>
              </w:divBdr>
              <w:divsChild>
                <w:div w:id="118602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050295">
      <w:bodyDiv w:val="1"/>
      <w:marLeft w:val="0"/>
      <w:marRight w:val="0"/>
      <w:marTop w:val="0"/>
      <w:marBottom w:val="0"/>
      <w:divBdr>
        <w:top w:val="none" w:sz="0" w:space="0" w:color="auto"/>
        <w:left w:val="none" w:sz="0" w:space="0" w:color="auto"/>
        <w:bottom w:val="none" w:sz="0" w:space="0" w:color="auto"/>
        <w:right w:val="none" w:sz="0" w:space="0" w:color="auto"/>
      </w:divBdr>
      <w:divsChild>
        <w:div w:id="1219510832">
          <w:marLeft w:val="-240"/>
          <w:marRight w:val="-240"/>
          <w:marTop w:val="0"/>
          <w:marBottom w:val="0"/>
          <w:divBdr>
            <w:top w:val="none" w:sz="0" w:space="0" w:color="auto"/>
            <w:left w:val="none" w:sz="0" w:space="0" w:color="auto"/>
            <w:bottom w:val="none" w:sz="0" w:space="0" w:color="auto"/>
            <w:right w:val="none" w:sz="0" w:space="0" w:color="auto"/>
          </w:divBdr>
          <w:divsChild>
            <w:div w:id="1103526115">
              <w:marLeft w:val="0"/>
              <w:marRight w:val="0"/>
              <w:marTop w:val="0"/>
              <w:marBottom w:val="0"/>
              <w:divBdr>
                <w:top w:val="none" w:sz="0" w:space="0" w:color="auto"/>
                <w:left w:val="none" w:sz="0" w:space="0" w:color="auto"/>
                <w:bottom w:val="none" w:sz="0" w:space="0" w:color="auto"/>
                <w:right w:val="none" w:sz="0" w:space="0" w:color="auto"/>
              </w:divBdr>
              <w:divsChild>
                <w:div w:id="1102452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492129">
      <w:bodyDiv w:val="1"/>
      <w:marLeft w:val="0"/>
      <w:marRight w:val="0"/>
      <w:marTop w:val="0"/>
      <w:marBottom w:val="0"/>
      <w:divBdr>
        <w:top w:val="none" w:sz="0" w:space="0" w:color="auto"/>
        <w:left w:val="none" w:sz="0" w:space="0" w:color="auto"/>
        <w:bottom w:val="none" w:sz="0" w:space="0" w:color="auto"/>
        <w:right w:val="none" w:sz="0" w:space="0" w:color="auto"/>
      </w:divBdr>
      <w:divsChild>
        <w:div w:id="615331555">
          <w:marLeft w:val="-240"/>
          <w:marRight w:val="-240"/>
          <w:marTop w:val="0"/>
          <w:marBottom w:val="0"/>
          <w:divBdr>
            <w:top w:val="none" w:sz="0" w:space="0" w:color="auto"/>
            <w:left w:val="none" w:sz="0" w:space="0" w:color="auto"/>
            <w:bottom w:val="none" w:sz="0" w:space="0" w:color="auto"/>
            <w:right w:val="none" w:sz="0" w:space="0" w:color="auto"/>
          </w:divBdr>
          <w:divsChild>
            <w:div w:id="323819366">
              <w:marLeft w:val="0"/>
              <w:marRight w:val="0"/>
              <w:marTop w:val="0"/>
              <w:marBottom w:val="0"/>
              <w:divBdr>
                <w:top w:val="none" w:sz="0" w:space="0" w:color="auto"/>
                <w:left w:val="none" w:sz="0" w:space="0" w:color="auto"/>
                <w:bottom w:val="none" w:sz="0" w:space="0" w:color="auto"/>
                <w:right w:val="none" w:sz="0" w:space="0" w:color="auto"/>
              </w:divBdr>
              <w:divsChild>
                <w:div w:id="1662001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966514">
      <w:bodyDiv w:val="1"/>
      <w:marLeft w:val="0"/>
      <w:marRight w:val="0"/>
      <w:marTop w:val="0"/>
      <w:marBottom w:val="0"/>
      <w:divBdr>
        <w:top w:val="none" w:sz="0" w:space="0" w:color="auto"/>
        <w:left w:val="none" w:sz="0" w:space="0" w:color="auto"/>
        <w:bottom w:val="none" w:sz="0" w:space="0" w:color="auto"/>
        <w:right w:val="none" w:sz="0" w:space="0" w:color="auto"/>
      </w:divBdr>
    </w:div>
    <w:div w:id="1138960270">
      <w:bodyDiv w:val="1"/>
      <w:marLeft w:val="0"/>
      <w:marRight w:val="0"/>
      <w:marTop w:val="0"/>
      <w:marBottom w:val="0"/>
      <w:divBdr>
        <w:top w:val="none" w:sz="0" w:space="0" w:color="auto"/>
        <w:left w:val="none" w:sz="0" w:space="0" w:color="auto"/>
        <w:bottom w:val="none" w:sz="0" w:space="0" w:color="auto"/>
        <w:right w:val="none" w:sz="0" w:space="0" w:color="auto"/>
      </w:divBdr>
      <w:divsChild>
        <w:div w:id="1497651725">
          <w:marLeft w:val="-240"/>
          <w:marRight w:val="-240"/>
          <w:marTop w:val="0"/>
          <w:marBottom w:val="0"/>
          <w:divBdr>
            <w:top w:val="none" w:sz="0" w:space="0" w:color="auto"/>
            <w:left w:val="none" w:sz="0" w:space="0" w:color="auto"/>
            <w:bottom w:val="none" w:sz="0" w:space="0" w:color="auto"/>
            <w:right w:val="none" w:sz="0" w:space="0" w:color="auto"/>
          </w:divBdr>
          <w:divsChild>
            <w:div w:id="171380462">
              <w:marLeft w:val="0"/>
              <w:marRight w:val="0"/>
              <w:marTop w:val="0"/>
              <w:marBottom w:val="0"/>
              <w:divBdr>
                <w:top w:val="none" w:sz="0" w:space="0" w:color="auto"/>
                <w:left w:val="none" w:sz="0" w:space="0" w:color="auto"/>
                <w:bottom w:val="none" w:sz="0" w:space="0" w:color="auto"/>
                <w:right w:val="none" w:sz="0" w:space="0" w:color="auto"/>
              </w:divBdr>
              <w:divsChild>
                <w:div w:id="171180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618971">
      <w:bodyDiv w:val="1"/>
      <w:marLeft w:val="0"/>
      <w:marRight w:val="0"/>
      <w:marTop w:val="0"/>
      <w:marBottom w:val="0"/>
      <w:divBdr>
        <w:top w:val="none" w:sz="0" w:space="0" w:color="auto"/>
        <w:left w:val="none" w:sz="0" w:space="0" w:color="auto"/>
        <w:bottom w:val="none" w:sz="0" w:space="0" w:color="auto"/>
        <w:right w:val="none" w:sz="0" w:space="0" w:color="auto"/>
      </w:divBdr>
      <w:divsChild>
        <w:div w:id="387924525">
          <w:marLeft w:val="-240"/>
          <w:marRight w:val="-240"/>
          <w:marTop w:val="0"/>
          <w:marBottom w:val="0"/>
          <w:divBdr>
            <w:top w:val="none" w:sz="0" w:space="0" w:color="auto"/>
            <w:left w:val="none" w:sz="0" w:space="0" w:color="auto"/>
            <w:bottom w:val="none" w:sz="0" w:space="0" w:color="auto"/>
            <w:right w:val="none" w:sz="0" w:space="0" w:color="auto"/>
          </w:divBdr>
          <w:divsChild>
            <w:div w:id="1870222159">
              <w:marLeft w:val="0"/>
              <w:marRight w:val="0"/>
              <w:marTop w:val="0"/>
              <w:marBottom w:val="0"/>
              <w:divBdr>
                <w:top w:val="none" w:sz="0" w:space="0" w:color="auto"/>
                <w:left w:val="none" w:sz="0" w:space="0" w:color="auto"/>
                <w:bottom w:val="none" w:sz="0" w:space="0" w:color="auto"/>
                <w:right w:val="none" w:sz="0" w:space="0" w:color="auto"/>
              </w:divBdr>
              <w:divsChild>
                <w:div w:id="55327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357882">
      <w:bodyDiv w:val="1"/>
      <w:marLeft w:val="0"/>
      <w:marRight w:val="0"/>
      <w:marTop w:val="0"/>
      <w:marBottom w:val="0"/>
      <w:divBdr>
        <w:top w:val="none" w:sz="0" w:space="0" w:color="auto"/>
        <w:left w:val="none" w:sz="0" w:space="0" w:color="auto"/>
        <w:bottom w:val="none" w:sz="0" w:space="0" w:color="auto"/>
        <w:right w:val="none" w:sz="0" w:space="0" w:color="auto"/>
      </w:divBdr>
      <w:divsChild>
        <w:div w:id="1453554251">
          <w:marLeft w:val="-240"/>
          <w:marRight w:val="-240"/>
          <w:marTop w:val="0"/>
          <w:marBottom w:val="0"/>
          <w:divBdr>
            <w:top w:val="none" w:sz="0" w:space="0" w:color="auto"/>
            <w:left w:val="none" w:sz="0" w:space="0" w:color="auto"/>
            <w:bottom w:val="none" w:sz="0" w:space="0" w:color="auto"/>
            <w:right w:val="none" w:sz="0" w:space="0" w:color="auto"/>
          </w:divBdr>
          <w:divsChild>
            <w:div w:id="1511991338">
              <w:marLeft w:val="0"/>
              <w:marRight w:val="0"/>
              <w:marTop w:val="0"/>
              <w:marBottom w:val="0"/>
              <w:divBdr>
                <w:top w:val="none" w:sz="0" w:space="0" w:color="auto"/>
                <w:left w:val="none" w:sz="0" w:space="0" w:color="auto"/>
                <w:bottom w:val="none" w:sz="0" w:space="0" w:color="auto"/>
                <w:right w:val="none" w:sz="0" w:space="0" w:color="auto"/>
              </w:divBdr>
              <w:divsChild>
                <w:div w:id="1618874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665130">
      <w:bodyDiv w:val="1"/>
      <w:marLeft w:val="0"/>
      <w:marRight w:val="0"/>
      <w:marTop w:val="0"/>
      <w:marBottom w:val="0"/>
      <w:divBdr>
        <w:top w:val="none" w:sz="0" w:space="0" w:color="auto"/>
        <w:left w:val="none" w:sz="0" w:space="0" w:color="auto"/>
        <w:bottom w:val="none" w:sz="0" w:space="0" w:color="auto"/>
        <w:right w:val="none" w:sz="0" w:space="0" w:color="auto"/>
      </w:divBdr>
    </w:div>
    <w:div w:id="1149784332">
      <w:bodyDiv w:val="1"/>
      <w:marLeft w:val="0"/>
      <w:marRight w:val="0"/>
      <w:marTop w:val="0"/>
      <w:marBottom w:val="0"/>
      <w:divBdr>
        <w:top w:val="none" w:sz="0" w:space="0" w:color="auto"/>
        <w:left w:val="none" w:sz="0" w:space="0" w:color="auto"/>
        <w:bottom w:val="none" w:sz="0" w:space="0" w:color="auto"/>
        <w:right w:val="none" w:sz="0" w:space="0" w:color="auto"/>
      </w:divBdr>
      <w:divsChild>
        <w:div w:id="1607031976">
          <w:marLeft w:val="-240"/>
          <w:marRight w:val="-240"/>
          <w:marTop w:val="0"/>
          <w:marBottom w:val="0"/>
          <w:divBdr>
            <w:top w:val="none" w:sz="0" w:space="0" w:color="auto"/>
            <w:left w:val="none" w:sz="0" w:space="0" w:color="auto"/>
            <w:bottom w:val="none" w:sz="0" w:space="0" w:color="auto"/>
            <w:right w:val="none" w:sz="0" w:space="0" w:color="auto"/>
          </w:divBdr>
          <w:divsChild>
            <w:div w:id="1696881713">
              <w:marLeft w:val="0"/>
              <w:marRight w:val="0"/>
              <w:marTop w:val="0"/>
              <w:marBottom w:val="0"/>
              <w:divBdr>
                <w:top w:val="none" w:sz="0" w:space="0" w:color="auto"/>
                <w:left w:val="none" w:sz="0" w:space="0" w:color="auto"/>
                <w:bottom w:val="none" w:sz="0" w:space="0" w:color="auto"/>
                <w:right w:val="none" w:sz="0" w:space="0" w:color="auto"/>
              </w:divBdr>
              <w:divsChild>
                <w:div w:id="1821652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600513">
      <w:bodyDiv w:val="1"/>
      <w:marLeft w:val="0"/>
      <w:marRight w:val="0"/>
      <w:marTop w:val="0"/>
      <w:marBottom w:val="0"/>
      <w:divBdr>
        <w:top w:val="none" w:sz="0" w:space="0" w:color="auto"/>
        <w:left w:val="none" w:sz="0" w:space="0" w:color="auto"/>
        <w:bottom w:val="none" w:sz="0" w:space="0" w:color="auto"/>
        <w:right w:val="none" w:sz="0" w:space="0" w:color="auto"/>
      </w:divBdr>
      <w:divsChild>
        <w:div w:id="493691995">
          <w:marLeft w:val="-240"/>
          <w:marRight w:val="-240"/>
          <w:marTop w:val="0"/>
          <w:marBottom w:val="0"/>
          <w:divBdr>
            <w:top w:val="none" w:sz="0" w:space="0" w:color="auto"/>
            <w:left w:val="none" w:sz="0" w:space="0" w:color="auto"/>
            <w:bottom w:val="none" w:sz="0" w:space="0" w:color="auto"/>
            <w:right w:val="none" w:sz="0" w:space="0" w:color="auto"/>
          </w:divBdr>
          <w:divsChild>
            <w:div w:id="1186552382">
              <w:marLeft w:val="0"/>
              <w:marRight w:val="0"/>
              <w:marTop w:val="0"/>
              <w:marBottom w:val="0"/>
              <w:divBdr>
                <w:top w:val="none" w:sz="0" w:space="0" w:color="auto"/>
                <w:left w:val="none" w:sz="0" w:space="0" w:color="auto"/>
                <w:bottom w:val="none" w:sz="0" w:space="0" w:color="auto"/>
                <w:right w:val="none" w:sz="0" w:space="0" w:color="auto"/>
              </w:divBdr>
              <w:divsChild>
                <w:div w:id="59574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514372">
      <w:bodyDiv w:val="1"/>
      <w:marLeft w:val="0"/>
      <w:marRight w:val="0"/>
      <w:marTop w:val="0"/>
      <w:marBottom w:val="0"/>
      <w:divBdr>
        <w:top w:val="none" w:sz="0" w:space="0" w:color="auto"/>
        <w:left w:val="none" w:sz="0" w:space="0" w:color="auto"/>
        <w:bottom w:val="none" w:sz="0" w:space="0" w:color="auto"/>
        <w:right w:val="none" w:sz="0" w:space="0" w:color="auto"/>
      </w:divBdr>
    </w:div>
    <w:div w:id="1172647509">
      <w:bodyDiv w:val="1"/>
      <w:marLeft w:val="0"/>
      <w:marRight w:val="0"/>
      <w:marTop w:val="0"/>
      <w:marBottom w:val="0"/>
      <w:divBdr>
        <w:top w:val="none" w:sz="0" w:space="0" w:color="auto"/>
        <w:left w:val="none" w:sz="0" w:space="0" w:color="auto"/>
        <w:bottom w:val="none" w:sz="0" w:space="0" w:color="auto"/>
        <w:right w:val="none" w:sz="0" w:space="0" w:color="auto"/>
      </w:divBdr>
      <w:divsChild>
        <w:div w:id="79329137">
          <w:marLeft w:val="-240"/>
          <w:marRight w:val="-240"/>
          <w:marTop w:val="0"/>
          <w:marBottom w:val="0"/>
          <w:divBdr>
            <w:top w:val="none" w:sz="0" w:space="0" w:color="auto"/>
            <w:left w:val="none" w:sz="0" w:space="0" w:color="auto"/>
            <w:bottom w:val="none" w:sz="0" w:space="0" w:color="auto"/>
            <w:right w:val="none" w:sz="0" w:space="0" w:color="auto"/>
          </w:divBdr>
          <w:divsChild>
            <w:div w:id="1762145877">
              <w:marLeft w:val="0"/>
              <w:marRight w:val="0"/>
              <w:marTop w:val="0"/>
              <w:marBottom w:val="0"/>
              <w:divBdr>
                <w:top w:val="none" w:sz="0" w:space="0" w:color="auto"/>
                <w:left w:val="none" w:sz="0" w:space="0" w:color="auto"/>
                <w:bottom w:val="none" w:sz="0" w:space="0" w:color="auto"/>
                <w:right w:val="none" w:sz="0" w:space="0" w:color="auto"/>
              </w:divBdr>
              <w:divsChild>
                <w:div w:id="779492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754189">
      <w:bodyDiv w:val="1"/>
      <w:marLeft w:val="0"/>
      <w:marRight w:val="0"/>
      <w:marTop w:val="0"/>
      <w:marBottom w:val="0"/>
      <w:divBdr>
        <w:top w:val="none" w:sz="0" w:space="0" w:color="auto"/>
        <w:left w:val="none" w:sz="0" w:space="0" w:color="auto"/>
        <w:bottom w:val="none" w:sz="0" w:space="0" w:color="auto"/>
        <w:right w:val="none" w:sz="0" w:space="0" w:color="auto"/>
      </w:divBdr>
      <w:divsChild>
        <w:div w:id="1389301329">
          <w:marLeft w:val="-240"/>
          <w:marRight w:val="-240"/>
          <w:marTop w:val="0"/>
          <w:marBottom w:val="0"/>
          <w:divBdr>
            <w:top w:val="none" w:sz="0" w:space="0" w:color="auto"/>
            <w:left w:val="none" w:sz="0" w:space="0" w:color="auto"/>
            <w:bottom w:val="none" w:sz="0" w:space="0" w:color="auto"/>
            <w:right w:val="none" w:sz="0" w:space="0" w:color="auto"/>
          </w:divBdr>
          <w:divsChild>
            <w:div w:id="1636450384">
              <w:marLeft w:val="0"/>
              <w:marRight w:val="0"/>
              <w:marTop w:val="0"/>
              <w:marBottom w:val="0"/>
              <w:divBdr>
                <w:top w:val="none" w:sz="0" w:space="0" w:color="auto"/>
                <w:left w:val="none" w:sz="0" w:space="0" w:color="auto"/>
                <w:bottom w:val="none" w:sz="0" w:space="0" w:color="auto"/>
                <w:right w:val="none" w:sz="0" w:space="0" w:color="auto"/>
              </w:divBdr>
              <w:divsChild>
                <w:div w:id="1158155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018870">
      <w:bodyDiv w:val="1"/>
      <w:marLeft w:val="0"/>
      <w:marRight w:val="0"/>
      <w:marTop w:val="0"/>
      <w:marBottom w:val="0"/>
      <w:divBdr>
        <w:top w:val="none" w:sz="0" w:space="0" w:color="auto"/>
        <w:left w:val="none" w:sz="0" w:space="0" w:color="auto"/>
        <w:bottom w:val="none" w:sz="0" w:space="0" w:color="auto"/>
        <w:right w:val="none" w:sz="0" w:space="0" w:color="auto"/>
      </w:divBdr>
      <w:divsChild>
        <w:div w:id="40443538">
          <w:marLeft w:val="-240"/>
          <w:marRight w:val="-240"/>
          <w:marTop w:val="0"/>
          <w:marBottom w:val="0"/>
          <w:divBdr>
            <w:top w:val="none" w:sz="0" w:space="0" w:color="auto"/>
            <w:left w:val="none" w:sz="0" w:space="0" w:color="auto"/>
            <w:bottom w:val="none" w:sz="0" w:space="0" w:color="auto"/>
            <w:right w:val="none" w:sz="0" w:space="0" w:color="auto"/>
          </w:divBdr>
          <w:divsChild>
            <w:div w:id="868690457">
              <w:marLeft w:val="0"/>
              <w:marRight w:val="0"/>
              <w:marTop w:val="0"/>
              <w:marBottom w:val="0"/>
              <w:divBdr>
                <w:top w:val="none" w:sz="0" w:space="0" w:color="auto"/>
                <w:left w:val="none" w:sz="0" w:space="0" w:color="auto"/>
                <w:bottom w:val="none" w:sz="0" w:space="0" w:color="auto"/>
                <w:right w:val="none" w:sz="0" w:space="0" w:color="auto"/>
              </w:divBdr>
              <w:divsChild>
                <w:div w:id="419528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380343">
      <w:bodyDiv w:val="1"/>
      <w:marLeft w:val="0"/>
      <w:marRight w:val="0"/>
      <w:marTop w:val="0"/>
      <w:marBottom w:val="0"/>
      <w:divBdr>
        <w:top w:val="none" w:sz="0" w:space="0" w:color="auto"/>
        <w:left w:val="none" w:sz="0" w:space="0" w:color="auto"/>
        <w:bottom w:val="none" w:sz="0" w:space="0" w:color="auto"/>
        <w:right w:val="none" w:sz="0" w:space="0" w:color="auto"/>
      </w:divBdr>
      <w:divsChild>
        <w:div w:id="613053567">
          <w:marLeft w:val="-240"/>
          <w:marRight w:val="-240"/>
          <w:marTop w:val="0"/>
          <w:marBottom w:val="0"/>
          <w:divBdr>
            <w:top w:val="none" w:sz="0" w:space="0" w:color="auto"/>
            <w:left w:val="none" w:sz="0" w:space="0" w:color="auto"/>
            <w:bottom w:val="none" w:sz="0" w:space="0" w:color="auto"/>
            <w:right w:val="none" w:sz="0" w:space="0" w:color="auto"/>
          </w:divBdr>
          <w:divsChild>
            <w:div w:id="1107387160">
              <w:marLeft w:val="0"/>
              <w:marRight w:val="0"/>
              <w:marTop w:val="0"/>
              <w:marBottom w:val="0"/>
              <w:divBdr>
                <w:top w:val="none" w:sz="0" w:space="0" w:color="auto"/>
                <w:left w:val="none" w:sz="0" w:space="0" w:color="auto"/>
                <w:bottom w:val="none" w:sz="0" w:space="0" w:color="auto"/>
                <w:right w:val="none" w:sz="0" w:space="0" w:color="auto"/>
              </w:divBdr>
              <w:divsChild>
                <w:div w:id="125174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241786">
      <w:bodyDiv w:val="1"/>
      <w:marLeft w:val="0"/>
      <w:marRight w:val="0"/>
      <w:marTop w:val="0"/>
      <w:marBottom w:val="0"/>
      <w:divBdr>
        <w:top w:val="none" w:sz="0" w:space="0" w:color="auto"/>
        <w:left w:val="none" w:sz="0" w:space="0" w:color="auto"/>
        <w:bottom w:val="none" w:sz="0" w:space="0" w:color="auto"/>
        <w:right w:val="none" w:sz="0" w:space="0" w:color="auto"/>
      </w:divBdr>
      <w:divsChild>
        <w:div w:id="918094737">
          <w:marLeft w:val="-240"/>
          <w:marRight w:val="-240"/>
          <w:marTop w:val="0"/>
          <w:marBottom w:val="0"/>
          <w:divBdr>
            <w:top w:val="none" w:sz="0" w:space="0" w:color="auto"/>
            <w:left w:val="none" w:sz="0" w:space="0" w:color="auto"/>
            <w:bottom w:val="none" w:sz="0" w:space="0" w:color="auto"/>
            <w:right w:val="none" w:sz="0" w:space="0" w:color="auto"/>
          </w:divBdr>
          <w:divsChild>
            <w:div w:id="1599747961">
              <w:marLeft w:val="0"/>
              <w:marRight w:val="0"/>
              <w:marTop w:val="0"/>
              <w:marBottom w:val="0"/>
              <w:divBdr>
                <w:top w:val="none" w:sz="0" w:space="0" w:color="auto"/>
                <w:left w:val="none" w:sz="0" w:space="0" w:color="auto"/>
                <w:bottom w:val="none" w:sz="0" w:space="0" w:color="auto"/>
                <w:right w:val="none" w:sz="0" w:space="0" w:color="auto"/>
              </w:divBdr>
              <w:divsChild>
                <w:div w:id="456534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407344">
      <w:bodyDiv w:val="1"/>
      <w:marLeft w:val="0"/>
      <w:marRight w:val="0"/>
      <w:marTop w:val="0"/>
      <w:marBottom w:val="0"/>
      <w:divBdr>
        <w:top w:val="none" w:sz="0" w:space="0" w:color="auto"/>
        <w:left w:val="none" w:sz="0" w:space="0" w:color="auto"/>
        <w:bottom w:val="none" w:sz="0" w:space="0" w:color="auto"/>
        <w:right w:val="none" w:sz="0" w:space="0" w:color="auto"/>
      </w:divBdr>
      <w:divsChild>
        <w:div w:id="1494293374">
          <w:marLeft w:val="-240"/>
          <w:marRight w:val="-240"/>
          <w:marTop w:val="0"/>
          <w:marBottom w:val="0"/>
          <w:divBdr>
            <w:top w:val="none" w:sz="0" w:space="0" w:color="auto"/>
            <w:left w:val="none" w:sz="0" w:space="0" w:color="auto"/>
            <w:bottom w:val="none" w:sz="0" w:space="0" w:color="auto"/>
            <w:right w:val="none" w:sz="0" w:space="0" w:color="auto"/>
          </w:divBdr>
          <w:divsChild>
            <w:div w:id="864946516">
              <w:marLeft w:val="0"/>
              <w:marRight w:val="0"/>
              <w:marTop w:val="0"/>
              <w:marBottom w:val="0"/>
              <w:divBdr>
                <w:top w:val="none" w:sz="0" w:space="0" w:color="auto"/>
                <w:left w:val="none" w:sz="0" w:space="0" w:color="auto"/>
                <w:bottom w:val="none" w:sz="0" w:space="0" w:color="auto"/>
                <w:right w:val="none" w:sz="0" w:space="0" w:color="auto"/>
              </w:divBdr>
              <w:divsChild>
                <w:div w:id="2146703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520665">
      <w:bodyDiv w:val="1"/>
      <w:marLeft w:val="0"/>
      <w:marRight w:val="0"/>
      <w:marTop w:val="0"/>
      <w:marBottom w:val="0"/>
      <w:divBdr>
        <w:top w:val="none" w:sz="0" w:space="0" w:color="auto"/>
        <w:left w:val="none" w:sz="0" w:space="0" w:color="auto"/>
        <w:bottom w:val="none" w:sz="0" w:space="0" w:color="auto"/>
        <w:right w:val="none" w:sz="0" w:space="0" w:color="auto"/>
      </w:divBdr>
      <w:divsChild>
        <w:div w:id="1832409383">
          <w:marLeft w:val="-240"/>
          <w:marRight w:val="-240"/>
          <w:marTop w:val="0"/>
          <w:marBottom w:val="0"/>
          <w:divBdr>
            <w:top w:val="none" w:sz="0" w:space="0" w:color="auto"/>
            <w:left w:val="none" w:sz="0" w:space="0" w:color="auto"/>
            <w:bottom w:val="none" w:sz="0" w:space="0" w:color="auto"/>
            <w:right w:val="none" w:sz="0" w:space="0" w:color="auto"/>
          </w:divBdr>
          <w:divsChild>
            <w:div w:id="535657273">
              <w:marLeft w:val="0"/>
              <w:marRight w:val="0"/>
              <w:marTop w:val="0"/>
              <w:marBottom w:val="0"/>
              <w:divBdr>
                <w:top w:val="none" w:sz="0" w:space="0" w:color="auto"/>
                <w:left w:val="none" w:sz="0" w:space="0" w:color="auto"/>
                <w:bottom w:val="none" w:sz="0" w:space="0" w:color="auto"/>
                <w:right w:val="none" w:sz="0" w:space="0" w:color="auto"/>
              </w:divBdr>
              <w:divsChild>
                <w:div w:id="46524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691997">
      <w:bodyDiv w:val="1"/>
      <w:marLeft w:val="0"/>
      <w:marRight w:val="0"/>
      <w:marTop w:val="0"/>
      <w:marBottom w:val="0"/>
      <w:divBdr>
        <w:top w:val="none" w:sz="0" w:space="0" w:color="auto"/>
        <w:left w:val="none" w:sz="0" w:space="0" w:color="auto"/>
        <w:bottom w:val="none" w:sz="0" w:space="0" w:color="auto"/>
        <w:right w:val="none" w:sz="0" w:space="0" w:color="auto"/>
      </w:divBdr>
      <w:divsChild>
        <w:div w:id="1908101751">
          <w:marLeft w:val="-240"/>
          <w:marRight w:val="-240"/>
          <w:marTop w:val="0"/>
          <w:marBottom w:val="0"/>
          <w:divBdr>
            <w:top w:val="none" w:sz="0" w:space="0" w:color="auto"/>
            <w:left w:val="none" w:sz="0" w:space="0" w:color="auto"/>
            <w:bottom w:val="none" w:sz="0" w:space="0" w:color="auto"/>
            <w:right w:val="none" w:sz="0" w:space="0" w:color="auto"/>
          </w:divBdr>
          <w:divsChild>
            <w:div w:id="579218832">
              <w:marLeft w:val="0"/>
              <w:marRight w:val="0"/>
              <w:marTop w:val="0"/>
              <w:marBottom w:val="0"/>
              <w:divBdr>
                <w:top w:val="none" w:sz="0" w:space="0" w:color="auto"/>
                <w:left w:val="none" w:sz="0" w:space="0" w:color="auto"/>
                <w:bottom w:val="none" w:sz="0" w:space="0" w:color="auto"/>
                <w:right w:val="none" w:sz="0" w:space="0" w:color="auto"/>
              </w:divBdr>
              <w:divsChild>
                <w:div w:id="14701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318037">
      <w:bodyDiv w:val="1"/>
      <w:marLeft w:val="0"/>
      <w:marRight w:val="0"/>
      <w:marTop w:val="0"/>
      <w:marBottom w:val="0"/>
      <w:divBdr>
        <w:top w:val="none" w:sz="0" w:space="0" w:color="auto"/>
        <w:left w:val="none" w:sz="0" w:space="0" w:color="auto"/>
        <w:bottom w:val="none" w:sz="0" w:space="0" w:color="auto"/>
        <w:right w:val="none" w:sz="0" w:space="0" w:color="auto"/>
      </w:divBdr>
      <w:divsChild>
        <w:div w:id="961770569">
          <w:marLeft w:val="-240"/>
          <w:marRight w:val="-240"/>
          <w:marTop w:val="0"/>
          <w:marBottom w:val="0"/>
          <w:divBdr>
            <w:top w:val="none" w:sz="0" w:space="0" w:color="auto"/>
            <w:left w:val="none" w:sz="0" w:space="0" w:color="auto"/>
            <w:bottom w:val="none" w:sz="0" w:space="0" w:color="auto"/>
            <w:right w:val="none" w:sz="0" w:space="0" w:color="auto"/>
          </w:divBdr>
          <w:divsChild>
            <w:div w:id="1900091528">
              <w:marLeft w:val="0"/>
              <w:marRight w:val="0"/>
              <w:marTop w:val="0"/>
              <w:marBottom w:val="0"/>
              <w:divBdr>
                <w:top w:val="none" w:sz="0" w:space="0" w:color="auto"/>
                <w:left w:val="none" w:sz="0" w:space="0" w:color="auto"/>
                <w:bottom w:val="none" w:sz="0" w:space="0" w:color="auto"/>
                <w:right w:val="none" w:sz="0" w:space="0" w:color="auto"/>
              </w:divBdr>
              <w:divsChild>
                <w:div w:id="609359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595628">
      <w:bodyDiv w:val="1"/>
      <w:marLeft w:val="0"/>
      <w:marRight w:val="0"/>
      <w:marTop w:val="0"/>
      <w:marBottom w:val="0"/>
      <w:divBdr>
        <w:top w:val="none" w:sz="0" w:space="0" w:color="auto"/>
        <w:left w:val="none" w:sz="0" w:space="0" w:color="auto"/>
        <w:bottom w:val="none" w:sz="0" w:space="0" w:color="auto"/>
        <w:right w:val="none" w:sz="0" w:space="0" w:color="auto"/>
      </w:divBdr>
    </w:div>
    <w:div w:id="1249196079">
      <w:bodyDiv w:val="1"/>
      <w:marLeft w:val="0"/>
      <w:marRight w:val="0"/>
      <w:marTop w:val="0"/>
      <w:marBottom w:val="0"/>
      <w:divBdr>
        <w:top w:val="none" w:sz="0" w:space="0" w:color="auto"/>
        <w:left w:val="none" w:sz="0" w:space="0" w:color="auto"/>
        <w:bottom w:val="none" w:sz="0" w:space="0" w:color="auto"/>
        <w:right w:val="none" w:sz="0" w:space="0" w:color="auto"/>
      </w:divBdr>
      <w:divsChild>
        <w:div w:id="1419256986">
          <w:marLeft w:val="-240"/>
          <w:marRight w:val="-240"/>
          <w:marTop w:val="0"/>
          <w:marBottom w:val="0"/>
          <w:divBdr>
            <w:top w:val="none" w:sz="0" w:space="0" w:color="auto"/>
            <w:left w:val="none" w:sz="0" w:space="0" w:color="auto"/>
            <w:bottom w:val="none" w:sz="0" w:space="0" w:color="auto"/>
            <w:right w:val="none" w:sz="0" w:space="0" w:color="auto"/>
          </w:divBdr>
          <w:divsChild>
            <w:div w:id="1194684016">
              <w:marLeft w:val="0"/>
              <w:marRight w:val="0"/>
              <w:marTop w:val="0"/>
              <w:marBottom w:val="0"/>
              <w:divBdr>
                <w:top w:val="none" w:sz="0" w:space="0" w:color="auto"/>
                <w:left w:val="none" w:sz="0" w:space="0" w:color="auto"/>
                <w:bottom w:val="none" w:sz="0" w:space="0" w:color="auto"/>
                <w:right w:val="none" w:sz="0" w:space="0" w:color="auto"/>
              </w:divBdr>
              <w:divsChild>
                <w:div w:id="187708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659750">
      <w:bodyDiv w:val="1"/>
      <w:marLeft w:val="0"/>
      <w:marRight w:val="0"/>
      <w:marTop w:val="0"/>
      <w:marBottom w:val="0"/>
      <w:divBdr>
        <w:top w:val="none" w:sz="0" w:space="0" w:color="auto"/>
        <w:left w:val="none" w:sz="0" w:space="0" w:color="auto"/>
        <w:bottom w:val="none" w:sz="0" w:space="0" w:color="auto"/>
        <w:right w:val="none" w:sz="0" w:space="0" w:color="auto"/>
      </w:divBdr>
      <w:divsChild>
        <w:div w:id="516584635">
          <w:marLeft w:val="-240"/>
          <w:marRight w:val="-240"/>
          <w:marTop w:val="0"/>
          <w:marBottom w:val="0"/>
          <w:divBdr>
            <w:top w:val="none" w:sz="0" w:space="0" w:color="auto"/>
            <w:left w:val="none" w:sz="0" w:space="0" w:color="auto"/>
            <w:bottom w:val="none" w:sz="0" w:space="0" w:color="auto"/>
            <w:right w:val="none" w:sz="0" w:space="0" w:color="auto"/>
          </w:divBdr>
          <w:divsChild>
            <w:div w:id="825973740">
              <w:marLeft w:val="0"/>
              <w:marRight w:val="0"/>
              <w:marTop w:val="0"/>
              <w:marBottom w:val="0"/>
              <w:divBdr>
                <w:top w:val="none" w:sz="0" w:space="0" w:color="auto"/>
                <w:left w:val="none" w:sz="0" w:space="0" w:color="auto"/>
                <w:bottom w:val="none" w:sz="0" w:space="0" w:color="auto"/>
                <w:right w:val="none" w:sz="0" w:space="0" w:color="auto"/>
              </w:divBdr>
              <w:divsChild>
                <w:div w:id="2037923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983694">
      <w:bodyDiv w:val="1"/>
      <w:marLeft w:val="0"/>
      <w:marRight w:val="0"/>
      <w:marTop w:val="0"/>
      <w:marBottom w:val="0"/>
      <w:divBdr>
        <w:top w:val="none" w:sz="0" w:space="0" w:color="auto"/>
        <w:left w:val="none" w:sz="0" w:space="0" w:color="auto"/>
        <w:bottom w:val="none" w:sz="0" w:space="0" w:color="auto"/>
        <w:right w:val="none" w:sz="0" w:space="0" w:color="auto"/>
      </w:divBdr>
      <w:divsChild>
        <w:div w:id="1285767555">
          <w:marLeft w:val="-240"/>
          <w:marRight w:val="-240"/>
          <w:marTop w:val="0"/>
          <w:marBottom w:val="0"/>
          <w:divBdr>
            <w:top w:val="none" w:sz="0" w:space="0" w:color="auto"/>
            <w:left w:val="none" w:sz="0" w:space="0" w:color="auto"/>
            <w:bottom w:val="none" w:sz="0" w:space="0" w:color="auto"/>
            <w:right w:val="none" w:sz="0" w:space="0" w:color="auto"/>
          </w:divBdr>
          <w:divsChild>
            <w:div w:id="2035881057">
              <w:marLeft w:val="0"/>
              <w:marRight w:val="0"/>
              <w:marTop w:val="0"/>
              <w:marBottom w:val="0"/>
              <w:divBdr>
                <w:top w:val="none" w:sz="0" w:space="0" w:color="auto"/>
                <w:left w:val="none" w:sz="0" w:space="0" w:color="auto"/>
                <w:bottom w:val="none" w:sz="0" w:space="0" w:color="auto"/>
                <w:right w:val="none" w:sz="0" w:space="0" w:color="auto"/>
              </w:divBdr>
              <w:divsChild>
                <w:div w:id="129868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095229">
      <w:bodyDiv w:val="1"/>
      <w:marLeft w:val="0"/>
      <w:marRight w:val="0"/>
      <w:marTop w:val="0"/>
      <w:marBottom w:val="0"/>
      <w:divBdr>
        <w:top w:val="none" w:sz="0" w:space="0" w:color="auto"/>
        <w:left w:val="none" w:sz="0" w:space="0" w:color="auto"/>
        <w:bottom w:val="none" w:sz="0" w:space="0" w:color="auto"/>
        <w:right w:val="none" w:sz="0" w:space="0" w:color="auto"/>
      </w:divBdr>
      <w:divsChild>
        <w:div w:id="151025094">
          <w:marLeft w:val="-240"/>
          <w:marRight w:val="-240"/>
          <w:marTop w:val="0"/>
          <w:marBottom w:val="0"/>
          <w:divBdr>
            <w:top w:val="none" w:sz="0" w:space="0" w:color="auto"/>
            <w:left w:val="none" w:sz="0" w:space="0" w:color="auto"/>
            <w:bottom w:val="none" w:sz="0" w:space="0" w:color="auto"/>
            <w:right w:val="none" w:sz="0" w:space="0" w:color="auto"/>
          </w:divBdr>
          <w:divsChild>
            <w:div w:id="1043362120">
              <w:marLeft w:val="0"/>
              <w:marRight w:val="0"/>
              <w:marTop w:val="0"/>
              <w:marBottom w:val="0"/>
              <w:divBdr>
                <w:top w:val="none" w:sz="0" w:space="0" w:color="auto"/>
                <w:left w:val="none" w:sz="0" w:space="0" w:color="auto"/>
                <w:bottom w:val="none" w:sz="0" w:space="0" w:color="auto"/>
                <w:right w:val="none" w:sz="0" w:space="0" w:color="auto"/>
              </w:divBdr>
              <w:divsChild>
                <w:div w:id="166483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749120">
      <w:bodyDiv w:val="1"/>
      <w:marLeft w:val="0"/>
      <w:marRight w:val="0"/>
      <w:marTop w:val="0"/>
      <w:marBottom w:val="0"/>
      <w:divBdr>
        <w:top w:val="none" w:sz="0" w:space="0" w:color="auto"/>
        <w:left w:val="none" w:sz="0" w:space="0" w:color="auto"/>
        <w:bottom w:val="none" w:sz="0" w:space="0" w:color="auto"/>
        <w:right w:val="none" w:sz="0" w:space="0" w:color="auto"/>
      </w:divBdr>
      <w:divsChild>
        <w:div w:id="1097477796">
          <w:marLeft w:val="-240"/>
          <w:marRight w:val="-240"/>
          <w:marTop w:val="0"/>
          <w:marBottom w:val="0"/>
          <w:divBdr>
            <w:top w:val="none" w:sz="0" w:space="0" w:color="auto"/>
            <w:left w:val="none" w:sz="0" w:space="0" w:color="auto"/>
            <w:bottom w:val="none" w:sz="0" w:space="0" w:color="auto"/>
            <w:right w:val="none" w:sz="0" w:space="0" w:color="auto"/>
          </w:divBdr>
          <w:divsChild>
            <w:div w:id="1481386052">
              <w:marLeft w:val="0"/>
              <w:marRight w:val="0"/>
              <w:marTop w:val="0"/>
              <w:marBottom w:val="0"/>
              <w:divBdr>
                <w:top w:val="none" w:sz="0" w:space="0" w:color="auto"/>
                <w:left w:val="none" w:sz="0" w:space="0" w:color="auto"/>
                <w:bottom w:val="none" w:sz="0" w:space="0" w:color="auto"/>
                <w:right w:val="none" w:sz="0" w:space="0" w:color="auto"/>
              </w:divBdr>
              <w:divsChild>
                <w:div w:id="111590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872615">
      <w:bodyDiv w:val="1"/>
      <w:marLeft w:val="0"/>
      <w:marRight w:val="0"/>
      <w:marTop w:val="0"/>
      <w:marBottom w:val="0"/>
      <w:divBdr>
        <w:top w:val="none" w:sz="0" w:space="0" w:color="auto"/>
        <w:left w:val="none" w:sz="0" w:space="0" w:color="auto"/>
        <w:bottom w:val="none" w:sz="0" w:space="0" w:color="auto"/>
        <w:right w:val="none" w:sz="0" w:space="0" w:color="auto"/>
      </w:divBdr>
    </w:div>
    <w:div w:id="1316297549">
      <w:bodyDiv w:val="1"/>
      <w:marLeft w:val="0"/>
      <w:marRight w:val="0"/>
      <w:marTop w:val="0"/>
      <w:marBottom w:val="0"/>
      <w:divBdr>
        <w:top w:val="none" w:sz="0" w:space="0" w:color="auto"/>
        <w:left w:val="none" w:sz="0" w:space="0" w:color="auto"/>
        <w:bottom w:val="none" w:sz="0" w:space="0" w:color="auto"/>
        <w:right w:val="none" w:sz="0" w:space="0" w:color="auto"/>
      </w:divBdr>
    </w:div>
    <w:div w:id="1328435553">
      <w:bodyDiv w:val="1"/>
      <w:marLeft w:val="0"/>
      <w:marRight w:val="0"/>
      <w:marTop w:val="0"/>
      <w:marBottom w:val="0"/>
      <w:divBdr>
        <w:top w:val="none" w:sz="0" w:space="0" w:color="auto"/>
        <w:left w:val="none" w:sz="0" w:space="0" w:color="auto"/>
        <w:bottom w:val="none" w:sz="0" w:space="0" w:color="auto"/>
        <w:right w:val="none" w:sz="0" w:space="0" w:color="auto"/>
      </w:divBdr>
      <w:divsChild>
        <w:div w:id="2091806289">
          <w:marLeft w:val="-240"/>
          <w:marRight w:val="-240"/>
          <w:marTop w:val="0"/>
          <w:marBottom w:val="0"/>
          <w:divBdr>
            <w:top w:val="none" w:sz="0" w:space="0" w:color="auto"/>
            <w:left w:val="none" w:sz="0" w:space="0" w:color="auto"/>
            <w:bottom w:val="none" w:sz="0" w:space="0" w:color="auto"/>
            <w:right w:val="none" w:sz="0" w:space="0" w:color="auto"/>
          </w:divBdr>
          <w:divsChild>
            <w:div w:id="621502397">
              <w:marLeft w:val="0"/>
              <w:marRight w:val="0"/>
              <w:marTop w:val="0"/>
              <w:marBottom w:val="0"/>
              <w:divBdr>
                <w:top w:val="none" w:sz="0" w:space="0" w:color="auto"/>
                <w:left w:val="none" w:sz="0" w:space="0" w:color="auto"/>
                <w:bottom w:val="none" w:sz="0" w:space="0" w:color="auto"/>
                <w:right w:val="none" w:sz="0" w:space="0" w:color="auto"/>
              </w:divBdr>
              <w:divsChild>
                <w:div w:id="118037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447138">
      <w:bodyDiv w:val="1"/>
      <w:marLeft w:val="0"/>
      <w:marRight w:val="0"/>
      <w:marTop w:val="0"/>
      <w:marBottom w:val="0"/>
      <w:divBdr>
        <w:top w:val="none" w:sz="0" w:space="0" w:color="auto"/>
        <w:left w:val="none" w:sz="0" w:space="0" w:color="auto"/>
        <w:bottom w:val="none" w:sz="0" w:space="0" w:color="auto"/>
        <w:right w:val="none" w:sz="0" w:space="0" w:color="auto"/>
      </w:divBdr>
      <w:divsChild>
        <w:div w:id="1519851173">
          <w:marLeft w:val="-240"/>
          <w:marRight w:val="-240"/>
          <w:marTop w:val="0"/>
          <w:marBottom w:val="0"/>
          <w:divBdr>
            <w:top w:val="none" w:sz="0" w:space="0" w:color="auto"/>
            <w:left w:val="none" w:sz="0" w:space="0" w:color="auto"/>
            <w:bottom w:val="none" w:sz="0" w:space="0" w:color="auto"/>
            <w:right w:val="none" w:sz="0" w:space="0" w:color="auto"/>
          </w:divBdr>
          <w:divsChild>
            <w:div w:id="1048340987">
              <w:marLeft w:val="0"/>
              <w:marRight w:val="0"/>
              <w:marTop w:val="0"/>
              <w:marBottom w:val="0"/>
              <w:divBdr>
                <w:top w:val="none" w:sz="0" w:space="0" w:color="auto"/>
                <w:left w:val="none" w:sz="0" w:space="0" w:color="auto"/>
                <w:bottom w:val="none" w:sz="0" w:space="0" w:color="auto"/>
                <w:right w:val="none" w:sz="0" w:space="0" w:color="auto"/>
              </w:divBdr>
              <w:divsChild>
                <w:div w:id="139188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020796">
      <w:bodyDiv w:val="1"/>
      <w:marLeft w:val="0"/>
      <w:marRight w:val="0"/>
      <w:marTop w:val="0"/>
      <w:marBottom w:val="0"/>
      <w:divBdr>
        <w:top w:val="none" w:sz="0" w:space="0" w:color="auto"/>
        <w:left w:val="none" w:sz="0" w:space="0" w:color="auto"/>
        <w:bottom w:val="none" w:sz="0" w:space="0" w:color="auto"/>
        <w:right w:val="none" w:sz="0" w:space="0" w:color="auto"/>
      </w:divBdr>
      <w:divsChild>
        <w:div w:id="45762564">
          <w:marLeft w:val="-240"/>
          <w:marRight w:val="-240"/>
          <w:marTop w:val="0"/>
          <w:marBottom w:val="0"/>
          <w:divBdr>
            <w:top w:val="none" w:sz="0" w:space="0" w:color="auto"/>
            <w:left w:val="none" w:sz="0" w:space="0" w:color="auto"/>
            <w:bottom w:val="none" w:sz="0" w:space="0" w:color="auto"/>
            <w:right w:val="none" w:sz="0" w:space="0" w:color="auto"/>
          </w:divBdr>
          <w:divsChild>
            <w:div w:id="1323924435">
              <w:marLeft w:val="0"/>
              <w:marRight w:val="0"/>
              <w:marTop w:val="0"/>
              <w:marBottom w:val="0"/>
              <w:divBdr>
                <w:top w:val="none" w:sz="0" w:space="0" w:color="auto"/>
                <w:left w:val="none" w:sz="0" w:space="0" w:color="auto"/>
                <w:bottom w:val="none" w:sz="0" w:space="0" w:color="auto"/>
                <w:right w:val="none" w:sz="0" w:space="0" w:color="auto"/>
              </w:divBdr>
              <w:divsChild>
                <w:div w:id="528883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125638">
      <w:bodyDiv w:val="1"/>
      <w:marLeft w:val="0"/>
      <w:marRight w:val="0"/>
      <w:marTop w:val="0"/>
      <w:marBottom w:val="0"/>
      <w:divBdr>
        <w:top w:val="none" w:sz="0" w:space="0" w:color="auto"/>
        <w:left w:val="none" w:sz="0" w:space="0" w:color="auto"/>
        <w:bottom w:val="none" w:sz="0" w:space="0" w:color="auto"/>
        <w:right w:val="none" w:sz="0" w:space="0" w:color="auto"/>
      </w:divBdr>
      <w:divsChild>
        <w:div w:id="276445927">
          <w:marLeft w:val="-240"/>
          <w:marRight w:val="-240"/>
          <w:marTop w:val="0"/>
          <w:marBottom w:val="0"/>
          <w:divBdr>
            <w:top w:val="none" w:sz="0" w:space="0" w:color="auto"/>
            <w:left w:val="none" w:sz="0" w:space="0" w:color="auto"/>
            <w:bottom w:val="none" w:sz="0" w:space="0" w:color="auto"/>
            <w:right w:val="none" w:sz="0" w:space="0" w:color="auto"/>
          </w:divBdr>
          <w:divsChild>
            <w:div w:id="2074349106">
              <w:marLeft w:val="0"/>
              <w:marRight w:val="0"/>
              <w:marTop w:val="0"/>
              <w:marBottom w:val="0"/>
              <w:divBdr>
                <w:top w:val="none" w:sz="0" w:space="0" w:color="auto"/>
                <w:left w:val="none" w:sz="0" w:space="0" w:color="auto"/>
                <w:bottom w:val="none" w:sz="0" w:space="0" w:color="auto"/>
                <w:right w:val="none" w:sz="0" w:space="0" w:color="auto"/>
              </w:divBdr>
              <w:divsChild>
                <w:div w:id="79039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329740">
      <w:bodyDiv w:val="1"/>
      <w:marLeft w:val="0"/>
      <w:marRight w:val="0"/>
      <w:marTop w:val="0"/>
      <w:marBottom w:val="0"/>
      <w:divBdr>
        <w:top w:val="none" w:sz="0" w:space="0" w:color="auto"/>
        <w:left w:val="none" w:sz="0" w:space="0" w:color="auto"/>
        <w:bottom w:val="none" w:sz="0" w:space="0" w:color="auto"/>
        <w:right w:val="none" w:sz="0" w:space="0" w:color="auto"/>
      </w:divBdr>
      <w:divsChild>
        <w:div w:id="215363653">
          <w:marLeft w:val="-240"/>
          <w:marRight w:val="-240"/>
          <w:marTop w:val="0"/>
          <w:marBottom w:val="0"/>
          <w:divBdr>
            <w:top w:val="none" w:sz="0" w:space="0" w:color="auto"/>
            <w:left w:val="none" w:sz="0" w:space="0" w:color="auto"/>
            <w:bottom w:val="none" w:sz="0" w:space="0" w:color="auto"/>
            <w:right w:val="none" w:sz="0" w:space="0" w:color="auto"/>
          </w:divBdr>
          <w:divsChild>
            <w:div w:id="1930770853">
              <w:marLeft w:val="0"/>
              <w:marRight w:val="0"/>
              <w:marTop w:val="0"/>
              <w:marBottom w:val="0"/>
              <w:divBdr>
                <w:top w:val="none" w:sz="0" w:space="0" w:color="auto"/>
                <w:left w:val="none" w:sz="0" w:space="0" w:color="auto"/>
                <w:bottom w:val="none" w:sz="0" w:space="0" w:color="auto"/>
                <w:right w:val="none" w:sz="0" w:space="0" w:color="auto"/>
              </w:divBdr>
              <w:divsChild>
                <w:div w:id="35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722927">
      <w:bodyDiv w:val="1"/>
      <w:marLeft w:val="0"/>
      <w:marRight w:val="0"/>
      <w:marTop w:val="0"/>
      <w:marBottom w:val="0"/>
      <w:divBdr>
        <w:top w:val="none" w:sz="0" w:space="0" w:color="auto"/>
        <w:left w:val="none" w:sz="0" w:space="0" w:color="auto"/>
        <w:bottom w:val="none" w:sz="0" w:space="0" w:color="auto"/>
        <w:right w:val="none" w:sz="0" w:space="0" w:color="auto"/>
      </w:divBdr>
      <w:divsChild>
        <w:div w:id="1668941847">
          <w:marLeft w:val="-240"/>
          <w:marRight w:val="-240"/>
          <w:marTop w:val="0"/>
          <w:marBottom w:val="0"/>
          <w:divBdr>
            <w:top w:val="none" w:sz="0" w:space="0" w:color="auto"/>
            <w:left w:val="none" w:sz="0" w:space="0" w:color="auto"/>
            <w:bottom w:val="none" w:sz="0" w:space="0" w:color="auto"/>
            <w:right w:val="none" w:sz="0" w:space="0" w:color="auto"/>
          </w:divBdr>
          <w:divsChild>
            <w:div w:id="1425029533">
              <w:marLeft w:val="0"/>
              <w:marRight w:val="0"/>
              <w:marTop w:val="0"/>
              <w:marBottom w:val="0"/>
              <w:divBdr>
                <w:top w:val="none" w:sz="0" w:space="0" w:color="auto"/>
                <w:left w:val="none" w:sz="0" w:space="0" w:color="auto"/>
                <w:bottom w:val="none" w:sz="0" w:space="0" w:color="auto"/>
                <w:right w:val="none" w:sz="0" w:space="0" w:color="auto"/>
              </w:divBdr>
              <w:divsChild>
                <w:div w:id="791633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374362">
      <w:bodyDiv w:val="1"/>
      <w:marLeft w:val="0"/>
      <w:marRight w:val="0"/>
      <w:marTop w:val="0"/>
      <w:marBottom w:val="0"/>
      <w:divBdr>
        <w:top w:val="none" w:sz="0" w:space="0" w:color="auto"/>
        <w:left w:val="none" w:sz="0" w:space="0" w:color="auto"/>
        <w:bottom w:val="none" w:sz="0" w:space="0" w:color="auto"/>
        <w:right w:val="none" w:sz="0" w:space="0" w:color="auto"/>
      </w:divBdr>
      <w:divsChild>
        <w:div w:id="2080055931">
          <w:marLeft w:val="-240"/>
          <w:marRight w:val="-240"/>
          <w:marTop w:val="0"/>
          <w:marBottom w:val="0"/>
          <w:divBdr>
            <w:top w:val="none" w:sz="0" w:space="0" w:color="auto"/>
            <w:left w:val="none" w:sz="0" w:space="0" w:color="auto"/>
            <w:bottom w:val="none" w:sz="0" w:space="0" w:color="auto"/>
            <w:right w:val="none" w:sz="0" w:space="0" w:color="auto"/>
          </w:divBdr>
          <w:divsChild>
            <w:div w:id="1285425569">
              <w:marLeft w:val="0"/>
              <w:marRight w:val="0"/>
              <w:marTop w:val="0"/>
              <w:marBottom w:val="0"/>
              <w:divBdr>
                <w:top w:val="none" w:sz="0" w:space="0" w:color="auto"/>
                <w:left w:val="none" w:sz="0" w:space="0" w:color="auto"/>
                <w:bottom w:val="none" w:sz="0" w:space="0" w:color="auto"/>
                <w:right w:val="none" w:sz="0" w:space="0" w:color="auto"/>
              </w:divBdr>
              <w:divsChild>
                <w:div w:id="609899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887980">
      <w:bodyDiv w:val="1"/>
      <w:marLeft w:val="0"/>
      <w:marRight w:val="0"/>
      <w:marTop w:val="0"/>
      <w:marBottom w:val="0"/>
      <w:divBdr>
        <w:top w:val="none" w:sz="0" w:space="0" w:color="auto"/>
        <w:left w:val="none" w:sz="0" w:space="0" w:color="auto"/>
        <w:bottom w:val="none" w:sz="0" w:space="0" w:color="auto"/>
        <w:right w:val="none" w:sz="0" w:space="0" w:color="auto"/>
      </w:divBdr>
      <w:divsChild>
        <w:div w:id="1141577818">
          <w:marLeft w:val="-240"/>
          <w:marRight w:val="-240"/>
          <w:marTop w:val="0"/>
          <w:marBottom w:val="0"/>
          <w:divBdr>
            <w:top w:val="none" w:sz="0" w:space="0" w:color="auto"/>
            <w:left w:val="none" w:sz="0" w:space="0" w:color="auto"/>
            <w:bottom w:val="none" w:sz="0" w:space="0" w:color="auto"/>
            <w:right w:val="none" w:sz="0" w:space="0" w:color="auto"/>
          </w:divBdr>
          <w:divsChild>
            <w:div w:id="1827814739">
              <w:marLeft w:val="0"/>
              <w:marRight w:val="0"/>
              <w:marTop w:val="0"/>
              <w:marBottom w:val="0"/>
              <w:divBdr>
                <w:top w:val="none" w:sz="0" w:space="0" w:color="auto"/>
                <w:left w:val="none" w:sz="0" w:space="0" w:color="auto"/>
                <w:bottom w:val="none" w:sz="0" w:space="0" w:color="auto"/>
                <w:right w:val="none" w:sz="0" w:space="0" w:color="auto"/>
              </w:divBdr>
              <w:divsChild>
                <w:div w:id="429476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736549">
      <w:bodyDiv w:val="1"/>
      <w:marLeft w:val="0"/>
      <w:marRight w:val="0"/>
      <w:marTop w:val="0"/>
      <w:marBottom w:val="0"/>
      <w:divBdr>
        <w:top w:val="none" w:sz="0" w:space="0" w:color="auto"/>
        <w:left w:val="none" w:sz="0" w:space="0" w:color="auto"/>
        <w:bottom w:val="none" w:sz="0" w:space="0" w:color="auto"/>
        <w:right w:val="none" w:sz="0" w:space="0" w:color="auto"/>
      </w:divBdr>
      <w:divsChild>
        <w:div w:id="1779830754">
          <w:marLeft w:val="-240"/>
          <w:marRight w:val="-240"/>
          <w:marTop w:val="0"/>
          <w:marBottom w:val="0"/>
          <w:divBdr>
            <w:top w:val="none" w:sz="0" w:space="0" w:color="auto"/>
            <w:left w:val="none" w:sz="0" w:space="0" w:color="auto"/>
            <w:bottom w:val="none" w:sz="0" w:space="0" w:color="auto"/>
            <w:right w:val="none" w:sz="0" w:space="0" w:color="auto"/>
          </w:divBdr>
          <w:divsChild>
            <w:div w:id="1955865435">
              <w:marLeft w:val="0"/>
              <w:marRight w:val="0"/>
              <w:marTop w:val="0"/>
              <w:marBottom w:val="0"/>
              <w:divBdr>
                <w:top w:val="none" w:sz="0" w:space="0" w:color="auto"/>
                <w:left w:val="none" w:sz="0" w:space="0" w:color="auto"/>
                <w:bottom w:val="none" w:sz="0" w:space="0" w:color="auto"/>
                <w:right w:val="none" w:sz="0" w:space="0" w:color="auto"/>
              </w:divBdr>
              <w:divsChild>
                <w:div w:id="168004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548823">
      <w:bodyDiv w:val="1"/>
      <w:marLeft w:val="0"/>
      <w:marRight w:val="0"/>
      <w:marTop w:val="0"/>
      <w:marBottom w:val="0"/>
      <w:divBdr>
        <w:top w:val="none" w:sz="0" w:space="0" w:color="auto"/>
        <w:left w:val="none" w:sz="0" w:space="0" w:color="auto"/>
        <w:bottom w:val="none" w:sz="0" w:space="0" w:color="auto"/>
        <w:right w:val="none" w:sz="0" w:space="0" w:color="auto"/>
      </w:divBdr>
      <w:divsChild>
        <w:div w:id="1963346157">
          <w:marLeft w:val="-240"/>
          <w:marRight w:val="-240"/>
          <w:marTop w:val="0"/>
          <w:marBottom w:val="0"/>
          <w:divBdr>
            <w:top w:val="none" w:sz="0" w:space="0" w:color="auto"/>
            <w:left w:val="none" w:sz="0" w:space="0" w:color="auto"/>
            <w:bottom w:val="none" w:sz="0" w:space="0" w:color="auto"/>
            <w:right w:val="none" w:sz="0" w:space="0" w:color="auto"/>
          </w:divBdr>
          <w:divsChild>
            <w:div w:id="93985053">
              <w:marLeft w:val="0"/>
              <w:marRight w:val="0"/>
              <w:marTop w:val="0"/>
              <w:marBottom w:val="0"/>
              <w:divBdr>
                <w:top w:val="none" w:sz="0" w:space="0" w:color="auto"/>
                <w:left w:val="none" w:sz="0" w:space="0" w:color="auto"/>
                <w:bottom w:val="none" w:sz="0" w:space="0" w:color="auto"/>
                <w:right w:val="none" w:sz="0" w:space="0" w:color="auto"/>
              </w:divBdr>
              <w:divsChild>
                <w:div w:id="417558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048639">
      <w:bodyDiv w:val="1"/>
      <w:marLeft w:val="0"/>
      <w:marRight w:val="0"/>
      <w:marTop w:val="0"/>
      <w:marBottom w:val="0"/>
      <w:divBdr>
        <w:top w:val="none" w:sz="0" w:space="0" w:color="auto"/>
        <w:left w:val="none" w:sz="0" w:space="0" w:color="auto"/>
        <w:bottom w:val="none" w:sz="0" w:space="0" w:color="auto"/>
        <w:right w:val="none" w:sz="0" w:space="0" w:color="auto"/>
      </w:divBdr>
    </w:div>
    <w:div w:id="1430276720">
      <w:bodyDiv w:val="1"/>
      <w:marLeft w:val="0"/>
      <w:marRight w:val="0"/>
      <w:marTop w:val="0"/>
      <w:marBottom w:val="0"/>
      <w:divBdr>
        <w:top w:val="none" w:sz="0" w:space="0" w:color="auto"/>
        <w:left w:val="none" w:sz="0" w:space="0" w:color="auto"/>
        <w:bottom w:val="none" w:sz="0" w:space="0" w:color="auto"/>
        <w:right w:val="none" w:sz="0" w:space="0" w:color="auto"/>
      </w:divBdr>
      <w:divsChild>
        <w:div w:id="974067435">
          <w:marLeft w:val="-240"/>
          <w:marRight w:val="-240"/>
          <w:marTop w:val="0"/>
          <w:marBottom w:val="0"/>
          <w:divBdr>
            <w:top w:val="none" w:sz="0" w:space="0" w:color="auto"/>
            <w:left w:val="none" w:sz="0" w:space="0" w:color="auto"/>
            <w:bottom w:val="none" w:sz="0" w:space="0" w:color="auto"/>
            <w:right w:val="none" w:sz="0" w:space="0" w:color="auto"/>
          </w:divBdr>
          <w:divsChild>
            <w:div w:id="801311713">
              <w:marLeft w:val="0"/>
              <w:marRight w:val="0"/>
              <w:marTop w:val="0"/>
              <w:marBottom w:val="0"/>
              <w:divBdr>
                <w:top w:val="none" w:sz="0" w:space="0" w:color="auto"/>
                <w:left w:val="none" w:sz="0" w:space="0" w:color="auto"/>
                <w:bottom w:val="none" w:sz="0" w:space="0" w:color="auto"/>
                <w:right w:val="none" w:sz="0" w:space="0" w:color="auto"/>
              </w:divBdr>
              <w:divsChild>
                <w:div w:id="495413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702440">
      <w:bodyDiv w:val="1"/>
      <w:marLeft w:val="0"/>
      <w:marRight w:val="0"/>
      <w:marTop w:val="0"/>
      <w:marBottom w:val="0"/>
      <w:divBdr>
        <w:top w:val="none" w:sz="0" w:space="0" w:color="auto"/>
        <w:left w:val="none" w:sz="0" w:space="0" w:color="auto"/>
        <w:bottom w:val="none" w:sz="0" w:space="0" w:color="auto"/>
        <w:right w:val="none" w:sz="0" w:space="0" w:color="auto"/>
      </w:divBdr>
      <w:divsChild>
        <w:div w:id="1976720613">
          <w:marLeft w:val="-240"/>
          <w:marRight w:val="-240"/>
          <w:marTop w:val="0"/>
          <w:marBottom w:val="0"/>
          <w:divBdr>
            <w:top w:val="none" w:sz="0" w:space="0" w:color="auto"/>
            <w:left w:val="none" w:sz="0" w:space="0" w:color="auto"/>
            <w:bottom w:val="none" w:sz="0" w:space="0" w:color="auto"/>
            <w:right w:val="none" w:sz="0" w:space="0" w:color="auto"/>
          </w:divBdr>
          <w:divsChild>
            <w:div w:id="1431702485">
              <w:marLeft w:val="0"/>
              <w:marRight w:val="0"/>
              <w:marTop w:val="0"/>
              <w:marBottom w:val="0"/>
              <w:divBdr>
                <w:top w:val="none" w:sz="0" w:space="0" w:color="auto"/>
                <w:left w:val="none" w:sz="0" w:space="0" w:color="auto"/>
                <w:bottom w:val="none" w:sz="0" w:space="0" w:color="auto"/>
                <w:right w:val="none" w:sz="0" w:space="0" w:color="auto"/>
              </w:divBdr>
              <w:divsChild>
                <w:div w:id="522667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490780">
      <w:bodyDiv w:val="1"/>
      <w:marLeft w:val="0"/>
      <w:marRight w:val="0"/>
      <w:marTop w:val="0"/>
      <w:marBottom w:val="0"/>
      <w:divBdr>
        <w:top w:val="none" w:sz="0" w:space="0" w:color="auto"/>
        <w:left w:val="none" w:sz="0" w:space="0" w:color="auto"/>
        <w:bottom w:val="none" w:sz="0" w:space="0" w:color="auto"/>
        <w:right w:val="none" w:sz="0" w:space="0" w:color="auto"/>
      </w:divBdr>
    </w:div>
    <w:div w:id="1441291565">
      <w:bodyDiv w:val="1"/>
      <w:marLeft w:val="0"/>
      <w:marRight w:val="0"/>
      <w:marTop w:val="0"/>
      <w:marBottom w:val="0"/>
      <w:divBdr>
        <w:top w:val="none" w:sz="0" w:space="0" w:color="auto"/>
        <w:left w:val="none" w:sz="0" w:space="0" w:color="auto"/>
        <w:bottom w:val="none" w:sz="0" w:space="0" w:color="auto"/>
        <w:right w:val="none" w:sz="0" w:space="0" w:color="auto"/>
      </w:divBdr>
      <w:divsChild>
        <w:div w:id="811943746">
          <w:marLeft w:val="-240"/>
          <w:marRight w:val="-240"/>
          <w:marTop w:val="0"/>
          <w:marBottom w:val="0"/>
          <w:divBdr>
            <w:top w:val="none" w:sz="0" w:space="0" w:color="auto"/>
            <w:left w:val="none" w:sz="0" w:space="0" w:color="auto"/>
            <w:bottom w:val="none" w:sz="0" w:space="0" w:color="auto"/>
            <w:right w:val="none" w:sz="0" w:space="0" w:color="auto"/>
          </w:divBdr>
          <w:divsChild>
            <w:div w:id="1353992825">
              <w:marLeft w:val="0"/>
              <w:marRight w:val="0"/>
              <w:marTop w:val="0"/>
              <w:marBottom w:val="0"/>
              <w:divBdr>
                <w:top w:val="none" w:sz="0" w:space="0" w:color="auto"/>
                <w:left w:val="none" w:sz="0" w:space="0" w:color="auto"/>
                <w:bottom w:val="none" w:sz="0" w:space="0" w:color="auto"/>
                <w:right w:val="none" w:sz="0" w:space="0" w:color="auto"/>
              </w:divBdr>
              <w:divsChild>
                <w:div w:id="187033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387055">
      <w:bodyDiv w:val="1"/>
      <w:marLeft w:val="0"/>
      <w:marRight w:val="0"/>
      <w:marTop w:val="0"/>
      <w:marBottom w:val="0"/>
      <w:divBdr>
        <w:top w:val="none" w:sz="0" w:space="0" w:color="auto"/>
        <w:left w:val="none" w:sz="0" w:space="0" w:color="auto"/>
        <w:bottom w:val="none" w:sz="0" w:space="0" w:color="auto"/>
        <w:right w:val="none" w:sz="0" w:space="0" w:color="auto"/>
      </w:divBdr>
      <w:divsChild>
        <w:div w:id="1869172433">
          <w:marLeft w:val="-240"/>
          <w:marRight w:val="-240"/>
          <w:marTop w:val="0"/>
          <w:marBottom w:val="0"/>
          <w:divBdr>
            <w:top w:val="none" w:sz="0" w:space="0" w:color="auto"/>
            <w:left w:val="none" w:sz="0" w:space="0" w:color="auto"/>
            <w:bottom w:val="none" w:sz="0" w:space="0" w:color="auto"/>
            <w:right w:val="none" w:sz="0" w:space="0" w:color="auto"/>
          </w:divBdr>
          <w:divsChild>
            <w:div w:id="2077624680">
              <w:marLeft w:val="0"/>
              <w:marRight w:val="0"/>
              <w:marTop w:val="0"/>
              <w:marBottom w:val="0"/>
              <w:divBdr>
                <w:top w:val="none" w:sz="0" w:space="0" w:color="auto"/>
                <w:left w:val="none" w:sz="0" w:space="0" w:color="auto"/>
                <w:bottom w:val="none" w:sz="0" w:space="0" w:color="auto"/>
                <w:right w:val="none" w:sz="0" w:space="0" w:color="auto"/>
              </w:divBdr>
              <w:divsChild>
                <w:div w:id="926772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825731">
      <w:bodyDiv w:val="1"/>
      <w:marLeft w:val="0"/>
      <w:marRight w:val="0"/>
      <w:marTop w:val="0"/>
      <w:marBottom w:val="0"/>
      <w:divBdr>
        <w:top w:val="none" w:sz="0" w:space="0" w:color="auto"/>
        <w:left w:val="none" w:sz="0" w:space="0" w:color="auto"/>
        <w:bottom w:val="none" w:sz="0" w:space="0" w:color="auto"/>
        <w:right w:val="none" w:sz="0" w:space="0" w:color="auto"/>
      </w:divBdr>
      <w:divsChild>
        <w:div w:id="232470040">
          <w:marLeft w:val="-240"/>
          <w:marRight w:val="-240"/>
          <w:marTop w:val="0"/>
          <w:marBottom w:val="0"/>
          <w:divBdr>
            <w:top w:val="none" w:sz="0" w:space="0" w:color="auto"/>
            <w:left w:val="none" w:sz="0" w:space="0" w:color="auto"/>
            <w:bottom w:val="none" w:sz="0" w:space="0" w:color="auto"/>
            <w:right w:val="none" w:sz="0" w:space="0" w:color="auto"/>
          </w:divBdr>
          <w:divsChild>
            <w:div w:id="227808331">
              <w:marLeft w:val="0"/>
              <w:marRight w:val="0"/>
              <w:marTop w:val="0"/>
              <w:marBottom w:val="0"/>
              <w:divBdr>
                <w:top w:val="none" w:sz="0" w:space="0" w:color="auto"/>
                <w:left w:val="none" w:sz="0" w:space="0" w:color="auto"/>
                <w:bottom w:val="none" w:sz="0" w:space="0" w:color="auto"/>
                <w:right w:val="none" w:sz="0" w:space="0" w:color="auto"/>
              </w:divBdr>
              <w:divsChild>
                <w:div w:id="186208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144886">
      <w:bodyDiv w:val="1"/>
      <w:marLeft w:val="0"/>
      <w:marRight w:val="0"/>
      <w:marTop w:val="0"/>
      <w:marBottom w:val="0"/>
      <w:divBdr>
        <w:top w:val="none" w:sz="0" w:space="0" w:color="auto"/>
        <w:left w:val="none" w:sz="0" w:space="0" w:color="auto"/>
        <w:bottom w:val="none" w:sz="0" w:space="0" w:color="auto"/>
        <w:right w:val="none" w:sz="0" w:space="0" w:color="auto"/>
      </w:divBdr>
      <w:divsChild>
        <w:div w:id="1246693042">
          <w:marLeft w:val="-240"/>
          <w:marRight w:val="-240"/>
          <w:marTop w:val="0"/>
          <w:marBottom w:val="0"/>
          <w:divBdr>
            <w:top w:val="none" w:sz="0" w:space="0" w:color="auto"/>
            <w:left w:val="none" w:sz="0" w:space="0" w:color="auto"/>
            <w:bottom w:val="none" w:sz="0" w:space="0" w:color="auto"/>
            <w:right w:val="none" w:sz="0" w:space="0" w:color="auto"/>
          </w:divBdr>
          <w:divsChild>
            <w:div w:id="78529943">
              <w:marLeft w:val="0"/>
              <w:marRight w:val="0"/>
              <w:marTop w:val="0"/>
              <w:marBottom w:val="0"/>
              <w:divBdr>
                <w:top w:val="none" w:sz="0" w:space="0" w:color="auto"/>
                <w:left w:val="none" w:sz="0" w:space="0" w:color="auto"/>
                <w:bottom w:val="none" w:sz="0" w:space="0" w:color="auto"/>
                <w:right w:val="none" w:sz="0" w:space="0" w:color="auto"/>
              </w:divBdr>
              <w:divsChild>
                <w:div w:id="1229071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714847">
      <w:bodyDiv w:val="1"/>
      <w:marLeft w:val="0"/>
      <w:marRight w:val="0"/>
      <w:marTop w:val="0"/>
      <w:marBottom w:val="0"/>
      <w:divBdr>
        <w:top w:val="none" w:sz="0" w:space="0" w:color="auto"/>
        <w:left w:val="none" w:sz="0" w:space="0" w:color="auto"/>
        <w:bottom w:val="none" w:sz="0" w:space="0" w:color="auto"/>
        <w:right w:val="none" w:sz="0" w:space="0" w:color="auto"/>
      </w:divBdr>
    </w:div>
    <w:div w:id="1516650626">
      <w:bodyDiv w:val="1"/>
      <w:marLeft w:val="0"/>
      <w:marRight w:val="0"/>
      <w:marTop w:val="0"/>
      <w:marBottom w:val="0"/>
      <w:divBdr>
        <w:top w:val="none" w:sz="0" w:space="0" w:color="auto"/>
        <w:left w:val="none" w:sz="0" w:space="0" w:color="auto"/>
        <w:bottom w:val="none" w:sz="0" w:space="0" w:color="auto"/>
        <w:right w:val="none" w:sz="0" w:space="0" w:color="auto"/>
      </w:divBdr>
      <w:divsChild>
        <w:div w:id="1224634381">
          <w:marLeft w:val="-240"/>
          <w:marRight w:val="-240"/>
          <w:marTop w:val="0"/>
          <w:marBottom w:val="0"/>
          <w:divBdr>
            <w:top w:val="none" w:sz="0" w:space="0" w:color="auto"/>
            <w:left w:val="none" w:sz="0" w:space="0" w:color="auto"/>
            <w:bottom w:val="none" w:sz="0" w:space="0" w:color="auto"/>
            <w:right w:val="none" w:sz="0" w:space="0" w:color="auto"/>
          </w:divBdr>
          <w:divsChild>
            <w:div w:id="95634482">
              <w:marLeft w:val="0"/>
              <w:marRight w:val="0"/>
              <w:marTop w:val="0"/>
              <w:marBottom w:val="0"/>
              <w:divBdr>
                <w:top w:val="none" w:sz="0" w:space="0" w:color="auto"/>
                <w:left w:val="none" w:sz="0" w:space="0" w:color="auto"/>
                <w:bottom w:val="none" w:sz="0" w:space="0" w:color="auto"/>
                <w:right w:val="none" w:sz="0" w:space="0" w:color="auto"/>
              </w:divBdr>
              <w:divsChild>
                <w:div w:id="1608348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242173">
      <w:bodyDiv w:val="1"/>
      <w:marLeft w:val="0"/>
      <w:marRight w:val="0"/>
      <w:marTop w:val="0"/>
      <w:marBottom w:val="0"/>
      <w:divBdr>
        <w:top w:val="none" w:sz="0" w:space="0" w:color="auto"/>
        <w:left w:val="none" w:sz="0" w:space="0" w:color="auto"/>
        <w:bottom w:val="none" w:sz="0" w:space="0" w:color="auto"/>
        <w:right w:val="none" w:sz="0" w:space="0" w:color="auto"/>
      </w:divBdr>
      <w:divsChild>
        <w:div w:id="429395945">
          <w:marLeft w:val="-240"/>
          <w:marRight w:val="-240"/>
          <w:marTop w:val="0"/>
          <w:marBottom w:val="0"/>
          <w:divBdr>
            <w:top w:val="none" w:sz="0" w:space="0" w:color="auto"/>
            <w:left w:val="none" w:sz="0" w:space="0" w:color="auto"/>
            <w:bottom w:val="none" w:sz="0" w:space="0" w:color="auto"/>
            <w:right w:val="none" w:sz="0" w:space="0" w:color="auto"/>
          </w:divBdr>
          <w:divsChild>
            <w:div w:id="1676027971">
              <w:marLeft w:val="0"/>
              <w:marRight w:val="0"/>
              <w:marTop w:val="0"/>
              <w:marBottom w:val="0"/>
              <w:divBdr>
                <w:top w:val="none" w:sz="0" w:space="0" w:color="auto"/>
                <w:left w:val="none" w:sz="0" w:space="0" w:color="auto"/>
                <w:bottom w:val="none" w:sz="0" w:space="0" w:color="auto"/>
                <w:right w:val="none" w:sz="0" w:space="0" w:color="auto"/>
              </w:divBdr>
              <w:divsChild>
                <w:div w:id="1396009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280285">
      <w:bodyDiv w:val="1"/>
      <w:marLeft w:val="0"/>
      <w:marRight w:val="0"/>
      <w:marTop w:val="0"/>
      <w:marBottom w:val="0"/>
      <w:divBdr>
        <w:top w:val="none" w:sz="0" w:space="0" w:color="auto"/>
        <w:left w:val="none" w:sz="0" w:space="0" w:color="auto"/>
        <w:bottom w:val="none" w:sz="0" w:space="0" w:color="auto"/>
        <w:right w:val="none" w:sz="0" w:space="0" w:color="auto"/>
      </w:divBdr>
      <w:divsChild>
        <w:div w:id="356741500">
          <w:marLeft w:val="-240"/>
          <w:marRight w:val="-240"/>
          <w:marTop w:val="0"/>
          <w:marBottom w:val="0"/>
          <w:divBdr>
            <w:top w:val="none" w:sz="0" w:space="0" w:color="auto"/>
            <w:left w:val="none" w:sz="0" w:space="0" w:color="auto"/>
            <w:bottom w:val="none" w:sz="0" w:space="0" w:color="auto"/>
            <w:right w:val="none" w:sz="0" w:space="0" w:color="auto"/>
          </w:divBdr>
          <w:divsChild>
            <w:div w:id="740256245">
              <w:marLeft w:val="0"/>
              <w:marRight w:val="0"/>
              <w:marTop w:val="0"/>
              <w:marBottom w:val="0"/>
              <w:divBdr>
                <w:top w:val="none" w:sz="0" w:space="0" w:color="auto"/>
                <w:left w:val="none" w:sz="0" w:space="0" w:color="auto"/>
                <w:bottom w:val="none" w:sz="0" w:space="0" w:color="auto"/>
                <w:right w:val="none" w:sz="0" w:space="0" w:color="auto"/>
              </w:divBdr>
              <w:divsChild>
                <w:div w:id="393356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497553">
      <w:bodyDiv w:val="1"/>
      <w:marLeft w:val="0"/>
      <w:marRight w:val="0"/>
      <w:marTop w:val="0"/>
      <w:marBottom w:val="0"/>
      <w:divBdr>
        <w:top w:val="none" w:sz="0" w:space="0" w:color="auto"/>
        <w:left w:val="none" w:sz="0" w:space="0" w:color="auto"/>
        <w:bottom w:val="none" w:sz="0" w:space="0" w:color="auto"/>
        <w:right w:val="none" w:sz="0" w:space="0" w:color="auto"/>
      </w:divBdr>
      <w:divsChild>
        <w:div w:id="181893775">
          <w:marLeft w:val="-240"/>
          <w:marRight w:val="-240"/>
          <w:marTop w:val="0"/>
          <w:marBottom w:val="0"/>
          <w:divBdr>
            <w:top w:val="none" w:sz="0" w:space="0" w:color="auto"/>
            <w:left w:val="none" w:sz="0" w:space="0" w:color="auto"/>
            <w:bottom w:val="none" w:sz="0" w:space="0" w:color="auto"/>
            <w:right w:val="none" w:sz="0" w:space="0" w:color="auto"/>
          </w:divBdr>
          <w:divsChild>
            <w:div w:id="368772367">
              <w:marLeft w:val="0"/>
              <w:marRight w:val="0"/>
              <w:marTop w:val="0"/>
              <w:marBottom w:val="0"/>
              <w:divBdr>
                <w:top w:val="none" w:sz="0" w:space="0" w:color="auto"/>
                <w:left w:val="none" w:sz="0" w:space="0" w:color="auto"/>
                <w:bottom w:val="none" w:sz="0" w:space="0" w:color="auto"/>
                <w:right w:val="none" w:sz="0" w:space="0" w:color="auto"/>
              </w:divBdr>
              <w:divsChild>
                <w:div w:id="103311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144519">
      <w:bodyDiv w:val="1"/>
      <w:marLeft w:val="0"/>
      <w:marRight w:val="0"/>
      <w:marTop w:val="0"/>
      <w:marBottom w:val="0"/>
      <w:divBdr>
        <w:top w:val="none" w:sz="0" w:space="0" w:color="auto"/>
        <w:left w:val="none" w:sz="0" w:space="0" w:color="auto"/>
        <w:bottom w:val="none" w:sz="0" w:space="0" w:color="auto"/>
        <w:right w:val="none" w:sz="0" w:space="0" w:color="auto"/>
      </w:divBdr>
      <w:divsChild>
        <w:div w:id="1751926638">
          <w:marLeft w:val="-240"/>
          <w:marRight w:val="-240"/>
          <w:marTop w:val="0"/>
          <w:marBottom w:val="0"/>
          <w:divBdr>
            <w:top w:val="none" w:sz="0" w:space="0" w:color="auto"/>
            <w:left w:val="none" w:sz="0" w:space="0" w:color="auto"/>
            <w:bottom w:val="none" w:sz="0" w:space="0" w:color="auto"/>
            <w:right w:val="none" w:sz="0" w:space="0" w:color="auto"/>
          </w:divBdr>
          <w:divsChild>
            <w:div w:id="1887257981">
              <w:marLeft w:val="0"/>
              <w:marRight w:val="0"/>
              <w:marTop w:val="0"/>
              <w:marBottom w:val="0"/>
              <w:divBdr>
                <w:top w:val="none" w:sz="0" w:space="0" w:color="auto"/>
                <w:left w:val="none" w:sz="0" w:space="0" w:color="auto"/>
                <w:bottom w:val="none" w:sz="0" w:space="0" w:color="auto"/>
                <w:right w:val="none" w:sz="0" w:space="0" w:color="auto"/>
              </w:divBdr>
              <w:divsChild>
                <w:div w:id="1532449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682696">
      <w:bodyDiv w:val="1"/>
      <w:marLeft w:val="0"/>
      <w:marRight w:val="0"/>
      <w:marTop w:val="0"/>
      <w:marBottom w:val="0"/>
      <w:divBdr>
        <w:top w:val="none" w:sz="0" w:space="0" w:color="auto"/>
        <w:left w:val="none" w:sz="0" w:space="0" w:color="auto"/>
        <w:bottom w:val="none" w:sz="0" w:space="0" w:color="auto"/>
        <w:right w:val="none" w:sz="0" w:space="0" w:color="auto"/>
      </w:divBdr>
    </w:div>
    <w:div w:id="1574579862">
      <w:bodyDiv w:val="1"/>
      <w:marLeft w:val="0"/>
      <w:marRight w:val="0"/>
      <w:marTop w:val="0"/>
      <w:marBottom w:val="0"/>
      <w:divBdr>
        <w:top w:val="none" w:sz="0" w:space="0" w:color="auto"/>
        <w:left w:val="none" w:sz="0" w:space="0" w:color="auto"/>
        <w:bottom w:val="none" w:sz="0" w:space="0" w:color="auto"/>
        <w:right w:val="none" w:sz="0" w:space="0" w:color="auto"/>
      </w:divBdr>
      <w:divsChild>
        <w:div w:id="146824524">
          <w:marLeft w:val="-240"/>
          <w:marRight w:val="-240"/>
          <w:marTop w:val="0"/>
          <w:marBottom w:val="0"/>
          <w:divBdr>
            <w:top w:val="none" w:sz="0" w:space="0" w:color="auto"/>
            <w:left w:val="none" w:sz="0" w:space="0" w:color="auto"/>
            <w:bottom w:val="none" w:sz="0" w:space="0" w:color="auto"/>
            <w:right w:val="none" w:sz="0" w:space="0" w:color="auto"/>
          </w:divBdr>
          <w:divsChild>
            <w:div w:id="1085423771">
              <w:marLeft w:val="0"/>
              <w:marRight w:val="0"/>
              <w:marTop w:val="0"/>
              <w:marBottom w:val="0"/>
              <w:divBdr>
                <w:top w:val="none" w:sz="0" w:space="0" w:color="auto"/>
                <w:left w:val="none" w:sz="0" w:space="0" w:color="auto"/>
                <w:bottom w:val="none" w:sz="0" w:space="0" w:color="auto"/>
                <w:right w:val="none" w:sz="0" w:space="0" w:color="auto"/>
              </w:divBdr>
              <w:divsChild>
                <w:div w:id="133491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196224">
      <w:bodyDiv w:val="1"/>
      <w:marLeft w:val="0"/>
      <w:marRight w:val="0"/>
      <w:marTop w:val="0"/>
      <w:marBottom w:val="0"/>
      <w:divBdr>
        <w:top w:val="none" w:sz="0" w:space="0" w:color="auto"/>
        <w:left w:val="none" w:sz="0" w:space="0" w:color="auto"/>
        <w:bottom w:val="none" w:sz="0" w:space="0" w:color="auto"/>
        <w:right w:val="none" w:sz="0" w:space="0" w:color="auto"/>
      </w:divBdr>
    </w:div>
    <w:div w:id="1625845718">
      <w:bodyDiv w:val="1"/>
      <w:marLeft w:val="0"/>
      <w:marRight w:val="0"/>
      <w:marTop w:val="0"/>
      <w:marBottom w:val="0"/>
      <w:divBdr>
        <w:top w:val="none" w:sz="0" w:space="0" w:color="auto"/>
        <w:left w:val="none" w:sz="0" w:space="0" w:color="auto"/>
        <w:bottom w:val="none" w:sz="0" w:space="0" w:color="auto"/>
        <w:right w:val="none" w:sz="0" w:space="0" w:color="auto"/>
      </w:divBdr>
      <w:divsChild>
        <w:div w:id="1265114720">
          <w:marLeft w:val="-240"/>
          <w:marRight w:val="-240"/>
          <w:marTop w:val="0"/>
          <w:marBottom w:val="0"/>
          <w:divBdr>
            <w:top w:val="none" w:sz="0" w:space="0" w:color="auto"/>
            <w:left w:val="none" w:sz="0" w:space="0" w:color="auto"/>
            <w:bottom w:val="none" w:sz="0" w:space="0" w:color="auto"/>
            <w:right w:val="none" w:sz="0" w:space="0" w:color="auto"/>
          </w:divBdr>
          <w:divsChild>
            <w:div w:id="1762139674">
              <w:marLeft w:val="0"/>
              <w:marRight w:val="0"/>
              <w:marTop w:val="0"/>
              <w:marBottom w:val="0"/>
              <w:divBdr>
                <w:top w:val="none" w:sz="0" w:space="0" w:color="auto"/>
                <w:left w:val="none" w:sz="0" w:space="0" w:color="auto"/>
                <w:bottom w:val="none" w:sz="0" w:space="0" w:color="auto"/>
                <w:right w:val="none" w:sz="0" w:space="0" w:color="auto"/>
              </w:divBdr>
              <w:divsChild>
                <w:div w:id="1005747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545626">
      <w:bodyDiv w:val="1"/>
      <w:marLeft w:val="0"/>
      <w:marRight w:val="0"/>
      <w:marTop w:val="0"/>
      <w:marBottom w:val="0"/>
      <w:divBdr>
        <w:top w:val="none" w:sz="0" w:space="0" w:color="auto"/>
        <w:left w:val="none" w:sz="0" w:space="0" w:color="auto"/>
        <w:bottom w:val="none" w:sz="0" w:space="0" w:color="auto"/>
        <w:right w:val="none" w:sz="0" w:space="0" w:color="auto"/>
      </w:divBdr>
      <w:divsChild>
        <w:div w:id="353924080">
          <w:marLeft w:val="-240"/>
          <w:marRight w:val="-240"/>
          <w:marTop w:val="0"/>
          <w:marBottom w:val="0"/>
          <w:divBdr>
            <w:top w:val="none" w:sz="0" w:space="0" w:color="auto"/>
            <w:left w:val="none" w:sz="0" w:space="0" w:color="auto"/>
            <w:bottom w:val="none" w:sz="0" w:space="0" w:color="auto"/>
            <w:right w:val="none" w:sz="0" w:space="0" w:color="auto"/>
          </w:divBdr>
          <w:divsChild>
            <w:div w:id="850221283">
              <w:marLeft w:val="0"/>
              <w:marRight w:val="0"/>
              <w:marTop w:val="0"/>
              <w:marBottom w:val="0"/>
              <w:divBdr>
                <w:top w:val="none" w:sz="0" w:space="0" w:color="auto"/>
                <w:left w:val="none" w:sz="0" w:space="0" w:color="auto"/>
                <w:bottom w:val="none" w:sz="0" w:space="0" w:color="auto"/>
                <w:right w:val="none" w:sz="0" w:space="0" w:color="auto"/>
              </w:divBdr>
              <w:divsChild>
                <w:div w:id="383607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936074">
      <w:bodyDiv w:val="1"/>
      <w:marLeft w:val="0"/>
      <w:marRight w:val="0"/>
      <w:marTop w:val="0"/>
      <w:marBottom w:val="0"/>
      <w:divBdr>
        <w:top w:val="none" w:sz="0" w:space="0" w:color="auto"/>
        <w:left w:val="none" w:sz="0" w:space="0" w:color="auto"/>
        <w:bottom w:val="none" w:sz="0" w:space="0" w:color="auto"/>
        <w:right w:val="none" w:sz="0" w:space="0" w:color="auto"/>
      </w:divBdr>
      <w:divsChild>
        <w:div w:id="1122960106">
          <w:marLeft w:val="-240"/>
          <w:marRight w:val="-240"/>
          <w:marTop w:val="0"/>
          <w:marBottom w:val="0"/>
          <w:divBdr>
            <w:top w:val="none" w:sz="0" w:space="0" w:color="auto"/>
            <w:left w:val="none" w:sz="0" w:space="0" w:color="auto"/>
            <w:bottom w:val="none" w:sz="0" w:space="0" w:color="auto"/>
            <w:right w:val="none" w:sz="0" w:space="0" w:color="auto"/>
          </w:divBdr>
          <w:divsChild>
            <w:div w:id="141166974">
              <w:marLeft w:val="0"/>
              <w:marRight w:val="0"/>
              <w:marTop w:val="0"/>
              <w:marBottom w:val="0"/>
              <w:divBdr>
                <w:top w:val="none" w:sz="0" w:space="0" w:color="auto"/>
                <w:left w:val="none" w:sz="0" w:space="0" w:color="auto"/>
                <w:bottom w:val="none" w:sz="0" w:space="0" w:color="auto"/>
                <w:right w:val="none" w:sz="0" w:space="0" w:color="auto"/>
              </w:divBdr>
              <w:divsChild>
                <w:div w:id="7643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18">
      <w:bodyDiv w:val="1"/>
      <w:marLeft w:val="0"/>
      <w:marRight w:val="0"/>
      <w:marTop w:val="0"/>
      <w:marBottom w:val="0"/>
      <w:divBdr>
        <w:top w:val="none" w:sz="0" w:space="0" w:color="auto"/>
        <w:left w:val="none" w:sz="0" w:space="0" w:color="auto"/>
        <w:bottom w:val="none" w:sz="0" w:space="0" w:color="auto"/>
        <w:right w:val="none" w:sz="0" w:space="0" w:color="auto"/>
      </w:divBdr>
      <w:divsChild>
        <w:div w:id="1881551501">
          <w:marLeft w:val="-240"/>
          <w:marRight w:val="-240"/>
          <w:marTop w:val="0"/>
          <w:marBottom w:val="0"/>
          <w:divBdr>
            <w:top w:val="none" w:sz="0" w:space="0" w:color="auto"/>
            <w:left w:val="none" w:sz="0" w:space="0" w:color="auto"/>
            <w:bottom w:val="none" w:sz="0" w:space="0" w:color="auto"/>
            <w:right w:val="none" w:sz="0" w:space="0" w:color="auto"/>
          </w:divBdr>
          <w:divsChild>
            <w:div w:id="2063357968">
              <w:marLeft w:val="0"/>
              <w:marRight w:val="0"/>
              <w:marTop w:val="0"/>
              <w:marBottom w:val="0"/>
              <w:divBdr>
                <w:top w:val="none" w:sz="0" w:space="0" w:color="auto"/>
                <w:left w:val="none" w:sz="0" w:space="0" w:color="auto"/>
                <w:bottom w:val="none" w:sz="0" w:space="0" w:color="auto"/>
                <w:right w:val="none" w:sz="0" w:space="0" w:color="auto"/>
              </w:divBdr>
              <w:divsChild>
                <w:div w:id="2043701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443738">
      <w:bodyDiv w:val="1"/>
      <w:marLeft w:val="0"/>
      <w:marRight w:val="0"/>
      <w:marTop w:val="0"/>
      <w:marBottom w:val="0"/>
      <w:divBdr>
        <w:top w:val="none" w:sz="0" w:space="0" w:color="auto"/>
        <w:left w:val="none" w:sz="0" w:space="0" w:color="auto"/>
        <w:bottom w:val="none" w:sz="0" w:space="0" w:color="auto"/>
        <w:right w:val="none" w:sz="0" w:space="0" w:color="auto"/>
      </w:divBdr>
      <w:divsChild>
        <w:div w:id="811942789">
          <w:marLeft w:val="-240"/>
          <w:marRight w:val="-240"/>
          <w:marTop w:val="0"/>
          <w:marBottom w:val="0"/>
          <w:divBdr>
            <w:top w:val="none" w:sz="0" w:space="0" w:color="auto"/>
            <w:left w:val="none" w:sz="0" w:space="0" w:color="auto"/>
            <w:bottom w:val="none" w:sz="0" w:space="0" w:color="auto"/>
            <w:right w:val="none" w:sz="0" w:space="0" w:color="auto"/>
          </w:divBdr>
          <w:divsChild>
            <w:div w:id="606472687">
              <w:marLeft w:val="0"/>
              <w:marRight w:val="0"/>
              <w:marTop w:val="0"/>
              <w:marBottom w:val="0"/>
              <w:divBdr>
                <w:top w:val="none" w:sz="0" w:space="0" w:color="auto"/>
                <w:left w:val="none" w:sz="0" w:space="0" w:color="auto"/>
                <w:bottom w:val="none" w:sz="0" w:space="0" w:color="auto"/>
                <w:right w:val="none" w:sz="0" w:space="0" w:color="auto"/>
              </w:divBdr>
              <w:divsChild>
                <w:div w:id="103573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288616">
      <w:bodyDiv w:val="1"/>
      <w:marLeft w:val="0"/>
      <w:marRight w:val="0"/>
      <w:marTop w:val="0"/>
      <w:marBottom w:val="0"/>
      <w:divBdr>
        <w:top w:val="none" w:sz="0" w:space="0" w:color="auto"/>
        <w:left w:val="none" w:sz="0" w:space="0" w:color="auto"/>
        <w:bottom w:val="none" w:sz="0" w:space="0" w:color="auto"/>
        <w:right w:val="none" w:sz="0" w:space="0" w:color="auto"/>
      </w:divBdr>
    </w:div>
    <w:div w:id="1653632697">
      <w:bodyDiv w:val="1"/>
      <w:marLeft w:val="0"/>
      <w:marRight w:val="0"/>
      <w:marTop w:val="0"/>
      <w:marBottom w:val="0"/>
      <w:divBdr>
        <w:top w:val="none" w:sz="0" w:space="0" w:color="auto"/>
        <w:left w:val="none" w:sz="0" w:space="0" w:color="auto"/>
        <w:bottom w:val="none" w:sz="0" w:space="0" w:color="auto"/>
        <w:right w:val="none" w:sz="0" w:space="0" w:color="auto"/>
      </w:divBdr>
      <w:divsChild>
        <w:div w:id="68814831">
          <w:marLeft w:val="-240"/>
          <w:marRight w:val="-240"/>
          <w:marTop w:val="0"/>
          <w:marBottom w:val="0"/>
          <w:divBdr>
            <w:top w:val="none" w:sz="0" w:space="0" w:color="auto"/>
            <w:left w:val="none" w:sz="0" w:space="0" w:color="auto"/>
            <w:bottom w:val="none" w:sz="0" w:space="0" w:color="auto"/>
            <w:right w:val="none" w:sz="0" w:space="0" w:color="auto"/>
          </w:divBdr>
          <w:divsChild>
            <w:div w:id="1697467184">
              <w:marLeft w:val="0"/>
              <w:marRight w:val="0"/>
              <w:marTop w:val="0"/>
              <w:marBottom w:val="0"/>
              <w:divBdr>
                <w:top w:val="none" w:sz="0" w:space="0" w:color="auto"/>
                <w:left w:val="none" w:sz="0" w:space="0" w:color="auto"/>
                <w:bottom w:val="none" w:sz="0" w:space="0" w:color="auto"/>
                <w:right w:val="none" w:sz="0" w:space="0" w:color="auto"/>
              </w:divBdr>
              <w:divsChild>
                <w:div w:id="958922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299916">
      <w:bodyDiv w:val="1"/>
      <w:marLeft w:val="0"/>
      <w:marRight w:val="0"/>
      <w:marTop w:val="0"/>
      <w:marBottom w:val="0"/>
      <w:divBdr>
        <w:top w:val="none" w:sz="0" w:space="0" w:color="auto"/>
        <w:left w:val="none" w:sz="0" w:space="0" w:color="auto"/>
        <w:bottom w:val="none" w:sz="0" w:space="0" w:color="auto"/>
        <w:right w:val="none" w:sz="0" w:space="0" w:color="auto"/>
      </w:divBdr>
      <w:divsChild>
        <w:div w:id="1111436554">
          <w:marLeft w:val="-240"/>
          <w:marRight w:val="-240"/>
          <w:marTop w:val="0"/>
          <w:marBottom w:val="0"/>
          <w:divBdr>
            <w:top w:val="none" w:sz="0" w:space="0" w:color="auto"/>
            <w:left w:val="none" w:sz="0" w:space="0" w:color="auto"/>
            <w:bottom w:val="none" w:sz="0" w:space="0" w:color="auto"/>
            <w:right w:val="none" w:sz="0" w:space="0" w:color="auto"/>
          </w:divBdr>
          <w:divsChild>
            <w:div w:id="402024844">
              <w:marLeft w:val="0"/>
              <w:marRight w:val="0"/>
              <w:marTop w:val="0"/>
              <w:marBottom w:val="0"/>
              <w:divBdr>
                <w:top w:val="none" w:sz="0" w:space="0" w:color="auto"/>
                <w:left w:val="none" w:sz="0" w:space="0" w:color="auto"/>
                <w:bottom w:val="none" w:sz="0" w:space="0" w:color="auto"/>
                <w:right w:val="none" w:sz="0" w:space="0" w:color="auto"/>
              </w:divBdr>
              <w:divsChild>
                <w:div w:id="562957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558560">
      <w:bodyDiv w:val="1"/>
      <w:marLeft w:val="0"/>
      <w:marRight w:val="0"/>
      <w:marTop w:val="0"/>
      <w:marBottom w:val="0"/>
      <w:divBdr>
        <w:top w:val="none" w:sz="0" w:space="0" w:color="auto"/>
        <w:left w:val="none" w:sz="0" w:space="0" w:color="auto"/>
        <w:bottom w:val="none" w:sz="0" w:space="0" w:color="auto"/>
        <w:right w:val="none" w:sz="0" w:space="0" w:color="auto"/>
      </w:divBdr>
      <w:divsChild>
        <w:div w:id="618872802">
          <w:marLeft w:val="-240"/>
          <w:marRight w:val="-240"/>
          <w:marTop w:val="0"/>
          <w:marBottom w:val="0"/>
          <w:divBdr>
            <w:top w:val="none" w:sz="0" w:space="0" w:color="auto"/>
            <w:left w:val="none" w:sz="0" w:space="0" w:color="auto"/>
            <w:bottom w:val="none" w:sz="0" w:space="0" w:color="auto"/>
            <w:right w:val="none" w:sz="0" w:space="0" w:color="auto"/>
          </w:divBdr>
          <w:divsChild>
            <w:div w:id="2034262097">
              <w:marLeft w:val="0"/>
              <w:marRight w:val="0"/>
              <w:marTop w:val="0"/>
              <w:marBottom w:val="0"/>
              <w:divBdr>
                <w:top w:val="none" w:sz="0" w:space="0" w:color="auto"/>
                <w:left w:val="none" w:sz="0" w:space="0" w:color="auto"/>
                <w:bottom w:val="none" w:sz="0" w:space="0" w:color="auto"/>
                <w:right w:val="none" w:sz="0" w:space="0" w:color="auto"/>
              </w:divBdr>
              <w:divsChild>
                <w:div w:id="1802841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529274">
      <w:bodyDiv w:val="1"/>
      <w:marLeft w:val="0"/>
      <w:marRight w:val="0"/>
      <w:marTop w:val="0"/>
      <w:marBottom w:val="0"/>
      <w:divBdr>
        <w:top w:val="none" w:sz="0" w:space="0" w:color="auto"/>
        <w:left w:val="none" w:sz="0" w:space="0" w:color="auto"/>
        <w:bottom w:val="none" w:sz="0" w:space="0" w:color="auto"/>
        <w:right w:val="none" w:sz="0" w:space="0" w:color="auto"/>
      </w:divBdr>
      <w:divsChild>
        <w:div w:id="1394694106">
          <w:marLeft w:val="-240"/>
          <w:marRight w:val="-240"/>
          <w:marTop w:val="0"/>
          <w:marBottom w:val="0"/>
          <w:divBdr>
            <w:top w:val="none" w:sz="0" w:space="0" w:color="auto"/>
            <w:left w:val="none" w:sz="0" w:space="0" w:color="auto"/>
            <w:bottom w:val="none" w:sz="0" w:space="0" w:color="auto"/>
            <w:right w:val="none" w:sz="0" w:space="0" w:color="auto"/>
          </w:divBdr>
          <w:divsChild>
            <w:div w:id="863522276">
              <w:marLeft w:val="0"/>
              <w:marRight w:val="0"/>
              <w:marTop w:val="0"/>
              <w:marBottom w:val="0"/>
              <w:divBdr>
                <w:top w:val="none" w:sz="0" w:space="0" w:color="auto"/>
                <w:left w:val="none" w:sz="0" w:space="0" w:color="auto"/>
                <w:bottom w:val="none" w:sz="0" w:space="0" w:color="auto"/>
                <w:right w:val="none" w:sz="0" w:space="0" w:color="auto"/>
              </w:divBdr>
              <w:divsChild>
                <w:div w:id="616261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306372">
      <w:bodyDiv w:val="1"/>
      <w:marLeft w:val="0"/>
      <w:marRight w:val="0"/>
      <w:marTop w:val="0"/>
      <w:marBottom w:val="0"/>
      <w:divBdr>
        <w:top w:val="none" w:sz="0" w:space="0" w:color="auto"/>
        <w:left w:val="none" w:sz="0" w:space="0" w:color="auto"/>
        <w:bottom w:val="none" w:sz="0" w:space="0" w:color="auto"/>
        <w:right w:val="none" w:sz="0" w:space="0" w:color="auto"/>
      </w:divBdr>
      <w:divsChild>
        <w:div w:id="2008709872">
          <w:marLeft w:val="-240"/>
          <w:marRight w:val="-240"/>
          <w:marTop w:val="0"/>
          <w:marBottom w:val="0"/>
          <w:divBdr>
            <w:top w:val="none" w:sz="0" w:space="0" w:color="auto"/>
            <w:left w:val="none" w:sz="0" w:space="0" w:color="auto"/>
            <w:bottom w:val="none" w:sz="0" w:space="0" w:color="auto"/>
            <w:right w:val="none" w:sz="0" w:space="0" w:color="auto"/>
          </w:divBdr>
          <w:divsChild>
            <w:div w:id="2099330986">
              <w:marLeft w:val="0"/>
              <w:marRight w:val="0"/>
              <w:marTop w:val="0"/>
              <w:marBottom w:val="0"/>
              <w:divBdr>
                <w:top w:val="none" w:sz="0" w:space="0" w:color="auto"/>
                <w:left w:val="none" w:sz="0" w:space="0" w:color="auto"/>
                <w:bottom w:val="none" w:sz="0" w:space="0" w:color="auto"/>
                <w:right w:val="none" w:sz="0" w:space="0" w:color="auto"/>
              </w:divBdr>
              <w:divsChild>
                <w:div w:id="15548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142112">
      <w:bodyDiv w:val="1"/>
      <w:marLeft w:val="0"/>
      <w:marRight w:val="0"/>
      <w:marTop w:val="0"/>
      <w:marBottom w:val="0"/>
      <w:divBdr>
        <w:top w:val="none" w:sz="0" w:space="0" w:color="auto"/>
        <w:left w:val="none" w:sz="0" w:space="0" w:color="auto"/>
        <w:bottom w:val="none" w:sz="0" w:space="0" w:color="auto"/>
        <w:right w:val="none" w:sz="0" w:space="0" w:color="auto"/>
      </w:divBdr>
      <w:divsChild>
        <w:div w:id="1002121121">
          <w:marLeft w:val="-240"/>
          <w:marRight w:val="-240"/>
          <w:marTop w:val="0"/>
          <w:marBottom w:val="0"/>
          <w:divBdr>
            <w:top w:val="none" w:sz="0" w:space="0" w:color="auto"/>
            <w:left w:val="none" w:sz="0" w:space="0" w:color="auto"/>
            <w:bottom w:val="none" w:sz="0" w:space="0" w:color="auto"/>
            <w:right w:val="none" w:sz="0" w:space="0" w:color="auto"/>
          </w:divBdr>
          <w:divsChild>
            <w:div w:id="887686149">
              <w:marLeft w:val="0"/>
              <w:marRight w:val="0"/>
              <w:marTop w:val="0"/>
              <w:marBottom w:val="0"/>
              <w:divBdr>
                <w:top w:val="none" w:sz="0" w:space="0" w:color="auto"/>
                <w:left w:val="none" w:sz="0" w:space="0" w:color="auto"/>
                <w:bottom w:val="none" w:sz="0" w:space="0" w:color="auto"/>
                <w:right w:val="none" w:sz="0" w:space="0" w:color="auto"/>
              </w:divBdr>
              <w:divsChild>
                <w:div w:id="889730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613086">
      <w:bodyDiv w:val="1"/>
      <w:marLeft w:val="0"/>
      <w:marRight w:val="0"/>
      <w:marTop w:val="0"/>
      <w:marBottom w:val="0"/>
      <w:divBdr>
        <w:top w:val="none" w:sz="0" w:space="0" w:color="auto"/>
        <w:left w:val="none" w:sz="0" w:space="0" w:color="auto"/>
        <w:bottom w:val="none" w:sz="0" w:space="0" w:color="auto"/>
        <w:right w:val="none" w:sz="0" w:space="0" w:color="auto"/>
      </w:divBdr>
      <w:divsChild>
        <w:div w:id="1338852553">
          <w:marLeft w:val="-240"/>
          <w:marRight w:val="-240"/>
          <w:marTop w:val="0"/>
          <w:marBottom w:val="0"/>
          <w:divBdr>
            <w:top w:val="none" w:sz="0" w:space="0" w:color="auto"/>
            <w:left w:val="none" w:sz="0" w:space="0" w:color="auto"/>
            <w:bottom w:val="none" w:sz="0" w:space="0" w:color="auto"/>
            <w:right w:val="none" w:sz="0" w:space="0" w:color="auto"/>
          </w:divBdr>
          <w:divsChild>
            <w:div w:id="998997570">
              <w:marLeft w:val="0"/>
              <w:marRight w:val="0"/>
              <w:marTop w:val="0"/>
              <w:marBottom w:val="0"/>
              <w:divBdr>
                <w:top w:val="none" w:sz="0" w:space="0" w:color="auto"/>
                <w:left w:val="none" w:sz="0" w:space="0" w:color="auto"/>
                <w:bottom w:val="none" w:sz="0" w:space="0" w:color="auto"/>
                <w:right w:val="none" w:sz="0" w:space="0" w:color="auto"/>
              </w:divBdr>
              <w:divsChild>
                <w:div w:id="154011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444718">
      <w:bodyDiv w:val="1"/>
      <w:marLeft w:val="0"/>
      <w:marRight w:val="0"/>
      <w:marTop w:val="0"/>
      <w:marBottom w:val="0"/>
      <w:divBdr>
        <w:top w:val="none" w:sz="0" w:space="0" w:color="auto"/>
        <w:left w:val="none" w:sz="0" w:space="0" w:color="auto"/>
        <w:bottom w:val="none" w:sz="0" w:space="0" w:color="auto"/>
        <w:right w:val="none" w:sz="0" w:space="0" w:color="auto"/>
      </w:divBdr>
      <w:divsChild>
        <w:div w:id="97415802">
          <w:marLeft w:val="-240"/>
          <w:marRight w:val="-240"/>
          <w:marTop w:val="0"/>
          <w:marBottom w:val="0"/>
          <w:divBdr>
            <w:top w:val="none" w:sz="0" w:space="0" w:color="auto"/>
            <w:left w:val="none" w:sz="0" w:space="0" w:color="auto"/>
            <w:bottom w:val="none" w:sz="0" w:space="0" w:color="auto"/>
            <w:right w:val="none" w:sz="0" w:space="0" w:color="auto"/>
          </w:divBdr>
          <w:divsChild>
            <w:div w:id="1319764729">
              <w:marLeft w:val="0"/>
              <w:marRight w:val="0"/>
              <w:marTop w:val="0"/>
              <w:marBottom w:val="0"/>
              <w:divBdr>
                <w:top w:val="none" w:sz="0" w:space="0" w:color="auto"/>
                <w:left w:val="none" w:sz="0" w:space="0" w:color="auto"/>
                <w:bottom w:val="none" w:sz="0" w:space="0" w:color="auto"/>
                <w:right w:val="none" w:sz="0" w:space="0" w:color="auto"/>
              </w:divBdr>
              <w:divsChild>
                <w:div w:id="2937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104468">
      <w:bodyDiv w:val="1"/>
      <w:marLeft w:val="0"/>
      <w:marRight w:val="0"/>
      <w:marTop w:val="0"/>
      <w:marBottom w:val="0"/>
      <w:divBdr>
        <w:top w:val="none" w:sz="0" w:space="0" w:color="auto"/>
        <w:left w:val="none" w:sz="0" w:space="0" w:color="auto"/>
        <w:bottom w:val="none" w:sz="0" w:space="0" w:color="auto"/>
        <w:right w:val="none" w:sz="0" w:space="0" w:color="auto"/>
      </w:divBdr>
      <w:divsChild>
        <w:div w:id="1793866045">
          <w:marLeft w:val="-240"/>
          <w:marRight w:val="-240"/>
          <w:marTop w:val="0"/>
          <w:marBottom w:val="0"/>
          <w:divBdr>
            <w:top w:val="none" w:sz="0" w:space="0" w:color="auto"/>
            <w:left w:val="none" w:sz="0" w:space="0" w:color="auto"/>
            <w:bottom w:val="none" w:sz="0" w:space="0" w:color="auto"/>
            <w:right w:val="none" w:sz="0" w:space="0" w:color="auto"/>
          </w:divBdr>
          <w:divsChild>
            <w:div w:id="777024449">
              <w:marLeft w:val="0"/>
              <w:marRight w:val="0"/>
              <w:marTop w:val="0"/>
              <w:marBottom w:val="0"/>
              <w:divBdr>
                <w:top w:val="none" w:sz="0" w:space="0" w:color="auto"/>
                <w:left w:val="none" w:sz="0" w:space="0" w:color="auto"/>
                <w:bottom w:val="none" w:sz="0" w:space="0" w:color="auto"/>
                <w:right w:val="none" w:sz="0" w:space="0" w:color="auto"/>
              </w:divBdr>
              <w:divsChild>
                <w:div w:id="648704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152325">
      <w:bodyDiv w:val="1"/>
      <w:marLeft w:val="0"/>
      <w:marRight w:val="0"/>
      <w:marTop w:val="0"/>
      <w:marBottom w:val="0"/>
      <w:divBdr>
        <w:top w:val="none" w:sz="0" w:space="0" w:color="auto"/>
        <w:left w:val="none" w:sz="0" w:space="0" w:color="auto"/>
        <w:bottom w:val="none" w:sz="0" w:space="0" w:color="auto"/>
        <w:right w:val="none" w:sz="0" w:space="0" w:color="auto"/>
      </w:divBdr>
      <w:divsChild>
        <w:div w:id="1481389946">
          <w:marLeft w:val="-240"/>
          <w:marRight w:val="-240"/>
          <w:marTop w:val="0"/>
          <w:marBottom w:val="0"/>
          <w:divBdr>
            <w:top w:val="none" w:sz="0" w:space="0" w:color="auto"/>
            <w:left w:val="none" w:sz="0" w:space="0" w:color="auto"/>
            <w:bottom w:val="none" w:sz="0" w:space="0" w:color="auto"/>
            <w:right w:val="none" w:sz="0" w:space="0" w:color="auto"/>
          </w:divBdr>
          <w:divsChild>
            <w:div w:id="711460883">
              <w:marLeft w:val="0"/>
              <w:marRight w:val="0"/>
              <w:marTop w:val="0"/>
              <w:marBottom w:val="0"/>
              <w:divBdr>
                <w:top w:val="none" w:sz="0" w:space="0" w:color="auto"/>
                <w:left w:val="none" w:sz="0" w:space="0" w:color="auto"/>
                <w:bottom w:val="none" w:sz="0" w:space="0" w:color="auto"/>
                <w:right w:val="none" w:sz="0" w:space="0" w:color="auto"/>
              </w:divBdr>
              <w:divsChild>
                <w:div w:id="20048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398468">
      <w:bodyDiv w:val="1"/>
      <w:marLeft w:val="0"/>
      <w:marRight w:val="0"/>
      <w:marTop w:val="0"/>
      <w:marBottom w:val="0"/>
      <w:divBdr>
        <w:top w:val="none" w:sz="0" w:space="0" w:color="auto"/>
        <w:left w:val="none" w:sz="0" w:space="0" w:color="auto"/>
        <w:bottom w:val="none" w:sz="0" w:space="0" w:color="auto"/>
        <w:right w:val="none" w:sz="0" w:space="0" w:color="auto"/>
      </w:divBdr>
      <w:divsChild>
        <w:div w:id="1100293629">
          <w:marLeft w:val="-240"/>
          <w:marRight w:val="-240"/>
          <w:marTop w:val="0"/>
          <w:marBottom w:val="0"/>
          <w:divBdr>
            <w:top w:val="none" w:sz="0" w:space="0" w:color="auto"/>
            <w:left w:val="none" w:sz="0" w:space="0" w:color="auto"/>
            <w:bottom w:val="none" w:sz="0" w:space="0" w:color="auto"/>
            <w:right w:val="none" w:sz="0" w:space="0" w:color="auto"/>
          </w:divBdr>
          <w:divsChild>
            <w:div w:id="1439136461">
              <w:marLeft w:val="0"/>
              <w:marRight w:val="0"/>
              <w:marTop w:val="0"/>
              <w:marBottom w:val="0"/>
              <w:divBdr>
                <w:top w:val="none" w:sz="0" w:space="0" w:color="auto"/>
                <w:left w:val="none" w:sz="0" w:space="0" w:color="auto"/>
                <w:bottom w:val="none" w:sz="0" w:space="0" w:color="auto"/>
                <w:right w:val="none" w:sz="0" w:space="0" w:color="auto"/>
              </w:divBdr>
              <w:divsChild>
                <w:div w:id="190387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748133">
      <w:bodyDiv w:val="1"/>
      <w:marLeft w:val="0"/>
      <w:marRight w:val="0"/>
      <w:marTop w:val="0"/>
      <w:marBottom w:val="0"/>
      <w:divBdr>
        <w:top w:val="none" w:sz="0" w:space="0" w:color="auto"/>
        <w:left w:val="none" w:sz="0" w:space="0" w:color="auto"/>
        <w:bottom w:val="none" w:sz="0" w:space="0" w:color="auto"/>
        <w:right w:val="none" w:sz="0" w:space="0" w:color="auto"/>
      </w:divBdr>
      <w:divsChild>
        <w:div w:id="1289631320">
          <w:marLeft w:val="-240"/>
          <w:marRight w:val="-240"/>
          <w:marTop w:val="0"/>
          <w:marBottom w:val="0"/>
          <w:divBdr>
            <w:top w:val="none" w:sz="0" w:space="0" w:color="auto"/>
            <w:left w:val="none" w:sz="0" w:space="0" w:color="auto"/>
            <w:bottom w:val="none" w:sz="0" w:space="0" w:color="auto"/>
            <w:right w:val="none" w:sz="0" w:space="0" w:color="auto"/>
          </w:divBdr>
          <w:divsChild>
            <w:div w:id="1039210223">
              <w:marLeft w:val="0"/>
              <w:marRight w:val="0"/>
              <w:marTop w:val="0"/>
              <w:marBottom w:val="0"/>
              <w:divBdr>
                <w:top w:val="none" w:sz="0" w:space="0" w:color="auto"/>
                <w:left w:val="none" w:sz="0" w:space="0" w:color="auto"/>
                <w:bottom w:val="none" w:sz="0" w:space="0" w:color="auto"/>
                <w:right w:val="none" w:sz="0" w:space="0" w:color="auto"/>
              </w:divBdr>
              <w:divsChild>
                <w:div w:id="162878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427543">
      <w:bodyDiv w:val="1"/>
      <w:marLeft w:val="0"/>
      <w:marRight w:val="0"/>
      <w:marTop w:val="0"/>
      <w:marBottom w:val="0"/>
      <w:divBdr>
        <w:top w:val="none" w:sz="0" w:space="0" w:color="auto"/>
        <w:left w:val="none" w:sz="0" w:space="0" w:color="auto"/>
        <w:bottom w:val="none" w:sz="0" w:space="0" w:color="auto"/>
        <w:right w:val="none" w:sz="0" w:space="0" w:color="auto"/>
      </w:divBdr>
    </w:div>
    <w:div w:id="1767654735">
      <w:bodyDiv w:val="1"/>
      <w:marLeft w:val="0"/>
      <w:marRight w:val="0"/>
      <w:marTop w:val="0"/>
      <w:marBottom w:val="0"/>
      <w:divBdr>
        <w:top w:val="none" w:sz="0" w:space="0" w:color="auto"/>
        <w:left w:val="none" w:sz="0" w:space="0" w:color="auto"/>
        <w:bottom w:val="none" w:sz="0" w:space="0" w:color="auto"/>
        <w:right w:val="none" w:sz="0" w:space="0" w:color="auto"/>
      </w:divBdr>
      <w:divsChild>
        <w:div w:id="784273772">
          <w:marLeft w:val="-240"/>
          <w:marRight w:val="-240"/>
          <w:marTop w:val="0"/>
          <w:marBottom w:val="0"/>
          <w:divBdr>
            <w:top w:val="none" w:sz="0" w:space="0" w:color="auto"/>
            <w:left w:val="none" w:sz="0" w:space="0" w:color="auto"/>
            <w:bottom w:val="none" w:sz="0" w:space="0" w:color="auto"/>
            <w:right w:val="none" w:sz="0" w:space="0" w:color="auto"/>
          </w:divBdr>
          <w:divsChild>
            <w:div w:id="2013796648">
              <w:marLeft w:val="0"/>
              <w:marRight w:val="0"/>
              <w:marTop w:val="0"/>
              <w:marBottom w:val="0"/>
              <w:divBdr>
                <w:top w:val="none" w:sz="0" w:space="0" w:color="auto"/>
                <w:left w:val="none" w:sz="0" w:space="0" w:color="auto"/>
                <w:bottom w:val="none" w:sz="0" w:space="0" w:color="auto"/>
                <w:right w:val="none" w:sz="0" w:space="0" w:color="auto"/>
              </w:divBdr>
              <w:divsChild>
                <w:div w:id="26314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477625">
      <w:bodyDiv w:val="1"/>
      <w:marLeft w:val="0"/>
      <w:marRight w:val="0"/>
      <w:marTop w:val="0"/>
      <w:marBottom w:val="0"/>
      <w:divBdr>
        <w:top w:val="none" w:sz="0" w:space="0" w:color="auto"/>
        <w:left w:val="none" w:sz="0" w:space="0" w:color="auto"/>
        <w:bottom w:val="none" w:sz="0" w:space="0" w:color="auto"/>
        <w:right w:val="none" w:sz="0" w:space="0" w:color="auto"/>
      </w:divBdr>
      <w:divsChild>
        <w:div w:id="868957628">
          <w:marLeft w:val="-240"/>
          <w:marRight w:val="-240"/>
          <w:marTop w:val="0"/>
          <w:marBottom w:val="0"/>
          <w:divBdr>
            <w:top w:val="none" w:sz="0" w:space="0" w:color="auto"/>
            <w:left w:val="none" w:sz="0" w:space="0" w:color="auto"/>
            <w:bottom w:val="none" w:sz="0" w:space="0" w:color="auto"/>
            <w:right w:val="none" w:sz="0" w:space="0" w:color="auto"/>
          </w:divBdr>
          <w:divsChild>
            <w:div w:id="328290648">
              <w:marLeft w:val="0"/>
              <w:marRight w:val="0"/>
              <w:marTop w:val="0"/>
              <w:marBottom w:val="0"/>
              <w:divBdr>
                <w:top w:val="none" w:sz="0" w:space="0" w:color="auto"/>
                <w:left w:val="none" w:sz="0" w:space="0" w:color="auto"/>
                <w:bottom w:val="none" w:sz="0" w:space="0" w:color="auto"/>
                <w:right w:val="none" w:sz="0" w:space="0" w:color="auto"/>
              </w:divBdr>
              <w:divsChild>
                <w:div w:id="1248078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198371">
      <w:bodyDiv w:val="1"/>
      <w:marLeft w:val="0"/>
      <w:marRight w:val="0"/>
      <w:marTop w:val="0"/>
      <w:marBottom w:val="0"/>
      <w:divBdr>
        <w:top w:val="none" w:sz="0" w:space="0" w:color="auto"/>
        <w:left w:val="none" w:sz="0" w:space="0" w:color="auto"/>
        <w:bottom w:val="none" w:sz="0" w:space="0" w:color="auto"/>
        <w:right w:val="none" w:sz="0" w:space="0" w:color="auto"/>
      </w:divBdr>
      <w:divsChild>
        <w:div w:id="716853323">
          <w:marLeft w:val="-240"/>
          <w:marRight w:val="-240"/>
          <w:marTop w:val="0"/>
          <w:marBottom w:val="0"/>
          <w:divBdr>
            <w:top w:val="none" w:sz="0" w:space="0" w:color="auto"/>
            <w:left w:val="none" w:sz="0" w:space="0" w:color="auto"/>
            <w:bottom w:val="none" w:sz="0" w:space="0" w:color="auto"/>
            <w:right w:val="none" w:sz="0" w:space="0" w:color="auto"/>
          </w:divBdr>
          <w:divsChild>
            <w:div w:id="1373337923">
              <w:marLeft w:val="0"/>
              <w:marRight w:val="0"/>
              <w:marTop w:val="0"/>
              <w:marBottom w:val="0"/>
              <w:divBdr>
                <w:top w:val="none" w:sz="0" w:space="0" w:color="auto"/>
                <w:left w:val="none" w:sz="0" w:space="0" w:color="auto"/>
                <w:bottom w:val="none" w:sz="0" w:space="0" w:color="auto"/>
                <w:right w:val="none" w:sz="0" w:space="0" w:color="auto"/>
              </w:divBdr>
              <w:divsChild>
                <w:div w:id="158598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622059">
      <w:bodyDiv w:val="1"/>
      <w:marLeft w:val="0"/>
      <w:marRight w:val="0"/>
      <w:marTop w:val="0"/>
      <w:marBottom w:val="0"/>
      <w:divBdr>
        <w:top w:val="none" w:sz="0" w:space="0" w:color="auto"/>
        <w:left w:val="none" w:sz="0" w:space="0" w:color="auto"/>
        <w:bottom w:val="none" w:sz="0" w:space="0" w:color="auto"/>
        <w:right w:val="none" w:sz="0" w:space="0" w:color="auto"/>
      </w:divBdr>
      <w:divsChild>
        <w:div w:id="1098990206">
          <w:marLeft w:val="-240"/>
          <w:marRight w:val="-240"/>
          <w:marTop w:val="0"/>
          <w:marBottom w:val="0"/>
          <w:divBdr>
            <w:top w:val="none" w:sz="0" w:space="0" w:color="auto"/>
            <w:left w:val="none" w:sz="0" w:space="0" w:color="auto"/>
            <w:bottom w:val="none" w:sz="0" w:space="0" w:color="auto"/>
            <w:right w:val="none" w:sz="0" w:space="0" w:color="auto"/>
          </w:divBdr>
          <w:divsChild>
            <w:div w:id="1567106953">
              <w:marLeft w:val="0"/>
              <w:marRight w:val="0"/>
              <w:marTop w:val="0"/>
              <w:marBottom w:val="0"/>
              <w:divBdr>
                <w:top w:val="none" w:sz="0" w:space="0" w:color="auto"/>
                <w:left w:val="none" w:sz="0" w:space="0" w:color="auto"/>
                <w:bottom w:val="none" w:sz="0" w:space="0" w:color="auto"/>
                <w:right w:val="none" w:sz="0" w:space="0" w:color="auto"/>
              </w:divBdr>
              <w:divsChild>
                <w:div w:id="147371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365943">
      <w:bodyDiv w:val="1"/>
      <w:marLeft w:val="0"/>
      <w:marRight w:val="0"/>
      <w:marTop w:val="0"/>
      <w:marBottom w:val="0"/>
      <w:divBdr>
        <w:top w:val="none" w:sz="0" w:space="0" w:color="auto"/>
        <w:left w:val="none" w:sz="0" w:space="0" w:color="auto"/>
        <w:bottom w:val="none" w:sz="0" w:space="0" w:color="auto"/>
        <w:right w:val="none" w:sz="0" w:space="0" w:color="auto"/>
      </w:divBdr>
      <w:divsChild>
        <w:div w:id="972634212">
          <w:marLeft w:val="-240"/>
          <w:marRight w:val="-240"/>
          <w:marTop w:val="0"/>
          <w:marBottom w:val="0"/>
          <w:divBdr>
            <w:top w:val="none" w:sz="0" w:space="0" w:color="auto"/>
            <w:left w:val="none" w:sz="0" w:space="0" w:color="auto"/>
            <w:bottom w:val="none" w:sz="0" w:space="0" w:color="auto"/>
            <w:right w:val="none" w:sz="0" w:space="0" w:color="auto"/>
          </w:divBdr>
          <w:divsChild>
            <w:div w:id="1371343447">
              <w:marLeft w:val="0"/>
              <w:marRight w:val="0"/>
              <w:marTop w:val="0"/>
              <w:marBottom w:val="0"/>
              <w:divBdr>
                <w:top w:val="none" w:sz="0" w:space="0" w:color="auto"/>
                <w:left w:val="none" w:sz="0" w:space="0" w:color="auto"/>
                <w:bottom w:val="none" w:sz="0" w:space="0" w:color="auto"/>
                <w:right w:val="none" w:sz="0" w:space="0" w:color="auto"/>
              </w:divBdr>
              <w:divsChild>
                <w:div w:id="90368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185206">
      <w:bodyDiv w:val="1"/>
      <w:marLeft w:val="0"/>
      <w:marRight w:val="0"/>
      <w:marTop w:val="0"/>
      <w:marBottom w:val="0"/>
      <w:divBdr>
        <w:top w:val="none" w:sz="0" w:space="0" w:color="auto"/>
        <w:left w:val="none" w:sz="0" w:space="0" w:color="auto"/>
        <w:bottom w:val="none" w:sz="0" w:space="0" w:color="auto"/>
        <w:right w:val="none" w:sz="0" w:space="0" w:color="auto"/>
      </w:divBdr>
      <w:divsChild>
        <w:div w:id="1968467511">
          <w:marLeft w:val="-240"/>
          <w:marRight w:val="-240"/>
          <w:marTop w:val="0"/>
          <w:marBottom w:val="0"/>
          <w:divBdr>
            <w:top w:val="none" w:sz="0" w:space="0" w:color="auto"/>
            <w:left w:val="none" w:sz="0" w:space="0" w:color="auto"/>
            <w:bottom w:val="none" w:sz="0" w:space="0" w:color="auto"/>
            <w:right w:val="none" w:sz="0" w:space="0" w:color="auto"/>
          </w:divBdr>
          <w:divsChild>
            <w:div w:id="268394649">
              <w:marLeft w:val="0"/>
              <w:marRight w:val="0"/>
              <w:marTop w:val="0"/>
              <w:marBottom w:val="0"/>
              <w:divBdr>
                <w:top w:val="none" w:sz="0" w:space="0" w:color="auto"/>
                <w:left w:val="none" w:sz="0" w:space="0" w:color="auto"/>
                <w:bottom w:val="none" w:sz="0" w:space="0" w:color="auto"/>
                <w:right w:val="none" w:sz="0" w:space="0" w:color="auto"/>
              </w:divBdr>
              <w:divsChild>
                <w:div w:id="606277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260652">
      <w:bodyDiv w:val="1"/>
      <w:marLeft w:val="0"/>
      <w:marRight w:val="0"/>
      <w:marTop w:val="0"/>
      <w:marBottom w:val="0"/>
      <w:divBdr>
        <w:top w:val="none" w:sz="0" w:space="0" w:color="auto"/>
        <w:left w:val="none" w:sz="0" w:space="0" w:color="auto"/>
        <w:bottom w:val="none" w:sz="0" w:space="0" w:color="auto"/>
        <w:right w:val="none" w:sz="0" w:space="0" w:color="auto"/>
      </w:divBdr>
      <w:divsChild>
        <w:div w:id="1216509072">
          <w:marLeft w:val="-240"/>
          <w:marRight w:val="-240"/>
          <w:marTop w:val="0"/>
          <w:marBottom w:val="0"/>
          <w:divBdr>
            <w:top w:val="none" w:sz="0" w:space="0" w:color="auto"/>
            <w:left w:val="none" w:sz="0" w:space="0" w:color="auto"/>
            <w:bottom w:val="none" w:sz="0" w:space="0" w:color="auto"/>
            <w:right w:val="none" w:sz="0" w:space="0" w:color="auto"/>
          </w:divBdr>
          <w:divsChild>
            <w:div w:id="748500370">
              <w:marLeft w:val="0"/>
              <w:marRight w:val="0"/>
              <w:marTop w:val="0"/>
              <w:marBottom w:val="0"/>
              <w:divBdr>
                <w:top w:val="none" w:sz="0" w:space="0" w:color="auto"/>
                <w:left w:val="none" w:sz="0" w:space="0" w:color="auto"/>
                <w:bottom w:val="none" w:sz="0" w:space="0" w:color="auto"/>
                <w:right w:val="none" w:sz="0" w:space="0" w:color="auto"/>
              </w:divBdr>
              <w:divsChild>
                <w:div w:id="86235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844767">
      <w:bodyDiv w:val="1"/>
      <w:marLeft w:val="0"/>
      <w:marRight w:val="0"/>
      <w:marTop w:val="0"/>
      <w:marBottom w:val="0"/>
      <w:divBdr>
        <w:top w:val="none" w:sz="0" w:space="0" w:color="auto"/>
        <w:left w:val="none" w:sz="0" w:space="0" w:color="auto"/>
        <w:bottom w:val="none" w:sz="0" w:space="0" w:color="auto"/>
        <w:right w:val="none" w:sz="0" w:space="0" w:color="auto"/>
      </w:divBdr>
      <w:divsChild>
        <w:div w:id="5979760">
          <w:marLeft w:val="-240"/>
          <w:marRight w:val="-240"/>
          <w:marTop w:val="0"/>
          <w:marBottom w:val="0"/>
          <w:divBdr>
            <w:top w:val="none" w:sz="0" w:space="0" w:color="auto"/>
            <w:left w:val="none" w:sz="0" w:space="0" w:color="auto"/>
            <w:bottom w:val="none" w:sz="0" w:space="0" w:color="auto"/>
            <w:right w:val="none" w:sz="0" w:space="0" w:color="auto"/>
          </w:divBdr>
          <w:divsChild>
            <w:div w:id="135681854">
              <w:marLeft w:val="0"/>
              <w:marRight w:val="0"/>
              <w:marTop w:val="0"/>
              <w:marBottom w:val="0"/>
              <w:divBdr>
                <w:top w:val="none" w:sz="0" w:space="0" w:color="auto"/>
                <w:left w:val="none" w:sz="0" w:space="0" w:color="auto"/>
                <w:bottom w:val="none" w:sz="0" w:space="0" w:color="auto"/>
                <w:right w:val="none" w:sz="0" w:space="0" w:color="auto"/>
              </w:divBdr>
              <w:divsChild>
                <w:div w:id="118818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5708836">
      <w:bodyDiv w:val="1"/>
      <w:marLeft w:val="0"/>
      <w:marRight w:val="0"/>
      <w:marTop w:val="0"/>
      <w:marBottom w:val="0"/>
      <w:divBdr>
        <w:top w:val="none" w:sz="0" w:space="0" w:color="auto"/>
        <w:left w:val="none" w:sz="0" w:space="0" w:color="auto"/>
        <w:bottom w:val="none" w:sz="0" w:space="0" w:color="auto"/>
        <w:right w:val="none" w:sz="0" w:space="0" w:color="auto"/>
      </w:divBdr>
      <w:divsChild>
        <w:div w:id="1472865876">
          <w:marLeft w:val="-240"/>
          <w:marRight w:val="-240"/>
          <w:marTop w:val="0"/>
          <w:marBottom w:val="0"/>
          <w:divBdr>
            <w:top w:val="none" w:sz="0" w:space="0" w:color="auto"/>
            <w:left w:val="none" w:sz="0" w:space="0" w:color="auto"/>
            <w:bottom w:val="none" w:sz="0" w:space="0" w:color="auto"/>
            <w:right w:val="none" w:sz="0" w:space="0" w:color="auto"/>
          </w:divBdr>
          <w:divsChild>
            <w:div w:id="1629243703">
              <w:marLeft w:val="0"/>
              <w:marRight w:val="0"/>
              <w:marTop w:val="0"/>
              <w:marBottom w:val="0"/>
              <w:divBdr>
                <w:top w:val="none" w:sz="0" w:space="0" w:color="auto"/>
                <w:left w:val="none" w:sz="0" w:space="0" w:color="auto"/>
                <w:bottom w:val="none" w:sz="0" w:space="0" w:color="auto"/>
                <w:right w:val="none" w:sz="0" w:space="0" w:color="auto"/>
              </w:divBdr>
              <w:divsChild>
                <w:div w:id="32289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548879">
      <w:bodyDiv w:val="1"/>
      <w:marLeft w:val="0"/>
      <w:marRight w:val="0"/>
      <w:marTop w:val="0"/>
      <w:marBottom w:val="0"/>
      <w:divBdr>
        <w:top w:val="none" w:sz="0" w:space="0" w:color="auto"/>
        <w:left w:val="none" w:sz="0" w:space="0" w:color="auto"/>
        <w:bottom w:val="none" w:sz="0" w:space="0" w:color="auto"/>
        <w:right w:val="none" w:sz="0" w:space="0" w:color="auto"/>
      </w:divBdr>
      <w:divsChild>
        <w:div w:id="431897080">
          <w:marLeft w:val="-240"/>
          <w:marRight w:val="-240"/>
          <w:marTop w:val="0"/>
          <w:marBottom w:val="0"/>
          <w:divBdr>
            <w:top w:val="none" w:sz="0" w:space="0" w:color="auto"/>
            <w:left w:val="none" w:sz="0" w:space="0" w:color="auto"/>
            <w:bottom w:val="none" w:sz="0" w:space="0" w:color="auto"/>
            <w:right w:val="none" w:sz="0" w:space="0" w:color="auto"/>
          </w:divBdr>
          <w:divsChild>
            <w:div w:id="1234048532">
              <w:marLeft w:val="0"/>
              <w:marRight w:val="0"/>
              <w:marTop w:val="0"/>
              <w:marBottom w:val="0"/>
              <w:divBdr>
                <w:top w:val="none" w:sz="0" w:space="0" w:color="auto"/>
                <w:left w:val="none" w:sz="0" w:space="0" w:color="auto"/>
                <w:bottom w:val="none" w:sz="0" w:space="0" w:color="auto"/>
                <w:right w:val="none" w:sz="0" w:space="0" w:color="auto"/>
              </w:divBdr>
              <w:divsChild>
                <w:div w:id="1513959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061250">
      <w:bodyDiv w:val="1"/>
      <w:marLeft w:val="0"/>
      <w:marRight w:val="0"/>
      <w:marTop w:val="0"/>
      <w:marBottom w:val="0"/>
      <w:divBdr>
        <w:top w:val="none" w:sz="0" w:space="0" w:color="auto"/>
        <w:left w:val="none" w:sz="0" w:space="0" w:color="auto"/>
        <w:bottom w:val="none" w:sz="0" w:space="0" w:color="auto"/>
        <w:right w:val="none" w:sz="0" w:space="0" w:color="auto"/>
      </w:divBdr>
      <w:divsChild>
        <w:div w:id="1764183492">
          <w:marLeft w:val="-240"/>
          <w:marRight w:val="-240"/>
          <w:marTop w:val="0"/>
          <w:marBottom w:val="0"/>
          <w:divBdr>
            <w:top w:val="none" w:sz="0" w:space="0" w:color="auto"/>
            <w:left w:val="none" w:sz="0" w:space="0" w:color="auto"/>
            <w:bottom w:val="none" w:sz="0" w:space="0" w:color="auto"/>
            <w:right w:val="none" w:sz="0" w:space="0" w:color="auto"/>
          </w:divBdr>
          <w:divsChild>
            <w:div w:id="1421635574">
              <w:marLeft w:val="0"/>
              <w:marRight w:val="0"/>
              <w:marTop w:val="0"/>
              <w:marBottom w:val="0"/>
              <w:divBdr>
                <w:top w:val="none" w:sz="0" w:space="0" w:color="auto"/>
                <w:left w:val="none" w:sz="0" w:space="0" w:color="auto"/>
                <w:bottom w:val="none" w:sz="0" w:space="0" w:color="auto"/>
                <w:right w:val="none" w:sz="0" w:space="0" w:color="auto"/>
              </w:divBdr>
              <w:divsChild>
                <w:div w:id="56426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632337">
      <w:bodyDiv w:val="1"/>
      <w:marLeft w:val="0"/>
      <w:marRight w:val="0"/>
      <w:marTop w:val="0"/>
      <w:marBottom w:val="0"/>
      <w:divBdr>
        <w:top w:val="none" w:sz="0" w:space="0" w:color="auto"/>
        <w:left w:val="none" w:sz="0" w:space="0" w:color="auto"/>
        <w:bottom w:val="none" w:sz="0" w:space="0" w:color="auto"/>
        <w:right w:val="none" w:sz="0" w:space="0" w:color="auto"/>
      </w:divBdr>
      <w:divsChild>
        <w:div w:id="999044002">
          <w:marLeft w:val="-240"/>
          <w:marRight w:val="-240"/>
          <w:marTop w:val="0"/>
          <w:marBottom w:val="0"/>
          <w:divBdr>
            <w:top w:val="none" w:sz="0" w:space="0" w:color="auto"/>
            <w:left w:val="none" w:sz="0" w:space="0" w:color="auto"/>
            <w:bottom w:val="none" w:sz="0" w:space="0" w:color="auto"/>
            <w:right w:val="none" w:sz="0" w:space="0" w:color="auto"/>
          </w:divBdr>
          <w:divsChild>
            <w:div w:id="810752157">
              <w:marLeft w:val="0"/>
              <w:marRight w:val="0"/>
              <w:marTop w:val="0"/>
              <w:marBottom w:val="0"/>
              <w:divBdr>
                <w:top w:val="none" w:sz="0" w:space="0" w:color="auto"/>
                <w:left w:val="none" w:sz="0" w:space="0" w:color="auto"/>
                <w:bottom w:val="none" w:sz="0" w:space="0" w:color="auto"/>
                <w:right w:val="none" w:sz="0" w:space="0" w:color="auto"/>
              </w:divBdr>
              <w:divsChild>
                <w:div w:id="39513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494576">
      <w:bodyDiv w:val="1"/>
      <w:marLeft w:val="0"/>
      <w:marRight w:val="0"/>
      <w:marTop w:val="0"/>
      <w:marBottom w:val="0"/>
      <w:divBdr>
        <w:top w:val="none" w:sz="0" w:space="0" w:color="auto"/>
        <w:left w:val="none" w:sz="0" w:space="0" w:color="auto"/>
        <w:bottom w:val="none" w:sz="0" w:space="0" w:color="auto"/>
        <w:right w:val="none" w:sz="0" w:space="0" w:color="auto"/>
      </w:divBdr>
      <w:divsChild>
        <w:div w:id="1564832062">
          <w:marLeft w:val="-240"/>
          <w:marRight w:val="-240"/>
          <w:marTop w:val="0"/>
          <w:marBottom w:val="0"/>
          <w:divBdr>
            <w:top w:val="none" w:sz="0" w:space="0" w:color="auto"/>
            <w:left w:val="none" w:sz="0" w:space="0" w:color="auto"/>
            <w:bottom w:val="none" w:sz="0" w:space="0" w:color="auto"/>
            <w:right w:val="none" w:sz="0" w:space="0" w:color="auto"/>
          </w:divBdr>
          <w:divsChild>
            <w:div w:id="126629537">
              <w:marLeft w:val="0"/>
              <w:marRight w:val="0"/>
              <w:marTop w:val="0"/>
              <w:marBottom w:val="0"/>
              <w:divBdr>
                <w:top w:val="none" w:sz="0" w:space="0" w:color="auto"/>
                <w:left w:val="none" w:sz="0" w:space="0" w:color="auto"/>
                <w:bottom w:val="none" w:sz="0" w:space="0" w:color="auto"/>
                <w:right w:val="none" w:sz="0" w:space="0" w:color="auto"/>
              </w:divBdr>
              <w:divsChild>
                <w:div w:id="1188527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073750">
      <w:bodyDiv w:val="1"/>
      <w:marLeft w:val="0"/>
      <w:marRight w:val="0"/>
      <w:marTop w:val="0"/>
      <w:marBottom w:val="0"/>
      <w:divBdr>
        <w:top w:val="none" w:sz="0" w:space="0" w:color="auto"/>
        <w:left w:val="none" w:sz="0" w:space="0" w:color="auto"/>
        <w:bottom w:val="none" w:sz="0" w:space="0" w:color="auto"/>
        <w:right w:val="none" w:sz="0" w:space="0" w:color="auto"/>
      </w:divBdr>
      <w:divsChild>
        <w:div w:id="119347275">
          <w:marLeft w:val="-240"/>
          <w:marRight w:val="-240"/>
          <w:marTop w:val="0"/>
          <w:marBottom w:val="0"/>
          <w:divBdr>
            <w:top w:val="none" w:sz="0" w:space="0" w:color="auto"/>
            <w:left w:val="none" w:sz="0" w:space="0" w:color="auto"/>
            <w:bottom w:val="none" w:sz="0" w:space="0" w:color="auto"/>
            <w:right w:val="none" w:sz="0" w:space="0" w:color="auto"/>
          </w:divBdr>
          <w:divsChild>
            <w:div w:id="2146504395">
              <w:marLeft w:val="0"/>
              <w:marRight w:val="0"/>
              <w:marTop w:val="0"/>
              <w:marBottom w:val="0"/>
              <w:divBdr>
                <w:top w:val="none" w:sz="0" w:space="0" w:color="auto"/>
                <w:left w:val="none" w:sz="0" w:space="0" w:color="auto"/>
                <w:bottom w:val="none" w:sz="0" w:space="0" w:color="auto"/>
                <w:right w:val="none" w:sz="0" w:space="0" w:color="auto"/>
              </w:divBdr>
              <w:divsChild>
                <w:div w:id="987440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379453">
      <w:bodyDiv w:val="1"/>
      <w:marLeft w:val="0"/>
      <w:marRight w:val="0"/>
      <w:marTop w:val="0"/>
      <w:marBottom w:val="0"/>
      <w:divBdr>
        <w:top w:val="none" w:sz="0" w:space="0" w:color="auto"/>
        <w:left w:val="none" w:sz="0" w:space="0" w:color="auto"/>
        <w:bottom w:val="none" w:sz="0" w:space="0" w:color="auto"/>
        <w:right w:val="none" w:sz="0" w:space="0" w:color="auto"/>
      </w:divBdr>
      <w:divsChild>
        <w:div w:id="2127651406">
          <w:marLeft w:val="-240"/>
          <w:marRight w:val="-240"/>
          <w:marTop w:val="0"/>
          <w:marBottom w:val="0"/>
          <w:divBdr>
            <w:top w:val="none" w:sz="0" w:space="0" w:color="auto"/>
            <w:left w:val="none" w:sz="0" w:space="0" w:color="auto"/>
            <w:bottom w:val="none" w:sz="0" w:space="0" w:color="auto"/>
            <w:right w:val="none" w:sz="0" w:space="0" w:color="auto"/>
          </w:divBdr>
          <w:divsChild>
            <w:div w:id="2087146902">
              <w:marLeft w:val="0"/>
              <w:marRight w:val="0"/>
              <w:marTop w:val="0"/>
              <w:marBottom w:val="0"/>
              <w:divBdr>
                <w:top w:val="none" w:sz="0" w:space="0" w:color="auto"/>
                <w:left w:val="none" w:sz="0" w:space="0" w:color="auto"/>
                <w:bottom w:val="none" w:sz="0" w:space="0" w:color="auto"/>
                <w:right w:val="none" w:sz="0" w:space="0" w:color="auto"/>
              </w:divBdr>
              <w:divsChild>
                <w:div w:id="685445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132066">
      <w:bodyDiv w:val="1"/>
      <w:marLeft w:val="0"/>
      <w:marRight w:val="0"/>
      <w:marTop w:val="0"/>
      <w:marBottom w:val="0"/>
      <w:divBdr>
        <w:top w:val="none" w:sz="0" w:space="0" w:color="auto"/>
        <w:left w:val="none" w:sz="0" w:space="0" w:color="auto"/>
        <w:bottom w:val="none" w:sz="0" w:space="0" w:color="auto"/>
        <w:right w:val="none" w:sz="0" w:space="0" w:color="auto"/>
      </w:divBdr>
    </w:div>
    <w:div w:id="1922372166">
      <w:bodyDiv w:val="1"/>
      <w:marLeft w:val="0"/>
      <w:marRight w:val="0"/>
      <w:marTop w:val="0"/>
      <w:marBottom w:val="0"/>
      <w:divBdr>
        <w:top w:val="none" w:sz="0" w:space="0" w:color="auto"/>
        <w:left w:val="none" w:sz="0" w:space="0" w:color="auto"/>
        <w:bottom w:val="none" w:sz="0" w:space="0" w:color="auto"/>
        <w:right w:val="none" w:sz="0" w:space="0" w:color="auto"/>
      </w:divBdr>
    </w:div>
    <w:div w:id="1934514271">
      <w:bodyDiv w:val="1"/>
      <w:marLeft w:val="0"/>
      <w:marRight w:val="0"/>
      <w:marTop w:val="0"/>
      <w:marBottom w:val="0"/>
      <w:divBdr>
        <w:top w:val="none" w:sz="0" w:space="0" w:color="auto"/>
        <w:left w:val="none" w:sz="0" w:space="0" w:color="auto"/>
        <w:bottom w:val="none" w:sz="0" w:space="0" w:color="auto"/>
        <w:right w:val="none" w:sz="0" w:space="0" w:color="auto"/>
      </w:divBdr>
      <w:divsChild>
        <w:div w:id="44179718">
          <w:marLeft w:val="-240"/>
          <w:marRight w:val="-240"/>
          <w:marTop w:val="0"/>
          <w:marBottom w:val="0"/>
          <w:divBdr>
            <w:top w:val="none" w:sz="0" w:space="0" w:color="auto"/>
            <w:left w:val="none" w:sz="0" w:space="0" w:color="auto"/>
            <w:bottom w:val="none" w:sz="0" w:space="0" w:color="auto"/>
            <w:right w:val="none" w:sz="0" w:space="0" w:color="auto"/>
          </w:divBdr>
          <w:divsChild>
            <w:div w:id="1769353897">
              <w:marLeft w:val="0"/>
              <w:marRight w:val="0"/>
              <w:marTop w:val="0"/>
              <w:marBottom w:val="0"/>
              <w:divBdr>
                <w:top w:val="none" w:sz="0" w:space="0" w:color="auto"/>
                <w:left w:val="none" w:sz="0" w:space="0" w:color="auto"/>
                <w:bottom w:val="none" w:sz="0" w:space="0" w:color="auto"/>
                <w:right w:val="none" w:sz="0" w:space="0" w:color="auto"/>
              </w:divBdr>
              <w:divsChild>
                <w:div w:id="138486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938930">
      <w:bodyDiv w:val="1"/>
      <w:marLeft w:val="0"/>
      <w:marRight w:val="0"/>
      <w:marTop w:val="0"/>
      <w:marBottom w:val="0"/>
      <w:divBdr>
        <w:top w:val="none" w:sz="0" w:space="0" w:color="auto"/>
        <w:left w:val="none" w:sz="0" w:space="0" w:color="auto"/>
        <w:bottom w:val="none" w:sz="0" w:space="0" w:color="auto"/>
        <w:right w:val="none" w:sz="0" w:space="0" w:color="auto"/>
      </w:divBdr>
      <w:divsChild>
        <w:div w:id="961807283">
          <w:marLeft w:val="-240"/>
          <w:marRight w:val="-240"/>
          <w:marTop w:val="0"/>
          <w:marBottom w:val="0"/>
          <w:divBdr>
            <w:top w:val="none" w:sz="0" w:space="0" w:color="auto"/>
            <w:left w:val="none" w:sz="0" w:space="0" w:color="auto"/>
            <w:bottom w:val="none" w:sz="0" w:space="0" w:color="auto"/>
            <w:right w:val="none" w:sz="0" w:space="0" w:color="auto"/>
          </w:divBdr>
          <w:divsChild>
            <w:div w:id="349449431">
              <w:marLeft w:val="0"/>
              <w:marRight w:val="0"/>
              <w:marTop w:val="0"/>
              <w:marBottom w:val="0"/>
              <w:divBdr>
                <w:top w:val="none" w:sz="0" w:space="0" w:color="auto"/>
                <w:left w:val="none" w:sz="0" w:space="0" w:color="auto"/>
                <w:bottom w:val="none" w:sz="0" w:space="0" w:color="auto"/>
                <w:right w:val="none" w:sz="0" w:space="0" w:color="auto"/>
              </w:divBdr>
              <w:divsChild>
                <w:div w:id="37173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439464">
      <w:bodyDiv w:val="1"/>
      <w:marLeft w:val="0"/>
      <w:marRight w:val="0"/>
      <w:marTop w:val="0"/>
      <w:marBottom w:val="0"/>
      <w:divBdr>
        <w:top w:val="none" w:sz="0" w:space="0" w:color="auto"/>
        <w:left w:val="none" w:sz="0" w:space="0" w:color="auto"/>
        <w:bottom w:val="none" w:sz="0" w:space="0" w:color="auto"/>
        <w:right w:val="none" w:sz="0" w:space="0" w:color="auto"/>
      </w:divBdr>
      <w:divsChild>
        <w:div w:id="1452550880">
          <w:marLeft w:val="-240"/>
          <w:marRight w:val="-240"/>
          <w:marTop w:val="0"/>
          <w:marBottom w:val="0"/>
          <w:divBdr>
            <w:top w:val="none" w:sz="0" w:space="0" w:color="auto"/>
            <w:left w:val="none" w:sz="0" w:space="0" w:color="auto"/>
            <w:bottom w:val="none" w:sz="0" w:space="0" w:color="auto"/>
            <w:right w:val="none" w:sz="0" w:space="0" w:color="auto"/>
          </w:divBdr>
          <w:divsChild>
            <w:div w:id="1517234017">
              <w:marLeft w:val="0"/>
              <w:marRight w:val="0"/>
              <w:marTop w:val="0"/>
              <w:marBottom w:val="0"/>
              <w:divBdr>
                <w:top w:val="none" w:sz="0" w:space="0" w:color="auto"/>
                <w:left w:val="none" w:sz="0" w:space="0" w:color="auto"/>
                <w:bottom w:val="none" w:sz="0" w:space="0" w:color="auto"/>
                <w:right w:val="none" w:sz="0" w:space="0" w:color="auto"/>
              </w:divBdr>
              <w:divsChild>
                <w:div w:id="1714839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001107">
      <w:bodyDiv w:val="1"/>
      <w:marLeft w:val="0"/>
      <w:marRight w:val="0"/>
      <w:marTop w:val="0"/>
      <w:marBottom w:val="0"/>
      <w:divBdr>
        <w:top w:val="none" w:sz="0" w:space="0" w:color="auto"/>
        <w:left w:val="none" w:sz="0" w:space="0" w:color="auto"/>
        <w:bottom w:val="none" w:sz="0" w:space="0" w:color="auto"/>
        <w:right w:val="none" w:sz="0" w:space="0" w:color="auto"/>
      </w:divBdr>
      <w:divsChild>
        <w:div w:id="955790676">
          <w:marLeft w:val="-240"/>
          <w:marRight w:val="-240"/>
          <w:marTop w:val="0"/>
          <w:marBottom w:val="0"/>
          <w:divBdr>
            <w:top w:val="none" w:sz="0" w:space="0" w:color="auto"/>
            <w:left w:val="none" w:sz="0" w:space="0" w:color="auto"/>
            <w:bottom w:val="none" w:sz="0" w:space="0" w:color="auto"/>
            <w:right w:val="none" w:sz="0" w:space="0" w:color="auto"/>
          </w:divBdr>
          <w:divsChild>
            <w:div w:id="1754549458">
              <w:marLeft w:val="0"/>
              <w:marRight w:val="0"/>
              <w:marTop w:val="0"/>
              <w:marBottom w:val="0"/>
              <w:divBdr>
                <w:top w:val="none" w:sz="0" w:space="0" w:color="auto"/>
                <w:left w:val="none" w:sz="0" w:space="0" w:color="auto"/>
                <w:bottom w:val="none" w:sz="0" w:space="0" w:color="auto"/>
                <w:right w:val="none" w:sz="0" w:space="0" w:color="auto"/>
              </w:divBdr>
              <w:divsChild>
                <w:div w:id="944112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389140">
      <w:bodyDiv w:val="1"/>
      <w:marLeft w:val="0"/>
      <w:marRight w:val="0"/>
      <w:marTop w:val="0"/>
      <w:marBottom w:val="0"/>
      <w:divBdr>
        <w:top w:val="none" w:sz="0" w:space="0" w:color="auto"/>
        <w:left w:val="none" w:sz="0" w:space="0" w:color="auto"/>
        <w:bottom w:val="none" w:sz="0" w:space="0" w:color="auto"/>
        <w:right w:val="none" w:sz="0" w:space="0" w:color="auto"/>
      </w:divBdr>
      <w:divsChild>
        <w:div w:id="1488983118">
          <w:marLeft w:val="-240"/>
          <w:marRight w:val="-240"/>
          <w:marTop w:val="0"/>
          <w:marBottom w:val="0"/>
          <w:divBdr>
            <w:top w:val="none" w:sz="0" w:space="0" w:color="auto"/>
            <w:left w:val="none" w:sz="0" w:space="0" w:color="auto"/>
            <w:bottom w:val="none" w:sz="0" w:space="0" w:color="auto"/>
            <w:right w:val="none" w:sz="0" w:space="0" w:color="auto"/>
          </w:divBdr>
          <w:divsChild>
            <w:div w:id="2036734777">
              <w:marLeft w:val="0"/>
              <w:marRight w:val="0"/>
              <w:marTop w:val="0"/>
              <w:marBottom w:val="0"/>
              <w:divBdr>
                <w:top w:val="none" w:sz="0" w:space="0" w:color="auto"/>
                <w:left w:val="none" w:sz="0" w:space="0" w:color="auto"/>
                <w:bottom w:val="none" w:sz="0" w:space="0" w:color="auto"/>
                <w:right w:val="none" w:sz="0" w:space="0" w:color="auto"/>
              </w:divBdr>
              <w:divsChild>
                <w:div w:id="2146193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133432">
      <w:bodyDiv w:val="1"/>
      <w:marLeft w:val="0"/>
      <w:marRight w:val="0"/>
      <w:marTop w:val="0"/>
      <w:marBottom w:val="0"/>
      <w:divBdr>
        <w:top w:val="none" w:sz="0" w:space="0" w:color="auto"/>
        <w:left w:val="none" w:sz="0" w:space="0" w:color="auto"/>
        <w:bottom w:val="none" w:sz="0" w:space="0" w:color="auto"/>
        <w:right w:val="none" w:sz="0" w:space="0" w:color="auto"/>
      </w:divBdr>
      <w:divsChild>
        <w:div w:id="1629503779">
          <w:marLeft w:val="-240"/>
          <w:marRight w:val="-240"/>
          <w:marTop w:val="0"/>
          <w:marBottom w:val="0"/>
          <w:divBdr>
            <w:top w:val="none" w:sz="0" w:space="0" w:color="auto"/>
            <w:left w:val="none" w:sz="0" w:space="0" w:color="auto"/>
            <w:bottom w:val="none" w:sz="0" w:space="0" w:color="auto"/>
            <w:right w:val="none" w:sz="0" w:space="0" w:color="auto"/>
          </w:divBdr>
          <w:divsChild>
            <w:div w:id="1650865155">
              <w:marLeft w:val="0"/>
              <w:marRight w:val="0"/>
              <w:marTop w:val="0"/>
              <w:marBottom w:val="0"/>
              <w:divBdr>
                <w:top w:val="none" w:sz="0" w:space="0" w:color="auto"/>
                <w:left w:val="none" w:sz="0" w:space="0" w:color="auto"/>
                <w:bottom w:val="none" w:sz="0" w:space="0" w:color="auto"/>
                <w:right w:val="none" w:sz="0" w:space="0" w:color="auto"/>
              </w:divBdr>
              <w:divsChild>
                <w:div w:id="628122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458037">
      <w:bodyDiv w:val="1"/>
      <w:marLeft w:val="0"/>
      <w:marRight w:val="0"/>
      <w:marTop w:val="0"/>
      <w:marBottom w:val="0"/>
      <w:divBdr>
        <w:top w:val="none" w:sz="0" w:space="0" w:color="auto"/>
        <w:left w:val="none" w:sz="0" w:space="0" w:color="auto"/>
        <w:bottom w:val="none" w:sz="0" w:space="0" w:color="auto"/>
        <w:right w:val="none" w:sz="0" w:space="0" w:color="auto"/>
      </w:divBdr>
      <w:divsChild>
        <w:div w:id="1545486063">
          <w:marLeft w:val="-240"/>
          <w:marRight w:val="-240"/>
          <w:marTop w:val="0"/>
          <w:marBottom w:val="0"/>
          <w:divBdr>
            <w:top w:val="none" w:sz="0" w:space="0" w:color="auto"/>
            <w:left w:val="none" w:sz="0" w:space="0" w:color="auto"/>
            <w:bottom w:val="none" w:sz="0" w:space="0" w:color="auto"/>
            <w:right w:val="none" w:sz="0" w:space="0" w:color="auto"/>
          </w:divBdr>
          <w:divsChild>
            <w:div w:id="575672777">
              <w:marLeft w:val="0"/>
              <w:marRight w:val="0"/>
              <w:marTop w:val="0"/>
              <w:marBottom w:val="0"/>
              <w:divBdr>
                <w:top w:val="none" w:sz="0" w:space="0" w:color="auto"/>
                <w:left w:val="none" w:sz="0" w:space="0" w:color="auto"/>
                <w:bottom w:val="none" w:sz="0" w:space="0" w:color="auto"/>
                <w:right w:val="none" w:sz="0" w:space="0" w:color="auto"/>
              </w:divBdr>
              <w:divsChild>
                <w:div w:id="2027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477224">
      <w:bodyDiv w:val="1"/>
      <w:marLeft w:val="0"/>
      <w:marRight w:val="0"/>
      <w:marTop w:val="0"/>
      <w:marBottom w:val="0"/>
      <w:divBdr>
        <w:top w:val="none" w:sz="0" w:space="0" w:color="auto"/>
        <w:left w:val="none" w:sz="0" w:space="0" w:color="auto"/>
        <w:bottom w:val="none" w:sz="0" w:space="0" w:color="auto"/>
        <w:right w:val="none" w:sz="0" w:space="0" w:color="auto"/>
      </w:divBdr>
      <w:divsChild>
        <w:div w:id="99766761">
          <w:marLeft w:val="-240"/>
          <w:marRight w:val="-240"/>
          <w:marTop w:val="0"/>
          <w:marBottom w:val="0"/>
          <w:divBdr>
            <w:top w:val="none" w:sz="0" w:space="0" w:color="auto"/>
            <w:left w:val="none" w:sz="0" w:space="0" w:color="auto"/>
            <w:bottom w:val="none" w:sz="0" w:space="0" w:color="auto"/>
            <w:right w:val="none" w:sz="0" w:space="0" w:color="auto"/>
          </w:divBdr>
          <w:divsChild>
            <w:div w:id="1762212988">
              <w:marLeft w:val="0"/>
              <w:marRight w:val="0"/>
              <w:marTop w:val="0"/>
              <w:marBottom w:val="0"/>
              <w:divBdr>
                <w:top w:val="none" w:sz="0" w:space="0" w:color="auto"/>
                <w:left w:val="none" w:sz="0" w:space="0" w:color="auto"/>
                <w:bottom w:val="none" w:sz="0" w:space="0" w:color="auto"/>
                <w:right w:val="none" w:sz="0" w:space="0" w:color="auto"/>
              </w:divBdr>
              <w:divsChild>
                <w:div w:id="1483497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720330">
      <w:bodyDiv w:val="1"/>
      <w:marLeft w:val="0"/>
      <w:marRight w:val="0"/>
      <w:marTop w:val="0"/>
      <w:marBottom w:val="0"/>
      <w:divBdr>
        <w:top w:val="none" w:sz="0" w:space="0" w:color="auto"/>
        <w:left w:val="none" w:sz="0" w:space="0" w:color="auto"/>
        <w:bottom w:val="none" w:sz="0" w:space="0" w:color="auto"/>
        <w:right w:val="none" w:sz="0" w:space="0" w:color="auto"/>
      </w:divBdr>
      <w:divsChild>
        <w:div w:id="2044482052">
          <w:marLeft w:val="-240"/>
          <w:marRight w:val="-240"/>
          <w:marTop w:val="0"/>
          <w:marBottom w:val="0"/>
          <w:divBdr>
            <w:top w:val="none" w:sz="0" w:space="0" w:color="auto"/>
            <w:left w:val="none" w:sz="0" w:space="0" w:color="auto"/>
            <w:bottom w:val="none" w:sz="0" w:space="0" w:color="auto"/>
            <w:right w:val="none" w:sz="0" w:space="0" w:color="auto"/>
          </w:divBdr>
          <w:divsChild>
            <w:div w:id="644433344">
              <w:marLeft w:val="0"/>
              <w:marRight w:val="0"/>
              <w:marTop w:val="0"/>
              <w:marBottom w:val="0"/>
              <w:divBdr>
                <w:top w:val="none" w:sz="0" w:space="0" w:color="auto"/>
                <w:left w:val="none" w:sz="0" w:space="0" w:color="auto"/>
                <w:bottom w:val="none" w:sz="0" w:space="0" w:color="auto"/>
                <w:right w:val="none" w:sz="0" w:space="0" w:color="auto"/>
              </w:divBdr>
              <w:divsChild>
                <w:div w:id="181668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193821">
      <w:bodyDiv w:val="1"/>
      <w:marLeft w:val="0"/>
      <w:marRight w:val="0"/>
      <w:marTop w:val="0"/>
      <w:marBottom w:val="0"/>
      <w:divBdr>
        <w:top w:val="none" w:sz="0" w:space="0" w:color="auto"/>
        <w:left w:val="none" w:sz="0" w:space="0" w:color="auto"/>
        <w:bottom w:val="none" w:sz="0" w:space="0" w:color="auto"/>
        <w:right w:val="none" w:sz="0" w:space="0" w:color="auto"/>
      </w:divBdr>
      <w:divsChild>
        <w:div w:id="2050915109">
          <w:marLeft w:val="-240"/>
          <w:marRight w:val="-240"/>
          <w:marTop w:val="0"/>
          <w:marBottom w:val="0"/>
          <w:divBdr>
            <w:top w:val="none" w:sz="0" w:space="0" w:color="auto"/>
            <w:left w:val="none" w:sz="0" w:space="0" w:color="auto"/>
            <w:bottom w:val="none" w:sz="0" w:space="0" w:color="auto"/>
            <w:right w:val="none" w:sz="0" w:space="0" w:color="auto"/>
          </w:divBdr>
          <w:divsChild>
            <w:div w:id="22169308">
              <w:marLeft w:val="0"/>
              <w:marRight w:val="0"/>
              <w:marTop w:val="0"/>
              <w:marBottom w:val="0"/>
              <w:divBdr>
                <w:top w:val="none" w:sz="0" w:space="0" w:color="auto"/>
                <w:left w:val="none" w:sz="0" w:space="0" w:color="auto"/>
                <w:bottom w:val="none" w:sz="0" w:space="0" w:color="auto"/>
                <w:right w:val="none" w:sz="0" w:space="0" w:color="auto"/>
              </w:divBdr>
              <w:divsChild>
                <w:div w:id="995649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505459">
      <w:bodyDiv w:val="1"/>
      <w:marLeft w:val="0"/>
      <w:marRight w:val="0"/>
      <w:marTop w:val="0"/>
      <w:marBottom w:val="0"/>
      <w:divBdr>
        <w:top w:val="none" w:sz="0" w:space="0" w:color="auto"/>
        <w:left w:val="none" w:sz="0" w:space="0" w:color="auto"/>
        <w:bottom w:val="none" w:sz="0" w:space="0" w:color="auto"/>
        <w:right w:val="none" w:sz="0" w:space="0" w:color="auto"/>
      </w:divBdr>
      <w:divsChild>
        <w:div w:id="232198709">
          <w:marLeft w:val="-240"/>
          <w:marRight w:val="-240"/>
          <w:marTop w:val="0"/>
          <w:marBottom w:val="0"/>
          <w:divBdr>
            <w:top w:val="none" w:sz="0" w:space="0" w:color="auto"/>
            <w:left w:val="none" w:sz="0" w:space="0" w:color="auto"/>
            <w:bottom w:val="none" w:sz="0" w:space="0" w:color="auto"/>
            <w:right w:val="none" w:sz="0" w:space="0" w:color="auto"/>
          </w:divBdr>
          <w:divsChild>
            <w:div w:id="1309431227">
              <w:marLeft w:val="0"/>
              <w:marRight w:val="0"/>
              <w:marTop w:val="0"/>
              <w:marBottom w:val="0"/>
              <w:divBdr>
                <w:top w:val="none" w:sz="0" w:space="0" w:color="auto"/>
                <w:left w:val="none" w:sz="0" w:space="0" w:color="auto"/>
                <w:bottom w:val="none" w:sz="0" w:space="0" w:color="auto"/>
                <w:right w:val="none" w:sz="0" w:space="0" w:color="auto"/>
              </w:divBdr>
              <w:divsChild>
                <w:div w:id="184728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521693">
      <w:bodyDiv w:val="1"/>
      <w:marLeft w:val="0"/>
      <w:marRight w:val="0"/>
      <w:marTop w:val="0"/>
      <w:marBottom w:val="0"/>
      <w:divBdr>
        <w:top w:val="none" w:sz="0" w:space="0" w:color="auto"/>
        <w:left w:val="none" w:sz="0" w:space="0" w:color="auto"/>
        <w:bottom w:val="none" w:sz="0" w:space="0" w:color="auto"/>
        <w:right w:val="none" w:sz="0" w:space="0" w:color="auto"/>
      </w:divBdr>
      <w:divsChild>
        <w:div w:id="236091590">
          <w:marLeft w:val="-240"/>
          <w:marRight w:val="-240"/>
          <w:marTop w:val="0"/>
          <w:marBottom w:val="0"/>
          <w:divBdr>
            <w:top w:val="none" w:sz="0" w:space="0" w:color="auto"/>
            <w:left w:val="none" w:sz="0" w:space="0" w:color="auto"/>
            <w:bottom w:val="none" w:sz="0" w:space="0" w:color="auto"/>
            <w:right w:val="none" w:sz="0" w:space="0" w:color="auto"/>
          </w:divBdr>
          <w:divsChild>
            <w:div w:id="158011016">
              <w:marLeft w:val="0"/>
              <w:marRight w:val="0"/>
              <w:marTop w:val="0"/>
              <w:marBottom w:val="0"/>
              <w:divBdr>
                <w:top w:val="none" w:sz="0" w:space="0" w:color="auto"/>
                <w:left w:val="none" w:sz="0" w:space="0" w:color="auto"/>
                <w:bottom w:val="none" w:sz="0" w:space="0" w:color="auto"/>
                <w:right w:val="none" w:sz="0" w:space="0" w:color="auto"/>
              </w:divBdr>
              <w:divsChild>
                <w:div w:id="1631979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023106">
      <w:bodyDiv w:val="1"/>
      <w:marLeft w:val="0"/>
      <w:marRight w:val="0"/>
      <w:marTop w:val="0"/>
      <w:marBottom w:val="0"/>
      <w:divBdr>
        <w:top w:val="none" w:sz="0" w:space="0" w:color="auto"/>
        <w:left w:val="none" w:sz="0" w:space="0" w:color="auto"/>
        <w:bottom w:val="none" w:sz="0" w:space="0" w:color="auto"/>
        <w:right w:val="none" w:sz="0" w:space="0" w:color="auto"/>
      </w:divBdr>
      <w:divsChild>
        <w:div w:id="771587431">
          <w:marLeft w:val="-240"/>
          <w:marRight w:val="-240"/>
          <w:marTop w:val="0"/>
          <w:marBottom w:val="0"/>
          <w:divBdr>
            <w:top w:val="none" w:sz="0" w:space="0" w:color="auto"/>
            <w:left w:val="none" w:sz="0" w:space="0" w:color="auto"/>
            <w:bottom w:val="none" w:sz="0" w:space="0" w:color="auto"/>
            <w:right w:val="none" w:sz="0" w:space="0" w:color="auto"/>
          </w:divBdr>
          <w:divsChild>
            <w:div w:id="1730416779">
              <w:marLeft w:val="0"/>
              <w:marRight w:val="0"/>
              <w:marTop w:val="0"/>
              <w:marBottom w:val="0"/>
              <w:divBdr>
                <w:top w:val="none" w:sz="0" w:space="0" w:color="auto"/>
                <w:left w:val="none" w:sz="0" w:space="0" w:color="auto"/>
                <w:bottom w:val="none" w:sz="0" w:space="0" w:color="auto"/>
                <w:right w:val="none" w:sz="0" w:space="0" w:color="auto"/>
              </w:divBdr>
              <w:divsChild>
                <w:div w:id="698896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642643">
      <w:bodyDiv w:val="1"/>
      <w:marLeft w:val="0"/>
      <w:marRight w:val="0"/>
      <w:marTop w:val="0"/>
      <w:marBottom w:val="0"/>
      <w:divBdr>
        <w:top w:val="none" w:sz="0" w:space="0" w:color="auto"/>
        <w:left w:val="none" w:sz="0" w:space="0" w:color="auto"/>
        <w:bottom w:val="none" w:sz="0" w:space="0" w:color="auto"/>
        <w:right w:val="none" w:sz="0" w:space="0" w:color="auto"/>
      </w:divBdr>
      <w:divsChild>
        <w:div w:id="374306604">
          <w:marLeft w:val="-240"/>
          <w:marRight w:val="-240"/>
          <w:marTop w:val="0"/>
          <w:marBottom w:val="0"/>
          <w:divBdr>
            <w:top w:val="none" w:sz="0" w:space="0" w:color="auto"/>
            <w:left w:val="none" w:sz="0" w:space="0" w:color="auto"/>
            <w:bottom w:val="none" w:sz="0" w:space="0" w:color="auto"/>
            <w:right w:val="none" w:sz="0" w:space="0" w:color="auto"/>
          </w:divBdr>
          <w:divsChild>
            <w:div w:id="2106002100">
              <w:marLeft w:val="0"/>
              <w:marRight w:val="0"/>
              <w:marTop w:val="0"/>
              <w:marBottom w:val="0"/>
              <w:divBdr>
                <w:top w:val="none" w:sz="0" w:space="0" w:color="auto"/>
                <w:left w:val="none" w:sz="0" w:space="0" w:color="auto"/>
                <w:bottom w:val="none" w:sz="0" w:space="0" w:color="auto"/>
                <w:right w:val="none" w:sz="0" w:space="0" w:color="auto"/>
              </w:divBdr>
              <w:divsChild>
                <w:div w:id="178915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940804">
      <w:bodyDiv w:val="1"/>
      <w:marLeft w:val="0"/>
      <w:marRight w:val="0"/>
      <w:marTop w:val="0"/>
      <w:marBottom w:val="0"/>
      <w:divBdr>
        <w:top w:val="none" w:sz="0" w:space="0" w:color="auto"/>
        <w:left w:val="none" w:sz="0" w:space="0" w:color="auto"/>
        <w:bottom w:val="none" w:sz="0" w:space="0" w:color="auto"/>
        <w:right w:val="none" w:sz="0" w:space="0" w:color="auto"/>
      </w:divBdr>
      <w:divsChild>
        <w:div w:id="8535041">
          <w:marLeft w:val="-240"/>
          <w:marRight w:val="-240"/>
          <w:marTop w:val="0"/>
          <w:marBottom w:val="0"/>
          <w:divBdr>
            <w:top w:val="none" w:sz="0" w:space="0" w:color="auto"/>
            <w:left w:val="none" w:sz="0" w:space="0" w:color="auto"/>
            <w:bottom w:val="none" w:sz="0" w:space="0" w:color="auto"/>
            <w:right w:val="none" w:sz="0" w:space="0" w:color="auto"/>
          </w:divBdr>
          <w:divsChild>
            <w:div w:id="1867399312">
              <w:marLeft w:val="0"/>
              <w:marRight w:val="0"/>
              <w:marTop w:val="0"/>
              <w:marBottom w:val="0"/>
              <w:divBdr>
                <w:top w:val="none" w:sz="0" w:space="0" w:color="auto"/>
                <w:left w:val="none" w:sz="0" w:space="0" w:color="auto"/>
                <w:bottom w:val="none" w:sz="0" w:space="0" w:color="auto"/>
                <w:right w:val="none" w:sz="0" w:space="0" w:color="auto"/>
              </w:divBdr>
              <w:divsChild>
                <w:div w:id="1179080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008678">
      <w:bodyDiv w:val="1"/>
      <w:marLeft w:val="0"/>
      <w:marRight w:val="0"/>
      <w:marTop w:val="0"/>
      <w:marBottom w:val="0"/>
      <w:divBdr>
        <w:top w:val="none" w:sz="0" w:space="0" w:color="auto"/>
        <w:left w:val="none" w:sz="0" w:space="0" w:color="auto"/>
        <w:bottom w:val="none" w:sz="0" w:space="0" w:color="auto"/>
        <w:right w:val="none" w:sz="0" w:space="0" w:color="auto"/>
      </w:divBdr>
      <w:divsChild>
        <w:div w:id="1231043778">
          <w:marLeft w:val="-240"/>
          <w:marRight w:val="-240"/>
          <w:marTop w:val="0"/>
          <w:marBottom w:val="0"/>
          <w:divBdr>
            <w:top w:val="none" w:sz="0" w:space="0" w:color="auto"/>
            <w:left w:val="none" w:sz="0" w:space="0" w:color="auto"/>
            <w:bottom w:val="none" w:sz="0" w:space="0" w:color="auto"/>
            <w:right w:val="none" w:sz="0" w:space="0" w:color="auto"/>
          </w:divBdr>
          <w:divsChild>
            <w:div w:id="890460882">
              <w:marLeft w:val="0"/>
              <w:marRight w:val="0"/>
              <w:marTop w:val="0"/>
              <w:marBottom w:val="0"/>
              <w:divBdr>
                <w:top w:val="none" w:sz="0" w:space="0" w:color="auto"/>
                <w:left w:val="none" w:sz="0" w:space="0" w:color="auto"/>
                <w:bottom w:val="none" w:sz="0" w:space="0" w:color="auto"/>
                <w:right w:val="none" w:sz="0" w:space="0" w:color="auto"/>
              </w:divBdr>
              <w:divsChild>
                <w:div w:id="56395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008623">
      <w:bodyDiv w:val="1"/>
      <w:marLeft w:val="0"/>
      <w:marRight w:val="0"/>
      <w:marTop w:val="0"/>
      <w:marBottom w:val="0"/>
      <w:divBdr>
        <w:top w:val="none" w:sz="0" w:space="0" w:color="auto"/>
        <w:left w:val="none" w:sz="0" w:space="0" w:color="auto"/>
        <w:bottom w:val="none" w:sz="0" w:space="0" w:color="auto"/>
        <w:right w:val="none" w:sz="0" w:space="0" w:color="auto"/>
      </w:divBdr>
      <w:divsChild>
        <w:div w:id="1084112306">
          <w:marLeft w:val="-240"/>
          <w:marRight w:val="-240"/>
          <w:marTop w:val="0"/>
          <w:marBottom w:val="0"/>
          <w:divBdr>
            <w:top w:val="none" w:sz="0" w:space="0" w:color="auto"/>
            <w:left w:val="none" w:sz="0" w:space="0" w:color="auto"/>
            <w:bottom w:val="none" w:sz="0" w:space="0" w:color="auto"/>
            <w:right w:val="none" w:sz="0" w:space="0" w:color="auto"/>
          </w:divBdr>
          <w:divsChild>
            <w:div w:id="1567106829">
              <w:marLeft w:val="0"/>
              <w:marRight w:val="0"/>
              <w:marTop w:val="0"/>
              <w:marBottom w:val="0"/>
              <w:divBdr>
                <w:top w:val="none" w:sz="0" w:space="0" w:color="auto"/>
                <w:left w:val="none" w:sz="0" w:space="0" w:color="auto"/>
                <w:bottom w:val="none" w:sz="0" w:space="0" w:color="auto"/>
                <w:right w:val="none" w:sz="0" w:space="0" w:color="auto"/>
              </w:divBdr>
              <w:divsChild>
                <w:div w:id="1115976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831624">
      <w:bodyDiv w:val="1"/>
      <w:marLeft w:val="0"/>
      <w:marRight w:val="0"/>
      <w:marTop w:val="0"/>
      <w:marBottom w:val="0"/>
      <w:divBdr>
        <w:top w:val="none" w:sz="0" w:space="0" w:color="auto"/>
        <w:left w:val="none" w:sz="0" w:space="0" w:color="auto"/>
        <w:bottom w:val="none" w:sz="0" w:space="0" w:color="auto"/>
        <w:right w:val="none" w:sz="0" w:space="0" w:color="auto"/>
      </w:divBdr>
    </w:div>
    <w:div w:id="2097243008">
      <w:bodyDiv w:val="1"/>
      <w:marLeft w:val="0"/>
      <w:marRight w:val="0"/>
      <w:marTop w:val="0"/>
      <w:marBottom w:val="0"/>
      <w:divBdr>
        <w:top w:val="none" w:sz="0" w:space="0" w:color="auto"/>
        <w:left w:val="none" w:sz="0" w:space="0" w:color="auto"/>
        <w:bottom w:val="none" w:sz="0" w:space="0" w:color="auto"/>
        <w:right w:val="none" w:sz="0" w:space="0" w:color="auto"/>
      </w:divBdr>
    </w:div>
    <w:div w:id="2100053520">
      <w:bodyDiv w:val="1"/>
      <w:marLeft w:val="0"/>
      <w:marRight w:val="0"/>
      <w:marTop w:val="0"/>
      <w:marBottom w:val="0"/>
      <w:divBdr>
        <w:top w:val="none" w:sz="0" w:space="0" w:color="auto"/>
        <w:left w:val="none" w:sz="0" w:space="0" w:color="auto"/>
        <w:bottom w:val="none" w:sz="0" w:space="0" w:color="auto"/>
        <w:right w:val="none" w:sz="0" w:space="0" w:color="auto"/>
      </w:divBdr>
    </w:div>
    <w:div w:id="2100327096">
      <w:bodyDiv w:val="1"/>
      <w:marLeft w:val="0"/>
      <w:marRight w:val="0"/>
      <w:marTop w:val="0"/>
      <w:marBottom w:val="0"/>
      <w:divBdr>
        <w:top w:val="none" w:sz="0" w:space="0" w:color="auto"/>
        <w:left w:val="none" w:sz="0" w:space="0" w:color="auto"/>
        <w:bottom w:val="none" w:sz="0" w:space="0" w:color="auto"/>
        <w:right w:val="none" w:sz="0" w:space="0" w:color="auto"/>
      </w:divBdr>
    </w:div>
    <w:div w:id="2102606651">
      <w:bodyDiv w:val="1"/>
      <w:marLeft w:val="0"/>
      <w:marRight w:val="0"/>
      <w:marTop w:val="0"/>
      <w:marBottom w:val="0"/>
      <w:divBdr>
        <w:top w:val="none" w:sz="0" w:space="0" w:color="auto"/>
        <w:left w:val="none" w:sz="0" w:space="0" w:color="auto"/>
        <w:bottom w:val="none" w:sz="0" w:space="0" w:color="auto"/>
        <w:right w:val="none" w:sz="0" w:space="0" w:color="auto"/>
      </w:divBdr>
      <w:divsChild>
        <w:div w:id="1423142236">
          <w:marLeft w:val="-240"/>
          <w:marRight w:val="-240"/>
          <w:marTop w:val="0"/>
          <w:marBottom w:val="0"/>
          <w:divBdr>
            <w:top w:val="none" w:sz="0" w:space="0" w:color="auto"/>
            <w:left w:val="none" w:sz="0" w:space="0" w:color="auto"/>
            <w:bottom w:val="none" w:sz="0" w:space="0" w:color="auto"/>
            <w:right w:val="none" w:sz="0" w:space="0" w:color="auto"/>
          </w:divBdr>
          <w:divsChild>
            <w:div w:id="1376197716">
              <w:marLeft w:val="0"/>
              <w:marRight w:val="0"/>
              <w:marTop w:val="0"/>
              <w:marBottom w:val="0"/>
              <w:divBdr>
                <w:top w:val="none" w:sz="0" w:space="0" w:color="auto"/>
                <w:left w:val="none" w:sz="0" w:space="0" w:color="auto"/>
                <w:bottom w:val="none" w:sz="0" w:space="0" w:color="auto"/>
                <w:right w:val="none" w:sz="0" w:space="0" w:color="auto"/>
              </w:divBdr>
              <w:divsChild>
                <w:div w:id="1800952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834477">
      <w:bodyDiv w:val="1"/>
      <w:marLeft w:val="0"/>
      <w:marRight w:val="0"/>
      <w:marTop w:val="0"/>
      <w:marBottom w:val="0"/>
      <w:divBdr>
        <w:top w:val="none" w:sz="0" w:space="0" w:color="auto"/>
        <w:left w:val="none" w:sz="0" w:space="0" w:color="auto"/>
        <w:bottom w:val="none" w:sz="0" w:space="0" w:color="auto"/>
        <w:right w:val="none" w:sz="0" w:space="0" w:color="auto"/>
      </w:divBdr>
      <w:divsChild>
        <w:div w:id="521356506">
          <w:marLeft w:val="-240"/>
          <w:marRight w:val="-240"/>
          <w:marTop w:val="0"/>
          <w:marBottom w:val="0"/>
          <w:divBdr>
            <w:top w:val="none" w:sz="0" w:space="0" w:color="auto"/>
            <w:left w:val="none" w:sz="0" w:space="0" w:color="auto"/>
            <w:bottom w:val="none" w:sz="0" w:space="0" w:color="auto"/>
            <w:right w:val="none" w:sz="0" w:space="0" w:color="auto"/>
          </w:divBdr>
          <w:divsChild>
            <w:div w:id="18897220">
              <w:marLeft w:val="0"/>
              <w:marRight w:val="0"/>
              <w:marTop w:val="0"/>
              <w:marBottom w:val="0"/>
              <w:divBdr>
                <w:top w:val="none" w:sz="0" w:space="0" w:color="auto"/>
                <w:left w:val="none" w:sz="0" w:space="0" w:color="auto"/>
                <w:bottom w:val="none" w:sz="0" w:space="0" w:color="auto"/>
                <w:right w:val="none" w:sz="0" w:space="0" w:color="auto"/>
              </w:divBdr>
              <w:divsChild>
                <w:div w:id="234897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237518">
      <w:bodyDiv w:val="1"/>
      <w:marLeft w:val="0"/>
      <w:marRight w:val="0"/>
      <w:marTop w:val="0"/>
      <w:marBottom w:val="0"/>
      <w:divBdr>
        <w:top w:val="none" w:sz="0" w:space="0" w:color="auto"/>
        <w:left w:val="none" w:sz="0" w:space="0" w:color="auto"/>
        <w:bottom w:val="none" w:sz="0" w:space="0" w:color="auto"/>
        <w:right w:val="none" w:sz="0" w:space="0" w:color="auto"/>
      </w:divBdr>
      <w:divsChild>
        <w:div w:id="136189086">
          <w:marLeft w:val="-240"/>
          <w:marRight w:val="-240"/>
          <w:marTop w:val="0"/>
          <w:marBottom w:val="0"/>
          <w:divBdr>
            <w:top w:val="none" w:sz="0" w:space="0" w:color="auto"/>
            <w:left w:val="none" w:sz="0" w:space="0" w:color="auto"/>
            <w:bottom w:val="none" w:sz="0" w:space="0" w:color="auto"/>
            <w:right w:val="none" w:sz="0" w:space="0" w:color="auto"/>
          </w:divBdr>
          <w:divsChild>
            <w:div w:id="2111046977">
              <w:marLeft w:val="0"/>
              <w:marRight w:val="0"/>
              <w:marTop w:val="0"/>
              <w:marBottom w:val="0"/>
              <w:divBdr>
                <w:top w:val="none" w:sz="0" w:space="0" w:color="auto"/>
                <w:left w:val="none" w:sz="0" w:space="0" w:color="auto"/>
                <w:bottom w:val="none" w:sz="0" w:space="0" w:color="auto"/>
                <w:right w:val="none" w:sz="0" w:space="0" w:color="auto"/>
              </w:divBdr>
              <w:divsChild>
                <w:div w:id="4733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280085">
      <w:bodyDiv w:val="1"/>
      <w:marLeft w:val="0"/>
      <w:marRight w:val="0"/>
      <w:marTop w:val="0"/>
      <w:marBottom w:val="0"/>
      <w:divBdr>
        <w:top w:val="none" w:sz="0" w:space="0" w:color="auto"/>
        <w:left w:val="none" w:sz="0" w:space="0" w:color="auto"/>
        <w:bottom w:val="none" w:sz="0" w:space="0" w:color="auto"/>
        <w:right w:val="none" w:sz="0" w:space="0" w:color="auto"/>
      </w:divBdr>
    </w:div>
    <w:div w:id="2129159702">
      <w:bodyDiv w:val="1"/>
      <w:marLeft w:val="0"/>
      <w:marRight w:val="0"/>
      <w:marTop w:val="0"/>
      <w:marBottom w:val="0"/>
      <w:divBdr>
        <w:top w:val="none" w:sz="0" w:space="0" w:color="auto"/>
        <w:left w:val="none" w:sz="0" w:space="0" w:color="auto"/>
        <w:bottom w:val="none" w:sz="0" w:space="0" w:color="auto"/>
        <w:right w:val="none" w:sz="0" w:space="0" w:color="auto"/>
      </w:divBdr>
      <w:divsChild>
        <w:div w:id="588848250">
          <w:marLeft w:val="-240"/>
          <w:marRight w:val="-240"/>
          <w:marTop w:val="0"/>
          <w:marBottom w:val="0"/>
          <w:divBdr>
            <w:top w:val="none" w:sz="0" w:space="0" w:color="auto"/>
            <w:left w:val="none" w:sz="0" w:space="0" w:color="auto"/>
            <w:bottom w:val="none" w:sz="0" w:space="0" w:color="auto"/>
            <w:right w:val="none" w:sz="0" w:space="0" w:color="auto"/>
          </w:divBdr>
          <w:divsChild>
            <w:div w:id="111175248">
              <w:marLeft w:val="0"/>
              <w:marRight w:val="0"/>
              <w:marTop w:val="0"/>
              <w:marBottom w:val="0"/>
              <w:divBdr>
                <w:top w:val="none" w:sz="0" w:space="0" w:color="auto"/>
                <w:left w:val="none" w:sz="0" w:space="0" w:color="auto"/>
                <w:bottom w:val="none" w:sz="0" w:space="0" w:color="auto"/>
                <w:right w:val="none" w:sz="0" w:space="0" w:color="auto"/>
              </w:divBdr>
              <w:divsChild>
                <w:div w:id="1723863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824686">
      <w:bodyDiv w:val="1"/>
      <w:marLeft w:val="0"/>
      <w:marRight w:val="0"/>
      <w:marTop w:val="0"/>
      <w:marBottom w:val="0"/>
      <w:divBdr>
        <w:top w:val="none" w:sz="0" w:space="0" w:color="auto"/>
        <w:left w:val="none" w:sz="0" w:space="0" w:color="auto"/>
        <w:bottom w:val="none" w:sz="0" w:space="0" w:color="auto"/>
        <w:right w:val="none" w:sz="0" w:space="0" w:color="auto"/>
      </w:divBdr>
    </w:div>
    <w:div w:id="2133402158">
      <w:bodyDiv w:val="1"/>
      <w:marLeft w:val="0"/>
      <w:marRight w:val="0"/>
      <w:marTop w:val="0"/>
      <w:marBottom w:val="0"/>
      <w:divBdr>
        <w:top w:val="none" w:sz="0" w:space="0" w:color="auto"/>
        <w:left w:val="none" w:sz="0" w:space="0" w:color="auto"/>
        <w:bottom w:val="none" w:sz="0" w:space="0" w:color="auto"/>
        <w:right w:val="none" w:sz="0" w:space="0" w:color="auto"/>
      </w:divBdr>
      <w:divsChild>
        <w:div w:id="1433239100">
          <w:marLeft w:val="-240"/>
          <w:marRight w:val="-240"/>
          <w:marTop w:val="0"/>
          <w:marBottom w:val="0"/>
          <w:divBdr>
            <w:top w:val="none" w:sz="0" w:space="0" w:color="auto"/>
            <w:left w:val="none" w:sz="0" w:space="0" w:color="auto"/>
            <w:bottom w:val="none" w:sz="0" w:space="0" w:color="auto"/>
            <w:right w:val="none" w:sz="0" w:space="0" w:color="auto"/>
          </w:divBdr>
          <w:divsChild>
            <w:div w:id="1767114858">
              <w:marLeft w:val="0"/>
              <w:marRight w:val="0"/>
              <w:marTop w:val="0"/>
              <w:marBottom w:val="0"/>
              <w:divBdr>
                <w:top w:val="none" w:sz="0" w:space="0" w:color="auto"/>
                <w:left w:val="none" w:sz="0" w:space="0" w:color="auto"/>
                <w:bottom w:val="none" w:sz="0" w:space="0" w:color="auto"/>
                <w:right w:val="none" w:sz="0" w:space="0" w:color="auto"/>
              </w:divBdr>
              <w:divsChild>
                <w:div w:id="86220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602933">
      <w:bodyDiv w:val="1"/>
      <w:marLeft w:val="0"/>
      <w:marRight w:val="0"/>
      <w:marTop w:val="0"/>
      <w:marBottom w:val="0"/>
      <w:divBdr>
        <w:top w:val="none" w:sz="0" w:space="0" w:color="auto"/>
        <w:left w:val="none" w:sz="0" w:space="0" w:color="auto"/>
        <w:bottom w:val="none" w:sz="0" w:space="0" w:color="auto"/>
        <w:right w:val="none" w:sz="0" w:space="0" w:color="auto"/>
      </w:divBdr>
      <w:divsChild>
        <w:div w:id="131215487">
          <w:marLeft w:val="-240"/>
          <w:marRight w:val="-240"/>
          <w:marTop w:val="0"/>
          <w:marBottom w:val="0"/>
          <w:divBdr>
            <w:top w:val="none" w:sz="0" w:space="0" w:color="auto"/>
            <w:left w:val="none" w:sz="0" w:space="0" w:color="auto"/>
            <w:bottom w:val="none" w:sz="0" w:space="0" w:color="auto"/>
            <w:right w:val="none" w:sz="0" w:space="0" w:color="auto"/>
          </w:divBdr>
          <w:divsChild>
            <w:div w:id="16738532">
              <w:marLeft w:val="0"/>
              <w:marRight w:val="0"/>
              <w:marTop w:val="0"/>
              <w:marBottom w:val="0"/>
              <w:divBdr>
                <w:top w:val="none" w:sz="0" w:space="0" w:color="auto"/>
                <w:left w:val="none" w:sz="0" w:space="0" w:color="auto"/>
                <w:bottom w:val="none" w:sz="0" w:space="0" w:color="auto"/>
                <w:right w:val="none" w:sz="0" w:space="0" w:color="auto"/>
              </w:divBdr>
              <w:divsChild>
                <w:div w:id="1650354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662093">
      <w:bodyDiv w:val="1"/>
      <w:marLeft w:val="0"/>
      <w:marRight w:val="0"/>
      <w:marTop w:val="0"/>
      <w:marBottom w:val="0"/>
      <w:divBdr>
        <w:top w:val="none" w:sz="0" w:space="0" w:color="auto"/>
        <w:left w:val="none" w:sz="0" w:space="0" w:color="auto"/>
        <w:bottom w:val="none" w:sz="0" w:space="0" w:color="auto"/>
        <w:right w:val="none" w:sz="0" w:space="0" w:color="auto"/>
      </w:divBdr>
      <w:divsChild>
        <w:div w:id="383220805">
          <w:marLeft w:val="-240"/>
          <w:marRight w:val="-240"/>
          <w:marTop w:val="0"/>
          <w:marBottom w:val="0"/>
          <w:divBdr>
            <w:top w:val="none" w:sz="0" w:space="0" w:color="auto"/>
            <w:left w:val="none" w:sz="0" w:space="0" w:color="auto"/>
            <w:bottom w:val="none" w:sz="0" w:space="0" w:color="auto"/>
            <w:right w:val="none" w:sz="0" w:space="0" w:color="auto"/>
          </w:divBdr>
          <w:divsChild>
            <w:div w:id="1513031511">
              <w:marLeft w:val="0"/>
              <w:marRight w:val="0"/>
              <w:marTop w:val="0"/>
              <w:marBottom w:val="0"/>
              <w:divBdr>
                <w:top w:val="none" w:sz="0" w:space="0" w:color="auto"/>
                <w:left w:val="none" w:sz="0" w:space="0" w:color="auto"/>
                <w:bottom w:val="none" w:sz="0" w:space="0" w:color="auto"/>
                <w:right w:val="none" w:sz="0" w:space="0" w:color="auto"/>
              </w:divBdr>
              <w:divsChild>
                <w:div w:id="114022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ciencedirect.com/science/article/pii/S2214845018301844" TargetMode="External"/><Relationship Id="rId4" Type="http://schemas.openxmlformats.org/officeDocument/2006/relationships/settings" Target="settings.xml"/><Relationship Id="rId9" Type="http://schemas.openxmlformats.org/officeDocument/2006/relationships/hyperlink" Target="https://www.sciencedirect.com/science/article/pii/S22148450183018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239BD3-1152-406B-887A-5F713DC302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7177</TotalTime>
  <Pages>23</Pages>
  <Words>7031</Words>
  <Characters>40078</Characters>
  <Application>Microsoft Office Word</Application>
  <DocSecurity>0</DocSecurity>
  <Lines>333</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Giorgia Bertaina</dc:creator>
  <cp:keywords/>
  <dc:description/>
  <cp:lastModifiedBy>Giorgia Bertaina</cp:lastModifiedBy>
  <cp:revision>173</cp:revision>
  <dcterms:created xsi:type="dcterms:W3CDTF">2019-11-21T19:08:00Z</dcterms:created>
  <dcterms:modified xsi:type="dcterms:W3CDTF">2020-01-07T18:35:00Z</dcterms:modified>
</cp:coreProperties>
</file>