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0A441" w14:textId="77777777" w:rsidR="00296D8D" w:rsidRPr="00296D8D" w:rsidRDefault="00296D8D" w:rsidP="00296D8D">
      <w:pPr>
        <w:pStyle w:val="Heading2"/>
        <w:rPr>
          <w:rFonts w:ascii="Times New Roman" w:hAnsi="Times New Roman" w:cs="Times New Roman"/>
        </w:rPr>
      </w:pPr>
      <w:bookmarkStart w:id="0" w:name="_Toc188446753"/>
      <w:r w:rsidRPr="00296D8D">
        <w:rPr>
          <w:rFonts w:ascii="Times New Roman" w:hAnsi="Times New Roman" w:cs="Times New Roman"/>
        </w:rPr>
        <w:t>Week 5 – Investment Ratio</w:t>
      </w:r>
      <w:bookmarkEnd w:id="0"/>
    </w:p>
    <w:p w14:paraId="784A3557" w14:textId="77777777" w:rsidR="00296D8D" w:rsidRPr="00296D8D" w:rsidRDefault="00296D8D" w:rsidP="00296D8D">
      <w:pPr>
        <w:pStyle w:val="Subtitle"/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</w:rPr>
        <w:t>Reference:</w:t>
      </w:r>
    </w:p>
    <w:p w14:paraId="51ED41BE" w14:textId="77777777" w:rsidR="00296D8D" w:rsidRDefault="00296D8D" w:rsidP="00296D8D">
      <w:pPr>
        <w:rPr>
          <w:rFonts w:ascii="Times New Roman" w:hAnsi="Times New Roman" w:cs="Times New Roman"/>
        </w:rPr>
      </w:pPr>
      <w:proofErr w:type="spellStart"/>
      <w:r w:rsidRPr="00296D8D">
        <w:rPr>
          <w:rFonts w:ascii="Times New Roman" w:hAnsi="Times New Roman" w:cs="Times New Roman"/>
        </w:rPr>
        <w:t>Atrill</w:t>
      </w:r>
      <w:proofErr w:type="spellEnd"/>
      <w:r w:rsidRPr="00296D8D">
        <w:rPr>
          <w:rFonts w:ascii="Times New Roman" w:hAnsi="Times New Roman" w:cs="Times New Roman"/>
        </w:rPr>
        <w:t xml:space="preserve">, P., &amp; McLaney, E. (2018). Chapter 6. </w:t>
      </w:r>
      <w:r w:rsidRPr="00296D8D">
        <w:rPr>
          <w:rFonts w:ascii="Times New Roman" w:hAnsi="Times New Roman" w:cs="Times New Roman"/>
          <w:i/>
          <w:iCs/>
        </w:rPr>
        <w:t>Accounting and finance for non-specialists</w:t>
      </w:r>
      <w:r w:rsidRPr="00296D8D">
        <w:rPr>
          <w:rFonts w:ascii="Times New Roman" w:hAnsi="Times New Roman" w:cs="Times New Roman"/>
        </w:rPr>
        <w:t xml:space="preserve"> (10th ed., pp. 194–244). Pearson Education, Limited.</w:t>
      </w:r>
    </w:p>
    <w:p w14:paraId="29E7FA6F" w14:textId="77777777" w:rsidR="00296D8D" w:rsidRDefault="00296D8D" w:rsidP="00296D8D">
      <w:pPr>
        <w:rPr>
          <w:rFonts w:ascii="Times New Roman" w:hAnsi="Times New Roman" w:cs="Times New Roman"/>
        </w:rPr>
      </w:pPr>
    </w:p>
    <w:p w14:paraId="058A7712" w14:textId="77777777" w:rsidR="00296D8D" w:rsidRPr="00296D8D" w:rsidRDefault="00296D8D" w:rsidP="00296D8D">
      <w:pPr>
        <w:rPr>
          <w:rFonts w:ascii="Times New Roman" w:hAnsi="Times New Roman" w:cs="Times New Roman"/>
        </w:rPr>
      </w:pPr>
    </w:p>
    <w:p w14:paraId="7EADDC0D" w14:textId="5DF34E74" w:rsidR="00296D8D" w:rsidRPr="00296D8D" w:rsidRDefault="00296D8D" w:rsidP="00296D8D">
      <w:pPr>
        <w:pStyle w:val="Subtitle"/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</w:rPr>
        <w:t>Exercise 1</w:t>
      </w:r>
    </w:p>
    <w:p w14:paraId="15FFE8AC" w14:textId="77777777" w:rsidR="00296D8D" w:rsidRPr="00296D8D" w:rsidRDefault="00296D8D" w:rsidP="00296D8D">
      <w:pPr>
        <w:rPr>
          <w:rFonts w:ascii="Times New Roman" w:hAnsi="Times New Roman" w:cs="Times New Roman"/>
          <w:b/>
          <w:bCs/>
        </w:rPr>
      </w:pPr>
      <w:r w:rsidRPr="00296D8D">
        <w:rPr>
          <w:rFonts w:ascii="Times New Roman" w:hAnsi="Times New Roman" w:cs="Times New Roman"/>
          <w:b/>
          <w:bCs/>
        </w:rPr>
        <w:t>Investment ratio (Valuation ratio):</w:t>
      </w:r>
    </w:p>
    <w:p w14:paraId="158DCF60" w14:textId="77777777" w:rsidR="00296D8D" w:rsidRPr="00296D8D" w:rsidRDefault="00296D8D" w:rsidP="00296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</w:rPr>
        <w:t>Calculate the earnings per share (EPS) of Alexis plc for the year 2018.</w:t>
      </w:r>
    </w:p>
    <w:p w14:paraId="7C5954E3" w14:textId="77777777" w:rsidR="00296D8D" w:rsidRPr="00296D8D" w:rsidRDefault="00296D8D" w:rsidP="00296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</w:rPr>
        <w:t>Calculate the P/E ratio of Alexis plc for the year 2018.</w:t>
      </w:r>
    </w:p>
    <w:p w14:paraId="0A1A7F74" w14:textId="77777777" w:rsidR="00296D8D" w:rsidRPr="00296D8D" w:rsidRDefault="00296D8D" w:rsidP="00296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</w:rPr>
        <w:t xml:space="preserve">Calculate the P/E ratio for </w:t>
      </w:r>
      <w:proofErr w:type="gramStart"/>
      <w:r w:rsidRPr="00296D8D">
        <w:rPr>
          <w:rFonts w:ascii="Times New Roman" w:hAnsi="Times New Roman" w:cs="Times New Roman"/>
        </w:rPr>
        <w:t>Alexis</w:t>
      </w:r>
      <w:proofErr w:type="gramEnd"/>
      <w:r w:rsidRPr="00296D8D">
        <w:rPr>
          <w:rFonts w:ascii="Times New Roman" w:hAnsi="Times New Roman" w:cs="Times New Roman"/>
        </w:rPr>
        <w:t xml:space="preserve"> plc for the year 2017. What do you deduce from the comparison of the changes (increases or declines) in the share price and P/E ratio? Can you provide some potential reasons of these changes?</w:t>
      </w:r>
    </w:p>
    <w:p w14:paraId="359849B3" w14:textId="77777777" w:rsidR="00296D8D" w:rsidRPr="00296D8D" w:rsidRDefault="00296D8D" w:rsidP="00296D8D">
      <w:pPr>
        <w:rPr>
          <w:rFonts w:ascii="Times New Roman" w:hAnsi="Times New Roman" w:cs="Times New Roman"/>
        </w:rPr>
      </w:pPr>
    </w:p>
    <w:p w14:paraId="2E503996" w14:textId="77777777" w:rsidR="00296D8D" w:rsidRPr="00296D8D" w:rsidRDefault="00296D8D" w:rsidP="00296D8D">
      <w:pPr>
        <w:rPr>
          <w:rFonts w:ascii="Times New Roman" w:hAnsi="Times New Roman" w:cs="Times New Roman"/>
        </w:rPr>
      </w:pPr>
      <w:r w:rsidRPr="00296D8D">
        <w:rPr>
          <w:rFonts w:ascii="Times New Roman" w:hAnsi="Times New Roman" w:cs="Times New Roman"/>
          <w:noProof/>
        </w:rPr>
        <w:drawing>
          <wp:inline distT="0" distB="0" distL="0" distR="0" wp14:anchorId="56BDF600" wp14:editId="509334EB">
            <wp:extent cx="5731510" cy="3423920"/>
            <wp:effectExtent l="0" t="0" r="2540" b="5080"/>
            <wp:docPr id="955397931" name="Picture 47" descr="A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397931" name="Picture 47" descr="A green and white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3AEE8" w14:textId="77777777" w:rsidR="00071BBF" w:rsidRPr="00296D8D" w:rsidRDefault="00071BBF">
      <w:pPr>
        <w:rPr>
          <w:rFonts w:ascii="Times New Roman" w:hAnsi="Times New Roman" w:cs="Times New Roman"/>
        </w:rPr>
      </w:pPr>
    </w:p>
    <w:sectPr w:rsidR="00071BBF" w:rsidRPr="00296D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DDA5A" w14:textId="77777777" w:rsidR="000B1384" w:rsidRDefault="000B1384" w:rsidP="00296D8D">
      <w:pPr>
        <w:spacing w:after="0" w:line="240" w:lineRule="auto"/>
      </w:pPr>
      <w:r>
        <w:separator/>
      </w:r>
    </w:p>
  </w:endnote>
  <w:endnote w:type="continuationSeparator" w:id="0">
    <w:p w14:paraId="125E9C24" w14:textId="77777777" w:rsidR="000B1384" w:rsidRDefault="000B1384" w:rsidP="0029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117DE" w14:textId="77777777" w:rsidR="000B1384" w:rsidRDefault="000B1384" w:rsidP="00296D8D">
      <w:pPr>
        <w:spacing w:after="0" w:line="240" w:lineRule="auto"/>
      </w:pPr>
      <w:r>
        <w:separator/>
      </w:r>
    </w:p>
  </w:footnote>
  <w:footnote w:type="continuationSeparator" w:id="0">
    <w:p w14:paraId="11BE6531" w14:textId="77777777" w:rsidR="000B1384" w:rsidRDefault="000B1384" w:rsidP="00296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C7971"/>
    <w:multiLevelType w:val="hybridMultilevel"/>
    <w:tmpl w:val="73D67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9871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BBF"/>
    <w:rsid w:val="00071BBF"/>
    <w:rsid w:val="000B1384"/>
    <w:rsid w:val="00296D8D"/>
    <w:rsid w:val="00E7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46235"/>
  <w15:chartTrackingRefBased/>
  <w15:docId w15:val="{846B7069-5D78-451F-9AF3-14CD374E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D8D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1BB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1B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BB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BB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BBF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BBF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BB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BB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BB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BB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071B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B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BBF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BBF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BBF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BBF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BBF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BBF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071BB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B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BB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BB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B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B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B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B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B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B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BB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96D8D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96D8D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96D8D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96D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2</cp:revision>
  <dcterms:created xsi:type="dcterms:W3CDTF">2025-02-06T10:42:00Z</dcterms:created>
  <dcterms:modified xsi:type="dcterms:W3CDTF">2025-02-06T10:43:00Z</dcterms:modified>
</cp:coreProperties>
</file>