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Garamond" w:eastAsiaTheme="minorHAnsi" w:hAnsi="Garamond"/>
          <w:color w:val="5B9BD5" w:themeColor="accent1"/>
          <w:sz w:val="24"/>
          <w:szCs w:val="24"/>
          <w:lang w:val="en-GB"/>
        </w:rPr>
        <w:id w:val="-1522475554"/>
        <w:docPartObj>
          <w:docPartGallery w:val="Cover Pages"/>
          <w:docPartUnique/>
        </w:docPartObj>
      </w:sdtPr>
      <w:sdtEndPr>
        <w:rPr>
          <w:color w:val="auto"/>
        </w:rPr>
      </w:sdtEndPr>
      <w:sdtContent>
        <w:p w14:paraId="1364CDF7" w14:textId="77777777" w:rsidR="00B7474F" w:rsidRPr="003A68C8" w:rsidRDefault="007D1947" w:rsidP="00B7474F">
          <w:pPr>
            <w:pStyle w:val="NoSpacing"/>
            <w:spacing w:after="240"/>
            <w:jc w:val="center"/>
            <w:rPr>
              <w:rFonts w:ascii="Garamond" w:hAnsi="Garamond"/>
              <w:color w:val="5B9BD5" w:themeColor="accent1"/>
              <w:sz w:val="24"/>
              <w:szCs w:val="24"/>
            </w:rPr>
          </w:pPr>
          <w:r w:rsidRPr="003A68C8">
            <w:rPr>
              <w:rFonts w:ascii="Garamond" w:hAnsi="Garamond"/>
              <w:noProof/>
              <w:color w:val="5B9BD5" w:themeColor="accent1"/>
              <w:sz w:val="24"/>
              <w:szCs w:val="24"/>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279EE7CF" w14:textId="2108ABCE" w:rsidR="00B7474F" w:rsidRPr="003A68C8" w:rsidRDefault="00A3064F" w:rsidP="00B7474F">
          <w:pPr>
            <w:pStyle w:val="NoSpacing"/>
            <w:spacing w:after="240"/>
            <w:jc w:val="center"/>
            <w:rPr>
              <w:rFonts w:ascii="Garamond" w:hAnsi="Garamond"/>
              <w:color w:val="5B9BD5" w:themeColor="accent1"/>
              <w:sz w:val="72"/>
              <w:szCs w:val="72"/>
            </w:rPr>
          </w:pPr>
          <w:r w:rsidRPr="003A68C8">
            <w:rPr>
              <w:rFonts w:ascii="Garamond" w:eastAsiaTheme="majorEastAsia" w:hAnsi="Garamond" w:cstheme="majorBidi"/>
              <w:b/>
              <w:caps/>
              <w:color w:val="5B9BD5" w:themeColor="accent1"/>
              <w:sz w:val="72"/>
              <w:szCs w:val="72"/>
            </w:rPr>
            <w:t>Financial analysis of Burberry Group PLC and Beard PLC INVESTMENT APPRAISAL</w:t>
          </w:r>
        </w:p>
        <w:sdt>
          <w:sdtPr>
            <w:rPr>
              <w:rFonts w:ascii="Garamond" w:hAnsi="Garamond"/>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62C451F0" w:rsidR="007D1947" w:rsidRPr="003A68C8" w:rsidRDefault="00A3064F" w:rsidP="00B7474F">
              <w:pPr>
                <w:pStyle w:val="NoSpacing"/>
                <w:pBdr>
                  <w:top w:val="single" w:sz="6" w:space="6" w:color="5B9BD5" w:themeColor="accent1"/>
                  <w:bottom w:val="single" w:sz="6" w:space="6" w:color="5B9BD5" w:themeColor="accent1"/>
                </w:pBdr>
                <w:spacing w:after="240"/>
                <w:jc w:val="center"/>
                <w:rPr>
                  <w:rFonts w:ascii="Garamond" w:hAnsi="Garamond"/>
                  <w:color w:val="5B9BD5" w:themeColor="accent1"/>
                  <w:sz w:val="28"/>
                  <w:szCs w:val="28"/>
                </w:rPr>
              </w:pPr>
              <w:r w:rsidRPr="003A68C8">
                <w:rPr>
                  <w:rFonts w:ascii="Garamond" w:hAnsi="Garamond"/>
                  <w:color w:val="5B9BD5" w:themeColor="accent1"/>
                  <w:sz w:val="28"/>
                  <w:szCs w:val="28"/>
                </w:rPr>
                <w:t>BMMB7005 - Finance for Business Managers</w:t>
              </w:r>
            </w:p>
          </w:sdtContent>
        </w:sdt>
        <w:p w14:paraId="1ADC1124" w14:textId="77777777" w:rsidR="007D1947" w:rsidRPr="003A68C8" w:rsidRDefault="007D1947">
          <w:pPr>
            <w:pStyle w:val="NoSpacing"/>
            <w:spacing w:before="480"/>
            <w:jc w:val="center"/>
            <w:rPr>
              <w:rFonts w:ascii="Garamond" w:hAnsi="Garamond"/>
              <w:color w:val="5B9BD5" w:themeColor="accent1"/>
              <w:sz w:val="24"/>
              <w:szCs w:val="24"/>
            </w:rPr>
          </w:pPr>
          <w:r w:rsidRPr="003A68C8">
            <w:rPr>
              <w:rFonts w:ascii="Garamond" w:hAnsi="Garamond"/>
              <w:noProof/>
              <w:color w:val="5B9BD5" w:themeColor="accent1"/>
              <w:sz w:val="24"/>
              <w:szCs w:val="24"/>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4-20T00:00:00Z">
                                    <w:dateFormat w:val="MMMM d, yyyy"/>
                                    <w:lid w:val="en-US"/>
                                    <w:storeMappedDataAs w:val="dateTime"/>
                                    <w:calendar w:val="gregorian"/>
                                  </w:date>
                                </w:sdtPr>
                                <w:sdtEndPr/>
                                <w:sdtContent>
                                  <w:p w14:paraId="52BAF8D9" w14:textId="65CD9D0F" w:rsidR="007D1947" w:rsidRDefault="00A3064F">
                                    <w:pPr>
                                      <w:pStyle w:val="NoSpacing"/>
                                      <w:spacing w:after="40"/>
                                      <w:jc w:val="center"/>
                                      <w:rPr>
                                        <w:caps/>
                                        <w:color w:val="5B9BD5" w:themeColor="accent1"/>
                                        <w:sz w:val="28"/>
                                        <w:szCs w:val="28"/>
                                      </w:rPr>
                                    </w:pPr>
                                    <w:r>
                                      <w:rPr>
                                        <w:caps/>
                                        <w:color w:val="5B9BD5" w:themeColor="accent1"/>
                                        <w:sz w:val="28"/>
                                        <w:szCs w:val="28"/>
                                      </w:rPr>
                                      <w:t>April 20, 2026</w:t>
                                    </w:r>
                                  </w:p>
                                </w:sdtContent>
                              </w:sdt>
                              <w:p w14:paraId="69E98CB3" w14:textId="77777777" w:rsidR="007D1947" w:rsidRDefault="00763E99">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763E99">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4-20T00:00:00Z">
                              <w:dateFormat w:val="MMMM d, yyyy"/>
                              <w:lid w:val="en-US"/>
                              <w:storeMappedDataAs w:val="dateTime"/>
                              <w:calendar w:val="gregorian"/>
                            </w:date>
                          </w:sdtPr>
                          <w:sdtEndPr/>
                          <w:sdtContent>
                            <w:p w14:paraId="52BAF8D9" w14:textId="65CD9D0F" w:rsidR="007D1947" w:rsidRDefault="00A3064F">
                              <w:pPr>
                                <w:pStyle w:val="NoSpacing"/>
                                <w:spacing w:after="40"/>
                                <w:jc w:val="center"/>
                                <w:rPr>
                                  <w:caps/>
                                  <w:color w:val="5B9BD5" w:themeColor="accent1"/>
                                  <w:sz w:val="28"/>
                                  <w:szCs w:val="28"/>
                                </w:rPr>
                              </w:pPr>
                              <w:r>
                                <w:rPr>
                                  <w:caps/>
                                  <w:color w:val="5B9BD5" w:themeColor="accent1"/>
                                  <w:sz w:val="28"/>
                                  <w:szCs w:val="28"/>
                                </w:rPr>
                                <w:t>April 20, 2026</w:t>
                              </w:r>
                            </w:p>
                          </w:sdtContent>
                        </w:sdt>
                        <w:p w14:paraId="69E98CB3" w14:textId="77777777" w:rsidR="007D1947" w:rsidRDefault="002D62A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2D62AF">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Pr="003A68C8">
            <w:rPr>
              <w:rFonts w:ascii="Garamond" w:hAnsi="Garamond"/>
              <w:noProof/>
              <w:color w:val="5B9BD5" w:themeColor="accent1"/>
              <w:sz w:val="24"/>
              <w:szCs w:val="24"/>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Pr="00E173D4" w:rsidRDefault="007D1947" w:rsidP="008E2B4C">
          <w:pPr>
            <w:pStyle w:val="Heading1"/>
            <w:jc w:val="center"/>
            <w:rPr>
              <w:rFonts w:ascii="Garamond" w:hAnsi="Garamond"/>
              <w:b/>
              <w:bCs/>
              <w:sz w:val="28"/>
              <w:szCs w:val="28"/>
            </w:rPr>
          </w:pPr>
          <w:r w:rsidRPr="003A68C8">
            <w:rPr>
              <w:rFonts w:ascii="Garamond" w:hAnsi="Garamond"/>
              <w:sz w:val="24"/>
              <w:szCs w:val="24"/>
            </w:rPr>
            <w:br w:type="page"/>
          </w:r>
          <w:bookmarkStart w:id="0" w:name="_Toc227521268"/>
          <w:r w:rsidRPr="00E173D4">
            <w:rPr>
              <w:rFonts w:ascii="Garamond" w:hAnsi="Garamond"/>
              <w:b/>
              <w:bCs/>
              <w:sz w:val="28"/>
              <w:szCs w:val="28"/>
            </w:rPr>
            <w:lastRenderedPageBreak/>
            <w:t>Executive Summary</w:t>
          </w:r>
          <w:bookmarkEnd w:id="0"/>
        </w:p>
        <w:p w14:paraId="62AB7F7D" w14:textId="77777777" w:rsidR="007D1947" w:rsidRPr="003A68C8" w:rsidRDefault="007D1947">
          <w:pPr>
            <w:rPr>
              <w:rFonts w:ascii="Garamond" w:hAnsi="Garamond"/>
              <w:sz w:val="24"/>
              <w:szCs w:val="24"/>
            </w:rPr>
          </w:pPr>
        </w:p>
        <w:p w14:paraId="27044F43" w14:textId="272D73CB" w:rsidR="00E176E7" w:rsidRPr="00E176E7" w:rsidRDefault="00E176E7" w:rsidP="006833C4">
          <w:pPr>
            <w:ind w:firstLine="720"/>
            <w:rPr>
              <w:rFonts w:ascii="Garamond" w:hAnsi="Garamond"/>
              <w:sz w:val="24"/>
              <w:szCs w:val="24"/>
              <w:lang w:val="en-US"/>
            </w:rPr>
          </w:pPr>
          <w:r w:rsidRPr="00E176E7">
            <w:rPr>
              <w:rFonts w:ascii="Garamond" w:hAnsi="Garamond"/>
              <w:sz w:val="24"/>
              <w:szCs w:val="24"/>
              <w:lang w:val="en-US"/>
            </w:rPr>
            <w:t xml:space="preserve">This report evaluates two linked financial management issues for directors. Part 1 assesses the recent financial performance of Burberry Group PLC, a London Stock </w:t>
          </w:r>
          <w:r w:rsidR="00CB49EE" w:rsidRPr="003A68C8">
            <w:rPr>
              <w:rFonts w:ascii="Garamond" w:hAnsi="Garamond"/>
              <w:sz w:val="24"/>
              <w:szCs w:val="24"/>
              <w:lang w:val="en-US"/>
            </w:rPr>
            <w:t>Exchange-listed</w:t>
          </w:r>
          <w:r w:rsidRPr="00E176E7">
            <w:rPr>
              <w:rFonts w:ascii="Garamond" w:hAnsi="Garamond"/>
              <w:sz w:val="24"/>
              <w:szCs w:val="24"/>
              <w:lang w:val="en-US"/>
            </w:rPr>
            <w:t xml:space="preserve"> luxury company and FTSE 100 constituent, using profitability, liquidity, gearing, efficiency and investor ratios for FY2024 and FY2025. Burberry is a suitable case because the company publishes audited financial statements and operates in a sector where brand strength, inventory discipline and pricing power are reflected clearly in financial ratios (London Stock Exchange, 2026; Burberry Group plc, 2025a).</w:t>
          </w:r>
        </w:p>
        <w:p w14:paraId="6B619381" w14:textId="77777777" w:rsidR="00E176E7" w:rsidRPr="00E176E7" w:rsidRDefault="00E176E7" w:rsidP="006833C4">
          <w:pPr>
            <w:ind w:firstLine="720"/>
            <w:rPr>
              <w:rFonts w:ascii="Garamond" w:hAnsi="Garamond"/>
              <w:sz w:val="24"/>
              <w:szCs w:val="24"/>
              <w:lang w:val="en-US"/>
            </w:rPr>
          </w:pPr>
          <w:r w:rsidRPr="00E176E7">
            <w:rPr>
              <w:rFonts w:ascii="Garamond" w:hAnsi="Garamond"/>
              <w:sz w:val="24"/>
              <w:szCs w:val="24"/>
              <w:lang w:val="en-US"/>
            </w:rPr>
            <w:t>The analysis shows a material deterioration in Burberry's performance. Revenue fell from GBP2,968m to GBP2,461m, gross profit fell from GBP2,009m to GBP1,538m, and operating profit moved from GBP418m to a GBP3m operating loss. Gross margin remained high in absolute terms, at 62.5%, but the decline from 67.7% indicates weaker pricing power, inventory pressure and lower fixed-cost absorption. Liquidity appears acceptable, with a current ratio of 1.49 and a quick ratio of 1.11, but this is not a sign of stronger trading because cash increased while borrowings and lease-related liabilities remained substantial. Net debt to equity rose from 97.5% to 120.6%, reducing financial flexibility during the Burberry Forward turnaround.</w:t>
          </w:r>
        </w:p>
        <w:p w14:paraId="1964B7B9" w14:textId="36AE9B47" w:rsidR="00E176E7" w:rsidRPr="00E176E7" w:rsidRDefault="00E176E7" w:rsidP="006833C4">
          <w:pPr>
            <w:ind w:firstLine="720"/>
            <w:rPr>
              <w:rFonts w:ascii="Garamond" w:hAnsi="Garamond"/>
              <w:sz w:val="24"/>
              <w:szCs w:val="24"/>
              <w:lang w:val="en-US"/>
            </w:rPr>
          </w:pPr>
          <w:r w:rsidRPr="00E176E7">
            <w:rPr>
              <w:rFonts w:ascii="Garamond" w:hAnsi="Garamond"/>
              <w:sz w:val="24"/>
              <w:szCs w:val="24"/>
              <w:lang w:val="en-US"/>
            </w:rPr>
            <w:t xml:space="preserve">The brief benchmark against LVMH, Kering, Hermes and Richemont shows that the wider luxury market has been challenging, but Burberry's margin and </w:t>
          </w:r>
          <w:proofErr w:type="gramStart"/>
          <w:r w:rsidRPr="00E176E7">
            <w:rPr>
              <w:rFonts w:ascii="Garamond" w:hAnsi="Garamond"/>
              <w:sz w:val="24"/>
              <w:szCs w:val="24"/>
              <w:lang w:val="en-US"/>
            </w:rPr>
            <w:t>earnings deterioration</w:t>
          </w:r>
          <w:proofErr w:type="gramEnd"/>
          <w:r w:rsidRPr="00E176E7">
            <w:rPr>
              <w:rFonts w:ascii="Garamond" w:hAnsi="Garamond"/>
              <w:sz w:val="24"/>
              <w:szCs w:val="24"/>
              <w:lang w:val="en-US"/>
            </w:rPr>
            <w:t xml:space="preserve"> </w:t>
          </w:r>
          <w:r w:rsidR="00CB49EE" w:rsidRPr="003A68C8">
            <w:rPr>
              <w:rFonts w:ascii="Garamond" w:hAnsi="Garamond"/>
              <w:sz w:val="24"/>
              <w:szCs w:val="24"/>
              <w:lang w:val="en-US"/>
            </w:rPr>
            <w:t>are</w:t>
          </w:r>
          <w:r w:rsidRPr="00E176E7">
            <w:rPr>
              <w:rFonts w:ascii="Garamond" w:hAnsi="Garamond"/>
              <w:sz w:val="24"/>
              <w:szCs w:val="24"/>
              <w:lang w:val="en-US"/>
            </w:rPr>
            <w:t xml:space="preserve"> weaker than </w:t>
          </w:r>
          <w:r w:rsidR="00CB49EE" w:rsidRPr="003A68C8">
            <w:rPr>
              <w:rFonts w:ascii="Garamond" w:hAnsi="Garamond"/>
              <w:sz w:val="24"/>
              <w:szCs w:val="24"/>
              <w:lang w:val="en-US"/>
            </w:rPr>
            <w:t xml:space="preserve">those of </w:t>
          </w:r>
          <w:r w:rsidRPr="00E176E7">
            <w:rPr>
              <w:rFonts w:ascii="Garamond" w:hAnsi="Garamond"/>
              <w:sz w:val="24"/>
              <w:szCs w:val="24"/>
              <w:lang w:val="en-US"/>
            </w:rPr>
            <w:t xml:space="preserve">the stronger luxury houses. The recommendation is therefore to </w:t>
          </w:r>
          <w:proofErr w:type="spellStart"/>
          <w:r w:rsidRPr="00E176E7">
            <w:rPr>
              <w:rFonts w:ascii="Garamond" w:hAnsi="Garamond"/>
              <w:sz w:val="24"/>
              <w:szCs w:val="24"/>
              <w:lang w:val="en-US"/>
            </w:rPr>
            <w:t>prioritise</w:t>
          </w:r>
          <w:proofErr w:type="spellEnd"/>
          <w:r w:rsidRPr="00E176E7">
            <w:rPr>
              <w:rFonts w:ascii="Garamond" w:hAnsi="Garamond"/>
              <w:sz w:val="24"/>
              <w:szCs w:val="24"/>
              <w:lang w:val="en-US"/>
            </w:rPr>
            <w:t xml:space="preserve"> margin recovery, inventory discipline, cautious capital expenditure, operating KPI transparency and gradual balance sheet repair before resuming shareholder distributions.</w:t>
          </w:r>
        </w:p>
        <w:p w14:paraId="6846CF66" w14:textId="768A36B4" w:rsidR="007D1947" w:rsidRPr="003A68C8" w:rsidRDefault="00E176E7" w:rsidP="006833C4">
          <w:pPr>
            <w:ind w:firstLine="720"/>
            <w:rPr>
              <w:rFonts w:ascii="Garamond" w:hAnsi="Garamond"/>
              <w:sz w:val="24"/>
              <w:szCs w:val="24"/>
            </w:rPr>
          </w:pPr>
          <w:r w:rsidRPr="003A68C8">
            <w:rPr>
              <w:rFonts w:ascii="Garamond" w:hAnsi="Garamond"/>
              <w:sz w:val="24"/>
              <w:szCs w:val="24"/>
              <w:lang w:val="en-US"/>
            </w:rPr>
            <w:t>Part 2 evaluates three Beard Plc investment options using after-tax NPV, IRR and capital rationing. Option C, producing purses and wallets, has the highest NPV at GBP91.23k and an approximate IRR of 8.6%, which is above the 5% cost of capital. If the projects are divisible and funds are limited to GBP1.5m, the optimal policy is to accept C in full and invest 55.56% in B, giving a total NPV of approximately GBP132.31k. NPV is recommended as the primary decision rule because it directly measures value creation, but management should also consider demand risk, operational capacity, strategic fit and financing constraints before committing funds.</w:t>
          </w:r>
          <w:r w:rsidR="00A3064F" w:rsidRPr="003A68C8">
            <w:rPr>
              <w:rFonts w:ascii="Garamond" w:hAnsi="Garamond"/>
              <w:sz w:val="24"/>
              <w:szCs w:val="24"/>
              <w:lang w:val="en-US"/>
            </w:rPr>
            <w:t xml:space="preserve"> </w:t>
          </w:r>
        </w:p>
        <w:p w14:paraId="7F8F78F5" w14:textId="77777777" w:rsidR="007D1947" w:rsidRPr="003A68C8" w:rsidRDefault="007D1947">
          <w:pPr>
            <w:rPr>
              <w:rFonts w:ascii="Garamond" w:hAnsi="Garamond"/>
              <w:sz w:val="24"/>
              <w:szCs w:val="24"/>
            </w:rPr>
          </w:pPr>
        </w:p>
        <w:p w14:paraId="3E204757" w14:textId="77777777" w:rsidR="007D1947" w:rsidRPr="003A68C8" w:rsidRDefault="007D1947">
          <w:pPr>
            <w:rPr>
              <w:rFonts w:ascii="Garamond" w:hAnsi="Garamond"/>
              <w:sz w:val="24"/>
              <w:szCs w:val="24"/>
            </w:rPr>
          </w:pPr>
        </w:p>
        <w:p w14:paraId="775DA3A7" w14:textId="77777777" w:rsidR="007D1947" w:rsidRPr="003A68C8" w:rsidRDefault="007D1947">
          <w:pPr>
            <w:rPr>
              <w:rFonts w:ascii="Garamond" w:hAnsi="Garamond"/>
              <w:sz w:val="24"/>
              <w:szCs w:val="24"/>
            </w:rPr>
          </w:pPr>
        </w:p>
        <w:p w14:paraId="5E5C2FB5" w14:textId="77777777" w:rsidR="007D1947" w:rsidRPr="003A68C8" w:rsidRDefault="007D1947">
          <w:pPr>
            <w:rPr>
              <w:rFonts w:ascii="Garamond" w:hAnsi="Garamond"/>
              <w:sz w:val="24"/>
              <w:szCs w:val="24"/>
            </w:rPr>
          </w:pPr>
        </w:p>
        <w:p w14:paraId="119F1E47" w14:textId="77777777" w:rsidR="007D1947" w:rsidRPr="003A68C8" w:rsidRDefault="007D1947">
          <w:pPr>
            <w:rPr>
              <w:rFonts w:ascii="Garamond" w:hAnsi="Garamond"/>
              <w:sz w:val="24"/>
              <w:szCs w:val="24"/>
            </w:rPr>
          </w:pPr>
        </w:p>
        <w:p w14:paraId="2059565F" w14:textId="77777777" w:rsidR="007D1947" w:rsidRPr="003A68C8" w:rsidRDefault="007D1947">
          <w:pPr>
            <w:rPr>
              <w:rFonts w:ascii="Garamond" w:hAnsi="Garamond"/>
              <w:sz w:val="24"/>
              <w:szCs w:val="24"/>
            </w:rPr>
          </w:pPr>
        </w:p>
        <w:p w14:paraId="1E53466B" w14:textId="77777777" w:rsidR="007D1947" w:rsidRPr="003A68C8" w:rsidRDefault="007D1947">
          <w:pPr>
            <w:rPr>
              <w:rFonts w:ascii="Garamond" w:hAnsi="Garamond"/>
              <w:sz w:val="24"/>
              <w:szCs w:val="24"/>
            </w:rPr>
          </w:pPr>
        </w:p>
        <w:p w14:paraId="7BC12A6B" w14:textId="77777777" w:rsidR="007D1947" w:rsidRPr="003A68C8" w:rsidRDefault="007D1947">
          <w:pPr>
            <w:rPr>
              <w:rFonts w:ascii="Garamond" w:hAnsi="Garamond"/>
              <w:sz w:val="24"/>
              <w:szCs w:val="24"/>
            </w:rPr>
          </w:pPr>
        </w:p>
        <w:p w14:paraId="3C8549E0" w14:textId="77777777" w:rsidR="007D1947" w:rsidRPr="003A68C8" w:rsidRDefault="007D1947">
          <w:pPr>
            <w:rPr>
              <w:rFonts w:ascii="Garamond" w:hAnsi="Garamond"/>
              <w:sz w:val="24"/>
              <w:szCs w:val="24"/>
            </w:rPr>
          </w:pPr>
        </w:p>
        <w:p w14:paraId="0EAD00A7" w14:textId="77777777" w:rsidR="007D1947" w:rsidRPr="003A68C8" w:rsidRDefault="007D1947">
          <w:pPr>
            <w:rPr>
              <w:rFonts w:ascii="Garamond" w:hAnsi="Garamond"/>
              <w:sz w:val="24"/>
              <w:szCs w:val="24"/>
            </w:rPr>
          </w:pPr>
        </w:p>
        <w:sdt>
          <w:sdtPr>
            <w:rPr>
              <w:rFonts w:ascii="Garamond" w:eastAsiaTheme="minorHAnsi" w:hAnsi="Garamond" w:cstheme="minorBidi"/>
              <w:color w:val="auto"/>
              <w:sz w:val="24"/>
              <w:szCs w:val="24"/>
              <w:lang w:val="en-GB"/>
            </w:rPr>
            <w:id w:val="-1297214018"/>
            <w:docPartObj>
              <w:docPartGallery w:val="Table of Contents"/>
              <w:docPartUnique/>
            </w:docPartObj>
          </w:sdtPr>
          <w:sdtEndPr>
            <w:rPr>
              <w:b/>
              <w:bCs/>
              <w:noProof/>
            </w:rPr>
          </w:sdtEndPr>
          <w:sdtContent>
            <w:p w14:paraId="1DFECD67" w14:textId="77777777" w:rsidR="007D1947" w:rsidRPr="003A68C8" w:rsidRDefault="007D1947" w:rsidP="008E2B4C">
              <w:pPr>
                <w:pStyle w:val="TOCHeading"/>
                <w:jc w:val="center"/>
                <w:rPr>
                  <w:rFonts w:ascii="Garamond" w:hAnsi="Garamond"/>
                  <w:b/>
                  <w:bCs/>
                  <w:sz w:val="28"/>
                  <w:szCs w:val="28"/>
                </w:rPr>
              </w:pPr>
              <w:r w:rsidRPr="003A68C8">
                <w:rPr>
                  <w:rFonts w:ascii="Garamond" w:hAnsi="Garamond"/>
                  <w:b/>
                  <w:bCs/>
                  <w:sz w:val="28"/>
                  <w:szCs w:val="28"/>
                </w:rPr>
                <w:t>Table of Contents</w:t>
              </w:r>
            </w:p>
            <w:p w14:paraId="7170EADD" w14:textId="77777777" w:rsidR="00CB49EE" w:rsidRPr="003A68C8" w:rsidRDefault="00CB49EE" w:rsidP="00CB49EE">
              <w:pPr>
                <w:rPr>
                  <w:rFonts w:ascii="Garamond" w:hAnsi="Garamond"/>
                  <w:sz w:val="24"/>
                  <w:szCs w:val="24"/>
                  <w:lang w:val="en-US"/>
                </w:rPr>
              </w:pPr>
            </w:p>
            <w:p w14:paraId="4174E2F4" w14:textId="7EE6E7E1" w:rsidR="00E173D4" w:rsidRDefault="007D1947">
              <w:pPr>
                <w:pStyle w:val="TOC1"/>
                <w:tabs>
                  <w:tab w:val="right" w:leader="dot" w:pos="9016"/>
                </w:tabs>
                <w:rPr>
                  <w:rFonts w:eastAsiaTheme="minorEastAsia"/>
                  <w:noProof/>
                  <w:kern w:val="2"/>
                  <w:sz w:val="24"/>
                  <w:szCs w:val="24"/>
                  <w:lang w:eastAsia="en-GB"/>
                  <w14:ligatures w14:val="standardContextual"/>
                </w:rPr>
              </w:pPr>
              <w:r w:rsidRPr="003A68C8">
                <w:rPr>
                  <w:rFonts w:ascii="Garamond" w:hAnsi="Garamond"/>
                  <w:sz w:val="24"/>
                  <w:szCs w:val="24"/>
                </w:rPr>
                <w:fldChar w:fldCharType="begin"/>
              </w:r>
              <w:r w:rsidRPr="003A68C8">
                <w:rPr>
                  <w:rFonts w:ascii="Garamond" w:hAnsi="Garamond"/>
                  <w:sz w:val="24"/>
                  <w:szCs w:val="24"/>
                </w:rPr>
                <w:instrText xml:space="preserve"> TOC \o "1-3" \h \z \u </w:instrText>
              </w:r>
              <w:r w:rsidRPr="003A68C8">
                <w:rPr>
                  <w:rFonts w:ascii="Garamond" w:hAnsi="Garamond"/>
                  <w:sz w:val="24"/>
                  <w:szCs w:val="24"/>
                </w:rPr>
                <w:fldChar w:fldCharType="separate"/>
              </w:r>
              <w:hyperlink w:anchor="_Toc227521268" w:history="1">
                <w:r w:rsidR="00E173D4" w:rsidRPr="00E45663">
                  <w:rPr>
                    <w:rStyle w:val="Hyperlink"/>
                    <w:rFonts w:ascii="Garamond" w:hAnsi="Garamond"/>
                    <w:b/>
                    <w:bCs/>
                    <w:noProof/>
                  </w:rPr>
                  <w:t>Executive Summary</w:t>
                </w:r>
                <w:r w:rsidR="00E173D4">
                  <w:rPr>
                    <w:noProof/>
                    <w:webHidden/>
                  </w:rPr>
                  <w:tab/>
                </w:r>
                <w:r w:rsidR="00E173D4">
                  <w:rPr>
                    <w:noProof/>
                    <w:webHidden/>
                  </w:rPr>
                  <w:fldChar w:fldCharType="begin"/>
                </w:r>
                <w:r w:rsidR="00E173D4">
                  <w:rPr>
                    <w:noProof/>
                    <w:webHidden/>
                  </w:rPr>
                  <w:instrText xml:space="preserve"> PAGEREF _Toc227521268 \h </w:instrText>
                </w:r>
                <w:r w:rsidR="00E173D4">
                  <w:rPr>
                    <w:noProof/>
                    <w:webHidden/>
                  </w:rPr>
                </w:r>
                <w:r w:rsidR="00E173D4">
                  <w:rPr>
                    <w:noProof/>
                    <w:webHidden/>
                  </w:rPr>
                  <w:fldChar w:fldCharType="separate"/>
                </w:r>
                <w:r w:rsidR="00E173D4">
                  <w:rPr>
                    <w:noProof/>
                    <w:webHidden/>
                  </w:rPr>
                  <w:t>1</w:t>
                </w:r>
                <w:r w:rsidR="00E173D4">
                  <w:rPr>
                    <w:noProof/>
                    <w:webHidden/>
                  </w:rPr>
                  <w:fldChar w:fldCharType="end"/>
                </w:r>
              </w:hyperlink>
            </w:p>
            <w:p w14:paraId="3C3388FA" w14:textId="5CE24379" w:rsidR="00E173D4" w:rsidRDefault="00E173D4">
              <w:pPr>
                <w:pStyle w:val="TOC1"/>
                <w:tabs>
                  <w:tab w:val="right" w:leader="dot" w:pos="9016"/>
                </w:tabs>
                <w:rPr>
                  <w:rFonts w:eastAsiaTheme="minorEastAsia"/>
                  <w:noProof/>
                  <w:kern w:val="2"/>
                  <w:sz w:val="24"/>
                  <w:szCs w:val="24"/>
                  <w:lang w:eastAsia="en-GB"/>
                  <w14:ligatures w14:val="standardContextual"/>
                </w:rPr>
              </w:pPr>
              <w:hyperlink w:anchor="_Toc227521269" w:history="1">
                <w:r w:rsidRPr="00E45663">
                  <w:rPr>
                    <w:rStyle w:val="Hyperlink"/>
                    <w:rFonts w:ascii="Garamond" w:hAnsi="Garamond"/>
                    <w:b/>
                    <w:bCs/>
                    <w:noProof/>
                  </w:rPr>
                  <w:t>Introduction</w:t>
                </w:r>
                <w:r>
                  <w:rPr>
                    <w:noProof/>
                    <w:webHidden/>
                  </w:rPr>
                  <w:tab/>
                </w:r>
                <w:r>
                  <w:rPr>
                    <w:noProof/>
                    <w:webHidden/>
                  </w:rPr>
                  <w:fldChar w:fldCharType="begin"/>
                </w:r>
                <w:r>
                  <w:rPr>
                    <w:noProof/>
                    <w:webHidden/>
                  </w:rPr>
                  <w:instrText xml:space="preserve"> PAGEREF _Toc227521269 \h </w:instrText>
                </w:r>
                <w:r>
                  <w:rPr>
                    <w:noProof/>
                    <w:webHidden/>
                  </w:rPr>
                </w:r>
                <w:r>
                  <w:rPr>
                    <w:noProof/>
                    <w:webHidden/>
                  </w:rPr>
                  <w:fldChar w:fldCharType="separate"/>
                </w:r>
                <w:r>
                  <w:rPr>
                    <w:noProof/>
                    <w:webHidden/>
                  </w:rPr>
                  <w:t>3</w:t>
                </w:r>
                <w:r>
                  <w:rPr>
                    <w:noProof/>
                    <w:webHidden/>
                  </w:rPr>
                  <w:fldChar w:fldCharType="end"/>
                </w:r>
              </w:hyperlink>
            </w:p>
            <w:p w14:paraId="201AAC99" w14:textId="0960F905" w:rsidR="00E173D4" w:rsidRDefault="00E173D4">
              <w:pPr>
                <w:pStyle w:val="TOC1"/>
                <w:tabs>
                  <w:tab w:val="right" w:leader="dot" w:pos="9016"/>
                </w:tabs>
                <w:rPr>
                  <w:rFonts w:eastAsiaTheme="minorEastAsia"/>
                  <w:noProof/>
                  <w:kern w:val="2"/>
                  <w:sz w:val="24"/>
                  <w:szCs w:val="24"/>
                  <w:lang w:eastAsia="en-GB"/>
                  <w14:ligatures w14:val="standardContextual"/>
                </w:rPr>
              </w:pPr>
              <w:hyperlink w:anchor="_Toc227521270" w:history="1">
                <w:r w:rsidRPr="00E45663">
                  <w:rPr>
                    <w:rStyle w:val="Hyperlink"/>
                    <w:rFonts w:ascii="Garamond" w:hAnsi="Garamond"/>
                    <w:b/>
                    <w:bCs/>
                    <w:noProof/>
                  </w:rPr>
                  <w:t>Main Findings</w:t>
                </w:r>
                <w:r>
                  <w:rPr>
                    <w:noProof/>
                    <w:webHidden/>
                  </w:rPr>
                  <w:tab/>
                </w:r>
                <w:r>
                  <w:rPr>
                    <w:noProof/>
                    <w:webHidden/>
                  </w:rPr>
                  <w:fldChar w:fldCharType="begin"/>
                </w:r>
                <w:r>
                  <w:rPr>
                    <w:noProof/>
                    <w:webHidden/>
                  </w:rPr>
                  <w:instrText xml:space="preserve"> PAGEREF _Toc227521270 \h </w:instrText>
                </w:r>
                <w:r>
                  <w:rPr>
                    <w:noProof/>
                    <w:webHidden/>
                  </w:rPr>
                </w:r>
                <w:r>
                  <w:rPr>
                    <w:noProof/>
                    <w:webHidden/>
                  </w:rPr>
                  <w:fldChar w:fldCharType="separate"/>
                </w:r>
                <w:r>
                  <w:rPr>
                    <w:noProof/>
                    <w:webHidden/>
                  </w:rPr>
                  <w:t>4</w:t>
                </w:r>
                <w:r>
                  <w:rPr>
                    <w:noProof/>
                    <w:webHidden/>
                  </w:rPr>
                  <w:fldChar w:fldCharType="end"/>
                </w:r>
              </w:hyperlink>
            </w:p>
            <w:p w14:paraId="3A5C31E3" w14:textId="2AF6CC0E" w:rsidR="00E173D4" w:rsidRDefault="00E173D4">
              <w:pPr>
                <w:pStyle w:val="TOC2"/>
                <w:tabs>
                  <w:tab w:val="right" w:leader="dot" w:pos="9016"/>
                </w:tabs>
                <w:rPr>
                  <w:rFonts w:eastAsiaTheme="minorEastAsia"/>
                  <w:noProof/>
                  <w:kern w:val="2"/>
                  <w:sz w:val="24"/>
                  <w:szCs w:val="24"/>
                  <w:lang w:eastAsia="en-GB"/>
                  <w14:ligatures w14:val="standardContextual"/>
                </w:rPr>
              </w:pPr>
              <w:hyperlink w:anchor="_Toc227521271" w:history="1">
                <w:r w:rsidRPr="00E45663">
                  <w:rPr>
                    <w:rStyle w:val="Hyperlink"/>
                    <w:rFonts w:ascii="Garamond" w:hAnsi="Garamond"/>
                    <w:noProof/>
                  </w:rPr>
                  <w:t>Task 1: Burberry Group PLC ratio analysis</w:t>
                </w:r>
                <w:r>
                  <w:rPr>
                    <w:noProof/>
                    <w:webHidden/>
                  </w:rPr>
                  <w:tab/>
                </w:r>
                <w:r>
                  <w:rPr>
                    <w:noProof/>
                    <w:webHidden/>
                  </w:rPr>
                  <w:fldChar w:fldCharType="begin"/>
                </w:r>
                <w:r>
                  <w:rPr>
                    <w:noProof/>
                    <w:webHidden/>
                  </w:rPr>
                  <w:instrText xml:space="preserve"> PAGEREF _Toc227521271 \h </w:instrText>
                </w:r>
                <w:r>
                  <w:rPr>
                    <w:noProof/>
                    <w:webHidden/>
                  </w:rPr>
                </w:r>
                <w:r>
                  <w:rPr>
                    <w:noProof/>
                    <w:webHidden/>
                  </w:rPr>
                  <w:fldChar w:fldCharType="separate"/>
                </w:r>
                <w:r>
                  <w:rPr>
                    <w:noProof/>
                    <w:webHidden/>
                  </w:rPr>
                  <w:t>4</w:t>
                </w:r>
                <w:r>
                  <w:rPr>
                    <w:noProof/>
                    <w:webHidden/>
                  </w:rPr>
                  <w:fldChar w:fldCharType="end"/>
                </w:r>
              </w:hyperlink>
            </w:p>
            <w:p w14:paraId="7DF2B62A" w14:textId="4BB8AE19" w:rsidR="00E173D4" w:rsidRDefault="00E173D4">
              <w:pPr>
                <w:pStyle w:val="TOC3"/>
                <w:tabs>
                  <w:tab w:val="right" w:leader="dot" w:pos="9016"/>
                </w:tabs>
                <w:rPr>
                  <w:rFonts w:eastAsiaTheme="minorEastAsia"/>
                  <w:noProof/>
                  <w:kern w:val="2"/>
                  <w:sz w:val="24"/>
                  <w:szCs w:val="24"/>
                  <w:lang w:eastAsia="en-GB"/>
                  <w14:ligatures w14:val="standardContextual"/>
                </w:rPr>
              </w:pPr>
              <w:hyperlink w:anchor="_Toc227521272" w:history="1">
                <w:r w:rsidRPr="00E45663">
                  <w:rPr>
                    <w:rStyle w:val="Hyperlink"/>
                    <w:rFonts w:ascii="Garamond" w:hAnsi="Garamond"/>
                    <w:noProof/>
                    <w:lang w:val="en-US"/>
                  </w:rPr>
                  <w:t>1.1 Data, method and ratio summary</w:t>
                </w:r>
                <w:r>
                  <w:rPr>
                    <w:noProof/>
                    <w:webHidden/>
                  </w:rPr>
                  <w:tab/>
                </w:r>
                <w:r>
                  <w:rPr>
                    <w:noProof/>
                    <w:webHidden/>
                  </w:rPr>
                  <w:fldChar w:fldCharType="begin"/>
                </w:r>
                <w:r>
                  <w:rPr>
                    <w:noProof/>
                    <w:webHidden/>
                  </w:rPr>
                  <w:instrText xml:space="preserve"> PAGEREF _Toc227521272 \h </w:instrText>
                </w:r>
                <w:r>
                  <w:rPr>
                    <w:noProof/>
                    <w:webHidden/>
                  </w:rPr>
                </w:r>
                <w:r>
                  <w:rPr>
                    <w:noProof/>
                    <w:webHidden/>
                  </w:rPr>
                  <w:fldChar w:fldCharType="separate"/>
                </w:r>
                <w:r>
                  <w:rPr>
                    <w:noProof/>
                    <w:webHidden/>
                  </w:rPr>
                  <w:t>4</w:t>
                </w:r>
                <w:r>
                  <w:rPr>
                    <w:noProof/>
                    <w:webHidden/>
                  </w:rPr>
                  <w:fldChar w:fldCharType="end"/>
                </w:r>
              </w:hyperlink>
            </w:p>
            <w:p w14:paraId="63436E41" w14:textId="04CB0A95" w:rsidR="00E173D4" w:rsidRDefault="00E173D4">
              <w:pPr>
                <w:pStyle w:val="TOC3"/>
                <w:tabs>
                  <w:tab w:val="right" w:leader="dot" w:pos="9016"/>
                </w:tabs>
                <w:rPr>
                  <w:rFonts w:eastAsiaTheme="minorEastAsia"/>
                  <w:noProof/>
                  <w:kern w:val="2"/>
                  <w:sz w:val="24"/>
                  <w:szCs w:val="24"/>
                  <w:lang w:eastAsia="en-GB"/>
                  <w14:ligatures w14:val="standardContextual"/>
                </w:rPr>
              </w:pPr>
              <w:hyperlink w:anchor="_Toc227521273" w:history="1">
                <w:r w:rsidRPr="00E45663">
                  <w:rPr>
                    <w:rStyle w:val="Hyperlink"/>
                    <w:rFonts w:ascii="Garamond" w:hAnsi="Garamond"/>
                    <w:noProof/>
                    <w:lang w:val="en-US"/>
                  </w:rPr>
                  <w:t>1.2 Profitability: the key weakness</w:t>
                </w:r>
                <w:r>
                  <w:rPr>
                    <w:noProof/>
                    <w:webHidden/>
                  </w:rPr>
                  <w:tab/>
                </w:r>
                <w:r>
                  <w:rPr>
                    <w:noProof/>
                    <w:webHidden/>
                  </w:rPr>
                  <w:fldChar w:fldCharType="begin"/>
                </w:r>
                <w:r>
                  <w:rPr>
                    <w:noProof/>
                    <w:webHidden/>
                  </w:rPr>
                  <w:instrText xml:space="preserve"> PAGEREF _Toc227521273 \h </w:instrText>
                </w:r>
                <w:r>
                  <w:rPr>
                    <w:noProof/>
                    <w:webHidden/>
                  </w:rPr>
                </w:r>
                <w:r>
                  <w:rPr>
                    <w:noProof/>
                    <w:webHidden/>
                  </w:rPr>
                  <w:fldChar w:fldCharType="separate"/>
                </w:r>
                <w:r>
                  <w:rPr>
                    <w:noProof/>
                    <w:webHidden/>
                  </w:rPr>
                  <w:t>5</w:t>
                </w:r>
                <w:r>
                  <w:rPr>
                    <w:noProof/>
                    <w:webHidden/>
                  </w:rPr>
                  <w:fldChar w:fldCharType="end"/>
                </w:r>
              </w:hyperlink>
            </w:p>
            <w:p w14:paraId="2CE99D57" w14:textId="4B581E19" w:rsidR="00E173D4" w:rsidRDefault="00E173D4">
              <w:pPr>
                <w:pStyle w:val="TOC3"/>
                <w:tabs>
                  <w:tab w:val="right" w:leader="dot" w:pos="9016"/>
                </w:tabs>
                <w:rPr>
                  <w:rFonts w:eastAsiaTheme="minorEastAsia"/>
                  <w:noProof/>
                  <w:kern w:val="2"/>
                  <w:sz w:val="24"/>
                  <w:szCs w:val="24"/>
                  <w:lang w:eastAsia="en-GB"/>
                  <w14:ligatures w14:val="standardContextual"/>
                </w:rPr>
              </w:pPr>
              <w:hyperlink w:anchor="_Toc227521274" w:history="1">
                <w:r w:rsidRPr="00E45663">
                  <w:rPr>
                    <w:rStyle w:val="Hyperlink"/>
                    <w:rFonts w:ascii="Garamond" w:hAnsi="Garamond"/>
                    <w:noProof/>
                  </w:rPr>
                  <w:t>1.3 Liquidity and working capital</w:t>
                </w:r>
                <w:r>
                  <w:rPr>
                    <w:noProof/>
                    <w:webHidden/>
                  </w:rPr>
                  <w:tab/>
                </w:r>
                <w:r>
                  <w:rPr>
                    <w:noProof/>
                    <w:webHidden/>
                  </w:rPr>
                  <w:fldChar w:fldCharType="begin"/>
                </w:r>
                <w:r>
                  <w:rPr>
                    <w:noProof/>
                    <w:webHidden/>
                  </w:rPr>
                  <w:instrText xml:space="preserve"> PAGEREF _Toc227521274 \h </w:instrText>
                </w:r>
                <w:r>
                  <w:rPr>
                    <w:noProof/>
                    <w:webHidden/>
                  </w:rPr>
                </w:r>
                <w:r>
                  <w:rPr>
                    <w:noProof/>
                    <w:webHidden/>
                  </w:rPr>
                  <w:fldChar w:fldCharType="separate"/>
                </w:r>
                <w:r>
                  <w:rPr>
                    <w:noProof/>
                    <w:webHidden/>
                  </w:rPr>
                  <w:t>6</w:t>
                </w:r>
                <w:r>
                  <w:rPr>
                    <w:noProof/>
                    <w:webHidden/>
                  </w:rPr>
                  <w:fldChar w:fldCharType="end"/>
                </w:r>
              </w:hyperlink>
            </w:p>
            <w:p w14:paraId="1945D166" w14:textId="00DD613C" w:rsidR="00E173D4" w:rsidRDefault="00E173D4">
              <w:pPr>
                <w:pStyle w:val="TOC3"/>
                <w:tabs>
                  <w:tab w:val="right" w:leader="dot" w:pos="9016"/>
                </w:tabs>
                <w:rPr>
                  <w:rFonts w:eastAsiaTheme="minorEastAsia"/>
                  <w:noProof/>
                  <w:kern w:val="2"/>
                  <w:sz w:val="24"/>
                  <w:szCs w:val="24"/>
                  <w:lang w:eastAsia="en-GB"/>
                  <w14:ligatures w14:val="standardContextual"/>
                </w:rPr>
              </w:pPr>
              <w:hyperlink w:anchor="_Toc227521275" w:history="1">
                <w:r w:rsidRPr="00E45663">
                  <w:rPr>
                    <w:rStyle w:val="Hyperlink"/>
                    <w:rFonts w:ascii="Garamond" w:hAnsi="Garamond"/>
                    <w:noProof/>
                  </w:rPr>
                  <w:t>1.4 Gearing, efficiency and investor performance</w:t>
                </w:r>
                <w:r>
                  <w:rPr>
                    <w:noProof/>
                    <w:webHidden/>
                  </w:rPr>
                  <w:tab/>
                </w:r>
                <w:r>
                  <w:rPr>
                    <w:noProof/>
                    <w:webHidden/>
                  </w:rPr>
                  <w:fldChar w:fldCharType="begin"/>
                </w:r>
                <w:r>
                  <w:rPr>
                    <w:noProof/>
                    <w:webHidden/>
                  </w:rPr>
                  <w:instrText xml:space="preserve"> PAGEREF _Toc227521275 \h </w:instrText>
                </w:r>
                <w:r>
                  <w:rPr>
                    <w:noProof/>
                    <w:webHidden/>
                  </w:rPr>
                </w:r>
                <w:r>
                  <w:rPr>
                    <w:noProof/>
                    <w:webHidden/>
                  </w:rPr>
                  <w:fldChar w:fldCharType="separate"/>
                </w:r>
                <w:r>
                  <w:rPr>
                    <w:noProof/>
                    <w:webHidden/>
                  </w:rPr>
                  <w:t>6</w:t>
                </w:r>
                <w:r>
                  <w:rPr>
                    <w:noProof/>
                    <w:webHidden/>
                  </w:rPr>
                  <w:fldChar w:fldCharType="end"/>
                </w:r>
              </w:hyperlink>
            </w:p>
            <w:p w14:paraId="267EF1C6" w14:textId="28FFF5D8" w:rsidR="00E173D4" w:rsidRDefault="00E173D4">
              <w:pPr>
                <w:pStyle w:val="TOC3"/>
                <w:tabs>
                  <w:tab w:val="right" w:leader="dot" w:pos="9016"/>
                </w:tabs>
                <w:rPr>
                  <w:rFonts w:eastAsiaTheme="minorEastAsia"/>
                  <w:noProof/>
                  <w:kern w:val="2"/>
                  <w:sz w:val="24"/>
                  <w:szCs w:val="24"/>
                  <w:lang w:eastAsia="en-GB"/>
                  <w14:ligatures w14:val="standardContextual"/>
                </w:rPr>
              </w:pPr>
              <w:hyperlink w:anchor="_Toc227521276" w:history="1">
                <w:r w:rsidRPr="00E45663">
                  <w:rPr>
                    <w:rStyle w:val="Hyperlink"/>
                    <w:rFonts w:ascii="Garamond" w:hAnsi="Garamond"/>
                    <w:noProof/>
                    <w:lang w:val="en-US"/>
                  </w:rPr>
                  <w:t>1.5 Benchmark against selected luxury peers</w:t>
                </w:r>
                <w:r>
                  <w:rPr>
                    <w:noProof/>
                    <w:webHidden/>
                  </w:rPr>
                  <w:tab/>
                </w:r>
                <w:r>
                  <w:rPr>
                    <w:noProof/>
                    <w:webHidden/>
                  </w:rPr>
                  <w:fldChar w:fldCharType="begin"/>
                </w:r>
                <w:r>
                  <w:rPr>
                    <w:noProof/>
                    <w:webHidden/>
                  </w:rPr>
                  <w:instrText xml:space="preserve"> PAGEREF _Toc227521276 \h </w:instrText>
                </w:r>
                <w:r>
                  <w:rPr>
                    <w:noProof/>
                    <w:webHidden/>
                  </w:rPr>
                </w:r>
                <w:r>
                  <w:rPr>
                    <w:noProof/>
                    <w:webHidden/>
                  </w:rPr>
                  <w:fldChar w:fldCharType="separate"/>
                </w:r>
                <w:r>
                  <w:rPr>
                    <w:noProof/>
                    <w:webHidden/>
                  </w:rPr>
                  <w:t>7</w:t>
                </w:r>
                <w:r>
                  <w:rPr>
                    <w:noProof/>
                    <w:webHidden/>
                  </w:rPr>
                  <w:fldChar w:fldCharType="end"/>
                </w:r>
              </w:hyperlink>
            </w:p>
            <w:p w14:paraId="6F0E09DA" w14:textId="2272571C" w:rsidR="00E173D4" w:rsidRDefault="00E173D4">
              <w:pPr>
                <w:pStyle w:val="TOC3"/>
                <w:tabs>
                  <w:tab w:val="right" w:leader="dot" w:pos="9016"/>
                </w:tabs>
                <w:rPr>
                  <w:rFonts w:eastAsiaTheme="minorEastAsia"/>
                  <w:noProof/>
                  <w:kern w:val="2"/>
                  <w:sz w:val="24"/>
                  <w:szCs w:val="24"/>
                  <w:lang w:eastAsia="en-GB"/>
                  <w14:ligatures w14:val="standardContextual"/>
                </w:rPr>
              </w:pPr>
              <w:hyperlink w:anchor="_Toc227521277" w:history="1">
                <w:r w:rsidRPr="00E45663">
                  <w:rPr>
                    <w:rStyle w:val="Hyperlink"/>
                    <w:rFonts w:ascii="Garamond" w:hAnsi="Garamond"/>
                    <w:noProof/>
                    <w:lang w:val="en-US"/>
                  </w:rPr>
                  <w:t>1.6 Limitations of ratio analysis and recommendations</w:t>
                </w:r>
                <w:r>
                  <w:rPr>
                    <w:noProof/>
                    <w:webHidden/>
                  </w:rPr>
                  <w:tab/>
                </w:r>
                <w:r>
                  <w:rPr>
                    <w:noProof/>
                    <w:webHidden/>
                  </w:rPr>
                  <w:fldChar w:fldCharType="begin"/>
                </w:r>
                <w:r>
                  <w:rPr>
                    <w:noProof/>
                    <w:webHidden/>
                  </w:rPr>
                  <w:instrText xml:space="preserve"> PAGEREF _Toc227521277 \h </w:instrText>
                </w:r>
                <w:r>
                  <w:rPr>
                    <w:noProof/>
                    <w:webHidden/>
                  </w:rPr>
                </w:r>
                <w:r>
                  <w:rPr>
                    <w:noProof/>
                    <w:webHidden/>
                  </w:rPr>
                  <w:fldChar w:fldCharType="separate"/>
                </w:r>
                <w:r>
                  <w:rPr>
                    <w:noProof/>
                    <w:webHidden/>
                  </w:rPr>
                  <w:t>9</w:t>
                </w:r>
                <w:r>
                  <w:rPr>
                    <w:noProof/>
                    <w:webHidden/>
                  </w:rPr>
                  <w:fldChar w:fldCharType="end"/>
                </w:r>
              </w:hyperlink>
            </w:p>
            <w:p w14:paraId="089CD0A2" w14:textId="536499AA" w:rsidR="00E173D4" w:rsidRDefault="00E173D4">
              <w:pPr>
                <w:pStyle w:val="TOC2"/>
                <w:tabs>
                  <w:tab w:val="right" w:leader="dot" w:pos="9016"/>
                </w:tabs>
                <w:rPr>
                  <w:rFonts w:eastAsiaTheme="minorEastAsia"/>
                  <w:noProof/>
                  <w:kern w:val="2"/>
                  <w:sz w:val="24"/>
                  <w:szCs w:val="24"/>
                  <w:lang w:eastAsia="en-GB"/>
                  <w14:ligatures w14:val="standardContextual"/>
                </w:rPr>
              </w:pPr>
              <w:hyperlink w:anchor="_Toc227521278" w:history="1">
                <w:r w:rsidRPr="00E45663">
                  <w:rPr>
                    <w:rStyle w:val="Hyperlink"/>
                    <w:rFonts w:ascii="Garamond" w:hAnsi="Garamond" w:cs="Times New Roman"/>
                    <w:noProof/>
                  </w:rPr>
                  <w:t>Task 2: Beard Plc investment appraisal</w:t>
                </w:r>
                <w:r>
                  <w:rPr>
                    <w:noProof/>
                    <w:webHidden/>
                  </w:rPr>
                  <w:tab/>
                </w:r>
                <w:r>
                  <w:rPr>
                    <w:noProof/>
                    <w:webHidden/>
                  </w:rPr>
                  <w:fldChar w:fldCharType="begin"/>
                </w:r>
                <w:r>
                  <w:rPr>
                    <w:noProof/>
                    <w:webHidden/>
                  </w:rPr>
                  <w:instrText xml:space="preserve"> PAGEREF _Toc227521278 \h </w:instrText>
                </w:r>
                <w:r>
                  <w:rPr>
                    <w:noProof/>
                    <w:webHidden/>
                  </w:rPr>
                </w:r>
                <w:r>
                  <w:rPr>
                    <w:noProof/>
                    <w:webHidden/>
                  </w:rPr>
                  <w:fldChar w:fldCharType="separate"/>
                </w:r>
                <w:r>
                  <w:rPr>
                    <w:noProof/>
                    <w:webHidden/>
                  </w:rPr>
                  <w:t>10</w:t>
                </w:r>
                <w:r>
                  <w:rPr>
                    <w:noProof/>
                    <w:webHidden/>
                  </w:rPr>
                  <w:fldChar w:fldCharType="end"/>
                </w:r>
              </w:hyperlink>
            </w:p>
            <w:p w14:paraId="02FC81A4" w14:textId="0D2254F7" w:rsidR="00E173D4" w:rsidRDefault="00E173D4">
              <w:pPr>
                <w:pStyle w:val="TOC3"/>
                <w:tabs>
                  <w:tab w:val="right" w:leader="dot" w:pos="9016"/>
                </w:tabs>
                <w:rPr>
                  <w:rFonts w:eastAsiaTheme="minorEastAsia"/>
                  <w:noProof/>
                  <w:kern w:val="2"/>
                  <w:sz w:val="24"/>
                  <w:szCs w:val="24"/>
                  <w:lang w:eastAsia="en-GB"/>
                  <w14:ligatures w14:val="standardContextual"/>
                </w:rPr>
              </w:pPr>
              <w:hyperlink w:anchor="_Toc227521279" w:history="1">
                <w:r w:rsidRPr="00E45663">
                  <w:rPr>
                    <w:rStyle w:val="Hyperlink"/>
                    <w:rFonts w:ascii="Garamond" w:hAnsi="Garamond"/>
                    <w:noProof/>
                    <w:lang w:val="en-US"/>
                  </w:rPr>
                  <w:t>2.1 Screening the three alternatives</w:t>
                </w:r>
                <w:r>
                  <w:rPr>
                    <w:noProof/>
                    <w:webHidden/>
                  </w:rPr>
                  <w:tab/>
                </w:r>
                <w:r>
                  <w:rPr>
                    <w:noProof/>
                    <w:webHidden/>
                  </w:rPr>
                  <w:fldChar w:fldCharType="begin"/>
                </w:r>
                <w:r>
                  <w:rPr>
                    <w:noProof/>
                    <w:webHidden/>
                  </w:rPr>
                  <w:instrText xml:space="preserve"> PAGEREF _Toc227521279 \h </w:instrText>
                </w:r>
                <w:r>
                  <w:rPr>
                    <w:noProof/>
                    <w:webHidden/>
                  </w:rPr>
                </w:r>
                <w:r>
                  <w:rPr>
                    <w:noProof/>
                    <w:webHidden/>
                  </w:rPr>
                  <w:fldChar w:fldCharType="separate"/>
                </w:r>
                <w:r>
                  <w:rPr>
                    <w:noProof/>
                    <w:webHidden/>
                  </w:rPr>
                  <w:t>10</w:t>
                </w:r>
                <w:r>
                  <w:rPr>
                    <w:noProof/>
                    <w:webHidden/>
                  </w:rPr>
                  <w:fldChar w:fldCharType="end"/>
                </w:r>
              </w:hyperlink>
            </w:p>
            <w:p w14:paraId="2C061931" w14:textId="336E1919" w:rsidR="00E173D4" w:rsidRDefault="00E173D4">
              <w:pPr>
                <w:pStyle w:val="TOC3"/>
                <w:tabs>
                  <w:tab w:val="right" w:leader="dot" w:pos="9016"/>
                </w:tabs>
                <w:rPr>
                  <w:rFonts w:eastAsiaTheme="minorEastAsia"/>
                  <w:noProof/>
                  <w:kern w:val="2"/>
                  <w:sz w:val="24"/>
                  <w:szCs w:val="24"/>
                  <w:lang w:eastAsia="en-GB"/>
                  <w14:ligatures w14:val="standardContextual"/>
                </w:rPr>
              </w:pPr>
              <w:hyperlink w:anchor="_Toc227521280" w:history="1">
                <w:r w:rsidRPr="00E45663">
                  <w:rPr>
                    <w:rStyle w:val="Hyperlink"/>
                    <w:rFonts w:ascii="Garamond" w:hAnsi="Garamond"/>
                    <w:noProof/>
                    <w:lang w:val="en-US"/>
                  </w:rPr>
                  <w:t>2.2 What the numbers imply for management</w:t>
                </w:r>
                <w:r>
                  <w:rPr>
                    <w:noProof/>
                    <w:webHidden/>
                  </w:rPr>
                  <w:tab/>
                </w:r>
                <w:r>
                  <w:rPr>
                    <w:noProof/>
                    <w:webHidden/>
                  </w:rPr>
                  <w:fldChar w:fldCharType="begin"/>
                </w:r>
                <w:r>
                  <w:rPr>
                    <w:noProof/>
                    <w:webHidden/>
                  </w:rPr>
                  <w:instrText xml:space="preserve"> PAGEREF _Toc227521280 \h </w:instrText>
                </w:r>
                <w:r>
                  <w:rPr>
                    <w:noProof/>
                    <w:webHidden/>
                  </w:rPr>
                </w:r>
                <w:r>
                  <w:rPr>
                    <w:noProof/>
                    <w:webHidden/>
                  </w:rPr>
                  <w:fldChar w:fldCharType="separate"/>
                </w:r>
                <w:r>
                  <w:rPr>
                    <w:noProof/>
                    <w:webHidden/>
                  </w:rPr>
                  <w:t>10</w:t>
                </w:r>
                <w:r>
                  <w:rPr>
                    <w:noProof/>
                    <w:webHidden/>
                  </w:rPr>
                  <w:fldChar w:fldCharType="end"/>
                </w:r>
              </w:hyperlink>
            </w:p>
            <w:p w14:paraId="01013184" w14:textId="340AB24F" w:rsidR="00E173D4" w:rsidRDefault="00E173D4">
              <w:pPr>
                <w:pStyle w:val="TOC3"/>
                <w:tabs>
                  <w:tab w:val="right" w:leader="dot" w:pos="9016"/>
                </w:tabs>
                <w:rPr>
                  <w:rFonts w:eastAsiaTheme="minorEastAsia"/>
                  <w:noProof/>
                  <w:kern w:val="2"/>
                  <w:sz w:val="24"/>
                  <w:szCs w:val="24"/>
                  <w:lang w:eastAsia="en-GB"/>
                  <w14:ligatures w14:val="standardContextual"/>
                </w:rPr>
              </w:pPr>
              <w:hyperlink w:anchor="_Toc227521281" w:history="1">
                <w:r w:rsidRPr="00E45663">
                  <w:rPr>
                    <w:rStyle w:val="Hyperlink"/>
                    <w:rFonts w:ascii="Garamond" w:hAnsi="Garamond"/>
                    <w:noProof/>
                    <w:lang w:val="en-US"/>
                  </w:rPr>
                  <w:t>2.3 NPV, IRR and the selection rule</w:t>
                </w:r>
                <w:r>
                  <w:rPr>
                    <w:noProof/>
                    <w:webHidden/>
                  </w:rPr>
                  <w:tab/>
                </w:r>
                <w:r>
                  <w:rPr>
                    <w:noProof/>
                    <w:webHidden/>
                  </w:rPr>
                  <w:fldChar w:fldCharType="begin"/>
                </w:r>
                <w:r>
                  <w:rPr>
                    <w:noProof/>
                    <w:webHidden/>
                  </w:rPr>
                  <w:instrText xml:space="preserve"> PAGEREF _Toc227521281 \h </w:instrText>
                </w:r>
                <w:r>
                  <w:rPr>
                    <w:noProof/>
                    <w:webHidden/>
                  </w:rPr>
                </w:r>
                <w:r>
                  <w:rPr>
                    <w:noProof/>
                    <w:webHidden/>
                  </w:rPr>
                  <w:fldChar w:fldCharType="separate"/>
                </w:r>
                <w:r>
                  <w:rPr>
                    <w:noProof/>
                    <w:webHidden/>
                  </w:rPr>
                  <w:t>11</w:t>
                </w:r>
                <w:r>
                  <w:rPr>
                    <w:noProof/>
                    <w:webHidden/>
                  </w:rPr>
                  <w:fldChar w:fldCharType="end"/>
                </w:r>
              </w:hyperlink>
            </w:p>
            <w:p w14:paraId="25D54EBA" w14:textId="2BD87F84" w:rsidR="00E173D4" w:rsidRDefault="00E173D4">
              <w:pPr>
                <w:pStyle w:val="TOC3"/>
                <w:tabs>
                  <w:tab w:val="right" w:leader="dot" w:pos="9016"/>
                </w:tabs>
                <w:rPr>
                  <w:rFonts w:eastAsiaTheme="minorEastAsia"/>
                  <w:noProof/>
                  <w:kern w:val="2"/>
                  <w:sz w:val="24"/>
                  <w:szCs w:val="24"/>
                  <w:lang w:eastAsia="en-GB"/>
                  <w14:ligatures w14:val="standardContextual"/>
                </w:rPr>
              </w:pPr>
              <w:hyperlink w:anchor="_Toc227521282" w:history="1">
                <w:r w:rsidRPr="00E45663">
                  <w:rPr>
                    <w:rStyle w:val="Hyperlink"/>
                    <w:rFonts w:ascii="Garamond" w:hAnsi="Garamond"/>
                    <w:noProof/>
                    <w:lang w:val="en-US"/>
                  </w:rPr>
                  <w:t>2.4 Why simpler methods are still used</w:t>
                </w:r>
                <w:r>
                  <w:rPr>
                    <w:noProof/>
                    <w:webHidden/>
                  </w:rPr>
                  <w:tab/>
                </w:r>
                <w:r>
                  <w:rPr>
                    <w:noProof/>
                    <w:webHidden/>
                  </w:rPr>
                  <w:fldChar w:fldCharType="begin"/>
                </w:r>
                <w:r>
                  <w:rPr>
                    <w:noProof/>
                    <w:webHidden/>
                  </w:rPr>
                  <w:instrText xml:space="preserve"> PAGEREF _Toc227521282 \h </w:instrText>
                </w:r>
                <w:r>
                  <w:rPr>
                    <w:noProof/>
                    <w:webHidden/>
                  </w:rPr>
                </w:r>
                <w:r>
                  <w:rPr>
                    <w:noProof/>
                    <w:webHidden/>
                  </w:rPr>
                  <w:fldChar w:fldCharType="separate"/>
                </w:r>
                <w:r>
                  <w:rPr>
                    <w:noProof/>
                    <w:webHidden/>
                  </w:rPr>
                  <w:t>11</w:t>
                </w:r>
                <w:r>
                  <w:rPr>
                    <w:noProof/>
                    <w:webHidden/>
                  </w:rPr>
                  <w:fldChar w:fldCharType="end"/>
                </w:r>
              </w:hyperlink>
            </w:p>
            <w:p w14:paraId="0339EAC6" w14:textId="4E129ACD" w:rsidR="00E173D4" w:rsidRDefault="00E173D4">
              <w:pPr>
                <w:pStyle w:val="TOC3"/>
                <w:tabs>
                  <w:tab w:val="right" w:leader="dot" w:pos="9016"/>
                </w:tabs>
                <w:rPr>
                  <w:rFonts w:eastAsiaTheme="minorEastAsia"/>
                  <w:noProof/>
                  <w:kern w:val="2"/>
                  <w:sz w:val="24"/>
                  <w:szCs w:val="24"/>
                  <w:lang w:eastAsia="en-GB"/>
                  <w14:ligatures w14:val="standardContextual"/>
                </w:rPr>
              </w:pPr>
              <w:hyperlink w:anchor="_Toc227521283" w:history="1">
                <w:r w:rsidRPr="00E45663">
                  <w:rPr>
                    <w:rStyle w:val="Hyperlink"/>
                    <w:rFonts w:ascii="Garamond" w:hAnsi="Garamond"/>
                    <w:noProof/>
                  </w:rPr>
                  <w:t>2.5 Capital rationing under the GBP1.5m limit</w:t>
                </w:r>
                <w:r>
                  <w:rPr>
                    <w:noProof/>
                    <w:webHidden/>
                  </w:rPr>
                  <w:tab/>
                </w:r>
                <w:r>
                  <w:rPr>
                    <w:noProof/>
                    <w:webHidden/>
                  </w:rPr>
                  <w:fldChar w:fldCharType="begin"/>
                </w:r>
                <w:r>
                  <w:rPr>
                    <w:noProof/>
                    <w:webHidden/>
                  </w:rPr>
                  <w:instrText xml:space="preserve"> PAGEREF _Toc227521283 \h </w:instrText>
                </w:r>
                <w:r>
                  <w:rPr>
                    <w:noProof/>
                    <w:webHidden/>
                  </w:rPr>
                </w:r>
                <w:r>
                  <w:rPr>
                    <w:noProof/>
                    <w:webHidden/>
                  </w:rPr>
                  <w:fldChar w:fldCharType="separate"/>
                </w:r>
                <w:r>
                  <w:rPr>
                    <w:noProof/>
                    <w:webHidden/>
                  </w:rPr>
                  <w:t>12</w:t>
                </w:r>
                <w:r>
                  <w:rPr>
                    <w:noProof/>
                    <w:webHidden/>
                  </w:rPr>
                  <w:fldChar w:fldCharType="end"/>
                </w:r>
              </w:hyperlink>
            </w:p>
            <w:p w14:paraId="5FF06B8E" w14:textId="61FC6AAE" w:rsidR="00E173D4" w:rsidRDefault="00E173D4">
              <w:pPr>
                <w:pStyle w:val="TOC3"/>
                <w:tabs>
                  <w:tab w:val="right" w:leader="dot" w:pos="9016"/>
                </w:tabs>
                <w:rPr>
                  <w:rFonts w:eastAsiaTheme="minorEastAsia"/>
                  <w:noProof/>
                  <w:kern w:val="2"/>
                  <w:sz w:val="24"/>
                  <w:szCs w:val="24"/>
                  <w:lang w:eastAsia="en-GB"/>
                  <w14:ligatures w14:val="standardContextual"/>
                </w:rPr>
              </w:pPr>
              <w:hyperlink w:anchor="_Toc227521284" w:history="1">
                <w:r w:rsidRPr="00E45663">
                  <w:rPr>
                    <w:rStyle w:val="Hyperlink"/>
                    <w:rFonts w:ascii="Garamond" w:hAnsi="Garamond"/>
                    <w:noProof/>
                    <w:lang w:val="en-US"/>
                  </w:rPr>
                  <w:t>2.6 Risk, implementation and financing</w:t>
                </w:r>
                <w:r>
                  <w:rPr>
                    <w:noProof/>
                    <w:webHidden/>
                  </w:rPr>
                  <w:tab/>
                </w:r>
                <w:r>
                  <w:rPr>
                    <w:noProof/>
                    <w:webHidden/>
                  </w:rPr>
                  <w:fldChar w:fldCharType="begin"/>
                </w:r>
                <w:r>
                  <w:rPr>
                    <w:noProof/>
                    <w:webHidden/>
                  </w:rPr>
                  <w:instrText xml:space="preserve"> PAGEREF _Toc227521284 \h </w:instrText>
                </w:r>
                <w:r>
                  <w:rPr>
                    <w:noProof/>
                    <w:webHidden/>
                  </w:rPr>
                </w:r>
                <w:r>
                  <w:rPr>
                    <w:noProof/>
                    <w:webHidden/>
                  </w:rPr>
                  <w:fldChar w:fldCharType="separate"/>
                </w:r>
                <w:r>
                  <w:rPr>
                    <w:noProof/>
                    <w:webHidden/>
                  </w:rPr>
                  <w:t>12</w:t>
                </w:r>
                <w:r>
                  <w:rPr>
                    <w:noProof/>
                    <w:webHidden/>
                  </w:rPr>
                  <w:fldChar w:fldCharType="end"/>
                </w:r>
              </w:hyperlink>
            </w:p>
            <w:p w14:paraId="255B22EF" w14:textId="1EDD96E1" w:rsidR="00E173D4" w:rsidRDefault="00E173D4">
              <w:pPr>
                <w:pStyle w:val="TOC1"/>
                <w:tabs>
                  <w:tab w:val="right" w:leader="dot" w:pos="9016"/>
                </w:tabs>
                <w:rPr>
                  <w:rFonts w:eastAsiaTheme="minorEastAsia"/>
                  <w:noProof/>
                  <w:kern w:val="2"/>
                  <w:sz w:val="24"/>
                  <w:szCs w:val="24"/>
                  <w:lang w:eastAsia="en-GB"/>
                  <w14:ligatures w14:val="standardContextual"/>
                </w:rPr>
              </w:pPr>
              <w:hyperlink w:anchor="_Toc227521285" w:history="1">
                <w:r w:rsidRPr="00E45663">
                  <w:rPr>
                    <w:rStyle w:val="Hyperlink"/>
                    <w:rFonts w:ascii="Garamond" w:hAnsi="Garamond"/>
                    <w:b/>
                    <w:bCs/>
                    <w:noProof/>
                  </w:rPr>
                  <w:t>Conclusion</w:t>
                </w:r>
                <w:r>
                  <w:rPr>
                    <w:noProof/>
                    <w:webHidden/>
                  </w:rPr>
                  <w:tab/>
                </w:r>
                <w:r>
                  <w:rPr>
                    <w:noProof/>
                    <w:webHidden/>
                  </w:rPr>
                  <w:fldChar w:fldCharType="begin"/>
                </w:r>
                <w:r>
                  <w:rPr>
                    <w:noProof/>
                    <w:webHidden/>
                  </w:rPr>
                  <w:instrText xml:space="preserve"> PAGEREF _Toc227521285 \h </w:instrText>
                </w:r>
                <w:r>
                  <w:rPr>
                    <w:noProof/>
                    <w:webHidden/>
                  </w:rPr>
                </w:r>
                <w:r>
                  <w:rPr>
                    <w:noProof/>
                    <w:webHidden/>
                  </w:rPr>
                  <w:fldChar w:fldCharType="separate"/>
                </w:r>
                <w:r>
                  <w:rPr>
                    <w:noProof/>
                    <w:webHidden/>
                  </w:rPr>
                  <w:t>14</w:t>
                </w:r>
                <w:r>
                  <w:rPr>
                    <w:noProof/>
                    <w:webHidden/>
                  </w:rPr>
                  <w:fldChar w:fldCharType="end"/>
                </w:r>
              </w:hyperlink>
            </w:p>
            <w:p w14:paraId="3457F2AE" w14:textId="1FC2CFAB" w:rsidR="00E173D4" w:rsidRDefault="00E173D4">
              <w:pPr>
                <w:pStyle w:val="TOC1"/>
                <w:tabs>
                  <w:tab w:val="right" w:leader="dot" w:pos="9016"/>
                </w:tabs>
                <w:rPr>
                  <w:rFonts w:eastAsiaTheme="minorEastAsia"/>
                  <w:noProof/>
                  <w:kern w:val="2"/>
                  <w:sz w:val="24"/>
                  <w:szCs w:val="24"/>
                  <w:lang w:eastAsia="en-GB"/>
                  <w14:ligatures w14:val="standardContextual"/>
                </w:rPr>
              </w:pPr>
              <w:hyperlink w:anchor="_Toc227521286" w:history="1">
                <w:r w:rsidRPr="00E45663">
                  <w:rPr>
                    <w:rStyle w:val="Hyperlink"/>
                    <w:rFonts w:ascii="Garamond" w:hAnsi="Garamond"/>
                    <w:b/>
                    <w:bCs/>
                    <w:noProof/>
                  </w:rPr>
                  <w:t>Bibliography</w:t>
                </w:r>
                <w:r>
                  <w:rPr>
                    <w:noProof/>
                    <w:webHidden/>
                  </w:rPr>
                  <w:tab/>
                </w:r>
                <w:r>
                  <w:rPr>
                    <w:noProof/>
                    <w:webHidden/>
                  </w:rPr>
                  <w:fldChar w:fldCharType="begin"/>
                </w:r>
                <w:r>
                  <w:rPr>
                    <w:noProof/>
                    <w:webHidden/>
                  </w:rPr>
                  <w:instrText xml:space="preserve"> PAGEREF _Toc227521286 \h </w:instrText>
                </w:r>
                <w:r>
                  <w:rPr>
                    <w:noProof/>
                    <w:webHidden/>
                  </w:rPr>
                </w:r>
                <w:r>
                  <w:rPr>
                    <w:noProof/>
                    <w:webHidden/>
                  </w:rPr>
                  <w:fldChar w:fldCharType="separate"/>
                </w:r>
                <w:r>
                  <w:rPr>
                    <w:noProof/>
                    <w:webHidden/>
                  </w:rPr>
                  <w:t>15</w:t>
                </w:r>
                <w:r>
                  <w:rPr>
                    <w:noProof/>
                    <w:webHidden/>
                  </w:rPr>
                  <w:fldChar w:fldCharType="end"/>
                </w:r>
              </w:hyperlink>
            </w:p>
            <w:p w14:paraId="2D05DE78" w14:textId="5DB05BAA" w:rsidR="00E173D4" w:rsidRDefault="00E173D4">
              <w:pPr>
                <w:pStyle w:val="TOC1"/>
                <w:tabs>
                  <w:tab w:val="right" w:leader="dot" w:pos="9016"/>
                </w:tabs>
                <w:rPr>
                  <w:rFonts w:eastAsiaTheme="minorEastAsia"/>
                  <w:noProof/>
                  <w:kern w:val="2"/>
                  <w:sz w:val="24"/>
                  <w:szCs w:val="24"/>
                  <w:lang w:eastAsia="en-GB"/>
                  <w14:ligatures w14:val="standardContextual"/>
                </w:rPr>
              </w:pPr>
              <w:hyperlink w:anchor="_Toc227521287" w:history="1">
                <w:r w:rsidRPr="00E45663">
                  <w:rPr>
                    <w:rStyle w:val="Hyperlink"/>
                    <w:rFonts w:ascii="Garamond" w:hAnsi="Garamond"/>
                    <w:b/>
                    <w:bCs/>
                    <w:noProof/>
                  </w:rPr>
                  <w:t>Appendix</w:t>
                </w:r>
                <w:r>
                  <w:rPr>
                    <w:noProof/>
                    <w:webHidden/>
                  </w:rPr>
                  <w:tab/>
                </w:r>
                <w:r>
                  <w:rPr>
                    <w:noProof/>
                    <w:webHidden/>
                  </w:rPr>
                  <w:fldChar w:fldCharType="begin"/>
                </w:r>
                <w:r>
                  <w:rPr>
                    <w:noProof/>
                    <w:webHidden/>
                  </w:rPr>
                  <w:instrText xml:space="preserve"> PAGEREF _Toc227521287 \h </w:instrText>
                </w:r>
                <w:r>
                  <w:rPr>
                    <w:noProof/>
                    <w:webHidden/>
                  </w:rPr>
                </w:r>
                <w:r>
                  <w:rPr>
                    <w:noProof/>
                    <w:webHidden/>
                  </w:rPr>
                  <w:fldChar w:fldCharType="separate"/>
                </w:r>
                <w:r>
                  <w:rPr>
                    <w:noProof/>
                    <w:webHidden/>
                  </w:rPr>
                  <w:t>19</w:t>
                </w:r>
                <w:r>
                  <w:rPr>
                    <w:noProof/>
                    <w:webHidden/>
                  </w:rPr>
                  <w:fldChar w:fldCharType="end"/>
                </w:r>
              </w:hyperlink>
            </w:p>
            <w:p w14:paraId="55347297" w14:textId="5236002A" w:rsidR="00E173D4" w:rsidRDefault="00E173D4">
              <w:pPr>
                <w:pStyle w:val="TOC2"/>
                <w:tabs>
                  <w:tab w:val="right" w:leader="dot" w:pos="9016"/>
                </w:tabs>
                <w:rPr>
                  <w:rFonts w:eastAsiaTheme="minorEastAsia"/>
                  <w:noProof/>
                  <w:kern w:val="2"/>
                  <w:sz w:val="24"/>
                  <w:szCs w:val="24"/>
                  <w:lang w:eastAsia="en-GB"/>
                  <w14:ligatures w14:val="standardContextual"/>
                </w:rPr>
              </w:pPr>
              <w:hyperlink w:anchor="_Toc227521288" w:history="1">
                <w:r w:rsidRPr="00E45663">
                  <w:rPr>
                    <w:rStyle w:val="Hyperlink"/>
                    <w:rFonts w:ascii="Garamond" w:hAnsi="Garamond"/>
                    <w:noProof/>
                    <w:lang w:val="en-US"/>
                  </w:rPr>
                  <w:t>Appendix A: Extracted Burberry financial statements used for analysis</w:t>
                </w:r>
                <w:r>
                  <w:rPr>
                    <w:noProof/>
                    <w:webHidden/>
                  </w:rPr>
                  <w:tab/>
                </w:r>
                <w:r>
                  <w:rPr>
                    <w:noProof/>
                    <w:webHidden/>
                  </w:rPr>
                  <w:fldChar w:fldCharType="begin"/>
                </w:r>
                <w:r>
                  <w:rPr>
                    <w:noProof/>
                    <w:webHidden/>
                  </w:rPr>
                  <w:instrText xml:space="preserve"> PAGEREF _Toc227521288 \h </w:instrText>
                </w:r>
                <w:r>
                  <w:rPr>
                    <w:noProof/>
                    <w:webHidden/>
                  </w:rPr>
                </w:r>
                <w:r>
                  <w:rPr>
                    <w:noProof/>
                    <w:webHidden/>
                  </w:rPr>
                  <w:fldChar w:fldCharType="separate"/>
                </w:r>
                <w:r>
                  <w:rPr>
                    <w:noProof/>
                    <w:webHidden/>
                  </w:rPr>
                  <w:t>19</w:t>
                </w:r>
                <w:r>
                  <w:rPr>
                    <w:noProof/>
                    <w:webHidden/>
                  </w:rPr>
                  <w:fldChar w:fldCharType="end"/>
                </w:r>
              </w:hyperlink>
            </w:p>
            <w:p w14:paraId="581CF241" w14:textId="33C377ED" w:rsidR="00E173D4" w:rsidRDefault="00E173D4">
              <w:pPr>
                <w:pStyle w:val="TOC2"/>
                <w:tabs>
                  <w:tab w:val="right" w:leader="dot" w:pos="9016"/>
                </w:tabs>
                <w:rPr>
                  <w:rFonts w:eastAsiaTheme="minorEastAsia"/>
                  <w:noProof/>
                  <w:kern w:val="2"/>
                  <w:sz w:val="24"/>
                  <w:szCs w:val="24"/>
                  <w:lang w:eastAsia="en-GB"/>
                  <w14:ligatures w14:val="standardContextual"/>
                </w:rPr>
              </w:pPr>
              <w:hyperlink w:anchor="_Toc227521289" w:history="1">
                <w:r w:rsidRPr="00E45663">
                  <w:rPr>
                    <w:rStyle w:val="Hyperlink"/>
                    <w:rFonts w:ascii="Garamond" w:hAnsi="Garamond"/>
                    <w:noProof/>
                    <w:lang w:val="en-US"/>
                  </w:rPr>
                  <w:t>Appendix B: Burberry ratio calculation workings</w:t>
                </w:r>
                <w:r>
                  <w:rPr>
                    <w:noProof/>
                    <w:webHidden/>
                  </w:rPr>
                  <w:tab/>
                </w:r>
                <w:r>
                  <w:rPr>
                    <w:noProof/>
                    <w:webHidden/>
                  </w:rPr>
                  <w:fldChar w:fldCharType="begin"/>
                </w:r>
                <w:r>
                  <w:rPr>
                    <w:noProof/>
                    <w:webHidden/>
                  </w:rPr>
                  <w:instrText xml:space="preserve"> PAGEREF _Toc227521289 \h </w:instrText>
                </w:r>
                <w:r>
                  <w:rPr>
                    <w:noProof/>
                    <w:webHidden/>
                  </w:rPr>
                </w:r>
                <w:r>
                  <w:rPr>
                    <w:noProof/>
                    <w:webHidden/>
                  </w:rPr>
                  <w:fldChar w:fldCharType="separate"/>
                </w:r>
                <w:r>
                  <w:rPr>
                    <w:noProof/>
                    <w:webHidden/>
                  </w:rPr>
                  <w:t>20</w:t>
                </w:r>
                <w:r>
                  <w:rPr>
                    <w:noProof/>
                    <w:webHidden/>
                  </w:rPr>
                  <w:fldChar w:fldCharType="end"/>
                </w:r>
              </w:hyperlink>
            </w:p>
            <w:p w14:paraId="69869AED" w14:textId="64E70C3D" w:rsidR="00E173D4" w:rsidRDefault="00E173D4">
              <w:pPr>
                <w:pStyle w:val="TOC2"/>
                <w:tabs>
                  <w:tab w:val="right" w:leader="dot" w:pos="9016"/>
                </w:tabs>
                <w:rPr>
                  <w:rFonts w:eastAsiaTheme="minorEastAsia"/>
                  <w:noProof/>
                  <w:kern w:val="2"/>
                  <w:sz w:val="24"/>
                  <w:szCs w:val="24"/>
                  <w:lang w:eastAsia="en-GB"/>
                  <w14:ligatures w14:val="standardContextual"/>
                </w:rPr>
              </w:pPr>
              <w:hyperlink w:anchor="_Toc227521290" w:history="1">
                <w:r w:rsidRPr="00E45663">
                  <w:rPr>
                    <w:rStyle w:val="Hyperlink"/>
                    <w:rFonts w:ascii="Garamond" w:hAnsi="Garamond"/>
                    <w:b/>
                    <w:bCs/>
                    <w:noProof/>
                    <w:lang w:val="en-US"/>
                  </w:rPr>
                  <w:t>A</w:t>
                </w:r>
                <w:r w:rsidRPr="00E45663">
                  <w:rPr>
                    <w:rStyle w:val="Hyperlink"/>
                    <w:rFonts w:ascii="Garamond" w:hAnsi="Garamond"/>
                    <w:noProof/>
                  </w:rPr>
                  <w:t>ppendix C: Beard Plc NPV and IRR calculation tables</w:t>
                </w:r>
                <w:r>
                  <w:rPr>
                    <w:noProof/>
                    <w:webHidden/>
                  </w:rPr>
                  <w:tab/>
                </w:r>
                <w:r>
                  <w:rPr>
                    <w:noProof/>
                    <w:webHidden/>
                  </w:rPr>
                  <w:fldChar w:fldCharType="begin"/>
                </w:r>
                <w:r>
                  <w:rPr>
                    <w:noProof/>
                    <w:webHidden/>
                  </w:rPr>
                  <w:instrText xml:space="preserve"> PAGEREF _Toc227521290 \h </w:instrText>
                </w:r>
                <w:r>
                  <w:rPr>
                    <w:noProof/>
                    <w:webHidden/>
                  </w:rPr>
                </w:r>
                <w:r>
                  <w:rPr>
                    <w:noProof/>
                    <w:webHidden/>
                  </w:rPr>
                  <w:fldChar w:fldCharType="separate"/>
                </w:r>
                <w:r>
                  <w:rPr>
                    <w:noProof/>
                    <w:webHidden/>
                  </w:rPr>
                  <w:t>21</w:t>
                </w:r>
                <w:r>
                  <w:rPr>
                    <w:noProof/>
                    <w:webHidden/>
                  </w:rPr>
                  <w:fldChar w:fldCharType="end"/>
                </w:r>
              </w:hyperlink>
            </w:p>
            <w:p w14:paraId="05194699" w14:textId="6BF264D7" w:rsidR="007D1947" w:rsidRPr="003A68C8" w:rsidRDefault="007D1947">
              <w:pPr>
                <w:rPr>
                  <w:rFonts w:ascii="Garamond" w:hAnsi="Garamond"/>
                  <w:sz w:val="24"/>
                  <w:szCs w:val="24"/>
                </w:rPr>
              </w:pPr>
              <w:r w:rsidRPr="003A68C8">
                <w:rPr>
                  <w:rFonts w:ascii="Garamond" w:hAnsi="Garamond"/>
                  <w:b/>
                  <w:bCs/>
                  <w:noProof/>
                  <w:sz w:val="24"/>
                  <w:szCs w:val="24"/>
                </w:rPr>
                <w:fldChar w:fldCharType="end"/>
              </w:r>
              <w:r w:rsidR="00E176E7" w:rsidRPr="003A68C8">
                <w:rPr>
                  <w:rFonts w:ascii="Garamond" w:hAnsi="Garamond"/>
                  <w:b/>
                  <w:bCs/>
                  <w:noProof/>
                  <w:sz w:val="24"/>
                  <w:szCs w:val="24"/>
                </w:rPr>
                <w:t xml:space="preserve"> </w:t>
              </w:r>
            </w:p>
          </w:sdtContent>
        </w:sdt>
        <w:p w14:paraId="35B6052B" w14:textId="77777777" w:rsidR="007D1947" w:rsidRPr="003A68C8" w:rsidRDefault="007D1947">
          <w:pPr>
            <w:rPr>
              <w:rFonts w:ascii="Garamond" w:hAnsi="Garamond"/>
              <w:sz w:val="24"/>
              <w:szCs w:val="24"/>
            </w:rPr>
          </w:pPr>
        </w:p>
        <w:p w14:paraId="22F11532" w14:textId="77777777" w:rsidR="007D1947" w:rsidRPr="003A68C8" w:rsidRDefault="007D1947">
          <w:pPr>
            <w:rPr>
              <w:rFonts w:ascii="Garamond" w:hAnsi="Garamond"/>
              <w:sz w:val="24"/>
              <w:szCs w:val="24"/>
            </w:rPr>
          </w:pPr>
        </w:p>
        <w:p w14:paraId="15C6D916" w14:textId="77777777" w:rsidR="007D1947" w:rsidRPr="003A68C8" w:rsidRDefault="007D1947">
          <w:pPr>
            <w:rPr>
              <w:rFonts w:ascii="Garamond" w:hAnsi="Garamond"/>
              <w:sz w:val="24"/>
              <w:szCs w:val="24"/>
            </w:rPr>
          </w:pPr>
        </w:p>
        <w:p w14:paraId="0882E422" w14:textId="77777777" w:rsidR="007D1947" w:rsidRPr="003A68C8" w:rsidRDefault="007D1947">
          <w:pPr>
            <w:rPr>
              <w:rFonts w:ascii="Garamond" w:hAnsi="Garamond"/>
              <w:sz w:val="24"/>
              <w:szCs w:val="24"/>
            </w:rPr>
          </w:pPr>
        </w:p>
        <w:p w14:paraId="2076963D" w14:textId="77777777" w:rsidR="007D1947" w:rsidRPr="003A68C8" w:rsidRDefault="007D1947">
          <w:pPr>
            <w:rPr>
              <w:rFonts w:ascii="Garamond" w:hAnsi="Garamond"/>
              <w:sz w:val="24"/>
              <w:szCs w:val="24"/>
            </w:rPr>
          </w:pPr>
        </w:p>
        <w:p w14:paraId="655F29CA" w14:textId="77777777" w:rsidR="007D1947" w:rsidRPr="003A68C8" w:rsidRDefault="007D1947">
          <w:pPr>
            <w:rPr>
              <w:rFonts w:ascii="Garamond" w:hAnsi="Garamond"/>
              <w:sz w:val="24"/>
              <w:szCs w:val="24"/>
            </w:rPr>
          </w:pPr>
        </w:p>
        <w:p w14:paraId="707258AE" w14:textId="77777777" w:rsidR="00E176E7" w:rsidRDefault="00E176E7">
          <w:pPr>
            <w:rPr>
              <w:rFonts w:ascii="Garamond" w:hAnsi="Garamond"/>
              <w:sz w:val="24"/>
              <w:szCs w:val="24"/>
            </w:rPr>
          </w:pPr>
        </w:p>
        <w:p w14:paraId="4793142C" w14:textId="77777777" w:rsidR="00A632C6" w:rsidRPr="003A68C8" w:rsidRDefault="00A632C6">
          <w:pPr>
            <w:rPr>
              <w:rFonts w:ascii="Garamond" w:hAnsi="Garamond"/>
              <w:sz w:val="24"/>
              <w:szCs w:val="24"/>
            </w:rPr>
          </w:pPr>
        </w:p>
        <w:p w14:paraId="0ED321E6" w14:textId="27116D6E" w:rsidR="00E176E7" w:rsidRPr="003A68C8" w:rsidRDefault="007D1947" w:rsidP="008E2B4C">
          <w:pPr>
            <w:pStyle w:val="Heading1"/>
            <w:jc w:val="center"/>
            <w:rPr>
              <w:rFonts w:ascii="Garamond" w:hAnsi="Garamond" w:cs="Arial"/>
              <w:b/>
              <w:bCs/>
              <w:color w:val="222222"/>
              <w:sz w:val="28"/>
              <w:szCs w:val="28"/>
              <w:shd w:val="clear" w:color="auto" w:fill="FFFFFF"/>
            </w:rPr>
          </w:pPr>
          <w:bookmarkStart w:id="1" w:name="_Toc227521269"/>
          <w:r w:rsidRPr="003A68C8">
            <w:rPr>
              <w:rFonts w:ascii="Garamond" w:hAnsi="Garamond"/>
              <w:b/>
              <w:bCs/>
              <w:sz w:val="28"/>
              <w:szCs w:val="28"/>
            </w:rPr>
            <w:lastRenderedPageBreak/>
            <w:t>Introduction</w:t>
          </w:r>
          <w:bookmarkEnd w:id="1"/>
        </w:p>
        <w:p w14:paraId="3C9FE902" w14:textId="47BD0D0D" w:rsidR="004A11F6" w:rsidRPr="003A68C8" w:rsidRDefault="004A11F6" w:rsidP="007D1947">
          <w:pPr>
            <w:rPr>
              <w:rFonts w:ascii="Garamond" w:hAnsi="Garamond"/>
              <w:sz w:val="24"/>
              <w:szCs w:val="24"/>
            </w:rPr>
          </w:pPr>
        </w:p>
        <w:p w14:paraId="7110E4E0" w14:textId="77777777" w:rsidR="00E176E7" w:rsidRPr="00E176E7" w:rsidRDefault="00E176E7" w:rsidP="006833C4">
          <w:pPr>
            <w:ind w:firstLine="720"/>
            <w:rPr>
              <w:rFonts w:ascii="Garamond" w:hAnsi="Garamond"/>
              <w:sz w:val="24"/>
              <w:szCs w:val="24"/>
              <w:lang w:val="en-US"/>
            </w:rPr>
          </w:pPr>
          <w:r w:rsidRPr="00E176E7">
            <w:rPr>
              <w:rFonts w:ascii="Garamond" w:hAnsi="Garamond"/>
              <w:sz w:val="24"/>
              <w:szCs w:val="24"/>
              <w:lang w:val="en-US"/>
            </w:rPr>
            <w:t xml:space="preserve">Financial management supports managerial decision-making by converting accounting data and forecast cash flows into evidence about performance, risk, liquidity, investment returns and financing choices. At Level 7, the issue is not only to calculate numbers correctly but also to interpret what they mean for directors operating under uncertainty. This report therefore combines financial statement analysis with investment appraisal and financing advice. The analysis is informed by financial management texts and capital budgeting research, including </w:t>
          </w:r>
          <w:proofErr w:type="spellStart"/>
          <w:r w:rsidRPr="00E176E7">
            <w:rPr>
              <w:rFonts w:ascii="Garamond" w:hAnsi="Garamond"/>
              <w:sz w:val="24"/>
              <w:szCs w:val="24"/>
              <w:lang w:val="en-US"/>
            </w:rPr>
            <w:t>Atrill</w:t>
          </w:r>
          <w:proofErr w:type="spellEnd"/>
          <w:r w:rsidRPr="00E176E7">
            <w:rPr>
              <w:rFonts w:ascii="Garamond" w:hAnsi="Garamond"/>
              <w:sz w:val="24"/>
              <w:szCs w:val="24"/>
              <w:lang w:val="en-US"/>
            </w:rPr>
            <w:t xml:space="preserve"> (2019), Arnold and Lewis (2019), Brealey, Myers and Allen (2023), Pike, Neale and Akbar (2018), Drury (2020), CIMA (2023), ACCA (2025), Bekaert and Hodrick (2017) and Bhimani (2022).</w:t>
          </w:r>
        </w:p>
        <w:p w14:paraId="302950D3" w14:textId="77777777" w:rsidR="00E176E7" w:rsidRPr="00E176E7" w:rsidRDefault="00E176E7" w:rsidP="006833C4">
          <w:pPr>
            <w:ind w:firstLine="720"/>
            <w:rPr>
              <w:rFonts w:ascii="Garamond" w:hAnsi="Garamond"/>
              <w:sz w:val="24"/>
              <w:szCs w:val="24"/>
              <w:lang w:val="en-US"/>
            </w:rPr>
          </w:pPr>
          <w:r w:rsidRPr="00E176E7">
            <w:rPr>
              <w:rFonts w:ascii="Garamond" w:hAnsi="Garamond"/>
              <w:sz w:val="24"/>
              <w:szCs w:val="24"/>
              <w:lang w:val="en-US"/>
            </w:rPr>
            <w:t>Part 1 applies ratio analysis to Burberry Group PLC for FY2024 and FY2025. The selected ratios cover profitability, liquidity, gearing, efficiency and investor performance, as required by the assessment. Ratio interpretation also uses benchmark evidence from selected luxury peers, because performance is more meaningful when set against sector conditions rather than considered in isolation. The report uses Burberry's audited annual reports, the London Stock Exchange listing context, and public information from LVMH, Kering, Hermes and Richemont (Burberry Group plc, 2024; Burberry Group plc, 2025a; London Stock Exchange, 2026; LVMH, 2026; Kering, 2026; Hermes International, 2026; Richemont, 2025).</w:t>
          </w:r>
        </w:p>
        <w:p w14:paraId="3C0E7469" w14:textId="77777777" w:rsidR="00E176E7" w:rsidRDefault="00E176E7" w:rsidP="0050439A">
          <w:pPr>
            <w:ind w:firstLine="720"/>
            <w:rPr>
              <w:rFonts w:ascii="Garamond" w:hAnsi="Garamond"/>
              <w:sz w:val="24"/>
              <w:szCs w:val="24"/>
              <w:lang w:val="en-US"/>
            </w:rPr>
          </w:pPr>
          <w:r w:rsidRPr="00E176E7">
            <w:rPr>
              <w:rFonts w:ascii="Garamond" w:hAnsi="Garamond"/>
              <w:sz w:val="24"/>
              <w:szCs w:val="24"/>
              <w:lang w:val="en-US"/>
            </w:rPr>
            <w:t xml:space="preserve">Part 2 evaluates three proposed projects for Beard Plc, a high-quality handbag producer, using NPV, IRR and capital rationing. The analysis assumes corporation tax at 25%, capital allowances at 20% straight-line and a 5% cost of capital. The report also discusses why NPV is normally treated as the theoretically superior investment appraisal method, why payback and accounting-based measures remain popular in practice, what non-financial issues should be considered, and how the investment </w:t>
          </w:r>
          <w:proofErr w:type="spellStart"/>
          <w:r w:rsidRPr="00E176E7">
            <w:rPr>
              <w:rFonts w:ascii="Garamond" w:hAnsi="Garamond"/>
              <w:sz w:val="24"/>
              <w:szCs w:val="24"/>
              <w:lang w:val="en-US"/>
            </w:rPr>
            <w:t>programme</w:t>
          </w:r>
          <w:proofErr w:type="spellEnd"/>
          <w:r w:rsidRPr="00E176E7">
            <w:rPr>
              <w:rFonts w:ascii="Garamond" w:hAnsi="Garamond"/>
              <w:sz w:val="24"/>
              <w:szCs w:val="24"/>
              <w:lang w:val="en-US"/>
            </w:rPr>
            <w:t xml:space="preserve"> might be financed.</w:t>
          </w:r>
        </w:p>
        <w:p w14:paraId="1AC82DF5" w14:textId="77777777" w:rsidR="005C1AD5" w:rsidRDefault="005C1AD5" w:rsidP="00E176E7">
          <w:pPr>
            <w:rPr>
              <w:rFonts w:ascii="Garamond" w:hAnsi="Garamond"/>
              <w:sz w:val="24"/>
              <w:szCs w:val="24"/>
              <w:lang w:val="en-US"/>
            </w:rPr>
          </w:pPr>
        </w:p>
        <w:p w14:paraId="36528A6C" w14:textId="77777777" w:rsidR="005C1AD5" w:rsidRDefault="005C1AD5" w:rsidP="00E176E7">
          <w:pPr>
            <w:rPr>
              <w:rFonts w:ascii="Garamond" w:hAnsi="Garamond"/>
              <w:sz w:val="24"/>
              <w:szCs w:val="24"/>
              <w:lang w:val="en-US"/>
            </w:rPr>
          </w:pPr>
        </w:p>
        <w:p w14:paraId="520C7947" w14:textId="77777777" w:rsidR="005C1AD5" w:rsidRDefault="005C1AD5" w:rsidP="00E176E7">
          <w:pPr>
            <w:rPr>
              <w:rFonts w:ascii="Garamond" w:hAnsi="Garamond"/>
              <w:sz w:val="24"/>
              <w:szCs w:val="24"/>
              <w:lang w:val="en-US"/>
            </w:rPr>
          </w:pPr>
        </w:p>
        <w:p w14:paraId="59F66485" w14:textId="77777777" w:rsidR="005C1AD5" w:rsidRDefault="005C1AD5" w:rsidP="00E176E7">
          <w:pPr>
            <w:rPr>
              <w:rFonts w:ascii="Garamond" w:hAnsi="Garamond"/>
              <w:sz w:val="24"/>
              <w:szCs w:val="24"/>
              <w:lang w:val="en-US"/>
            </w:rPr>
          </w:pPr>
        </w:p>
        <w:p w14:paraId="7A55B7CE" w14:textId="77777777" w:rsidR="005C1AD5" w:rsidRDefault="005C1AD5" w:rsidP="00E176E7">
          <w:pPr>
            <w:rPr>
              <w:rFonts w:ascii="Garamond" w:hAnsi="Garamond"/>
              <w:sz w:val="24"/>
              <w:szCs w:val="24"/>
              <w:lang w:val="en-US"/>
            </w:rPr>
          </w:pPr>
        </w:p>
        <w:p w14:paraId="57AEAF59" w14:textId="77777777" w:rsidR="005C1AD5" w:rsidRDefault="005C1AD5" w:rsidP="00E176E7">
          <w:pPr>
            <w:rPr>
              <w:rFonts w:ascii="Garamond" w:hAnsi="Garamond"/>
              <w:sz w:val="24"/>
              <w:szCs w:val="24"/>
              <w:lang w:val="en-US"/>
            </w:rPr>
          </w:pPr>
        </w:p>
        <w:p w14:paraId="3B0DB2BF" w14:textId="77777777" w:rsidR="005C1AD5" w:rsidRDefault="005C1AD5" w:rsidP="00E176E7">
          <w:pPr>
            <w:rPr>
              <w:rFonts w:ascii="Garamond" w:hAnsi="Garamond"/>
              <w:sz w:val="24"/>
              <w:szCs w:val="24"/>
              <w:lang w:val="en-US"/>
            </w:rPr>
          </w:pPr>
        </w:p>
        <w:p w14:paraId="686FA370" w14:textId="77777777" w:rsidR="005C1AD5" w:rsidRDefault="005C1AD5" w:rsidP="00E176E7">
          <w:pPr>
            <w:rPr>
              <w:rFonts w:ascii="Garamond" w:hAnsi="Garamond"/>
              <w:sz w:val="24"/>
              <w:szCs w:val="24"/>
              <w:lang w:val="en-US"/>
            </w:rPr>
          </w:pPr>
        </w:p>
        <w:p w14:paraId="68F0BC86" w14:textId="77777777" w:rsidR="005C1AD5" w:rsidRDefault="005C1AD5" w:rsidP="00E176E7">
          <w:pPr>
            <w:rPr>
              <w:rFonts w:ascii="Garamond" w:hAnsi="Garamond"/>
              <w:sz w:val="24"/>
              <w:szCs w:val="24"/>
              <w:lang w:val="en-US"/>
            </w:rPr>
          </w:pPr>
        </w:p>
        <w:p w14:paraId="40348FB8" w14:textId="77777777" w:rsidR="005C1AD5" w:rsidRPr="00E176E7" w:rsidRDefault="005C1AD5" w:rsidP="00E176E7">
          <w:pPr>
            <w:rPr>
              <w:rFonts w:ascii="Garamond" w:hAnsi="Garamond"/>
              <w:sz w:val="24"/>
              <w:szCs w:val="24"/>
              <w:lang w:val="en-US"/>
            </w:rPr>
          </w:pPr>
        </w:p>
        <w:p w14:paraId="7C657C89" w14:textId="77777777" w:rsidR="00AA2A91" w:rsidRDefault="00AA2A91" w:rsidP="004D519C">
          <w:pPr>
            <w:rPr>
              <w:rFonts w:ascii="Garamond" w:hAnsi="Garamond"/>
              <w:sz w:val="24"/>
              <w:szCs w:val="24"/>
            </w:rPr>
          </w:pPr>
        </w:p>
        <w:p w14:paraId="4B901684" w14:textId="77777777" w:rsidR="00C803DD" w:rsidRPr="003A68C8" w:rsidRDefault="00C803DD" w:rsidP="004D519C">
          <w:pPr>
            <w:rPr>
              <w:rFonts w:ascii="Garamond" w:hAnsi="Garamond"/>
              <w:sz w:val="24"/>
              <w:szCs w:val="24"/>
            </w:rPr>
          </w:pPr>
        </w:p>
        <w:p w14:paraId="46C601F2" w14:textId="3F9B8C41" w:rsidR="0051413D" w:rsidRDefault="00480872" w:rsidP="008E2B4C">
          <w:pPr>
            <w:pStyle w:val="Heading1"/>
            <w:jc w:val="center"/>
            <w:rPr>
              <w:rFonts w:ascii="Garamond" w:hAnsi="Garamond"/>
              <w:b/>
              <w:bCs/>
              <w:sz w:val="28"/>
              <w:szCs w:val="28"/>
            </w:rPr>
          </w:pPr>
          <w:bookmarkStart w:id="2" w:name="_Toc227521270"/>
          <w:r w:rsidRPr="003A68C8">
            <w:rPr>
              <w:rFonts w:ascii="Garamond" w:hAnsi="Garamond"/>
              <w:b/>
              <w:bCs/>
              <w:sz w:val="28"/>
              <w:szCs w:val="28"/>
            </w:rPr>
            <w:lastRenderedPageBreak/>
            <w:t>Main Findings</w:t>
          </w:r>
          <w:bookmarkEnd w:id="2"/>
        </w:p>
        <w:p w14:paraId="1159F497" w14:textId="77777777" w:rsidR="00C803DD" w:rsidRPr="00C803DD" w:rsidRDefault="00C803DD" w:rsidP="00C803DD"/>
        <w:p w14:paraId="7FA9D768" w14:textId="29B06216" w:rsidR="00E176E7" w:rsidRPr="004C59CF" w:rsidRDefault="00CF0E48" w:rsidP="004C59CF">
          <w:pPr>
            <w:pStyle w:val="Heading2"/>
            <w:rPr>
              <w:rFonts w:ascii="Garamond" w:hAnsi="Garamond"/>
              <w:sz w:val="28"/>
              <w:szCs w:val="28"/>
            </w:rPr>
          </w:pPr>
          <w:bookmarkStart w:id="3" w:name="_Toc227521271"/>
          <w:r w:rsidRPr="004C59CF">
            <w:rPr>
              <w:rFonts w:ascii="Garamond" w:hAnsi="Garamond"/>
              <w:sz w:val="28"/>
              <w:szCs w:val="28"/>
            </w:rPr>
            <w:t>Task 1</w:t>
          </w:r>
          <w:r w:rsidR="004C59CF" w:rsidRPr="004C59CF">
            <w:rPr>
              <w:rFonts w:ascii="Garamond" w:hAnsi="Garamond"/>
              <w:sz w:val="28"/>
              <w:szCs w:val="28"/>
            </w:rPr>
            <w:t xml:space="preserve">: </w:t>
          </w:r>
          <w:r w:rsidR="00E176E7" w:rsidRPr="004C59CF">
            <w:rPr>
              <w:rFonts w:ascii="Garamond" w:hAnsi="Garamond"/>
              <w:sz w:val="28"/>
              <w:szCs w:val="28"/>
            </w:rPr>
            <w:t>Burberry Group PLC ratio analysis</w:t>
          </w:r>
          <w:bookmarkEnd w:id="3"/>
        </w:p>
        <w:p w14:paraId="3C1BB3A9" w14:textId="77777777" w:rsidR="004C59CF" w:rsidRPr="004C59CF" w:rsidRDefault="004C59CF" w:rsidP="004C59CF">
          <w:pPr>
            <w:rPr>
              <w:lang w:val="en-US"/>
            </w:rPr>
          </w:pPr>
        </w:p>
        <w:p w14:paraId="3B354A0C" w14:textId="6EAFBB09" w:rsidR="00E176E7" w:rsidRDefault="00E176E7" w:rsidP="004F675A">
          <w:pPr>
            <w:pStyle w:val="Heading3"/>
            <w:rPr>
              <w:rFonts w:ascii="Garamond" w:hAnsi="Garamond"/>
              <w:sz w:val="28"/>
              <w:szCs w:val="28"/>
              <w:lang w:val="en-US"/>
            </w:rPr>
          </w:pPr>
          <w:bookmarkStart w:id="4" w:name="_Toc227521272"/>
          <w:r w:rsidRPr="004F675A">
            <w:rPr>
              <w:rFonts w:ascii="Garamond" w:hAnsi="Garamond"/>
              <w:sz w:val="28"/>
              <w:szCs w:val="28"/>
              <w:lang w:val="en-US"/>
            </w:rPr>
            <w:t>1.1 Data, method and ratio summary</w:t>
          </w:r>
          <w:bookmarkEnd w:id="4"/>
        </w:p>
        <w:p w14:paraId="4E8AA224" w14:textId="77777777" w:rsidR="004F675A" w:rsidRPr="004F675A" w:rsidRDefault="004F675A" w:rsidP="004F675A">
          <w:pPr>
            <w:rPr>
              <w:lang w:val="en-US"/>
            </w:rPr>
          </w:pPr>
        </w:p>
        <w:p w14:paraId="0666879A" w14:textId="77777777" w:rsidR="00E176E7" w:rsidRPr="00E176E7" w:rsidRDefault="00E176E7" w:rsidP="006833C4">
          <w:pPr>
            <w:ind w:firstLine="720"/>
            <w:rPr>
              <w:rFonts w:ascii="Garamond" w:hAnsi="Garamond"/>
              <w:sz w:val="24"/>
              <w:szCs w:val="24"/>
              <w:lang w:val="en-US"/>
            </w:rPr>
          </w:pPr>
          <w:r w:rsidRPr="00E176E7">
            <w:rPr>
              <w:rFonts w:ascii="Garamond" w:hAnsi="Garamond"/>
              <w:sz w:val="24"/>
              <w:szCs w:val="24"/>
              <w:lang w:val="en-US"/>
            </w:rPr>
            <w:t xml:space="preserve">Burberry is </w:t>
          </w:r>
          <w:proofErr w:type="spellStart"/>
          <w:r w:rsidRPr="00E176E7">
            <w:rPr>
              <w:rFonts w:ascii="Garamond" w:hAnsi="Garamond"/>
              <w:sz w:val="24"/>
              <w:szCs w:val="24"/>
              <w:lang w:val="en-US"/>
            </w:rPr>
            <w:t>analysed</w:t>
          </w:r>
          <w:proofErr w:type="spellEnd"/>
          <w:r w:rsidRPr="00E176E7">
            <w:rPr>
              <w:rFonts w:ascii="Garamond" w:hAnsi="Garamond"/>
              <w:sz w:val="24"/>
              <w:szCs w:val="24"/>
              <w:lang w:val="en-US"/>
            </w:rPr>
            <w:t xml:space="preserve"> using the Group financial statements for the 52 weeks ended 29 March 2025 and the comparative 52 weeks ended 30 March 2024. The financial data are taken from the audited income statement and balance sheet, while the sector interpretation is supported by current luxury market evidence. This approach is consistent with standard financial statement analysis, where profitability, liquidity, leverage, activity and market indicators are combined to build a rounded picture of performance (Penman, 2013; Palepu, Healy and Peek, 2020; Robinson et al., 2020; Subramanyam, 2014; White, Sondhi and Fried, 2003; Walsh, 2006).</w:t>
          </w:r>
        </w:p>
        <w:p w14:paraId="266CDF3C" w14:textId="77777777" w:rsidR="00E176E7" w:rsidRPr="003A68C8" w:rsidRDefault="00E176E7" w:rsidP="0050439A">
          <w:pPr>
            <w:ind w:firstLine="720"/>
            <w:rPr>
              <w:rFonts w:ascii="Garamond" w:hAnsi="Garamond"/>
              <w:sz w:val="24"/>
              <w:szCs w:val="24"/>
              <w:lang w:val="en-US"/>
            </w:rPr>
          </w:pPr>
          <w:r w:rsidRPr="00E176E7">
            <w:rPr>
              <w:rFonts w:ascii="Garamond" w:hAnsi="Garamond"/>
              <w:sz w:val="24"/>
              <w:szCs w:val="24"/>
              <w:lang w:val="en-US"/>
            </w:rPr>
            <w:t>The most important summary point is that Burberry's FY2025 problem is not a minor fluctuation in one ratio; it is an interlinked deterioration across sales, margins, operating profit, shareholder returns and gearing. The Group's revenue fell by 17.1%, while operating profit moved from GBP418m to a GBP3m loss. This means lower revenue was not absorbed by the existing cost structure. At the same time, total equity fell from GBP1,154m to GBP921m and total liabilities increased from GBP2,216m to GBP2,506m, which increased financial risk (Burberry Group plc, 2025a).</w:t>
          </w:r>
        </w:p>
        <w:p w14:paraId="07C57ED0" w14:textId="383FF9E8" w:rsidR="0051413D" w:rsidRPr="00E173D4" w:rsidRDefault="007665A3" w:rsidP="007665A3">
          <w:pPr>
            <w:jc w:val="center"/>
            <w:rPr>
              <w:rFonts w:ascii="Garamond" w:hAnsi="Garamond"/>
              <w:i/>
              <w:iCs/>
              <w:sz w:val="24"/>
              <w:szCs w:val="24"/>
              <w:lang w:val="en-US"/>
            </w:rPr>
          </w:pPr>
          <w:r>
            <w:rPr>
              <w:rFonts w:ascii="Garamond" w:hAnsi="Garamond"/>
              <w:sz w:val="24"/>
              <w:szCs w:val="24"/>
              <w:lang w:val="en-US"/>
            </w:rPr>
            <w:br/>
          </w:r>
          <w:r w:rsidRPr="00E173D4">
            <w:rPr>
              <w:rFonts w:ascii="Garamond" w:hAnsi="Garamond"/>
              <w:i/>
              <w:iCs/>
              <w:sz w:val="24"/>
              <w:szCs w:val="24"/>
              <w:lang w:val="en-US"/>
            </w:rPr>
            <w:t xml:space="preserve">Table 1. </w:t>
          </w:r>
          <w:r w:rsidR="00A20E17" w:rsidRPr="00E173D4">
            <w:rPr>
              <w:rFonts w:ascii="Garamond" w:hAnsi="Garamond"/>
              <w:i/>
              <w:iCs/>
              <w:sz w:val="24"/>
              <w:szCs w:val="24"/>
            </w:rPr>
            <w:t xml:space="preserve">Ratio </w:t>
          </w:r>
          <w:r w:rsidR="00CD3904" w:rsidRPr="00E173D4">
            <w:rPr>
              <w:rFonts w:ascii="Garamond" w:hAnsi="Garamond"/>
              <w:i/>
              <w:iCs/>
              <w:sz w:val="24"/>
              <w:szCs w:val="24"/>
            </w:rPr>
            <w:t>Analysis</w:t>
          </w:r>
          <w:r w:rsidR="0095223F" w:rsidRPr="00E173D4">
            <w:rPr>
              <w:rFonts w:ascii="Garamond" w:hAnsi="Garamond"/>
              <w:i/>
              <w:iCs/>
              <w:sz w:val="24"/>
              <w:szCs w:val="24"/>
            </w:rPr>
            <w:t xml:space="preserve"> for 2025 and 2024</w:t>
          </w:r>
        </w:p>
        <w:tbl>
          <w:tblPr>
            <w:tblStyle w:val="TableGrid"/>
            <w:tblW w:w="0" w:type="auto"/>
            <w:jc w:val="center"/>
            <w:tblLook w:val="04A0" w:firstRow="1" w:lastRow="0" w:firstColumn="1" w:lastColumn="0" w:noHBand="0" w:noVBand="1"/>
          </w:tblPr>
          <w:tblGrid>
            <w:gridCol w:w="1400"/>
            <w:gridCol w:w="1802"/>
            <w:gridCol w:w="974"/>
            <w:gridCol w:w="952"/>
            <w:gridCol w:w="3888"/>
          </w:tblGrid>
          <w:tr w:rsidR="00E176E7" w:rsidRPr="00E176E7" w14:paraId="7063AF34" w14:textId="77777777" w:rsidTr="00A86DE5">
            <w:trPr>
              <w:jc w:val="center"/>
            </w:trPr>
            <w:tc>
              <w:tcPr>
                <w:tcW w:w="1440"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70" w:type="dxa"/>
                  <w:left w:w="70" w:type="dxa"/>
                  <w:bottom w:w="70" w:type="dxa"/>
                  <w:right w:w="70" w:type="dxa"/>
                </w:tcMar>
                <w:vAlign w:val="center"/>
                <w:hideMark/>
              </w:tcPr>
              <w:p w14:paraId="39BCD4CB"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b/>
                    <w:sz w:val="24"/>
                    <w:szCs w:val="24"/>
                    <w:lang w:val="en-US"/>
                  </w:rPr>
                  <w:t>Ratio area</w:t>
                </w:r>
              </w:p>
            </w:tc>
            <w:tc>
              <w:tcPr>
                <w:tcW w:w="1944"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70" w:type="dxa"/>
                  <w:left w:w="70" w:type="dxa"/>
                  <w:bottom w:w="70" w:type="dxa"/>
                  <w:right w:w="70" w:type="dxa"/>
                </w:tcMar>
                <w:vAlign w:val="center"/>
                <w:hideMark/>
              </w:tcPr>
              <w:p w14:paraId="1C3C3AFA"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b/>
                    <w:sz w:val="24"/>
                    <w:szCs w:val="24"/>
                    <w:lang w:val="en-US"/>
                  </w:rPr>
                  <w:t>Ratio</w:t>
                </w:r>
              </w:p>
            </w:tc>
            <w:tc>
              <w:tcPr>
                <w:tcW w:w="1007"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70" w:type="dxa"/>
                  <w:left w:w="70" w:type="dxa"/>
                  <w:bottom w:w="70" w:type="dxa"/>
                  <w:right w:w="70" w:type="dxa"/>
                </w:tcMar>
                <w:vAlign w:val="center"/>
                <w:hideMark/>
              </w:tcPr>
              <w:p w14:paraId="4DAF4A62"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b/>
                    <w:sz w:val="24"/>
                    <w:szCs w:val="24"/>
                    <w:lang w:val="en-US"/>
                  </w:rPr>
                  <w:t>2025</w:t>
                </w:r>
              </w:p>
            </w:tc>
            <w:tc>
              <w:tcPr>
                <w:tcW w:w="1007"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70" w:type="dxa"/>
                  <w:left w:w="70" w:type="dxa"/>
                  <w:bottom w:w="70" w:type="dxa"/>
                  <w:right w:w="70" w:type="dxa"/>
                </w:tcMar>
                <w:vAlign w:val="center"/>
                <w:hideMark/>
              </w:tcPr>
              <w:p w14:paraId="58C568F7"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b/>
                    <w:sz w:val="24"/>
                    <w:szCs w:val="24"/>
                    <w:lang w:val="en-US"/>
                  </w:rPr>
                  <w:t>2024</w:t>
                </w:r>
              </w:p>
            </w:tc>
            <w:tc>
              <w:tcPr>
                <w:tcW w:w="4464"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70" w:type="dxa"/>
                  <w:left w:w="70" w:type="dxa"/>
                  <w:bottom w:w="70" w:type="dxa"/>
                  <w:right w:w="70" w:type="dxa"/>
                </w:tcMar>
                <w:vAlign w:val="center"/>
                <w:hideMark/>
              </w:tcPr>
              <w:p w14:paraId="2858C3FE"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b/>
                    <w:sz w:val="24"/>
                    <w:szCs w:val="24"/>
                    <w:lang w:val="en-US"/>
                  </w:rPr>
                  <w:t>Direction and initial interpretation</w:t>
                </w:r>
              </w:p>
            </w:tc>
          </w:tr>
          <w:tr w:rsidR="00E176E7" w:rsidRPr="00E176E7" w14:paraId="1D57BA51" w14:textId="77777777">
            <w:trPr>
              <w:jc w:val="center"/>
            </w:trPr>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B45461E"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Profitability</w:t>
                </w:r>
              </w:p>
            </w:tc>
            <w:tc>
              <w:tcPr>
                <w:tcW w:w="194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B9FB9D9"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Gross profit margin</w:t>
                </w:r>
              </w:p>
            </w:tc>
            <w:tc>
              <w:tcPr>
                <w:tcW w:w="1007"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9A9A893"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62.5%</w:t>
                </w:r>
              </w:p>
            </w:tc>
            <w:tc>
              <w:tcPr>
                <w:tcW w:w="1007"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CB4FB3A"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67.7%</w:t>
                </w:r>
              </w:p>
            </w:tc>
            <w:tc>
              <w:tcPr>
                <w:tcW w:w="446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616A228"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Decline indicates weaker pricing, mix and inventory pressure.</w:t>
                </w:r>
              </w:p>
            </w:tc>
          </w:tr>
          <w:tr w:rsidR="00E176E7" w:rsidRPr="00E176E7" w14:paraId="204333E6" w14:textId="77777777">
            <w:trPr>
              <w:jc w:val="center"/>
            </w:trPr>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9936A7A"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Profitability</w:t>
                </w:r>
              </w:p>
            </w:tc>
            <w:tc>
              <w:tcPr>
                <w:tcW w:w="194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76894E0"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Operating margin</w:t>
                </w:r>
              </w:p>
            </w:tc>
            <w:tc>
              <w:tcPr>
                <w:tcW w:w="1007"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22424F3"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-0.1%</w:t>
                </w:r>
              </w:p>
            </w:tc>
            <w:tc>
              <w:tcPr>
                <w:tcW w:w="1007"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FAA545E"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14.1%</w:t>
                </w:r>
              </w:p>
            </w:tc>
            <w:tc>
              <w:tcPr>
                <w:tcW w:w="446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4738F09"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Severe deterioration from operating profit to near break-even loss.</w:t>
                </w:r>
              </w:p>
            </w:tc>
          </w:tr>
          <w:tr w:rsidR="00E176E7" w:rsidRPr="00E176E7" w14:paraId="74CE9D66" w14:textId="77777777">
            <w:trPr>
              <w:jc w:val="center"/>
            </w:trPr>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D2ABA0C"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Profitability</w:t>
                </w:r>
              </w:p>
            </w:tc>
            <w:tc>
              <w:tcPr>
                <w:tcW w:w="194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B3040BD"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Net profit margin</w:t>
                </w:r>
              </w:p>
            </w:tc>
            <w:tc>
              <w:tcPr>
                <w:tcW w:w="1007"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5307F76"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-3.0%</w:t>
                </w:r>
              </w:p>
            </w:tc>
            <w:tc>
              <w:tcPr>
                <w:tcW w:w="1007"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0967B74"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9.1%</w:t>
                </w:r>
              </w:p>
            </w:tc>
            <w:tc>
              <w:tcPr>
                <w:tcW w:w="446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80AE3B7"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Shareholders moved from profit to loss.</w:t>
                </w:r>
              </w:p>
            </w:tc>
          </w:tr>
          <w:tr w:rsidR="00E176E7" w:rsidRPr="00E176E7" w14:paraId="70E86374" w14:textId="77777777">
            <w:trPr>
              <w:jc w:val="center"/>
            </w:trPr>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5793B8E"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Liquidity</w:t>
                </w:r>
              </w:p>
            </w:tc>
            <w:tc>
              <w:tcPr>
                <w:tcW w:w="194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6EE86D7"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Current ratio</w:t>
                </w:r>
              </w:p>
            </w:tc>
            <w:tc>
              <w:tcPr>
                <w:tcW w:w="1007"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7B787D4"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1.49</w:t>
                </w:r>
              </w:p>
            </w:tc>
            <w:tc>
              <w:tcPr>
                <w:tcW w:w="1007"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6E27974"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1.66</w:t>
                </w:r>
              </w:p>
            </w:tc>
            <w:tc>
              <w:tcPr>
                <w:tcW w:w="446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95A1BC6"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Still above 1 but weaker working-capital cover.</w:t>
                </w:r>
              </w:p>
            </w:tc>
          </w:tr>
          <w:tr w:rsidR="00E176E7" w:rsidRPr="00E176E7" w14:paraId="46E12C7F" w14:textId="77777777">
            <w:trPr>
              <w:jc w:val="center"/>
            </w:trPr>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E3C41E5"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Liquidity</w:t>
                </w:r>
              </w:p>
            </w:tc>
            <w:tc>
              <w:tcPr>
                <w:tcW w:w="194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8B89F46"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Quick ratio</w:t>
                </w:r>
              </w:p>
            </w:tc>
            <w:tc>
              <w:tcPr>
                <w:tcW w:w="1007"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DC2F2EF"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1.11</w:t>
                </w:r>
              </w:p>
            </w:tc>
            <w:tc>
              <w:tcPr>
                <w:tcW w:w="1007"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AEE7EA3"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1.07</w:t>
                </w:r>
              </w:p>
            </w:tc>
            <w:tc>
              <w:tcPr>
                <w:tcW w:w="446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A7CF574"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Slight improvement because inventory reduced.</w:t>
                </w:r>
              </w:p>
            </w:tc>
          </w:tr>
          <w:tr w:rsidR="00E176E7" w:rsidRPr="00E176E7" w14:paraId="05EFCAC8" w14:textId="77777777">
            <w:trPr>
              <w:jc w:val="center"/>
            </w:trPr>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774D74F"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Gearing</w:t>
                </w:r>
              </w:p>
            </w:tc>
            <w:tc>
              <w:tcPr>
                <w:tcW w:w="194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874BD00"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Net debt / equity</w:t>
                </w:r>
              </w:p>
            </w:tc>
            <w:tc>
              <w:tcPr>
                <w:tcW w:w="1007"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18397E4"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120.6%</w:t>
                </w:r>
              </w:p>
            </w:tc>
            <w:tc>
              <w:tcPr>
                <w:tcW w:w="1007"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066FF71"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97.5%</w:t>
                </w:r>
              </w:p>
            </w:tc>
            <w:tc>
              <w:tcPr>
                <w:tcW w:w="446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A623DF5"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Higher leverage relative to the equity base.</w:t>
                </w:r>
              </w:p>
            </w:tc>
          </w:tr>
          <w:tr w:rsidR="00E176E7" w:rsidRPr="00E176E7" w14:paraId="5CC8311E" w14:textId="77777777">
            <w:trPr>
              <w:jc w:val="center"/>
            </w:trPr>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B4307E9"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Efficiency</w:t>
                </w:r>
              </w:p>
            </w:tc>
            <w:tc>
              <w:tcPr>
                <w:tcW w:w="194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5936AC2"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Asset turnover</w:t>
                </w:r>
              </w:p>
            </w:tc>
            <w:tc>
              <w:tcPr>
                <w:tcW w:w="1007"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3736AA4"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0.72x</w:t>
                </w:r>
              </w:p>
            </w:tc>
            <w:tc>
              <w:tcPr>
                <w:tcW w:w="1007"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DCF1170"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0.88x</w:t>
                </w:r>
              </w:p>
            </w:tc>
            <w:tc>
              <w:tcPr>
                <w:tcW w:w="446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BDCB2E7"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Assets generated less revenue.</w:t>
                </w:r>
              </w:p>
            </w:tc>
          </w:tr>
          <w:tr w:rsidR="00E176E7" w:rsidRPr="00E176E7" w14:paraId="0833D3EF" w14:textId="77777777">
            <w:trPr>
              <w:jc w:val="center"/>
            </w:trPr>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71126A4"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lastRenderedPageBreak/>
                  <w:t>Efficiency</w:t>
                </w:r>
              </w:p>
            </w:tc>
            <w:tc>
              <w:tcPr>
                <w:tcW w:w="194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80413C8"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Inventory days</w:t>
                </w:r>
              </w:p>
            </w:tc>
            <w:tc>
              <w:tcPr>
                <w:tcW w:w="1007"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F77ADF6"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168 days</w:t>
                </w:r>
              </w:p>
            </w:tc>
            <w:tc>
              <w:tcPr>
                <w:tcW w:w="1007"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D5962B9"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193 days</w:t>
                </w:r>
              </w:p>
            </w:tc>
            <w:tc>
              <w:tcPr>
                <w:tcW w:w="446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92D416D"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Improved stock days, but still long for a fashion business.</w:t>
                </w:r>
              </w:p>
            </w:tc>
          </w:tr>
          <w:tr w:rsidR="00E176E7" w:rsidRPr="00E176E7" w14:paraId="19481A22" w14:textId="77777777">
            <w:trPr>
              <w:jc w:val="center"/>
            </w:trPr>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756296D"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Efficiency</w:t>
                </w:r>
              </w:p>
            </w:tc>
            <w:tc>
              <w:tcPr>
                <w:tcW w:w="194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F801DE1"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Receivables days</w:t>
                </w:r>
              </w:p>
            </w:tc>
            <w:tc>
              <w:tcPr>
                <w:tcW w:w="1007"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1070E12"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46 days</w:t>
                </w:r>
              </w:p>
            </w:tc>
            <w:tc>
              <w:tcPr>
                <w:tcW w:w="1007"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6B3670A"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42 days</w:t>
                </w:r>
              </w:p>
            </w:tc>
            <w:tc>
              <w:tcPr>
                <w:tcW w:w="446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B849B57"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Slightly slower conversion into cash.</w:t>
                </w:r>
              </w:p>
            </w:tc>
          </w:tr>
          <w:tr w:rsidR="00E176E7" w:rsidRPr="00E176E7" w14:paraId="1B3B7B90" w14:textId="77777777">
            <w:trPr>
              <w:jc w:val="center"/>
            </w:trPr>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E1F4B0C"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Investor</w:t>
                </w:r>
              </w:p>
            </w:tc>
            <w:tc>
              <w:tcPr>
                <w:tcW w:w="194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18F18DD"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Basic EPS</w:t>
                </w:r>
              </w:p>
            </w:tc>
            <w:tc>
              <w:tcPr>
                <w:tcW w:w="1007"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9B99E24"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w:t>
                </w:r>
                <w:proofErr w:type="gramStart"/>
                <w:r w:rsidRPr="00E176E7">
                  <w:rPr>
                    <w:rFonts w:ascii="Garamond" w:hAnsi="Garamond"/>
                    <w:sz w:val="24"/>
                    <w:szCs w:val="24"/>
                    <w:lang w:val="en-US"/>
                  </w:rPr>
                  <w:t>20.9)p</w:t>
                </w:r>
                <w:proofErr w:type="gramEnd"/>
              </w:p>
            </w:tc>
            <w:tc>
              <w:tcPr>
                <w:tcW w:w="1007"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0F4AC56"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74.1p</w:t>
                </w:r>
              </w:p>
            </w:tc>
            <w:tc>
              <w:tcPr>
                <w:tcW w:w="446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584303D"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Sharp deterioration in shareholder earnings.</w:t>
                </w:r>
              </w:p>
            </w:tc>
          </w:tr>
          <w:tr w:rsidR="00E176E7" w:rsidRPr="00E176E7" w14:paraId="49ACA234" w14:textId="77777777">
            <w:trPr>
              <w:jc w:val="center"/>
            </w:trPr>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4001043"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Investor</w:t>
                </w:r>
              </w:p>
            </w:tc>
            <w:tc>
              <w:tcPr>
                <w:tcW w:w="194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17CC916"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Dividend per share</w:t>
                </w:r>
              </w:p>
            </w:tc>
            <w:tc>
              <w:tcPr>
                <w:tcW w:w="1007"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B3B164D"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0p</w:t>
                </w:r>
              </w:p>
            </w:tc>
            <w:tc>
              <w:tcPr>
                <w:tcW w:w="1007"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4D3627D"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61.0p</w:t>
                </w:r>
              </w:p>
            </w:tc>
            <w:tc>
              <w:tcPr>
                <w:tcW w:w="446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C761912"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Dividend suspended to preserve cash.</w:t>
                </w:r>
              </w:p>
            </w:tc>
          </w:tr>
        </w:tbl>
        <w:p w14:paraId="7ED7767C" w14:textId="77777777" w:rsidR="00E176E7" w:rsidRPr="003A68C8" w:rsidRDefault="00E176E7" w:rsidP="00E176E7">
          <w:pPr>
            <w:rPr>
              <w:rFonts w:ascii="Garamond" w:hAnsi="Garamond"/>
              <w:sz w:val="24"/>
              <w:szCs w:val="24"/>
              <w:lang w:val="en-US"/>
            </w:rPr>
          </w:pPr>
        </w:p>
        <w:p w14:paraId="749478E5" w14:textId="77777777" w:rsidR="00E173D4" w:rsidRDefault="00E173D4" w:rsidP="004F675A">
          <w:pPr>
            <w:pStyle w:val="Heading3"/>
            <w:rPr>
              <w:rFonts w:ascii="Garamond" w:hAnsi="Garamond"/>
              <w:sz w:val="28"/>
              <w:szCs w:val="28"/>
              <w:lang w:val="en-US"/>
            </w:rPr>
          </w:pPr>
        </w:p>
        <w:p w14:paraId="2AE96BD5" w14:textId="4BBEDF97" w:rsidR="00E176E7" w:rsidRDefault="00E176E7" w:rsidP="004F675A">
          <w:pPr>
            <w:pStyle w:val="Heading3"/>
            <w:rPr>
              <w:rFonts w:ascii="Garamond" w:hAnsi="Garamond"/>
              <w:sz w:val="28"/>
              <w:szCs w:val="28"/>
              <w:lang w:val="en-US"/>
            </w:rPr>
          </w:pPr>
          <w:bookmarkStart w:id="5" w:name="_Toc227521273"/>
          <w:r w:rsidRPr="004F675A">
            <w:rPr>
              <w:rFonts w:ascii="Garamond" w:hAnsi="Garamond"/>
              <w:sz w:val="28"/>
              <w:szCs w:val="28"/>
              <w:lang w:val="en-US"/>
            </w:rPr>
            <w:t>1.2 Profitability: the key weakness</w:t>
          </w:r>
          <w:bookmarkEnd w:id="5"/>
        </w:p>
        <w:p w14:paraId="7E2F2784" w14:textId="77777777" w:rsidR="004F675A" w:rsidRPr="004F675A" w:rsidRDefault="004F675A" w:rsidP="004F675A">
          <w:pPr>
            <w:rPr>
              <w:lang w:val="en-US"/>
            </w:rPr>
          </w:pPr>
        </w:p>
        <w:p w14:paraId="57DA9CB9" w14:textId="77777777" w:rsidR="00E176E7" w:rsidRPr="00E176E7" w:rsidRDefault="00E176E7" w:rsidP="006833C4">
          <w:pPr>
            <w:ind w:firstLine="720"/>
            <w:rPr>
              <w:rFonts w:ascii="Garamond" w:hAnsi="Garamond"/>
              <w:sz w:val="24"/>
              <w:szCs w:val="24"/>
              <w:lang w:val="en-US"/>
            </w:rPr>
          </w:pPr>
          <w:r w:rsidRPr="00E176E7">
            <w:rPr>
              <w:rFonts w:ascii="Garamond" w:hAnsi="Garamond"/>
              <w:sz w:val="24"/>
              <w:szCs w:val="24"/>
              <w:lang w:val="en-US"/>
            </w:rPr>
            <w:t xml:space="preserve">Profitability is Burberry's most serious issue. The gross profit margin fell from 67.7% in FY2024 to 62.5% in FY2025. In a non-luxury retailer, a 62.5% gross margin might look strong, but luxury companies need high gross margins because they support product design, brand communication, flagship stores, </w:t>
          </w:r>
          <w:proofErr w:type="spellStart"/>
          <w:r w:rsidRPr="00E176E7">
            <w:rPr>
              <w:rFonts w:ascii="Garamond" w:hAnsi="Garamond"/>
              <w:sz w:val="24"/>
              <w:szCs w:val="24"/>
              <w:lang w:val="en-US"/>
            </w:rPr>
            <w:t>clienteling</w:t>
          </w:r>
          <w:proofErr w:type="spellEnd"/>
          <w:r w:rsidRPr="00E176E7">
            <w:rPr>
              <w:rFonts w:ascii="Garamond" w:hAnsi="Garamond"/>
              <w:sz w:val="24"/>
              <w:szCs w:val="24"/>
              <w:lang w:val="en-US"/>
            </w:rPr>
            <w:t xml:space="preserve">, supply-chain quality and selective distribution. A fall of more than five percentage points is therefore strategically important, </w:t>
          </w:r>
          <w:proofErr w:type="gramStart"/>
          <w:r w:rsidRPr="00E176E7">
            <w:rPr>
              <w:rFonts w:ascii="Garamond" w:hAnsi="Garamond"/>
              <w:sz w:val="24"/>
              <w:szCs w:val="24"/>
              <w:lang w:val="en-US"/>
            </w:rPr>
            <w:t>not only mathematically</w:t>
          </w:r>
          <w:proofErr w:type="gramEnd"/>
          <w:r w:rsidRPr="00E176E7">
            <w:rPr>
              <w:rFonts w:ascii="Garamond" w:hAnsi="Garamond"/>
              <w:sz w:val="24"/>
              <w:szCs w:val="24"/>
              <w:lang w:val="en-US"/>
            </w:rPr>
            <w:t xml:space="preserve"> significant. It suggests that Burberry had less room to absorb </w:t>
          </w:r>
          <w:proofErr w:type="gramStart"/>
          <w:r w:rsidRPr="00E176E7">
            <w:rPr>
              <w:rFonts w:ascii="Garamond" w:hAnsi="Garamond"/>
              <w:sz w:val="24"/>
              <w:szCs w:val="24"/>
              <w:lang w:val="en-US"/>
            </w:rPr>
            <w:t>selling</w:t>
          </w:r>
          <w:proofErr w:type="gramEnd"/>
          <w:r w:rsidRPr="00E176E7">
            <w:rPr>
              <w:rFonts w:ascii="Garamond" w:hAnsi="Garamond"/>
              <w:sz w:val="24"/>
              <w:szCs w:val="24"/>
              <w:lang w:val="en-US"/>
            </w:rPr>
            <w:t xml:space="preserve"> and administrative costs at precisely the point when the business needed to invest in a turnaround.</w:t>
          </w:r>
        </w:p>
        <w:p w14:paraId="78BB56F2" w14:textId="77777777" w:rsidR="00E176E7" w:rsidRPr="00E176E7" w:rsidRDefault="00E176E7" w:rsidP="0050439A">
          <w:pPr>
            <w:ind w:firstLine="720"/>
            <w:rPr>
              <w:rFonts w:ascii="Garamond" w:hAnsi="Garamond"/>
              <w:sz w:val="24"/>
              <w:szCs w:val="24"/>
              <w:lang w:val="en-US"/>
            </w:rPr>
          </w:pPr>
          <w:r w:rsidRPr="00E176E7">
            <w:rPr>
              <w:rFonts w:ascii="Garamond" w:hAnsi="Garamond"/>
              <w:sz w:val="24"/>
              <w:szCs w:val="24"/>
              <w:lang w:val="en-US"/>
            </w:rPr>
            <w:t xml:space="preserve">The operating margin moved from 14.1% to -0.1%. This is more damaging than the gross margin </w:t>
          </w:r>
          <w:proofErr w:type="gramStart"/>
          <w:r w:rsidRPr="00E176E7">
            <w:rPr>
              <w:rFonts w:ascii="Garamond" w:hAnsi="Garamond"/>
              <w:sz w:val="24"/>
              <w:szCs w:val="24"/>
              <w:lang w:val="en-US"/>
            </w:rPr>
            <w:t>fall</w:t>
          </w:r>
          <w:proofErr w:type="gramEnd"/>
          <w:r w:rsidRPr="00E176E7">
            <w:rPr>
              <w:rFonts w:ascii="Garamond" w:hAnsi="Garamond"/>
              <w:sz w:val="24"/>
              <w:szCs w:val="24"/>
              <w:lang w:val="en-US"/>
            </w:rPr>
            <w:t xml:space="preserve"> because it shows that the cost base was not flexible enough to protect operating profit when revenue declined. In FY2025, Burberry incurred GBP1,541m of net operating expenses against GBP1,538m of gross profit, so operating expenses consumed all gross profit. The annual report links the year to a difficult luxury market, weaker customer response and the reset under Burberry Forward, a plan intended to reignite brand desire and improve long-term value creation (Burberry Group plc, 2025a; Burberry Group plc, 2025b).</w:t>
          </w:r>
        </w:p>
        <w:p w14:paraId="460377C7" w14:textId="77777777" w:rsidR="00E176E7" w:rsidRPr="00E176E7" w:rsidRDefault="00E176E7" w:rsidP="0050439A">
          <w:pPr>
            <w:ind w:firstLine="720"/>
            <w:rPr>
              <w:rFonts w:ascii="Garamond" w:hAnsi="Garamond"/>
              <w:sz w:val="24"/>
              <w:szCs w:val="24"/>
              <w:lang w:val="en-US"/>
            </w:rPr>
          </w:pPr>
          <w:r w:rsidRPr="00E176E7">
            <w:rPr>
              <w:rFonts w:ascii="Garamond" w:hAnsi="Garamond"/>
              <w:sz w:val="24"/>
              <w:szCs w:val="24"/>
              <w:lang w:val="en-US"/>
            </w:rPr>
            <w:t>The net profit margin fell from 9.1% to -3.0%. This is the final effect after finance costs and tax. Net finance expense increased from GBP35m to GBP63m, which matters because a highly leveraged business has less ability to wait for a slow recovery. Profitability ratios therefore connect directly with gearing: the weaker the operating margin, the more burdensome fixed financing obligations become. This is why ratio analysis should not be read as separate boxes; the ratios form a chain of evidence about operational and financial resilience (</w:t>
          </w:r>
          <w:proofErr w:type="spellStart"/>
          <w:r w:rsidRPr="00E176E7">
            <w:rPr>
              <w:rFonts w:ascii="Garamond" w:hAnsi="Garamond"/>
              <w:sz w:val="24"/>
              <w:szCs w:val="24"/>
              <w:lang w:val="en-US"/>
            </w:rPr>
            <w:t>Atrill</w:t>
          </w:r>
          <w:proofErr w:type="spellEnd"/>
          <w:r w:rsidRPr="00E176E7">
            <w:rPr>
              <w:rFonts w:ascii="Garamond" w:hAnsi="Garamond"/>
              <w:sz w:val="24"/>
              <w:szCs w:val="24"/>
              <w:lang w:val="en-US"/>
            </w:rPr>
            <w:t>, 2019; Penman, 2013).</w:t>
          </w:r>
        </w:p>
        <w:p w14:paraId="0E16DC7F" w14:textId="77777777" w:rsidR="00E176E7" w:rsidRPr="003A68C8" w:rsidRDefault="00E176E7" w:rsidP="0050439A">
          <w:pPr>
            <w:ind w:firstLine="720"/>
            <w:rPr>
              <w:rFonts w:ascii="Garamond" w:hAnsi="Garamond"/>
              <w:sz w:val="24"/>
              <w:szCs w:val="24"/>
              <w:lang w:val="en-US"/>
            </w:rPr>
          </w:pPr>
          <w:r w:rsidRPr="00E176E7">
            <w:rPr>
              <w:rFonts w:ascii="Garamond" w:hAnsi="Garamond"/>
              <w:sz w:val="24"/>
              <w:szCs w:val="24"/>
              <w:lang w:val="en-US"/>
            </w:rPr>
            <w:t>Return on capital employed also fell sharply, from approximately 16.6% to -0.1%. This indicates that the capital committed to stores, inventory, digital channels and leases produced almost no operating return in FY2025. For directors, the immediate implication is that growth investment should be disciplined until store productivity, full-price selling and demand indicators recover. A luxury company can damage brand equity by excessive discounting, but it can also destroy value by maintaining an expensive footprint that does not generate sufficient sales. The better strategic answer is not only cost cutting but sharper capital allocation.</w:t>
          </w:r>
        </w:p>
        <w:p w14:paraId="6767BFB7" w14:textId="77777777" w:rsidR="0051413D" w:rsidRPr="00E176E7" w:rsidRDefault="0051413D" w:rsidP="00A653F7">
          <w:pPr>
            <w:pStyle w:val="Heading2"/>
            <w:rPr>
              <w:lang w:val="en-US"/>
            </w:rPr>
          </w:pPr>
        </w:p>
        <w:p w14:paraId="1E15A764" w14:textId="2F6B2EC8" w:rsidR="00E176E7" w:rsidRDefault="00E176E7" w:rsidP="004F675A">
          <w:pPr>
            <w:pStyle w:val="Heading3"/>
            <w:rPr>
              <w:rFonts w:ascii="Garamond" w:hAnsi="Garamond"/>
              <w:sz w:val="28"/>
              <w:szCs w:val="28"/>
            </w:rPr>
          </w:pPr>
          <w:bookmarkStart w:id="6" w:name="_Toc227521274"/>
          <w:r w:rsidRPr="004F675A">
            <w:rPr>
              <w:rFonts w:ascii="Garamond" w:hAnsi="Garamond"/>
              <w:sz w:val="28"/>
              <w:szCs w:val="28"/>
            </w:rPr>
            <w:t>1.3 Liquidity and working capital</w:t>
          </w:r>
          <w:bookmarkEnd w:id="6"/>
        </w:p>
        <w:p w14:paraId="07B5F78A" w14:textId="77777777" w:rsidR="00C803DD" w:rsidRPr="00C803DD" w:rsidRDefault="00C803DD" w:rsidP="00C803DD"/>
        <w:p w14:paraId="3FC36418" w14:textId="77777777" w:rsidR="00E176E7" w:rsidRPr="00E176E7" w:rsidRDefault="00E176E7" w:rsidP="0050439A">
          <w:pPr>
            <w:ind w:firstLine="720"/>
            <w:rPr>
              <w:rFonts w:ascii="Garamond" w:hAnsi="Garamond"/>
              <w:sz w:val="24"/>
              <w:szCs w:val="24"/>
              <w:lang w:val="en-US"/>
            </w:rPr>
          </w:pPr>
          <w:r w:rsidRPr="00E176E7">
            <w:rPr>
              <w:rFonts w:ascii="Garamond" w:hAnsi="Garamond"/>
              <w:sz w:val="24"/>
              <w:szCs w:val="24"/>
              <w:lang w:val="en-US"/>
            </w:rPr>
            <w:t>Burberry's liquidity position is mixed rather than weak. The current ratio fell from 1.66 to 1.49, meaning current assets still exceeded current liabilities but with a smaller buffer. The quick ratio increased from 1.07 to 1.11 because inventories fell from GBP507m to GBP424m. This suggests that Burberry reduced stock exposure, which is positive for cash control. However, the improvement should be interpreted cautiously because lower inventory can be caused by better planning, markdowns, reduced purchasing or weaker future sales expectations. Without information on the age and quality of stock, the ratio alone cannot prove that inventory management has improved sustainably.</w:t>
          </w:r>
        </w:p>
        <w:p w14:paraId="45E3D279" w14:textId="77777777" w:rsidR="00E176E7" w:rsidRPr="00E176E7" w:rsidRDefault="00E176E7" w:rsidP="0050439A">
          <w:pPr>
            <w:ind w:firstLine="720"/>
            <w:rPr>
              <w:rFonts w:ascii="Garamond" w:hAnsi="Garamond"/>
              <w:sz w:val="24"/>
              <w:szCs w:val="24"/>
              <w:lang w:val="en-US"/>
            </w:rPr>
          </w:pPr>
          <w:r w:rsidRPr="00E176E7">
            <w:rPr>
              <w:rFonts w:ascii="Garamond" w:hAnsi="Garamond"/>
              <w:sz w:val="24"/>
              <w:szCs w:val="24"/>
              <w:lang w:val="en-US"/>
            </w:rPr>
            <w:t>Cash and cash equivalents increased from GBP441m to GBP813m. This looks positive at first sight, but it needs to be considered alongside borrowings and lease liabilities. Current borrowings rose to GBP300m and non-current borrowings to GBP438m. Therefore, the increase in cash does not necessarily reflect stronger trading cash generation. It partly reflects a more cautious funding position during a turnaround. This is a good example of why financial analysis must distinguish liquidity from profitability. A company can be liquid in the short term and still have a weak earnings base.</w:t>
          </w:r>
        </w:p>
        <w:p w14:paraId="500E390F" w14:textId="77777777" w:rsidR="00E176E7" w:rsidRPr="003A68C8" w:rsidRDefault="00E176E7" w:rsidP="0050439A">
          <w:pPr>
            <w:ind w:firstLine="720"/>
            <w:rPr>
              <w:rFonts w:ascii="Garamond" w:hAnsi="Garamond"/>
              <w:sz w:val="24"/>
              <w:szCs w:val="24"/>
              <w:lang w:val="en-US"/>
            </w:rPr>
          </w:pPr>
          <w:r w:rsidRPr="00E176E7">
            <w:rPr>
              <w:rFonts w:ascii="Garamond" w:hAnsi="Garamond"/>
              <w:sz w:val="24"/>
              <w:szCs w:val="24"/>
              <w:lang w:val="en-US"/>
            </w:rPr>
            <w:t>Working capital also shows pressure in receivables. Receivables days increased from 42 to 46 days. This is not extreme, but a rise in receivable days during a downturn deserves attention because wholesale partners and franchise customers may also face slower demand. For a luxury brand with retail, wholesale and licensing activities, management should monitor credit terms, overdue balances and customer concentration. The objective is not to over-tighten credit so much that it damages commercial relationships, but to avoid using trade credit to mask weak demand.</w:t>
          </w:r>
        </w:p>
        <w:p w14:paraId="320E812E" w14:textId="77777777" w:rsidR="00E176E7" w:rsidRPr="00E176E7" w:rsidRDefault="00E176E7" w:rsidP="00A653F7">
          <w:pPr>
            <w:pStyle w:val="Heading2"/>
            <w:rPr>
              <w:lang w:val="en-US"/>
            </w:rPr>
          </w:pPr>
        </w:p>
        <w:p w14:paraId="4CAFCAC4" w14:textId="254BE3C3" w:rsidR="00E176E7" w:rsidRDefault="00E176E7" w:rsidP="004F675A">
          <w:pPr>
            <w:pStyle w:val="Heading3"/>
            <w:rPr>
              <w:rFonts w:ascii="Garamond" w:hAnsi="Garamond"/>
              <w:sz w:val="28"/>
              <w:szCs w:val="28"/>
            </w:rPr>
          </w:pPr>
          <w:bookmarkStart w:id="7" w:name="_Toc227521275"/>
          <w:r w:rsidRPr="004F675A">
            <w:rPr>
              <w:rFonts w:ascii="Garamond" w:hAnsi="Garamond"/>
              <w:sz w:val="28"/>
              <w:szCs w:val="28"/>
            </w:rPr>
            <w:t>1.4 Gearing, efficiency and investor performance</w:t>
          </w:r>
          <w:bookmarkEnd w:id="7"/>
        </w:p>
        <w:p w14:paraId="03327166" w14:textId="77777777" w:rsidR="00C803DD" w:rsidRPr="00C803DD" w:rsidRDefault="00C803DD" w:rsidP="00C803DD"/>
        <w:p w14:paraId="0F02A4A3" w14:textId="77777777" w:rsidR="00E176E7" w:rsidRPr="00E176E7" w:rsidRDefault="00E176E7" w:rsidP="0050439A">
          <w:pPr>
            <w:ind w:firstLine="720"/>
            <w:rPr>
              <w:rFonts w:ascii="Garamond" w:hAnsi="Garamond"/>
              <w:sz w:val="24"/>
              <w:szCs w:val="24"/>
              <w:lang w:val="en-US"/>
            </w:rPr>
          </w:pPr>
          <w:r w:rsidRPr="00E176E7">
            <w:rPr>
              <w:rFonts w:ascii="Garamond" w:hAnsi="Garamond"/>
              <w:sz w:val="24"/>
              <w:szCs w:val="24"/>
              <w:lang w:val="en-US"/>
            </w:rPr>
            <w:t>Gearing is the second major area of concern. Using a net debt measure that includes borrowings, overdrafts and lease liabilities less cash, net debt was approximately GBP1,111m in FY2025 compared with GBP1,125m in FY2024. Although the absolute figure was slightly lower, equity fell more significantly, from GBP1,154m to GBP921m. The result is that net debt to equity increased from 97.5% to 120.6%. For a cyclical luxury brand in a turnaround, this is a material strategic constraint because high gearing reduces the capacity to absorb further weak trading or fund aggressive investment without increasing risk.</w:t>
          </w:r>
        </w:p>
        <w:p w14:paraId="7372B61D" w14:textId="77777777" w:rsidR="00E176E7" w:rsidRPr="00E176E7" w:rsidRDefault="00E176E7" w:rsidP="0050439A">
          <w:pPr>
            <w:ind w:firstLine="720"/>
            <w:rPr>
              <w:rFonts w:ascii="Garamond" w:hAnsi="Garamond"/>
              <w:sz w:val="24"/>
              <w:szCs w:val="24"/>
              <w:lang w:val="en-US"/>
            </w:rPr>
          </w:pPr>
          <w:r w:rsidRPr="00E176E7">
            <w:rPr>
              <w:rFonts w:ascii="Garamond" w:hAnsi="Garamond"/>
              <w:sz w:val="24"/>
              <w:szCs w:val="24"/>
              <w:lang w:val="en-US"/>
            </w:rPr>
            <w:t>The capital structure issue can be read through corporate finance theory. Debt may discipline managers and can be cheaper than equity when profits are stable, but it also increases financial distress risk when cash flows are volatile (Modigliani and Miller, 1958; Modigliani and Miller, 1963; Jensen and Meckling, 1976; Myers, 1984; Harris and Raviv, 1991; Rajan and Zingales, 1995; Frank and Goyal, 2009). Burberry's current position is not one where high leverage looks value-enhancing. The company needs flexibility because brand repair may require time, creative investment and a patient approach to rebuilding full-price demand.</w:t>
          </w:r>
        </w:p>
        <w:p w14:paraId="12C15985" w14:textId="77777777" w:rsidR="00E176E7" w:rsidRPr="00E176E7" w:rsidRDefault="00E176E7" w:rsidP="0050439A">
          <w:pPr>
            <w:ind w:firstLine="720"/>
            <w:rPr>
              <w:rFonts w:ascii="Garamond" w:hAnsi="Garamond"/>
              <w:sz w:val="24"/>
              <w:szCs w:val="24"/>
              <w:lang w:val="en-US"/>
            </w:rPr>
          </w:pPr>
          <w:r w:rsidRPr="00E176E7">
            <w:rPr>
              <w:rFonts w:ascii="Garamond" w:hAnsi="Garamond"/>
              <w:sz w:val="24"/>
              <w:szCs w:val="24"/>
              <w:lang w:val="en-US"/>
            </w:rPr>
            <w:lastRenderedPageBreak/>
            <w:t xml:space="preserve">Efficiency ratios confirm that the asset base was used less productively. Asset turnover fell from 0.88x to 0.72x. This reflects the revenue decline against a broadly similar asset base and indicates poorer </w:t>
          </w:r>
          <w:proofErr w:type="spellStart"/>
          <w:r w:rsidRPr="00E176E7">
            <w:rPr>
              <w:rFonts w:ascii="Garamond" w:hAnsi="Garamond"/>
              <w:sz w:val="24"/>
              <w:szCs w:val="24"/>
              <w:lang w:val="en-US"/>
            </w:rPr>
            <w:t>utilisation</w:t>
          </w:r>
          <w:proofErr w:type="spellEnd"/>
          <w:r w:rsidRPr="00E176E7">
            <w:rPr>
              <w:rFonts w:ascii="Garamond" w:hAnsi="Garamond"/>
              <w:sz w:val="24"/>
              <w:szCs w:val="24"/>
              <w:lang w:val="en-US"/>
            </w:rPr>
            <w:t xml:space="preserve"> of stores, leases and operating assets. Inventory days improved from 193 to 168 days, but this remains high and must be </w:t>
          </w:r>
          <w:proofErr w:type="spellStart"/>
          <w:r w:rsidRPr="00E176E7">
            <w:rPr>
              <w:rFonts w:ascii="Garamond" w:hAnsi="Garamond"/>
              <w:sz w:val="24"/>
              <w:szCs w:val="24"/>
              <w:lang w:val="en-US"/>
            </w:rPr>
            <w:t>analysed</w:t>
          </w:r>
          <w:proofErr w:type="spellEnd"/>
          <w:r w:rsidRPr="00E176E7">
            <w:rPr>
              <w:rFonts w:ascii="Garamond" w:hAnsi="Garamond"/>
              <w:sz w:val="24"/>
              <w:szCs w:val="24"/>
              <w:lang w:val="en-US"/>
            </w:rPr>
            <w:t xml:space="preserve"> in relation to product seasonality. If inventory is cleared through heavy markdowns, the inventory days ratio may improve while brand equity and gross margin weaken. Directors should therefore track inventory ageing, sell-through, full-price sales mix and markdown rate together, not separately.</w:t>
          </w:r>
        </w:p>
        <w:p w14:paraId="1E93F4D9" w14:textId="77777777" w:rsidR="00E176E7" w:rsidRPr="003A68C8" w:rsidRDefault="00E176E7" w:rsidP="0050439A">
          <w:pPr>
            <w:ind w:firstLine="720"/>
            <w:rPr>
              <w:rFonts w:ascii="Garamond" w:hAnsi="Garamond"/>
              <w:sz w:val="24"/>
              <w:szCs w:val="24"/>
              <w:lang w:val="en-US"/>
            </w:rPr>
          </w:pPr>
          <w:r w:rsidRPr="00E176E7">
            <w:rPr>
              <w:rFonts w:ascii="Garamond" w:hAnsi="Garamond"/>
              <w:sz w:val="24"/>
              <w:szCs w:val="24"/>
              <w:lang w:val="en-US"/>
            </w:rPr>
            <w:t xml:space="preserve">Investor ratios deteriorated sharply. Basic EPS changed from 74.1p profit to a 20.9p loss, and the company declared no interim or final dividend for FY2025. Suspending dividends is financially logical in a turnaround because it preserves cash and avoids paying distributions while the company is </w:t>
          </w:r>
          <w:proofErr w:type="gramStart"/>
          <w:r w:rsidRPr="00E176E7">
            <w:rPr>
              <w:rFonts w:ascii="Garamond" w:hAnsi="Garamond"/>
              <w:sz w:val="24"/>
              <w:szCs w:val="24"/>
              <w:lang w:val="en-US"/>
            </w:rPr>
            <w:t>loss-making</w:t>
          </w:r>
          <w:proofErr w:type="gramEnd"/>
          <w:r w:rsidRPr="00E176E7">
            <w:rPr>
              <w:rFonts w:ascii="Garamond" w:hAnsi="Garamond"/>
              <w:sz w:val="24"/>
              <w:szCs w:val="24"/>
              <w:lang w:val="en-US"/>
            </w:rPr>
            <w:t>. However, it also signals that investors should expect recovery to take time. From a market perspective, the issue is whether Burberry can provide enough credible operating evidence to offset the short-term loss of income appeal.</w:t>
          </w:r>
        </w:p>
        <w:p w14:paraId="416A88DA" w14:textId="77777777" w:rsidR="0051413D" w:rsidRPr="004F675A" w:rsidRDefault="0051413D" w:rsidP="004F675A">
          <w:pPr>
            <w:pStyle w:val="Heading3"/>
            <w:rPr>
              <w:rFonts w:ascii="Garamond" w:hAnsi="Garamond"/>
              <w:sz w:val="28"/>
              <w:szCs w:val="28"/>
              <w:lang w:val="en-US"/>
            </w:rPr>
          </w:pPr>
        </w:p>
        <w:p w14:paraId="2D24DEC8" w14:textId="7FBB670D" w:rsidR="00E176E7" w:rsidRDefault="00E176E7" w:rsidP="004F675A">
          <w:pPr>
            <w:pStyle w:val="Heading3"/>
            <w:rPr>
              <w:rFonts w:ascii="Garamond" w:hAnsi="Garamond"/>
              <w:sz w:val="28"/>
              <w:szCs w:val="28"/>
              <w:lang w:val="en-US"/>
            </w:rPr>
          </w:pPr>
          <w:bookmarkStart w:id="8" w:name="_Toc227521276"/>
          <w:r w:rsidRPr="004F675A">
            <w:rPr>
              <w:rFonts w:ascii="Garamond" w:hAnsi="Garamond"/>
              <w:sz w:val="28"/>
              <w:szCs w:val="28"/>
              <w:lang w:val="en-US"/>
            </w:rPr>
            <w:t>1.5 Benchmark against selected luxury peers</w:t>
          </w:r>
          <w:bookmarkEnd w:id="8"/>
        </w:p>
        <w:p w14:paraId="1863042B" w14:textId="77777777" w:rsidR="00C803DD" w:rsidRPr="00C803DD" w:rsidRDefault="00C803DD" w:rsidP="00C803DD">
          <w:pPr>
            <w:rPr>
              <w:lang w:val="en-US"/>
            </w:rPr>
          </w:pPr>
        </w:p>
        <w:p w14:paraId="7A83701A" w14:textId="4D73B012" w:rsidR="00E176E7" w:rsidRPr="00E176E7" w:rsidRDefault="00E176E7" w:rsidP="0050439A">
          <w:pPr>
            <w:ind w:firstLine="720"/>
            <w:rPr>
              <w:rFonts w:ascii="Garamond" w:hAnsi="Garamond"/>
              <w:sz w:val="24"/>
              <w:szCs w:val="24"/>
              <w:lang w:val="en-US"/>
            </w:rPr>
          </w:pPr>
          <w:r w:rsidRPr="00E176E7">
            <w:rPr>
              <w:rFonts w:ascii="Garamond" w:hAnsi="Garamond"/>
              <w:sz w:val="24"/>
              <w:szCs w:val="24"/>
              <w:lang w:val="en-US"/>
            </w:rPr>
            <w:t xml:space="preserve">The benchmark evidence strengthens the interpretation because the luxury market was difficult in 2025 but not uniformly weak. Bain and </w:t>
          </w:r>
          <w:proofErr w:type="spellStart"/>
          <w:r w:rsidRPr="00E176E7">
            <w:rPr>
              <w:rFonts w:ascii="Garamond" w:hAnsi="Garamond"/>
              <w:sz w:val="24"/>
              <w:szCs w:val="24"/>
              <w:lang w:val="en-US"/>
            </w:rPr>
            <w:t>Altagamma</w:t>
          </w:r>
          <w:proofErr w:type="spellEnd"/>
          <w:r w:rsidRPr="00E176E7">
            <w:rPr>
              <w:rFonts w:ascii="Garamond" w:hAnsi="Garamond"/>
              <w:sz w:val="24"/>
              <w:szCs w:val="24"/>
              <w:lang w:val="en-US"/>
            </w:rPr>
            <w:t xml:space="preserve"> reported </w:t>
          </w:r>
          <w:r w:rsidR="0051413D" w:rsidRPr="003A68C8">
            <w:rPr>
              <w:rFonts w:ascii="Garamond" w:hAnsi="Garamond"/>
              <w:sz w:val="24"/>
              <w:szCs w:val="24"/>
              <w:lang w:val="en-US"/>
            </w:rPr>
            <w:t>stabilization</w:t>
          </w:r>
          <w:r w:rsidRPr="00E176E7">
            <w:rPr>
              <w:rFonts w:ascii="Garamond" w:hAnsi="Garamond"/>
              <w:sz w:val="24"/>
              <w:szCs w:val="24"/>
              <w:lang w:val="en-US"/>
            </w:rPr>
            <w:t xml:space="preserve"> rather than a strong market recovery, while McKinsey highlighted slower luxury value creation and pressure on the traditional value proposition (Bain &amp; Company and </w:t>
          </w:r>
          <w:proofErr w:type="spellStart"/>
          <w:r w:rsidRPr="00E176E7">
            <w:rPr>
              <w:rFonts w:ascii="Garamond" w:hAnsi="Garamond"/>
              <w:sz w:val="24"/>
              <w:szCs w:val="24"/>
              <w:lang w:val="en-US"/>
            </w:rPr>
            <w:t>Altagamma</w:t>
          </w:r>
          <w:proofErr w:type="spellEnd"/>
          <w:r w:rsidRPr="00E176E7">
            <w:rPr>
              <w:rFonts w:ascii="Garamond" w:hAnsi="Garamond"/>
              <w:sz w:val="24"/>
              <w:szCs w:val="24"/>
              <w:lang w:val="en-US"/>
            </w:rPr>
            <w:t xml:space="preserve">, 2025; McKinsey &amp; Company, 2025). Deloitte's recent luxury report similarly </w:t>
          </w:r>
          <w:r w:rsidR="0051413D" w:rsidRPr="003A68C8">
            <w:rPr>
              <w:rFonts w:ascii="Garamond" w:hAnsi="Garamond"/>
              <w:sz w:val="24"/>
              <w:szCs w:val="24"/>
              <w:lang w:val="en-US"/>
            </w:rPr>
            <w:t>emphasizes</w:t>
          </w:r>
          <w:r w:rsidRPr="00E176E7">
            <w:rPr>
              <w:rFonts w:ascii="Garamond" w:hAnsi="Garamond"/>
              <w:sz w:val="24"/>
              <w:szCs w:val="24"/>
              <w:lang w:val="en-US"/>
            </w:rPr>
            <w:t xml:space="preserve"> selectivity, </w:t>
          </w:r>
          <w:r w:rsidR="0051413D" w:rsidRPr="003A68C8">
            <w:rPr>
              <w:rFonts w:ascii="Garamond" w:hAnsi="Garamond"/>
              <w:sz w:val="24"/>
              <w:szCs w:val="24"/>
              <w:lang w:val="en-US"/>
            </w:rPr>
            <w:t>stabilization</w:t>
          </w:r>
          <w:r w:rsidRPr="00E176E7">
            <w:rPr>
              <w:rFonts w:ascii="Garamond" w:hAnsi="Garamond"/>
              <w:sz w:val="24"/>
              <w:szCs w:val="24"/>
              <w:lang w:val="en-US"/>
            </w:rPr>
            <w:t xml:space="preserve"> and the need for relevance in a more demanding consumer environment (Deloitte, 2026). Therefore, Burberry's difficulties should be read partly as </w:t>
          </w:r>
          <w:proofErr w:type="gramStart"/>
          <w:r w:rsidRPr="00E176E7">
            <w:rPr>
              <w:rFonts w:ascii="Garamond" w:hAnsi="Garamond"/>
              <w:sz w:val="24"/>
              <w:szCs w:val="24"/>
              <w:lang w:val="en-US"/>
            </w:rPr>
            <w:t>industry-related</w:t>
          </w:r>
          <w:proofErr w:type="gramEnd"/>
          <w:r w:rsidRPr="00E176E7">
            <w:rPr>
              <w:rFonts w:ascii="Garamond" w:hAnsi="Garamond"/>
              <w:sz w:val="24"/>
              <w:szCs w:val="24"/>
              <w:lang w:val="en-US"/>
            </w:rPr>
            <w:t>. However, the comparison with stronger luxury groups suggests that company-specific execution and brand positioning were also important.</w:t>
          </w:r>
        </w:p>
        <w:p w14:paraId="1F70804C" w14:textId="77777777" w:rsidR="00E176E7" w:rsidRDefault="00E176E7" w:rsidP="0050439A">
          <w:pPr>
            <w:ind w:firstLine="720"/>
            <w:rPr>
              <w:rFonts w:ascii="Garamond" w:hAnsi="Garamond"/>
              <w:sz w:val="24"/>
              <w:szCs w:val="24"/>
              <w:lang w:val="en-US"/>
            </w:rPr>
          </w:pPr>
          <w:r w:rsidRPr="00E176E7">
            <w:rPr>
              <w:rFonts w:ascii="Garamond" w:hAnsi="Garamond"/>
              <w:sz w:val="24"/>
              <w:szCs w:val="24"/>
              <w:lang w:val="en-US"/>
            </w:rPr>
            <w:t xml:space="preserve">The benchmark table below is not intended to be a full like-for-like ratio model because the groups have different portfolios, reporting currencies and year ends. It is used only as an indicative sector comparison. LVMH generated EUR80.8bn revenue and a 22% recurring operating margin in 2025. Hermes reported EUR16.0bn revenue and a 41.0% recurring operating margin. Richemont reported EUR21.4bn sales and a 20.9% operating margin. Kering was under pressure, with revenue down 13% and recurring operating margin at 11.1%, yet it </w:t>
          </w:r>
          <w:proofErr w:type="gramStart"/>
          <w:r w:rsidRPr="00E176E7">
            <w:rPr>
              <w:rFonts w:ascii="Garamond" w:hAnsi="Garamond"/>
              <w:sz w:val="24"/>
              <w:szCs w:val="24"/>
              <w:lang w:val="en-US"/>
            </w:rPr>
            <w:t>still remained</w:t>
          </w:r>
          <w:proofErr w:type="gramEnd"/>
          <w:r w:rsidRPr="00E176E7">
            <w:rPr>
              <w:rFonts w:ascii="Garamond" w:hAnsi="Garamond"/>
              <w:sz w:val="24"/>
              <w:szCs w:val="24"/>
              <w:lang w:val="en-US"/>
            </w:rPr>
            <w:t xml:space="preserve"> profitable at the operating level. Compared with these peers, Burberry's -0.1% operating margin is weak (LVMH, 2026; Hermes International, 2026; Richemont, 2025; Kering, 2026).</w:t>
          </w:r>
        </w:p>
        <w:p w14:paraId="47B2DE30" w14:textId="77777777" w:rsidR="0095223F" w:rsidRDefault="0095223F" w:rsidP="0050439A">
          <w:pPr>
            <w:ind w:firstLine="720"/>
            <w:rPr>
              <w:rFonts w:ascii="Garamond" w:hAnsi="Garamond"/>
              <w:sz w:val="24"/>
              <w:szCs w:val="24"/>
              <w:lang w:val="en-US"/>
            </w:rPr>
          </w:pPr>
        </w:p>
        <w:p w14:paraId="377CEDF9" w14:textId="77777777" w:rsidR="00CD3904" w:rsidRDefault="00CD3904" w:rsidP="0050439A">
          <w:pPr>
            <w:ind w:firstLine="720"/>
            <w:rPr>
              <w:rFonts w:ascii="Garamond" w:hAnsi="Garamond"/>
              <w:sz w:val="24"/>
              <w:szCs w:val="24"/>
              <w:lang w:val="en-US"/>
            </w:rPr>
          </w:pPr>
        </w:p>
        <w:p w14:paraId="09A2FA11" w14:textId="77777777" w:rsidR="00CD3904" w:rsidRDefault="00CD3904" w:rsidP="0050439A">
          <w:pPr>
            <w:ind w:firstLine="720"/>
            <w:rPr>
              <w:rFonts w:ascii="Garamond" w:hAnsi="Garamond"/>
              <w:sz w:val="24"/>
              <w:szCs w:val="24"/>
              <w:lang w:val="en-US"/>
            </w:rPr>
          </w:pPr>
        </w:p>
        <w:p w14:paraId="1CA9044F" w14:textId="77777777" w:rsidR="00CD3904" w:rsidRDefault="00CD3904" w:rsidP="0050439A">
          <w:pPr>
            <w:ind w:firstLine="720"/>
            <w:rPr>
              <w:rFonts w:ascii="Garamond" w:hAnsi="Garamond"/>
              <w:sz w:val="24"/>
              <w:szCs w:val="24"/>
              <w:lang w:val="en-US"/>
            </w:rPr>
          </w:pPr>
        </w:p>
        <w:p w14:paraId="5CDF8D7C" w14:textId="77777777" w:rsidR="00CD3904" w:rsidRDefault="00CD3904" w:rsidP="0050439A">
          <w:pPr>
            <w:ind w:firstLine="720"/>
            <w:rPr>
              <w:rFonts w:ascii="Garamond" w:hAnsi="Garamond"/>
              <w:sz w:val="24"/>
              <w:szCs w:val="24"/>
              <w:lang w:val="en-US"/>
            </w:rPr>
          </w:pPr>
        </w:p>
        <w:p w14:paraId="48F707DD" w14:textId="77777777" w:rsidR="00CD3904" w:rsidRDefault="00CD3904" w:rsidP="0050439A">
          <w:pPr>
            <w:ind w:firstLine="720"/>
            <w:rPr>
              <w:rFonts w:ascii="Garamond" w:hAnsi="Garamond"/>
              <w:sz w:val="24"/>
              <w:szCs w:val="24"/>
              <w:lang w:val="en-US"/>
            </w:rPr>
          </w:pPr>
        </w:p>
        <w:p w14:paraId="2E41907E" w14:textId="77777777" w:rsidR="00CD3904" w:rsidRPr="003A68C8" w:rsidRDefault="00CD3904" w:rsidP="0050439A">
          <w:pPr>
            <w:ind w:firstLine="720"/>
            <w:rPr>
              <w:rFonts w:ascii="Garamond" w:hAnsi="Garamond"/>
              <w:sz w:val="24"/>
              <w:szCs w:val="24"/>
              <w:lang w:val="en-US"/>
            </w:rPr>
          </w:pPr>
        </w:p>
        <w:p w14:paraId="05F21B26" w14:textId="325888DA" w:rsidR="00E176E7" w:rsidRPr="00E173D4" w:rsidRDefault="0095223F" w:rsidP="00D8305F">
          <w:pPr>
            <w:jc w:val="center"/>
            <w:rPr>
              <w:rFonts w:ascii="Garamond" w:hAnsi="Garamond"/>
              <w:i/>
              <w:iCs/>
              <w:sz w:val="24"/>
              <w:szCs w:val="24"/>
              <w:lang w:val="en-US"/>
            </w:rPr>
          </w:pPr>
          <w:r w:rsidRPr="00E173D4">
            <w:rPr>
              <w:rFonts w:ascii="Garamond" w:hAnsi="Garamond"/>
              <w:i/>
              <w:iCs/>
              <w:sz w:val="24"/>
              <w:szCs w:val="24"/>
              <w:lang w:val="en-US"/>
            </w:rPr>
            <w:lastRenderedPageBreak/>
            <w:t>Table 2.</w:t>
          </w:r>
          <w:r w:rsidR="00CD3904" w:rsidRPr="00E173D4">
            <w:rPr>
              <w:rFonts w:ascii="Garamond" w:hAnsi="Garamond"/>
              <w:i/>
              <w:iCs/>
              <w:sz w:val="24"/>
              <w:szCs w:val="24"/>
              <w:lang w:val="en-US"/>
            </w:rPr>
            <w:t xml:space="preserve"> Comparative Operating Margin Anal</w:t>
          </w:r>
          <w:r w:rsidR="0047107A" w:rsidRPr="00E173D4">
            <w:rPr>
              <w:rFonts w:ascii="Garamond" w:hAnsi="Garamond"/>
              <w:i/>
              <w:iCs/>
              <w:sz w:val="24"/>
              <w:szCs w:val="24"/>
              <w:lang w:val="en-US"/>
            </w:rPr>
            <w:t>ysis</w:t>
          </w:r>
        </w:p>
        <w:tbl>
          <w:tblPr>
            <w:tblStyle w:val="TableGrid"/>
            <w:tblW w:w="0" w:type="auto"/>
            <w:jc w:val="center"/>
            <w:tblLook w:val="04A0" w:firstRow="1" w:lastRow="0" w:firstColumn="1" w:lastColumn="0" w:noHBand="0" w:noVBand="1"/>
          </w:tblPr>
          <w:tblGrid>
            <w:gridCol w:w="1351"/>
            <w:gridCol w:w="1257"/>
            <w:gridCol w:w="1549"/>
            <w:gridCol w:w="1644"/>
            <w:gridCol w:w="3215"/>
          </w:tblGrid>
          <w:tr w:rsidR="00E176E7" w:rsidRPr="00E176E7" w14:paraId="49591F40" w14:textId="77777777" w:rsidTr="0051413D">
            <w:trPr>
              <w:jc w:val="center"/>
            </w:trPr>
            <w:tc>
              <w:tcPr>
                <w:tcW w:w="1440"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70" w:type="dxa"/>
                  <w:left w:w="70" w:type="dxa"/>
                  <w:bottom w:w="70" w:type="dxa"/>
                  <w:right w:w="70" w:type="dxa"/>
                </w:tcMar>
                <w:vAlign w:val="center"/>
                <w:hideMark/>
              </w:tcPr>
              <w:p w14:paraId="39F697FC"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b/>
                    <w:sz w:val="24"/>
                    <w:szCs w:val="24"/>
                    <w:lang w:val="en-US"/>
                  </w:rPr>
                  <w:t>Company</w:t>
                </w:r>
              </w:p>
            </w:tc>
            <w:tc>
              <w:tcPr>
                <w:tcW w:w="1440"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70" w:type="dxa"/>
                  <w:left w:w="70" w:type="dxa"/>
                  <w:bottom w:w="70" w:type="dxa"/>
                  <w:right w:w="70" w:type="dxa"/>
                </w:tcMar>
                <w:vAlign w:val="center"/>
                <w:hideMark/>
              </w:tcPr>
              <w:p w14:paraId="4431771D"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b/>
                    <w:sz w:val="24"/>
                    <w:szCs w:val="24"/>
                    <w:lang w:val="en-US"/>
                  </w:rPr>
                  <w:t>Year / latest period</w:t>
                </w:r>
              </w:p>
            </w:tc>
            <w:tc>
              <w:tcPr>
                <w:tcW w:w="1584"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70" w:type="dxa"/>
                  <w:left w:w="70" w:type="dxa"/>
                  <w:bottom w:w="70" w:type="dxa"/>
                  <w:right w:w="70" w:type="dxa"/>
                </w:tcMar>
                <w:vAlign w:val="center"/>
                <w:hideMark/>
              </w:tcPr>
              <w:p w14:paraId="38B361D6"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b/>
                    <w:sz w:val="24"/>
                    <w:szCs w:val="24"/>
                    <w:lang w:val="en-US"/>
                  </w:rPr>
                  <w:t>Revenue / sales</w:t>
                </w:r>
              </w:p>
            </w:tc>
            <w:tc>
              <w:tcPr>
                <w:tcW w:w="1872"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70" w:type="dxa"/>
                  <w:left w:w="70" w:type="dxa"/>
                  <w:bottom w:w="70" w:type="dxa"/>
                  <w:right w:w="70" w:type="dxa"/>
                </w:tcMar>
                <w:vAlign w:val="center"/>
                <w:hideMark/>
              </w:tcPr>
              <w:p w14:paraId="54BD2176"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b/>
                    <w:sz w:val="24"/>
                    <w:szCs w:val="24"/>
                    <w:lang w:val="en-US"/>
                  </w:rPr>
                  <w:t>Operating margin indicator</w:t>
                </w:r>
              </w:p>
            </w:tc>
            <w:tc>
              <w:tcPr>
                <w:tcW w:w="3888"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70" w:type="dxa"/>
                  <w:left w:w="70" w:type="dxa"/>
                  <w:bottom w:w="70" w:type="dxa"/>
                  <w:right w:w="70" w:type="dxa"/>
                </w:tcMar>
                <w:vAlign w:val="center"/>
                <w:hideMark/>
              </w:tcPr>
              <w:p w14:paraId="76B99A15"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b/>
                    <w:sz w:val="24"/>
                    <w:szCs w:val="24"/>
                    <w:lang w:val="en-US"/>
                  </w:rPr>
                  <w:t>Interpretation for Burberry benchmark</w:t>
                </w:r>
              </w:p>
            </w:tc>
          </w:tr>
          <w:tr w:rsidR="00E176E7" w:rsidRPr="00E176E7" w14:paraId="06F7E18F" w14:textId="77777777" w:rsidTr="0051413D">
            <w:trPr>
              <w:jc w:val="center"/>
            </w:trPr>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B10AB65"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Burberry</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98C3707"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FY2025</w:t>
                </w:r>
              </w:p>
            </w:tc>
            <w:tc>
              <w:tcPr>
                <w:tcW w:w="158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327F2C4"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GBP2.461bn</w:t>
                </w:r>
              </w:p>
            </w:tc>
            <w:tc>
              <w:tcPr>
                <w:tcW w:w="18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E992045"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-0.1% operating margin</w:t>
                </w:r>
              </w:p>
            </w:tc>
            <w:tc>
              <w:tcPr>
                <w:tcW w:w="388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377D373" w14:textId="77777777" w:rsidR="00E176E7" w:rsidRPr="00E176E7" w:rsidRDefault="00E176E7" w:rsidP="0051413D">
                <w:pPr>
                  <w:spacing w:after="160" w:line="259" w:lineRule="auto"/>
                  <w:jc w:val="center"/>
                  <w:rPr>
                    <w:rFonts w:ascii="Garamond" w:hAnsi="Garamond"/>
                    <w:sz w:val="24"/>
                    <w:szCs w:val="24"/>
                    <w:lang w:val="en-US"/>
                  </w:rPr>
                </w:pPr>
                <w:proofErr w:type="gramStart"/>
                <w:r w:rsidRPr="00E176E7">
                  <w:rPr>
                    <w:rFonts w:ascii="Garamond" w:hAnsi="Garamond"/>
                    <w:sz w:val="24"/>
                    <w:szCs w:val="24"/>
                    <w:lang w:val="en-US"/>
                  </w:rPr>
                  <w:t>Underperforming;</w:t>
                </w:r>
                <w:proofErr w:type="gramEnd"/>
                <w:r w:rsidRPr="00E176E7">
                  <w:rPr>
                    <w:rFonts w:ascii="Garamond" w:hAnsi="Garamond"/>
                    <w:sz w:val="24"/>
                    <w:szCs w:val="24"/>
                    <w:lang w:val="en-US"/>
                  </w:rPr>
                  <w:t xml:space="preserve"> revenue decline translated into operating loss.</w:t>
                </w:r>
              </w:p>
            </w:tc>
          </w:tr>
          <w:tr w:rsidR="00E176E7" w:rsidRPr="00E176E7" w14:paraId="16E9804E" w14:textId="77777777" w:rsidTr="0051413D">
            <w:trPr>
              <w:jc w:val="center"/>
            </w:trPr>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E94EB4F"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LVMH</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2143706"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2025</w:t>
                </w:r>
              </w:p>
            </w:tc>
            <w:tc>
              <w:tcPr>
                <w:tcW w:w="158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C8FCECD"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EUR80.8bn</w:t>
                </w:r>
              </w:p>
            </w:tc>
            <w:tc>
              <w:tcPr>
                <w:tcW w:w="18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3FD5E58"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22% recurring operating margin</w:t>
                </w:r>
              </w:p>
            </w:tc>
            <w:tc>
              <w:tcPr>
                <w:tcW w:w="388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A1947EF"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Shows scale and portfolio resilience in a difficult luxury market.</w:t>
                </w:r>
              </w:p>
            </w:tc>
          </w:tr>
          <w:tr w:rsidR="00E176E7" w:rsidRPr="00E176E7" w14:paraId="539DEF6E" w14:textId="77777777" w:rsidTr="0051413D">
            <w:trPr>
              <w:jc w:val="center"/>
            </w:trPr>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6EBFA11"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Kering</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5E52DD2"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2025</w:t>
                </w:r>
              </w:p>
            </w:tc>
            <w:tc>
              <w:tcPr>
                <w:tcW w:w="158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41BD4B6"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EUR14.675bn</w:t>
                </w:r>
              </w:p>
            </w:tc>
            <w:tc>
              <w:tcPr>
                <w:tcW w:w="18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ABC3B08"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11.1% recurring operating margin</w:t>
                </w:r>
              </w:p>
            </w:tc>
            <w:tc>
              <w:tcPr>
                <w:tcW w:w="388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23197EB"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 xml:space="preserve">Also under </w:t>
                </w:r>
                <w:proofErr w:type="gramStart"/>
                <w:r w:rsidRPr="00E176E7">
                  <w:rPr>
                    <w:rFonts w:ascii="Garamond" w:hAnsi="Garamond"/>
                    <w:sz w:val="24"/>
                    <w:szCs w:val="24"/>
                    <w:lang w:val="en-US"/>
                  </w:rPr>
                  <w:t>pressure, but</w:t>
                </w:r>
                <w:proofErr w:type="gramEnd"/>
                <w:r w:rsidRPr="00E176E7">
                  <w:rPr>
                    <w:rFonts w:ascii="Garamond" w:hAnsi="Garamond"/>
                    <w:sz w:val="24"/>
                    <w:szCs w:val="24"/>
                    <w:lang w:val="en-US"/>
                  </w:rPr>
                  <w:t xml:space="preserve"> remained profitable at operating level.</w:t>
                </w:r>
              </w:p>
            </w:tc>
          </w:tr>
          <w:tr w:rsidR="00E176E7" w:rsidRPr="00E176E7" w14:paraId="12B5402A" w14:textId="77777777" w:rsidTr="0051413D">
            <w:trPr>
              <w:jc w:val="center"/>
            </w:trPr>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CF73FBA"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Hermes</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454AA92"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2025</w:t>
                </w:r>
              </w:p>
            </w:tc>
            <w:tc>
              <w:tcPr>
                <w:tcW w:w="158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F208160"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EUR16.002bn</w:t>
                </w:r>
              </w:p>
            </w:tc>
            <w:tc>
              <w:tcPr>
                <w:tcW w:w="18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D100DA7"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41.0% recurring operating margin</w:t>
                </w:r>
              </w:p>
            </w:tc>
            <w:tc>
              <w:tcPr>
                <w:tcW w:w="388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BE887FA"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Indicates strength of exclusivity, pricing and vertical integration.</w:t>
                </w:r>
              </w:p>
            </w:tc>
          </w:tr>
          <w:tr w:rsidR="00E176E7" w:rsidRPr="00E176E7" w14:paraId="320FD324" w14:textId="77777777" w:rsidTr="0051413D">
            <w:trPr>
              <w:jc w:val="center"/>
            </w:trPr>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E6B4387"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Richemont</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40A7BB2"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FY2025</w:t>
                </w:r>
              </w:p>
            </w:tc>
            <w:tc>
              <w:tcPr>
                <w:tcW w:w="158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138137D"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EUR21.399bn</w:t>
                </w:r>
              </w:p>
            </w:tc>
            <w:tc>
              <w:tcPr>
                <w:tcW w:w="18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F50623F"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20.9% operating margin</w:t>
                </w:r>
              </w:p>
            </w:tc>
            <w:tc>
              <w:tcPr>
                <w:tcW w:w="388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9D601CC" w14:textId="77777777" w:rsidR="00E176E7" w:rsidRPr="00E176E7" w:rsidRDefault="00E176E7" w:rsidP="0051413D">
                <w:pPr>
                  <w:spacing w:after="160" w:line="259" w:lineRule="auto"/>
                  <w:jc w:val="center"/>
                  <w:rPr>
                    <w:rFonts w:ascii="Garamond" w:hAnsi="Garamond"/>
                    <w:sz w:val="24"/>
                    <w:szCs w:val="24"/>
                    <w:lang w:val="en-US"/>
                  </w:rPr>
                </w:pPr>
                <w:r w:rsidRPr="00E176E7">
                  <w:rPr>
                    <w:rFonts w:ascii="Garamond" w:hAnsi="Garamond"/>
                    <w:sz w:val="24"/>
                    <w:szCs w:val="24"/>
                    <w:lang w:val="en-US"/>
                  </w:rPr>
                  <w:t xml:space="preserve">Balanced </w:t>
                </w:r>
                <w:proofErr w:type="spellStart"/>
                <w:r w:rsidRPr="00E176E7">
                  <w:rPr>
                    <w:rFonts w:ascii="Garamond" w:hAnsi="Garamond"/>
                    <w:sz w:val="24"/>
                    <w:szCs w:val="24"/>
                    <w:lang w:val="en-US"/>
                  </w:rPr>
                  <w:t>jewellery</w:t>
                </w:r>
                <w:proofErr w:type="spellEnd"/>
                <w:r w:rsidRPr="00E176E7">
                  <w:rPr>
                    <w:rFonts w:ascii="Garamond" w:hAnsi="Garamond"/>
                    <w:sz w:val="24"/>
                    <w:szCs w:val="24"/>
                    <w:lang w:val="en-US"/>
                  </w:rPr>
                  <w:t xml:space="preserve"> exposure supported profitability.</w:t>
                </w:r>
              </w:p>
            </w:tc>
          </w:tr>
        </w:tbl>
        <w:p w14:paraId="2423D25D" w14:textId="77777777" w:rsidR="00E176E7" w:rsidRDefault="00E176E7" w:rsidP="00E176E7">
          <w:pPr>
            <w:rPr>
              <w:rFonts w:ascii="Garamond" w:hAnsi="Garamond"/>
              <w:sz w:val="24"/>
              <w:szCs w:val="24"/>
              <w:lang w:val="en-US"/>
            </w:rPr>
          </w:pPr>
        </w:p>
        <w:p w14:paraId="50CD7F05" w14:textId="77777777" w:rsidR="00CD3904" w:rsidRPr="00E176E7" w:rsidRDefault="00CD3904" w:rsidP="00E176E7">
          <w:pPr>
            <w:rPr>
              <w:rFonts w:ascii="Garamond" w:hAnsi="Garamond"/>
              <w:sz w:val="24"/>
              <w:szCs w:val="24"/>
              <w:lang w:val="en-US"/>
            </w:rPr>
          </w:pPr>
        </w:p>
        <w:p w14:paraId="0D49FBCD" w14:textId="77777777" w:rsidR="00E176E7" w:rsidRPr="00E176E7" w:rsidRDefault="00E176E7" w:rsidP="0050439A">
          <w:pPr>
            <w:ind w:firstLine="720"/>
            <w:rPr>
              <w:rFonts w:ascii="Garamond" w:hAnsi="Garamond"/>
              <w:sz w:val="24"/>
              <w:szCs w:val="24"/>
              <w:lang w:val="en-US"/>
            </w:rPr>
          </w:pPr>
          <w:r w:rsidRPr="00E176E7">
            <w:rPr>
              <w:rFonts w:ascii="Garamond" w:hAnsi="Garamond"/>
              <w:sz w:val="24"/>
              <w:szCs w:val="24"/>
              <w:lang w:val="en-US"/>
            </w:rPr>
            <w:t>This benchmark has two implications. First, it prevents a simplistic conclusion that Burberry's decline is entirely caused by the macroeconomic environment. The sector faced slower demand, but stronger houses maintained high operating margins. Second, it shows that Burberry's recovery should be judged against peer standards for gross margin, operating leverage and brand desirability. The company cannot rely only on a general market recovery; it must rebuild its differentiated proposition in outerwear, scarves and British luxury while protecting full-price discipline. Brand value and consumer meaning are important because luxury customers are purchasing symbolic value as well as products (Kantar, 2025).</w:t>
          </w:r>
        </w:p>
        <w:p w14:paraId="1C87D801" w14:textId="1B64E705" w:rsidR="00E176E7" w:rsidRDefault="00E176E7" w:rsidP="00E173D4">
          <w:pPr>
            <w:ind w:firstLine="720"/>
            <w:rPr>
              <w:rFonts w:ascii="Garamond" w:hAnsi="Garamond"/>
              <w:sz w:val="24"/>
              <w:szCs w:val="24"/>
              <w:lang w:val="en-US"/>
            </w:rPr>
          </w:pPr>
          <w:r w:rsidRPr="00E176E7">
            <w:rPr>
              <w:rFonts w:ascii="Garamond" w:hAnsi="Garamond"/>
              <w:sz w:val="24"/>
              <w:szCs w:val="24"/>
              <w:lang w:val="en-US"/>
            </w:rPr>
            <w:t>The benchmark also suggests that Burberry's recommendations should not focus only on cost reduction. Hermes demonstrates the financial power of scarcity, craftsmanship and vertical integration, while LVMH demonstrates the resilience of a diversified portfolio and strong maison management. Burberry cannot copy these models directly because it is a smaller company, but it can learn from the importance of product coherence, client experience, selective distribution and high-quality execution. Kering's weaker 2025 results also show that large luxury groups can suffer when flagship brands lose momentum, making brand turnaround execution critical.</w:t>
          </w:r>
        </w:p>
        <w:p w14:paraId="09DE214E" w14:textId="77777777" w:rsidR="00E173D4" w:rsidRPr="00E173D4" w:rsidRDefault="00E173D4" w:rsidP="00E173D4">
          <w:pPr>
            <w:ind w:firstLine="720"/>
            <w:rPr>
              <w:rFonts w:ascii="Garamond" w:hAnsi="Garamond"/>
              <w:sz w:val="24"/>
              <w:szCs w:val="24"/>
              <w:lang w:val="en-US"/>
            </w:rPr>
          </w:pPr>
        </w:p>
        <w:p w14:paraId="3E638C45" w14:textId="5FFABB6A" w:rsidR="00E176E7" w:rsidRDefault="00E176E7" w:rsidP="004F675A">
          <w:pPr>
            <w:pStyle w:val="Heading3"/>
            <w:rPr>
              <w:rFonts w:ascii="Garamond" w:hAnsi="Garamond"/>
              <w:sz w:val="28"/>
              <w:szCs w:val="28"/>
              <w:lang w:val="en-US"/>
            </w:rPr>
          </w:pPr>
          <w:bookmarkStart w:id="9" w:name="_Toc227521277"/>
          <w:r w:rsidRPr="004F675A">
            <w:rPr>
              <w:rFonts w:ascii="Garamond" w:hAnsi="Garamond"/>
              <w:sz w:val="28"/>
              <w:szCs w:val="28"/>
              <w:lang w:val="en-US"/>
            </w:rPr>
            <w:lastRenderedPageBreak/>
            <w:t>1.6 Limitations of ratio analysis and recommendations</w:t>
          </w:r>
          <w:bookmarkEnd w:id="9"/>
        </w:p>
        <w:p w14:paraId="28C18ED8" w14:textId="77777777" w:rsidR="00C803DD" w:rsidRPr="00C803DD" w:rsidRDefault="00C803DD" w:rsidP="00C803DD">
          <w:pPr>
            <w:rPr>
              <w:lang w:val="en-US"/>
            </w:rPr>
          </w:pPr>
        </w:p>
        <w:p w14:paraId="0C08FD40" w14:textId="77777777" w:rsidR="00E176E7" w:rsidRPr="00E176E7" w:rsidRDefault="00E176E7" w:rsidP="0050439A">
          <w:pPr>
            <w:ind w:firstLine="720"/>
            <w:rPr>
              <w:rFonts w:ascii="Garamond" w:hAnsi="Garamond"/>
              <w:sz w:val="24"/>
              <w:szCs w:val="24"/>
              <w:lang w:val="en-US"/>
            </w:rPr>
          </w:pPr>
          <w:r w:rsidRPr="00E176E7">
            <w:rPr>
              <w:rFonts w:ascii="Garamond" w:hAnsi="Garamond"/>
              <w:sz w:val="24"/>
              <w:szCs w:val="24"/>
              <w:lang w:val="en-US"/>
            </w:rPr>
            <w:t xml:space="preserve">Ratio analysis is useful because it </w:t>
          </w:r>
          <w:proofErr w:type="spellStart"/>
          <w:r w:rsidRPr="00E176E7">
            <w:rPr>
              <w:rFonts w:ascii="Garamond" w:hAnsi="Garamond"/>
              <w:sz w:val="24"/>
              <w:szCs w:val="24"/>
              <w:lang w:val="en-US"/>
            </w:rPr>
            <w:t>organises</w:t>
          </w:r>
          <w:proofErr w:type="spellEnd"/>
          <w:r w:rsidRPr="00E176E7">
            <w:rPr>
              <w:rFonts w:ascii="Garamond" w:hAnsi="Garamond"/>
              <w:sz w:val="24"/>
              <w:szCs w:val="24"/>
              <w:lang w:val="en-US"/>
            </w:rPr>
            <w:t xml:space="preserve"> large financial statements into comparable indicators, but it has important limitations. Ratios are backward-looking and depend on accounting classification, year-end balances, exceptional items and management judgement. They do not directly measure brand desirability, creative quality, customer loyalty, store experience, online engagement or employee capability. They can also be distorted by foreign exchange, lease accounting and changes in business mix. Therefore, the ratios should be treated as diagnostic evidence rather than a complete explanation of performance (IFRS Foundation, 2024a; IFRS Foundation, 2024b; Financial Reporting Council, 2024).</w:t>
          </w:r>
        </w:p>
        <w:p w14:paraId="4FE82CFB" w14:textId="77777777" w:rsidR="00E176E7" w:rsidRPr="00E176E7" w:rsidRDefault="00E176E7" w:rsidP="0050439A">
          <w:pPr>
            <w:ind w:firstLine="720"/>
            <w:rPr>
              <w:rFonts w:ascii="Garamond" w:hAnsi="Garamond"/>
              <w:sz w:val="24"/>
              <w:szCs w:val="24"/>
              <w:lang w:val="en-US"/>
            </w:rPr>
          </w:pPr>
          <w:r w:rsidRPr="00E176E7">
            <w:rPr>
              <w:rFonts w:ascii="Garamond" w:hAnsi="Garamond"/>
              <w:sz w:val="24"/>
              <w:szCs w:val="24"/>
              <w:lang w:val="en-US"/>
            </w:rPr>
            <w:t xml:space="preserve">The first recommendation is to focus on margin recovery. Directors should set clear internal targets for full-price sales mix, markdown dependency, inventory ageing and gross margin by product category. Cutting </w:t>
          </w:r>
          <w:proofErr w:type="gramStart"/>
          <w:r w:rsidRPr="00E176E7">
            <w:rPr>
              <w:rFonts w:ascii="Garamond" w:hAnsi="Garamond"/>
              <w:sz w:val="24"/>
              <w:szCs w:val="24"/>
              <w:lang w:val="en-US"/>
            </w:rPr>
            <w:t>price</w:t>
          </w:r>
          <w:proofErr w:type="gramEnd"/>
          <w:r w:rsidRPr="00E176E7">
            <w:rPr>
              <w:rFonts w:ascii="Garamond" w:hAnsi="Garamond"/>
              <w:sz w:val="24"/>
              <w:szCs w:val="24"/>
              <w:lang w:val="en-US"/>
            </w:rPr>
            <w:t xml:space="preserve"> too aggressively could weaken luxury positioning, so the priority should be improved product acceptance and tighter buy planning rather than indiscriminate discounting. The second recommendation is to protect liquidity by linking capital expenditure to store productivity and payback evidence. New investment should be approved only </w:t>
          </w:r>
          <w:proofErr w:type="gramStart"/>
          <w:r w:rsidRPr="00E176E7">
            <w:rPr>
              <w:rFonts w:ascii="Garamond" w:hAnsi="Garamond"/>
              <w:sz w:val="24"/>
              <w:szCs w:val="24"/>
              <w:lang w:val="en-US"/>
            </w:rPr>
            <w:t>where</w:t>
          </w:r>
          <w:proofErr w:type="gramEnd"/>
          <w:r w:rsidRPr="00E176E7">
            <w:rPr>
              <w:rFonts w:ascii="Garamond" w:hAnsi="Garamond"/>
              <w:sz w:val="24"/>
              <w:szCs w:val="24"/>
              <w:lang w:val="en-US"/>
            </w:rPr>
            <w:t xml:space="preserve"> management can show likely revenue density, customer acquisition benefits or operational efficiency improvements.</w:t>
          </w:r>
        </w:p>
        <w:p w14:paraId="191283E2" w14:textId="77777777" w:rsidR="00E176E7" w:rsidRPr="00E176E7" w:rsidRDefault="00E176E7" w:rsidP="0050439A">
          <w:pPr>
            <w:ind w:firstLine="720"/>
            <w:rPr>
              <w:rFonts w:ascii="Garamond" w:hAnsi="Garamond"/>
              <w:sz w:val="24"/>
              <w:szCs w:val="24"/>
              <w:lang w:val="en-US"/>
            </w:rPr>
          </w:pPr>
          <w:r w:rsidRPr="00E176E7">
            <w:rPr>
              <w:rFonts w:ascii="Garamond" w:hAnsi="Garamond"/>
              <w:sz w:val="24"/>
              <w:szCs w:val="24"/>
              <w:lang w:val="en-US"/>
            </w:rPr>
            <w:t>The third recommendation is to reduce gearing gradually as profitability recovers. Burberry should preserve cash, maintain committed financing facilities and use future free cash flow to reduce balance sheet risk before returning to substantial dividends or buybacks. This is consistent with pecking-order reasoning: when external markets are uncertain and internal cash generation is weak, financial flexibility is valuable (Myers and Majluf, 1984; Baker and Wurgler, 2002; Fama and French, 2002). The fourth recommendation is to improve performance reporting. Directors should receive an integrated dashboard that links finance and operations: comparable store sales, traffic, conversion, full-price sales, markdowns, inventory ageing, digital conversion, regional gross margin and cash conversion. These indicators would reveal whether Burberry Forward is improving underlying economics before annual profit ratios fully recover.</w:t>
          </w:r>
        </w:p>
        <w:p w14:paraId="0E280EA1" w14:textId="77777777" w:rsidR="00CF0E48" w:rsidRPr="003A68C8" w:rsidRDefault="00CF0E48" w:rsidP="00CF0E48">
          <w:pPr>
            <w:rPr>
              <w:rFonts w:ascii="Garamond" w:hAnsi="Garamond"/>
              <w:sz w:val="24"/>
              <w:szCs w:val="24"/>
            </w:rPr>
          </w:pPr>
        </w:p>
        <w:p w14:paraId="36375164" w14:textId="77777777" w:rsidR="0051413D" w:rsidRPr="003A68C8" w:rsidRDefault="0051413D" w:rsidP="00CF0E48">
          <w:pPr>
            <w:rPr>
              <w:rFonts w:ascii="Garamond" w:hAnsi="Garamond"/>
              <w:sz w:val="24"/>
              <w:szCs w:val="24"/>
            </w:rPr>
          </w:pPr>
        </w:p>
        <w:p w14:paraId="6E1B4FB0" w14:textId="77777777" w:rsidR="0051413D" w:rsidRPr="003A68C8" w:rsidRDefault="0051413D" w:rsidP="00CF0E48">
          <w:pPr>
            <w:rPr>
              <w:rFonts w:ascii="Garamond" w:hAnsi="Garamond"/>
              <w:sz w:val="24"/>
              <w:szCs w:val="24"/>
            </w:rPr>
          </w:pPr>
        </w:p>
        <w:p w14:paraId="45D59713" w14:textId="77777777" w:rsidR="0051413D" w:rsidRPr="003A68C8" w:rsidRDefault="0051413D" w:rsidP="00CF0E48">
          <w:pPr>
            <w:rPr>
              <w:rFonts w:ascii="Garamond" w:hAnsi="Garamond"/>
              <w:sz w:val="24"/>
              <w:szCs w:val="24"/>
            </w:rPr>
          </w:pPr>
        </w:p>
        <w:p w14:paraId="275D0A74" w14:textId="77777777" w:rsidR="0051413D" w:rsidRPr="003A68C8" w:rsidRDefault="0051413D" w:rsidP="00CF0E48">
          <w:pPr>
            <w:rPr>
              <w:rFonts w:ascii="Garamond" w:hAnsi="Garamond"/>
              <w:sz w:val="24"/>
              <w:szCs w:val="24"/>
            </w:rPr>
          </w:pPr>
        </w:p>
        <w:p w14:paraId="13ACFDA9" w14:textId="77777777" w:rsidR="0051413D" w:rsidRPr="003A68C8" w:rsidRDefault="0051413D" w:rsidP="00CF0E48">
          <w:pPr>
            <w:rPr>
              <w:rFonts w:ascii="Garamond" w:hAnsi="Garamond"/>
              <w:sz w:val="24"/>
              <w:szCs w:val="24"/>
            </w:rPr>
          </w:pPr>
        </w:p>
        <w:p w14:paraId="274C0CFA" w14:textId="77777777" w:rsidR="0051413D" w:rsidRPr="003A68C8" w:rsidRDefault="0051413D" w:rsidP="00CF0E48">
          <w:pPr>
            <w:rPr>
              <w:rFonts w:ascii="Garamond" w:hAnsi="Garamond"/>
              <w:sz w:val="24"/>
              <w:szCs w:val="24"/>
            </w:rPr>
          </w:pPr>
        </w:p>
        <w:p w14:paraId="469C5157" w14:textId="77777777" w:rsidR="0051413D" w:rsidRPr="003A68C8" w:rsidRDefault="0051413D" w:rsidP="00CF0E48">
          <w:pPr>
            <w:rPr>
              <w:rFonts w:ascii="Garamond" w:hAnsi="Garamond"/>
              <w:sz w:val="24"/>
              <w:szCs w:val="24"/>
            </w:rPr>
          </w:pPr>
        </w:p>
        <w:p w14:paraId="5F16EBCD" w14:textId="77777777" w:rsidR="0051413D" w:rsidRPr="003A68C8" w:rsidRDefault="0051413D" w:rsidP="00CF0E48">
          <w:pPr>
            <w:rPr>
              <w:rFonts w:ascii="Garamond" w:hAnsi="Garamond"/>
              <w:sz w:val="24"/>
              <w:szCs w:val="24"/>
            </w:rPr>
          </w:pPr>
        </w:p>
        <w:p w14:paraId="700DF8FA" w14:textId="77777777" w:rsidR="0051413D" w:rsidRPr="003A68C8" w:rsidRDefault="0051413D" w:rsidP="00CF0E48">
          <w:pPr>
            <w:rPr>
              <w:rFonts w:ascii="Garamond" w:hAnsi="Garamond"/>
              <w:sz w:val="24"/>
              <w:szCs w:val="24"/>
            </w:rPr>
          </w:pPr>
        </w:p>
        <w:p w14:paraId="5A157580" w14:textId="77777777" w:rsidR="0051413D" w:rsidRPr="003A68C8" w:rsidRDefault="0051413D" w:rsidP="00CF0E48">
          <w:pPr>
            <w:rPr>
              <w:rFonts w:ascii="Garamond" w:hAnsi="Garamond"/>
              <w:sz w:val="24"/>
              <w:szCs w:val="24"/>
            </w:rPr>
          </w:pPr>
        </w:p>
        <w:p w14:paraId="2D518B81" w14:textId="77777777" w:rsidR="00030922" w:rsidRPr="003A68C8" w:rsidRDefault="00030922" w:rsidP="00CF0E48">
          <w:pPr>
            <w:rPr>
              <w:rFonts w:ascii="Garamond" w:hAnsi="Garamond"/>
              <w:sz w:val="24"/>
              <w:szCs w:val="24"/>
            </w:rPr>
          </w:pPr>
        </w:p>
        <w:p w14:paraId="0B63B829" w14:textId="478AEB51" w:rsidR="00E176E7" w:rsidRDefault="00CF0E48" w:rsidP="00C803DD">
          <w:pPr>
            <w:pStyle w:val="Heading2"/>
            <w:rPr>
              <w:rFonts w:ascii="Garamond" w:hAnsi="Garamond" w:cs="Times New Roman"/>
              <w:sz w:val="28"/>
              <w:szCs w:val="28"/>
            </w:rPr>
          </w:pPr>
          <w:bookmarkStart w:id="10" w:name="_Toc227521278"/>
          <w:r w:rsidRPr="00C803DD">
            <w:rPr>
              <w:rFonts w:ascii="Garamond" w:hAnsi="Garamond" w:cs="Times New Roman"/>
              <w:sz w:val="28"/>
              <w:szCs w:val="28"/>
            </w:rPr>
            <w:t>Task 2</w:t>
          </w:r>
          <w:r w:rsidR="00C803DD" w:rsidRPr="00C803DD">
            <w:rPr>
              <w:rFonts w:ascii="Garamond" w:hAnsi="Garamond" w:cs="Times New Roman"/>
              <w:sz w:val="28"/>
              <w:szCs w:val="28"/>
            </w:rPr>
            <w:t>:</w:t>
          </w:r>
          <w:r w:rsidR="00E173D4">
            <w:rPr>
              <w:rFonts w:ascii="Garamond" w:hAnsi="Garamond" w:cs="Times New Roman"/>
              <w:sz w:val="28"/>
              <w:szCs w:val="28"/>
            </w:rPr>
            <w:t xml:space="preserve"> </w:t>
          </w:r>
          <w:r w:rsidR="00E176E7" w:rsidRPr="00C803DD">
            <w:rPr>
              <w:rFonts w:ascii="Garamond" w:hAnsi="Garamond" w:cs="Times New Roman"/>
              <w:sz w:val="28"/>
              <w:szCs w:val="28"/>
            </w:rPr>
            <w:t>Beard Plc investment appraisal</w:t>
          </w:r>
          <w:bookmarkEnd w:id="10"/>
        </w:p>
        <w:p w14:paraId="56E5EF29" w14:textId="77777777" w:rsidR="00C803DD" w:rsidRPr="00C803DD" w:rsidRDefault="00C803DD" w:rsidP="00C803DD"/>
        <w:p w14:paraId="0C975F9F" w14:textId="37726A21" w:rsidR="00830C1E" w:rsidRDefault="00830C1E" w:rsidP="004F675A">
          <w:pPr>
            <w:pStyle w:val="Heading3"/>
            <w:rPr>
              <w:rFonts w:ascii="Garamond" w:hAnsi="Garamond"/>
              <w:sz w:val="28"/>
              <w:szCs w:val="28"/>
              <w:lang w:val="en-US"/>
            </w:rPr>
          </w:pPr>
          <w:bookmarkStart w:id="11" w:name="_Toc227521279"/>
          <w:r w:rsidRPr="004F675A">
            <w:rPr>
              <w:rFonts w:ascii="Garamond" w:hAnsi="Garamond"/>
              <w:sz w:val="28"/>
              <w:szCs w:val="28"/>
              <w:lang w:val="en-US"/>
            </w:rPr>
            <w:t>2.1 Screening the three alternatives</w:t>
          </w:r>
          <w:bookmarkEnd w:id="11"/>
        </w:p>
        <w:p w14:paraId="10CFFEB0" w14:textId="77777777" w:rsidR="00C803DD" w:rsidRPr="00C803DD" w:rsidRDefault="00C803DD" w:rsidP="00C803DD">
          <w:pPr>
            <w:rPr>
              <w:lang w:val="en-US"/>
            </w:rPr>
          </w:pPr>
        </w:p>
        <w:p w14:paraId="263C1E18" w14:textId="77777777" w:rsidR="00830C1E" w:rsidRPr="00830C1E" w:rsidRDefault="00830C1E" w:rsidP="0050439A">
          <w:pPr>
            <w:ind w:firstLine="720"/>
            <w:rPr>
              <w:rFonts w:ascii="Garamond" w:hAnsi="Garamond"/>
              <w:sz w:val="24"/>
              <w:szCs w:val="24"/>
              <w:lang w:val="en-US"/>
            </w:rPr>
          </w:pPr>
          <w:r w:rsidRPr="00830C1E">
            <w:rPr>
              <w:rFonts w:ascii="Garamond" w:hAnsi="Garamond"/>
              <w:sz w:val="24"/>
              <w:szCs w:val="24"/>
              <w:lang w:val="en-US"/>
            </w:rPr>
            <w:t>The Beard Plc decision is best treated as a staged investment screen rather than a mechanical calculation exercise. The three proposals require different capital commitments and expose the business to different types of risk. Retail outlet expansion is closest to the current selling model, internet sales may change the route to market, and purses and wallets extend the product range. For comparability, all three options have been assessed using the same discount rate of 5%, 25% corporation tax and straight-line capital allowances at 20% of the original cost per year.</w:t>
          </w:r>
        </w:p>
        <w:p w14:paraId="6B5B558F" w14:textId="77777777" w:rsidR="00830C1E" w:rsidRDefault="00830C1E" w:rsidP="0050439A">
          <w:pPr>
            <w:ind w:firstLine="720"/>
            <w:rPr>
              <w:rFonts w:ascii="Garamond" w:hAnsi="Garamond"/>
              <w:sz w:val="24"/>
              <w:szCs w:val="24"/>
              <w:lang w:val="en-US"/>
            </w:rPr>
          </w:pPr>
          <w:r w:rsidRPr="00830C1E">
            <w:rPr>
              <w:rFonts w:ascii="Garamond" w:hAnsi="Garamond"/>
              <w:sz w:val="24"/>
              <w:szCs w:val="24"/>
              <w:lang w:val="en-US"/>
            </w:rPr>
            <w:t>The appraisal uses after-tax cash flows because the board ultimately needs to know how much cash the projects are expected to return to the business. Capital allowances have been treated as a cash tax benefit, not as a non-cash accounting entry. This is consistent with discounted cash-flow principles, where the relevant evidence is the incremental cash generated by the proposal and the timing of that cash (Brealey, Myers and Allen, 2023; Pike, Neale and Akbar, 2018).</w:t>
          </w:r>
        </w:p>
        <w:p w14:paraId="3B00C5EB" w14:textId="77777777" w:rsidR="0047107A" w:rsidRPr="003A68C8" w:rsidRDefault="0047107A" w:rsidP="0050439A">
          <w:pPr>
            <w:ind w:firstLine="720"/>
            <w:rPr>
              <w:rFonts w:ascii="Garamond" w:hAnsi="Garamond"/>
              <w:sz w:val="24"/>
              <w:szCs w:val="24"/>
              <w:lang w:val="en-US"/>
            </w:rPr>
          </w:pPr>
        </w:p>
        <w:p w14:paraId="4809D51C" w14:textId="73501E58" w:rsidR="00A86DE5" w:rsidRPr="00E173D4" w:rsidRDefault="0047107A" w:rsidP="0047107A">
          <w:pPr>
            <w:jc w:val="center"/>
            <w:rPr>
              <w:rFonts w:ascii="Garamond" w:hAnsi="Garamond"/>
              <w:i/>
              <w:iCs/>
              <w:sz w:val="24"/>
              <w:szCs w:val="24"/>
              <w:lang w:val="en-US"/>
            </w:rPr>
          </w:pPr>
          <w:r w:rsidRPr="00E173D4">
            <w:rPr>
              <w:rFonts w:ascii="Garamond" w:hAnsi="Garamond"/>
              <w:i/>
              <w:iCs/>
              <w:sz w:val="24"/>
              <w:szCs w:val="24"/>
              <w:lang w:val="en-US"/>
            </w:rPr>
            <w:t xml:space="preserve">Table </w:t>
          </w:r>
          <w:r w:rsidRPr="00E173D4">
            <w:rPr>
              <w:rFonts w:ascii="Garamond" w:hAnsi="Garamond"/>
              <w:i/>
              <w:iCs/>
              <w:sz w:val="24"/>
              <w:szCs w:val="24"/>
              <w:lang w:val="en-US"/>
            </w:rPr>
            <w:t>3</w:t>
          </w:r>
          <w:r w:rsidRPr="00E173D4">
            <w:rPr>
              <w:rFonts w:ascii="Garamond" w:hAnsi="Garamond"/>
              <w:i/>
              <w:iCs/>
              <w:sz w:val="24"/>
              <w:szCs w:val="24"/>
              <w:lang w:val="en-US"/>
            </w:rPr>
            <w:t xml:space="preserve">. </w:t>
          </w:r>
          <w:r w:rsidR="00F16723" w:rsidRPr="00E173D4">
            <w:rPr>
              <w:rFonts w:ascii="Garamond" w:hAnsi="Garamond"/>
              <w:i/>
              <w:iCs/>
              <w:sz w:val="24"/>
              <w:szCs w:val="24"/>
              <w:lang w:val="en-US"/>
            </w:rPr>
            <w:t>Comparative Net Present Value Outcomes</w:t>
          </w:r>
        </w:p>
        <w:tbl>
          <w:tblPr>
            <w:tblStyle w:val="TableGrid"/>
            <w:tblW w:w="0" w:type="auto"/>
            <w:tblLook w:val="04A0" w:firstRow="1" w:lastRow="0" w:firstColumn="1" w:lastColumn="0" w:noHBand="0" w:noVBand="1"/>
          </w:tblPr>
          <w:tblGrid>
            <w:gridCol w:w="2231"/>
            <w:gridCol w:w="2277"/>
            <w:gridCol w:w="2266"/>
            <w:gridCol w:w="2242"/>
          </w:tblGrid>
          <w:tr w:rsidR="00830C1E" w:rsidRPr="00830C1E" w14:paraId="0CC6219E" w14:textId="77777777" w:rsidTr="0051413D">
            <w:tc>
              <w:tcPr>
                <w:tcW w:w="2484"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29EE3CCC" w14:textId="77777777" w:rsidR="00830C1E" w:rsidRPr="00830C1E" w:rsidRDefault="00830C1E" w:rsidP="0051413D">
                <w:pPr>
                  <w:spacing w:after="160" w:line="259" w:lineRule="auto"/>
                  <w:jc w:val="center"/>
                  <w:rPr>
                    <w:rFonts w:ascii="Garamond" w:hAnsi="Garamond"/>
                    <w:sz w:val="24"/>
                    <w:szCs w:val="24"/>
                    <w:lang w:val="en-US"/>
                  </w:rPr>
                </w:pPr>
                <w:r w:rsidRPr="00830C1E">
                  <w:rPr>
                    <w:rFonts w:ascii="Garamond" w:hAnsi="Garamond"/>
                    <w:b/>
                    <w:sz w:val="24"/>
                    <w:szCs w:val="24"/>
                    <w:lang w:val="en-US"/>
                  </w:rPr>
                  <w:t>Proposal</w:t>
                </w:r>
              </w:p>
            </w:tc>
            <w:tc>
              <w:tcPr>
                <w:tcW w:w="2484"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339F1CAD" w14:textId="77777777" w:rsidR="00830C1E" w:rsidRPr="00830C1E" w:rsidRDefault="00830C1E" w:rsidP="0051413D">
                <w:pPr>
                  <w:spacing w:after="160" w:line="259" w:lineRule="auto"/>
                  <w:jc w:val="center"/>
                  <w:rPr>
                    <w:rFonts w:ascii="Garamond" w:hAnsi="Garamond"/>
                    <w:sz w:val="24"/>
                    <w:szCs w:val="24"/>
                    <w:lang w:val="en-US"/>
                  </w:rPr>
                </w:pPr>
                <w:r w:rsidRPr="00830C1E">
                  <w:rPr>
                    <w:rFonts w:ascii="Garamond" w:hAnsi="Garamond"/>
                    <w:b/>
                    <w:sz w:val="24"/>
                    <w:szCs w:val="24"/>
                    <w:lang w:val="en-US"/>
                  </w:rPr>
                  <w:t>Strategic description</w:t>
                </w:r>
              </w:p>
            </w:tc>
            <w:tc>
              <w:tcPr>
                <w:tcW w:w="2484"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7A1BE605" w14:textId="77777777" w:rsidR="00830C1E" w:rsidRPr="00830C1E" w:rsidRDefault="00830C1E" w:rsidP="0051413D">
                <w:pPr>
                  <w:spacing w:after="160" w:line="259" w:lineRule="auto"/>
                  <w:jc w:val="center"/>
                  <w:rPr>
                    <w:rFonts w:ascii="Garamond" w:hAnsi="Garamond"/>
                    <w:sz w:val="24"/>
                    <w:szCs w:val="24"/>
                    <w:lang w:val="en-US"/>
                  </w:rPr>
                </w:pPr>
                <w:r w:rsidRPr="00830C1E">
                  <w:rPr>
                    <w:rFonts w:ascii="Garamond" w:hAnsi="Garamond"/>
                    <w:b/>
                    <w:sz w:val="24"/>
                    <w:szCs w:val="24"/>
                    <w:lang w:val="en-US"/>
                  </w:rPr>
                  <w:t>NPV outcome</w:t>
                </w:r>
              </w:p>
            </w:tc>
            <w:tc>
              <w:tcPr>
                <w:tcW w:w="2484"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1B545178" w14:textId="77777777" w:rsidR="00830C1E" w:rsidRPr="00830C1E" w:rsidRDefault="00830C1E" w:rsidP="0051413D">
                <w:pPr>
                  <w:spacing w:after="160" w:line="259" w:lineRule="auto"/>
                  <w:jc w:val="center"/>
                  <w:rPr>
                    <w:rFonts w:ascii="Garamond" w:hAnsi="Garamond"/>
                    <w:sz w:val="24"/>
                    <w:szCs w:val="24"/>
                    <w:lang w:val="en-US"/>
                  </w:rPr>
                </w:pPr>
                <w:r w:rsidRPr="00830C1E">
                  <w:rPr>
                    <w:rFonts w:ascii="Garamond" w:hAnsi="Garamond"/>
                    <w:b/>
                    <w:sz w:val="24"/>
                    <w:szCs w:val="24"/>
                    <w:lang w:val="en-US"/>
                  </w:rPr>
                  <w:t>Financial reading</w:t>
                </w:r>
              </w:p>
            </w:tc>
          </w:tr>
          <w:tr w:rsidR="00830C1E" w:rsidRPr="00830C1E" w14:paraId="412C80BF" w14:textId="77777777" w:rsidTr="0051413D">
            <w:tc>
              <w:tcPr>
                <w:tcW w:w="2484" w:type="dxa"/>
                <w:tcBorders>
                  <w:top w:val="single" w:sz="4" w:space="0" w:color="auto"/>
                  <w:left w:val="single" w:sz="4" w:space="0" w:color="auto"/>
                  <w:bottom w:val="single" w:sz="4" w:space="0" w:color="auto"/>
                  <w:right w:val="single" w:sz="4" w:space="0" w:color="auto"/>
                </w:tcBorders>
                <w:vAlign w:val="center"/>
                <w:hideMark/>
              </w:tcPr>
              <w:p w14:paraId="280466A4" w14:textId="77777777" w:rsidR="00830C1E" w:rsidRPr="00830C1E" w:rsidRDefault="00830C1E" w:rsidP="00A86DE5">
                <w:pPr>
                  <w:spacing w:after="160" w:line="259" w:lineRule="auto"/>
                  <w:jc w:val="center"/>
                  <w:rPr>
                    <w:rFonts w:ascii="Garamond" w:hAnsi="Garamond"/>
                    <w:sz w:val="24"/>
                    <w:szCs w:val="24"/>
                    <w:lang w:val="en-US"/>
                  </w:rPr>
                </w:pPr>
                <w:r w:rsidRPr="00830C1E">
                  <w:rPr>
                    <w:rFonts w:ascii="Garamond" w:hAnsi="Garamond"/>
                    <w:sz w:val="24"/>
                    <w:szCs w:val="24"/>
                    <w:lang w:val="en-US"/>
                  </w:rPr>
                  <w:t>A</w:t>
                </w:r>
              </w:p>
            </w:tc>
            <w:tc>
              <w:tcPr>
                <w:tcW w:w="2484" w:type="dxa"/>
                <w:tcBorders>
                  <w:top w:val="single" w:sz="4" w:space="0" w:color="auto"/>
                  <w:left w:val="single" w:sz="4" w:space="0" w:color="auto"/>
                  <w:bottom w:val="single" w:sz="4" w:space="0" w:color="auto"/>
                  <w:right w:val="single" w:sz="4" w:space="0" w:color="auto"/>
                </w:tcBorders>
                <w:vAlign w:val="center"/>
                <w:hideMark/>
              </w:tcPr>
              <w:p w14:paraId="4BE27CEA" w14:textId="77777777" w:rsidR="00830C1E" w:rsidRPr="00830C1E" w:rsidRDefault="00830C1E" w:rsidP="00A86DE5">
                <w:pPr>
                  <w:spacing w:after="160" w:line="259" w:lineRule="auto"/>
                  <w:jc w:val="center"/>
                  <w:rPr>
                    <w:rFonts w:ascii="Garamond" w:hAnsi="Garamond"/>
                    <w:sz w:val="24"/>
                    <w:szCs w:val="24"/>
                    <w:lang w:val="en-US"/>
                  </w:rPr>
                </w:pPr>
                <w:r w:rsidRPr="00830C1E">
                  <w:rPr>
                    <w:rFonts w:ascii="Garamond" w:hAnsi="Garamond"/>
                    <w:sz w:val="24"/>
                    <w:szCs w:val="24"/>
                    <w:lang w:val="en-US"/>
                  </w:rPr>
                  <w:t>Expand the retail outlet to include all products</w:t>
                </w:r>
              </w:p>
            </w:tc>
            <w:tc>
              <w:tcPr>
                <w:tcW w:w="2484" w:type="dxa"/>
                <w:tcBorders>
                  <w:top w:val="single" w:sz="4" w:space="0" w:color="auto"/>
                  <w:left w:val="single" w:sz="4" w:space="0" w:color="auto"/>
                  <w:bottom w:val="single" w:sz="4" w:space="0" w:color="auto"/>
                  <w:right w:val="single" w:sz="4" w:space="0" w:color="auto"/>
                </w:tcBorders>
                <w:vAlign w:val="center"/>
                <w:hideMark/>
              </w:tcPr>
              <w:p w14:paraId="4ADF06F5" w14:textId="77777777" w:rsidR="00830C1E" w:rsidRPr="00830C1E" w:rsidRDefault="00830C1E" w:rsidP="00A86DE5">
                <w:pPr>
                  <w:spacing w:after="160" w:line="259" w:lineRule="auto"/>
                  <w:jc w:val="center"/>
                  <w:rPr>
                    <w:rFonts w:ascii="Garamond" w:hAnsi="Garamond"/>
                    <w:sz w:val="24"/>
                    <w:szCs w:val="24"/>
                    <w:lang w:val="en-US"/>
                  </w:rPr>
                </w:pPr>
                <w:r w:rsidRPr="00830C1E">
                  <w:rPr>
                    <w:rFonts w:ascii="Garamond" w:hAnsi="Garamond"/>
                    <w:sz w:val="24"/>
                    <w:szCs w:val="24"/>
                    <w:lang w:val="en-US"/>
                  </w:rPr>
                  <w:t>-GBP3.26k</w:t>
                </w:r>
              </w:p>
            </w:tc>
            <w:tc>
              <w:tcPr>
                <w:tcW w:w="2484" w:type="dxa"/>
                <w:tcBorders>
                  <w:top w:val="single" w:sz="4" w:space="0" w:color="auto"/>
                  <w:left w:val="single" w:sz="4" w:space="0" w:color="auto"/>
                  <w:bottom w:val="single" w:sz="4" w:space="0" w:color="auto"/>
                  <w:right w:val="single" w:sz="4" w:space="0" w:color="auto"/>
                </w:tcBorders>
                <w:vAlign w:val="center"/>
                <w:hideMark/>
              </w:tcPr>
              <w:p w14:paraId="691AB8B2" w14:textId="77777777" w:rsidR="00830C1E" w:rsidRPr="00830C1E" w:rsidRDefault="00830C1E" w:rsidP="00A86DE5">
                <w:pPr>
                  <w:spacing w:after="160" w:line="259" w:lineRule="auto"/>
                  <w:jc w:val="center"/>
                  <w:rPr>
                    <w:rFonts w:ascii="Garamond" w:hAnsi="Garamond"/>
                    <w:sz w:val="24"/>
                    <w:szCs w:val="24"/>
                    <w:lang w:val="en-US"/>
                  </w:rPr>
                </w:pPr>
                <w:r w:rsidRPr="00830C1E">
                  <w:rPr>
                    <w:rFonts w:ascii="Garamond" w:hAnsi="Garamond"/>
                    <w:sz w:val="24"/>
                    <w:szCs w:val="24"/>
                    <w:lang w:val="en-US"/>
                  </w:rPr>
                  <w:t>Close to break-even but below the required return</w:t>
                </w:r>
              </w:p>
            </w:tc>
          </w:tr>
          <w:tr w:rsidR="00830C1E" w:rsidRPr="00830C1E" w14:paraId="04119EAE" w14:textId="77777777" w:rsidTr="0051413D">
            <w:tc>
              <w:tcPr>
                <w:tcW w:w="2484" w:type="dxa"/>
                <w:tcBorders>
                  <w:top w:val="single" w:sz="4" w:space="0" w:color="auto"/>
                  <w:left w:val="single" w:sz="4" w:space="0" w:color="auto"/>
                  <w:bottom w:val="single" w:sz="4" w:space="0" w:color="auto"/>
                  <w:right w:val="single" w:sz="4" w:space="0" w:color="auto"/>
                </w:tcBorders>
                <w:vAlign w:val="center"/>
                <w:hideMark/>
              </w:tcPr>
              <w:p w14:paraId="6353F16E" w14:textId="77777777" w:rsidR="00830C1E" w:rsidRPr="00830C1E" w:rsidRDefault="00830C1E" w:rsidP="00A86DE5">
                <w:pPr>
                  <w:spacing w:after="160" w:line="259" w:lineRule="auto"/>
                  <w:jc w:val="center"/>
                  <w:rPr>
                    <w:rFonts w:ascii="Garamond" w:hAnsi="Garamond"/>
                    <w:sz w:val="24"/>
                    <w:szCs w:val="24"/>
                    <w:lang w:val="en-US"/>
                  </w:rPr>
                </w:pPr>
                <w:r w:rsidRPr="00830C1E">
                  <w:rPr>
                    <w:rFonts w:ascii="Garamond" w:hAnsi="Garamond"/>
                    <w:sz w:val="24"/>
                    <w:szCs w:val="24"/>
                    <w:lang w:val="en-US"/>
                  </w:rPr>
                  <w:t>B</w:t>
                </w:r>
              </w:p>
            </w:tc>
            <w:tc>
              <w:tcPr>
                <w:tcW w:w="2484" w:type="dxa"/>
                <w:tcBorders>
                  <w:top w:val="single" w:sz="4" w:space="0" w:color="auto"/>
                  <w:left w:val="single" w:sz="4" w:space="0" w:color="auto"/>
                  <w:bottom w:val="single" w:sz="4" w:space="0" w:color="auto"/>
                  <w:right w:val="single" w:sz="4" w:space="0" w:color="auto"/>
                </w:tcBorders>
                <w:vAlign w:val="center"/>
                <w:hideMark/>
              </w:tcPr>
              <w:p w14:paraId="26620532" w14:textId="77777777" w:rsidR="00830C1E" w:rsidRPr="00830C1E" w:rsidRDefault="00830C1E" w:rsidP="00A86DE5">
                <w:pPr>
                  <w:spacing w:after="160" w:line="259" w:lineRule="auto"/>
                  <w:jc w:val="center"/>
                  <w:rPr>
                    <w:rFonts w:ascii="Garamond" w:hAnsi="Garamond"/>
                    <w:sz w:val="24"/>
                    <w:szCs w:val="24"/>
                    <w:lang w:val="en-US"/>
                  </w:rPr>
                </w:pPr>
                <w:r w:rsidRPr="00830C1E">
                  <w:rPr>
                    <w:rFonts w:ascii="Garamond" w:hAnsi="Garamond"/>
                    <w:sz w:val="24"/>
                    <w:szCs w:val="24"/>
                    <w:lang w:val="en-US"/>
                  </w:rPr>
                  <w:t>Develop internet sales</w:t>
                </w:r>
              </w:p>
            </w:tc>
            <w:tc>
              <w:tcPr>
                <w:tcW w:w="2484" w:type="dxa"/>
                <w:tcBorders>
                  <w:top w:val="single" w:sz="4" w:space="0" w:color="auto"/>
                  <w:left w:val="single" w:sz="4" w:space="0" w:color="auto"/>
                  <w:bottom w:val="single" w:sz="4" w:space="0" w:color="auto"/>
                  <w:right w:val="single" w:sz="4" w:space="0" w:color="auto"/>
                </w:tcBorders>
                <w:vAlign w:val="center"/>
                <w:hideMark/>
              </w:tcPr>
              <w:p w14:paraId="196E08C9" w14:textId="77777777" w:rsidR="00830C1E" w:rsidRPr="00830C1E" w:rsidRDefault="00830C1E" w:rsidP="00A86DE5">
                <w:pPr>
                  <w:spacing w:after="160" w:line="259" w:lineRule="auto"/>
                  <w:jc w:val="center"/>
                  <w:rPr>
                    <w:rFonts w:ascii="Garamond" w:hAnsi="Garamond"/>
                    <w:sz w:val="24"/>
                    <w:szCs w:val="24"/>
                    <w:lang w:val="en-US"/>
                  </w:rPr>
                </w:pPr>
                <w:r w:rsidRPr="00830C1E">
                  <w:rPr>
                    <w:rFonts w:ascii="Garamond" w:hAnsi="Garamond"/>
                    <w:sz w:val="24"/>
                    <w:szCs w:val="24"/>
                    <w:lang w:val="en-US"/>
                  </w:rPr>
                  <w:t>GBP73.95k</w:t>
                </w:r>
              </w:p>
            </w:tc>
            <w:tc>
              <w:tcPr>
                <w:tcW w:w="2484" w:type="dxa"/>
                <w:tcBorders>
                  <w:top w:val="single" w:sz="4" w:space="0" w:color="auto"/>
                  <w:left w:val="single" w:sz="4" w:space="0" w:color="auto"/>
                  <w:bottom w:val="single" w:sz="4" w:space="0" w:color="auto"/>
                  <w:right w:val="single" w:sz="4" w:space="0" w:color="auto"/>
                </w:tcBorders>
                <w:vAlign w:val="center"/>
                <w:hideMark/>
              </w:tcPr>
              <w:p w14:paraId="2D53D4A6" w14:textId="77777777" w:rsidR="00830C1E" w:rsidRPr="00830C1E" w:rsidRDefault="00830C1E" w:rsidP="00A86DE5">
                <w:pPr>
                  <w:spacing w:after="160" w:line="259" w:lineRule="auto"/>
                  <w:jc w:val="center"/>
                  <w:rPr>
                    <w:rFonts w:ascii="Garamond" w:hAnsi="Garamond"/>
                    <w:sz w:val="24"/>
                    <w:szCs w:val="24"/>
                    <w:lang w:val="en-US"/>
                  </w:rPr>
                </w:pPr>
                <w:r w:rsidRPr="00830C1E">
                  <w:rPr>
                    <w:rFonts w:ascii="Garamond" w:hAnsi="Garamond"/>
                    <w:sz w:val="24"/>
                    <w:szCs w:val="24"/>
                    <w:lang w:val="en-US"/>
                  </w:rPr>
                  <w:t>Value-creating and useful for market reach</w:t>
                </w:r>
              </w:p>
            </w:tc>
          </w:tr>
          <w:tr w:rsidR="00830C1E" w:rsidRPr="00830C1E" w14:paraId="03CC648F" w14:textId="77777777" w:rsidTr="0051413D">
            <w:tc>
              <w:tcPr>
                <w:tcW w:w="2484" w:type="dxa"/>
                <w:tcBorders>
                  <w:top w:val="single" w:sz="4" w:space="0" w:color="auto"/>
                  <w:left w:val="single" w:sz="4" w:space="0" w:color="auto"/>
                  <w:bottom w:val="single" w:sz="4" w:space="0" w:color="auto"/>
                  <w:right w:val="single" w:sz="4" w:space="0" w:color="auto"/>
                </w:tcBorders>
                <w:vAlign w:val="center"/>
                <w:hideMark/>
              </w:tcPr>
              <w:p w14:paraId="3301196E" w14:textId="77777777" w:rsidR="00830C1E" w:rsidRPr="00830C1E" w:rsidRDefault="00830C1E" w:rsidP="00A86DE5">
                <w:pPr>
                  <w:spacing w:after="160" w:line="259" w:lineRule="auto"/>
                  <w:jc w:val="center"/>
                  <w:rPr>
                    <w:rFonts w:ascii="Garamond" w:hAnsi="Garamond"/>
                    <w:sz w:val="24"/>
                    <w:szCs w:val="24"/>
                    <w:lang w:val="en-US"/>
                  </w:rPr>
                </w:pPr>
                <w:r w:rsidRPr="00830C1E">
                  <w:rPr>
                    <w:rFonts w:ascii="Garamond" w:hAnsi="Garamond"/>
                    <w:sz w:val="24"/>
                    <w:szCs w:val="24"/>
                    <w:lang w:val="en-US"/>
                  </w:rPr>
                  <w:t>C</w:t>
                </w:r>
              </w:p>
            </w:tc>
            <w:tc>
              <w:tcPr>
                <w:tcW w:w="2484" w:type="dxa"/>
                <w:tcBorders>
                  <w:top w:val="single" w:sz="4" w:space="0" w:color="auto"/>
                  <w:left w:val="single" w:sz="4" w:space="0" w:color="auto"/>
                  <w:bottom w:val="single" w:sz="4" w:space="0" w:color="auto"/>
                  <w:right w:val="single" w:sz="4" w:space="0" w:color="auto"/>
                </w:tcBorders>
                <w:vAlign w:val="center"/>
                <w:hideMark/>
              </w:tcPr>
              <w:p w14:paraId="4C396ED8" w14:textId="77777777" w:rsidR="00830C1E" w:rsidRPr="00830C1E" w:rsidRDefault="00830C1E" w:rsidP="00A86DE5">
                <w:pPr>
                  <w:spacing w:after="160" w:line="259" w:lineRule="auto"/>
                  <w:jc w:val="center"/>
                  <w:rPr>
                    <w:rFonts w:ascii="Garamond" w:hAnsi="Garamond"/>
                    <w:sz w:val="24"/>
                    <w:szCs w:val="24"/>
                    <w:lang w:val="en-US"/>
                  </w:rPr>
                </w:pPr>
                <w:r w:rsidRPr="00830C1E">
                  <w:rPr>
                    <w:rFonts w:ascii="Garamond" w:hAnsi="Garamond"/>
                    <w:sz w:val="24"/>
                    <w:szCs w:val="24"/>
                    <w:lang w:val="en-US"/>
                  </w:rPr>
                  <w:t>Produce purses and wallets</w:t>
                </w:r>
              </w:p>
            </w:tc>
            <w:tc>
              <w:tcPr>
                <w:tcW w:w="2484" w:type="dxa"/>
                <w:tcBorders>
                  <w:top w:val="single" w:sz="4" w:space="0" w:color="auto"/>
                  <w:left w:val="single" w:sz="4" w:space="0" w:color="auto"/>
                  <w:bottom w:val="single" w:sz="4" w:space="0" w:color="auto"/>
                  <w:right w:val="single" w:sz="4" w:space="0" w:color="auto"/>
                </w:tcBorders>
                <w:vAlign w:val="center"/>
                <w:hideMark/>
              </w:tcPr>
              <w:p w14:paraId="525E4529" w14:textId="77777777" w:rsidR="00830C1E" w:rsidRPr="00830C1E" w:rsidRDefault="00830C1E" w:rsidP="00A86DE5">
                <w:pPr>
                  <w:spacing w:after="160" w:line="259" w:lineRule="auto"/>
                  <w:jc w:val="center"/>
                  <w:rPr>
                    <w:rFonts w:ascii="Garamond" w:hAnsi="Garamond"/>
                    <w:sz w:val="24"/>
                    <w:szCs w:val="24"/>
                    <w:lang w:val="en-US"/>
                  </w:rPr>
                </w:pPr>
                <w:r w:rsidRPr="00830C1E">
                  <w:rPr>
                    <w:rFonts w:ascii="Garamond" w:hAnsi="Garamond"/>
                    <w:sz w:val="24"/>
                    <w:szCs w:val="24"/>
                    <w:lang w:val="en-US"/>
                  </w:rPr>
                  <w:t>GBP91.23k</w:t>
                </w:r>
              </w:p>
            </w:tc>
            <w:tc>
              <w:tcPr>
                <w:tcW w:w="2484" w:type="dxa"/>
                <w:tcBorders>
                  <w:top w:val="single" w:sz="4" w:space="0" w:color="auto"/>
                  <w:left w:val="single" w:sz="4" w:space="0" w:color="auto"/>
                  <w:bottom w:val="single" w:sz="4" w:space="0" w:color="auto"/>
                  <w:right w:val="single" w:sz="4" w:space="0" w:color="auto"/>
                </w:tcBorders>
                <w:vAlign w:val="center"/>
                <w:hideMark/>
              </w:tcPr>
              <w:p w14:paraId="059016EE" w14:textId="77777777" w:rsidR="00830C1E" w:rsidRPr="00830C1E" w:rsidRDefault="00830C1E" w:rsidP="00A86DE5">
                <w:pPr>
                  <w:spacing w:after="160" w:line="259" w:lineRule="auto"/>
                  <w:jc w:val="center"/>
                  <w:rPr>
                    <w:rFonts w:ascii="Garamond" w:hAnsi="Garamond"/>
                    <w:sz w:val="24"/>
                    <w:szCs w:val="24"/>
                    <w:lang w:val="en-US"/>
                  </w:rPr>
                </w:pPr>
                <w:r w:rsidRPr="00830C1E">
                  <w:rPr>
                    <w:rFonts w:ascii="Garamond" w:hAnsi="Garamond"/>
                    <w:sz w:val="24"/>
                    <w:szCs w:val="24"/>
                    <w:lang w:val="en-US"/>
                  </w:rPr>
                  <w:t>Highest base-case value creation</w:t>
                </w:r>
              </w:p>
            </w:tc>
          </w:tr>
        </w:tbl>
        <w:p w14:paraId="533A68FC" w14:textId="77777777" w:rsidR="00830C1E" w:rsidRPr="00830C1E" w:rsidRDefault="00830C1E" w:rsidP="00830C1E">
          <w:pPr>
            <w:rPr>
              <w:rFonts w:ascii="Garamond" w:hAnsi="Garamond"/>
              <w:b/>
              <w:sz w:val="24"/>
              <w:szCs w:val="24"/>
              <w:lang w:val="en-US"/>
            </w:rPr>
          </w:pPr>
        </w:p>
        <w:p w14:paraId="02DA7DBE" w14:textId="285BB80A" w:rsidR="00830C1E" w:rsidRDefault="00830C1E" w:rsidP="004F675A">
          <w:pPr>
            <w:pStyle w:val="Heading3"/>
            <w:rPr>
              <w:rFonts w:ascii="Garamond" w:hAnsi="Garamond"/>
              <w:sz w:val="28"/>
              <w:szCs w:val="28"/>
              <w:lang w:val="en-US"/>
            </w:rPr>
          </w:pPr>
          <w:bookmarkStart w:id="12" w:name="_Toc227521280"/>
          <w:r w:rsidRPr="004F675A">
            <w:rPr>
              <w:rFonts w:ascii="Garamond" w:hAnsi="Garamond"/>
              <w:sz w:val="28"/>
              <w:szCs w:val="28"/>
              <w:lang w:val="en-US"/>
            </w:rPr>
            <w:t>2.2 What the numbers imply for management</w:t>
          </w:r>
          <w:bookmarkEnd w:id="12"/>
        </w:p>
        <w:p w14:paraId="76BC8C98" w14:textId="77777777" w:rsidR="00C803DD" w:rsidRPr="00C803DD" w:rsidRDefault="00C803DD" w:rsidP="00C803DD">
          <w:pPr>
            <w:rPr>
              <w:lang w:val="en-US"/>
            </w:rPr>
          </w:pPr>
        </w:p>
        <w:p w14:paraId="13168E9C" w14:textId="77777777" w:rsidR="00830C1E" w:rsidRPr="00830C1E" w:rsidRDefault="00830C1E" w:rsidP="0050439A">
          <w:pPr>
            <w:ind w:firstLine="720"/>
            <w:rPr>
              <w:rFonts w:ascii="Garamond" w:hAnsi="Garamond"/>
              <w:sz w:val="24"/>
              <w:szCs w:val="24"/>
              <w:lang w:val="en-US"/>
            </w:rPr>
          </w:pPr>
          <w:r w:rsidRPr="00830C1E">
            <w:rPr>
              <w:rFonts w:ascii="Garamond" w:hAnsi="Garamond"/>
              <w:sz w:val="24"/>
              <w:szCs w:val="24"/>
              <w:lang w:val="en-US"/>
            </w:rPr>
            <w:t xml:space="preserve">Option A should not be </w:t>
          </w:r>
          <w:proofErr w:type="spellStart"/>
          <w:r w:rsidRPr="00830C1E">
            <w:rPr>
              <w:rFonts w:ascii="Garamond" w:hAnsi="Garamond"/>
              <w:sz w:val="24"/>
              <w:szCs w:val="24"/>
              <w:lang w:val="en-US"/>
            </w:rPr>
            <w:t>prioritised</w:t>
          </w:r>
          <w:proofErr w:type="spellEnd"/>
          <w:r w:rsidRPr="00830C1E">
            <w:rPr>
              <w:rFonts w:ascii="Garamond" w:hAnsi="Garamond"/>
              <w:sz w:val="24"/>
              <w:szCs w:val="24"/>
              <w:lang w:val="en-US"/>
            </w:rPr>
            <w:t xml:space="preserve">. Its negative NPV is small, so the project is not financially catastrophic, but a marginally negative result is weak when the directors have two alternatives that generate positive value. The result suggests that retail expansion may have insufficient incremental cash flow </w:t>
          </w:r>
          <w:proofErr w:type="gramStart"/>
          <w:r w:rsidRPr="00830C1E">
            <w:rPr>
              <w:rFonts w:ascii="Garamond" w:hAnsi="Garamond"/>
              <w:sz w:val="24"/>
              <w:szCs w:val="24"/>
              <w:lang w:val="en-US"/>
            </w:rPr>
            <w:t>for the amount of</w:t>
          </w:r>
          <w:proofErr w:type="gramEnd"/>
          <w:r w:rsidRPr="00830C1E">
            <w:rPr>
              <w:rFonts w:ascii="Garamond" w:hAnsi="Garamond"/>
              <w:sz w:val="24"/>
              <w:szCs w:val="24"/>
              <w:lang w:val="en-US"/>
            </w:rPr>
            <w:t xml:space="preserve"> capital required. If management still </w:t>
          </w:r>
          <w:proofErr w:type="spellStart"/>
          <w:r w:rsidRPr="00830C1E">
            <w:rPr>
              <w:rFonts w:ascii="Garamond" w:hAnsi="Garamond"/>
              <w:sz w:val="24"/>
              <w:szCs w:val="24"/>
              <w:lang w:val="en-US"/>
            </w:rPr>
            <w:t>favours</w:t>
          </w:r>
          <w:proofErr w:type="spellEnd"/>
          <w:r w:rsidRPr="00830C1E">
            <w:rPr>
              <w:rFonts w:ascii="Garamond" w:hAnsi="Garamond"/>
              <w:sz w:val="24"/>
              <w:szCs w:val="24"/>
              <w:lang w:val="en-US"/>
            </w:rPr>
            <w:t xml:space="preserve"> this route for brand or customer-service reasons, it should be redesigned and re-costed rather than accepted in its current form.</w:t>
          </w:r>
        </w:p>
        <w:p w14:paraId="6369AD12" w14:textId="77777777" w:rsidR="00830C1E" w:rsidRPr="00830C1E" w:rsidRDefault="00830C1E" w:rsidP="0050439A">
          <w:pPr>
            <w:ind w:firstLine="720"/>
            <w:rPr>
              <w:rFonts w:ascii="Garamond" w:hAnsi="Garamond"/>
              <w:sz w:val="24"/>
              <w:szCs w:val="24"/>
              <w:lang w:val="en-US"/>
            </w:rPr>
          </w:pPr>
          <w:r w:rsidRPr="00830C1E">
            <w:rPr>
              <w:rFonts w:ascii="Garamond" w:hAnsi="Garamond"/>
              <w:sz w:val="24"/>
              <w:szCs w:val="24"/>
              <w:lang w:val="en-US"/>
            </w:rPr>
            <w:lastRenderedPageBreak/>
            <w:t xml:space="preserve">Option B is financially acceptable because it produces a positive NPV of around GBP73.95k. It could also give Beard Plc a wider geographic market, direct customer data and a platform for future product launches. However, the result should not be read as a guarantee that online sales </w:t>
          </w:r>
          <w:proofErr w:type="gramStart"/>
          <w:r w:rsidRPr="00830C1E">
            <w:rPr>
              <w:rFonts w:ascii="Garamond" w:hAnsi="Garamond"/>
              <w:sz w:val="24"/>
              <w:szCs w:val="24"/>
              <w:lang w:val="en-US"/>
            </w:rPr>
            <w:t>are</w:t>
          </w:r>
          <w:proofErr w:type="gramEnd"/>
          <w:r w:rsidRPr="00830C1E">
            <w:rPr>
              <w:rFonts w:ascii="Garamond" w:hAnsi="Garamond"/>
              <w:sz w:val="24"/>
              <w:szCs w:val="24"/>
              <w:lang w:val="en-US"/>
            </w:rPr>
            <w:t xml:space="preserve"> low risk. E-commerce may require website development, fulfilment capability, digital marketing spend, returns handling and cybersecurity controls. These costs should be tested carefully before the board commits to a full launch.</w:t>
          </w:r>
        </w:p>
        <w:p w14:paraId="6821776F" w14:textId="77777777" w:rsidR="00830C1E" w:rsidRPr="003A68C8" w:rsidRDefault="00830C1E" w:rsidP="0050439A">
          <w:pPr>
            <w:ind w:firstLine="720"/>
            <w:rPr>
              <w:rFonts w:ascii="Garamond" w:hAnsi="Garamond"/>
              <w:sz w:val="24"/>
              <w:szCs w:val="24"/>
              <w:lang w:val="en-US"/>
            </w:rPr>
          </w:pPr>
          <w:r w:rsidRPr="00830C1E">
            <w:rPr>
              <w:rFonts w:ascii="Garamond" w:hAnsi="Garamond"/>
              <w:sz w:val="24"/>
              <w:szCs w:val="24"/>
              <w:lang w:val="en-US"/>
            </w:rPr>
            <w:t>Option C is the preferred single project. Its NPV of approximately GBP91.23k is the highest of the three and the approximate IRR of 8.57% is above the 5% cost of capital. The project also appears to fit Beard Plc's existing brand and production knowledge. Purses and wallets are adjacent products, so management may be able to share materials, supplier contacts and design expertise. This strategic fit strengthens the financial recommendation, although it does not remove the need for market testing.</w:t>
          </w:r>
        </w:p>
        <w:p w14:paraId="55550F48" w14:textId="77777777" w:rsidR="00A86DE5" w:rsidRPr="004F675A" w:rsidRDefault="00A86DE5" w:rsidP="004F675A">
          <w:pPr>
            <w:pStyle w:val="Heading3"/>
            <w:rPr>
              <w:rFonts w:ascii="Garamond" w:hAnsi="Garamond"/>
              <w:sz w:val="28"/>
              <w:szCs w:val="28"/>
              <w:lang w:val="en-US"/>
            </w:rPr>
          </w:pPr>
        </w:p>
        <w:p w14:paraId="66EFCCBE" w14:textId="3B5E3673" w:rsidR="00830C1E" w:rsidRDefault="00830C1E" w:rsidP="004F675A">
          <w:pPr>
            <w:pStyle w:val="Heading3"/>
            <w:rPr>
              <w:rFonts w:ascii="Garamond" w:hAnsi="Garamond"/>
              <w:sz w:val="28"/>
              <w:szCs w:val="28"/>
              <w:lang w:val="en-US"/>
            </w:rPr>
          </w:pPr>
          <w:bookmarkStart w:id="13" w:name="_Toc227521281"/>
          <w:r w:rsidRPr="004F675A">
            <w:rPr>
              <w:rFonts w:ascii="Garamond" w:hAnsi="Garamond"/>
              <w:sz w:val="28"/>
              <w:szCs w:val="28"/>
              <w:lang w:val="en-US"/>
            </w:rPr>
            <w:t>2.3 NPV, IRR and the selection rule</w:t>
          </w:r>
          <w:bookmarkEnd w:id="13"/>
        </w:p>
        <w:p w14:paraId="04141A1F" w14:textId="77777777" w:rsidR="00C803DD" w:rsidRPr="00C803DD" w:rsidRDefault="00C803DD" w:rsidP="00C803DD">
          <w:pPr>
            <w:rPr>
              <w:lang w:val="en-US"/>
            </w:rPr>
          </w:pPr>
        </w:p>
        <w:p w14:paraId="188E72B0" w14:textId="77777777" w:rsidR="00830C1E" w:rsidRPr="00830C1E" w:rsidRDefault="00830C1E" w:rsidP="0050439A">
          <w:pPr>
            <w:ind w:firstLine="720"/>
            <w:rPr>
              <w:rFonts w:ascii="Garamond" w:hAnsi="Garamond"/>
              <w:sz w:val="24"/>
              <w:szCs w:val="24"/>
              <w:lang w:val="en-US"/>
            </w:rPr>
          </w:pPr>
          <w:r w:rsidRPr="00830C1E">
            <w:rPr>
              <w:rFonts w:ascii="Garamond" w:hAnsi="Garamond"/>
              <w:sz w:val="24"/>
              <w:szCs w:val="24"/>
              <w:lang w:val="en-US"/>
            </w:rPr>
            <w:t xml:space="preserve">NPV should be the main selection rule because it measures the expected increase in company value in monetary terms. A positive NPV shows that a project is expected to cover the required return and still leave a surplus. This is stronger than a percentage-only measure because directors need to know the scale of value created, not only the rate of return. NPV is also consistent with shareholder wealth </w:t>
          </w:r>
          <w:proofErr w:type="spellStart"/>
          <w:r w:rsidRPr="00830C1E">
            <w:rPr>
              <w:rFonts w:ascii="Garamond" w:hAnsi="Garamond"/>
              <w:sz w:val="24"/>
              <w:szCs w:val="24"/>
              <w:lang w:val="en-US"/>
            </w:rPr>
            <w:t>maximisation</w:t>
          </w:r>
          <w:proofErr w:type="spellEnd"/>
          <w:r w:rsidRPr="00830C1E">
            <w:rPr>
              <w:rFonts w:ascii="Garamond" w:hAnsi="Garamond"/>
              <w:sz w:val="24"/>
              <w:szCs w:val="24"/>
              <w:lang w:val="en-US"/>
            </w:rPr>
            <w:t xml:space="preserve"> because it discounts future cash flows at the opportunity cost of capital (</w:t>
          </w:r>
          <w:proofErr w:type="spellStart"/>
          <w:r w:rsidRPr="00830C1E">
            <w:rPr>
              <w:rFonts w:ascii="Garamond" w:hAnsi="Garamond"/>
              <w:sz w:val="24"/>
              <w:szCs w:val="24"/>
              <w:lang w:val="en-US"/>
            </w:rPr>
            <w:t>Atrill</w:t>
          </w:r>
          <w:proofErr w:type="spellEnd"/>
          <w:r w:rsidRPr="00830C1E">
            <w:rPr>
              <w:rFonts w:ascii="Garamond" w:hAnsi="Garamond"/>
              <w:sz w:val="24"/>
              <w:szCs w:val="24"/>
              <w:lang w:val="en-US"/>
            </w:rPr>
            <w:t>, 2019; Arnold and Lewis, 2019).</w:t>
          </w:r>
        </w:p>
        <w:p w14:paraId="2BD27F5D" w14:textId="77777777" w:rsidR="00830C1E" w:rsidRDefault="00830C1E" w:rsidP="0050439A">
          <w:pPr>
            <w:ind w:firstLine="720"/>
            <w:rPr>
              <w:rFonts w:ascii="Garamond" w:hAnsi="Garamond"/>
              <w:sz w:val="24"/>
              <w:szCs w:val="24"/>
              <w:lang w:val="en-US"/>
            </w:rPr>
          </w:pPr>
          <w:r w:rsidRPr="00830C1E">
            <w:rPr>
              <w:rFonts w:ascii="Garamond" w:hAnsi="Garamond"/>
              <w:sz w:val="24"/>
              <w:szCs w:val="24"/>
              <w:lang w:val="en-US"/>
            </w:rPr>
            <w:t xml:space="preserve">IRR is still useful, but it should be used with care. Option C's IRR of about 8.57% supports acceptance because it is above the hurdle rate. The weakness is that IRR can encourage managers to prefer a project with a high percentage return even when another project creates more total wealth. It can also create confusion if cash flows change </w:t>
          </w:r>
          <w:proofErr w:type="gramStart"/>
          <w:r w:rsidRPr="00830C1E">
            <w:rPr>
              <w:rFonts w:ascii="Garamond" w:hAnsi="Garamond"/>
              <w:sz w:val="24"/>
              <w:szCs w:val="24"/>
              <w:lang w:val="en-US"/>
            </w:rPr>
            <w:t>sign</w:t>
          </w:r>
          <w:proofErr w:type="gramEnd"/>
          <w:r w:rsidRPr="00830C1E">
            <w:rPr>
              <w:rFonts w:ascii="Garamond" w:hAnsi="Garamond"/>
              <w:sz w:val="24"/>
              <w:szCs w:val="24"/>
              <w:lang w:val="en-US"/>
            </w:rPr>
            <w:t xml:space="preserve"> more than once. In this case the IRR result is helpful as </w:t>
          </w:r>
          <w:proofErr w:type="gramStart"/>
          <w:r w:rsidRPr="00830C1E">
            <w:rPr>
              <w:rFonts w:ascii="Garamond" w:hAnsi="Garamond"/>
              <w:sz w:val="24"/>
              <w:szCs w:val="24"/>
              <w:lang w:val="en-US"/>
            </w:rPr>
            <w:t>a confirmation</w:t>
          </w:r>
          <w:proofErr w:type="gramEnd"/>
          <w:r w:rsidRPr="00830C1E">
            <w:rPr>
              <w:rFonts w:ascii="Garamond" w:hAnsi="Garamond"/>
              <w:sz w:val="24"/>
              <w:szCs w:val="24"/>
              <w:lang w:val="en-US"/>
            </w:rPr>
            <w:t>, not as a replacement for the NPV ranking.</w:t>
          </w:r>
        </w:p>
        <w:p w14:paraId="20C5EACF" w14:textId="77777777" w:rsidR="0050439A" w:rsidRPr="00830C1E" w:rsidRDefault="0050439A" w:rsidP="0050439A">
          <w:pPr>
            <w:ind w:firstLine="720"/>
            <w:rPr>
              <w:rFonts w:ascii="Garamond" w:hAnsi="Garamond"/>
              <w:sz w:val="24"/>
              <w:szCs w:val="24"/>
              <w:lang w:val="en-US"/>
            </w:rPr>
          </w:pPr>
        </w:p>
        <w:p w14:paraId="456CD9D1" w14:textId="61B01E70" w:rsidR="00830C1E" w:rsidRDefault="00830C1E" w:rsidP="0050439A">
          <w:pPr>
            <w:pStyle w:val="Heading3"/>
            <w:rPr>
              <w:rFonts w:ascii="Garamond" w:hAnsi="Garamond"/>
              <w:sz w:val="28"/>
              <w:szCs w:val="28"/>
              <w:lang w:val="en-US"/>
            </w:rPr>
          </w:pPr>
          <w:bookmarkStart w:id="14" w:name="_Toc227521282"/>
          <w:r w:rsidRPr="0050439A">
            <w:rPr>
              <w:rFonts w:ascii="Garamond" w:hAnsi="Garamond"/>
              <w:sz w:val="28"/>
              <w:szCs w:val="28"/>
              <w:lang w:val="en-US"/>
            </w:rPr>
            <w:t xml:space="preserve">2.4 Why </w:t>
          </w:r>
          <w:proofErr w:type="gramStart"/>
          <w:r w:rsidRPr="0050439A">
            <w:rPr>
              <w:rFonts w:ascii="Garamond" w:hAnsi="Garamond"/>
              <w:sz w:val="28"/>
              <w:szCs w:val="28"/>
              <w:lang w:val="en-US"/>
            </w:rPr>
            <w:t>simpler methods are</w:t>
          </w:r>
          <w:proofErr w:type="gramEnd"/>
          <w:r w:rsidRPr="0050439A">
            <w:rPr>
              <w:rFonts w:ascii="Garamond" w:hAnsi="Garamond"/>
              <w:sz w:val="28"/>
              <w:szCs w:val="28"/>
              <w:lang w:val="en-US"/>
            </w:rPr>
            <w:t xml:space="preserve"> still used</w:t>
          </w:r>
          <w:bookmarkEnd w:id="14"/>
        </w:p>
        <w:p w14:paraId="666B316C" w14:textId="77777777" w:rsidR="0050439A" w:rsidRPr="0050439A" w:rsidRDefault="0050439A" w:rsidP="0050439A">
          <w:pPr>
            <w:rPr>
              <w:lang w:val="en-US"/>
            </w:rPr>
          </w:pPr>
        </w:p>
        <w:p w14:paraId="7BED0841" w14:textId="77777777" w:rsidR="00830C1E" w:rsidRPr="00830C1E" w:rsidRDefault="00830C1E" w:rsidP="0050439A">
          <w:pPr>
            <w:ind w:firstLine="720"/>
            <w:rPr>
              <w:rFonts w:ascii="Garamond" w:hAnsi="Garamond"/>
              <w:sz w:val="24"/>
              <w:szCs w:val="24"/>
              <w:lang w:val="en-US"/>
            </w:rPr>
          </w:pPr>
          <w:r w:rsidRPr="00830C1E">
            <w:rPr>
              <w:rFonts w:ascii="Garamond" w:hAnsi="Garamond"/>
              <w:sz w:val="24"/>
              <w:szCs w:val="24"/>
              <w:lang w:val="en-US"/>
            </w:rPr>
            <w:t xml:space="preserve">Although discounted cash-flow methods are theoretically stronger, managers often continue to use payback and accounting rate of return. This is not necessarily irrational. Payback focuses attention on liquidity and </w:t>
          </w:r>
          <w:proofErr w:type="gramStart"/>
          <w:r w:rsidRPr="00830C1E">
            <w:rPr>
              <w:rFonts w:ascii="Garamond" w:hAnsi="Garamond"/>
              <w:sz w:val="24"/>
              <w:szCs w:val="24"/>
              <w:lang w:val="en-US"/>
            </w:rPr>
            <w:t>forecast</w:t>
          </w:r>
          <w:proofErr w:type="gramEnd"/>
          <w:r w:rsidRPr="00830C1E">
            <w:rPr>
              <w:rFonts w:ascii="Garamond" w:hAnsi="Garamond"/>
              <w:sz w:val="24"/>
              <w:szCs w:val="24"/>
              <w:lang w:val="en-US"/>
            </w:rPr>
            <w:t xml:space="preserve"> risk by showing how quickly the initial investment is recovered. For a business with limited funds, </w:t>
          </w:r>
          <w:proofErr w:type="gramStart"/>
          <w:r w:rsidRPr="00830C1E">
            <w:rPr>
              <w:rFonts w:ascii="Garamond" w:hAnsi="Garamond"/>
              <w:sz w:val="24"/>
              <w:szCs w:val="24"/>
              <w:lang w:val="en-US"/>
            </w:rPr>
            <w:t>quick cash</w:t>
          </w:r>
          <w:proofErr w:type="gramEnd"/>
          <w:r w:rsidRPr="00830C1E">
            <w:rPr>
              <w:rFonts w:ascii="Garamond" w:hAnsi="Garamond"/>
              <w:sz w:val="24"/>
              <w:szCs w:val="24"/>
              <w:lang w:val="en-US"/>
            </w:rPr>
            <w:t xml:space="preserve"> recovery can be important because it reduces exposure to uncertain later-year forecasts. ARR is also attractive because it uses accounting profit, which links more easily to budgets and performance targets.</w:t>
          </w:r>
        </w:p>
        <w:p w14:paraId="4F62A3F1" w14:textId="77777777" w:rsidR="00830C1E" w:rsidRPr="003A68C8" w:rsidRDefault="00830C1E" w:rsidP="0050439A">
          <w:pPr>
            <w:ind w:firstLine="720"/>
            <w:rPr>
              <w:rFonts w:ascii="Garamond" w:hAnsi="Garamond"/>
              <w:sz w:val="24"/>
              <w:szCs w:val="24"/>
              <w:lang w:val="en-US"/>
            </w:rPr>
          </w:pPr>
          <w:r w:rsidRPr="00830C1E">
            <w:rPr>
              <w:rFonts w:ascii="Garamond" w:hAnsi="Garamond"/>
              <w:sz w:val="24"/>
              <w:szCs w:val="24"/>
              <w:lang w:val="en-US"/>
            </w:rPr>
            <w:t xml:space="preserve">The weakness is that both methods can produce incomplete decisions. Payback usually ignores cash </w:t>
          </w:r>
          <w:proofErr w:type="gramStart"/>
          <w:r w:rsidRPr="00830C1E">
            <w:rPr>
              <w:rFonts w:ascii="Garamond" w:hAnsi="Garamond"/>
              <w:sz w:val="24"/>
              <w:szCs w:val="24"/>
              <w:lang w:val="en-US"/>
            </w:rPr>
            <w:t>flows</w:t>
          </w:r>
          <w:proofErr w:type="gramEnd"/>
          <w:r w:rsidRPr="00830C1E">
            <w:rPr>
              <w:rFonts w:ascii="Garamond" w:hAnsi="Garamond"/>
              <w:sz w:val="24"/>
              <w:szCs w:val="24"/>
              <w:lang w:val="en-US"/>
            </w:rPr>
            <w:t xml:space="preserve"> after the recovery point, so it may reject projects with strong later benefits. ARR is based on accounting numbers rather than cash and can be affected by depreciation assumptions. Beard Plc can use these measures as communication and risk-control tools, but the investment should not be accepted or rejected mainly on that basis. The base-case NPV ranking gives the sounder decision.</w:t>
          </w:r>
        </w:p>
        <w:p w14:paraId="749FE63C" w14:textId="77777777" w:rsidR="00A86DE5" w:rsidRPr="00A653F7" w:rsidRDefault="00A86DE5" w:rsidP="00A653F7">
          <w:pPr>
            <w:pStyle w:val="Heading2"/>
          </w:pPr>
        </w:p>
        <w:p w14:paraId="163837FC" w14:textId="3C8CA17A" w:rsidR="00830C1E" w:rsidRDefault="00830C1E" w:rsidP="004F675A">
          <w:pPr>
            <w:pStyle w:val="Heading3"/>
            <w:rPr>
              <w:rFonts w:ascii="Garamond" w:hAnsi="Garamond"/>
              <w:sz w:val="28"/>
              <w:szCs w:val="28"/>
            </w:rPr>
          </w:pPr>
          <w:bookmarkStart w:id="15" w:name="_Toc227521283"/>
          <w:r w:rsidRPr="004F675A">
            <w:rPr>
              <w:rFonts w:ascii="Garamond" w:hAnsi="Garamond"/>
              <w:sz w:val="28"/>
              <w:szCs w:val="28"/>
            </w:rPr>
            <w:t>2.5 Capital rationing under the GBP1.5m limit</w:t>
          </w:r>
          <w:bookmarkEnd w:id="15"/>
        </w:p>
        <w:p w14:paraId="25D031A5" w14:textId="77777777" w:rsidR="00C803DD" w:rsidRPr="00C803DD" w:rsidRDefault="00C803DD" w:rsidP="00C803DD"/>
        <w:p w14:paraId="05C87373" w14:textId="77777777" w:rsidR="00830C1E" w:rsidRPr="003A68C8" w:rsidRDefault="00830C1E" w:rsidP="0050439A">
          <w:pPr>
            <w:ind w:firstLine="720"/>
            <w:rPr>
              <w:rFonts w:ascii="Garamond" w:hAnsi="Garamond"/>
              <w:sz w:val="24"/>
              <w:szCs w:val="24"/>
              <w:lang w:val="en-US"/>
            </w:rPr>
          </w:pPr>
          <w:r w:rsidRPr="00830C1E">
            <w:rPr>
              <w:rFonts w:ascii="Garamond" w:hAnsi="Garamond"/>
              <w:sz w:val="24"/>
              <w:szCs w:val="24"/>
              <w:lang w:val="en-US"/>
            </w:rPr>
            <w:t>The capital rationing result changes the practical recommendation. If projects are divisible and only GBP1.5m is available, Beard Plc should not simply take the largest project and leave the remaining funds unused. The company should first invest in the positive-NPV project that provides the highest NPV per pound invested, then apply the remaining capital to the next best positive-NPV project.</w:t>
          </w:r>
        </w:p>
        <w:p w14:paraId="373D3449" w14:textId="77777777" w:rsidR="00A86DE5" w:rsidRDefault="00A86DE5" w:rsidP="00830C1E">
          <w:pPr>
            <w:rPr>
              <w:rFonts w:ascii="Garamond" w:hAnsi="Garamond"/>
              <w:sz w:val="24"/>
              <w:szCs w:val="24"/>
              <w:lang w:val="en-US"/>
            </w:rPr>
          </w:pPr>
        </w:p>
        <w:p w14:paraId="67267A5A" w14:textId="53AFC5F1" w:rsidR="00F16723" w:rsidRPr="00E173D4" w:rsidRDefault="00F16723" w:rsidP="00F16723">
          <w:pPr>
            <w:jc w:val="center"/>
            <w:rPr>
              <w:rFonts w:ascii="Garamond" w:hAnsi="Garamond"/>
              <w:i/>
              <w:iCs/>
              <w:sz w:val="24"/>
              <w:szCs w:val="24"/>
              <w:lang w:val="en-US"/>
            </w:rPr>
          </w:pPr>
          <w:r w:rsidRPr="00E173D4">
            <w:rPr>
              <w:rFonts w:ascii="Garamond" w:hAnsi="Garamond"/>
              <w:i/>
              <w:iCs/>
              <w:sz w:val="24"/>
              <w:szCs w:val="24"/>
              <w:lang w:val="en-US"/>
            </w:rPr>
            <w:t xml:space="preserve">Table </w:t>
          </w:r>
          <w:r w:rsidRPr="00E173D4">
            <w:rPr>
              <w:rFonts w:ascii="Garamond" w:hAnsi="Garamond"/>
              <w:i/>
              <w:iCs/>
              <w:sz w:val="24"/>
              <w:szCs w:val="24"/>
              <w:lang w:val="en-US"/>
            </w:rPr>
            <w:t>4</w:t>
          </w:r>
          <w:r w:rsidRPr="00E173D4">
            <w:rPr>
              <w:rFonts w:ascii="Garamond" w:hAnsi="Garamond"/>
              <w:i/>
              <w:iCs/>
              <w:sz w:val="24"/>
              <w:szCs w:val="24"/>
              <w:lang w:val="en-US"/>
            </w:rPr>
            <w:t xml:space="preserve">. </w:t>
          </w:r>
          <w:r w:rsidR="00E173D4" w:rsidRPr="00E173D4">
            <w:rPr>
              <w:rFonts w:ascii="Garamond" w:hAnsi="Garamond"/>
              <w:i/>
              <w:iCs/>
              <w:sz w:val="24"/>
              <w:szCs w:val="24"/>
              <w:lang w:val="en-US"/>
            </w:rPr>
            <w:t>Capital Rationing</w:t>
          </w:r>
        </w:p>
        <w:tbl>
          <w:tblPr>
            <w:tblStyle w:val="TableGrid"/>
            <w:tblW w:w="0" w:type="auto"/>
            <w:tblLook w:val="04A0" w:firstRow="1" w:lastRow="0" w:firstColumn="1" w:lastColumn="0" w:noHBand="0" w:noVBand="1"/>
          </w:tblPr>
          <w:tblGrid>
            <w:gridCol w:w="2115"/>
            <w:gridCol w:w="2305"/>
            <w:gridCol w:w="2296"/>
            <w:gridCol w:w="2300"/>
          </w:tblGrid>
          <w:tr w:rsidR="00830C1E" w:rsidRPr="00830C1E" w14:paraId="5154E3C8" w14:textId="77777777" w:rsidTr="0051413D">
            <w:tc>
              <w:tcPr>
                <w:tcW w:w="2484"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7601BF64" w14:textId="77777777" w:rsidR="00830C1E" w:rsidRPr="00830C1E" w:rsidRDefault="00830C1E" w:rsidP="0051413D">
                <w:pPr>
                  <w:spacing w:after="160" w:line="259" w:lineRule="auto"/>
                  <w:jc w:val="center"/>
                  <w:rPr>
                    <w:rFonts w:ascii="Garamond" w:hAnsi="Garamond"/>
                    <w:sz w:val="24"/>
                    <w:szCs w:val="24"/>
                    <w:lang w:val="en-US"/>
                  </w:rPr>
                </w:pPr>
                <w:r w:rsidRPr="00830C1E">
                  <w:rPr>
                    <w:rFonts w:ascii="Garamond" w:hAnsi="Garamond"/>
                    <w:b/>
                    <w:sz w:val="24"/>
                    <w:szCs w:val="24"/>
                    <w:lang w:val="en-US"/>
                  </w:rPr>
                  <w:t>Step</w:t>
                </w:r>
              </w:p>
            </w:tc>
            <w:tc>
              <w:tcPr>
                <w:tcW w:w="2484"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3C185D82" w14:textId="77777777" w:rsidR="00830C1E" w:rsidRPr="00830C1E" w:rsidRDefault="00830C1E" w:rsidP="0051413D">
                <w:pPr>
                  <w:spacing w:after="160" w:line="259" w:lineRule="auto"/>
                  <w:jc w:val="center"/>
                  <w:rPr>
                    <w:rFonts w:ascii="Garamond" w:hAnsi="Garamond"/>
                    <w:sz w:val="24"/>
                    <w:szCs w:val="24"/>
                    <w:lang w:val="en-US"/>
                  </w:rPr>
                </w:pPr>
                <w:r w:rsidRPr="00830C1E">
                  <w:rPr>
                    <w:rFonts w:ascii="Garamond" w:hAnsi="Garamond"/>
                    <w:b/>
                    <w:sz w:val="24"/>
                    <w:szCs w:val="24"/>
                    <w:lang w:val="en-US"/>
                  </w:rPr>
                  <w:t>Action</w:t>
                </w:r>
              </w:p>
            </w:tc>
            <w:tc>
              <w:tcPr>
                <w:tcW w:w="2484"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0DC81993" w14:textId="77777777" w:rsidR="00830C1E" w:rsidRPr="00830C1E" w:rsidRDefault="00830C1E" w:rsidP="0051413D">
                <w:pPr>
                  <w:spacing w:after="160" w:line="259" w:lineRule="auto"/>
                  <w:jc w:val="center"/>
                  <w:rPr>
                    <w:rFonts w:ascii="Garamond" w:hAnsi="Garamond"/>
                    <w:sz w:val="24"/>
                    <w:szCs w:val="24"/>
                    <w:lang w:val="en-US"/>
                  </w:rPr>
                </w:pPr>
                <w:r w:rsidRPr="00830C1E">
                  <w:rPr>
                    <w:rFonts w:ascii="Garamond" w:hAnsi="Garamond"/>
                    <w:b/>
                    <w:sz w:val="24"/>
                    <w:szCs w:val="24"/>
                    <w:lang w:val="en-US"/>
                  </w:rPr>
                  <w:t>Use of capital</w:t>
                </w:r>
              </w:p>
            </w:tc>
            <w:tc>
              <w:tcPr>
                <w:tcW w:w="2484"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5089CB9B" w14:textId="77777777" w:rsidR="00830C1E" w:rsidRPr="00830C1E" w:rsidRDefault="00830C1E" w:rsidP="0051413D">
                <w:pPr>
                  <w:spacing w:after="160" w:line="259" w:lineRule="auto"/>
                  <w:jc w:val="center"/>
                  <w:rPr>
                    <w:rFonts w:ascii="Garamond" w:hAnsi="Garamond"/>
                    <w:sz w:val="24"/>
                    <w:szCs w:val="24"/>
                    <w:lang w:val="en-US"/>
                  </w:rPr>
                </w:pPr>
                <w:r w:rsidRPr="00830C1E">
                  <w:rPr>
                    <w:rFonts w:ascii="Garamond" w:hAnsi="Garamond"/>
                    <w:b/>
                    <w:sz w:val="24"/>
                    <w:szCs w:val="24"/>
                    <w:lang w:val="en-US"/>
                  </w:rPr>
                  <w:t>NPV contribution</w:t>
                </w:r>
              </w:p>
            </w:tc>
          </w:tr>
          <w:tr w:rsidR="00830C1E" w:rsidRPr="00830C1E" w14:paraId="66755C6A" w14:textId="77777777" w:rsidTr="0051413D">
            <w:tc>
              <w:tcPr>
                <w:tcW w:w="2484" w:type="dxa"/>
                <w:tcBorders>
                  <w:top w:val="single" w:sz="4" w:space="0" w:color="auto"/>
                  <w:left w:val="single" w:sz="4" w:space="0" w:color="auto"/>
                  <w:bottom w:val="single" w:sz="4" w:space="0" w:color="auto"/>
                  <w:right w:val="single" w:sz="4" w:space="0" w:color="auto"/>
                </w:tcBorders>
                <w:vAlign w:val="center"/>
                <w:hideMark/>
              </w:tcPr>
              <w:p w14:paraId="40B34DC4" w14:textId="77777777" w:rsidR="00830C1E" w:rsidRPr="00830C1E" w:rsidRDefault="00830C1E" w:rsidP="0051413D">
                <w:pPr>
                  <w:spacing w:after="160" w:line="259" w:lineRule="auto"/>
                  <w:jc w:val="center"/>
                  <w:rPr>
                    <w:rFonts w:ascii="Garamond" w:hAnsi="Garamond"/>
                    <w:sz w:val="24"/>
                    <w:szCs w:val="24"/>
                    <w:lang w:val="en-US"/>
                  </w:rPr>
                </w:pPr>
                <w:r w:rsidRPr="00830C1E">
                  <w:rPr>
                    <w:rFonts w:ascii="Garamond" w:hAnsi="Garamond"/>
                    <w:sz w:val="24"/>
                    <w:szCs w:val="24"/>
                    <w:lang w:val="en-US"/>
                  </w:rPr>
                  <w:t>1</w:t>
                </w:r>
              </w:p>
            </w:tc>
            <w:tc>
              <w:tcPr>
                <w:tcW w:w="2484" w:type="dxa"/>
                <w:tcBorders>
                  <w:top w:val="single" w:sz="4" w:space="0" w:color="auto"/>
                  <w:left w:val="single" w:sz="4" w:space="0" w:color="auto"/>
                  <w:bottom w:val="single" w:sz="4" w:space="0" w:color="auto"/>
                  <w:right w:val="single" w:sz="4" w:space="0" w:color="auto"/>
                </w:tcBorders>
                <w:vAlign w:val="center"/>
                <w:hideMark/>
              </w:tcPr>
              <w:p w14:paraId="39BB3770" w14:textId="77777777" w:rsidR="00830C1E" w:rsidRPr="00830C1E" w:rsidRDefault="00830C1E" w:rsidP="0051413D">
                <w:pPr>
                  <w:spacing w:after="160" w:line="259" w:lineRule="auto"/>
                  <w:jc w:val="center"/>
                  <w:rPr>
                    <w:rFonts w:ascii="Garamond" w:hAnsi="Garamond"/>
                    <w:sz w:val="24"/>
                    <w:szCs w:val="24"/>
                    <w:lang w:val="en-US"/>
                  </w:rPr>
                </w:pPr>
                <w:r w:rsidRPr="00830C1E">
                  <w:rPr>
                    <w:rFonts w:ascii="Garamond" w:hAnsi="Garamond"/>
                    <w:sz w:val="24"/>
                    <w:szCs w:val="24"/>
                    <w:lang w:val="en-US"/>
                  </w:rPr>
                  <w:t>Accept Option C in full</w:t>
                </w:r>
              </w:p>
            </w:tc>
            <w:tc>
              <w:tcPr>
                <w:tcW w:w="2484" w:type="dxa"/>
                <w:tcBorders>
                  <w:top w:val="single" w:sz="4" w:space="0" w:color="auto"/>
                  <w:left w:val="single" w:sz="4" w:space="0" w:color="auto"/>
                  <w:bottom w:val="single" w:sz="4" w:space="0" w:color="auto"/>
                  <w:right w:val="single" w:sz="4" w:space="0" w:color="auto"/>
                </w:tcBorders>
                <w:vAlign w:val="center"/>
                <w:hideMark/>
              </w:tcPr>
              <w:p w14:paraId="5E4A985B" w14:textId="77777777" w:rsidR="00830C1E" w:rsidRPr="00830C1E" w:rsidRDefault="00830C1E" w:rsidP="0051413D">
                <w:pPr>
                  <w:spacing w:after="160" w:line="259" w:lineRule="auto"/>
                  <w:jc w:val="center"/>
                  <w:rPr>
                    <w:rFonts w:ascii="Garamond" w:hAnsi="Garamond"/>
                    <w:sz w:val="24"/>
                    <w:szCs w:val="24"/>
                    <w:lang w:val="en-US"/>
                  </w:rPr>
                </w:pPr>
                <w:r w:rsidRPr="00830C1E">
                  <w:rPr>
                    <w:rFonts w:ascii="Garamond" w:hAnsi="Garamond"/>
                    <w:sz w:val="24"/>
                    <w:szCs w:val="24"/>
                    <w:lang w:val="en-US"/>
                  </w:rPr>
                  <w:t>GBP1,000,000</w:t>
                </w:r>
              </w:p>
            </w:tc>
            <w:tc>
              <w:tcPr>
                <w:tcW w:w="2484" w:type="dxa"/>
                <w:tcBorders>
                  <w:top w:val="single" w:sz="4" w:space="0" w:color="auto"/>
                  <w:left w:val="single" w:sz="4" w:space="0" w:color="auto"/>
                  <w:bottom w:val="single" w:sz="4" w:space="0" w:color="auto"/>
                  <w:right w:val="single" w:sz="4" w:space="0" w:color="auto"/>
                </w:tcBorders>
                <w:vAlign w:val="center"/>
                <w:hideMark/>
              </w:tcPr>
              <w:p w14:paraId="6EC3BEA3" w14:textId="77777777" w:rsidR="00830C1E" w:rsidRPr="00830C1E" w:rsidRDefault="00830C1E" w:rsidP="0051413D">
                <w:pPr>
                  <w:spacing w:after="160" w:line="259" w:lineRule="auto"/>
                  <w:jc w:val="center"/>
                  <w:rPr>
                    <w:rFonts w:ascii="Garamond" w:hAnsi="Garamond"/>
                    <w:sz w:val="24"/>
                    <w:szCs w:val="24"/>
                    <w:lang w:val="en-US"/>
                  </w:rPr>
                </w:pPr>
                <w:r w:rsidRPr="00830C1E">
                  <w:rPr>
                    <w:rFonts w:ascii="Garamond" w:hAnsi="Garamond"/>
                    <w:sz w:val="24"/>
                    <w:szCs w:val="24"/>
                    <w:lang w:val="en-US"/>
                  </w:rPr>
                  <w:t>GBP91,226</w:t>
                </w:r>
              </w:p>
            </w:tc>
          </w:tr>
          <w:tr w:rsidR="00830C1E" w:rsidRPr="00830C1E" w14:paraId="43F506A8" w14:textId="77777777" w:rsidTr="0051413D">
            <w:tc>
              <w:tcPr>
                <w:tcW w:w="2484" w:type="dxa"/>
                <w:tcBorders>
                  <w:top w:val="single" w:sz="4" w:space="0" w:color="auto"/>
                  <w:left w:val="single" w:sz="4" w:space="0" w:color="auto"/>
                  <w:bottom w:val="single" w:sz="4" w:space="0" w:color="auto"/>
                  <w:right w:val="single" w:sz="4" w:space="0" w:color="auto"/>
                </w:tcBorders>
                <w:vAlign w:val="center"/>
                <w:hideMark/>
              </w:tcPr>
              <w:p w14:paraId="3F67293F" w14:textId="77777777" w:rsidR="00830C1E" w:rsidRPr="00830C1E" w:rsidRDefault="00830C1E" w:rsidP="0051413D">
                <w:pPr>
                  <w:spacing w:after="160" w:line="259" w:lineRule="auto"/>
                  <w:jc w:val="center"/>
                  <w:rPr>
                    <w:rFonts w:ascii="Garamond" w:hAnsi="Garamond"/>
                    <w:sz w:val="24"/>
                    <w:szCs w:val="24"/>
                    <w:lang w:val="en-US"/>
                  </w:rPr>
                </w:pPr>
                <w:r w:rsidRPr="00830C1E">
                  <w:rPr>
                    <w:rFonts w:ascii="Garamond" w:hAnsi="Garamond"/>
                    <w:sz w:val="24"/>
                    <w:szCs w:val="24"/>
                    <w:lang w:val="en-US"/>
                  </w:rPr>
                  <w:t>2</w:t>
                </w:r>
              </w:p>
            </w:tc>
            <w:tc>
              <w:tcPr>
                <w:tcW w:w="2484" w:type="dxa"/>
                <w:tcBorders>
                  <w:top w:val="single" w:sz="4" w:space="0" w:color="auto"/>
                  <w:left w:val="single" w:sz="4" w:space="0" w:color="auto"/>
                  <w:bottom w:val="single" w:sz="4" w:space="0" w:color="auto"/>
                  <w:right w:val="single" w:sz="4" w:space="0" w:color="auto"/>
                </w:tcBorders>
                <w:vAlign w:val="center"/>
                <w:hideMark/>
              </w:tcPr>
              <w:p w14:paraId="73A62E73" w14:textId="77777777" w:rsidR="00830C1E" w:rsidRPr="00830C1E" w:rsidRDefault="00830C1E" w:rsidP="0051413D">
                <w:pPr>
                  <w:spacing w:after="160" w:line="259" w:lineRule="auto"/>
                  <w:jc w:val="center"/>
                  <w:rPr>
                    <w:rFonts w:ascii="Garamond" w:hAnsi="Garamond"/>
                    <w:sz w:val="24"/>
                    <w:szCs w:val="24"/>
                    <w:lang w:val="en-US"/>
                  </w:rPr>
                </w:pPr>
                <w:r w:rsidRPr="00830C1E">
                  <w:rPr>
                    <w:rFonts w:ascii="Garamond" w:hAnsi="Garamond"/>
                    <w:sz w:val="24"/>
                    <w:szCs w:val="24"/>
                    <w:lang w:val="en-US"/>
                  </w:rPr>
                  <w:t>Invest the remaining budget in 55.56% of Option B</w:t>
                </w:r>
              </w:p>
            </w:tc>
            <w:tc>
              <w:tcPr>
                <w:tcW w:w="2484" w:type="dxa"/>
                <w:tcBorders>
                  <w:top w:val="single" w:sz="4" w:space="0" w:color="auto"/>
                  <w:left w:val="single" w:sz="4" w:space="0" w:color="auto"/>
                  <w:bottom w:val="single" w:sz="4" w:space="0" w:color="auto"/>
                  <w:right w:val="single" w:sz="4" w:space="0" w:color="auto"/>
                </w:tcBorders>
                <w:vAlign w:val="center"/>
                <w:hideMark/>
              </w:tcPr>
              <w:p w14:paraId="4950E671" w14:textId="77777777" w:rsidR="00830C1E" w:rsidRPr="00830C1E" w:rsidRDefault="00830C1E" w:rsidP="0051413D">
                <w:pPr>
                  <w:spacing w:after="160" w:line="259" w:lineRule="auto"/>
                  <w:jc w:val="center"/>
                  <w:rPr>
                    <w:rFonts w:ascii="Garamond" w:hAnsi="Garamond"/>
                    <w:sz w:val="24"/>
                    <w:szCs w:val="24"/>
                    <w:lang w:val="en-US"/>
                  </w:rPr>
                </w:pPr>
                <w:r w:rsidRPr="00830C1E">
                  <w:rPr>
                    <w:rFonts w:ascii="Garamond" w:hAnsi="Garamond"/>
                    <w:sz w:val="24"/>
                    <w:szCs w:val="24"/>
                    <w:lang w:val="en-US"/>
                  </w:rPr>
                  <w:t>GBP500,000</w:t>
                </w:r>
              </w:p>
            </w:tc>
            <w:tc>
              <w:tcPr>
                <w:tcW w:w="2484" w:type="dxa"/>
                <w:tcBorders>
                  <w:top w:val="single" w:sz="4" w:space="0" w:color="auto"/>
                  <w:left w:val="single" w:sz="4" w:space="0" w:color="auto"/>
                  <w:bottom w:val="single" w:sz="4" w:space="0" w:color="auto"/>
                  <w:right w:val="single" w:sz="4" w:space="0" w:color="auto"/>
                </w:tcBorders>
                <w:vAlign w:val="center"/>
                <w:hideMark/>
              </w:tcPr>
              <w:p w14:paraId="3FA54FD9" w14:textId="77777777" w:rsidR="00830C1E" w:rsidRPr="00830C1E" w:rsidRDefault="00830C1E" w:rsidP="0051413D">
                <w:pPr>
                  <w:spacing w:after="160" w:line="259" w:lineRule="auto"/>
                  <w:jc w:val="center"/>
                  <w:rPr>
                    <w:rFonts w:ascii="Garamond" w:hAnsi="Garamond"/>
                    <w:sz w:val="24"/>
                    <w:szCs w:val="24"/>
                    <w:lang w:val="en-US"/>
                  </w:rPr>
                </w:pPr>
                <w:r w:rsidRPr="00830C1E">
                  <w:rPr>
                    <w:rFonts w:ascii="Garamond" w:hAnsi="Garamond"/>
                    <w:sz w:val="24"/>
                    <w:szCs w:val="24"/>
                    <w:lang w:val="en-US"/>
                  </w:rPr>
                  <w:t>Approximately GBP41,084</w:t>
                </w:r>
              </w:p>
            </w:tc>
          </w:tr>
          <w:tr w:rsidR="00830C1E" w:rsidRPr="00830C1E" w14:paraId="5C6735FE" w14:textId="77777777" w:rsidTr="0051413D">
            <w:tc>
              <w:tcPr>
                <w:tcW w:w="2484" w:type="dxa"/>
                <w:tcBorders>
                  <w:top w:val="single" w:sz="4" w:space="0" w:color="auto"/>
                  <w:left w:val="single" w:sz="4" w:space="0" w:color="auto"/>
                  <w:bottom w:val="single" w:sz="4" w:space="0" w:color="auto"/>
                  <w:right w:val="single" w:sz="4" w:space="0" w:color="auto"/>
                </w:tcBorders>
                <w:vAlign w:val="center"/>
                <w:hideMark/>
              </w:tcPr>
              <w:p w14:paraId="2A0D382B" w14:textId="77777777" w:rsidR="00830C1E" w:rsidRPr="00830C1E" w:rsidRDefault="00830C1E" w:rsidP="0051413D">
                <w:pPr>
                  <w:spacing w:after="160" w:line="259" w:lineRule="auto"/>
                  <w:jc w:val="center"/>
                  <w:rPr>
                    <w:rFonts w:ascii="Garamond" w:hAnsi="Garamond"/>
                    <w:sz w:val="24"/>
                    <w:szCs w:val="24"/>
                    <w:lang w:val="en-US"/>
                  </w:rPr>
                </w:pPr>
                <w:r w:rsidRPr="00830C1E">
                  <w:rPr>
                    <w:rFonts w:ascii="Garamond" w:hAnsi="Garamond"/>
                    <w:sz w:val="24"/>
                    <w:szCs w:val="24"/>
                    <w:lang w:val="en-US"/>
                  </w:rPr>
                  <w:t>3</w:t>
                </w:r>
              </w:p>
            </w:tc>
            <w:tc>
              <w:tcPr>
                <w:tcW w:w="2484" w:type="dxa"/>
                <w:tcBorders>
                  <w:top w:val="single" w:sz="4" w:space="0" w:color="auto"/>
                  <w:left w:val="single" w:sz="4" w:space="0" w:color="auto"/>
                  <w:bottom w:val="single" w:sz="4" w:space="0" w:color="auto"/>
                  <w:right w:val="single" w:sz="4" w:space="0" w:color="auto"/>
                </w:tcBorders>
                <w:vAlign w:val="center"/>
                <w:hideMark/>
              </w:tcPr>
              <w:p w14:paraId="58309AFE" w14:textId="77777777" w:rsidR="00830C1E" w:rsidRPr="00830C1E" w:rsidRDefault="00830C1E" w:rsidP="0051413D">
                <w:pPr>
                  <w:spacing w:after="160" w:line="259" w:lineRule="auto"/>
                  <w:jc w:val="center"/>
                  <w:rPr>
                    <w:rFonts w:ascii="Garamond" w:hAnsi="Garamond"/>
                    <w:sz w:val="24"/>
                    <w:szCs w:val="24"/>
                    <w:lang w:val="en-US"/>
                  </w:rPr>
                </w:pPr>
                <w:r w:rsidRPr="00830C1E">
                  <w:rPr>
                    <w:rFonts w:ascii="Garamond" w:hAnsi="Garamond"/>
                    <w:sz w:val="24"/>
                    <w:szCs w:val="24"/>
                    <w:lang w:val="en-US"/>
                  </w:rPr>
                  <w:t>Exclude Option A</w:t>
                </w:r>
              </w:p>
            </w:tc>
            <w:tc>
              <w:tcPr>
                <w:tcW w:w="2484" w:type="dxa"/>
                <w:tcBorders>
                  <w:top w:val="single" w:sz="4" w:space="0" w:color="auto"/>
                  <w:left w:val="single" w:sz="4" w:space="0" w:color="auto"/>
                  <w:bottom w:val="single" w:sz="4" w:space="0" w:color="auto"/>
                  <w:right w:val="single" w:sz="4" w:space="0" w:color="auto"/>
                </w:tcBorders>
                <w:vAlign w:val="center"/>
                <w:hideMark/>
              </w:tcPr>
              <w:p w14:paraId="5BB6E627" w14:textId="77777777" w:rsidR="00830C1E" w:rsidRPr="00830C1E" w:rsidRDefault="00830C1E" w:rsidP="0051413D">
                <w:pPr>
                  <w:spacing w:after="160" w:line="259" w:lineRule="auto"/>
                  <w:jc w:val="center"/>
                  <w:rPr>
                    <w:rFonts w:ascii="Garamond" w:hAnsi="Garamond"/>
                    <w:sz w:val="24"/>
                    <w:szCs w:val="24"/>
                    <w:lang w:val="en-US"/>
                  </w:rPr>
                </w:pPr>
                <w:r w:rsidRPr="00830C1E">
                  <w:rPr>
                    <w:rFonts w:ascii="Garamond" w:hAnsi="Garamond"/>
                    <w:sz w:val="24"/>
                    <w:szCs w:val="24"/>
                    <w:lang w:val="en-US"/>
                  </w:rPr>
                  <w:t>Nil</w:t>
                </w:r>
              </w:p>
            </w:tc>
            <w:tc>
              <w:tcPr>
                <w:tcW w:w="2484" w:type="dxa"/>
                <w:tcBorders>
                  <w:top w:val="single" w:sz="4" w:space="0" w:color="auto"/>
                  <w:left w:val="single" w:sz="4" w:space="0" w:color="auto"/>
                  <w:bottom w:val="single" w:sz="4" w:space="0" w:color="auto"/>
                  <w:right w:val="single" w:sz="4" w:space="0" w:color="auto"/>
                </w:tcBorders>
                <w:vAlign w:val="center"/>
                <w:hideMark/>
              </w:tcPr>
              <w:p w14:paraId="12A844E1" w14:textId="77777777" w:rsidR="00830C1E" w:rsidRPr="00830C1E" w:rsidRDefault="00830C1E" w:rsidP="0051413D">
                <w:pPr>
                  <w:spacing w:after="160" w:line="259" w:lineRule="auto"/>
                  <w:jc w:val="center"/>
                  <w:rPr>
                    <w:rFonts w:ascii="Garamond" w:hAnsi="Garamond"/>
                    <w:sz w:val="24"/>
                    <w:szCs w:val="24"/>
                    <w:lang w:val="en-US"/>
                  </w:rPr>
                </w:pPr>
                <w:r w:rsidRPr="00830C1E">
                  <w:rPr>
                    <w:rFonts w:ascii="Garamond" w:hAnsi="Garamond"/>
                    <w:sz w:val="24"/>
                    <w:szCs w:val="24"/>
                    <w:lang w:val="en-US"/>
                  </w:rPr>
                  <w:t>Nil, because NPV is negative</w:t>
                </w:r>
              </w:p>
            </w:tc>
          </w:tr>
          <w:tr w:rsidR="00830C1E" w:rsidRPr="00830C1E" w14:paraId="39D81C5F" w14:textId="77777777" w:rsidTr="0051413D">
            <w:tc>
              <w:tcPr>
                <w:tcW w:w="2484" w:type="dxa"/>
                <w:tcBorders>
                  <w:top w:val="single" w:sz="4" w:space="0" w:color="auto"/>
                  <w:left w:val="single" w:sz="4" w:space="0" w:color="auto"/>
                  <w:bottom w:val="single" w:sz="4" w:space="0" w:color="auto"/>
                  <w:right w:val="single" w:sz="4" w:space="0" w:color="auto"/>
                </w:tcBorders>
                <w:vAlign w:val="center"/>
                <w:hideMark/>
              </w:tcPr>
              <w:p w14:paraId="7E8F2B55" w14:textId="77777777" w:rsidR="00830C1E" w:rsidRPr="00830C1E" w:rsidRDefault="00830C1E" w:rsidP="0051413D">
                <w:pPr>
                  <w:spacing w:after="160" w:line="259" w:lineRule="auto"/>
                  <w:jc w:val="center"/>
                  <w:rPr>
                    <w:rFonts w:ascii="Garamond" w:hAnsi="Garamond"/>
                    <w:sz w:val="24"/>
                    <w:szCs w:val="24"/>
                    <w:lang w:val="en-US"/>
                  </w:rPr>
                </w:pPr>
                <w:r w:rsidRPr="00830C1E">
                  <w:rPr>
                    <w:rFonts w:ascii="Garamond" w:hAnsi="Garamond"/>
                    <w:sz w:val="24"/>
                    <w:szCs w:val="24"/>
                    <w:lang w:val="en-US"/>
                  </w:rPr>
                  <w:t>Total</w:t>
                </w:r>
              </w:p>
            </w:tc>
            <w:tc>
              <w:tcPr>
                <w:tcW w:w="2484" w:type="dxa"/>
                <w:tcBorders>
                  <w:top w:val="single" w:sz="4" w:space="0" w:color="auto"/>
                  <w:left w:val="single" w:sz="4" w:space="0" w:color="auto"/>
                  <w:bottom w:val="single" w:sz="4" w:space="0" w:color="auto"/>
                  <w:right w:val="single" w:sz="4" w:space="0" w:color="auto"/>
                </w:tcBorders>
                <w:vAlign w:val="center"/>
                <w:hideMark/>
              </w:tcPr>
              <w:p w14:paraId="557E68D1" w14:textId="77777777" w:rsidR="00830C1E" w:rsidRPr="00830C1E" w:rsidRDefault="00830C1E" w:rsidP="0051413D">
                <w:pPr>
                  <w:spacing w:after="160" w:line="259" w:lineRule="auto"/>
                  <w:jc w:val="center"/>
                  <w:rPr>
                    <w:rFonts w:ascii="Garamond" w:hAnsi="Garamond"/>
                    <w:sz w:val="24"/>
                    <w:szCs w:val="24"/>
                    <w:lang w:val="en-US"/>
                  </w:rPr>
                </w:pPr>
                <w:r w:rsidRPr="00830C1E">
                  <w:rPr>
                    <w:rFonts w:ascii="Garamond" w:hAnsi="Garamond"/>
                    <w:sz w:val="24"/>
                    <w:szCs w:val="24"/>
                    <w:lang w:val="en-US"/>
                  </w:rPr>
                  <w:t>Recommended constrained package</w:t>
                </w:r>
              </w:p>
            </w:tc>
            <w:tc>
              <w:tcPr>
                <w:tcW w:w="2484" w:type="dxa"/>
                <w:tcBorders>
                  <w:top w:val="single" w:sz="4" w:space="0" w:color="auto"/>
                  <w:left w:val="single" w:sz="4" w:space="0" w:color="auto"/>
                  <w:bottom w:val="single" w:sz="4" w:space="0" w:color="auto"/>
                  <w:right w:val="single" w:sz="4" w:space="0" w:color="auto"/>
                </w:tcBorders>
                <w:vAlign w:val="center"/>
                <w:hideMark/>
              </w:tcPr>
              <w:p w14:paraId="6D880D63" w14:textId="77777777" w:rsidR="00830C1E" w:rsidRPr="00830C1E" w:rsidRDefault="00830C1E" w:rsidP="0051413D">
                <w:pPr>
                  <w:spacing w:after="160" w:line="259" w:lineRule="auto"/>
                  <w:jc w:val="center"/>
                  <w:rPr>
                    <w:rFonts w:ascii="Garamond" w:hAnsi="Garamond"/>
                    <w:sz w:val="24"/>
                    <w:szCs w:val="24"/>
                    <w:lang w:val="en-US"/>
                  </w:rPr>
                </w:pPr>
                <w:r w:rsidRPr="00830C1E">
                  <w:rPr>
                    <w:rFonts w:ascii="Garamond" w:hAnsi="Garamond"/>
                    <w:sz w:val="24"/>
                    <w:szCs w:val="24"/>
                    <w:lang w:val="en-US"/>
                  </w:rPr>
                  <w:t>GBP1,500,000</w:t>
                </w:r>
              </w:p>
            </w:tc>
            <w:tc>
              <w:tcPr>
                <w:tcW w:w="2484" w:type="dxa"/>
                <w:tcBorders>
                  <w:top w:val="single" w:sz="4" w:space="0" w:color="auto"/>
                  <w:left w:val="single" w:sz="4" w:space="0" w:color="auto"/>
                  <w:bottom w:val="single" w:sz="4" w:space="0" w:color="auto"/>
                  <w:right w:val="single" w:sz="4" w:space="0" w:color="auto"/>
                </w:tcBorders>
                <w:vAlign w:val="center"/>
                <w:hideMark/>
              </w:tcPr>
              <w:p w14:paraId="17768BA6" w14:textId="77777777" w:rsidR="00830C1E" w:rsidRPr="00830C1E" w:rsidRDefault="00830C1E" w:rsidP="0051413D">
                <w:pPr>
                  <w:spacing w:after="160" w:line="259" w:lineRule="auto"/>
                  <w:jc w:val="center"/>
                  <w:rPr>
                    <w:rFonts w:ascii="Garamond" w:hAnsi="Garamond"/>
                    <w:sz w:val="24"/>
                    <w:szCs w:val="24"/>
                    <w:lang w:val="en-US"/>
                  </w:rPr>
                </w:pPr>
                <w:r w:rsidRPr="00830C1E">
                  <w:rPr>
                    <w:rFonts w:ascii="Garamond" w:hAnsi="Garamond"/>
                    <w:sz w:val="24"/>
                    <w:szCs w:val="24"/>
                    <w:lang w:val="en-US"/>
                  </w:rPr>
                  <w:t>Approximately GBP132,310</w:t>
                </w:r>
              </w:p>
            </w:tc>
          </w:tr>
        </w:tbl>
        <w:p w14:paraId="32C543C7" w14:textId="77777777" w:rsidR="00830C1E" w:rsidRPr="00830C1E" w:rsidRDefault="00830C1E" w:rsidP="00830C1E">
          <w:pPr>
            <w:rPr>
              <w:rFonts w:ascii="Garamond" w:hAnsi="Garamond"/>
              <w:sz w:val="24"/>
              <w:szCs w:val="24"/>
              <w:lang w:val="en-US"/>
            </w:rPr>
          </w:pPr>
        </w:p>
        <w:p w14:paraId="54C5E5E9" w14:textId="77777777" w:rsidR="00830C1E" w:rsidRPr="003A68C8" w:rsidRDefault="00830C1E" w:rsidP="0050439A">
          <w:pPr>
            <w:ind w:firstLine="720"/>
            <w:rPr>
              <w:rFonts w:ascii="Garamond" w:hAnsi="Garamond"/>
              <w:sz w:val="24"/>
              <w:szCs w:val="24"/>
              <w:lang w:val="en-US"/>
            </w:rPr>
          </w:pPr>
          <w:r w:rsidRPr="00830C1E">
            <w:rPr>
              <w:rFonts w:ascii="Garamond" w:hAnsi="Garamond"/>
              <w:sz w:val="24"/>
              <w:szCs w:val="24"/>
              <w:lang w:val="en-US"/>
            </w:rPr>
            <w:t>This package is stronger than accepting Option C alone because it uses the remaining GBP500,000 to capture part of Option B's positive value. The recommendation depends on divisibility. If Option B cannot be undertaken in a partial form, the board would need a different comparison, such as Option C alone versus Option B plus Option A. Since Option A is negative, that alternative would be unattractive unless there were major strategic benefits not included in the cash flows.</w:t>
          </w:r>
        </w:p>
        <w:p w14:paraId="6A5798F0" w14:textId="77777777" w:rsidR="00A86DE5" w:rsidRPr="00830C1E" w:rsidRDefault="00A86DE5" w:rsidP="00830C1E">
          <w:pPr>
            <w:rPr>
              <w:rFonts w:ascii="Garamond" w:hAnsi="Garamond"/>
              <w:sz w:val="24"/>
              <w:szCs w:val="24"/>
              <w:lang w:val="en-US"/>
            </w:rPr>
          </w:pPr>
        </w:p>
        <w:p w14:paraId="4711F376" w14:textId="12482777" w:rsidR="00830C1E" w:rsidRDefault="00830C1E" w:rsidP="004F675A">
          <w:pPr>
            <w:pStyle w:val="Heading3"/>
            <w:rPr>
              <w:rFonts w:ascii="Garamond" w:hAnsi="Garamond"/>
              <w:sz w:val="28"/>
              <w:szCs w:val="28"/>
              <w:lang w:val="en-US"/>
            </w:rPr>
          </w:pPr>
          <w:bookmarkStart w:id="16" w:name="_Toc227521284"/>
          <w:r w:rsidRPr="004F675A">
            <w:rPr>
              <w:rFonts w:ascii="Garamond" w:hAnsi="Garamond"/>
              <w:sz w:val="28"/>
              <w:szCs w:val="28"/>
              <w:lang w:val="en-US"/>
            </w:rPr>
            <w:t>2.6 Risk, implementation and financing</w:t>
          </w:r>
          <w:bookmarkEnd w:id="16"/>
        </w:p>
        <w:p w14:paraId="7BA0745B" w14:textId="3953F279" w:rsidR="00C803DD" w:rsidRPr="00C803DD" w:rsidRDefault="0050439A" w:rsidP="00C803DD">
          <w:pPr>
            <w:rPr>
              <w:lang w:val="en-US"/>
            </w:rPr>
          </w:pPr>
          <w:r>
            <w:rPr>
              <w:lang w:val="en-US"/>
            </w:rPr>
            <w:tab/>
          </w:r>
        </w:p>
        <w:p w14:paraId="16B5CB37" w14:textId="77777777" w:rsidR="00830C1E" w:rsidRPr="00830C1E" w:rsidRDefault="00830C1E" w:rsidP="0050439A">
          <w:pPr>
            <w:ind w:firstLine="720"/>
            <w:rPr>
              <w:rFonts w:ascii="Garamond" w:hAnsi="Garamond"/>
              <w:sz w:val="24"/>
              <w:szCs w:val="24"/>
              <w:lang w:val="en-US"/>
            </w:rPr>
          </w:pPr>
          <w:r w:rsidRPr="00830C1E">
            <w:rPr>
              <w:rFonts w:ascii="Garamond" w:hAnsi="Garamond"/>
              <w:sz w:val="24"/>
              <w:szCs w:val="24"/>
              <w:lang w:val="en-US"/>
            </w:rPr>
            <w:t xml:space="preserve">Before approval, the board should test demand, cost and implementation assumptions. Option C depends on customers accepting Beard Plc as a producer of smaller leather goods, not only handbags. The company should therefore review expected price points, channel margins, capacity, quality standards and supplier reliability. Option B requires additional checks around online fulfilment, payment processing, </w:t>
          </w:r>
          <w:proofErr w:type="gramStart"/>
          <w:r w:rsidRPr="00830C1E">
            <w:rPr>
              <w:rFonts w:ascii="Garamond" w:hAnsi="Garamond"/>
              <w:sz w:val="24"/>
              <w:szCs w:val="24"/>
              <w:lang w:val="en-US"/>
            </w:rPr>
            <w:t>returns</w:t>
          </w:r>
          <w:proofErr w:type="gramEnd"/>
          <w:r w:rsidRPr="00830C1E">
            <w:rPr>
              <w:rFonts w:ascii="Garamond" w:hAnsi="Garamond"/>
              <w:sz w:val="24"/>
              <w:szCs w:val="24"/>
              <w:lang w:val="en-US"/>
            </w:rPr>
            <w:t xml:space="preserve"> rates and digital marketing. Sensitivity analysis should be completed </w:t>
          </w:r>
          <w:proofErr w:type="gramStart"/>
          <w:r w:rsidRPr="00830C1E">
            <w:rPr>
              <w:rFonts w:ascii="Garamond" w:hAnsi="Garamond"/>
              <w:sz w:val="24"/>
              <w:szCs w:val="24"/>
              <w:lang w:val="en-US"/>
            </w:rPr>
            <w:t>for</w:t>
          </w:r>
          <w:proofErr w:type="gramEnd"/>
          <w:r w:rsidRPr="00830C1E">
            <w:rPr>
              <w:rFonts w:ascii="Garamond" w:hAnsi="Garamond"/>
              <w:sz w:val="24"/>
              <w:szCs w:val="24"/>
              <w:lang w:val="en-US"/>
            </w:rPr>
            <w:t xml:space="preserve"> sales volumes, gross margin, launch delay and higher operating costs.</w:t>
          </w:r>
        </w:p>
        <w:p w14:paraId="5741AC2F" w14:textId="77777777" w:rsidR="00830C1E" w:rsidRPr="00830C1E" w:rsidRDefault="00830C1E" w:rsidP="0050439A">
          <w:pPr>
            <w:ind w:firstLine="720"/>
            <w:rPr>
              <w:rFonts w:ascii="Garamond" w:hAnsi="Garamond"/>
              <w:sz w:val="24"/>
              <w:szCs w:val="24"/>
              <w:lang w:val="en-US"/>
            </w:rPr>
          </w:pPr>
          <w:r w:rsidRPr="00830C1E">
            <w:rPr>
              <w:rFonts w:ascii="Garamond" w:hAnsi="Garamond"/>
              <w:sz w:val="24"/>
              <w:szCs w:val="24"/>
              <w:lang w:val="en-US"/>
            </w:rPr>
            <w:t xml:space="preserve">Financing should be mixed rather than dependent on one source. Retained earnings are flexible and avoid dilution, but using too much cash could leave the company short of working capital for inventory and launch costs. A medium-term bank loan would preserve ownership and </w:t>
          </w:r>
          <w:r w:rsidRPr="00830C1E">
            <w:rPr>
              <w:rFonts w:ascii="Garamond" w:hAnsi="Garamond"/>
              <w:sz w:val="24"/>
              <w:szCs w:val="24"/>
              <w:lang w:val="en-US"/>
            </w:rPr>
            <w:lastRenderedPageBreak/>
            <w:t>match repayment to the life of the project, but interest and capital repayments create fixed obligations. Equity finance would reduce financial risk but may be expensive and dilute existing owners. Leasing could help if new equipment is required, although it does not remove the economic cost of using the asset.</w:t>
          </w:r>
        </w:p>
        <w:p w14:paraId="0D77718D" w14:textId="77777777" w:rsidR="00830C1E" w:rsidRDefault="00830C1E" w:rsidP="0050439A">
          <w:pPr>
            <w:ind w:firstLine="720"/>
            <w:rPr>
              <w:rFonts w:ascii="Garamond" w:hAnsi="Garamond"/>
              <w:sz w:val="24"/>
              <w:szCs w:val="24"/>
              <w:lang w:val="en-US"/>
            </w:rPr>
          </w:pPr>
          <w:r w:rsidRPr="00830C1E">
            <w:rPr>
              <w:rFonts w:ascii="Garamond" w:hAnsi="Garamond"/>
              <w:sz w:val="24"/>
              <w:szCs w:val="24"/>
              <w:lang w:val="en-US"/>
            </w:rPr>
            <w:t xml:space="preserve">The recommended policy is to fund the </w:t>
          </w:r>
          <w:proofErr w:type="spellStart"/>
          <w:r w:rsidRPr="00830C1E">
            <w:rPr>
              <w:rFonts w:ascii="Garamond" w:hAnsi="Garamond"/>
              <w:sz w:val="24"/>
              <w:szCs w:val="24"/>
              <w:lang w:val="en-US"/>
            </w:rPr>
            <w:t>programme</w:t>
          </w:r>
          <w:proofErr w:type="spellEnd"/>
          <w:r w:rsidRPr="00830C1E">
            <w:rPr>
              <w:rFonts w:ascii="Garamond" w:hAnsi="Garamond"/>
              <w:sz w:val="24"/>
              <w:szCs w:val="24"/>
              <w:lang w:val="en-US"/>
            </w:rPr>
            <w:t xml:space="preserve"> mainly with retained earnings, supported by a moderate bank facility or asset finance where needed. This gives Beard Plc access to the GBP1.5m </w:t>
          </w:r>
          <w:proofErr w:type="spellStart"/>
          <w:r w:rsidRPr="00830C1E">
            <w:rPr>
              <w:rFonts w:ascii="Garamond" w:hAnsi="Garamond"/>
              <w:sz w:val="24"/>
              <w:szCs w:val="24"/>
              <w:lang w:val="en-US"/>
            </w:rPr>
            <w:t>programme</w:t>
          </w:r>
          <w:proofErr w:type="spellEnd"/>
          <w:r w:rsidRPr="00830C1E">
            <w:rPr>
              <w:rFonts w:ascii="Garamond" w:hAnsi="Garamond"/>
              <w:sz w:val="24"/>
              <w:szCs w:val="24"/>
              <w:lang w:val="en-US"/>
            </w:rPr>
            <w:t xml:space="preserve"> while preserving enough liquidity for trading risk. The board should approve Option C and the partial Option B investment only after confirming that the projects can be implemented in stages and that the cash-flow forecasts have been stress tested.</w:t>
          </w:r>
        </w:p>
        <w:p w14:paraId="3C3F90BE" w14:textId="77777777" w:rsidR="00A653F7" w:rsidRPr="00830C1E" w:rsidRDefault="00A653F7" w:rsidP="00830C1E">
          <w:pPr>
            <w:rPr>
              <w:rFonts w:ascii="Garamond" w:hAnsi="Garamond"/>
              <w:sz w:val="24"/>
              <w:szCs w:val="24"/>
              <w:lang w:val="en-US"/>
            </w:rPr>
          </w:pPr>
        </w:p>
        <w:p w14:paraId="59200FDF" w14:textId="508C640B" w:rsidR="00E176E7" w:rsidRPr="00E176E7" w:rsidRDefault="00E176E7" w:rsidP="00E176E7">
          <w:pPr>
            <w:rPr>
              <w:rFonts w:ascii="Garamond" w:hAnsi="Garamond"/>
              <w:sz w:val="24"/>
              <w:szCs w:val="24"/>
              <w:lang w:val="en-US"/>
            </w:rPr>
          </w:pPr>
          <w:r w:rsidRPr="00E176E7">
            <w:rPr>
              <w:rFonts w:ascii="Garamond" w:hAnsi="Garamond"/>
              <w:sz w:val="24"/>
              <w:szCs w:val="24"/>
              <w:lang w:val="en-US"/>
            </w:rPr>
            <w:t>.</w:t>
          </w:r>
        </w:p>
        <w:p w14:paraId="3E0DD419" w14:textId="77777777" w:rsidR="00E176E7" w:rsidRDefault="00E176E7" w:rsidP="00E176E7">
          <w:pPr>
            <w:rPr>
              <w:rFonts w:ascii="Garamond" w:hAnsi="Garamond"/>
              <w:sz w:val="24"/>
              <w:szCs w:val="24"/>
            </w:rPr>
          </w:pPr>
        </w:p>
        <w:p w14:paraId="7A028D9B" w14:textId="77777777" w:rsidR="00C803DD" w:rsidRDefault="00C803DD" w:rsidP="00E176E7">
          <w:pPr>
            <w:rPr>
              <w:rFonts w:ascii="Garamond" w:hAnsi="Garamond"/>
              <w:sz w:val="24"/>
              <w:szCs w:val="24"/>
            </w:rPr>
          </w:pPr>
        </w:p>
        <w:p w14:paraId="35EE7DB8" w14:textId="77777777" w:rsidR="00C803DD" w:rsidRDefault="00C803DD" w:rsidP="00E176E7">
          <w:pPr>
            <w:rPr>
              <w:rFonts w:ascii="Garamond" w:hAnsi="Garamond"/>
              <w:sz w:val="24"/>
              <w:szCs w:val="24"/>
            </w:rPr>
          </w:pPr>
        </w:p>
        <w:p w14:paraId="24A54174" w14:textId="77777777" w:rsidR="00C803DD" w:rsidRDefault="00C803DD" w:rsidP="00E176E7">
          <w:pPr>
            <w:rPr>
              <w:rFonts w:ascii="Garamond" w:hAnsi="Garamond"/>
              <w:sz w:val="24"/>
              <w:szCs w:val="24"/>
            </w:rPr>
          </w:pPr>
        </w:p>
        <w:p w14:paraId="366EE00B" w14:textId="77777777" w:rsidR="00C803DD" w:rsidRDefault="00C803DD" w:rsidP="00E176E7">
          <w:pPr>
            <w:rPr>
              <w:rFonts w:ascii="Garamond" w:hAnsi="Garamond"/>
              <w:sz w:val="24"/>
              <w:szCs w:val="24"/>
            </w:rPr>
          </w:pPr>
        </w:p>
        <w:p w14:paraId="4DA20C93" w14:textId="77777777" w:rsidR="00C803DD" w:rsidRDefault="00C803DD" w:rsidP="00E176E7">
          <w:pPr>
            <w:rPr>
              <w:rFonts w:ascii="Garamond" w:hAnsi="Garamond"/>
              <w:sz w:val="24"/>
              <w:szCs w:val="24"/>
            </w:rPr>
          </w:pPr>
        </w:p>
        <w:p w14:paraId="22147092" w14:textId="77777777" w:rsidR="00C803DD" w:rsidRDefault="00C803DD" w:rsidP="00E176E7">
          <w:pPr>
            <w:rPr>
              <w:rFonts w:ascii="Garamond" w:hAnsi="Garamond"/>
              <w:sz w:val="24"/>
              <w:szCs w:val="24"/>
            </w:rPr>
          </w:pPr>
        </w:p>
        <w:p w14:paraId="73C73216" w14:textId="77777777" w:rsidR="00C803DD" w:rsidRDefault="00C803DD" w:rsidP="00E176E7">
          <w:pPr>
            <w:rPr>
              <w:rFonts w:ascii="Garamond" w:hAnsi="Garamond"/>
              <w:sz w:val="24"/>
              <w:szCs w:val="24"/>
            </w:rPr>
          </w:pPr>
        </w:p>
        <w:p w14:paraId="2581D18E" w14:textId="77777777" w:rsidR="00C803DD" w:rsidRDefault="00C803DD" w:rsidP="00E176E7">
          <w:pPr>
            <w:rPr>
              <w:rFonts w:ascii="Garamond" w:hAnsi="Garamond"/>
              <w:sz w:val="24"/>
              <w:szCs w:val="24"/>
            </w:rPr>
          </w:pPr>
        </w:p>
        <w:p w14:paraId="2123763D" w14:textId="77777777" w:rsidR="00C803DD" w:rsidRDefault="00C803DD" w:rsidP="00E176E7">
          <w:pPr>
            <w:rPr>
              <w:rFonts w:ascii="Garamond" w:hAnsi="Garamond"/>
              <w:sz w:val="24"/>
              <w:szCs w:val="24"/>
            </w:rPr>
          </w:pPr>
        </w:p>
        <w:p w14:paraId="2D3FD0C6" w14:textId="77777777" w:rsidR="00C803DD" w:rsidRDefault="00C803DD" w:rsidP="00E176E7">
          <w:pPr>
            <w:rPr>
              <w:rFonts w:ascii="Garamond" w:hAnsi="Garamond"/>
              <w:sz w:val="24"/>
              <w:szCs w:val="24"/>
            </w:rPr>
          </w:pPr>
        </w:p>
        <w:p w14:paraId="43E3B834" w14:textId="77777777" w:rsidR="00C803DD" w:rsidRDefault="00C803DD" w:rsidP="00E176E7">
          <w:pPr>
            <w:rPr>
              <w:rFonts w:ascii="Garamond" w:hAnsi="Garamond"/>
              <w:sz w:val="24"/>
              <w:szCs w:val="24"/>
            </w:rPr>
          </w:pPr>
        </w:p>
        <w:p w14:paraId="69A1D795" w14:textId="77777777" w:rsidR="00C803DD" w:rsidRDefault="00C803DD" w:rsidP="00E176E7">
          <w:pPr>
            <w:rPr>
              <w:rFonts w:ascii="Garamond" w:hAnsi="Garamond"/>
              <w:sz w:val="24"/>
              <w:szCs w:val="24"/>
            </w:rPr>
          </w:pPr>
        </w:p>
        <w:p w14:paraId="05FE76A6" w14:textId="77777777" w:rsidR="00C803DD" w:rsidRDefault="00C803DD" w:rsidP="00E176E7">
          <w:pPr>
            <w:rPr>
              <w:rFonts w:ascii="Garamond" w:hAnsi="Garamond"/>
              <w:sz w:val="24"/>
              <w:szCs w:val="24"/>
            </w:rPr>
          </w:pPr>
        </w:p>
        <w:p w14:paraId="4B4D64A9" w14:textId="77777777" w:rsidR="00C803DD" w:rsidRDefault="00C803DD" w:rsidP="00E176E7">
          <w:pPr>
            <w:rPr>
              <w:rFonts w:ascii="Garamond" w:hAnsi="Garamond"/>
              <w:sz w:val="24"/>
              <w:szCs w:val="24"/>
            </w:rPr>
          </w:pPr>
        </w:p>
        <w:p w14:paraId="69F63DEF" w14:textId="77777777" w:rsidR="00C803DD" w:rsidRDefault="00C803DD" w:rsidP="00E176E7">
          <w:pPr>
            <w:rPr>
              <w:rFonts w:ascii="Garamond" w:hAnsi="Garamond"/>
              <w:sz w:val="24"/>
              <w:szCs w:val="24"/>
            </w:rPr>
          </w:pPr>
        </w:p>
        <w:p w14:paraId="00269C0D" w14:textId="77777777" w:rsidR="00C803DD" w:rsidRDefault="00C803DD" w:rsidP="00E176E7">
          <w:pPr>
            <w:rPr>
              <w:rFonts w:ascii="Garamond" w:hAnsi="Garamond"/>
              <w:sz w:val="24"/>
              <w:szCs w:val="24"/>
            </w:rPr>
          </w:pPr>
        </w:p>
        <w:p w14:paraId="329C4FDA" w14:textId="77777777" w:rsidR="00C803DD" w:rsidRDefault="00C803DD" w:rsidP="00E176E7">
          <w:pPr>
            <w:rPr>
              <w:rFonts w:ascii="Garamond" w:hAnsi="Garamond"/>
              <w:sz w:val="24"/>
              <w:szCs w:val="24"/>
            </w:rPr>
          </w:pPr>
        </w:p>
        <w:p w14:paraId="288D819A" w14:textId="77777777" w:rsidR="00C803DD" w:rsidRDefault="00C803DD" w:rsidP="00E176E7">
          <w:pPr>
            <w:rPr>
              <w:rFonts w:ascii="Garamond" w:hAnsi="Garamond"/>
              <w:sz w:val="24"/>
              <w:szCs w:val="24"/>
            </w:rPr>
          </w:pPr>
        </w:p>
        <w:p w14:paraId="074FFDE2" w14:textId="77777777" w:rsidR="00C803DD" w:rsidRDefault="00C803DD" w:rsidP="00E176E7">
          <w:pPr>
            <w:rPr>
              <w:rFonts w:ascii="Garamond" w:hAnsi="Garamond"/>
              <w:sz w:val="24"/>
              <w:szCs w:val="24"/>
            </w:rPr>
          </w:pPr>
        </w:p>
        <w:p w14:paraId="4F216AEC" w14:textId="77777777" w:rsidR="0050439A" w:rsidRDefault="0050439A" w:rsidP="00E176E7">
          <w:pPr>
            <w:rPr>
              <w:rFonts w:ascii="Garamond" w:hAnsi="Garamond"/>
              <w:sz w:val="24"/>
              <w:szCs w:val="24"/>
            </w:rPr>
          </w:pPr>
        </w:p>
        <w:p w14:paraId="7DB7E3D6" w14:textId="77777777" w:rsidR="00C803DD" w:rsidRPr="003A68C8" w:rsidRDefault="00C803DD" w:rsidP="00E176E7">
          <w:pPr>
            <w:rPr>
              <w:rFonts w:ascii="Garamond" w:hAnsi="Garamond"/>
              <w:sz w:val="24"/>
              <w:szCs w:val="24"/>
            </w:rPr>
          </w:pPr>
        </w:p>
        <w:p w14:paraId="5C67928C" w14:textId="3BF2A658" w:rsidR="00AA2A91" w:rsidRPr="003A68C8" w:rsidRDefault="00AA2A91" w:rsidP="008E2B4C">
          <w:pPr>
            <w:pStyle w:val="Heading1"/>
            <w:jc w:val="center"/>
            <w:rPr>
              <w:rFonts w:ascii="Garamond" w:hAnsi="Garamond"/>
              <w:b/>
              <w:bCs/>
              <w:sz w:val="28"/>
              <w:szCs w:val="28"/>
            </w:rPr>
          </w:pPr>
          <w:bookmarkStart w:id="17" w:name="_Toc227521285"/>
          <w:r w:rsidRPr="003A68C8">
            <w:rPr>
              <w:rFonts w:ascii="Garamond" w:hAnsi="Garamond"/>
              <w:b/>
              <w:bCs/>
              <w:sz w:val="28"/>
              <w:szCs w:val="28"/>
            </w:rPr>
            <w:lastRenderedPageBreak/>
            <w:t>Conclusion</w:t>
          </w:r>
          <w:bookmarkEnd w:id="17"/>
        </w:p>
        <w:p w14:paraId="0C6DEB97" w14:textId="77777777" w:rsidR="00AA2A91" w:rsidRPr="003A68C8" w:rsidRDefault="00AA2A91" w:rsidP="00AA2A91">
          <w:pPr>
            <w:rPr>
              <w:rFonts w:ascii="Garamond" w:hAnsi="Garamond"/>
              <w:sz w:val="24"/>
              <w:szCs w:val="24"/>
            </w:rPr>
          </w:pPr>
        </w:p>
        <w:p w14:paraId="013FC2F5" w14:textId="77777777" w:rsidR="00E176E7" w:rsidRPr="00E176E7" w:rsidRDefault="00E176E7" w:rsidP="0050439A">
          <w:pPr>
            <w:ind w:firstLine="720"/>
            <w:rPr>
              <w:rFonts w:ascii="Garamond" w:hAnsi="Garamond"/>
              <w:sz w:val="24"/>
              <w:szCs w:val="24"/>
              <w:lang w:val="en-US"/>
            </w:rPr>
          </w:pPr>
          <w:r w:rsidRPr="00E176E7">
            <w:rPr>
              <w:rFonts w:ascii="Garamond" w:hAnsi="Garamond"/>
              <w:sz w:val="24"/>
              <w:szCs w:val="24"/>
              <w:lang w:val="en-US"/>
            </w:rPr>
            <w:t>Burberry's FY2025 ratios show a business under material pressure. Profitability deteriorated most severely, with gross margin falling from 67.7% to 62.5% and operating margin moving from 14.1% to -0.1%. Liquidity is acceptable on paper, but the increase in cash should be interpreted alongside increased borrowings and high lease commitments. Gearing has become more concerning because equity fell while net debt remained substantial. Efficiency ratios show lower asset productivity, and investor ratios show a sharp loss of earnings and dividend suspension.</w:t>
          </w:r>
        </w:p>
        <w:p w14:paraId="0626D50C" w14:textId="77777777" w:rsidR="00E176E7" w:rsidRPr="00E176E7" w:rsidRDefault="00E176E7" w:rsidP="0050439A">
          <w:pPr>
            <w:ind w:firstLine="720"/>
            <w:rPr>
              <w:rFonts w:ascii="Garamond" w:hAnsi="Garamond"/>
              <w:sz w:val="24"/>
              <w:szCs w:val="24"/>
              <w:lang w:val="en-US"/>
            </w:rPr>
          </w:pPr>
          <w:r w:rsidRPr="00E176E7">
            <w:rPr>
              <w:rFonts w:ascii="Garamond" w:hAnsi="Garamond"/>
              <w:sz w:val="24"/>
              <w:szCs w:val="24"/>
              <w:lang w:val="en-US"/>
            </w:rPr>
            <w:t>The benchmark against LVMH, Kering, Hermes and Richemont suggests that the luxury sector was challenging, but Burberry's deterioration is more severe than the strongest peer outcomes. The directors should therefore focus on factors within management control: restoring full-price demand, improving inventory discipline, linking capital expenditure to productivity, maintaining financial flexibility and reporting operational KPIs that show whether the Burberry Forward strategy is working. The recommendation is not to cut investment indiscriminately, but to target investment where it rebuilds brand desirability and improves cash generation.</w:t>
          </w:r>
        </w:p>
        <w:p w14:paraId="3395B0B8" w14:textId="1AC7EF00" w:rsidR="00E176E7" w:rsidRPr="003A68C8" w:rsidRDefault="00E176E7" w:rsidP="0050439A">
          <w:pPr>
            <w:ind w:firstLine="720"/>
            <w:rPr>
              <w:rFonts w:ascii="Garamond" w:hAnsi="Garamond"/>
              <w:sz w:val="24"/>
              <w:szCs w:val="24"/>
            </w:rPr>
          </w:pPr>
          <w:r w:rsidRPr="003A68C8">
            <w:rPr>
              <w:rFonts w:ascii="Garamond" w:hAnsi="Garamond"/>
              <w:sz w:val="24"/>
              <w:szCs w:val="24"/>
              <w:lang w:val="en-US"/>
            </w:rPr>
            <w:t xml:space="preserve">For Beard Plc, Option C is the best single investment because it provides the highest NPV of GBP91.23k and an approximate IRR of 8.6%, above the 5% cost of capital. Under capital rationing with divisible projects and GBP1.5m available, the optimal policy is to invest fully in Option C and 55.56% in Option B, producing total NPV of approximately GBP132.31k. The board should use NPV as the main decision rule, but it should also examine market demand, strategic </w:t>
          </w:r>
          <w:proofErr w:type="gramStart"/>
          <w:r w:rsidRPr="003A68C8">
            <w:rPr>
              <w:rFonts w:ascii="Garamond" w:hAnsi="Garamond"/>
              <w:sz w:val="24"/>
              <w:szCs w:val="24"/>
              <w:lang w:val="en-US"/>
            </w:rPr>
            <w:t>fit</w:t>
          </w:r>
          <w:proofErr w:type="gramEnd"/>
          <w:r w:rsidRPr="003A68C8">
            <w:rPr>
              <w:rFonts w:ascii="Garamond" w:hAnsi="Garamond"/>
              <w:sz w:val="24"/>
              <w:szCs w:val="24"/>
              <w:lang w:val="en-US"/>
            </w:rPr>
            <w:t>, operational capacity and financing capacity. A mixed financing structure, combining internal funds with moderate debt or leasing while preserving liquidity, is the most balanced approach.</w:t>
          </w:r>
        </w:p>
        <w:p w14:paraId="6FF3B474" w14:textId="77777777" w:rsidR="00AA2A91" w:rsidRPr="003A68C8" w:rsidRDefault="00AA2A91" w:rsidP="00AA2A91">
          <w:pPr>
            <w:rPr>
              <w:rFonts w:ascii="Garamond" w:hAnsi="Garamond"/>
              <w:sz w:val="24"/>
              <w:szCs w:val="24"/>
            </w:rPr>
          </w:pPr>
        </w:p>
        <w:p w14:paraId="735EB39C" w14:textId="77777777" w:rsidR="00AA2A91" w:rsidRPr="003A68C8" w:rsidRDefault="00AA2A91" w:rsidP="00AA2A91">
          <w:pPr>
            <w:rPr>
              <w:rFonts w:ascii="Garamond" w:hAnsi="Garamond"/>
              <w:sz w:val="24"/>
              <w:szCs w:val="24"/>
            </w:rPr>
          </w:pPr>
        </w:p>
        <w:p w14:paraId="131D500D" w14:textId="77777777" w:rsidR="00AA2A91" w:rsidRPr="003A68C8" w:rsidRDefault="00AA2A91" w:rsidP="00AA2A91">
          <w:pPr>
            <w:rPr>
              <w:rFonts w:ascii="Garamond" w:hAnsi="Garamond"/>
              <w:sz w:val="24"/>
              <w:szCs w:val="24"/>
            </w:rPr>
          </w:pPr>
        </w:p>
        <w:p w14:paraId="6694B73F" w14:textId="77777777" w:rsidR="00AA2A91" w:rsidRPr="003A68C8" w:rsidRDefault="00AA2A91" w:rsidP="00AA2A91">
          <w:pPr>
            <w:rPr>
              <w:rFonts w:ascii="Garamond" w:hAnsi="Garamond"/>
              <w:sz w:val="24"/>
              <w:szCs w:val="24"/>
            </w:rPr>
          </w:pPr>
        </w:p>
        <w:p w14:paraId="7246D263" w14:textId="77777777" w:rsidR="00AA2A91" w:rsidRPr="003A68C8" w:rsidRDefault="00AA2A91" w:rsidP="00AA2A91">
          <w:pPr>
            <w:rPr>
              <w:rFonts w:ascii="Garamond" w:hAnsi="Garamond"/>
              <w:sz w:val="24"/>
              <w:szCs w:val="24"/>
            </w:rPr>
          </w:pPr>
        </w:p>
        <w:p w14:paraId="22020C63" w14:textId="77777777" w:rsidR="00AA2A91" w:rsidRPr="003A68C8" w:rsidRDefault="00AA2A91" w:rsidP="00AA2A91">
          <w:pPr>
            <w:rPr>
              <w:rFonts w:ascii="Garamond" w:hAnsi="Garamond"/>
              <w:sz w:val="24"/>
              <w:szCs w:val="24"/>
            </w:rPr>
          </w:pPr>
        </w:p>
        <w:p w14:paraId="43A20583" w14:textId="77777777" w:rsidR="00AA2A91" w:rsidRPr="003A68C8" w:rsidRDefault="00AA2A91" w:rsidP="00AA2A91">
          <w:pPr>
            <w:rPr>
              <w:rFonts w:ascii="Garamond" w:hAnsi="Garamond"/>
              <w:sz w:val="24"/>
              <w:szCs w:val="24"/>
            </w:rPr>
          </w:pPr>
        </w:p>
        <w:p w14:paraId="39BA3A5F" w14:textId="77777777" w:rsidR="00AA2A91" w:rsidRPr="003A68C8" w:rsidRDefault="00AA2A91" w:rsidP="00AA2A91">
          <w:pPr>
            <w:rPr>
              <w:rFonts w:ascii="Garamond" w:hAnsi="Garamond"/>
              <w:sz w:val="24"/>
              <w:szCs w:val="24"/>
            </w:rPr>
          </w:pPr>
        </w:p>
        <w:p w14:paraId="385E28CD" w14:textId="77777777" w:rsidR="00AA2A91" w:rsidRPr="003A68C8" w:rsidRDefault="00AA2A91" w:rsidP="00AA2A91">
          <w:pPr>
            <w:rPr>
              <w:rFonts w:ascii="Garamond" w:hAnsi="Garamond"/>
              <w:sz w:val="24"/>
              <w:szCs w:val="24"/>
            </w:rPr>
          </w:pPr>
        </w:p>
        <w:p w14:paraId="0F501598" w14:textId="77777777" w:rsidR="00AA2A91" w:rsidRPr="003A68C8" w:rsidRDefault="00AA2A91" w:rsidP="00AA2A91">
          <w:pPr>
            <w:rPr>
              <w:rFonts w:ascii="Garamond" w:hAnsi="Garamond"/>
              <w:sz w:val="24"/>
              <w:szCs w:val="24"/>
            </w:rPr>
          </w:pPr>
        </w:p>
        <w:p w14:paraId="6859129F" w14:textId="77777777" w:rsidR="00AA2A91" w:rsidRPr="003A68C8" w:rsidRDefault="00AA2A91" w:rsidP="00AA2A91">
          <w:pPr>
            <w:rPr>
              <w:rFonts w:ascii="Garamond" w:hAnsi="Garamond"/>
              <w:sz w:val="24"/>
              <w:szCs w:val="24"/>
            </w:rPr>
          </w:pPr>
        </w:p>
        <w:p w14:paraId="62BA8F79" w14:textId="77777777" w:rsidR="00E176E7" w:rsidRPr="003A68C8" w:rsidRDefault="00E176E7" w:rsidP="00AA2A91">
          <w:pPr>
            <w:rPr>
              <w:rFonts w:ascii="Garamond" w:hAnsi="Garamond"/>
              <w:sz w:val="24"/>
              <w:szCs w:val="24"/>
            </w:rPr>
          </w:pPr>
        </w:p>
        <w:p w14:paraId="3C2C4E14" w14:textId="77777777" w:rsidR="00AA2A91" w:rsidRPr="003A68C8" w:rsidRDefault="00AA2A91" w:rsidP="00AA2A91">
          <w:pPr>
            <w:rPr>
              <w:rFonts w:ascii="Garamond" w:hAnsi="Garamond"/>
              <w:sz w:val="24"/>
              <w:szCs w:val="24"/>
            </w:rPr>
          </w:pPr>
        </w:p>
        <w:p w14:paraId="0ABC39D3" w14:textId="77777777" w:rsidR="00AA2A91" w:rsidRPr="003A68C8" w:rsidRDefault="00AA2A91" w:rsidP="00AA2A91">
          <w:pPr>
            <w:rPr>
              <w:rFonts w:ascii="Garamond" w:hAnsi="Garamond"/>
              <w:sz w:val="24"/>
              <w:szCs w:val="24"/>
            </w:rPr>
          </w:pPr>
        </w:p>
        <w:p w14:paraId="7202FDFC" w14:textId="77777777" w:rsidR="00AA2A91" w:rsidRPr="003A68C8" w:rsidRDefault="00AA2A91" w:rsidP="008E2B4C">
          <w:pPr>
            <w:pStyle w:val="Heading1"/>
            <w:jc w:val="center"/>
            <w:rPr>
              <w:rFonts w:ascii="Garamond" w:hAnsi="Garamond"/>
              <w:b/>
              <w:bCs/>
              <w:sz w:val="28"/>
              <w:szCs w:val="28"/>
            </w:rPr>
          </w:pPr>
          <w:bookmarkStart w:id="18" w:name="_Toc227521286"/>
          <w:r w:rsidRPr="003A68C8">
            <w:rPr>
              <w:rFonts w:ascii="Garamond" w:hAnsi="Garamond"/>
              <w:b/>
              <w:bCs/>
              <w:sz w:val="28"/>
              <w:szCs w:val="28"/>
            </w:rPr>
            <w:lastRenderedPageBreak/>
            <w:t>Bibliography</w:t>
          </w:r>
          <w:bookmarkEnd w:id="18"/>
        </w:p>
        <w:p w14:paraId="77D69E6F" w14:textId="77777777" w:rsidR="004A11F6" w:rsidRPr="003A68C8" w:rsidRDefault="004A11F6" w:rsidP="007D1947">
          <w:pPr>
            <w:rPr>
              <w:rFonts w:ascii="Garamond" w:hAnsi="Garamond"/>
              <w:sz w:val="24"/>
              <w:szCs w:val="24"/>
            </w:rPr>
          </w:pPr>
        </w:p>
        <w:p w14:paraId="107869CE"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ACCA (2025) Financial Management (FM) Study Text. London: BPP Learning Media.</w:t>
          </w:r>
        </w:p>
        <w:p w14:paraId="767FC7B8"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 xml:space="preserve">Arnold, G. and Lewis, D. (2019) Corporate Financial Management. 6th </w:t>
          </w:r>
          <w:proofErr w:type="spellStart"/>
          <w:r w:rsidRPr="0051413D">
            <w:rPr>
              <w:rFonts w:ascii="Garamond" w:hAnsi="Garamond"/>
              <w:sz w:val="24"/>
              <w:szCs w:val="24"/>
              <w:lang w:val="en-US"/>
            </w:rPr>
            <w:t>edn</w:t>
          </w:r>
          <w:proofErr w:type="spellEnd"/>
          <w:r w:rsidRPr="0051413D">
            <w:rPr>
              <w:rFonts w:ascii="Garamond" w:hAnsi="Garamond"/>
              <w:sz w:val="24"/>
              <w:szCs w:val="24"/>
              <w:lang w:val="en-US"/>
            </w:rPr>
            <w:t>. Harlow: Pearson.</w:t>
          </w:r>
        </w:p>
        <w:p w14:paraId="1F1DCD6A" w14:textId="77777777" w:rsidR="0051413D" w:rsidRPr="0051413D" w:rsidRDefault="0051413D" w:rsidP="0051413D">
          <w:pPr>
            <w:rPr>
              <w:rFonts w:ascii="Garamond" w:hAnsi="Garamond"/>
              <w:sz w:val="24"/>
              <w:szCs w:val="24"/>
              <w:lang w:val="en-US"/>
            </w:rPr>
          </w:pPr>
          <w:proofErr w:type="spellStart"/>
          <w:r w:rsidRPr="0051413D">
            <w:rPr>
              <w:rFonts w:ascii="Garamond" w:hAnsi="Garamond"/>
              <w:sz w:val="24"/>
              <w:szCs w:val="24"/>
              <w:lang w:val="en-US"/>
            </w:rPr>
            <w:t>Atrill</w:t>
          </w:r>
          <w:proofErr w:type="spellEnd"/>
          <w:r w:rsidRPr="0051413D">
            <w:rPr>
              <w:rFonts w:ascii="Garamond" w:hAnsi="Garamond"/>
              <w:sz w:val="24"/>
              <w:szCs w:val="24"/>
              <w:lang w:val="en-US"/>
            </w:rPr>
            <w:t xml:space="preserve">, P. (2019) Financial Management for Decision Makers. 9th </w:t>
          </w:r>
          <w:proofErr w:type="spellStart"/>
          <w:proofErr w:type="gramStart"/>
          <w:r w:rsidRPr="0051413D">
            <w:rPr>
              <w:rFonts w:ascii="Garamond" w:hAnsi="Garamond"/>
              <w:sz w:val="24"/>
              <w:szCs w:val="24"/>
              <w:lang w:val="en-US"/>
            </w:rPr>
            <w:t>edn</w:t>
          </w:r>
          <w:proofErr w:type="spellEnd"/>
          <w:proofErr w:type="gramEnd"/>
          <w:r w:rsidRPr="0051413D">
            <w:rPr>
              <w:rFonts w:ascii="Garamond" w:hAnsi="Garamond"/>
              <w:sz w:val="24"/>
              <w:szCs w:val="24"/>
              <w:lang w:val="en-US"/>
            </w:rPr>
            <w:t>. Harlow: Pearson.</w:t>
          </w:r>
        </w:p>
        <w:p w14:paraId="555E20D1"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 xml:space="preserve">Bain &amp; Company and </w:t>
          </w:r>
          <w:proofErr w:type="spellStart"/>
          <w:r w:rsidRPr="0051413D">
            <w:rPr>
              <w:rFonts w:ascii="Garamond" w:hAnsi="Garamond"/>
              <w:sz w:val="24"/>
              <w:szCs w:val="24"/>
              <w:lang w:val="en-US"/>
            </w:rPr>
            <w:t>Altagamma</w:t>
          </w:r>
          <w:proofErr w:type="spellEnd"/>
          <w:r w:rsidRPr="0051413D">
            <w:rPr>
              <w:rFonts w:ascii="Garamond" w:hAnsi="Garamond"/>
              <w:sz w:val="24"/>
              <w:szCs w:val="24"/>
              <w:lang w:val="en-US"/>
            </w:rPr>
            <w:t xml:space="preserve"> (2025) Luxury is ready for a new era after stabilizing in 2025. Available at: https://www.bain.com/insights/luxury-is-ready-for-a-new-era-after-stabilizing-in-2025-snap-chart/ (Accessed: 14 April 2026).</w:t>
          </w:r>
        </w:p>
        <w:p w14:paraId="171DCC71"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Baker, M. and Wurgler, J. (2002) 'Market timing and capital structure', Journal of Finance, 57(1), pp. 1-32.</w:t>
          </w:r>
        </w:p>
        <w:p w14:paraId="6D38CEB5"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 xml:space="preserve">Bekaert, G. and Hodrick, R. (2017) International Financial Management. 3rd </w:t>
          </w:r>
          <w:proofErr w:type="spellStart"/>
          <w:proofErr w:type="gramStart"/>
          <w:r w:rsidRPr="0051413D">
            <w:rPr>
              <w:rFonts w:ascii="Garamond" w:hAnsi="Garamond"/>
              <w:sz w:val="24"/>
              <w:szCs w:val="24"/>
              <w:lang w:val="en-US"/>
            </w:rPr>
            <w:t>edn</w:t>
          </w:r>
          <w:proofErr w:type="spellEnd"/>
          <w:proofErr w:type="gramEnd"/>
          <w:r w:rsidRPr="0051413D">
            <w:rPr>
              <w:rFonts w:ascii="Garamond" w:hAnsi="Garamond"/>
              <w:sz w:val="24"/>
              <w:szCs w:val="24"/>
              <w:lang w:val="en-US"/>
            </w:rPr>
            <w:t>. Cambridge: Cambridge University Press.</w:t>
          </w:r>
        </w:p>
        <w:p w14:paraId="375EF6C8"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 xml:space="preserve">Bhimani, A. (2022) Financial Management for Technology Start-ups: A Handbook for Growth. 2nd </w:t>
          </w:r>
          <w:proofErr w:type="spellStart"/>
          <w:proofErr w:type="gramStart"/>
          <w:r w:rsidRPr="0051413D">
            <w:rPr>
              <w:rFonts w:ascii="Garamond" w:hAnsi="Garamond"/>
              <w:sz w:val="24"/>
              <w:szCs w:val="24"/>
              <w:lang w:val="en-US"/>
            </w:rPr>
            <w:t>edn</w:t>
          </w:r>
          <w:proofErr w:type="spellEnd"/>
          <w:proofErr w:type="gramEnd"/>
          <w:r w:rsidRPr="0051413D">
            <w:rPr>
              <w:rFonts w:ascii="Garamond" w:hAnsi="Garamond"/>
              <w:sz w:val="24"/>
              <w:szCs w:val="24"/>
              <w:lang w:val="en-US"/>
            </w:rPr>
            <w:t>. London: Kogan Page.</w:t>
          </w:r>
        </w:p>
        <w:p w14:paraId="512E2867"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 xml:space="preserve">Brealey, R.A., Myers, S.C. and Allen, F. (2023) Principles of Corporate Finance. 14th </w:t>
          </w:r>
          <w:proofErr w:type="spellStart"/>
          <w:proofErr w:type="gramStart"/>
          <w:r w:rsidRPr="0051413D">
            <w:rPr>
              <w:rFonts w:ascii="Garamond" w:hAnsi="Garamond"/>
              <w:sz w:val="24"/>
              <w:szCs w:val="24"/>
              <w:lang w:val="en-US"/>
            </w:rPr>
            <w:t>edn</w:t>
          </w:r>
          <w:proofErr w:type="spellEnd"/>
          <w:proofErr w:type="gramEnd"/>
          <w:r w:rsidRPr="0051413D">
            <w:rPr>
              <w:rFonts w:ascii="Garamond" w:hAnsi="Garamond"/>
              <w:sz w:val="24"/>
              <w:szCs w:val="24"/>
              <w:lang w:val="en-US"/>
            </w:rPr>
            <w:t>. New York: McGraw-Hill.</w:t>
          </w:r>
        </w:p>
        <w:p w14:paraId="72D0D7C6"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 xml:space="preserve">Brigham, E.F. and Ehrhardt, M.C. (2020) Financial Management: Theory and Practice. 16th </w:t>
          </w:r>
          <w:proofErr w:type="spellStart"/>
          <w:proofErr w:type="gramStart"/>
          <w:r w:rsidRPr="0051413D">
            <w:rPr>
              <w:rFonts w:ascii="Garamond" w:hAnsi="Garamond"/>
              <w:sz w:val="24"/>
              <w:szCs w:val="24"/>
              <w:lang w:val="en-US"/>
            </w:rPr>
            <w:t>edn</w:t>
          </w:r>
          <w:proofErr w:type="spellEnd"/>
          <w:proofErr w:type="gramEnd"/>
          <w:r w:rsidRPr="0051413D">
            <w:rPr>
              <w:rFonts w:ascii="Garamond" w:hAnsi="Garamond"/>
              <w:sz w:val="24"/>
              <w:szCs w:val="24"/>
              <w:lang w:val="en-US"/>
            </w:rPr>
            <w:t>. Boston: Cengage.</w:t>
          </w:r>
        </w:p>
        <w:p w14:paraId="50F2B765" w14:textId="77777777" w:rsidR="0051413D" w:rsidRPr="0051413D" w:rsidRDefault="0051413D" w:rsidP="0051413D">
          <w:pPr>
            <w:rPr>
              <w:rFonts w:ascii="Garamond" w:hAnsi="Garamond"/>
              <w:sz w:val="24"/>
              <w:szCs w:val="24"/>
              <w:lang w:val="en-US"/>
            </w:rPr>
          </w:pPr>
          <w:proofErr w:type="spellStart"/>
          <w:r w:rsidRPr="0051413D">
            <w:rPr>
              <w:rFonts w:ascii="Garamond" w:hAnsi="Garamond"/>
              <w:sz w:val="24"/>
              <w:szCs w:val="24"/>
              <w:lang w:val="en-US"/>
            </w:rPr>
            <w:t>Brounen</w:t>
          </w:r>
          <w:proofErr w:type="spellEnd"/>
          <w:r w:rsidRPr="0051413D">
            <w:rPr>
              <w:rFonts w:ascii="Garamond" w:hAnsi="Garamond"/>
              <w:sz w:val="24"/>
              <w:szCs w:val="24"/>
              <w:lang w:val="en-US"/>
            </w:rPr>
            <w:t xml:space="preserve">, D., de Jong, A. and </w:t>
          </w:r>
          <w:proofErr w:type="spellStart"/>
          <w:r w:rsidRPr="0051413D">
            <w:rPr>
              <w:rFonts w:ascii="Garamond" w:hAnsi="Garamond"/>
              <w:sz w:val="24"/>
              <w:szCs w:val="24"/>
              <w:lang w:val="en-US"/>
            </w:rPr>
            <w:t>Koedijk</w:t>
          </w:r>
          <w:proofErr w:type="spellEnd"/>
          <w:r w:rsidRPr="0051413D">
            <w:rPr>
              <w:rFonts w:ascii="Garamond" w:hAnsi="Garamond"/>
              <w:sz w:val="24"/>
              <w:szCs w:val="24"/>
              <w:lang w:val="en-US"/>
            </w:rPr>
            <w:t>, K. (2004) 'Corporate finance in Europe: confronting theory with practice', Financial Management, 33(4), pp. 71-101.</w:t>
          </w:r>
        </w:p>
        <w:p w14:paraId="0A729043"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Burns, R.M. and Walker, J. (2009) 'Capital budgeting surveys: the future is now', Journal of Applied Finance, 19(1/2), pp. 78-90.</w:t>
          </w:r>
        </w:p>
        <w:p w14:paraId="68150366"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Burberry Group plc (2024) Annual Report 2023/24. Available at: https://www.burberryplc.com/investors/annual-report-23-24 (Accessed: 14 April 2026).</w:t>
          </w:r>
        </w:p>
        <w:p w14:paraId="09304E94"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Burberry Group plc (2025a) Annual Report 2024/25. Available at: https://www.burberryplc.com/investors/annual-report-24-25 (Accessed: 14 April 2026).</w:t>
          </w:r>
        </w:p>
        <w:p w14:paraId="1D43342C"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Burberry Group plc (2025b) FY25 Preliminary Results Press Release. Available at: https://www.burberryplc.com/content/dam/burberryplc/corporate/documents/investors/results-reports/2025/prelims-/Burberry%20FY25%20Preliminary%20Results%20Press%20Release.pdf.downloadasset.pdf (Accessed: 14 April 2026).</w:t>
          </w:r>
        </w:p>
        <w:p w14:paraId="36353C80"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CIMA (2023) Financial Management. London: Kaplan Publishing.</w:t>
          </w:r>
        </w:p>
        <w:p w14:paraId="335EBD0A"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 xml:space="preserve">Damodaran, A. (2012) Investment Valuation. 3rd </w:t>
          </w:r>
          <w:proofErr w:type="spellStart"/>
          <w:proofErr w:type="gramStart"/>
          <w:r w:rsidRPr="0051413D">
            <w:rPr>
              <w:rFonts w:ascii="Garamond" w:hAnsi="Garamond"/>
              <w:sz w:val="24"/>
              <w:szCs w:val="24"/>
              <w:lang w:val="en-US"/>
            </w:rPr>
            <w:t>edn</w:t>
          </w:r>
          <w:proofErr w:type="spellEnd"/>
          <w:proofErr w:type="gramEnd"/>
          <w:r w:rsidRPr="0051413D">
            <w:rPr>
              <w:rFonts w:ascii="Garamond" w:hAnsi="Garamond"/>
              <w:sz w:val="24"/>
              <w:szCs w:val="24"/>
              <w:lang w:val="en-US"/>
            </w:rPr>
            <w:t>. Hoboken: Wiley.</w:t>
          </w:r>
        </w:p>
        <w:p w14:paraId="5486E77F"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Dean, J. (1951) Capital Budgeting. New York: Columbia University Press.</w:t>
          </w:r>
        </w:p>
        <w:p w14:paraId="566BDC2F"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Deloitte (2026) Global Powers of Luxury 2026. Available at: https://www.deloitte.com/global/en/industries/consumer/perspectives/global-powers-of-luxury.html (Accessed: 14 April 2026).</w:t>
          </w:r>
        </w:p>
        <w:p w14:paraId="02EAEA3E"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lastRenderedPageBreak/>
            <w:t xml:space="preserve">Drury, C. (2020) Management and Cost Accounting. 11th </w:t>
          </w:r>
          <w:proofErr w:type="spellStart"/>
          <w:r w:rsidRPr="0051413D">
            <w:rPr>
              <w:rFonts w:ascii="Garamond" w:hAnsi="Garamond"/>
              <w:sz w:val="24"/>
              <w:szCs w:val="24"/>
              <w:lang w:val="en-US"/>
            </w:rPr>
            <w:t>edn</w:t>
          </w:r>
          <w:proofErr w:type="spellEnd"/>
          <w:r w:rsidRPr="0051413D">
            <w:rPr>
              <w:rFonts w:ascii="Garamond" w:hAnsi="Garamond"/>
              <w:sz w:val="24"/>
              <w:szCs w:val="24"/>
              <w:lang w:val="en-US"/>
            </w:rPr>
            <w:t>. Andover: Cengage Learning.</w:t>
          </w:r>
        </w:p>
        <w:p w14:paraId="092906F9"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Fama, E.F. and French, K.R. (2002) 'Testing trade-off and pecking order predictions about dividends and debt', Review of Financial Studies, 15(1), pp. 1-33.</w:t>
          </w:r>
        </w:p>
        <w:p w14:paraId="05FD25A7"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Farragher, E.J., Kleiman, R.T. and Sahu, A.P. (2001) 'The association between the use of sophisticated capital budgeting practices and corporate performance', The Engineering Economist, 46(4), pp. 300-311.</w:t>
          </w:r>
        </w:p>
        <w:p w14:paraId="5B9A1BB3"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Financial Reporting Council (2024) The UK Corporate Governance Code. London: FRC.</w:t>
          </w:r>
        </w:p>
        <w:p w14:paraId="42257AC5"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Frank, M.Z. and Goyal, V.K. (2009) 'Capital structure decisions: which factors are reliably important?', Financial Management, 38(1), pp. 1-37.</w:t>
          </w:r>
        </w:p>
        <w:p w14:paraId="32E3BB39"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Graham, J.R. and Harvey, C.R. (2001) 'The theory and practice of corporate finance: evidence from the field', Journal of Financial Economics, 60(2-3), pp. 187-243.</w:t>
          </w:r>
        </w:p>
        <w:p w14:paraId="65924382"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Harris, M. and Raviv, A. (1991) 'The theory of capital structure', Journal of Finance, 46(1), pp. 297-355.</w:t>
          </w:r>
        </w:p>
        <w:p w14:paraId="3734CF35"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Hermes International (2026) 2025 Full-Year Results. Available at: https://finance.hermes.com/en/financial-results/ (Accessed: 14 April 2026).</w:t>
          </w:r>
        </w:p>
        <w:p w14:paraId="7FFDFD31"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Hermes, N., Smid, P. and Yao, L. (2007) 'Capital budgeting practices: a comparative study of the Netherlands and China', International Business Review, 16(5), pp. 630-654.</w:t>
          </w:r>
        </w:p>
        <w:p w14:paraId="4DE731F1"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HM Treasury (2022) The Green Book: Central Government Guidance on Appraisal and Evaluation. London: HM Treasury.</w:t>
          </w:r>
        </w:p>
        <w:p w14:paraId="3973CF2E"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IFRS Foundation (2024a) Conceptual Framework for Financial Reporting. London: IFRS Foundation.</w:t>
          </w:r>
        </w:p>
        <w:p w14:paraId="2ADFEF61"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IFRS Foundation (2024b) IAS 1 Presentation of Financial Statements. London: IFRS Foundation.</w:t>
          </w:r>
        </w:p>
        <w:p w14:paraId="6BEF23A5"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Jensen, M.C. (1986) 'Agency costs of free cash flow, corporate finance, and takeovers', American Economic Review, 76(2), pp. 323-329.</w:t>
          </w:r>
        </w:p>
        <w:p w14:paraId="50374EC0"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 xml:space="preserve">Jensen, M.C. and Meckling, W.H. (1976) 'Theory of the firm: managerial </w:t>
          </w:r>
          <w:proofErr w:type="spellStart"/>
          <w:r w:rsidRPr="0051413D">
            <w:rPr>
              <w:rFonts w:ascii="Garamond" w:hAnsi="Garamond"/>
              <w:sz w:val="24"/>
              <w:szCs w:val="24"/>
              <w:lang w:val="en-US"/>
            </w:rPr>
            <w:t>behaviour</w:t>
          </w:r>
          <w:proofErr w:type="spellEnd"/>
          <w:r w:rsidRPr="0051413D">
            <w:rPr>
              <w:rFonts w:ascii="Garamond" w:hAnsi="Garamond"/>
              <w:sz w:val="24"/>
              <w:szCs w:val="24"/>
              <w:lang w:val="en-US"/>
            </w:rPr>
            <w:t>, agency costs and ownership structure', Journal of Financial Economics, 3(4), pp. 305-360.</w:t>
          </w:r>
        </w:p>
        <w:p w14:paraId="74D50579"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 xml:space="preserve">Kantar (2025) </w:t>
          </w:r>
          <w:proofErr w:type="spellStart"/>
          <w:r w:rsidRPr="0051413D">
            <w:rPr>
              <w:rFonts w:ascii="Garamond" w:hAnsi="Garamond"/>
              <w:sz w:val="24"/>
              <w:szCs w:val="24"/>
              <w:lang w:val="en-US"/>
            </w:rPr>
            <w:t>BrandZ</w:t>
          </w:r>
          <w:proofErr w:type="spellEnd"/>
          <w:r w:rsidRPr="0051413D">
            <w:rPr>
              <w:rFonts w:ascii="Garamond" w:hAnsi="Garamond"/>
              <w:sz w:val="24"/>
              <w:szCs w:val="24"/>
              <w:lang w:val="en-US"/>
            </w:rPr>
            <w:t xml:space="preserve"> Most Valuable Global Brands 2025. Available at: https://www.kantar.com/campaigns/brandz/global (Accessed: 14 April 2026).</w:t>
          </w:r>
        </w:p>
        <w:p w14:paraId="2B3FD81D"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Kering (2026) 2025 Financial Document. Available at: https://www.kering.com/en/finance/publications/ (Accessed: 14 April 2026).</w:t>
          </w:r>
        </w:p>
        <w:p w14:paraId="4B528C67"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 xml:space="preserve">Kersten, R., Harms, J., </w:t>
          </w:r>
          <w:proofErr w:type="spellStart"/>
          <w:r w:rsidRPr="0051413D">
            <w:rPr>
              <w:rFonts w:ascii="Garamond" w:hAnsi="Garamond"/>
              <w:sz w:val="24"/>
              <w:szCs w:val="24"/>
              <w:lang w:val="en-US"/>
            </w:rPr>
            <w:t>Liket</w:t>
          </w:r>
          <w:proofErr w:type="spellEnd"/>
          <w:r w:rsidRPr="0051413D">
            <w:rPr>
              <w:rFonts w:ascii="Garamond" w:hAnsi="Garamond"/>
              <w:sz w:val="24"/>
              <w:szCs w:val="24"/>
              <w:lang w:val="en-US"/>
            </w:rPr>
            <w:t>, K. and Maas, K. (2017) 'Small firms, large impact? A systematic review of the SME finance literature', World Development, 97, pp. 330-348.</w:t>
          </w:r>
        </w:p>
        <w:p w14:paraId="38E12A47"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London Stock Exchange (2026) FTSE 100 constituents. Available at: https://www.londonstockexchange.com/indices/ftse-100/constituents/table (Accessed: 14 April 2026).</w:t>
          </w:r>
        </w:p>
        <w:p w14:paraId="311FBDFC"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lastRenderedPageBreak/>
            <w:t>LVMH (2026) Solid performance in a disrupted global economic and geopolitical environment. Available at: https://www.lvmh.com/en/publications/solid-performance-in-a-disrupted-global-economic-and-geopolitical-environment (Accessed: 14 April 2026).</w:t>
          </w:r>
        </w:p>
        <w:p w14:paraId="29C83E5F"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Mao, J.C.T. (1970) 'Survey of capital budgeting: theory and practice', Journal of Finance, 25(2), pp. 349-360.</w:t>
          </w:r>
        </w:p>
        <w:p w14:paraId="020D837B"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McKinsey &amp; Company (2025) The State of Luxury Goods in 2025. Available at: https://www.mckinsey.com/industries/retail/our-insights/state-of-luxury (Accessed: 14 April 2026).</w:t>
          </w:r>
        </w:p>
        <w:p w14:paraId="5B79A54D"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Modigliani, F. and Miller, M.H. (1958) 'The cost of capital, corporation finance and the theory of investment', American Economic Review, 48(3), pp. 261-297.</w:t>
          </w:r>
        </w:p>
        <w:p w14:paraId="64C76DD7"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Modigliani, F. and Miller, M.H. (1963) 'Corporate income taxes and the cost of capital: a correction', American Economic Review, 53(3), pp. 433-443.</w:t>
          </w:r>
        </w:p>
        <w:p w14:paraId="51CDAD0B"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Myers, S.C. (1984) 'The capital structure puzzle', Journal of Finance, 39(3), pp. 575-592.</w:t>
          </w:r>
        </w:p>
        <w:p w14:paraId="5A7453F7"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Myers, S.C. and Majluf, N.S. (1984) 'Corporate financing and investment decisions when firms have information that investors do not have', Journal of Financial Economics, 13(2), pp. 187-221.</w:t>
          </w:r>
        </w:p>
        <w:p w14:paraId="3BC603D2"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OECD (2024) Financing SMEs and Entrepreneurs 2024: An OECD Scoreboard. Paris: OECD Publishing.</w:t>
          </w:r>
        </w:p>
        <w:p w14:paraId="368D6801"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 xml:space="preserve">Palepu, K.G., Healy, P.M. and Peek, E. (2020) Business Analysis and Valuation: IFRS Standards Edition. 5th </w:t>
          </w:r>
          <w:proofErr w:type="spellStart"/>
          <w:proofErr w:type="gramStart"/>
          <w:r w:rsidRPr="0051413D">
            <w:rPr>
              <w:rFonts w:ascii="Garamond" w:hAnsi="Garamond"/>
              <w:sz w:val="24"/>
              <w:szCs w:val="24"/>
              <w:lang w:val="en-US"/>
            </w:rPr>
            <w:t>edn</w:t>
          </w:r>
          <w:proofErr w:type="spellEnd"/>
          <w:proofErr w:type="gramEnd"/>
          <w:r w:rsidRPr="0051413D">
            <w:rPr>
              <w:rFonts w:ascii="Garamond" w:hAnsi="Garamond"/>
              <w:sz w:val="24"/>
              <w:szCs w:val="24"/>
              <w:lang w:val="en-US"/>
            </w:rPr>
            <w:t>. Andover: Cengage.</w:t>
          </w:r>
        </w:p>
        <w:p w14:paraId="69DBCA99"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 xml:space="preserve">Penman, S.H. (2013) Financial Statement Analysis and Security Valuation. 5th </w:t>
          </w:r>
          <w:proofErr w:type="spellStart"/>
          <w:proofErr w:type="gramStart"/>
          <w:r w:rsidRPr="0051413D">
            <w:rPr>
              <w:rFonts w:ascii="Garamond" w:hAnsi="Garamond"/>
              <w:sz w:val="24"/>
              <w:szCs w:val="24"/>
              <w:lang w:val="en-US"/>
            </w:rPr>
            <w:t>edn</w:t>
          </w:r>
          <w:proofErr w:type="spellEnd"/>
          <w:proofErr w:type="gramEnd"/>
          <w:r w:rsidRPr="0051413D">
            <w:rPr>
              <w:rFonts w:ascii="Garamond" w:hAnsi="Garamond"/>
              <w:sz w:val="24"/>
              <w:szCs w:val="24"/>
              <w:lang w:val="en-US"/>
            </w:rPr>
            <w:t>. New York: McGraw-Hill.</w:t>
          </w:r>
        </w:p>
        <w:p w14:paraId="2FF8406D"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 xml:space="preserve">Pike, R., Neale, B. and Akbar, S. (2018) Corporate Finance and Investment: Decisions and Strategies. 9th </w:t>
          </w:r>
          <w:proofErr w:type="spellStart"/>
          <w:proofErr w:type="gramStart"/>
          <w:r w:rsidRPr="0051413D">
            <w:rPr>
              <w:rFonts w:ascii="Garamond" w:hAnsi="Garamond"/>
              <w:sz w:val="24"/>
              <w:szCs w:val="24"/>
              <w:lang w:val="en-US"/>
            </w:rPr>
            <w:t>edn</w:t>
          </w:r>
          <w:proofErr w:type="spellEnd"/>
          <w:proofErr w:type="gramEnd"/>
          <w:r w:rsidRPr="0051413D">
            <w:rPr>
              <w:rFonts w:ascii="Garamond" w:hAnsi="Garamond"/>
              <w:sz w:val="24"/>
              <w:szCs w:val="24"/>
              <w:lang w:val="en-US"/>
            </w:rPr>
            <w:t>. Harlow: Pearson.</w:t>
          </w:r>
        </w:p>
        <w:p w14:paraId="61CC5E34"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Rajan, R.G. and Zingales, L. (1995) 'What do we know about capital structure? Some evidence from international data', Journal of Finance, 50(5), pp. 1421-1460.</w:t>
          </w:r>
        </w:p>
        <w:p w14:paraId="7846CB1A"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Richemont (2025) Annual Report and Accounts 2025. Available at: https://www.richemont.com/investor-relations/reports/ (Accessed: 14 April 2026).</w:t>
          </w:r>
        </w:p>
        <w:p w14:paraId="4EEA98F5"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 xml:space="preserve">Robinson, T.R., Henry, E., Pirie, W.L. and Broihahn, M.A. (2020) International Financial Statement Analysis. 4th </w:t>
          </w:r>
          <w:proofErr w:type="spellStart"/>
          <w:proofErr w:type="gramStart"/>
          <w:r w:rsidRPr="0051413D">
            <w:rPr>
              <w:rFonts w:ascii="Garamond" w:hAnsi="Garamond"/>
              <w:sz w:val="24"/>
              <w:szCs w:val="24"/>
              <w:lang w:val="en-US"/>
            </w:rPr>
            <w:t>edn</w:t>
          </w:r>
          <w:proofErr w:type="spellEnd"/>
          <w:proofErr w:type="gramEnd"/>
          <w:r w:rsidRPr="0051413D">
            <w:rPr>
              <w:rFonts w:ascii="Garamond" w:hAnsi="Garamond"/>
              <w:sz w:val="24"/>
              <w:szCs w:val="24"/>
              <w:lang w:val="en-US"/>
            </w:rPr>
            <w:t>. Hoboken: Wiley.</w:t>
          </w:r>
        </w:p>
        <w:p w14:paraId="18FADA3B"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Ryan, P.A. and Ryan, G.P. (2002) 'Capital budgeting practices of the Fortune 1000: how have things changed?', Journal of Business and Management, 8(4), pp. 355-364.</w:t>
          </w:r>
        </w:p>
        <w:p w14:paraId="6A92BA22"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Sandahl, G. and Sjogren, S. (2003) 'Capital budgeting methods among Sweden's largest groups of companies', International Journal of Production Economics, 84(1), pp. 51-69.</w:t>
          </w:r>
        </w:p>
        <w:p w14:paraId="19FBAD1B"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 xml:space="preserve">Subramanyam, K.R. (2014) Financial Statement Analysis. 11th </w:t>
          </w:r>
          <w:proofErr w:type="spellStart"/>
          <w:r w:rsidRPr="0051413D">
            <w:rPr>
              <w:rFonts w:ascii="Garamond" w:hAnsi="Garamond"/>
              <w:sz w:val="24"/>
              <w:szCs w:val="24"/>
              <w:lang w:val="en-US"/>
            </w:rPr>
            <w:t>edn</w:t>
          </w:r>
          <w:proofErr w:type="spellEnd"/>
          <w:r w:rsidRPr="0051413D">
            <w:rPr>
              <w:rFonts w:ascii="Garamond" w:hAnsi="Garamond"/>
              <w:sz w:val="24"/>
              <w:szCs w:val="24"/>
              <w:lang w:val="en-US"/>
            </w:rPr>
            <w:t>. New York: McGraw-Hill.</w:t>
          </w:r>
        </w:p>
        <w:p w14:paraId="672C96DC"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 xml:space="preserve">Van Horne, J.C. and Wachowicz, J.M. (2008) Fundamentals of Financial Management. 13th </w:t>
          </w:r>
          <w:proofErr w:type="spellStart"/>
          <w:r w:rsidRPr="0051413D">
            <w:rPr>
              <w:rFonts w:ascii="Garamond" w:hAnsi="Garamond"/>
              <w:sz w:val="24"/>
              <w:szCs w:val="24"/>
              <w:lang w:val="en-US"/>
            </w:rPr>
            <w:t>edn</w:t>
          </w:r>
          <w:proofErr w:type="spellEnd"/>
          <w:r w:rsidRPr="0051413D">
            <w:rPr>
              <w:rFonts w:ascii="Garamond" w:hAnsi="Garamond"/>
              <w:sz w:val="24"/>
              <w:szCs w:val="24"/>
              <w:lang w:val="en-US"/>
            </w:rPr>
            <w:t>. Harlow: Pearson.</w:t>
          </w:r>
        </w:p>
        <w:p w14:paraId="34A45CA6"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 xml:space="preserve">Walsh, C. (2006) Key Management Ratios. 4th </w:t>
          </w:r>
          <w:proofErr w:type="spellStart"/>
          <w:proofErr w:type="gramStart"/>
          <w:r w:rsidRPr="0051413D">
            <w:rPr>
              <w:rFonts w:ascii="Garamond" w:hAnsi="Garamond"/>
              <w:sz w:val="24"/>
              <w:szCs w:val="24"/>
              <w:lang w:val="en-US"/>
            </w:rPr>
            <w:t>edn</w:t>
          </w:r>
          <w:proofErr w:type="spellEnd"/>
          <w:proofErr w:type="gramEnd"/>
          <w:r w:rsidRPr="0051413D">
            <w:rPr>
              <w:rFonts w:ascii="Garamond" w:hAnsi="Garamond"/>
              <w:sz w:val="24"/>
              <w:szCs w:val="24"/>
              <w:lang w:val="en-US"/>
            </w:rPr>
            <w:t>. Harlow: Pearson.</w:t>
          </w:r>
        </w:p>
        <w:p w14:paraId="20832745"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lastRenderedPageBreak/>
            <w:t xml:space="preserve">White, G.I., Sondhi, A.C. and Fried, D. (2003) The Analysis and Use of Financial Statements. 3rd </w:t>
          </w:r>
          <w:proofErr w:type="spellStart"/>
          <w:proofErr w:type="gramStart"/>
          <w:r w:rsidRPr="0051413D">
            <w:rPr>
              <w:rFonts w:ascii="Garamond" w:hAnsi="Garamond"/>
              <w:sz w:val="24"/>
              <w:szCs w:val="24"/>
              <w:lang w:val="en-US"/>
            </w:rPr>
            <w:t>edn</w:t>
          </w:r>
          <w:proofErr w:type="spellEnd"/>
          <w:proofErr w:type="gramEnd"/>
          <w:r w:rsidRPr="0051413D">
            <w:rPr>
              <w:rFonts w:ascii="Garamond" w:hAnsi="Garamond"/>
              <w:sz w:val="24"/>
              <w:szCs w:val="24"/>
              <w:lang w:val="en-US"/>
            </w:rPr>
            <w:t>. Hoboken: Wiley.</w:t>
          </w:r>
        </w:p>
        <w:p w14:paraId="16C9B878" w14:textId="77777777" w:rsidR="0051413D" w:rsidRPr="003A68C8" w:rsidRDefault="0051413D">
          <w:pPr>
            <w:rPr>
              <w:rFonts w:ascii="Garamond" w:hAnsi="Garamond"/>
              <w:sz w:val="24"/>
              <w:szCs w:val="24"/>
            </w:rPr>
          </w:pPr>
        </w:p>
        <w:p w14:paraId="2A8BE9AA" w14:textId="77777777" w:rsidR="003A68C8" w:rsidRDefault="003A68C8">
          <w:pPr>
            <w:rPr>
              <w:rFonts w:ascii="Garamond" w:hAnsi="Garamond"/>
              <w:sz w:val="24"/>
              <w:szCs w:val="24"/>
            </w:rPr>
          </w:pPr>
        </w:p>
        <w:p w14:paraId="315241FD" w14:textId="77777777" w:rsidR="003A68C8" w:rsidRDefault="003A68C8">
          <w:pPr>
            <w:rPr>
              <w:rFonts w:ascii="Garamond" w:hAnsi="Garamond"/>
              <w:sz w:val="24"/>
              <w:szCs w:val="24"/>
            </w:rPr>
          </w:pPr>
        </w:p>
        <w:p w14:paraId="77919DC1" w14:textId="77777777" w:rsidR="003A68C8" w:rsidRDefault="003A68C8">
          <w:pPr>
            <w:rPr>
              <w:rFonts w:ascii="Garamond" w:hAnsi="Garamond"/>
              <w:sz w:val="24"/>
              <w:szCs w:val="24"/>
            </w:rPr>
          </w:pPr>
        </w:p>
        <w:p w14:paraId="390BC56A" w14:textId="77777777" w:rsidR="003A68C8" w:rsidRDefault="003A68C8">
          <w:pPr>
            <w:rPr>
              <w:rFonts w:ascii="Garamond" w:hAnsi="Garamond"/>
              <w:sz w:val="24"/>
              <w:szCs w:val="24"/>
            </w:rPr>
          </w:pPr>
        </w:p>
        <w:p w14:paraId="2EE1B857" w14:textId="77777777" w:rsidR="003A68C8" w:rsidRDefault="003A68C8">
          <w:pPr>
            <w:rPr>
              <w:rFonts w:ascii="Garamond" w:hAnsi="Garamond"/>
              <w:sz w:val="24"/>
              <w:szCs w:val="24"/>
            </w:rPr>
          </w:pPr>
        </w:p>
        <w:p w14:paraId="061543ED" w14:textId="77777777" w:rsidR="003A68C8" w:rsidRDefault="003A68C8">
          <w:pPr>
            <w:rPr>
              <w:rFonts w:ascii="Garamond" w:hAnsi="Garamond"/>
              <w:sz w:val="24"/>
              <w:szCs w:val="24"/>
            </w:rPr>
          </w:pPr>
        </w:p>
        <w:p w14:paraId="1CBF6F22" w14:textId="77777777" w:rsidR="003A68C8" w:rsidRDefault="003A68C8">
          <w:pPr>
            <w:rPr>
              <w:rFonts w:ascii="Garamond" w:hAnsi="Garamond"/>
              <w:sz w:val="24"/>
              <w:szCs w:val="24"/>
            </w:rPr>
          </w:pPr>
        </w:p>
        <w:p w14:paraId="4FA71E6D" w14:textId="77777777" w:rsidR="003A68C8" w:rsidRDefault="003A68C8">
          <w:pPr>
            <w:rPr>
              <w:rFonts w:ascii="Garamond" w:hAnsi="Garamond"/>
              <w:sz w:val="24"/>
              <w:szCs w:val="24"/>
            </w:rPr>
          </w:pPr>
        </w:p>
        <w:p w14:paraId="1633C531" w14:textId="77777777" w:rsidR="003A68C8" w:rsidRDefault="003A68C8">
          <w:pPr>
            <w:rPr>
              <w:rFonts w:ascii="Garamond" w:hAnsi="Garamond"/>
              <w:sz w:val="24"/>
              <w:szCs w:val="24"/>
            </w:rPr>
          </w:pPr>
        </w:p>
        <w:p w14:paraId="0DF85761" w14:textId="77777777" w:rsidR="003A68C8" w:rsidRDefault="003A68C8">
          <w:pPr>
            <w:rPr>
              <w:rFonts w:ascii="Garamond" w:hAnsi="Garamond"/>
              <w:sz w:val="24"/>
              <w:szCs w:val="24"/>
            </w:rPr>
          </w:pPr>
        </w:p>
        <w:p w14:paraId="3BAD30CE" w14:textId="77777777" w:rsidR="003A68C8" w:rsidRDefault="003A68C8">
          <w:pPr>
            <w:rPr>
              <w:rFonts w:ascii="Garamond" w:hAnsi="Garamond"/>
              <w:sz w:val="24"/>
              <w:szCs w:val="24"/>
            </w:rPr>
          </w:pPr>
        </w:p>
        <w:p w14:paraId="7BBB296F" w14:textId="77777777" w:rsidR="003A68C8" w:rsidRDefault="003A68C8">
          <w:pPr>
            <w:rPr>
              <w:rFonts w:ascii="Garamond" w:hAnsi="Garamond"/>
              <w:sz w:val="24"/>
              <w:szCs w:val="24"/>
            </w:rPr>
          </w:pPr>
        </w:p>
        <w:p w14:paraId="451D984F" w14:textId="77777777" w:rsidR="003A68C8" w:rsidRDefault="003A68C8">
          <w:pPr>
            <w:rPr>
              <w:rFonts w:ascii="Garamond" w:hAnsi="Garamond"/>
              <w:sz w:val="24"/>
              <w:szCs w:val="24"/>
            </w:rPr>
          </w:pPr>
        </w:p>
        <w:p w14:paraId="20608252" w14:textId="77777777" w:rsidR="003A68C8" w:rsidRDefault="003A68C8">
          <w:pPr>
            <w:rPr>
              <w:rFonts w:ascii="Garamond" w:hAnsi="Garamond"/>
              <w:sz w:val="24"/>
              <w:szCs w:val="24"/>
            </w:rPr>
          </w:pPr>
        </w:p>
        <w:p w14:paraId="52875CBA" w14:textId="77777777" w:rsidR="003A68C8" w:rsidRDefault="003A68C8">
          <w:pPr>
            <w:rPr>
              <w:rFonts w:ascii="Garamond" w:hAnsi="Garamond"/>
              <w:sz w:val="24"/>
              <w:szCs w:val="24"/>
            </w:rPr>
          </w:pPr>
        </w:p>
        <w:p w14:paraId="662900F1" w14:textId="77777777" w:rsidR="003A68C8" w:rsidRDefault="003A68C8">
          <w:pPr>
            <w:rPr>
              <w:rFonts w:ascii="Garamond" w:hAnsi="Garamond"/>
              <w:sz w:val="24"/>
              <w:szCs w:val="24"/>
            </w:rPr>
          </w:pPr>
        </w:p>
        <w:p w14:paraId="3CC05D7E" w14:textId="77777777" w:rsidR="003A68C8" w:rsidRDefault="003A68C8">
          <w:pPr>
            <w:rPr>
              <w:rFonts w:ascii="Garamond" w:hAnsi="Garamond"/>
              <w:sz w:val="24"/>
              <w:szCs w:val="24"/>
            </w:rPr>
          </w:pPr>
        </w:p>
        <w:p w14:paraId="42D5129A" w14:textId="77777777" w:rsidR="003A68C8" w:rsidRDefault="003A68C8">
          <w:pPr>
            <w:rPr>
              <w:rFonts w:ascii="Garamond" w:hAnsi="Garamond"/>
              <w:sz w:val="24"/>
              <w:szCs w:val="24"/>
            </w:rPr>
          </w:pPr>
        </w:p>
        <w:p w14:paraId="7EE4AF41" w14:textId="77777777" w:rsidR="003A68C8" w:rsidRDefault="003A68C8">
          <w:pPr>
            <w:rPr>
              <w:rFonts w:ascii="Garamond" w:hAnsi="Garamond"/>
              <w:sz w:val="24"/>
              <w:szCs w:val="24"/>
            </w:rPr>
          </w:pPr>
        </w:p>
        <w:p w14:paraId="578889D8" w14:textId="77777777" w:rsidR="003A68C8" w:rsidRDefault="003A68C8">
          <w:pPr>
            <w:rPr>
              <w:rFonts w:ascii="Garamond" w:hAnsi="Garamond"/>
              <w:sz w:val="24"/>
              <w:szCs w:val="24"/>
            </w:rPr>
          </w:pPr>
        </w:p>
        <w:p w14:paraId="6E28FD23" w14:textId="77777777" w:rsidR="003A68C8" w:rsidRDefault="003A68C8">
          <w:pPr>
            <w:rPr>
              <w:rFonts w:ascii="Garamond" w:hAnsi="Garamond"/>
              <w:sz w:val="24"/>
              <w:szCs w:val="24"/>
            </w:rPr>
          </w:pPr>
        </w:p>
        <w:p w14:paraId="28A063D8" w14:textId="77777777" w:rsidR="003A68C8" w:rsidRDefault="003A68C8">
          <w:pPr>
            <w:rPr>
              <w:rFonts w:ascii="Garamond" w:hAnsi="Garamond"/>
              <w:sz w:val="24"/>
              <w:szCs w:val="24"/>
            </w:rPr>
          </w:pPr>
        </w:p>
        <w:p w14:paraId="591D866F" w14:textId="77777777" w:rsidR="003A68C8" w:rsidRDefault="003A68C8">
          <w:pPr>
            <w:rPr>
              <w:rFonts w:ascii="Garamond" w:hAnsi="Garamond"/>
              <w:sz w:val="24"/>
              <w:szCs w:val="24"/>
            </w:rPr>
          </w:pPr>
        </w:p>
        <w:p w14:paraId="17AB8CA0" w14:textId="77777777" w:rsidR="003A68C8" w:rsidRDefault="003A68C8">
          <w:pPr>
            <w:rPr>
              <w:rFonts w:ascii="Garamond" w:hAnsi="Garamond"/>
              <w:sz w:val="24"/>
              <w:szCs w:val="24"/>
            </w:rPr>
          </w:pPr>
        </w:p>
        <w:p w14:paraId="1A59BD4D" w14:textId="77777777" w:rsidR="003A68C8" w:rsidRDefault="003A68C8">
          <w:pPr>
            <w:rPr>
              <w:rFonts w:ascii="Garamond" w:hAnsi="Garamond"/>
              <w:sz w:val="24"/>
              <w:szCs w:val="24"/>
            </w:rPr>
          </w:pPr>
        </w:p>
        <w:p w14:paraId="7F88807D" w14:textId="77777777" w:rsidR="003A68C8" w:rsidRDefault="003A68C8">
          <w:pPr>
            <w:rPr>
              <w:rFonts w:ascii="Garamond" w:hAnsi="Garamond"/>
              <w:sz w:val="24"/>
              <w:szCs w:val="24"/>
            </w:rPr>
          </w:pPr>
        </w:p>
        <w:p w14:paraId="6C7E6260" w14:textId="7FBFE386" w:rsidR="00CF0E48" w:rsidRPr="003A68C8" w:rsidRDefault="00763E99">
          <w:pPr>
            <w:rPr>
              <w:rFonts w:ascii="Garamond" w:hAnsi="Garamond"/>
              <w:sz w:val="24"/>
              <w:szCs w:val="24"/>
            </w:rPr>
          </w:pPr>
        </w:p>
      </w:sdtContent>
    </w:sdt>
    <w:p w14:paraId="1F4145EA" w14:textId="452E1343" w:rsidR="00CF0E48" w:rsidRPr="003A68C8" w:rsidRDefault="00CF0E48" w:rsidP="00CF0E48">
      <w:pPr>
        <w:pStyle w:val="Heading1"/>
        <w:rPr>
          <w:rFonts w:ascii="Garamond" w:hAnsi="Garamond"/>
          <w:b/>
          <w:bCs/>
          <w:sz w:val="28"/>
          <w:szCs w:val="28"/>
        </w:rPr>
      </w:pPr>
      <w:bookmarkStart w:id="19" w:name="_Toc227521287"/>
      <w:r w:rsidRPr="003A68C8">
        <w:rPr>
          <w:rFonts w:ascii="Garamond" w:hAnsi="Garamond"/>
          <w:b/>
          <w:bCs/>
          <w:sz w:val="28"/>
          <w:szCs w:val="28"/>
        </w:rPr>
        <w:lastRenderedPageBreak/>
        <w:t>Appendix</w:t>
      </w:r>
      <w:bookmarkEnd w:id="19"/>
    </w:p>
    <w:p w14:paraId="1BD03611" w14:textId="77777777" w:rsidR="0051413D" w:rsidRPr="003A68C8" w:rsidRDefault="0051413D" w:rsidP="0051413D">
      <w:pPr>
        <w:rPr>
          <w:rFonts w:ascii="Garamond" w:hAnsi="Garamond"/>
          <w:sz w:val="24"/>
          <w:szCs w:val="24"/>
        </w:rPr>
      </w:pPr>
    </w:p>
    <w:p w14:paraId="72000133" w14:textId="77777777" w:rsidR="0051413D" w:rsidRDefault="0051413D" w:rsidP="00E237F2">
      <w:pPr>
        <w:pStyle w:val="Heading2"/>
        <w:rPr>
          <w:rFonts w:ascii="Garamond" w:hAnsi="Garamond"/>
          <w:lang w:val="en-US"/>
        </w:rPr>
      </w:pPr>
      <w:bookmarkStart w:id="20" w:name="_Toc227521288"/>
      <w:r w:rsidRPr="00E237F2">
        <w:rPr>
          <w:rFonts w:ascii="Garamond" w:hAnsi="Garamond"/>
          <w:lang w:val="en-US"/>
        </w:rPr>
        <w:t>Appendix A: Extracted Burberry financial statements used for analysis</w:t>
      </w:r>
      <w:bookmarkEnd w:id="20"/>
    </w:p>
    <w:p w14:paraId="7F386379" w14:textId="77777777" w:rsidR="005C1AD5" w:rsidRPr="005C1AD5" w:rsidRDefault="005C1AD5" w:rsidP="005C1AD5">
      <w:pPr>
        <w:rPr>
          <w:lang w:val="en-US"/>
        </w:rPr>
      </w:pPr>
    </w:p>
    <w:p w14:paraId="053AEE54" w14:textId="77777777" w:rsidR="0051413D" w:rsidRPr="003A68C8" w:rsidRDefault="0051413D" w:rsidP="0051413D">
      <w:pPr>
        <w:rPr>
          <w:rFonts w:ascii="Garamond" w:hAnsi="Garamond"/>
          <w:sz w:val="24"/>
          <w:szCs w:val="24"/>
          <w:lang w:val="en-US"/>
        </w:rPr>
      </w:pPr>
      <w:r w:rsidRPr="0051413D">
        <w:rPr>
          <w:rFonts w:ascii="Garamond" w:hAnsi="Garamond"/>
          <w:sz w:val="24"/>
          <w:szCs w:val="24"/>
          <w:lang w:val="en-US"/>
        </w:rPr>
        <w:t xml:space="preserve">The tables below reproduce the relevant financial statement lines used in the ratio analysis. Figures are in GBP </w:t>
      </w:r>
      <w:proofErr w:type="gramStart"/>
      <w:r w:rsidRPr="0051413D">
        <w:rPr>
          <w:rFonts w:ascii="Garamond" w:hAnsi="Garamond"/>
          <w:sz w:val="24"/>
          <w:szCs w:val="24"/>
          <w:lang w:val="en-US"/>
        </w:rPr>
        <w:t>millions</w:t>
      </w:r>
      <w:proofErr w:type="gramEnd"/>
      <w:r w:rsidRPr="0051413D">
        <w:rPr>
          <w:rFonts w:ascii="Garamond" w:hAnsi="Garamond"/>
          <w:sz w:val="24"/>
          <w:szCs w:val="24"/>
          <w:lang w:val="en-US"/>
        </w:rPr>
        <w:t xml:space="preserve"> unless stated otherwise. Source: Burberry Group plc Annual Report 2024/25.</w:t>
      </w:r>
    </w:p>
    <w:p w14:paraId="665D580F" w14:textId="77777777" w:rsidR="0051413D" w:rsidRPr="0051413D" w:rsidRDefault="0051413D" w:rsidP="0051413D">
      <w:pPr>
        <w:rPr>
          <w:rFonts w:ascii="Garamond" w:hAnsi="Garamond"/>
          <w:sz w:val="24"/>
          <w:szCs w:val="24"/>
          <w:lang w:val="en-US"/>
        </w:rPr>
      </w:pPr>
    </w:p>
    <w:tbl>
      <w:tblPr>
        <w:tblStyle w:val="TableGrid"/>
        <w:tblW w:w="0" w:type="auto"/>
        <w:jc w:val="center"/>
        <w:tblLook w:val="04A0" w:firstRow="1" w:lastRow="0" w:firstColumn="1" w:lastColumn="0" w:noHBand="0" w:noVBand="1"/>
      </w:tblPr>
      <w:tblGrid>
        <w:gridCol w:w="5472"/>
        <w:gridCol w:w="1728"/>
        <w:gridCol w:w="1728"/>
      </w:tblGrid>
      <w:tr w:rsidR="0051413D" w:rsidRPr="0051413D" w14:paraId="0B5910CD" w14:textId="77777777">
        <w:trPr>
          <w:jc w:val="center"/>
        </w:trPr>
        <w:tc>
          <w:tcPr>
            <w:tcW w:w="5472"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40D5B61A"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b/>
                <w:sz w:val="24"/>
                <w:szCs w:val="24"/>
                <w:lang w:val="en-US"/>
              </w:rPr>
              <w:t>Income statement line</w:t>
            </w:r>
          </w:p>
        </w:tc>
        <w:tc>
          <w:tcPr>
            <w:tcW w:w="1728"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61B7D604"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b/>
                <w:sz w:val="24"/>
                <w:szCs w:val="24"/>
                <w:lang w:val="en-US"/>
              </w:rPr>
              <w:t>2025</w:t>
            </w:r>
          </w:p>
        </w:tc>
        <w:tc>
          <w:tcPr>
            <w:tcW w:w="1728"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649A37BC"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b/>
                <w:sz w:val="24"/>
                <w:szCs w:val="24"/>
                <w:lang w:val="en-US"/>
              </w:rPr>
              <w:t>2024</w:t>
            </w:r>
          </w:p>
        </w:tc>
      </w:tr>
      <w:tr w:rsidR="0051413D" w:rsidRPr="0051413D" w14:paraId="1AA8E523" w14:textId="77777777">
        <w:trPr>
          <w:jc w:val="center"/>
        </w:trPr>
        <w:tc>
          <w:tcPr>
            <w:tcW w:w="54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2E6325B"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Revenue</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426BB82"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2,461</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CF413CF"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2,968</w:t>
            </w:r>
          </w:p>
        </w:tc>
      </w:tr>
      <w:tr w:rsidR="0051413D" w:rsidRPr="0051413D" w14:paraId="40C924FF" w14:textId="77777777">
        <w:trPr>
          <w:jc w:val="center"/>
        </w:trPr>
        <w:tc>
          <w:tcPr>
            <w:tcW w:w="54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C6B29A2"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Cost of sales</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629155A"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(923)</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124EDF2"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(959)</w:t>
            </w:r>
          </w:p>
        </w:tc>
      </w:tr>
      <w:tr w:rsidR="0051413D" w:rsidRPr="0051413D" w14:paraId="275A46D0" w14:textId="77777777">
        <w:trPr>
          <w:jc w:val="center"/>
        </w:trPr>
        <w:tc>
          <w:tcPr>
            <w:tcW w:w="54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F9D1A6F"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Gross profit</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90BFF52"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1,538</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C4ED550"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2,009</w:t>
            </w:r>
          </w:p>
        </w:tc>
      </w:tr>
      <w:tr w:rsidR="0051413D" w:rsidRPr="0051413D" w14:paraId="5379EE1F" w14:textId="77777777">
        <w:trPr>
          <w:jc w:val="center"/>
        </w:trPr>
        <w:tc>
          <w:tcPr>
            <w:tcW w:w="54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D5B7101"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Operating expenses</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80B0C3A"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(1,564)</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AE0F73E"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(1,604)</w:t>
            </w:r>
          </w:p>
        </w:tc>
      </w:tr>
      <w:tr w:rsidR="0051413D" w:rsidRPr="0051413D" w14:paraId="3B97D051" w14:textId="77777777">
        <w:trPr>
          <w:jc w:val="center"/>
        </w:trPr>
        <w:tc>
          <w:tcPr>
            <w:tcW w:w="54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7B10AFC"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Other operating income</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DFF125B"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23</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D6FF85D"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13</w:t>
            </w:r>
          </w:p>
        </w:tc>
      </w:tr>
      <w:tr w:rsidR="0051413D" w:rsidRPr="0051413D" w14:paraId="6BF88C15" w14:textId="77777777">
        <w:trPr>
          <w:jc w:val="center"/>
        </w:trPr>
        <w:tc>
          <w:tcPr>
            <w:tcW w:w="54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A1F86AC"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Net operating expenses</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67E46C2"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(1,541)</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56D44E3"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(1,591)</w:t>
            </w:r>
          </w:p>
        </w:tc>
      </w:tr>
      <w:tr w:rsidR="0051413D" w:rsidRPr="0051413D" w14:paraId="5201B8A4" w14:textId="77777777">
        <w:trPr>
          <w:jc w:val="center"/>
        </w:trPr>
        <w:tc>
          <w:tcPr>
            <w:tcW w:w="54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922F6BE"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Operating (loss)/profit</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D60AD45"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(3)</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0E3E62A"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418</w:t>
            </w:r>
          </w:p>
        </w:tc>
      </w:tr>
      <w:tr w:rsidR="0051413D" w:rsidRPr="0051413D" w14:paraId="74E4D690" w14:textId="77777777">
        <w:trPr>
          <w:jc w:val="center"/>
        </w:trPr>
        <w:tc>
          <w:tcPr>
            <w:tcW w:w="54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7154E30"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Finance income</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7653C69"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25</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1CB7219"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31</w:t>
            </w:r>
          </w:p>
        </w:tc>
      </w:tr>
      <w:tr w:rsidR="0051413D" w:rsidRPr="0051413D" w14:paraId="7FBE013F" w14:textId="77777777">
        <w:trPr>
          <w:jc w:val="center"/>
        </w:trPr>
        <w:tc>
          <w:tcPr>
            <w:tcW w:w="54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A0835F9"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Finance expense</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80B4BF9"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(88)</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46E8A56"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(66)</w:t>
            </w:r>
          </w:p>
        </w:tc>
      </w:tr>
      <w:tr w:rsidR="0051413D" w:rsidRPr="0051413D" w14:paraId="5F4555E2" w14:textId="77777777">
        <w:trPr>
          <w:jc w:val="center"/>
        </w:trPr>
        <w:tc>
          <w:tcPr>
            <w:tcW w:w="54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742BF54"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Net finance expense</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6B2D3A8"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(63)</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56E9B36"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(35)</w:t>
            </w:r>
          </w:p>
        </w:tc>
      </w:tr>
      <w:tr w:rsidR="0051413D" w:rsidRPr="0051413D" w14:paraId="6D9DB3C0" w14:textId="77777777">
        <w:trPr>
          <w:jc w:val="center"/>
        </w:trPr>
        <w:tc>
          <w:tcPr>
            <w:tcW w:w="54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1FCB531"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(Loss)/profit before taxation</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6BFD677"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(66)</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8937FE2"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383</w:t>
            </w:r>
          </w:p>
        </w:tc>
      </w:tr>
      <w:tr w:rsidR="0051413D" w:rsidRPr="0051413D" w14:paraId="7399705B" w14:textId="77777777">
        <w:trPr>
          <w:jc w:val="center"/>
        </w:trPr>
        <w:tc>
          <w:tcPr>
            <w:tcW w:w="54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605C4DC"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Taxation</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65E0C5B"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(9)</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10CD021"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(112)</w:t>
            </w:r>
          </w:p>
        </w:tc>
      </w:tr>
      <w:tr w:rsidR="0051413D" w:rsidRPr="0051413D" w14:paraId="112115E3" w14:textId="77777777">
        <w:trPr>
          <w:jc w:val="center"/>
        </w:trPr>
        <w:tc>
          <w:tcPr>
            <w:tcW w:w="54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0784240"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(Loss)/profit for the year</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092805F"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(75)</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F537E4D"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271</w:t>
            </w:r>
          </w:p>
        </w:tc>
      </w:tr>
      <w:tr w:rsidR="0051413D" w:rsidRPr="0051413D" w14:paraId="6D5DE06A" w14:textId="77777777">
        <w:trPr>
          <w:jc w:val="center"/>
        </w:trPr>
        <w:tc>
          <w:tcPr>
            <w:tcW w:w="54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D515023"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Basic EPS</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37C266A"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w:t>
            </w:r>
            <w:proofErr w:type="gramStart"/>
            <w:r w:rsidRPr="0051413D">
              <w:rPr>
                <w:rFonts w:ascii="Garamond" w:hAnsi="Garamond"/>
                <w:sz w:val="24"/>
                <w:szCs w:val="24"/>
                <w:lang w:val="en-US"/>
              </w:rPr>
              <w:t>20.9)p</w:t>
            </w:r>
            <w:proofErr w:type="gramEnd"/>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CDAB4FA"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74.1p</w:t>
            </w:r>
          </w:p>
        </w:tc>
      </w:tr>
      <w:tr w:rsidR="0051413D" w:rsidRPr="0051413D" w14:paraId="6FA2D541" w14:textId="77777777">
        <w:trPr>
          <w:jc w:val="center"/>
        </w:trPr>
        <w:tc>
          <w:tcPr>
            <w:tcW w:w="54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5773D9D"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Interim dividend per share</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A839AA9"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5D10B13"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18.3p</w:t>
            </w:r>
          </w:p>
        </w:tc>
      </w:tr>
      <w:tr w:rsidR="0051413D" w:rsidRPr="0051413D" w14:paraId="57CC5BD0" w14:textId="77777777">
        <w:trPr>
          <w:jc w:val="center"/>
        </w:trPr>
        <w:tc>
          <w:tcPr>
            <w:tcW w:w="54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4DC1A78"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Proposed final dividend per share</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AF0512D"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066EE30"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42.7p</w:t>
            </w:r>
          </w:p>
        </w:tc>
      </w:tr>
    </w:tbl>
    <w:p w14:paraId="55EB1320" w14:textId="77777777" w:rsidR="0051413D" w:rsidRPr="0051413D" w:rsidRDefault="0051413D" w:rsidP="0051413D">
      <w:pPr>
        <w:jc w:val="center"/>
        <w:rPr>
          <w:rFonts w:ascii="Garamond" w:hAnsi="Garamond"/>
          <w:sz w:val="24"/>
          <w:szCs w:val="24"/>
          <w:lang w:val="en-US"/>
        </w:rPr>
      </w:pPr>
    </w:p>
    <w:tbl>
      <w:tblPr>
        <w:tblStyle w:val="TableGrid"/>
        <w:tblW w:w="0" w:type="auto"/>
        <w:jc w:val="center"/>
        <w:tblLook w:val="04A0" w:firstRow="1" w:lastRow="0" w:firstColumn="1" w:lastColumn="0" w:noHBand="0" w:noVBand="1"/>
      </w:tblPr>
      <w:tblGrid>
        <w:gridCol w:w="5472"/>
        <w:gridCol w:w="1728"/>
        <w:gridCol w:w="1728"/>
      </w:tblGrid>
      <w:tr w:rsidR="0051413D" w:rsidRPr="0051413D" w14:paraId="52271A84" w14:textId="77777777">
        <w:trPr>
          <w:jc w:val="center"/>
        </w:trPr>
        <w:tc>
          <w:tcPr>
            <w:tcW w:w="5472"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3649A74A"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b/>
                <w:sz w:val="24"/>
                <w:szCs w:val="24"/>
                <w:lang w:val="en-US"/>
              </w:rPr>
              <w:lastRenderedPageBreak/>
              <w:t>Balance sheet line</w:t>
            </w:r>
          </w:p>
        </w:tc>
        <w:tc>
          <w:tcPr>
            <w:tcW w:w="1728"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42A3949B"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b/>
                <w:sz w:val="24"/>
                <w:szCs w:val="24"/>
                <w:lang w:val="en-US"/>
              </w:rPr>
              <w:t>2025</w:t>
            </w:r>
          </w:p>
        </w:tc>
        <w:tc>
          <w:tcPr>
            <w:tcW w:w="1728"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1888C62B"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b/>
                <w:sz w:val="24"/>
                <w:szCs w:val="24"/>
                <w:lang w:val="en-US"/>
              </w:rPr>
              <w:t>2024</w:t>
            </w:r>
          </w:p>
        </w:tc>
      </w:tr>
      <w:tr w:rsidR="0051413D" w:rsidRPr="0051413D" w14:paraId="42BD3EA4" w14:textId="77777777">
        <w:trPr>
          <w:jc w:val="center"/>
        </w:trPr>
        <w:tc>
          <w:tcPr>
            <w:tcW w:w="54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1310AF3"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Non-current assets</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17DF3AE"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1,775</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7FA272A"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1,946</w:t>
            </w:r>
          </w:p>
        </w:tc>
      </w:tr>
      <w:tr w:rsidR="0051413D" w:rsidRPr="0051413D" w14:paraId="2758BD22" w14:textId="77777777">
        <w:trPr>
          <w:jc w:val="center"/>
        </w:trPr>
        <w:tc>
          <w:tcPr>
            <w:tcW w:w="54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118DEE2"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Inventories</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22B84FA"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424</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A9954D8"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507</w:t>
            </w:r>
          </w:p>
        </w:tc>
      </w:tr>
      <w:tr w:rsidR="0051413D" w:rsidRPr="0051413D" w14:paraId="55D31540" w14:textId="77777777">
        <w:trPr>
          <w:jc w:val="center"/>
        </w:trPr>
        <w:tc>
          <w:tcPr>
            <w:tcW w:w="54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25C92F4"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Trade and other receivables - current</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47E46B4"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309</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B6B135F"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340</w:t>
            </w:r>
          </w:p>
        </w:tc>
      </w:tr>
      <w:tr w:rsidR="0051413D" w:rsidRPr="0051413D" w14:paraId="26C95A4B" w14:textId="77777777">
        <w:trPr>
          <w:jc w:val="center"/>
        </w:trPr>
        <w:tc>
          <w:tcPr>
            <w:tcW w:w="54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DE32E44"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Derivative financial assets - current</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F729D67"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11</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B0D42D2"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2</w:t>
            </w:r>
          </w:p>
        </w:tc>
      </w:tr>
      <w:tr w:rsidR="0051413D" w:rsidRPr="0051413D" w14:paraId="59ABBD61" w14:textId="77777777">
        <w:trPr>
          <w:jc w:val="center"/>
        </w:trPr>
        <w:tc>
          <w:tcPr>
            <w:tcW w:w="54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599A738"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Income tax receivables</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2B0DD1F"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95</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61FB692"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122</w:t>
            </w:r>
          </w:p>
        </w:tc>
      </w:tr>
      <w:tr w:rsidR="0051413D" w:rsidRPr="0051413D" w14:paraId="1DEE24F8" w14:textId="77777777">
        <w:trPr>
          <w:jc w:val="center"/>
        </w:trPr>
        <w:tc>
          <w:tcPr>
            <w:tcW w:w="54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C8D10E0"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Cash and cash equivalents</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ACD24A9"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813</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B044594"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441</w:t>
            </w:r>
          </w:p>
        </w:tc>
      </w:tr>
      <w:tr w:rsidR="0051413D" w:rsidRPr="0051413D" w14:paraId="0A279221" w14:textId="77777777">
        <w:trPr>
          <w:jc w:val="center"/>
        </w:trPr>
        <w:tc>
          <w:tcPr>
            <w:tcW w:w="54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40D0EA4"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Assets held for sale</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3F78D89"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AFD8016"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12</w:t>
            </w:r>
          </w:p>
        </w:tc>
      </w:tr>
      <w:tr w:rsidR="0051413D" w:rsidRPr="0051413D" w14:paraId="2C4E228C" w14:textId="77777777">
        <w:trPr>
          <w:jc w:val="center"/>
        </w:trPr>
        <w:tc>
          <w:tcPr>
            <w:tcW w:w="54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B1DB011"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Current assets</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CF838DF"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1,652</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9AA7B6F"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1,424</w:t>
            </w:r>
          </w:p>
        </w:tc>
      </w:tr>
      <w:tr w:rsidR="0051413D" w:rsidRPr="0051413D" w14:paraId="2F82B28E" w14:textId="77777777">
        <w:trPr>
          <w:jc w:val="center"/>
        </w:trPr>
        <w:tc>
          <w:tcPr>
            <w:tcW w:w="54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C902ACD"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Total assets</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1C6E16C"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3,427</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5C2DC1A"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3,370</w:t>
            </w:r>
          </w:p>
        </w:tc>
      </w:tr>
      <w:tr w:rsidR="0051413D" w:rsidRPr="0051413D" w14:paraId="657E1F16" w14:textId="77777777">
        <w:trPr>
          <w:jc w:val="center"/>
        </w:trPr>
        <w:tc>
          <w:tcPr>
            <w:tcW w:w="54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408B4A6"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Non-current liabilities</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D070D96"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(1,395)</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2A0FFB2"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(1,359)</w:t>
            </w:r>
          </w:p>
        </w:tc>
      </w:tr>
      <w:tr w:rsidR="0051413D" w:rsidRPr="0051413D" w14:paraId="2E5227BA" w14:textId="77777777">
        <w:trPr>
          <w:jc w:val="center"/>
        </w:trPr>
        <w:tc>
          <w:tcPr>
            <w:tcW w:w="54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27B7D83"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Current liabilities</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68AE15B"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(1,111)</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8F446EF"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(857)</w:t>
            </w:r>
          </w:p>
        </w:tc>
      </w:tr>
      <w:tr w:rsidR="0051413D" w:rsidRPr="0051413D" w14:paraId="07CFF0A9" w14:textId="77777777">
        <w:trPr>
          <w:jc w:val="center"/>
        </w:trPr>
        <w:tc>
          <w:tcPr>
            <w:tcW w:w="54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0CAC970"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Total liabilities</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E9E9060"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(2,506)</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4157FAD"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(2,216)</w:t>
            </w:r>
          </w:p>
        </w:tc>
      </w:tr>
      <w:tr w:rsidR="0051413D" w:rsidRPr="0051413D" w14:paraId="1E8624B4" w14:textId="77777777">
        <w:trPr>
          <w:jc w:val="center"/>
        </w:trPr>
        <w:tc>
          <w:tcPr>
            <w:tcW w:w="547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F502A95"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Net assets / Total equity</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17E6FE4"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921</w:t>
            </w:r>
          </w:p>
        </w:tc>
        <w:tc>
          <w:tcPr>
            <w:tcW w:w="1728"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A976EE4"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1,154</w:t>
            </w:r>
          </w:p>
        </w:tc>
      </w:tr>
    </w:tbl>
    <w:p w14:paraId="1B3ADB3E" w14:textId="77777777" w:rsidR="0051413D" w:rsidRPr="003A68C8" w:rsidRDefault="0051413D" w:rsidP="0051413D">
      <w:pPr>
        <w:rPr>
          <w:rFonts w:ascii="Garamond" w:hAnsi="Garamond"/>
          <w:sz w:val="24"/>
          <w:szCs w:val="24"/>
          <w:lang w:val="en-US"/>
        </w:rPr>
      </w:pPr>
    </w:p>
    <w:p w14:paraId="0B02515D" w14:textId="77777777" w:rsidR="0051413D" w:rsidRPr="0051413D" w:rsidRDefault="0051413D" w:rsidP="0051413D">
      <w:pPr>
        <w:rPr>
          <w:rFonts w:ascii="Garamond" w:hAnsi="Garamond"/>
          <w:sz w:val="24"/>
          <w:szCs w:val="24"/>
          <w:lang w:val="en-US"/>
        </w:rPr>
      </w:pPr>
    </w:p>
    <w:p w14:paraId="3BF9A8CC" w14:textId="77777777" w:rsidR="0051413D" w:rsidRPr="00E237F2" w:rsidRDefault="0051413D" w:rsidP="00E237F2">
      <w:pPr>
        <w:pStyle w:val="Heading2"/>
        <w:rPr>
          <w:rFonts w:ascii="Garamond" w:hAnsi="Garamond"/>
          <w:lang w:val="en-US"/>
        </w:rPr>
      </w:pPr>
      <w:bookmarkStart w:id="21" w:name="_Toc227521289"/>
      <w:r w:rsidRPr="00E237F2">
        <w:rPr>
          <w:rFonts w:ascii="Garamond" w:hAnsi="Garamond"/>
          <w:lang w:val="en-US"/>
        </w:rPr>
        <w:t>Appendix B: Burberry ratio calculation workings</w:t>
      </w:r>
      <w:bookmarkEnd w:id="21"/>
    </w:p>
    <w:p w14:paraId="3357F7B5" w14:textId="77777777" w:rsidR="0051413D" w:rsidRPr="0051413D" w:rsidRDefault="0051413D" w:rsidP="0051413D">
      <w:pPr>
        <w:rPr>
          <w:rFonts w:ascii="Garamond" w:hAnsi="Garamond"/>
          <w:b/>
          <w:bCs/>
          <w:sz w:val="24"/>
          <w:szCs w:val="24"/>
          <w:lang w:val="en-US"/>
        </w:rPr>
      </w:pPr>
    </w:p>
    <w:tbl>
      <w:tblPr>
        <w:tblStyle w:val="TableGrid"/>
        <w:tblW w:w="0" w:type="auto"/>
        <w:jc w:val="center"/>
        <w:tblLook w:val="04A0" w:firstRow="1" w:lastRow="0" w:firstColumn="1" w:lastColumn="0" w:noHBand="0" w:noVBand="1"/>
      </w:tblPr>
      <w:tblGrid>
        <w:gridCol w:w="1235"/>
        <w:gridCol w:w="1359"/>
        <w:gridCol w:w="1905"/>
        <w:gridCol w:w="1299"/>
        <w:gridCol w:w="989"/>
        <w:gridCol w:w="1299"/>
        <w:gridCol w:w="930"/>
      </w:tblGrid>
      <w:tr w:rsidR="0051413D" w:rsidRPr="0051413D" w14:paraId="0F2E18D4" w14:textId="77777777">
        <w:trPr>
          <w:jc w:val="center"/>
        </w:trPr>
        <w:tc>
          <w:tcPr>
            <w:tcW w:w="1152"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73CD7AB0"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b/>
                <w:sz w:val="24"/>
                <w:szCs w:val="24"/>
                <w:lang w:val="en-US"/>
              </w:rPr>
              <w:t>Area</w:t>
            </w:r>
          </w:p>
        </w:tc>
        <w:tc>
          <w:tcPr>
            <w:tcW w:w="1512"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2CE8B750"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b/>
                <w:sz w:val="24"/>
                <w:szCs w:val="24"/>
                <w:lang w:val="en-US"/>
              </w:rPr>
              <w:t>Ratio</w:t>
            </w:r>
          </w:p>
        </w:tc>
        <w:tc>
          <w:tcPr>
            <w:tcW w:w="2736"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76CD37D3"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b/>
                <w:sz w:val="24"/>
                <w:szCs w:val="24"/>
                <w:lang w:val="en-US"/>
              </w:rPr>
              <w:t>Formula</w:t>
            </w:r>
          </w:p>
        </w:tc>
        <w:tc>
          <w:tcPr>
            <w:tcW w:w="1655"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39E38999"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b/>
                <w:sz w:val="24"/>
                <w:szCs w:val="24"/>
                <w:lang w:val="en-US"/>
              </w:rPr>
              <w:t>2025 working</w:t>
            </w:r>
          </w:p>
        </w:tc>
        <w:tc>
          <w:tcPr>
            <w:tcW w:w="1152"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69227471"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b/>
                <w:sz w:val="24"/>
                <w:szCs w:val="24"/>
                <w:lang w:val="en-US"/>
              </w:rPr>
              <w:t>2025 result</w:t>
            </w:r>
          </w:p>
        </w:tc>
        <w:tc>
          <w:tcPr>
            <w:tcW w:w="1655"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69DA064A"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b/>
                <w:sz w:val="24"/>
                <w:szCs w:val="24"/>
                <w:lang w:val="en-US"/>
              </w:rPr>
              <w:t>2024 working</w:t>
            </w:r>
          </w:p>
        </w:tc>
        <w:tc>
          <w:tcPr>
            <w:tcW w:w="1152"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6C302CA8"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b/>
                <w:sz w:val="24"/>
                <w:szCs w:val="24"/>
                <w:lang w:val="en-US"/>
              </w:rPr>
              <w:t>2024 result</w:t>
            </w:r>
          </w:p>
        </w:tc>
      </w:tr>
      <w:tr w:rsidR="0051413D" w:rsidRPr="0051413D" w14:paraId="46AE261E" w14:textId="77777777">
        <w:trPr>
          <w:jc w:val="center"/>
        </w:trPr>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67B30CA"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Profitability</w:t>
            </w:r>
          </w:p>
        </w:tc>
        <w:tc>
          <w:tcPr>
            <w:tcW w:w="151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F0BA2ED"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Gross profit margin</w:t>
            </w:r>
          </w:p>
        </w:tc>
        <w:tc>
          <w:tcPr>
            <w:tcW w:w="2736"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C764D84"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Gross profit / Revenue</w:t>
            </w:r>
          </w:p>
        </w:tc>
        <w:tc>
          <w:tcPr>
            <w:tcW w:w="1655"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1889EB0"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1,538 / 2,461</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13CA8B2"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62.5%</w:t>
            </w:r>
          </w:p>
        </w:tc>
        <w:tc>
          <w:tcPr>
            <w:tcW w:w="1655"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F207794"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2,009 / 2,968</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B98241C"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67.7%</w:t>
            </w:r>
          </w:p>
        </w:tc>
      </w:tr>
      <w:tr w:rsidR="0051413D" w:rsidRPr="0051413D" w14:paraId="4365F196" w14:textId="77777777">
        <w:trPr>
          <w:jc w:val="center"/>
        </w:trPr>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1F92A56"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Profitability</w:t>
            </w:r>
          </w:p>
        </w:tc>
        <w:tc>
          <w:tcPr>
            <w:tcW w:w="151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ED9EC1F"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Operating margin</w:t>
            </w:r>
          </w:p>
        </w:tc>
        <w:tc>
          <w:tcPr>
            <w:tcW w:w="2736"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9445B05"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Operating profit / Revenue</w:t>
            </w:r>
          </w:p>
        </w:tc>
        <w:tc>
          <w:tcPr>
            <w:tcW w:w="1655"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E64AF1A"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(3) / 2,461</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79E3B95"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-0.1%</w:t>
            </w:r>
          </w:p>
        </w:tc>
        <w:tc>
          <w:tcPr>
            <w:tcW w:w="1655"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C609361"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418 / 2,968</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002B852"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14.1%</w:t>
            </w:r>
          </w:p>
        </w:tc>
      </w:tr>
      <w:tr w:rsidR="0051413D" w:rsidRPr="0051413D" w14:paraId="16D693C6" w14:textId="77777777">
        <w:trPr>
          <w:jc w:val="center"/>
        </w:trPr>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8F1F27E"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Profitability</w:t>
            </w:r>
          </w:p>
        </w:tc>
        <w:tc>
          <w:tcPr>
            <w:tcW w:w="151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4F08DF0"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Net profit margin</w:t>
            </w:r>
          </w:p>
        </w:tc>
        <w:tc>
          <w:tcPr>
            <w:tcW w:w="2736"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B81F294"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Profit after tax / Revenue</w:t>
            </w:r>
          </w:p>
        </w:tc>
        <w:tc>
          <w:tcPr>
            <w:tcW w:w="1655"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343C8B2"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(75) / 2,461</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A771F98"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-3.0%</w:t>
            </w:r>
          </w:p>
        </w:tc>
        <w:tc>
          <w:tcPr>
            <w:tcW w:w="1655"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703D646"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271 / 2,968</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93FFCEB"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9.1%</w:t>
            </w:r>
          </w:p>
        </w:tc>
      </w:tr>
      <w:tr w:rsidR="0051413D" w:rsidRPr="0051413D" w14:paraId="17026910" w14:textId="77777777">
        <w:trPr>
          <w:jc w:val="center"/>
        </w:trPr>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0EFC296"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lastRenderedPageBreak/>
              <w:t>Profitability</w:t>
            </w:r>
          </w:p>
        </w:tc>
        <w:tc>
          <w:tcPr>
            <w:tcW w:w="151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908BC0C"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ROCE</w:t>
            </w:r>
          </w:p>
        </w:tc>
        <w:tc>
          <w:tcPr>
            <w:tcW w:w="2736"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F23041B"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Operating profit / (Total assets - Current liabilities)</w:t>
            </w:r>
          </w:p>
        </w:tc>
        <w:tc>
          <w:tcPr>
            <w:tcW w:w="1655"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D61614B"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(3) / 2,316</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BDE39DD"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-0.1%</w:t>
            </w:r>
          </w:p>
        </w:tc>
        <w:tc>
          <w:tcPr>
            <w:tcW w:w="1655"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75E8EED"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418 / 2,513</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19E0A6B"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16.6%</w:t>
            </w:r>
          </w:p>
        </w:tc>
      </w:tr>
      <w:tr w:rsidR="0051413D" w:rsidRPr="0051413D" w14:paraId="15F88F7D" w14:textId="77777777">
        <w:trPr>
          <w:jc w:val="center"/>
        </w:trPr>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2855B82"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Liquidity</w:t>
            </w:r>
          </w:p>
        </w:tc>
        <w:tc>
          <w:tcPr>
            <w:tcW w:w="151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1147C1E"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Current ratio</w:t>
            </w:r>
          </w:p>
        </w:tc>
        <w:tc>
          <w:tcPr>
            <w:tcW w:w="2736"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9EA6855"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Current assets / Current liabilities</w:t>
            </w:r>
          </w:p>
        </w:tc>
        <w:tc>
          <w:tcPr>
            <w:tcW w:w="1655"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0B1721F"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1,652 / 1,111</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2740906"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1.49</w:t>
            </w:r>
          </w:p>
        </w:tc>
        <w:tc>
          <w:tcPr>
            <w:tcW w:w="1655"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88AE507"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1,424 / 857</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380F9B6"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1.66</w:t>
            </w:r>
          </w:p>
        </w:tc>
      </w:tr>
      <w:tr w:rsidR="0051413D" w:rsidRPr="0051413D" w14:paraId="7EBEA343" w14:textId="77777777">
        <w:trPr>
          <w:jc w:val="center"/>
        </w:trPr>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BA5761D"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Liquidity</w:t>
            </w:r>
          </w:p>
        </w:tc>
        <w:tc>
          <w:tcPr>
            <w:tcW w:w="151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5B13039"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Quick ratio</w:t>
            </w:r>
          </w:p>
        </w:tc>
        <w:tc>
          <w:tcPr>
            <w:tcW w:w="2736"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993AD95"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(Current assets - Inventory) / Current liabilities</w:t>
            </w:r>
          </w:p>
        </w:tc>
        <w:tc>
          <w:tcPr>
            <w:tcW w:w="1655"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17713C8"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(1,652 - 424) / 1,111</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03EB3A7"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1.11</w:t>
            </w:r>
          </w:p>
        </w:tc>
        <w:tc>
          <w:tcPr>
            <w:tcW w:w="1655"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07ED8E5"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(1,424 - 507) / 857</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D53B11E"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1.07</w:t>
            </w:r>
          </w:p>
        </w:tc>
      </w:tr>
      <w:tr w:rsidR="0051413D" w:rsidRPr="0051413D" w14:paraId="21049BC4" w14:textId="77777777">
        <w:trPr>
          <w:jc w:val="center"/>
        </w:trPr>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28A3999"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Gearing</w:t>
            </w:r>
          </w:p>
        </w:tc>
        <w:tc>
          <w:tcPr>
            <w:tcW w:w="151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BD090F4"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Net debt to equity</w:t>
            </w:r>
          </w:p>
        </w:tc>
        <w:tc>
          <w:tcPr>
            <w:tcW w:w="2736"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B55A98C"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Net debt / Equity</w:t>
            </w:r>
          </w:p>
        </w:tc>
        <w:tc>
          <w:tcPr>
            <w:tcW w:w="1655"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0562F96"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1,111 / 921</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56C4B28"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120.6%</w:t>
            </w:r>
          </w:p>
        </w:tc>
        <w:tc>
          <w:tcPr>
            <w:tcW w:w="1655"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68C2A2D"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1,125 / 1,154</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A3AE8DF"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97.5%</w:t>
            </w:r>
          </w:p>
        </w:tc>
      </w:tr>
      <w:tr w:rsidR="0051413D" w:rsidRPr="0051413D" w14:paraId="56BFEB4B" w14:textId="77777777">
        <w:trPr>
          <w:jc w:val="center"/>
        </w:trPr>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8D85F22"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Efficiency</w:t>
            </w:r>
          </w:p>
        </w:tc>
        <w:tc>
          <w:tcPr>
            <w:tcW w:w="151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FC66648"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Asset turnover</w:t>
            </w:r>
          </w:p>
        </w:tc>
        <w:tc>
          <w:tcPr>
            <w:tcW w:w="2736"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94EA435"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Revenue / Total assets</w:t>
            </w:r>
          </w:p>
        </w:tc>
        <w:tc>
          <w:tcPr>
            <w:tcW w:w="1655"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8FE6D1C"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2,461 / 3,427</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3AC7535"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0.72x</w:t>
            </w:r>
          </w:p>
        </w:tc>
        <w:tc>
          <w:tcPr>
            <w:tcW w:w="1655"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A194846"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2,968 / 3,370</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6F66CFD"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0.88x</w:t>
            </w:r>
          </w:p>
        </w:tc>
      </w:tr>
      <w:tr w:rsidR="0051413D" w:rsidRPr="0051413D" w14:paraId="1989F743" w14:textId="77777777">
        <w:trPr>
          <w:jc w:val="center"/>
        </w:trPr>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BB27DBB"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Efficiency</w:t>
            </w:r>
          </w:p>
        </w:tc>
        <w:tc>
          <w:tcPr>
            <w:tcW w:w="151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98E2E79"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Inventory days</w:t>
            </w:r>
          </w:p>
        </w:tc>
        <w:tc>
          <w:tcPr>
            <w:tcW w:w="2736"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E99B2FF"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Inventory / Cost of sales x 365</w:t>
            </w:r>
          </w:p>
        </w:tc>
        <w:tc>
          <w:tcPr>
            <w:tcW w:w="1655"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974AEB5"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424 / 923 x 365</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C5F604D"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168 days</w:t>
            </w:r>
          </w:p>
        </w:tc>
        <w:tc>
          <w:tcPr>
            <w:tcW w:w="1655"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1FE17E7"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507 / 959 x 365</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BE7E005"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193 days</w:t>
            </w:r>
          </w:p>
        </w:tc>
      </w:tr>
      <w:tr w:rsidR="0051413D" w:rsidRPr="0051413D" w14:paraId="5CCEA17B" w14:textId="77777777">
        <w:trPr>
          <w:jc w:val="center"/>
        </w:trPr>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CDF77D7"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Efficiency</w:t>
            </w:r>
          </w:p>
        </w:tc>
        <w:tc>
          <w:tcPr>
            <w:tcW w:w="151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4055D48"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Receivables days</w:t>
            </w:r>
          </w:p>
        </w:tc>
        <w:tc>
          <w:tcPr>
            <w:tcW w:w="2736"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CD85564"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Trade and other receivables / Revenue x 365</w:t>
            </w:r>
          </w:p>
        </w:tc>
        <w:tc>
          <w:tcPr>
            <w:tcW w:w="1655"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250CD0B"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309 / 2,461 x 365</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0D71888"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46 days</w:t>
            </w:r>
          </w:p>
        </w:tc>
        <w:tc>
          <w:tcPr>
            <w:tcW w:w="1655"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6D4E4DB"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340 / 2,968 x 365</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05CA263"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42 days</w:t>
            </w:r>
          </w:p>
        </w:tc>
      </w:tr>
      <w:tr w:rsidR="0051413D" w:rsidRPr="0051413D" w14:paraId="45E52A00" w14:textId="77777777">
        <w:trPr>
          <w:jc w:val="center"/>
        </w:trPr>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E15CCA3"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Investor</w:t>
            </w:r>
          </w:p>
        </w:tc>
        <w:tc>
          <w:tcPr>
            <w:tcW w:w="151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5588B11"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Basic EPS</w:t>
            </w:r>
          </w:p>
        </w:tc>
        <w:tc>
          <w:tcPr>
            <w:tcW w:w="2736"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0DBDCC6"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Reported EPS</w:t>
            </w:r>
          </w:p>
        </w:tc>
        <w:tc>
          <w:tcPr>
            <w:tcW w:w="1655"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DB16A5A"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Annual report figure</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A49D10B"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w:t>
            </w:r>
            <w:proofErr w:type="gramStart"/>
            <w:r w:rsidRPr="0051413D">
              <w:rPr>
                <w:rFonts w:ascii="Garamond" w:hAnsi="Garamond"/>
                <w:sz w:val="24"/>
                <w:szCs w:val="24"/>
                <w:lang w:val="en-US"/>
              </w:rPr>
              <w:t>20.9)p</w:t>
            </w:r>
            <w:proofErr w:type="gramEnd"/>
          </w:p>
        </w:tc>
        <w:tc>
          <w:tcPr>
            <w:tcW w:w="1655"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CE55E60"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Annual report figure</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6625860"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74.1p</w:t>
            </w:r>
          </w:p>
        </w:tc>
      </w:tr>
      <w:tr w:rsidR="0051413D" w:rsidRPr="0051413D" w14:paraId="2865F66D" w14:textId="77777777">
        <w:trPr>
          <w:jc w:val="center"/>
        </w:trPr>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38914A6"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Investor</w:t>
            </w:r>
          </w:p>
        </w:tc>
        <w:tc>
          <w:tcPr>
            <w:tcW w:w="151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CE9E531"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Dividend per share</w:t>
            </w:r>
          </w:p>
        </w:tc>
        <w:tc>
          <w:tcPr>
            <w:tcW w:w="2736"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40A6E2D"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Interim + proposed final dividend</w:t>
            </w:r>
          </w:p>
        </w:tc>
        <w:tc>
          <w:tcPr>
            <w:tcW w:w="1655"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F31AB55"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0p + 0p</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F86C6CD"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0p</w:t>
            </w:r>
          </w:p>
        </w:tc>
        <w:tc>
          <w:tcPr>
            <w:tcW w:w="1655"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0858808"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18.3p + 42.7p</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DC0616B" w14:textId="77777777" w:rsidR="0051413D" w:rsidRPr="0051413D" w:rsidRDefault="0051413D" w:rsidP="0051413D">
            <w:pPr>
              <w:spacing w:after="160" w:line="259" w:lineRule="auto"/>
              <w:jc w:val="center"/>
              <w:rPr>
                <w:rFonts w:ascii="Garamond" w:hAnsi="Garamond"/>
                <w:sz w:val="24"/>
                <w:szCs w:val="24"/>
                <w:lang w:val="en-US"/>
              </w:rPr>
            </w:pPr>
            <w:r w:rsidRPr="0051413D">
              <w:rPr>
                <w:rFonts w:ascii="Garamond" w:hAnsi="Garamond"/>
                <w:sz w:val="24"/>
                <w:szCs w:val="24"/>
                <w:lang w:val="en-US"/>
              </w:rPr>
              <w:t>61.0p</w:t>
            </w:r>
          </w:p>
        </w:tc>
      </w:tr>
    </w:tbl>
    <w:p w14:paraId="72C2F49C" w14:textId="77777777" w:rsidR="0051413D" w:rsidRPr="0051413D" w:rsidRDefault="0051413D" w:rsidP="0051413D">
      <w:pPr>
        <w:rPr>
          <w:rFonts w:ascii="Garamond" w:hAnsi="Garamond"/>
          <w:sz w:val="24"/>
          <w:szCs w:val="24"/>
          <w:lang w:val="en-US"/>
        </w:rPr>
      </w:pPr>
    </w:p>
    <w:p w14:paraId="50A8E704" w14:textId="77777777" w:rsidR="0051413D" w:rsidRPr="003A68C8" w:rsidRDefault="0051413D" w:rsidP="0051413D">
      <w:pPr>
        <w:rPr>
          <w:rFonts w:ascii="Garamond" w:hAnsi="Garamond"/>
          <w:sz w:val="24"/>
          <w:szCs w:val="24"/>
          <w:lang w:val="en-US"/>
        </w:rPr>
      </w:pPr>
      <w:r w:rsidRPr="0051413D">
        <w:rPr>
          <w:rFonts w:ascii="Garamond" w:hAnsi="Garamond"/>
          <w:sz w:val="24"/>
          <w:szCs w:val="24"/>
          <w:lang w:val="en-US"/>
        </w:rPr>
        <w:t xml:space="preserve">Note: </w:t>
      </w:r>
      <w:proofErr w:type="gramStart"/>
      <w:r w:rsidRPr="0051413D">
        <w:rPr>
          <w:rFonts w:ascii="Garamond" w:hAnsi="Garamond"/>
          <w:sz w:val="24"/>
          <w:szCs w:val="24"/>
          <w:lang w:val="en-US"/>
        </w:rPr>
        <w:t>net</w:t>
      </w:r>
      <w:proofErr w:type="gramEnd"/>
      <w:r w:rsidRPr="0051413D">
        <w:rPr>
          <w:rFonts w:ascii="Garamond" w:hAnsi="Garamond"/>
          <w:sz w:val="24"/>
          <w:szCs w:val="24"/>
          <w:lang w:val="en-US"/>
        </w:rPr>
        <w:t xml:space="preserve"> debt includes borrowings, bank overdrafts and lease </w:t>
      </w:r>
      <w:proofErr w:type="gramStart"/>
      <w:r w:rsidRPr="0051413D">
        <w:rPr>
          <w:rFonts w:ascii="Garamond" w:hAnsi="Garamond"/>
          <w:sz w:val="24"/>
          <w:szCs w:val="24"/>
          <w:lang w:val="en-US"/>
        </w:rPr>
        <w:t>liabilities</w:t>
      </w:r>
      <w:proofErr w:type="gramEnd"/>
      <w:r w:rsidRPr="0051413D">
        <w:rPr>
          <w:rFonts w:ascii="Garamond" w:hAnsi="Garamond"/>
          <w:sz w:val="24"/>
          <w:szCs w:val="24"/>
          <w:lang w:val="en-US"/>
        </w:rPr>
        <w:t xml:space="preserve"> less cash and cash equivalents. ROCE is calculated as operating profit divided by total </w:t>
      </w:r>
      <w:proofErr w:type="gramStart"/>
      <w:r w:rsidRPr="0051413D">
        <w:rPr>
          <w:rFonts w:ascii="Garamond" w:hAnsi="Garamond"/>
          <w:sz w:val="24"/>
          <w:szCs w:val="24"/>
          <w:lang w:val="en-US"/>
        </w:rPr>
        <w:t>assets</w:t>
      </w:r>
      <w:proofErr w:type="gramEnd"/>
      <w:r w:rsidRPr="0051413D">
        <w:rPr>
          <w:rFonts w:ascii="Garamond" w:hAnsi="Garamond"/>
          <w:sz w:val="24"/>
          <w:szCs w:val="24"/>
          <w:lang w:val="en-US"/>
        </w:rPr>
        <w:t xml:space="preserve"> </w:t>
      </w:r>
      <w:proofErr w:type="gramStart"/>
      <w:r w:rsidRPr="0051413D">
        <w:rPr>
          <w:rFonts w:ascii="Garamond" w:hAnsi="Garamond"/>
          <w:sz w:val="24"/>
          <w:szCs w:val="24"/>
          <w:lang w:val="en-US"/>
        </w:rPr>
        <w:t>less</w:t>
      </w:r>
      <w:proofErr w:type="gramEnd"/>
      <w:r w:rsidRPr="0051413D">
        <w:rPr>
          <w:rFonts w:ascii="Garamond" w:hAnsi="Garamond"/>
          <w:sz w:val="24"/>
          <w:szCs w:val="24"/>
          <w:lang w:val="en-US"/>
        </w:rPr>
        <w:t xml:space="preserve"> current liabilities.</w:t>
      </w:r>
    </w:p>
    <w:p w14:paraId="7117E9A0" w14:textId="77777777" w:rsidR="0051413D" w:rsidRPr="0051413D" w:rsidRDefault="0051413D" w:rsidP="0051413D">
      <w:pPr>
        <w:rPr>
          <w:rFonts w:ascii="Garamond" w:hAnsi="Garamond"/>
          <w:sz w:val="24"/>
          <w:szCs w:val="24"/>
          <w:lang w:val="en-US"/>
        </w:rPr>
      </w:pPr>
    </w:p>
    <w:p w14:paraId="7AB36A6D" w14:textId="77777777" w:rsidR="0051413D" w:rsidRDefault="0051413D" w:rsidP="00E237F2">
      <w:pPr>
        <w:pStyle w:val="Heading2"/>
        <w:rPr>
          <w:rStyle w:val="Heading2Char"/>
          <w:rFonts w:ascii="Garamond" w:hAnsi="Garamond"/>
        </w:rPr>
      </w:pPr>
      <w:bookmarkStart w:id="22" w:name="_Toc227521290"/>
      <w:r w:rsidRPr="00E237F2">
        <w:rPr>
          <w:rFonts w:ascii="Garamond" w:hAnsi="Garamond"/>
          <w:b/>
          <w:bCs/>
          <w:sz w:val="24"/>
          <w:szCs w:val="24"/>
          <w:lang w:val="en-US"/>
        </w:rPr>
        <w:t>A</w:t>
      </w:r>
      <w:proofErr w:type="spellStart"/>
      <w:r w:rsidRPr="00E237F2">
        <w:rPr>
          <w:rStyle w:val="Heading2Char"/>
          <w:rFonts w:ascii="Garamond" w:hAnsi="Garamond"/>
        </w:rPr>
        <w:t>ppendix</w:t>
      </w:r>
      <w:proofErr w:type="spellEnd"/>
      <w:r w:rsidRPr="00E237F2">
        <w:rPr>
          <w:rStyle w:val="Heading2Char"/>
          <w:rFonts w:ascii="Garamond" w:hAnsi="Garamond"/>
        </w:rPr>
        <w:t xml:space="preserve"> C: Beard Plc NPV and IRR calculation tables</w:t>
      </w:r>
      <w:bookmarkEnd w:id="22"/>
    </w:p>
    <w:p w14:paraId="6921BCB3" w14:textId="77777777" w:rsidR="00E237F2" w:rsidRPr="00E237F2" w:rsidRDefault="00E237F2" w:rsidP="00E237F2"/>
    <w:p w14:paraId="5006DFF7" w14:textId="77777777" w:rsidR="0051413D" w:rsidRPr="003A68C8" w:rsidRDefault="0051413D" w:rsidP="0051413D">
      <w:pPr>
        <w:rPr>
          <w:rFonts w:ascii="Garamond" w:hAnsi="Garamond"/>
          <w:sz w:val="24"/>
          <w:szCs w:val="24"/>
          <w:lang w:val="en-US"/>
        </w:rPr>
      </w:pPr>
      <w:r w:rsidRPr="0051413D">
        <w:rPr>
          <w:rFonts w:ascii="Garamond" w:hAnsi="Garamond"/>
          <w:sz w:val="24"/>
          <w:szCs w:val="24"/>
          <w:lang w:val="en-US"/>
        </w:rPr>
        <w:t>All figures are GBP000 unless stated otherwise. Taxable profit = cash flow - capital allowance. Tax = taxable profit x 25%. After-tax cash flow = cash flow - tax. Discount factors use a 5% cost of capital.</w:t>
      </w:r>
    </w:p>
    <w:p w14:paraId="73818F9E" w14:textId="77777777" w:rsidR="0051413D" w:rsidRDefault="0051413D" w:rsidP="0051413D">
      <w:pPr>
        <w:rPr>
          <w:rFonts w:ascii="Garamond" w:hAnsi="Garamond"/>
          <w:sz w:val="24"/>
          <w:szCs w:val="24"/>
          <w:lang w:val="en-US"/>
        </w:rPr>
      </w:pPr>
    </w:p>
    <w:p w14:paraId="6BE6EC34" w14:textId="77777777" w:rsidR="00E776DE" w:rsidRPr="0051413D" w:rsidRDefault="00E776DE" w:rsidP="0051413D">
      <w:pPr>
        <w:rPr>
          <w:rFonts w:ascii="Garamond" w:hAnsi="Garamond"/>
          <w:sz w:val="24"/>
          <w:szCs w:val="24"/>
          <w:lang w:val="en-US"/>
        </w:rPr>
      </w:pPr>
    </w:p>
    <w:p w14:paraId="32CAF70D"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lastRenderedPageBreak/>
        <w:t>A - expand retail outlet</w:t>
      </w:r>
    </w:p>
    <w:tbl>
      <w:tblPr>
        <w:tblStyle w:val="TableGrid"/>
        <w:tblW w:w="0" w:type="auto"/>
        <w:jc w:val="center"/>
        <w:tblLook w:val="04A0" w:firstRow="1" w:lastRow="0" w:firstColumn="1" w:lastColumn="0" w:noHBand="0" w:noVBand="1"/>
      </w:tblPr>
      <w:tblGrid>
        <w:gridCol w:w="3024"/>
        <w:gridCol w:w="1440"/>
        <w:gridCol w:w="1440"/>
        <w:gridCol w:w="1440"/>
        <w:gridCol w:w="1440"/>
      </w:tblGrid>
      <w:tr w:rsidR="0051413D" w:rsidRPr="0051413D" w14:paraId="3844C4D7" w14:textId="77777777">
        <w:trPr>
          <w:jc w:val="center"/>
        </w:trPr>
        <w:tc>
          <w:tcPr>
            <w:tcW w:w="3024"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2F746BEA"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b/>
                <w:sz w:val="24"/>
                <w:szCs w:val="24"/>
                <w:lang w:val="en-US"/>
              </w:rPr>
              <w:t>Item</w:t>
            </w:r>
          </w:p>
        </w:tc>
        <w:tc>
          <w:tcPr>
            <w:tcW w:w="1440"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205CC0B5"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b/>
                <w:sz w:val="24"/>
                <w:szCs w:val="24"/>
                <w:lang w:val="en-US"/>
              </w:rPr>
              <w:t>Year 1</w:t>
            </w:r>
          </w:p>
        </w:tc>
        <w:tc>
          <w:tcPr>
            <w:tcW w:w="1440"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2159AB49"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b/>
                <w:sz w:val="24"/>
                <w:szCs w:val="24"/>
                <w:lang w:val="en-US"/>
              </w:rPr>
              <w:t>Year 2</w:t>
            </w:r>
          </w:p>
        </w:tc>
        <w:tc>
          <w:tcPr>
            <w:tcW w:w="1440"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080CC698"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b/>
                <w:sz w:val="24"/>
                <w:szCs w:val="24"/>
                <w:lang w:val="en-US"/>
              </w:rPr>
              <w:t>Year 3</w:t>
            </w:r>
          </w:p>
        </w:tc>
        <w:tc>
          <w:tcPr>
            <w:tcW w:w="1440"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6D2B7C19"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b/>
                <w:sz w:val="24"/>
                <w:szCs w:val="24"/>
                <w:lang w:val="en-US"/>
              </w:rPr>
              <w:t>Year 4</w:t>
            </w:r>
          </w:p>
        </w:tc>
      </w:tr>
      <w:tr w:rsidR="0051413D" w:rsidRPr="0051413D" w14:paraId="4816A7D0" w14:textId="77777777">
        <w:trPr>
          <w:jc w:val="center"/>
        </w:trPr>
        <w:tc>
          <w:tcPr>
            <w:tcW w:w="302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1404C63"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Cash flow</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ABF5B76"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100.0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A24B47A"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180.0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D2C9AC3"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210.0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33A2126"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260.0</w:t>
            </w:r>
          </w:p>
        </w:tc>
      </w:tr>
      <w:tr w:rsidR="0051413D" w:rsidRPr="0051413D" w14:paraId="007DB09E" w14:textId="77777777">
        <w:trPr>
          <w:jc w:val="center"/>
        </w:trPr>
        <w:tc>
          <w:tcPr>
            <w:tcW w:w="302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830BDD1"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Capital allowance</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0EEB9F0"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120.0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160232D"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120.0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03239E9"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120.0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1E45AD7"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120.0</w:t>
            </w:r>
          </w:p>
        </w:tc>
      </w:tr>
      <w:tr w:rsidR="0051413D" w:rsidRPr="0051413D" w14:paraId="0054B276" w14:textId="77777777">
        <w:trPr>
          <w:jc w:val="center"/>
        </w:trPr>
        <w:tc>
          <w:tcPr>
            <w:tcW w:w="302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0ED4DF3"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Taxable profit</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AD45817"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-20.0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F4456A1"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60.0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BBC2406"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90.0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BBEC33D"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140.0</w:t>
            </w:r>
          </w:p>
        </w:tc>
      </w:tr>
      <w:tr w:rsidR="0051413D" w:rsidRPr="0051413D" w14:paraId="1F09F4F9" w14:textId="77777777">
        <w:trPr>
          <w:jc w:val="center"/>
        </w:trPr>
        <w:tc>
          <w:tcPr>
            <w:tcW w:w="302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C4F0E4A"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Tax at 25%</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FE41A48"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-5.0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CD10583"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15.0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9CD45C3"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22.5</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2FA1525"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35.0</w:t>
            </w:r>
          </w:p>
        </w:tc>
      </w:tr>
      <w:tr w:rsidR="0051413D" w:rsidRPr="0051413D" w14:paraId="6C96C198" w14:textId="77777777">
        <w:trPr>
          <w:jc w:val="center"/>
        </w:trPr>
        <w:tc>
          <w:tcPr>
            <w:tcW w:w="302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C07C7B3"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After-tax cash flow</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18516AA"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105.0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9C33C2B"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165.0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1E8113E"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187.5</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EEA4646"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225.0</w:t>
            </w:r>
          </w:p>
        </w:tc>
      </w:tr>
    </w:tbl>
    <w:p w14:paraId="6E8DE013" w14:textId="77777777" w:rsidR="0051413D" w:rsidRPr="0051413D" w:rsidRDefault="0051413D" w:rsidP="0051413D">
      <w:pPr>
        <w:rPr>
          <w:rFonts w:ascii="Garamond" w:hAnsi="Garamond"/>
          <w:sz w:val="24"/>
          <w:szCs w:val="24"/>
          <w:lang w:val="en-US"/>
        </w:rPr>
      </w:pPr>
    </w:p>
    <w:p w14:paraId="53DA1C7B"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B - develop internet sales</w:t>
      </w:r>
    </w:p>
    <w:tbl>
      <w:tblPr>
        <w:tblStyle w:val="TableGrid"/>
        <w:tblW w:w="0" w:type="auto"/>
        <w:jc w:val="center"/>
        <w:tblLook w:val="04A0" w:firstRow="1" w:lastRow="0" w:firstColumn="1" w:lastColumn="0" w:noHBand="0" w:noVBand="1"/>
      </w:tblPr>
      <w:tblGrid>
        <w:gridCol w:w="3024"/>
        <w:gridCol w:w="1440"/>
        <w:gridCol w:w="1440"/>
        <w:gridCol w:w="1440"/>
        <w:gridCol w:w="1440"/>
      </w:tblGrid>
      <w:tr w:rsidR="0051413D" w:rsidRPr="0051413D" w14:paraId="78FF13C8" w14:textId="77777777">
        <w:trPr>
          <w:jc w:val="center"/>
        </w:trPr>
        <w:tc>
          <w:tcPr>
            <w:tcW w:w="3024"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718383F5"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b/>
                <w:sz w:val="24"/>
                <w:szCs w:val="24"/>
                <w:lang w:val="en-US"/>
              </w:rPr>
              <w:t>Item</w:t>
            </w:r>
          </w:p>
        </w:tc>
        <w:tc>
          <w:tcPr>
            <w:tcW w:w="1440"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5D6A2FB5"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b/>
                <w:sz w:val="24"/>
                <w:szCs w:val="24"/>
                <w:lang w:val="en-US"/>
              </w:rPr>
              <w:t>Year 1</w:t>
            </w:r>
          </w:p>
        </w:tc>
        <w:tc>
          <w:tcPr>
            <w:tcW w:w="1440"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4DB52D90"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b/>
                <w:sz w:val="24"/>
                <w:szCs w:val="24"/>
                <w:lang w:val="en-US"/>
              </w:rPr>
              <w:t>Year 2</w:t>
            </w:r>
          </w:p>
        </w:tc>
        <w:tc>
          <w:tcPr>
            <w:tcW w:w="1440"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3AA1BBFD"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b/>
                <w:sz w:val="24"/>
                <w:szCs w:val="24"/>
                <w:lang w:val="en-US"/>
              </w:rPr>
              <w:t>Year 3</w:t>
            </w:r>
          </w:p>
        </w:tc>
        <w:tc>
          <w:tcPr>
            <w:tcW w:w="1440"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69B5A81B"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b/>
                <w:sz w:val="24"/>
                <w:szCs w:val="24"/>
                <w:lang w:val="en-US"/>
              </w:rPr>
              <w:t>Year 4</w:t>
            </w:r>
          </w:p>
        </w:tc>
      </w:tr>
      <w:tr w:rsidR="0051413D" w:rsidRPr="0051413D" w14:paraId="1F3C53A6" w14:textId="77777777">
        <w:trPr>
          <w:jc w:val="center"/>
        </w:trPr>
        <w:tc>
          <w:tcPr>
            <w:tcW w:w="302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CA6E926"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Cash flow</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A4B3CA2"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220.0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361E700"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270.0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DE79DCE"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350.0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99DA128"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400.0</w:t>
            </w:r>
          </w:p>
        </w:tc>
      </w:tr>
      <w:tr w:rsidR="0051413D" w:rsidRPr="0051413D" w14:paraId="3D924AF9" w14:textId="77777777">
        <w:trPr>
          <w:jc w:val="center"/>
        </w:trPr>
        <w:tc>
          <w:tcPr>
            <w:tcW w:w="302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861D228"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Capital allowance</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BC833FB"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180.0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A7EE9CB"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180.0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1DBE0C6"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180.0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B4ABF1B"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180.0</w:t>
            </w:r>
          </w:p>
        </w:tc>
      </w:tr>
      <w:tr w:rsidR="0051413D" w:rsidRPr="0051413D" w14:paraId="662AAF22" w14:textId="77777777">
        <w:trPr>
          <w:jc w:val="center"/>
        </w:trPr>
        <w:tc>
          <w:tcPr>
            <w:tcW w:w="302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052F5F8"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Taxable profit</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9B2F7D1"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40.0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1DA0D20"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90.0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5367CBD"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170.0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65C18A8"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220.0</w:t>
            </w:r>
          </w:p>
        </w:tc>
      </w:tr>
      <w:tr w:rsidR="0051413D" w:rsidRPr="0051413D" w14:paraId="47EA3B96" w14:textId="77777777">
        <w:trPr>
          <w:jc w:val="center"/>
        </w:trPr>
        <w:tc>
          <w:tcPr>
            <w:tcW w:w="302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E8D9DD8"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Tax at 25%</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9ED2FEC"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10.0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B546360"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22.5</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F753044"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42.5</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DC98B1A"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55.0</w:t>
            </w:r>
          </w:p>
        </w:tc>
      </w:tr>
      <w:tr w:rsidR="0051413D" w:rsidRPr="0051413D" w14:paraId="409CB818" w14:textId="77777777">
        <w:trPr>
          <w:jc w:val="center"/>
        </w:trPr>
        <w:tc>
          <w:tcPr>
            <w:tcW w:w="302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FFCCCD8"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After-tax cash flow</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04B7521"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210.0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9D933CE"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247.5</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CA51DE1"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307.5</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5783BD9"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345.0</w:t>
            </w:r>
          </w:p>
        </w:tc>
      </w:tr>
    </w:tbl>
    <w:p w14:paraId="574F3667" w14:textId="77777777" w:rsidR="0051413D" w:rsidRPr="0051413D" w:rsidRDefault="0051413D" w:rsidP="0051413D">
      <w:pPr>
        <w:rPr>
          <w:rFonts w:ascii="Garamond" w:hAnsi="Garamond"/>
          <w:sz w:val="24"/>
          <w:szCs w:val="24"/>
          <w:lang w:val="en-US"/>
        </w:rPr>
      </w:pPr>
    </w:p>
    <w:p w14:paraId="14E6E46A" w14:textId="77777777" w:rsidR="0051413D" w:rsidRPr="0051413D" w:rsidRDefault="0051413D" w:rsidP="0051413D">
      <w:pPr>
        <w:rPr>
          <w:rFonts w:ascii="Garamond" w:hAnsi="Garamond"/>
          <w:sz w:val="24"/>
          <w:szCs w:val="24"/>
          <w:lang w:val="en-US"/>
        </w:rPr>
      </w:pPr>
      <w:r w:rsidRPr="0051413D">
        <w:rPr>
          <w:rFonts w:ascii="Garamond" w:hAnsi="Garamond"/>
          <w:sz w:val="24"/>
          <w:szCs w:val="24"/>
          <w:lang w:val="en-US"/>
        </w:rPr>
        <w:t>C - produce purses and wallets</w:t>
      </w:r>
    </w:p>
    <w:tbl>
      <w:tblPr>
        <w:tblStyle w:val="TableGrid"/>
        <w:tblW w:w="0" w:type="auto"/>
        <w:jc w:val="center"/>
        <w:tblLook w:val="04A0" w:firstRow="1" w:lastRow="0" w:firstColumn="1" w:lastColumn="0" w:noHBand="0" w:noVBand="1"/>
      </w:tblPr>
      <w:tblGrid>
        <w:gridCol w:w="3024"/>
        <w:gridCol w:w="1440"/>
        <w:gridCol w:w="1440"/>
        <w:gridCol w:w="1440"/>
        <w:gridCol w:w="1440"/>
      </w:tblGrid>
      <w:tr w:rsidR="0051413D" w:rsidRPr="0051413D" w14:paraId="4DC70806" w14:textId="77777777">
        <w:trPr>
          <w:jc w:val="center"/>
        </w:trPr>
        <w:tc>
          <w:tcPr>
            <w:tcW w:w="3024"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78D5658F"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b/>
                <w:sz w:val="24"/>
                <w:szCs w:val="24"/>
                <w:lang w:val="en-US"/>
              </w:rPr>
              <w:t>Item</w:t>
            </w:r>
          </w:p>
        </w:tc>
        <w:tc>
          <w:tcPr>
            <w:tcW w:w="1440"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2DA621DA"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b/>
                <w:sz w:val="24"/>
                <w:szCs w:val="24"/>
                <w:lang w:val="en-US"/>
              </w:rPr>
              <w:t>Year 1</w:t>
            </w:r>
          </w:p>
        </w:tc>
        <w:tc>
          <w:tcPr>
            <w:tcW w:w="1440"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596D6842"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b/>
                <w:sz w:val="24"/>
                <w:szCs w:val="24"/>
                <w:lang w:val="en-US"/>
              </w:rPr>
              <w:t>Year 2</w:t>
            </w:r>
          </w:p>
        </w:tc>
        <w:tc>
          <w:tcPr>
            <w:tcW w:w="1440"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5545916E"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b/>
                <w:sz w:val="24"/>
                <w:szCs w:val="24"/>
                <w:lang w:val="en-US"/>
              </w:rPr>
              <w:t>Year 3</w:t>
            </w:r>
          </w:p>
        </w:tc>
        <w:tc>
          <w:tcPr>
            <w:tcW w:w="1440"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68E9008D"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b/>
                <w:sz w:val="24"/>
                <w:szCs w:val="24"/>
                <w:lang w:val="en-US"/>
              </w:rPr>
              <w:t>Year 4</w:t>
            </w:r>
          </w:p>
        </w:tc>
      </w:tr>
      <w:tr w:rsidR="0051413D" w:rsidRPr="0051413D" w14:paraId="3ADAD16C" w14:textId="77777777">
        <w:trPr>
          <w:jc w:val="center"/>
        </w:trPr>
        <w:tc>
          <w:tcPr>
            <w:tcW w:w="302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78BB01C"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Cash flow</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4F00B85"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250.0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7F6D5FE"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310.0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37C41AD"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400.0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0F03981"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430.0</w:t>
            </w:r>
          </w:p>
        </w:tc>
      </w:tr>
      <w:tr w:rsidR="0051413D" w:rsidRPr="0051413D" w14:paraId="2287F91A" w14:textId="77777777">
        <w:trPr>
          <w:jc w:val="center"/>
        </w:trPr>
        <w:tc>
          <w:tcPr>
            <w:tcW w:w="302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7A0E19D"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Capital allowance</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1FC4BE1"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200.0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6F7DCB6"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200.0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DDB3A90"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200.0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E62774E"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200.0</w:t>
            </w:r>
          </w:p>
        </w:tc>
      </w:tr>
      <w:tr w:rsidR="0051413D" w:rsidRPr="0051413D" w14:paraId="56D704AE" w14:textId="77777777">
        <w:trPr>
          <w:jc w:val="center"/>
        </w:trPr>
        <w:tc>
          <w:tcPr>
            <w:tcW w:w="302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56C2765"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Taxable profit</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1303C70"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50.0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28B5A00"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110.0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7086626"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200.0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843A9D3"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230.0</w:t>
            </w:r>
          </w:p>
        </w:tc>
      </w:tr>
      <w:tr w:rsidR="0051413D" w:rsidRPr="0051413D" w14:paraId="396C2025" w14:textId="77777777">
        <w:trPr>
          <w:jc w:val="center"/>
        </w:trPr>
        <w:tc>
          <w:tcPr>
            <w:tcW w:w="302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1DB58F6"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Tax at 25%</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6F08F5D"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12.5</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5B8ACE3"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27.5</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8CD72F4"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50.0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CBFE977"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57.5</w:t>
            </w:r>
          </w:p>
        </w:tc>
      </w:tr>
      <w:tr w:rsidR="0051413D" w:rsidRPr="0051413D" w14:paraId="102A1CDC" w14:textId="77777777">
        <w:trPr>
          <w:jc w:val="center"/>
        </w:trPr>
        <w:tc>
          <w:tcPr>
            <w:tcW w:w="302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41A01D6"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After-tax cash flow</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4C532C6"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237.5</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C39D36F"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282.5</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1712CC1"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350.0</w:t>
            </w:r>
          </w:p>
        </w:tc>
        <w:tc>
          <w:tcPr>
            <w:tcW w:w="14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DCEC360"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372.5</w:t>
            </w:r>
          </w:p>
        </w:tc>
      </w:tr>
    </w:tbl>
    <w:p w14:paraId="3AA1D560" w14:textId="77777777" w:rsidR="0051413D" w:rsidRPr="0051413D" w:rsidRDefault="0051413D" w:rsidP="0051413D">
      <w:pPr>
        <w:rPr>
          <w:rFonts w:ascii="Garamond" w:hAnsi="Garamond"/>
          <w:sz w:val="24"/>
          <w:szCs w:val="24"/>
          <w:lang w:val="en-US"/>
        </w:rPr>
      </w:pPr>
    </w:p>
    <w:tbl>
      <w:tblPr>
        <w:tblStyle w:val="TableGrid"/>
        <w:tblW w:w="0" w:type="auto"/>
        <w:jc w:val="center"/>
        <w:tblLook w:val="04A0" w:firstRow="1" w:lastRow="0" w:firstColumn="1" w:lastColumn="0" w:noHBand="0" w:noVBand="1"/>
      </w:tblPr>
      <w:tblGrid>
        <w:gridCol w:w="1938"/>
        <w:gridCol w:w="998"/>
        <w:gridCol w:w="998"/>
        <w:gridCol w:w="998"/>
        <w:gridCol w:w="998"/>
        <w:gridCol w:w="1042"/>
        <w:gridCol w:w="1042"/>
        <w:gridCol w:w="1002"/>
      </w:tblGrid>
      <w:tr w:rsidR="0051413D" w:rsidRPr="0051413D" w14:paraId="614C43DC" w14:textId="77777777">
        <w:trPr>
          <w:jc w:val="center"/>
        </w:trPr>
        <w:tc>
          <w:tcPr>
            <w:tcW w:w="2592"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6D839937"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b/>
                <w:sz w:val="24"/>
                <w:szCs w:val="24"/>
                <w:lang w:val="en-US"/>
              </w:rPr>
              <w:lastRenderedPageBreak/>
              <w:t>Project</w:t>
            </w:r>
          </w:p>
        </w:tc>
        <w:tc>
          <w:tcPr>
            <w:tcW w:w="1152"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6C99CEE9"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b/>
                <w:sz w:val="24"/>
                <w:szCs w:val="24"/>
                <w:lang w:val="en-US"/>
              </w:rPr>
              <w:t>PV of Y1</w:t>
            </w:r>
          </w:p>
        </w:tc>
        <w:tc>
          <w:tcPr>
            <w:tcW w:w="1152"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63A3AB44"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b/>
                <w:sz w:val="24"/>
                <w:szCs w:val="24"/>
                <w:lang w:val="en-US"/>
              </w:rPr>
              <w:t>PV of Y2</w:t>
            </w:r>
          </w:p>
        </w:tc>
        <w:tc>
          <w:tcPr>
            <w:tcW w:w="1152"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18EE3BD4"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b/>
                <w:sz w:val="24"/>
                <w:szCs w:val="24"/>
                <w:lang w:val="en-US"/>
              </w:rPr>
              <w:t>PV of Y3</w:t>
            </w:r>
          </w:p>
        </w:tc>
        <w:tc>
          <w:tcPr>
            <w:tcW w:w="1152"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0679EB9E"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b/>
                <w:sz w:val="24"/>
                <w:szCs w:val="24"/>
                <w:lang w:val="en-US"/>
              </w:rPr>
              <w:t>PV of Y4</w:t>
            </w:r>
          </w:p>
        </w:tc>
        <w:tc>
          <w:tcPr>
            <w:tcW w:w="1152"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0E50B756"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b/>
                <w:sz w:val="24"/>
                <w:szCs w:val="24"/>
                <w:lang w:val="en-US"/>
              </w:rPr>
              <w:t>Total PV</w:t>
            </w:r>
          </w:p>
        </w:tc>
        <w:tc>
          <w:tcPr>
            <w:tcW w:w="1224"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499614CA"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b/>
                <w:sz w:val="24"/>
                <w:szCs w:val="24"/>
                <w:lang w:val="en-US"/>
              </w:rPr>
              <w:t>Initial cost</w:t>
            </w:r>
          </w:p>
        </w:tc>
        <w:tc>
          <w:tcPr>
            <w:tcW w:w="1224"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1DA86C37"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b/>
                <w:sz w:val="24"/>
                <w:szCs w:val="24"/>
                <w:lang w:val="en-US"/>
              </w:rPr>
              <w:t>NPV at 5%</w:t>
            </w:r>
          </w:p>
        </w:tc>
      </w:tr>
      <w:tr w:rsidR="0051413D" w:rsidRPr="0051413D" w14:paraId="2E3313EF" w14:textId="77777777">
        <w:trPr>
          <w:jc w:val="center"/>
        </w:trPr>
        <w:tc>
          <w:tcPr>
            <w:tcW w:w="259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5D42C82"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A - expand retail outlet</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7BC4C0B"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100.00</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DBE3384"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149.66</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4CB099F"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161.97</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C3CFB39"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185.11</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A7E60BF"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596.74</w:t>
            </w:r>
          </w:p>
        </w:tc>
        <w:tc>
          <w:tcPr>
            <w:tcW w:w="122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D524B36"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600</w:t>
            </w:r>
          </w:p>
        </w:tc>
        <w:tc>
          <w:tcPr>
            <w:tcW w:w="122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91C4FED"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-3.26</w:t>
            </w:r>
          </w:p>
        </w:tc>
      </w:tr>
      <w:tr w:rsidR="0051413D" w:rsidRPr="0051413D" w14:paraId="4149C978" w14:textId="77777777">
        <w:trPr>
          <w:jc w:val="center"/>
        </w:trPr>
        <w:tc>
          <w:tcPr>
            <w:tcW w:w="259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89093AF"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B - develop internet sales</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D7E94F0"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200.00</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C249879"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224.49</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2FA3945"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265.63</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473C157"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283.83</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7CD0610"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973.95</w:t>
            </w:r>
          </w:p>
        </w:tc>
        <w:tc>
          <w:tcPr>
            <w:tcW w:w="122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F6E9465"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900</w:t>
            </w:r>
          </w:p>
        </w:tc>
        <w:tc>
          <w:tcPr>
            <w:tcW w:w="122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03F8E7B"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73.95</w:t>
            </w:r>
          </w:p>
        </w:tc>
      </w:tr>
      <w:tr w:rsidR="0051413D" w:rsidRPr="0051413D" w14:paraId="594E1A84" w14:textId="77777777">
        <w:trPr>
          <w:jc w:val="center"/>
        </w:trPr>
        <w:tc>
          <w:tcPr>
            <w:tcW w:w="259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46C2D0B1"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C - produce purses and wallets</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ACCF6CF"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226.19</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4253B3D"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256.24</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35E7D6A"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302.34</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AFDEE59"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306.46</w:t>
            </w:r>
          </w:p>
        </w:tc>
        <w:tc>
          <w:tcPr>
            <w:tcW w:w="1152"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AADB7EE"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1091.23</w:t>
            </w:r>
          </w:p>
        </w:tc>
        <w:tc>
          <w:tcPr>
            <w:tcW w:w="122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575F901"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1000</w:t>
            </w:r>
          </w:p>
        </w:tc>
        <w:tc>
          <w:tcPr>
            <w:tcW w:w="122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9DE8982"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91.23</w:t>
            </w:r>
          </w:p>
        </w:tc>
      </w:tr>
    </w:tbl>
    <w:p w14:paraId="245C0F13" w14:textId="77777777" w:rsidR="0051413D" w:rsidRPr="0051413D" w:rsidRDefault="0051413D" w:rsidP="0051413D">
      <w:pPr>
        <w:rPr>
          <w:rFonts w:ascii="Garamond" w:hAnsi="Garamond"/>
          <w:sz w:val="24"/>
          <w:szCs w:val="24"/>
          <w:lang w:val="en-US"/>
        </w:rPr>
      </w:pPr>
    </w:p>
    <w:tbl>
      <w:tblPr>
        <w:tblStyle w:val="TableGrid"/>
        <w:tblW w:w="0" w:type="auto"/>
        <w:jc w:val="center"/>
        <w:tblLook w:val="04A0" w:firstRow="1" w:lastRow="0" w:firstColumn="1" w:lastColumn="0" w:noHBand="0" w:noVBand="1"/>
      </w:tblPr>
      <w:tblGrid>
        <w:gridCol w:w="3600"/>
        <w:gridCol w:w="2160"/>
      </w:tblGrid>
      <w:tr w:rsidR="0051413D" w:rsidRPr="0051413D" w14:paraId="7FF979F0" w14:textId="77777777">
        <w:trPr>
          <w:jc w:val="center"/>
        </w:trPr>
        <w:tc>
          <w:tcPr>
            <w:tcW w:w="3600"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7ABB0C90"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b/>
                <w:sz w:val="24"/>
                <w:szCs w:val="24"/>
                <w:lang w:val="en-US"/>
              </w:rPr>
              <w:t>Project C IRR estimate</w:t>
            </w:r>
          </w:p>
        </w:tc>
        <w:tc>
          <w:tcPr>
            <w:tcW w:w="2160"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74DDE725"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b/>
                <w:sz w:val="24"/>
                <w:szCs w:val="24"/>
                <w:lang w:val="en-US"/>
              </w:rPr>
              <w:t>NPV GBP000</w:t>
            </w:r>
          </w:p>
        </w:tc>
      </w:tr>
      <w:tr w:rsidR="0051413D" w:rsidRPr="0051413D" w14:paraId="40238782" w14:textId="77777777">
        <w:trPr>
          <w:jc w:val="center"/>
        </w:trPr>
        <w:tc>
          <w:tcPr>
            <w:tcW w:w="360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0C7E400"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5.0%</w:t>
            </w:r>
          </w:p>
        </w:tc>
        <w:tc>
          <w:tcPr>
            <w:tcW w:w="216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F829890"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91.23</w:t>
            </w:r>
          </w:p>
        </w:tc>
      </w:tr>
      <w:tr w:rsidR="0051413D" w:rsidRPr="0051413D" w14:paraId="71E6CF6D" w14:textId="77777777">
        <w:trPr>
          <w:jc w:val="center"/>
        </w:trPr>
        <w:tc>
          <w:tcPr>
            <w:tcW w:w="360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E124CBC"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8.0%</w:t>
            </w:r>
          </w:p>
        </w:tc>
        <w:tc>
          <w:tcPr>
            <w:tcW w:w="216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F169F38"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13.75</w:t>
            </w:r>
          </w:p>
        </w:tc>
      </w:tr>
      <w:tr w:rsidR="0051413D" w:rsidRPr="0051413D" w14:paraId="286FB2A0" w14:textId="77777777">
        <w:trPr>
          <w:jc w:val="center"/>
        </w:trPr>
        <w:tc>
          <w:tcPr>
            <w:tcW w:w="360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EB08F9E"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8.6%</w:t>
            </w:r>
          </w:p>
        </w:tc>
        <w:tc>
          <w:tcPr>
            <w:tcW w:w="216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6828687"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-0.72</w:t>
            </w:r>
          </w:p>
        </w:tc>
      </w:tr>
      <w:tr w:rsidR="0051413D" w:rsidRPr="0051413D" w14:paraId="5D329E03" w14:textId="77777777">
        <w:trPr>
          <w:jc w:val="center"/>
        </w:trPr>
        <w:tc>
          <w:tcPr>
            <w:tcW w:w="360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02465D6"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9.0%</w:t>
            </w:r>
          </w:p>
        </w:tc>
        <w:tc>
          <w:tcPr>
            <w:tcW w:w="216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F63A80B"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-10.18</w:t>
            </w:r>
          </w:p>
        </w:tc>
      </w:tr>
      <w:tr w:rsidR="0051413D" w:rsidRPr="0051413D" w14:paraId="5E2E38D6" w14:textId="77777777">
        <w:trPr>
          <w:jc w:val="center"/>
        </w:trPr>
        <w:tc>
          <w:tcPr>
            <w:tcW w:w="360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9E4C835"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10.0%</w:t>
            </w:r>
          </w:p>
        </w:tc>
        <w:tc>
          <w:tcPr>
            <w:tcW w:w="216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8E18167"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-33.24</w:t>
            </w:r>
          </w:p>
        </w:tc>
      </w:tr>
    </w:tbl>
    <w:p w14:paraId="2E476394" w14:textId="77777777" w:rsidR="0051413D" w:rsidRPr="003A68C8" w:rsidRDefault="0051413D" w:rsidP="0051413D">
      <w:pPr>
        <w:rPr>
          <w:rFonts w:ascii="Garamond" w:hAnsi="Garamond"/>
          <w:sz w:val="24"/>
          <w:szCs w:val="24"/>
          <w:lang w:val="en-US"/>
        </w:rPr>
      </w:pPr>
    </w:p>
    <w:p w14:paraId="71180FB6" w14:textId="77777777" w:rsidR="00B7474F" w:rsidRPr="0051413D" w:rsidRDefault="00B7474F" w:rsidP="0051413D">
      <w:pPr>
        <w:rPr>
          <w:rFonts w:ascii="Garamond" w:hAnsi="Garamond"/>
          <w:sz w:val="24"/>
          <w:szCs w:val="24"/>
          <w:lang w:val="en-US"/>
        </w:rPr>
      </w:pPr>
    </w:p>
    <w:p w14:paraId="03C3E595" w14:textId="77777777" w:rsidR="0051413D" w:rsidRPr="003A68C8" w:rsidRDefault="0051413D" w:rsidP="0051413D">
      <w:pPr>
        <w:rPr>
          <w:rFonts w:ascii="Garamond" w:hAnsi="Garamond"/>
          <w:sz w:val="24"/>
          <w:szCs w:val="24"/>
          <w:lang w:val="en-US"/>
        </w:rPr>
      </w:pPr>
      <w:r w:rsidRPr="0051413D">
        <w:rPr>
          <w:rFonts w:ascii="Garamond" w:hAnsi="Garamond"/>
          <w:sz w:val="24"/>
          <w:szCs w:val="24"/>
          <w:lang w:val="en-US"/>
        </w:rPr>
        <w:t>Approximate IRR for Option C is 8.6%. The NPV changes from positive to negative between approximately 8% and 9%, so the rounded IRR is around 8.6%.</w:t>
      </w:r>
    </w:p>
    <w:p w14:paraId="7A5EB144" w14:textId="77777777" w:rsidR="00B7474F" w:rsidRPr="0051413D" w:rsidRDefault="00B7474F" w:rsidP="0051413D">
      <w:pPr>
        <w:rPr>
          <w:rFonts w:ascii="Garamond" w:hAnsi="Garamond"/>
          <w:sz w:val="24"/>
          <w:szCs w:val="24"/>
          <w:lang w:val="en-US"/>
        </w:rPr>
      </w:pPr>
    </w:p>
    <w:tbl>
      <w:tblPr>
        <w:tblStyle w:val="TableGrid"/>
        <w:tblW w:w="0" w:type="auto"/>
        <w:jc w:val="center"/>
        <w:tblLook w:val="04A0" w:firstRow="1" w:lastRow="0" w:firstColumn="1" w:lastColumn="0" w:noHBand="0" w:noVBand="1"/>
      </w:tblPr>
      <w:tblGrid>
        <w:gridCol w:w="2741"/>
        <w:gridCol w:w="4741"/>
        <w:gridCol w:w="1534"/>
      </w:tblGrid>
      <w:tr w:rsidR="0051413D" w:rsidRPr="0051413D" w14:paraId="11CE8B00" w14:textId="77777777" w:rsidTr="00B7474F">
        <w:trPr>
          <w:jc w:val="center"/>
        </w:trPr>
        <w:tc>
          <w:tcPr>
            <w:tcW w:w="2880"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0D4B3D2E"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b/>
                <w:sz w:val="24"/>
                <w:szCs w:val="24"/>
                <w:lang w:val="en-US"/>
              </w:rPr>
              <w:t>Capital rationing step</w:t>
            </w:r>
          </w:p>
        </w:tc>
        <w:tc>
          <w:tcPr>
            <w:tcW w:w="5040"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1A76BC18"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b/>
                <w:sz w:val="24"/>
                <w:szCs w:val="24"/>
                <w:lang w:val="en-US"/>
              </w:rPr>
              <w:t>Calculation</w:t>
            </w:r>
          </w:p>
        </w:tc>
        <w:tc>
          <w:tcPr>
            <w:tcW w:w="1584" w:type="dxa"/>
            <w:tcBorders>
              <w:top w:val="single" w:sz="4" w:space="0" w:color="auto"/>
              <w:left w:val="single" w:sz="4" w:space="0" w:color="auto"/>
              <w:bottom w:val="single" w:sz="4" w:space="0" w:color="auto"/>
              <w:right w:val="single" w:sz="4" w:space="0" w:color="auto"/>
            </w:tcBorders>
            <w:shd w:val="clear" w:color="auto" w:fill="D9EAF7"/>
            <w:tcMar>
              <w:top w:w="70" w:type="dxa"/>
              <w:left w:w="70" w:type="dxa"/>
              <w:bottom w:w="70" w:type="dxa"/>
              <w:right w:w="70" w:type="dxa"/>
            </w:tcMar>
            <w:vAlign w:val="center"/>
            <w:hideMark/>
          </w:tcPr>
          <w:p w14:paraId="581AA8E7"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b/>
                <w:sz w:val="24"/>
                <w:szCs w:val="24"/>
                <w:lang w:val="en-US"/>
              </w:rPr>
              <w:t>NPV GBP000</w:t>
            </w:r>
          </w:p>
        </w:tc>
      </w:tr>
      <w:tr w:rsidR="0051413D" w:rsidRPr="0051413D" w14:paraId="2ACFDB95" w14:textId="77777777" w:rsidTr="00B7474F">
        <w:trPr>
          <w:jc w:val="center"/>
        </w:trPr>
        <w:tc>
          <w:tcPr>
            <w:tcW w:w="288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3BB733C0"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Accept Option C in full</w:t>
            </w:r>
          </w:p>
        </w:tc>
        <w:tc>
          <w:tcPr>
            <w:tcW w:w="50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E4921CA"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Initial investment GBP1,000k</w:t>
            </w:r>
          </w:p>
        </w:tc>
        <w:tc>
          <w:tcPr>
            <w:tcW w:w="158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56A248CE"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91.23</w:t>
            </w:r>
          </w:p>
        </w:tc>
      </w:tr>
      <w:tr w:rsidR="0051413D" w:rsidRPr="0051413D" w14:paraId="18D738DA" w14:textId="77777777" w:rsidTr="00B7474F">
        <w:trPr>
          <w:jc w:val="center"/>
        </w:trPr>
        <w:tc>
          <w:tcPr>
            <w:tcW w:w="288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327A751"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Remaining funds</w:t>
            </w:r>
          </w:p>
        </w:tc>
        <w:tc>
          <w:tcPr>
            <w:tcW w:w="50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234A8D25"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GBP1,500k - GBP1,000k = GBP500k</w:t>
            </w:r>
          </w:p>
        </w:tc>
        <w:tc>
          <w:tcPr>
            <w:tcW w:w="158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7E157931"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w:t>
            </w:r>
          </w:p>
        </w:tc>
      </w:tr>
      <w:tr w:rsidR="0051413D" w:rsidRPr="0051413D" w14:paraId="504BE5A9" w14:textId="77777777" w:rsidTr="00B7474F">
        <w:trPr>
          <w:jc w:val="center"/>
        </w:trPr>
        <w:tc>
          <w:tcPr>
            <w:tcW w:w="288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3ACB3FA"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Invest in 55.56% of Option B</w:t>
            </w:r>
          </w:p>
        </w:tc>
        <w:tc>
          <w:tcPr>
            <w:tcW w:w="50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3813ACF"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GBP500k / GBP900k = 55.56%</w:t>
            </w:r>
          </w:p>
        </w:tc>
        <w:tc>
          <w:tcPr>
            <w:tcW w:w="158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6FBA11DB"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55.56% x 73.95 = 41.08</w:t>
            </w:r>
          </w:p>
        </w:tc>
      </w:tr>
      <w:tr w:rsidR="0051413D" w:rsidRPr="0051413D" w14:paraId="1745EC49" w14:textId="77777777" w:rsidTr="00B7474F">
        <w:trPr>
          <w:jc w:val="center"/>
        </w:trPr>
        <w:tc>
          <w:tcPr>
            <w:tcW w:w="288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0AB65BD7"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Total NPV</w:t>
            </w:r>
          </w:p>
        </w:tc>
        <w:tc>
          <w:tcPr>
            <w:tcW w:w="5040"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0EDF99C"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91.23 + 41.08</w:t>
            </w:r>
          </w:p>
        </w:tc>
        <w:tc>
          <w:tcPr>
            <w:tcW w:w="1584" w:type="dxa"/>
            <w:tcBorders>
              <w:top w:val="single" w:sz="4" w:space="0" w:color="auto"/>
              <w:left w:val="single" w:sz="4" w:space="0" w:color="auto"/>
              <w:bottom w:val="single" w:sz="4" w:space="0" w:color="auto"/>
              <w:right w:val="single" w:sz="4" w:space="0" w:color="auto"/>
            </w:tcBorders>
            <w:tcMar>
              <w:top w:w="70" w:type="dxa"/>
              <w:left w:w="70" w:type="dxa"/>
              <w:bottom w:w="70" w:type="dxa"/>
              <w:right w:w="70" w:type="dxa"/>
            </w:tcMar>
            <w:vAlign w:val="center"/>
            <w:hideMark/>
          </w:tcPr>
          <w:p w14:paraId="148D997C" w14:textId="77777777" w:rsidR="0051413D" w:rsidRPr="0051413D" w:rsidRDefault="0051413D" w:rsidP="00B7474F">
            <w:pPr>
              <w:spacing w:after="160" w:line="259" w:lineRule="auto"/>
              <w:jc w:val="center"/>
              <w:rPr>
                <w:rFonts w:ascii="Garamond" w:hAnsi="Garamond"/>
                <w:sz w:val="24"/>
                <w:szCs w:val="24"/>
                <w:lang w:val="en-US"/>
              </w:rPr>
            </w:pPr>
            <w:r w:rsidRPr="0051413D">
              <w:rPr>
                <w:rFonts w:ascii="Garamond" w:hAnsi="Garamond"/>
                <w:sz w:val="24"/>
                <w:szCs w:val="24"/>
                <w:lang w:val="en-US"/>
              </w:rPr>
              <w:t>132.31</w:t>
            </w:r>
          </w:p>
        </w:tc>
      </w:tr>
    </w:tbl>
    <w:p w14:paraId="708675DF" w14:textId="77777777" w:rsidR="0051413D" w:rsidRPr="0051413D" w:rsidRDefault="0051413D" w:rsidP="0051413D">
      <w:pPr>
        <w:rPr>
          <w:rFonts w:ascii="Garamond" w:hAnsi="Garamond"/>
          <w:sz w:val="24"/>
          <w:szCs w:val="24"/>
          <w:lang w:val="en-US"/>
        </w:rPr>
      </w:pPr>
    </w:p>
    <w:p w14:paraId="0F4D5435" w14:textId="77777777" w:rsidR="0051413D" w:rsidRPr="003A68C8" w:rsidRDefault="0051413D" w:rsidP="0051413D">
      <w:pPr>
        <w:rPr>
          <w:rFonts w:ascii="Garamond" w:hAnsi="Garamond"/>
          <w:sz w:val="24"/>
          <w:szCs w:val="24"/>
        </w:rPr>
      </w:pPr>
    </w:p>
    <w:sectPr w:rsidR="0051413D" w:rsidRPr="003A68C8" w:rsidSect="007D1947">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92D77" w14:textId="77777777" w:rsidR="00763E99" w:rsidRDefault="00763E99" w:rsidP="00F33B24">
      <w:pPr>
        <w:spacing w:after="0" w:line="240" w:lineRule="auto"/>
      </w:pPr>
      <w:r>
        <w:separator/>
      </w:r>
    </w:p>
  </w:endnote>
  <w:endnote w:type="continuationSeparator" w:id="0">
    <w:p w14:paraId="6F0CD809" w14:textId="77777777" w:rsidR="00763E99" w:rsidRDefault="00763E99" w:rsidP="00F33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088306"/>
      <w:docPartObj>
        <w:docPartGallery w:val="Page Numbers (Bottom of Page)"/>
        <w:docPartUnique/>
      </w:docPartObj>
    </w:sdtPr>
    <w:sdtEndPr>
      <w:rPr>
        <w:noProof/>
      </w:rPr>
    </w:sdtEndPr>
    <w:sdtContent>
      <w:p w14:paraId="4C366E65" w14:textId="31925501" w:rsidR="00F33B24" w:rsidRDefault="00F33B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7ED3F4" w14:textId="77777777" w:rsidR="00F33B24" w:rsidRDefault="00F33B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FCFA1" w14:textId="77777777" w:rsidR="00763E99" w:rsidRDefault="00763E99" w:rsidP="00F33B24">
      <w:pPr>
        <w:spacing w:after="0" w:line="240" w:lineRule="auto"/>
      </w:pPr>
      <w:r>
        <w:separator/>
      </w:r>
    </w:p>
  </w:footnote>
  <w:footnote w:type="continuationSeparator" w:id="0">
    <w:p w14:paraId="52E1F602" w14:textId="77777777" w:rsidR="00763E99" w:rsidRDefault="00763E99" w:rsidP="00F33B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30922"/>
    <w:rsid w:val="00084E65"/>
    <w:rsid w:val="00107936"/>
    <w:rsid w:val="00115B96"/>
    <w:rsid w:val="002D62AF"/>
    <w:rsid w:val="00324CCD"/>
    <w:rsid w:val="003A68C8"/>
    <w:rsid w:val="003C11E7"/>
    <w:rsid w:val="0047107A"/>
    <w:rsid w:val="00480872"/>
    <w:rsid w:val="004A11F6"/>
    <w:rsid w:val="004C59CF"/>
    <w:rsid w:val="004D519C"/>
    <w:rsid w:val="004F675A"/>
    <w:rsid w:val="0050439A"/>
    <w:rsid w:val="0051413D"/>
    <w:rsid w:val="005C1AD5"/>
    <w:rsid w:val="006833C4"/>
    <w:rsid w:val="006A760E"/>
    <w:rsid w:val="006E0C0B"/>
    <w:rsid w:val="00747052"/>
    <w:rsid w:val="00763E99"/>
    <w:rsid w:val="007665A3"/>
    <w:rsid w:val="007D1947"/>
    <w:rsid w:val="00830C1E"/>
    <w:rsid w:val="008E2B4C"/>
    <w:rsid w:val="008F447D"/>
    <w:rsid w:val="00931CAA"/>
    <w:rsid w:val="0095223F"/>
    <w:rsid w:val="00A11633"/>
    <w:rsid w:val="00A12B58"/>
    <w:rsid w:val="00A20E17"/>
    <w:rsid w:val="00A3064F"/>
    <w:rsid w:val="00A632C6"/>
    <w:rsid w:val="00A653F7"/>
    <w:rsid w:val="00A86DE5"/>
    <w:rsid w:val="00AA2A91"/>
    <w:rsid w:val="00B72E57"/>
    <w:rsid w:val="00B7474F"/>
    <w:rsid w:val="00C06376"/>
    <w:rsid w:val="00C803DD"/>
    <w:rsid w:val="00CA09F3"/>
    <w:rsid w:val="00CB49EE"/>
    <w:rsid w:val="00CD3904"/>
    <w:rsid w:val="00CF0E48"/>
    <w:rsid w:val="00D8305F"/>
    <w:rsid w:val="00D854A5"/>
    <w:rsid w:val="00E173D4"/>
    <w:rsid w:val="00E176E7"/>
    <w:rsid w:val="00E237F2"/>
    <w:rsid w:val="00E776DE"/>
    <w:rsid w:val="00F16723"/>
    <w:rsid w:val="00F33B24"/>
    <w:rsid w:val="00FF65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176E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F33B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B24"/>
  </w:style>
  <w:style w:type="paragraph" w:styleId="Footer">
    <w:name w:val="footer"/>
    <w:basedOn w:val="Normal"/>
    <w:link w:val="FooterChar"/>
    <w:uiPriority w:val="99"/>
    <w:unhideWhenUsed/>
    <w:rsid w:val="00F33B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B24"/>
  </w:style>
  <w:style w:type="character" w:customStyle="1" w:styleId="Heading3Char">
    <w:name w:val="Heading 3 Char"/>
    <w:basedOn w:val="DefaultParagraphFont"/>
    <w:link w:val="Heading3"/>
    <w:uiPriority w:val="9"/>
    <w:rsid w:val="00E176E7"/>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59"/>
    <w:rsid w:val="00E176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4F675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24</Pages>
  <Words>6488</Words>
  <Characters>37960</Characters>
  <Application>Microsoft Office Word</Application>
  <DocSecurity>0</DocSecurity>
  <Lines>1308</Lines>
  <Paragraphs>753</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43695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BMMB7005 - Finance for Business Managers</dc:subject>
  <dc:creator>Marie Pitson</dc:creator>
  <cp:keywords/>
  <dc:description/>
  <cp:lastModifiedBy>Samantha Hernandez</cp:lastModifiedBy>
  <cp:revision>24</cp:revision>
  <dcterms:created xsi:type="dcterms:W3CDTF">2026-04-19T18:21:00Z</dcterms:created>
  <dcterms:modified xsi:type="dcterms:W3CDTF">2026-04-19T19:01:00Z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b997f9da-8000-4e31-89da-32411564acb2</vt:lpwstr>
  </property>
</Properties>
</file>