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12065788"/>
        <w:docPartObj>
          <w:docPartGallery w:val="Cover Pages"/>
          <w:docPartUnique/>
        </w:docPartObj>
      </w:sdtPr>
      <w:sdtEndPr>
        <w:rPr>
          <w:u w:val="single"/>
        </w:rPr>
      </w:sdtEndPr>
      <w:sdtContent>
        <w:p w14:paraId="597E9EC5" w14:textId="6C17583D" w:rsidR="008B76E5" w:rsidRDefault="00246652" w:rsidP="00246652">
          <w:r>
            <w:t xml:space="preserve">                                                                     </w:t>
          </w:r>
          <w:r w:rsidR="008B76E5">
            <w:rPr>
              <w:noProof/>
            </w:rPr>
            <w:drawing>
              <wp:inline distT="0" distB="0" distL="0" distR="0" wp14:anchorId="68B3A12C" wp14:editId="5BB0426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color w:val="156082" w:themeColor="accent1"/>
            </w:rPr>
            <w:alias w:val="Title"/>
            <w:tag w:val=""/>
            <w:id w:val="1735040861"/>
            <w:placeholder>
              <w:docPart w:val="022A19BE19D04142B7C803F6B97DCD2A"/>
            </w:placeholder>
            <w:dataBinding w:prefixMappings="xmlns:ns0='http://purl.org/dc/elements/1.1/' xmlns:ns1='http://schemas.openxmlformats.org/package/2006/metadata/core-properties' " w:xpath="/ns1:coreProperties[1]/ns0:title[1]" w:storeItemID="{6C3C8BC8-F283-45AE-878A-BAB7291924A1}"/>
            <w:text/>
          </w:sdtPr>
          <w:sdtContent>
            <w:p w14:paraId="699DC94D" w14:textId="2B10EE93" w:rsidR="008B76E5" w:rsidRDefault="00913E00">
              <w:pPr>
                <w:pStyle w:val="NoSpacing"/>
                <w:pBdr>
                  <w:top w:val="single" w:sz="6" w:space="6" w:color="156082" w:themeColor="accent1"/>
                  <w:bottom w:val="single" w:sz="6" w:space="6" w:color="156082" w:themeColor="accent1"/>
                </w:pBdr>
                <w:spacing w:after="240"/>
                <w:rPr>
                  <w:rFonts w:asciiTheme="majorHAnsi" w:eastAsiaTheme="majorEastAsia" w:hAnsiTheme="majorHAnsi" w:cstheme="majorBidi"/>
                  <w:caps/>
                  <w:color w:val="156082" w:themeColor="accent1"/>
                  <w:sz w:val="80"/>
                  <w:szCs w:val="80"/>
                </w:rPr>
              </w:pPr>
              <w:r w:rsidRPr="00913E00">
                <w:rPr>
                  <w:rFonts w:ascii="Times New Roman" w:hAnsi="Times New Roman" w:cs="Times New Roman"/>
                  <w:color w:val="156082" w:themeColor="accent1"/>
                </w:rPr>
                <w:t>Leading and Implementing Change</w:t>
              </w:r>
            </w:p>
          </w:sdtContent>
        </w:sdt>
        <w:sdt>
          <w:sdtPr>
            <w:rPr>
              <w:color w:val="156082" w:themeColor="accent1"/>
              <w:sz w:val="28"/>
              <w:szCs w:val="28"/>
            </w:rPr>
            <w:alias w:val="Subtitle"/>
            <w:tag w:val=""/>
            <w:id w:val="328029620"/>
            <w:placeholder>
              <w:docPart w:val="1743F779DA3E48FDA679146FBD1389CC"/>
            </w:placeholder>
            <w:dataBinding w:prefixMappings="xmlns:ns0='http://purl.org/dc/elements/1.1/' xmlns:ns1='http://schemas.openxmlformats.org/package/2006/metadata/core-properties' " w:xpath="/ns1:coreProperties[1]/ns0:subject[1]" w:storeItemID="{6C3C8BC8-F283-45AE-878A-BAB7291924A1}"/>
            <w:text/>
          </w:sdtPr>
          <w:sdtContent>
            <w:p w14:paraId="654071BA" w14:textId="22852D97" w:rsidR="008B76E5" w:rsidRDefault="00913E00">
              <w:pPr>
                <w:pStyle w:val="NoSpacing"/>
                <w:rPr>
                  <w:color w:val="156082" w:themeColor="accent1"/>
                  <w:sz w:val="28"/>
                  <w:szCs w:val="28"/>
                </w:rPr>
              </w:pPr>
              <w:r w:rsidRPr="00913E00">
                <w:rPr>
                  <w:color w:val="156082" w:themeColor="accent1"/>
                  <w:sz w:val="28"/>
                  <w:szCs w:val="28"/>
                </w:rPr>
                <w:t>BA (Hons) Leadership and Management Skills for the Workplace</w:t>
              </w:r>
            </w:p>
          </w:sdtContent>
        </w:sdt>
        <w:p w14:paraId="7457D5D7" w14:textId="77777777" w:rsidR="008B76E5" w:rsidRDefault="008B76E5">
          <w:pPr>
            <w:pStyle w:val="NoSpacing"/>
            <w:spacing w:before="480"/>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AD9AD6C" wp14:editId="1BDED77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99D0E87" w14:textId="59DE174F" w:rsidR="008B76E5" w:rsidRDefault="00913E00">
                                    <w:pPr>
                                      <w:pStyle w:val="NoSpacing"/>
                                      <w:spacing w:after="40"/>
                                      <w:rPr>
                                        <w:caps/>
                                        <w:color w:val="156082" w:themeColor="accent1"/>
                                        <w:sz w:val="28"/>
                                        <w:szCs w:val="28"/>
                                      </w:rPr>
                                    </w:pPr>
                                    <w:r w:rsidRPr="00913E00">
                                      <w:rPr>
                                        <w:caps/>
                                        <w:color w:val="156082" w:themeColor="accent1"/>
                                        <w:sz w:val="28"/>
                                        <w:szCs w:val="28"/>
                                      </w:rPr>
                                      <w:t>Dr. Sujeewa Herath</w:t>
                                    </w:r>
                                  </w:p>
                                </w:sdtContent>
                              </w:sdt>
                              <w:p w14:paraId="294329AF" w14:textId="6F67E839" w:rsidR="008B76E5" w:rsidRDefault="00913E00">
                                <w:pPr>
                                  <w:pStyle w:val="NoSpacing"/>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913E00">
                                      <w:rPr>
                                        <w:caps/>
                                        <w:color w:val="156082" w:themeColor="accent1"/>
                                      </w:rPr>
                                      <w:t>LCLM6003</w:t>
                                    </w:r>
                                  </w:sdtContent>
                                </w:sdt>
                              </w:p>
                              <w:p w14:paraId="10A2F3D9" w14:textId="1D44C988" w:rsidR="008B76E5" w:rsidRDefault="00913E00">
                                <w:pPr>
                                  <w:pStyle w:val="NoSpacing"/>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Lamar Walters 2310732</w:t>
                                    </w:r>
                                  </w:sdtContent>
                                </w:sdt>
                              </w:p>
                              <w:p w14:paraId="6D854063" w14:textId="3F4A7765" w:rsidR="00913E00" w:rsidRDefault="00913E00">
                                <w:pPr>
                                  <w:pStyle w:val="NoSpacing"/>
                                  <w:rPr>
                                    <w:color w:val="156082" w:themeColor="accent1"/>
                                  </w:rPr>
                                </w:pPr>
                                <w:r w:rsidRPr="00913E00">
                                  <w:rPr>
                                    <w:color w:val="156082" w:themeColor="accent1"/>
                                  </w:rPr>
                                  <w:t>Strategic Change Plan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D9AD6C"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99D0E87" w14:textId="59DE174F" w:rsidR="008B76E5" w:rsidRDefault="00913E00">
                              <w:pPr>
                                <w:pStyle w:val="NoSpacing"/>
                                <w:spacing w:after="40"/>
                                <w:rPr>
                                  <w:caps/>
                                  <w:color w:val="156082" w:themeColor="accent1"/>
                                  <w:sz w:val="28"/>
                                  <w:szCs w:val="28"/>
                                </w:rPr>
                              </w:pPr>
                              <w:r w:rsidRPr="00913E00">
                                <w:rPr>
                                  <w:caps/>
                                  <w:color w:val="156082" w:themeColor="accent1"/>
                                  <w:sz w:val="28"/>
                                  <w:szCs w:val="28"/>
                                </w:rPr>
                                <w:t>Dr. Sujeewa Herath</w:t>
                              </w:r>
                            </w:p>
                          </w:sdtContent>
                        </w:sdt>
                        <w:p w14:paraId="294329AF" w14:textId="6F67E839" w:rsidR="008B76E5" w:rsidRDefault="00913E00">
                          <w:pPr>
                            <w:pStyle w:val="NoSpacing"/>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913E00">
                                <w:rPr>
                                  <w:caps/>
                                  <w:color w:val="156082" w:themeColor="accent1"/>
                                </w:rPr>
                                <w:t>LCLM6003</w:t>
                              </w:r>
                            </w:sdtContent>
                          </w:sdt>
                        </w:p>
                        <w:p w14:paraId="10A2F3D9" w14:textId="1D44C988" w:rsidR="008B76E5" w:rsidRDefault="00913E00">
                          <w:pPr>
                            <w:pStyle w:val="NoSpacing"/>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Lamar Walters 2310732</w:t>
                              </w:r>
                            </w:sdtContent>
                          </w:sdt>
                        </w:p>
                        <w:p w14:paraId="6D854063" w14:textId="3F4A7765" w:rsidR="00913E00" w:rsidRDefault="00913E00">
                          <w:pPr>
                            <w:pStyle w:val="NoSpacing"/>
                            <w:rPr>
                              <w:color w:val="156082" w:themeColor="accent1"/>
                            </w:rPr>
                          </w:pPr>
                          <w:r w:rsidRPr="00913E00">
                            <w:rPr>
                              <w:color w:val="156082" w:themeColor="accent1"/>
                            </w:rPr>
                            <w:t>Strategic Change Plan</w:t>
                          </w:r>
                        </w:p>
                      </w:txbxContent>
                    </v:textbox>
                    <w10:wrap anchorx="margin" anchory="page"/>
                  </v:shape>
                </w:pict>
              </mc:Fallback>
            </mc:AlternateContent>
          </w:r>
          <w:r>
            <w:rPr>
              <w:noProof/>
              <w:color w:val="156082" w:themeColor="accent1"/>
            </w:rPr>
            <w:drawing>
              <wp:inline distT="0" distB="0" distL="0" distR="0" wp14:anchorId="4EFB96F0" wp14:editId="2BDED39B">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AED26E9" w14:textId="19681FB1" w:rsidR="008B76E5" w:rsidRDefault="008B76E5">
          <w:pPr>
            <w:rPr>
              <w:u w:val="single"/>
            </w:rPr>
          </w:pPr>
          <w:r>
            <w:rPr>
              <w:u w:val="single"/>
            </w:rPr>
            <w:br w:type="page"/>
          </w:r>
        </w:p>
      </w:sdtContent>
    </w:sdt>
    <w:p w14:paraId="4AC8005E" w14:textId="77777777" w:rsidR="00402495" w:rsidRDefault="008D60D6" w:rsidP="00402495">
      <w:pPr>
        <w:pStyle w:val="TOC1"/>
        <w:tabs>
          <w:tab w:val="right" w:leader="dot" w:pos="9016"/>
        </w:tabs>
        <w:rPr>
          <w:rFonts w:eastAsiaTheme="minorEastAsia"/>
          <w:noProof/>
          <w:lang w:eastAsia="en-GB"/>
        </w:rPr>
      </w:pPr>
      <w:r>
        <w:rPr>
          <w:u w:val="single"/>
        </w:rPr>
        <w:lastRenderedPageBreak/>
        <w:fldChar w:fldCharType="begin"/>
      </w:r>
      <w:r>
        <w:rPr>
          <w:u w:val="single"/>
        </w:rPr>
        <w:instrText xml:space="preserve"> TOC \o "1-3" \h \z \u </w:instrText>
      </w:r>
      <w:r>
        <w:rPr>
          <w:u w:val="single"/>
        </w:rPr>
        <w:fldChar w:fldCharType="separate"/>
      </w:r>
    </w:p>
    <w:sdt>
      <w:sdtPr>
        <w:id w:val="-1520776397"/>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5C30111" w14:textId="6AFBCCE5" w:rsidR="00402495" w:rsidRDefault="00402495">
          <w:pPr>
            <w:pStyle w:val="TOCHeading"/>
          </w:pPr>
          <w:r>
            <w:t>Contents</w:t>
          </w:r>
        </w:p>
        <w:p w14:paraId="7195534C" w14:textId="012E210F" w:rsidR="00402495" w:rsidRDefault="004024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109522" w:history="1">
            <w:r w:rsidRPr="003B0C8D">
              <w:rPr>
                <w:rStyle w:val="Hyperlink"/>
                <w:noProof/>
              </w:rPr>
              <w:t>Introduction to the Organisation</w:t>
            </w:r>
            <w:r>
              <w:rPr>
                <w:noProof/>
                <w:webHidden/>
              </w:rPr>
              <w:tab/>
            </w:r>
            <w:r>
              <w:rPr>
                <w:noProof/>
                <w:webHidden/>
              </w:rPr>
              <w:fldChar w:fldCharType="begin"/>
            </w:r>
            <w:r>
              <w:rPr>
                <w:noProof/>
                <w:webHidden/>
              </w:rPr>
              <w:instrText xml:space="preserve"> PAGEREF _Toc225109522 \h </w:instrText>
            </w:r>
            <w:r>
              <w:rPr>
                <w:noProof/>
                <w:webHidden/>
              </w:rPr>
            </w:r>
            <w:r>
              <w:rPr>
                <w:noProof/>
                <w:webHidden/>
              </w:rPr>
              <w:fldChar w:fldCharType="separate"/>
            </w:r>
            <w:r>
              <w:rPr>
                <w:noProof/>
                <w:webHidden/>
              </w:rPr>
              <w:t>2</w:t>
            </w:r>
            <w:r>
              <w:rPr>
                <w:noProof/>
                <w:webHidden/>
              </w:rPr>
              <w:fldChar w:fldCharType="end"/>
            </w:r>
          </w:hyperlink>
        </w:p>
        <w:p w14:paraId="08A97E87" w14:textId="42B4B90B" w:rsidR="00402495" w:rsidRDefault="00402495">
          <w:pPr>
            <w:pStyle w:val="TOC1"/>
            <w:tabs>
              <w:tab w:val="right" w:leader="dot" w:pos="9016"/>
            </w:tabs>
            <w:rPr>
              <w:rFonts w:eastAsiaTheme="minorEastAsia"/>
              <w:noProof/>
              <w:lang w:eastAsia="en-GB"/>
            </w:rPr>
          </w:pPr>
          <w:hyperlink w:anchor="_Toc225109523" w:history="1">
            <w:r w:rsidRPr="003B0C8D">
              <w:rPr>
                <w:rStyle w:val="Hyperlink"/>
                <w:noProof/>
              </w:rPr>
              <w:t>Environmental and Organisational Analysis</w:t>
            </w:r>
            <w:r>
              <w:rPr>
                <w:noProof/>
                <w:webHidden/>
              </w:rPr>
              <w:tab/>
            </w:r>
            <w:r>
              <w:rPr>
                <w:noProof/>
                <w:webHidden/>
              </w:rPr>
              <w:fldChar w:fldCharType="begin"/>
            </w:r>
            <w:r>
              <w:rPr>
                <w:noProof/>
                <w:webHidden/>
              </w:rPr>
              <w:instrText xml:space="preserve"> PAGEREF _Toc225109523 \h </w:instrText>
            </w:r>
            <w:r>
              <w:rPr>
                <w:noProof/>
                <w:webHidden/>
              </w:rPr>
            </w:r>
            <w:r>
              <w:rPr>
                <w:noProof/>
                <w:webHidden/>
              </w:rPr>
              <w:fldChar w:fldCharType="separate"/>
            </w:r>
            <w:r>
              <w:rPr>
                <w:noProof/>
                <w:webHidden/>
              </w:rPr>
              <w:t>3</w:t>
            </w:r>
            <w:r>
              <w:rPr>
                <w:noProof/>
                <w:webHidden/>
              </w:rPr>
              <w:fldChar w:fldCharType="end"/>
            </w:r>
          </w:hyperlink>
        </w:p>
        <w:p w14:paraId="6967B484" w14:textId="67DC9D66" w:rsidR="00402495" w:rsidRDefault="00402495">
          <w:pPr>
            <w:pStyle w:val="TOC1"/>
            <w:tabs>
              <w:tab w:val="right" w:leader="dot" w:pos="9016"/>
            </w:tabs>
            <w:rPr>
              <w:rFonts w:eastAsiaTheme="minorEastAsia"/>
              <w:noProof/>
              <w:lang w:eastAsia="en-GB"/>
            </w:rPr>
          </w:pPr>
          <w:hyperlink w:anchor="_Toc225109524" w:history="1">
            <w:r w:rsidRPr="003B0C8D">
              <w:rPr>
                <w:rStyle w:val="Hyperlink"/>
                <w:noProof/>
              </w:rPr>
              <w:t>Review and Evaluation of Change Management Models</w:t>
            </w:r>
            <w:r>
              <w:rPr>
                <w:noProof/>
                <w:webHidden/>
              </w:rPr>
              <w:tab/>
            </w:r>
            <w:r>
              <w:rPr>
                <w:noProof/>
                <w:webHidden/>
              </w:rPr>
              <w:fldChar w:fldCharType="begin"/>
            </w:r>
            <w:r>
              <w:rPr>
                <w:noProof/>
                <w:webHidden/>
              </w:rPr>
              <w:instrText xml:space="preserve"> PAGEREF _Toc225109524 \h </w:instrText>
            </w:r>
            <w:r>
              <w:rPr>
                <w:noProof/>
                <w:webHidden/>
              </w:rPr>
            </w:r>
            <w:r>
              <w:rPr>
                <w:noProof/>
                <w:webHidden/>
              </w:rPr>
              <w:fldChar w:fldCharType="separate"/>
            </w:r>
            <w:r>
              <w:rPr>
                <w:noProof/>
                <w:webHidden/>
              </w:rPr>
              <w:t>7</w:t>
            </w:r>
            <w:r>
              <w:rPr>
                <w:noProof/>
                <w:webHidden/>
              </w:rPr>
              <w:fldChar w:fldCharType="end"/>
            </w:r>
          </w:hyperlink>
        </w:p>
        <w:p w14:paraId="4A8523FD" w14:textId="3203B150" w:rsidR="00402495" w:rsidRDefault="00402495">
          <w:pPr>
            <w:pStyle w:val="TOC1"/>
            <w:tabs>
              <w:tab w:val="right" w:leader="dot" w:pos="9016"/>
            </w:tabs>
            <w:rPr>
              <w:rFonts w:eastAsiaTheme="minorEastAsia"/>
              <w:noProof/>
              <w:lang w:eastAsia="en-GB"/>
            </w:rPr>
          </w:pPr>
          <w:hyperlink w:anchor="_Toc225109525" w:history="1">
            <w:r w:rsidRPr="003B0C8D">
              <w:rPr>
                <w:rStyle w:val="Hyperlink"/>
                <w:noProof/>
              </w:rPr>
              <w:t>Leadership and Organisational Cultures in Change</w:t>
            </w:r>
            <w:r>
              <w:rPr>
                <w:noProof/>
                <w:webHidden/>
              </w:rPr>
              <w:tab/>
            </w:r>
            <w:r>
              <w:rPr>
                <w:noProof/>
                <w:webHidden/>
              </w:rPr>
              <w:fldChar w:fldCharType="begin"/>
            </w:r>
            <w:r>
              <w:rPr>
                <w:noProof/>
                <w:webHidden/>
              </w:rPr>
              <w:instrText xml:space="preserve"> PAGEREF _Toc225109525 \h </w:instrText>
            </w:r>
            <w:r>
              <w:rPr>
                <w:noProof/>
                <w:webHidden/>
              </w:rPr>
            </w:r>
            <w:r>
              <w:rPr>
                <w:noProof/>
                <w:webHidden/>
              </w:rPr>
              <w:fldChar w:fldCharType="separate"/>
            </w:r>
            <w:r>
              <w:rPr>
                <w:noProof/>
                <w:webHidden/>
              </w:rPr>
              <w:t>9</w:t>
            </w:r>
            <w:r>
              <w:rPr>
                <w:noProof/>
                <w:webHidden/>
              </w:rPr>
              <w:fldChar w:fldCharType="end"/>
            </w:r>
          </w:hyperlink>
        </w:p>
        <w:p w14:paraId="70C27A4C" w14:textId="2C2B1907" w:rsidR="00402495" w:rsidRDefault="00402495">
          <w:pPr>
            <w:pStyle w:val="TOC1"/>
            <w:tabs>
              <w:tab w:val="right" w:leader="dot" w:pos="9016"/>
            </w:tabs>
            <w:rPr>
              <w:rFonts w:eastAsiaTheme="minorEastAsia"/>
              <w:noProof/>
              <w:lang w:eastAsia="en-GB"/>
            </w:rPr>
          </w:pPr>
          <w:hyperlink w:anchor="_Toc225109526" w:history="1">
            <w:r w:rsidRPr="003B0C8D">
              <w:rPr>
                <w:rStyle w:val="Hyperlink"/>
                <w:noProof/>
              </w:rPr>
              <w:t>Proposed Strategic Change Management Plan</w:t>
            </w:r>
            <w:r>
              <w:rPr>
                <w:noProof/>
                <w:webHidden/>
              </w:rPr>
              <w:tab/>
            </w:r>
            <w:r>
              <w:rPr>
                <w:noProof/>
                <w:webHidden/>
              </w:rPr>
              <w:fldChar w:fldCharType="begin"/>
            </w:r>
            <w:r>
              <w:rPr>
                <w:noProof/>
                <w:webHidden/>
              </w:rPr>
              <w:instrText xml:space="preserve"> PAGEREF _Toc225109526 \h </w:instrText>
            </w:r>
            <w:r>
              <w:rPr>
                <w:noProof/>
                <w:webHidden/>
              </w:rPr>
            </w:r>
            <w:r>
              <w:rPr>
                <w:noProof/>
                <w:webHidden/>
              </w:rPr>
              <w:fldChar w:fldCharType="separate"/>
            </w:r>
            <w:r>
              <w:rPr>
                <w:noProof/>
                <w:webHidden/>
              </w:rPr>
              <w:t>11</w:t>
            </w:r>
            <w:r>
              <w:rPr>
                <w:noProof/>
                <w:webHidden/>
              </w:rPr>
              <w:fldChar w:fldCharType="end"/>
            </w:r>
          </w:hyperlink>
        </w:p>
        <w:p w14:paraId="6FDAAA32" w14:textId="24EB3809" w:rsidR="00402495" w:rsidRDefault="00402495">
          <w:pPr>
            <w:pStyle w:val="TOC1"/>
            <w:tabs>
              <w:tab w:val="right" w:leader="dot" w:pos="9016"/>
            </w:tabs>
            <w:rPr>
              <w:rFonts w:eastAsiaTheme="minorEastAsia"/>
              <w:noProof/>
              <w:lang w:eastAsia="en-GB"/>
            </w:rPr>
          </w:pPr>
          <w:hyperlink w:anchor="_Toc225109527" w:history="1">
            <w:r w:rsidRPr="003B0C8D">
              <w:rPr>
                <w:rStyle w:val="Hyperlink"/>
                <w:noProof/>
              </w:rPr>
              <w:t>Discussion and Critical Reflection</w:t>
            </w:r>
            <w:r>
              <w:rPr>
                <w:noProof/>
                <w:webHidden/>
              </w:rPr>
              <w:tab/>
            </w:r>
            <w:r>
              <w:rPr>
                <w:noProof/>
                <w:webHidden/>
              </w:rPr>
              <w:fldChar w:fldCharType="begin"/>
            </w:r>
            <w:r>
              <w:rPr>
                <w:noProof/>
                <w:webHidden/>
              </w:rPr>
              <w:instrText xml:space="preserve"> PAGEREF _Toc225109527 \h </w:instrText>
            </w:r>
            <w:r>
              <w:rPr>
                <w:noProof/>
                <w:webHidden/>
              </w:rPr>
            </w:r>
            <w:r>
              <w:rPr>
                <w:noProof/>
                <w:webHidden/>
              </w:rPr>
              <w:fldChar w:fldCharType="separate"/>
            </w:r>
            <w:r>
              <w:rPr>
                <w:noProof/>
                <w:webHidden/>
              </w:rPr>
              <w:t>14</w:t>
            </w:r>
            <w:r>
              <w:rPr>
                <w:noProof/>
                <w:webHidden/>
              </w:rPr>
              <w:fldChar w:fldCharType="end"/>
            </w:r>
          </w:hyperlink>
        </w:p>
        <w:p w14:paraId="32C03248" w14:textId="7490E858" w:rsidR="00402495" w:rsidRDefault="00402495">
          <w:pPr>
            <w:pStyle w:val="TOC1"/>
            <w:tabs>
              <w:tab w:val="right" w:leader="dot" w:pos="9016"/>
            </w:tabs>
            <w:rPr>
              <w:rFonts w:eastAsiaTheme="minorEastAsia"/>
              <w:noProof/>
              <w:lang w:eastAsia="en-GB"/>
            </w:rPr>
          </w:pPr>
          <w:hyperlink w:anchor="_Toc225109528" w:history="1">
            <w:r w:rsidRPr="003B0C8D">
              <w:rPr>
                <w:rStyle w:val="Hyperlink"/>
                <w:noProof/>
              </w:rPr>
              <w:t>Conclusion</w:t>
            </w:r>
            <w:r>
              <w:rPr>
                <w:noProof/>
                <w:webHidden/>
              </w:rPr>
              <w:tab/>
            </w:r>
            <w:r>
              <w:rPr>
                <w:noProof/>
                <w:webHidden/>
              </w:rPr>
              <w:fldChar w:fldCharType="begin"/>
            </w:r>
            <w:r>
              <w:rPr>
                <w:noProof/>
                <w:webHidden/>
              </w:rPr>
              <w:instrText xml:space="preserve"> PAGEREF _Toc225109528 \h </w:instrText>
            </w:r>
            <w:r>
              <w:rPr>
                <w:noProof/>
                <w:webHidden/>
              </w:rPr>
            </w:r>
            <w:r>
              <w:rPr>
                <w:noProof/>
                <w:webHidden/>
              </w:rPr>
              <w:fldChar w:fldCharType="separate"/>
            </w:r>
            <w:r>
              <w:rPr>
                <w:noProof/>
                <w:webHidden/>
              </w:rPr>
              <w:t>15</w:t>
            </w:r>
            <w:r>
              <w:rPr>
                <w:noProof/>
                <w:webHidden/>
              </w:rPr>
              <w:fldChar w:fldCharType="end"/>
            </w:r>
          </w:hyperlink>
        </w:p>
        <w:p w14:paraId="1255C036" w14:textId="7093F86B" w:rsidR="00402495" w:rsidRDefault="00402495">
          <w:pPr>
            <w:pStyle w:val="TOC1"/>
            <w:tabs>
              <w:tab w:val="right" w:leader="dot" w:pos="9016"/>
            </w:tabs>
            <w:rPr>
              <w:rFonts w:eastAsiaTheme="minorEastAsia"/>
              <w:noProof/>
              <w:lang w:eastAsia="en-GB"/>
            </w:rPr>
          </w:pPr>
          <w:hyperlink w:anchor="_Toc225109529" w:history="1">
            <w:r w:rsidRPr="003B0C8D">
              <w:rPr>
                <w:rStyle w:val="Hyperlink"/>
                <w:noProof/>
              </w:rPr>
              <w:t>references</w:t>
            </w:r>
            <w:r>
              <w:rPr>
                <w:noProof/>
                <w:webHidden/>
              </w:rPr>
              <w:tab/>
            </w:r>
            <w:r>
              <w:rPr>
                <w:noProof/>
                <w:webHidden/>
              </w:rPr>
              <w:fldChar w:fldCharType="begin"/>
            </w:r>
            <w:r>
              <w:rPr>
                <w:noProof/>
                <w:webHidden/>
              </w:rPr>
              <w:instrText xml:space="preserve"> PAGEREF _Toc225109529 \h </w:instrText>
            </w:r>
            <w:r>
              <w:rPr>
                <w:noProof/>
                <w:webHidden/>
              </w:rPr>
            </w:r>
            <w:r>
              <w:rPr>
                <w:noProof/>
                <w:webHidden/>
              </w:rPr>
              <w:fldChar w:fldCharType="separate"/>
            </w:r>
            <w:r>
              <w:rPr>
                <w:noProof/>
                <w:webHidden/>
              </w:rPr>
              <w:t>16</w:t>
            </w:r>
            <w:r>
              <w:rPr>
                <w:noProof/>
                <w:webHidden/>
              </w:rPr>
              <w:fldChar w:fldCharType="end"/>
            </w:r>
          </w:hyperlink>
        </w:p>
        <w:p w14:paraId="550CF118" w14:textId="77AE0B7E" w:rsidR="00402495" w:rsidRDefault="00402495">
          <w:r>
            <w:rPr>
              <w:b/>
              <w:bCs/>
            </w:rPr>
            <w:fldChar w:fldCharType="end"/>
          </w:r>
        </w:p>
      </w:sdtContent>
    </w:sdt>
    <w:p w14:paraId="1342A06C" w14:textId="2A3B94CB" w:rsidR="008D60D6" w:rsidRDefault="008D60D6" w:rsidP="00402495">
      <w:pPr>
        <w:pStyle w:val="TOC1"/>
        <w:tabs>
          <w:tab w:val="right" w:leader="dot" w:pos="9016"/>
        </w:tabs>
        <w:rPr>
          <w:rFonts w:eastAsiaTheme="minorEastAsia"/>
          <w:noProof/>
          <w:lang w:eastAsia="en-GB"/>
        </w:rPr>
      </w:pPr>
    </w:p>
    <w:p w14:paraId="1A87F036" w14:textId="7E111630" w:rsidR="008B76E5" w:rsidRDefault="008D60D6">
      <w:pPr>
        <w:rPr>
          <w:u w:val="single"/>
        </w:rPr>
      </w:pPr>
      <w:r>
        <w:rPr>
          <w:u w:val="single"/>
        </w:rPr>
        <w:fldChar w:fldCharType="end"/>
      </w:r>
    </w:p>
    <w:p w14:paraId="58703E0C" w14:textId="081379EE" w:rsidR="008B76E5" w:rsidRDefault="008B76E5" w:rsidP="008B76E5">
      <w:pPr>
        <w:jc w:val="center"/>
        <w:rPr>
          <w:u w:val="single"/>
        </w:rPr>
      </w:pPr>
      <w:r>
        <w:rPr>
          <w:u w:val="single"/>
        </w:rPr>
        <w:br w:type="page"/>
      </w:r>
    </w:p>
    <w:p w14:paraId="58306AB3" w14:textId="06FAA3F2" w:rsidR="008B76E5" w:rsidRPr="008B76E5" w:rsidRDefault="008B76E5" w:rsidP="00246652">
      <w:pPr>
        <w:pStyle w:val="Heading1"/>
      </w:pPr>
      <w:bookmarkStart w:id="0" w:name="_Toc225038479"/>
      <w:bookmarkStart w:id="1" w:name="_Toc225109522"/>
      <w:r w:rsidRPr="008B76E5">
        <w:lastRenderedPageBreak/>
        <w:t>Introduction to the Organisation</w:t>
      </w:r>
      <w:bookmarkEnd w:id="0"/>
      <w:bookmarkEnd w:id="1"/>
    </w:p>
    <w:p w14:paraId="3D9C51C3" w14:textId="27ED5DB3" w:rsidR="00BD346C" w:rsidRDefault="00DA4F89">
      <w:r w:rsidRPr="00DA4F89">
        <w:t xml:space="preserve">NVIDIA Corporation is a leading multinational technology company operating within the semiconductor and artificial intelligence (AI) industry. Founded in 1993 and headquartered in Santa Clara, California, NVIDIA initially specialised in the development of graphics processing units (GPUs) for gaming and visual computing. Over time, the organisation has strategically evolved into a dominant player in high-performance computing, AI, and data centre solutions, positioning itself at the forefront of digital transformation and innovation </w:t>
      </w:r>
      <w:r w:rsidR="005D3B91" w:rsidRPr="005D3B91">
        <w:t>(Nvidia, 2025)</w:t>
      </w:r>
      <w:r w:rsidR="005D3B91">
        <w:t>.</w:t>
      </w:r>
    </w:p>
    <w:p w14:paraId="2EB98AEC" w14:textId="23F4CE13" w:rsidR="00DA4F89" w:rsidRPr="00DA4F89" w:rsidRDefault="00DA4F89" w:rsidP="00DA4F89">
      <w:r w:rsidRPr="00DA4F89">
        <w:t xml:space="preserve">The semiconductor industry in which NVIDIA operates is highly dynamic and innovation-driven, characterised by rapid technological advancements, intense global competition, and increasing demand for computing power. Key industry trends include the rise of AI, machine learning, cloud computing, and big data analytics. NVIDIA has successfully leveraged these trends by expanding its product portfolio beyond gaming GPUs into data centres, autonomous vehicles, and AI-powered applications. This diversification has strengthened its competitive advantage and market leadership </w:t>
      </w:r>
      <w:r w:rsidR="005D3B91" w:rsidRPr="005D3B91">
        <w:t>(Cognativ.com, 2025)</w:t>
      </w:r>
      <w:r w:rsidR="005D3B91">
        <w:t>.</w:t>
      </w:r>
    </w:p>
    <w:p w14:paraId="72BCE147" w14:textId="7BD12DCD" w:rsidR="00DA4F89" w:rsidRDefault="00DA4F89" w:rsidP="00DA4F89">
      <w:r w:rsidRPr="00DA4F89">
        <w:t xml:space="preserve">NVIDIA’s mission is centred on solving the world’s most challenging computational problems through accelerated computing. Its vision reflects a commitment to advancing AI technologies that can transform industries such as healthcare, automotive, finance, and entertainment. The company’s strategic focus on innovation is evident in its continuous investment in research and development, enabling it to maintain technological superiority and adapt to evolving market demands </w:t>
      </w:r>
      <w:r w:rsidR="008460AE" w:rsidRPr="008460AE">
        <w:t>(Company Overview, 2024)</w:t>
      </w:r>
      <w:r w:rsidRPr="00DA4F89">
        <w:t>. Furthermore, NVIDIA’s development of platforms such as CUDA has created an ecosystem that supports developers and organisations in building AI-driven solutions, reinforcing its influence across multiple sectors.</w:t>
      </w:r>
    </w:p>
    <w:p w14:paraId="1C854CC6" w14:textId="64967482" w:rsidR="008460AE" w:rsidRPr="008460AE" w:rsidRDefault="008460AE" w:rsidP="008460AE">
      <w:r w:rsidRPr="008460AE">
        <w:t>The organisation’s recent growth has been significantly driven by the global surge in AI adoption. NVIDIA’s GPUs are widely used in training and deploying AI models, making the company a critical enabler of modern digital infrastructure. This has positioned NVIDIA as a key stakeholder in shaping the future of AI and digital transformation. However, the company also faces challenges such as supply chain disruptions, geopolitical tensions, and increasing competition from firms such as AMD and Intel, which necessitate continuous strategic adaptation</w:t>
      </w:r>
      <w:r w:rsidR="008B76E5">
        <w:t>.</w:t>
      </w:r>
    </w:p>
    <w:p w14:paraId="40DF0FDC" w14:textId="77777777" w:rsidR="008460AE" w:rsidRDefault="008460AE" w:rsidP="008460AE">
      <w:r w:rsidRPr="008460AE">
        <w:t xml:space="preserve">The rationale for selecting NVIDIA as the focus of this report is based on its relevance to contemporary organisational change and innovation. As a company operating in a rapidly evolving technological environment, NVIDIA provides a compelling case for analysing how organisations respond to external pressures such as digital disruption, AI advancements, and global competition. Additionally, its transition from a gaming-focused company to an AI and data-centric organisation highlights significant strategic </w:t>
      </w:r>
      <w:r w:rsidRPr="008460AE">
        <w:lastRenderedPageBreak/>
        <w:t>change, making it highly suitable for examining change management theories and leadership approaches in practice.</w:t>
      </w:r>
    </w:p>
    <w:p w14:paraId="5E817834" w14:textId="77777777" w:rsidR="008B76E5" w:rsidRPr="008460AE" w:rsidRDefault="008B76E5" w:rsidP="008460AE"/>
    <w:p w14:paraId="409B49AD" w14:textId="2E24D121" w:rsidR="008460AE" w:rsidRDefault="008B76E5" w:rsidP="00246652">
      <w:pPr>
        <w:pStyle w:val="Heading1"/>
      </w:pPr>
      <w:bookmarkStart w:id="2" w:name="_Toc225038480"/>
      <w:bookmarkStart w:id="3" w:name="_Toc225109523"/>
      <w:r w:rsidRPr="008B76E5">
        <w:t>Environmental and Organisational Analysis</w:t>
      </w:r>
      <w:bookmarkEnd w:id="2"/>
      <w:bookmarkEnd w:id="3"/>
    </w:p>
    <w:p w14:paraId="48140B0A" w14:textId="5D9D905F" w:rsidR="00D96631" w:rsidRPr="00D96631" w:rsidRDefault="00D96631" w:rsidP="00D96631">
      <w:pPr>
        <w:pStyle w:val="NoSpacing"/>
      </w:pPr>
      <w:r w:rsidRPr="00D96631">
        <w:t>Table 1: PESTLE Analysis</w:t>
      </w:r>
    </w:p>
    <w:tbl>
      <w:tblPr>
        <w:tblStyle w:val="TableGrid"/>
        <w:tblW w:w="0" w:type="auto"/>
        <w:tblLook w:val="04A0" w:firstRow="1" w:lastRow="0" w:firstColumn="1" w:lastColumn="0" w:noHBand="0" w:noVBand="1"/>
      </w:tblPr>
      <w:tblGrid>
        <w:gridCol w:w="2254"/>
        <w:gridCol w:w="2254"/>
        <w:gridCol w:w="2254"/>
        <w:gridCol w:w="2254"/>
      </w:tblGrid>
      <w:tr w:rsidR="00701387" w14:paraId="75298F1F" w14:textId="77777777" w:rsidTr="00092D9B">
        <w:tc>
          <w:tcPr>
            <w:tcW w:w="2254" w:type="dxa"/>
          </w:tcPr>
          <w:p w14:paraId="77A99BE8" w14:textId="5188B9A0" w:rsidR="00701387" w:rsidRDefault="00701387">
            <w:r w:rsidRPr="00701387">
              <w:t>Factor</w:t>
            </w:r>
          </w:p>
        </w:tc>
        <w:tc>
          <w:tcPr>
            <w:tcW w:w="2254" w:type="dxa"/>
          </w:tcPr>
          <w:p w14:paraId="40CF0120" w14:textId="65AF08C3" w:rsidR="00701387" w:rsidRDefault="00701387">
            <w:r w:rsidRPr="00701387">
              <w:t xml:space="preserve">Key </w:t>
            </w:r>
            <w:r w:rsidR="00016AC6">
              <w:t>point</w:t>
            </w:r>
            <w:r w:rsidR="005517DE">
              <w:t>/</w:t>
            </w:r>
            <w:r w:rsidR="005517DE" w:rsidRPr="005517DE">
              <w:t>Issues</w:t>
            </w:r>
          </w:p>
        </w:tc>
        <w:tc>
          <w:tcPr>
            <w:tcW w:w="2254" w:type="dxa"/>
          </w:tcPr>
          <w:p w14:paraId="606B0D8D" w14:textId="12E7E15F" w:rsidR="00701387" w:rsidRDefault="00701387">
            <w:r w:rsidRPr="00701387">
              <w:t>Impact on NVIDIA</w:t>
            </w:r>
          </w:p>
        </w:tc>
        <w:tc>
          <w:tcPr>
            <w:tcW w:w="2254" w:type="dxa"/>
          </w:tcPr>
          <w:p w14:paraId="05F3CDC4" w14:textId="3EC6F097" w:rsidR="00701387" w:rsidRDefault="00701387">
            <w:r w:rsidRPr="00701387">
              <w:t>Critical Evaluation</w:t>
            </w:r>
          </w:p>
        </w:tc>
      </w:tr>
      <w:tr w:rsidR="00092D9B" w14:paraId="40DC9B1A" w14:textId="77777777" w:rsidTr="00092D9B">
        <w:tc>
          <w:tcPr>
            <w:tcW w:w="2254" w:type="dxa"/>
          </w:tcPr>
          <w:p w14:paraId="282123A4" w14:textId="2779D02B" w:rsidR="00092D9B" w:rsidRDefault="00701387">
            <w:r w:rsidRPr="00701387">
              <w:t>Political</w:t>
            </w:r>
          </w:p>
        </w:tc>
        <w:tc>
          <w:tcPr>
            <w:tcW w:w="2254" w:type="dxa"/>
          </w:tcPr>
          <w:p w14:paraId="1A6108B3" w14:textId="5236015D" w:rsidR="00092D9B" w:rsidRDefault="00186AA8">
            <w:r w:rsidRPr="00186AA8">
              <w:t>NVIDIA is affected by geopolitical tensions, which have resulted in export</w:t>
            </w:r>
            <w:r>
              <w:t>/import</w:t>
            </w:r>
            <w:r w:rsidRPr="00186AA8">
              <w:t xml:space="preserve"> </w:t>
            </w:r>
            <w:r>
              <w:t>cost increase</w:t>
            </w:r>
            <w:r w:rsidRPr="00186AA8">
              <w:t xml:space="preserve"> on advanced semiconductor technologies.</w:t>
            </w:r>
            <w:r>
              <w:t xml:space="preserve"> As well as </w:t>
            </w:r>
            <w:r w:rsidR="00964113">
              <w:t xml:space="preserve">the </w:t>
            </w:r>
            <w:r w:rsidR="00964113" w:rsidRPr="00964113">
              <w:t>US–China trade restrictions</w:t>
            </w:r>
            <w:r w:rsidR="00016AC6">
              <w:t xml:space="preserve"> (who are their biggest buyers)</w:t>
            </w:r>
            <w:r w:rsidR="00D03B73">
              <w:t>.</w:t>
            </w:r>
          </w:p>
        </w:tc>
        <w:tc>
          <w:tcPr>
            <w:tcW w:w="2254" w:type="dxa"/>
          </w:tcPr>
          <w:p w14:paraId="75DC0F16" w14:textId="77777777" w:rsidR="00092D9B" w:rsidRDefault="00964113">
            <w:r w:rsidRPr="00964113">
              <w:t>These regulations limit NVIDIA’s ability to access key international markets and create uncertainty in global operations</w:t>
            </w:r>
          </w:p>
          <w:p w14:paraId="17977566" w14:textId="0DA16549" w:rsidR="00D03B73" w:rsidRDefault="00D03B73">
            <w:r w:rsidRPr="00D03B73">
              <w:t>(Ravi, 2023)</w:t>
            </w:r>
            <w:r>
              <w:t>.</w:t>
            </w:r>
          </w:p>
        </w:tc>
        <w:tc>
          <w:tcPr>
            <w:tcW w:w="2254" w:type="dxa"/>
          </w:tcPr>
          <w:p w14:paraId="287F90A4" w14:textId="5AA80113" w:rsidR="00092D9B" w:rsidRDefault="00016AC6">
            <w:r w:rsidRPr="00016AC6">
              <w:t>High dependency on global markets increases vulnerability</w:t>
            </w:r>
            <w:r w:rsidR="005517DE">
              <w:t>.</w:t>
            </w:r>
          </w:p>
        </w:tc>
      </w:tr>
      <w:tr w:rsidR="00092D9B" w14:paraId="679831E9" w14:textId="77777777" w:rsidTr="00092D9B">
        <w:tc>
          <w:tcPr>
            <w:tcW w:w="2254" w:type="dxa"/>
          </w:tcPr>
          <w:p w14:paraId="6A36FEC6" w14:textId="786E7767" w:rsidR="00092D9B" w:rsidRDefault="00701387">
            <w:r w:rsidRPr="00701387">
              <w:t>Economic</w:t>
            </w:r>
          </w:p>
        </w:tc>
        <w:tc>
          <w:tcPr>
            <w:tcW w:w="2254" w:type="dxa"/>
          </w:tcPr>
          <w:p w14:paraId="5AD8D2F6" w14:textId="548C41D5" w:rsidR="00092D9B" w:rsidRDefault="00D03B73">
            <w:r w:rsidRPr="00D03B73">
              <w:t>the semiconductor sector is highly cyclical, but the</w:t>
            </w:r>
            <w:r>
              <w:t xml:space="preserve">re is a continuously </w:t>
            </w:r>
            <w:r w:rsidRPr="00D03B73">
              <w:t>increasing demand for AI, cloud computing, and high-performance computing</w:t>
            </w:r>
            <w:r>
              <w:t>.</w:t>
            </w:r>
          </w:p>
        </w:tc>
        <w:tc>
          <w:tcPr>
            <w:tcW w:w="2254" w:type="dxa"/>
          </w:tcPr>
          <w:p w14:paraId="293D5A80" w14:textId="77777777" w:rsidR="00092D9B" w:rsidRDefault="00D03B73">
            <w:r>
              <w:t xml:space="preserve">This </w:t>
            </w:r>
            <w:r w:rsidRPr="00D03B73">
              <w:t>has driven sustained growth, benefiting NVIDIA’s market position</w:t>
            </w:r>
            <w:r>
              <w:t>.</w:t>
            </w:r>
          </w:p>
          <w:p w14:paraId="4B2209D3" w14:textId="033F78F9" w:rsidR="00D03B73" w:rsidRDefault="00016AC6">
            <w:r w:rsidRPr="00016AC6">
              <w:t>(Mapping the semiconductor value chain, 2025)</w:t>
            </w:r>
            <w:r w:rsidR="005517DE">
              <w:t>.</w:t>
            </w:r>
          </w:p>
        </w:tc>
        <w:tc>
          <w:tcPr>
            <w:tcW w:w="2254" w:type="dxa"/>
          </w:tcPr>
          <w:p w14:paraId="73DFB10D" w14:textId="3510A573" w:rsidR="00092D9B" w:rsidRDefault="00D03B73">
            <w:r w:rsidRPr="00D03B73">
              <w:t>Over-reliance on</w:t>
            </w:r>
            <w:r>
              <w:t xml:space="preserve"> the</w:t>
            </w:r>
            <w:r w:rsidRPr="00D03B73">
              <w:t xml:space="preserve"> AI boom may create long-term risk if demand stabilises</w:t>
            </w:r>
            <w:r>
              <w:t xml:space="preserve"> and </w:t>
            </w:r>
            <w:r w:rsidR="00016AC6" w:rsidRPr="00016AC6">
              <w:t>plateau</w:t>
            </w:r>
            <w:r w:rsidR="005517DE">
              <w:t>.</w:t>
            </w:r>
          </w:p>
        </w:tc>
      </w:tr>
      <w:tr w:rsidR="00092D9B" w14:paraId="51A44FE9" w14:textId="77777777" w:rsidTr="00092D9B">
        <w:tc>
          <w:tcPr>
            <w:tcW w:w="2254" w:type="dxa"/>
          </w:tcPr>
          <w:p w14:paraId="54BFB0F4" w14:textId="765D817A" w:rsidR="00092D9B" w:rsidRDefault="00701387">
            <w:r w:rsidRPr="00701387">
              <w:t>Social</w:t>
            </w:r>
          </w:p>
        </w:tc>
        <w:tc>
          <w:tcPr>
            <w:tcW w:w="2254" w:type="dxa"/>
          </w:tcPr>
          <w:p w14:paraId="58F45D67" w14:textId="53E7EB6C" w:rsidR="00092D9B" w:rsidRDefault="00016AC6">
            <w:r w:rsidRPr="00016AC6">
              <w:t>the growing reliance on digital technologies and AI-enabled services, which has accelerated demand for data processing and computing power</w:t>
            </w:r>
            <w:r w:rsidR="001C70C5">
              <w:t xml:space="preserve"> has increased their market but has also r</w:t>
            </w:r>
            <w:r w:rsidR="001C70C5" w:rsidRPr="001C70C5">
              <w:t>is</w:t>
            </w:r>
            <w:r w:rsidR="001C70C5">
              <w:t>en</w:t>
            </w:r>
            <w:r w:rsidR="001C70C5" w:rsidRPr="001C70C5">
              <w:t xml:space="preserve"> concerns over AI ethics and job displacement</w:t>
            </w:r>
            <w:r w:rsidR="005517DE">
              <w:t>.</w:t>
            </w:r>
          </w:p>
        </w:tc>
        <w:tc>
          <w:tcPr>
            <w:tcW w:w="2254" w:type="dxa"/>
          </w:tcPr>
          <w:p w14:paraId="31B00D50" w14:textId="32F12E53" w:rsidR="00092D9B" w:rsidRPr="001C70C5" w:rsidRDefault="001C70C5">
            <w:r w:rsidRPr="001C70C5">
              <w:t>Pressure to adopt responsible AI practices</w:t>
            </w:r>
            <w:r>
              <w:t>.</w:t>
            </w:r>
          </w:p>
        </w:tc>
        <w:tc>
          <w:tcPr>
            <w:tcW w:w="2254" w:type="dxa"/>
          </w:tcPr>
          <w:p w14:paraId="49FB882F" w14:textId="2771CD91" w:rsidR="00092D9B" w:rsidRDefault="001C70C5">
            <w:r w:rsidRPr="001C70C5">
              <w:t>Failure to address ethical concerns could damage brand and stakeholder trust</w:t>
            </w:r>
            <w:r w:rsidR="005517DE">
              <w:t>.</w:t>
            </w:r>
          </w:p>
        </w:tc>
      </w:tr>
      <w:tr w:rsidR="00092D9B" w14:paraId="1BF975E6" w14:textId="77777777" w:rsidTr="00092D9B">
        <w:tc>
          <w:tcPr>
            <w:tcW w:w="2254" w:type="dxa"/>
          </w:tcPr>
          <w:p w14:paraId="279A7982" w14:textId="68E0FB36" w:rsidR="00092D9B" w:rsidRDefault="00701387">
            <w:r w:rsidRPr="00701387">
              <w:lastRenderedPageBreak/>
              <w:t>Technological</w:t>
            </w:r>
          </w:p>
        </w:tc>
        <w:tc>
          <w:tcPr>
            <w:tcW w:w="2254" w:type="dxa"/>
          </w:tcPr>
          <w:p w14:paraId="6C343E39" w14:textId="00F20402" w:rsidR="00092D9B" w:rsidRDefault="001C70C5">
            <w:r>
              <w:t>C</w:t>
            </w:r>
            <w:r w:rsidRPr="001C70C5">
              <w:t>ontinuous advancements in AI, machine learning, and parallel computing create both opportunities and risks.</w:t>
            </w:r>
          </w:p>
        </w:tc>
        <w:tc>
          <w:tcPr>
            <w:tcW w:w="2254" w:type="dxa"/>
          </w:tcPr>
          <w:p w14:paraId="2B441448" w14:textId="00CF3005" w:rsidR="00092D9B" w:rsidRDefault="001C70C5">
            <w:r w:rsidRPr="001C70C5">
              <w:t>Maintains competitive advantage but requires heavy investment</w:t>
            </w:r>
            <w:r>
              <w:t xml:space="preserve"> and oversite</w:t>
            </w:r>
            <w:r w:rsidR="005517DE">
              <w:t>.</w:t>
            </w:r>
          </w:p>
        </w:tc>
        <w:tc>
          <w:tcPr>
            <w:tcW w:w="2254" w:type="dxa"/>
          </w:tcPr>
          <w:p w14:paraId="6DCAE67F" w14:textId="6963F37E" w:rsidR="00092D9B" w:rsidRDefault="005517DE">
            <w:r w:rsidRPr="005517DE">
              <w:t xml:space="preserve">NVIDIA </w:t>
            </w:r>
            <w:r>
              <w:t xml:space="preserve">is forced to </w:t>
            </w:r>
            <w:r w:rsidRPr="005517DE">
              <w:t>invest heavily in innovation to maintain its leadership in GPU architecture.</w:t>
            </w:r>
          </w:p>
        </w:tc>
      </w:tr>
      <w:tr w:rsidR="00092D9B" w14:paraId="6C408BCB" w14:textId="77777777" w:rsidTr="00092D9B">
        <w:tc>
          <w:tcPr>
            <w:tcW w:w="2254" w:type="dxa"/>
          </w:tcPr>
          <w:p w14:paraId="4C2CB16D" w14:textId="7D5C4EB9" w:rsidR="00092D9B" w:rsidRDefault="00701387">
            <w:r w:rsidRPr="00701387">
              <w:t>Legal</w:t>
            </w:r>
          </w:p>
        </w:tc>
        <w:tc>
          <w:tcPr>
            <w:tcW w:w="2254" w:type="dxa"/>
          </w:tcPr>
          <w:p w14:paraId="699F7744" w14:textId="1004B2AB" w:rsidR="00092D9B" w:rsidRDefault="005517DE">
            <w:r>
              <w:t xml:space="preserve">The business’ </w:t>
            </w:r>
            <w:r w:rsidRPr="005517DE">
              <w:t>compliance with international trade laws, intellectual property rights, and data protection regulations</w:t>
            </w:r>
            <w:r>
              <w:t>.</w:t>
            </w:r>
          </w:p>
        </w:tc>
        <w:tc>
          <w:tcPr>
            <w:tcW w:w="2254" w:type="dxa"/>
          </w:tcPr>
          <w:p w14:paraId="25AF4F49" w14:textId="1CDAC6AE" w:rsidR="00092D9B" w:rsidRDefault="005517DE">
            <w:r w:rsidRPr="005517DE">
              <w:t>Compliance costs and operational constraints</w:t>
            </w:r>
            <w:r>
              <w:t>.</w:t>
            </w:r>
          </w:p>
        </w:tc>
        <w:tc>
          <w:tcPr>
            <w:tcW w:w="2254" w:type="dxa"/>
          </w:tcPr>
          <w:p w14:paraId="5181665B" w14:textId="4E089899" w:rsidR="00092D9B" w:rsidRDefault="005517DE">
            <w:r w:rsidRPr="005517DE">
              <w:t>Regulatory complexity may slow expansion into new markets</w:t>
            </w:r>
            <w:r>
              <w:t>.</w:t>
            </w:r>
          </w:p>
        </w:tc>
      </w:tr>
      <w:tr w:rsidR="00092D9B" w14:paraId="3847AF84" w14:textId="77777777" w:rsidTr="00092D9B">
        <w:tc>
          <w:tcPr>
            <w:tcW w:w="2254" w:type="dxa"/>
          </w:tcPr>
          <w:p w14:paraId="033FE9AE" w14:textId="5EAE8361" w:rsidR="00092D9B" w:rsidRDefault="00701387">
            <w:r w:rsidRPr="00701387">
              <w:t>Environmental</w:t>
            </w:r>
          </w:p>
        </w:tc>
        <w:tc>
          <w:tcPr>
            <w:tcW w:w="2254" w:type="dxa"/>
          </w:tcPr>
          <w:p w14:paraId="45F4604C" w14:textId="77CF3846" w:rsidR="00092D9B" w:rsidRDefault="005517DE">
            <w:r>
              <w:t>I</w:t>
            </w:r>
            <w:r w:rsidRPr="005517DE">
              <w:t>ncreasing concerns around energy consumption in data centres</w:t>
            </w:r>
            <w:r>
              <w:t>.</w:t>
            </w:r>
          </w:p>
        </w:tc>
        <w:tc>
          <w:tcPr>
            <w:tcW w:w="2254" w:type="dxa"/>
          </w:tcPr>
          <w:p w14:paraId="4B1F2445" w14:textId="218B99F5" w:rsidR="00092D9B" w:rsidRDefault="005517DE">
            <w:r w:rsidRPr="005517DE">
              <w:t>Pressure to develop sustainable solutions</w:t>
            </w:r>
            <w:r>
              <w:t>.</w:t>
            </w:r>
          </w:p>
        </w:tc>
        <w:tc>
          <w:tcPr>
            <w:tcW w:w="2254" w:type="dxa"/>
          </w:tcPr>
          <w:p w14:paraId="04BF41B0" w14:textId="1D8EB6D6" w:rsidR="00092D9B" w:rsidRDefault="005517DE">
            <w:r w:rsidRPr="005517DE">
              <w:t>Sustainability becoming a competitive differentiator</w:t>
            </w:r>
            <w:r>
              <w:t xml:space="preserve"> for the company</w:t>
            </w:r>
            <w:r w:rsidR="0010407F">
              <w:t>.</w:t>
            </w:r>
          </w:p>
        </w:tc>
      </w:tr>
    </w:tbl>
    <w:p w14:paraId="39A50D71" w14:textId="55EB5E42" w:rsidR="008B76E5" w:rsidRDefault="008B76E5"/>
    <w:p w14:paraId="4D958EED" w14:textId="04F05E8E" w:rsidR="00D96631" w:rsidRDefault="00D96631" w:rsidP="00D96631">
      <w:pPr>
        <w:pStyle w:val="NoSpacing"/>
      </w:pPr>
      <w:r w:rsidRPr="00D96631">
        <w:t>Table 2: Porter’s Five Forces</w:t>
      </w:r>
    </w:p>
    <w:tbl>
      <w:tblPr>
        <w:tblStyle w:val="TableGrid"/>
        <w:tblW w:w="0" w:type="auto"/>
        <w:tblLook w:val="04A0" w:firstRow="1" w:lastRow="0" w:firstColumn="1" w:lastColumn="0" w:noHBand="0" w:noVBand="1"/>
      </w:tblPr>
      <w:tblGrid>
        <w:gridCol w:w="3005"/>
        <w:gridCol w:w="3005"/>
        <w:gridCol w:w="3006"/>
      </w:tblGrid>
      <w:tr w:rsidR="005517DE" w14:paraId="69B8E996" w14:textId="77777777" w:rsidTr="005517DE">
        <w:tc>
          <w:tcPr>
            <w:tcW w:w="3005" w:type="dxa"/>
          </w:tcPr>
          <w:p w14:paraId="23CC094C" w14:textId="0D954999" w:rsidR="005517DE" w:rsidRDefault="0010407F">
            <w:r w:rsidRPr="0010407F">
              <w:t>Force</w:t>
            </w:r>
          </w:p>
        </w:tc>
        <w:tc>
          <w:tcPr>
            <w:tcW w:w="3005" w:type="dxa"/>
          </w:tcPr>
          <w:p w14:paraId="658D6094" w14:textId="1BF1E121" w:rsidR="005517DE" w:rsidRDefault="0010407F">
            <w:r w:rsidRPr="0010407F">
              <w:t>Level</w:t>
            </w:r>
          </w:p>
        </w:tc>
        <w:tc>
          <w:tcPr>
            <w:tcW w:w="3006" w:type="dxa"/>
          </w:tcPr>
          <w:p w14:paraId="7BBF01E7" w14:textId="46F4D004" w:rsidR="005517DE" w:rsidRDefault="0010407F">
            <w:r>
              <w:t>Why</w:t>
            </w:r>
          </w:p>
        </w:tc>
      </w:tr>
      <w:tr w:rsidR="005517DE" w14:paraId="369F0E8B" w14:textId="77777777" w:rsidTr="005517DE">
        <w:tc>
          <w:tcPr>
            <w:tcW w:w="3005" w:type="dxa"/>
          </w:tcPr>
          <w:p w14:paraId="77848110" w14:textId="4F40610A" w:rsidR="005517DE" w:rsidRDefault="0010407F">
            <w:r w:rsidRPr="0010407F">
              <w:t>Competitive Rivalry</w:t>
            </w:r>
          </w:p>
        </w:tc>
        <w:tc>
          <w:tcPr>
            <w:tcW w:w="3005" w:type="dxa"/>
          </w:tcPr>
          <w:p w14:paraId="31582BDD" w14:textId="6F77FC34" w:rsidR="005517DE" w:rsidRDefault="0010407F">
            <w:r w:rsidRPr="0010407F">
              <w:t>High</w:t>
            </w:r>
          </w:p>
        </w:tc>
        <w:tc>
          <w:tcPr>
            <w:tcW w:w="3006" w:type="dxa"/>
          </w:tcPr>
          <w:p w14:paraId="1E978A3D" w14:textId="04ADE09E" w:rsidR="005517DE" w:rsidRDefault="0010407F">
            <w:r w:rsidRPr="0010407F">
              <w:t>Intense competition from AMD, Intel, and emerging AI chip firms</w:t>
            </w:r>
            <w:r>
              <w:t xml:space="preserve"> </w:t>
            </w:r>
            <w:r w:rsidRPr="0010407F">
              <w:t>intensify pressure to maintain leadership</w:t>
            </w:r>
            <w:r>
              <w:t>.</w:t>
            </w:r>
          </w:p>
        </w:tc>
      </w:tr>
      <w:tr w:rsidR="005517DE" w14:paraId="2D0A3FDE" w14:textId="77777777" w:rsidTr="005517DE">
        <w:tc>
          <w:tcPr>
            <w:tcW w:w="3005" w:type="dxa"/>
          </w:tcPr>
          <w:p w14:paraId="75E60445" w14:textId="1639B8B6" w:rsidR="005517DE" w:rsidRDefault="0010407F">
            <w:r w:rsidRPr="0010407F">
              <w:t>Threat of New Entrants</w:t>
            </w:r>
          </w:p>
        </w:tc>
        <w:tc>
          <w:tcPr>
            <w:tcW w:w="3005" w:type="dxa"/>
          </w:tcPr>
          <w:p w14:paraId="143EB0AC" w14:textId="427F0A43" w:rsidR="005517DE" w:rsidRDefault="0010407F">
            <w:r w:rsidRPr="0010407F">
              <w:t>Moderate</w:t>
            </w:r>
          </w:p>
        </w:tc>
        <w:tc>
          <w:tcPr>
            <w:tcW w:w="3006" w:type="dxa"/>
          </w:tcPr>
          <w:p w14:paraId="440C75A6" w14:textId="50E1E227" w:rsidR="005517DE" w:rsidRPr="0010407F" w:rsidRDefault="0010407F">
            <w:pPr>
              <w:rPr>
                <w:b/>
                <w:bCs/>
              </w:rPr>
            </w:pPr>
            <w:r w:rsidRPr="0010407F">
              <w:t>High capital and expertise barriers limit entry</w:t>
            </w:r>
            <w:r>
              <w:t xml:space="preserve"> but </w:t>
            </w:r>
            <w:r w:rsidRPr="0010407F">
              <w:t>big tech firms developing in-house chips increase long-term threat</w:t>
            </w:r>
            <w:r>
              <w:t>.</w:t>
            </w:r>
          </w:p>
        </w:tc>
      </w:tr>
      <w:tr w:rsidR="005517DE" w14:paraId="142F7B28" w14:textId="77777777" w:rsidTr="005517DE">
        <w:tc>
          <w:tcPr>
            <w:tcW w:w="3005" w:type="dxa"/>
          </w:tcPr>
          <w:p w14:paraId="7D40E3F6" w14:textId="514BDD38" w:rsidR="005517DE" w:rsidRDefault="0010407F">
            <w:r w:rsidRPr="0010407F">
              <w:t>Bargaining Power of Suppliers</w:t>
            </w:r>
          </w:p>
        </w:tc>
        <w:tc>
          <w:tcPr>
            <w:tcW w:w="3005" w:type="dxa"/>
          </w:tcPr>
          <w:p w14:paraId="3D765D09" w14:textId="6AA347E3" w:rsidR="005517DE" w:rsidRDefault="0010407F">
            <w:r w:rsidRPr="0010407F">
              <w:t>High</w:t>
            </w:r>
          </w:p>
        </w:tc>
        <w:tc>
          <w:tcPr>
            <w:tcW w:w="3006" w:type="dxa"/>
          </w:tcPr>
          <w:p w14:paraId="00DC081A" w14:textId="6A476B07" w:rsidR="005517DE" w:rsidRDefault="0010407F">
            <w:r w:rsidRPr="0010407F">
              <w:t>Heavy reliance on TSMC for manufacturing</w:t>
            </w:r>
            <w:r>
              <w:t xml:space="preserve"> results in s</w:t>
            </w:r>
            <w:r w:rsidRPr="0010407F">
              <w:t>upply chain dependency risk</w:t>
            </w:r>
            <w:r>
              <w:t>.</w:t>
            </w:r>
          </w:p>
        </w:tc>
      </w:tr>
      <w:tr w:rsidR="005517DE" w14:paraId="0C54AA1D" w14:textId="77777777" w:rsidTr="005517DE">
        <w:tc>
          <w:tcPr>
            <w:tcW w:w="3005" w:type="dxa"/>
          </w:tcPr>
          <w:p w14:paraId="7C94595D" w14:textId="0BF64B03" w:rsidR="005517DE" w:rsidRDefault="0010407F">
            <w:r w:rsidRPr="0010407F">
              <w:t>Bargaining Power of Buyers</w:t>
            </w:r>
          </w:p>
        </w:tc>
        <w:tc>
          <w:tcPr>
            <w:tcW w:w="3005" w:type="dxa"/>
          </w:tcPr>
          <w:p w14:paraId="62353417" w14:textId="09CB3118" w:rsidR="005517DE" w:rsidRDefault="0010407F">
            <w:r w:rsidRPr="0010407F">
              <w:t>Moderate</w:t>
            </w:r>
            <w:r>
              <w:t>-</w:t>
            </w:r>
            <w:r w:rsidRPr="0010407F">
              <w:t>High</w:t>
            </w:r>
          </w:p>
        </w:tc>
        <w:tc>
          <w:tcPr>
            <w:tcW w:w="3006" w:type="dxa"/>
          </w:tcPr>
          <w:p w14:paraId="2E1C3CC9" w14:textId="7F047D4A" w:rsidR="005517DE" w:rsidRDefault="0010407F">
            <w:r w:rsidRPr="0010407F">
              <w:t>Large clients (e.g., cloud providers) have strong negotiating power</w:t>
            </w:r>
            <w:r>
              <w:t>.</w:t>
            </w:r>
          </w:p>
        </w:tc>
      </w:tr>
      <w:tr w:rsidR="005517DE" w14:paraId="37F133A7" w14:textId="77777777" w:rsidTr="005517DE">
        <w:tc>
          <w:tcPr>
            <w:tcW w:w="3005" w:type="dxa"/>
          </w:tcPr>
          <w:p w14:paraId="270ECBC4" w14:textId="3C0962D7" w:rsidR="005517DE" w:rsidRDefault="0010407F">
            <w:r w:rsidRPr="0010407F">
              <w:t>Threat of Substitutes</w:t>
            </w:r>
          </w:p>
        </w:tc>
        <w:tc>
          <w:tcPr>
            <w:tcW w:w="3005" w:type="dxa"/>
          </w:tcPr>
          <w:p w14:paraId="7DABDEA3" w14:textId="7F7EB3D1" w:rsidR="005517DE" w:rsidRDefault="0010407F">
            <w:r w:rsidRPr="0010407F">
              <w:t>Moderate</w:t>
            </w:r>
          </w:p>
        </w:tc>
        <w:tc>
          <w:tcPr>
            <w:tcW w:w="3006" w:type="dxa"/>
          </w:tcPr>
          <w:p w14:paraId="45891B82" w14:textId="18E0B174" w:rsidR="005517DE" w:rsidRDefault="0010407F">
            <w:r w:rsidRPr="0010407F">
              <w:t>Alternative AI chips and cloud-based solutions</w:t>
            </w:r>
            <w:r>
              <w:t xml:space="preserve"> require c</w:t>
            </w:r>
            <w:r w:rsidRPr="0010407F">
              <w:t>ontinuous innovation to remain competitive</w:t>
            </w:r>
            <w:r>
              <w:t>.</w:t>
            </w:r>
          </w:p>
        </w:tc>
      </w:tr>
    </w:tbl>
    <w:p w14:paraId="7AFDEC29" w14:textId="77777777" w:rsidR="005D3B91" w:rsidRDefault="005D3B91"/>
    <w:p w14:paraId="61A7F5A9" w14:textId="77777777" w:rsidR="005D3B91" w:rsidRDefault="005D3B91"/>
    <w:p w14:paraId="1BDDF466" w14:textId="45B61E3C" w:rsidR="005D3B91" w:rsidRDefault="00D96631" w:rsidP="00D96631">
      <w:pPr>
        <w:pStyle w:val="NoSpacing"/>
      </w:pPr>
      <w:r w:rsidRPr="00D96631">
        <w:t>Table 3: SWOT Analysis</w:t>
      </w:r>
    </w:p>
    <w:tbl>
      <w:tblPr>
        <w:tblStyle w:val="TableGrid"/>
        <w:tblW w:w="0" w:type="auto"/>
        <w:tblLook w:val="04A0" w:firstRow="1" w:lastRow="0" w:firstColumn="1" w:lastColumn="0" w:noHBand="0" w:noVBand="1"/>
      </w:tblPr>
      <w:tblGrid>
        <w:gridCol w:w="4508"/>
        <w:gridCol w:w="4508"/>
      </w:tblGrid>
      <w:tr w:rsidR="00D96631" w14:paraId="60DBBC77" w14:textId="77777777" w:rsidTr="00D96631">
        <w:trPr>
          <w:trHeight w:val="967"/>
        </w:trPr>
        <w:tc>
          <w:tcPr>
            <w:tcW w:w="4508" w:type="dxa"/>
          </w:tcPr>
          <w:p w14:paraId="047CE374" w14:textId="77777777" w:rsidR="00D96631" w:rsidRPr="00D96631" w:rsidRDefault="00D96631" w:rsidP="00D96631">
            <w:pPr>
              <w:jc w:val="center"/>
              <w:rPr>
                <w:u w:val="single"/>
              </w:rPr>
            </w:pPr>
            <w:r w:rsidRPr="00D96631">
              <w:rPr>
                <w:u w:val="single"/>
              </w:rPr>
              <w:t>Strengths</w:t>
            </w:r>
          </w:p>
          <w:p w14:paraId="551FAF25" w14:textId="77777777" w:rsidR="00D96631" w:rsidRDefault="00D96631">
            <w:r w:rsidRPr="00D96631">
              <w:t>Market leader in GPUs and AI computing</w:t>
            </w:r>
          </w:p>
          <w:p w14:paraId="1C8C68F4" w14:textId="683E27CA" w:rsidR="005570C3" w:rsidRDefault="005570C3">
            <w:r>
              <w:t xml:space="preserve">Dominance in </w:t>
            </w:r>
            <w:r w:rsidRPr="005570C3">
              <w:t>AI accelerators</w:t>
            </w:r>
          </w:p>
          <w:p w14:paraId="5CF15241" w14:textId="77777777" w:rsidR="00D96631" w:rsidRDefault="00D96631">
            <w:r w:rsidRPr="00D96631">
              <w:t>Strong brand and innovation reputation</w:t>
            </w:r>
          </w:p>
          <w:p w14:paraId="65ADD04C" w14:textId="77777777" w:rsidR="00D96631" w:rsidRDefault="00D96631">
            <w:r w:rsidRPr="00D96631">
              <w:t>Proprietary ecosystem (CUDA platform)</w:t>
            </w:r>
          </w:p>
          <w:p w14:paraId="0794DAA0" w14:textId="77777777" w:rsidR="00D96631" w:rsidRDefault="00D96631">
            <w:r w:rsidRPr="00D96631">
              <w:t>Highly skilled workforce and leadership</w:t>
            </w:r>
          </w:p>
          <w:p w14:paraId="00FE0917" w14:textId="2D51CF35" w:rsidR="00C87E2F" w:rsidRDefault="00C87E2F">
            <w:r w:rsidRPr="00C87E2F">
              <w:t>(Hughes, 2025)</w:t>
            </w:r>
            <w:r>
              <w:t xml:space="preserve"> </w:t>
            </w:r>
            <w:r w:rsidR="005570C3" w:rsidRPr="005570C3">
              <w:t>(Surender, 2024)</w:t>
            </w:r>
            <w:r w:rsidR="005570C3">
              <w:t>.</w:t>
            </w:r>
          </w:p>
        </w:tc>
        <w:tc>
          <w:tcPr>
            <w:tcW w:w="4508" w:type="dxa"/>
          </w:tcPr>
          <w:p w14:paraId="35BAFBFD" w14:textId="77777777" w:rsidR="00D96631" w:rsidRPr="000B0C8F" w:rsidRDefault="00D96631" w:rsidP="00D96631">
            <w:pPr>
              <w:jc w:val="center"/>
              <w:rPr>
                <w:u w:val="single"/>
              </w:rPr>
            </w:pPr>
            <w:r w:rsidRPr="000B0C8F">
              <w:rPr>
                <w:u w:val="single"/>
              </w:rPr>
              <w:t>Weaknesses</w:t>
            </w:r>
          </w:p>
          <w:p w14:paraId="2045E448" w14:textId="77777777" w:rsidR="00D96631" w:rsidRDefault="00D96631">
            <w:r w:rsidRPr="00D96631">
              <w:t>Dependence on third-party manufacturers (e.g., TSMC)</w:t>
            </w:r>
          </w:p>
          <w:p w14:paraId="5B2A750E" w14:textId="77777777" w:rsidR="00D96631" w:rsidRDefault="00D96631">
            <w:r w:rsidRPr="00D96631">
              <w:t>High reliance on key markets (e.g., China)</w:t>
            </w:r>
          </w:p>
          <w:p w14:paraId="3C4B713C" w14:textId="77777777" w:rsidR="00D96631" w:rsidRDefault="00D96631">
            <w:r w:rsidRPr="00D96631">
              <w:t>Risk of employee burnout due to rapid growth</w:t>
            </w:r>
          </w:p>
          <w:p w14:paraId="2CAF6C55" w14:textId="1970EFE5" w:rsidR="00D96631" w:rsidRDefault="00D96631">
            <w:r w:rsidRPr="00D96631">
              <w:t>Organisational strain from scaling operations</w:t>
            </w:r>
          </w:p>
        </w:tc>
      </w:tr>
      <w:tr w:rsidR="00D96631" w14:paraId="1070FB21" w14:textId="77777777" w:rsidTr="00D96631">
        <w:trPr>
          <w:trHeight w:val="967"/>
        </w:trPr>
        <w:tc>
          <w:tcPr>
            <w:tcW w:w="4508" w:type="dxa"/>
          </w:tcPr>
          <w:p w14:paraId="188AA9FB" w14:textId="1A980161" w:rsidR="00D96631" w:rsidRPr="000B0C8F" w:rsidRDefault="00D96631" w:rsidP="00D96631">
            <w:pPr>
              <w:jc w:val="center"/>
              <w:rPr>
                <w:u w:val="single"/>
              </w:rPr>
            </w:pPr>
            <w:r w:rsidRPr="000B0C8F">
              <w:rPr>
                <w:u w:val="single"/>
              </w:rPr>
              <w:t>Opportunities</w:t>
            </w:r>
          </w:p>
          <w:p w14:paraId="374A1D06" w14:textId="208E922E" w:rsidR="00D96631" w:rsidRDefault="00D96631">
            <w:r w:rsidRPr="00D96631">
              <w:t>Growth in AI, cloud computing, and automation</w:t>
            </w:r>
          </w:p>
          <w:p w14:paraId="68C31F24" w14:textId="77777777" w:rsidR="00D96631" w:rsidRDefault="00D96631">
            <w:r w:rsidRPr="00D96631">
              <w:t>Expansion into new industries (healthcare, automotive)</w:t>
            </w:r>
            <w:r>
              <w:t xml:space="preserve"> </w:t>
            </w:r>
          </w:p>
          <w:p w14:paraId="68DA006D" w14:textId="60599C04" w:rsidR="00D96631" w:rsidRDefault="00D96631">
            <w:r w:rsidRPr="00D96631">
              <w:t>Development of sustainable technologies</w:t>
            </w:r>
            <w:r>
              <w:t xml:space="preserve">                          </w:t>
            </w:r>
            <w:r w:rsidRPr="00D96631">
              <w:t>Strategic partnerships and acquisitions</w:t>
            </w:r>
          </w:p>
        </w:tc>
        <w:tc>
          <w:tcPr>
            <w:tcW w:w="4508" w:type="dxa"/>
          </w:tcPr>
          <w:p w14:paraId="211B5E4A" w14:textId="77777777" w:rsidR="00D96631" w:rsidRPr="000B0C8F" w:rsidRDefault="00D96631" w:rsidP="00D96631">
            <w:pPr>
              <w:jc w:val="center"/>
              <w:rPr>
                <w:u w:val="single"/>
              </w:rPr>
            </w:pPr>
            <w:r w:rsidRPr="000B0C8F">
              <w:rPr>
                <w:u w:val="single"/>
              </w:rPr>
              <w:t>Threats</w:t>
            </w:r>
          </w:p>
          <w:p w14:paraId="496C83C4" w14:textId="77777777" w:rsidR="00D96631" w:rsidRDefault="000B0C8F" w:rsidP="00D96631">
            <w:r w:rsidRPr="00D96631">
              <w:t>Increasing global competition (AMD, Intel)</w:t>
            </w:r>
          </w:p>
          <w:p w14:paraId="0082E9B0" w14:textId="597B2FE0" w:rsidR="000B0C8F" w:rsidRPr="00D96631" w:rsidRDefault="000B0C8F" w:rsidP="000B0C8F">
            <w:pPr>
              <w:spacing w:after="160" w:line="278" w:lineRule="auto"/>
            </w:pPr>
            <w:r w:rsidRPr="00D96631">
              <w:t>Geopolitical tensions and export restrictions</w:t>
            </w:r>
            <w:r>
              <w:t xml:space="preserve">                                                     </w:t>
            </w:r>
            <w:r w:rsidRPr="00D96631">
              <w:t>Rapid technological change and disruption</w:t>
            </w:r>
            <w:r>
              <w:t xml:space="preserve">                                                    </w:t>
            </w:r>
            <w:r w:rsidRPr="000B0C8F">
              <w:t>Market volatility and economic uncertainty</w:t>
            </w:r>
          </w:p>
          <w:p w14:paraId="0E4F3A01" w14:textId="34CE9019" w:rsidR="000B0C8F" w:rsidRDefault="000B0C8F" w:rsidP="00D96631"/>
        </w:tc>
      </w:tr>
    </w:tbl>
    <w:p w14:paraId="6AC25D89" w14:textId="77777777" w:rsidR="005D3B91" w:rsidRDefault="005D3B91"/>
    <w:p w14:paraId="21E55234" w14:textId="3DC41BFA" w:rsidR="005D3B91" w:rsidRDefault="000B0C8F" w:rsidP="000B0C8F">
      <w:pPr>
        <w:pStyle w:val="NoSpacing"/>
      </w:pPr>
      <w:r w:rsidRPr="000B0C8F">
        <w:t>Table 4: McKinsey 7S Framework</w:t>
      </w:r>
    </w:p>
    <w:tbl>
      <w:tblPr>
        <w:tblStyle w:val="PlainTable1"/>
        <w:tblW w:w="0" w:type="auto"/>
        <w:tblLook w:val="04A0" w:firstRow="1" w:lastRow="0" w:firstColumn="1" w:lastColumn="0" w:noHBand="0" w:noVBand="1"/>
      </w:tblPr>
      <w:tblGrid>
        <w:gridCol w:w="1402"/>
        <w:gridCol w:w="3410"/>
        <w:gridCol w:w="4204"/>
      </w:tblGrid>
      <w:tr w:rsidR="000B0C8F" w:rsidRPr="000B0C8F" w14:paraId="41632278" w14:textId="77777777" w:rsidTr="000B0C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172AFA" w14:textId="77777777" w:rsidR="000B0C8F" w:rsidRPr="000B0C8F" w:rsidRDefault="000B0C8F" w:rsidP="000B0C8F">
            <w:pPr>
              <w:spacing w:after="160" w:line="278" w:lineRule="auto"/>
              <w:rPr>
                <w:b w:val="0"/>
                <w:bCs w:val="0"/>
              </w:rPr>
            </w:pPr>
            <w:r w:rsidRPr="000B0C8F">
              <w:rPr>
                <w:b w:val="0"/>
                <w:bCs w:val="0"/>
              </w:rPr>
              <w:t>Element</w:t>
            </w:r>
          </w:p>
        </w:tc>
        <w:tc>
          <w:tcPr>
            <w:tcW w:w="0" w:type="auto"/>
            <w:hideMark/>
          </w:tcPr>
          <w:p w14:paraId="2FD88E9D" w14:textId="77777777" w:rsidR="000B0C8F" w:rsidRPr="000B0C8F" w:rsidRDefault="000B0C8F" w:rsidP="000B0C8F">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rsidRPr="000B0C8F">
              <w:rPr>
                <w:b w:val="0"/>
                <w:bCs w:val="0"/>
              </w:rPr>
              <w:t>Current State</w:t>
            </w:r>
          </w:p>
        </w:tc>
        <w:tc>
          <w:tcPr>
            <w:tcW w:w="0" w:type="auto"/>
            <w:hideMark/>
          </w:tcPr>
          <w:p w14:paraId="21E3F60D" w14:textId="77777777" w:rsidR="000B0C8F" w:rsidRPr="000B0C8F" w:rsidRDefault="000B0C8F" w:rsidP="000B0C8F">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rsidRPr="000B0C8F">
              <w:rPr>
                <w:b w:val="0"/>
                <w:bCs w:val="0"/>
              </w:rPr>
              <w:t>Critical Evaluation</w:t>
            </w:r>
          </w:p>
        </w:tc>
      </w:tr>
      <w:tr w:rsidR="000B0C8F" w:rsidRPr="000B0C8F" w14:paraId="368F2269" w14:textId="77777777" w:rsidTr="000B0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2E35F4" w14:textId="77777777" w:rsidR="000B0C8F" w:rsidRPr="000B0C8F" w:rsidRDefault="000B0C8F" w:rsidP="000B0C8F">
            <w:pPr>
              <w:spacing w:after="160" w:line="278" w:lineRule="auto"/>
              <w:rPr>
                <w:b w:val="0"/>
                <w:bCs w:val="0"/>
              </w:rPr>
            </w:pPr>
            <w:r w:rsidRPr="000B0C8F">
              <w:rPr>
                <w:b w:val="0"/>
                <w:bCs w:val="0"/>
              </w:rPr>
              <w:t>Strategy</w:t>
            </w:r>
          </w:p>
        </w:tc>
        <w:tc>
          <w:tcPr>
            <w:tcW w:w="0" w:type="auto"/>
            <w:hideMark/>
          </w:tcPr>
          <w:p w14:paraId="6ED89BBE" w14:textId="77777777" w:rsidR="000B0C8F" w:rsidRPr="000B0C8F" w:rsidRDefault="000B0C8F" w:rsidP="000B0C8F">
            <w:pPr>
              <w:spacing w:after="160" w:line="278" w:lineRule="auto"/>
              <w:cnfStyle w:val="000000100000" w:firstRow="0" w:lastRow="0" w:firstColumn="0" w:lastColumn="0" w:oddVBand="0" w:evenVBand="0" w:oddHBand="1" w:evenHBand="0" w:firstRowFirstColumn="0" w:firstRowLastColumn="0" w:lastRowFirstColumn="0" w:lastRowLastColumn="0"/>
            </w:pPr>
            <w:r w:rsidRPr="000B0C8F">
              <w:t>Shift from gaming to AI and data centre focus</w:t>
            </w:r>
          </w:p>
        </w:tc>
        <w:tc>
          <w:tcPr>
            <w:tcW w:w="0" w:type="auto"/>
            <w:hideMark/>
          </w:tcPr>
          <w:p w14:paraId="06DBBA85" w14:textId="77777777" w:rsidR="000B0C8F" w:rsidRPr="000B0C8F" w:rsidRDefault="000B0C8F" w:rsidP="000B0C8F">
            <w:pPr>
              <w:spacing w:after="160" w:line="278" w:lineRule="auto"/>
              <w:cnfStyle w:val="000000100000" w:firstRow="0" w:lastRow="0" w:firstColumn="0" w:lastColumn="0" w:oddVBand="0" w:evenVBand="0" w:oddHBand="1" w:evenHBand="0" w:firstRowFirstColumn="0" w:firstRowLastColumn="0" w:lastRowFirstColumn="0" w:lastRowLastColumn="0"/>
            </w:pPr>
            <w:r w:rsidRPr="000B0C8F">
              <w:t>Strong alignment with market trends but high risk concentration in AI</w:t>
            </w:r>
          </w:p>
        </w:tc>
      </w:tr>
      <w:tr w:rsidR="000B0C8F" w:rsidRPr="000B0C8F" w14:paraId="2E3116D3" w14:textId="77777777" w:rsidTr="000B0C8F">
        <w:tc>
          <w:tcPr>
            <w:cnfStyle w:val="001000000000" w:firstRow="0" w:lastRow="0" w:firstColumn="1" w:lastColumn="0" w:oddVBand="0" w:evenVBand="0" w:oddHBand="0" w:evenHBand="0" w:firstRowFirstColumn="0" w:firstRowLastColumn="0" w:lastRowFirstColumn="0" w:lastRowLastColumn="0"/>
            <w:tcW w:w="0" w:type="auto"/>
            <w:hideMark/>
          </w:tcPr>
          <w:p w14:paraId="2C27E26C" w14:textId="77777777" w:rsidR="000B0C8F" w:rsidRPr="000B0C8F" w:rsidRDefault="000B0C8F" w:rsidP="000B0C8F">
            <w:pPr>
              <w:spacing w:after="160" w:line="278" w:lineRule="auto"/>
              <w:rPr>
                <w:b w:val="0"/>
                <w:bCs w:val="0"/>
              </w:rPr>
            </w:pPr>
            <w:r w:rsidRPr="000B0C8F">
              <w:rPr>
                <w:b w:val="0"/>
                <w:bCs w:val="0"/>
              </w:rPr>
              <w:t>Structure</w:t>
            </w:r>
          </w:p>
        </w:tc>
        <w:tc>
          <w:tcPr>
            <w:tcW w:w="0" w:type="auto"/>
            <w:hideMark/>
          </w:tcPr>
          <w:p w14:paraId="11261FA1" w14:textId="77777777" w:rsidR="000B0C8F" w:rsidRPr="000B0C8F" w:rsidRDefault="000B0C8F" w:rsidP="000B0C8F">
            <w:pPr>
              <w:spacing w:after="160" w:line="278" w:lineRule="auto"/>
              <w:cnfStyle w:val="000000000000" w:firstRow="0" w:lastRow="0" w:firstColumn="0" w:lastColumn="0" w:oddVBand="0" w:evenVBand="0" w:oddHBand="0" w:evenHBand="0" w:firstRowFirstColumn="0" w:firstRowLastColumn="0" w:lastRowFirstColumn="0" w:lastRowLastColumn="0"/>
            </w:pPr>
            <w:r w:rsidRPr="000B0C8F">
              <w:t>Flexible, innovation-driven structure</w:t>
            </w:r>
          </w:p>
        </w:tc>
        <w:tc>
          <w:tcPr>
            <w:tcW w:w="0" w:type="auto"/>
            <w:hideMark/>
          </w:tcPr>
          <w:p w14:paraId="7E982785" w14:textId="77777777" w:rsidR="000B0C8F" w:rsidRPr="000B0C8F" w:rsidRDefault="000B0C8F" w:rsidP="000B0C8F">
            <w:pPr>
              <w:spacing w:after="160" w:line="278" w:lineRule="auto"/>
              <w:cnfStyle w:val="000000000000" w:firstRow="0" w:lastRow="0" w:firstColumn="0" w:lastColumn="0" w:oddVBand="0" w:evenVBand="0" w:oddHBand="0" w:evenHBand="0" w:firstRowFirstColumn="0" w:firstRowLastColumn="0" w:lastRowFirstColumn="0" w:lastRowLastColumn="0"/>
            </w:pPr>
            <w:r w:rsidRPr="000B0C8F">
              <w:t>May face scalability issues as organisation grows</w:t>
            </w:r>
          </w:p>
        </w:tc>
      </w:tr>
      <w:tr w:rsidR="000B0C8F" w:rsidRPr="000B0C8F" w14:paraId="177CAE47" w14:textId="77777777" w:rsidTr="000B0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4559B8" w14:textId="77777777" w:rsidR="000B0C8F" w:rsidRPr="000B0C8F" w:rsidRDefault="000B0C8F" w:rsidP="000B0C8F">
            <w:pPr>
              <w:spacing w:after="160" w:line="278" w:lineRule="auto"/>
              <w:rPr>
                <w:b w:val="0"/>
                <w:bCs w:val="0"/>
              </w:rPr>
            </w:pPr>
            <w:r w:rsidRPr="000B0C8F">
              <w:rPr>
                <w:b w:val="0"/>
                <w:bCs w:val="0"/>
              </w:rPr>
              <w:t>Systems</w:t>
            </w:r>
          </w:p>
        </w:tc>
        <w:tc>
          <w:tcPr>
            <w:tcW w:w="0" w:type="auto"/>
            <w:hideMark/>
          </w:tcPr>
          <w:p w14:paraId="7B8FC31A" w14:textId="77777777" w:rsidR="000B0C8F" w:rsidRPr="000B0C8F" w:rsidRDefault="000B0C8F" w:rsidP="000B0C8F">
            <w:pPr>
              <w:spacing w:after="160" w:line="278" w:lineRule="auto"/>
              <w:cnfStyle w:val="000000100000" w:firstRow="0" w:lastRow="0" w:firstColumn="0" w:lastColumn="0" w:oddVBand="0" w:evenVBand="0" w:oddHBand="1" w:evenHBand="0" w:firstRowFirstColumn="0" w:firstRowLastColumn="0" w:lastRowFirstColumn="0" w:lastRowLastColumn="0"/>
            </w:pPr>
            <w:r w:rsidRPr="000B0C8F">
              <w:t>Fast-paced R&amp;D and product development cycles</w:t>
            </w:r>
          </w:p>
        </w:tc>
        <w:tc>
          <w:tcPr>
            <w:tcW w:w="0" w:type="auto"/>
            <w:hideMark/>
          </w:tcPr>
          <w:p w14:paraId="553CC5CA" w14:textId="77777777" w:rsidR="000B0C8F" w:rsidRPr="000B0C8F" w:rsidRDefault="000B0C8F" w:rsidP="000B0C8F">
            <w:pPr>
              <w:spacing w:after="160" w:line="278" w:lineRule="auto"/>
              <w:cnfStyle w:val="000000100000" w:firstRow="0" w:lastRow="0" w:firstColumn="0" w:lastColumn="0" w:oddVBand="0" w:evenVBand="0" w:oddHBand="1" w:evenHBand="0" w:firstRowFirstColumn="0" w:firstRowLastColumn="0" w:lastRowFirstColumn="0" w:lastRowLastColumn="0"/>
            </w:pPr>
            <w:r w:rsidRPr="000B0C8F">
              <w:t>Effective for innovation but may create operational pressure</w:t>
            </w:r>
          </w:p>
        </w:tc>
      </w:tr>
      <w:tr w:rsidR="000B0C8F" w:rsidRPr="000B0C8F" w14:paraId="47513CA4" w14:textId="77777777" w:rsidTr="000B0C8F">
        <w:tc>
          <w:tcPr>
            <w:cnfStyle w:val="001000000000" w:firstRow="0" w:lastRow="0" w:firstColumn="1" w:lastColumn="0" w:oddVBand="0" w:evenVBand="0" w:oddHBand="0" w:evenHBand="0" w:firstRowFirstColumn="0" w:firstRowLastColumn="0" w:lastRowFirstColumn="0" w:lastRowLastColumn="0"/>
            <w:tcW w:w="0" w:type="auto"/>
            <w:hideMark/>
          </w:tcPr>
          <w:p w14:paraId="25368FBE" w14:textId="77777777" w:rsidR="000B0C8F" w:rsidRPr="000B0C8F" w:rsidRDefault="000B0C8F" w:rsidP="000B0C8F">
            <w:pPr>
              <w:spacing w:after="160" w:line="278" w:lineRule="auto"/>
              <w:rPr>
                <w:b w:val="0"/>
                <w:bCs w:val="0"/>
              </w:rPr>
            </w:pPr>
            <w:r w:rsidRPr="000B0C8F">
              <w:rPr>
                <w:b w:val="0"/>
                <w:bCs w:val="0"/>
              </w:rPr>
              <w:t>Shared Values</w:t>
            </w:r>
          </w:p>
        </w:tc>
        <w:tc>
          <w:tcPr>
            <w:tcW w:w="0" w:type="auto"/>
            <w:hideMark/>
          </w:tcPr>
          <w:p w14:paraId="39353D79" w14:textId="77777777" w:rsidR="000B0C8F" w:rsidRPr="000B0C8F" w:rsidRDefault="000B0C8F" w:rsidP="000B0C8F">
            <w:pPr>
              <w:spacing w:after="160" w:line="278" w:lineRule="auto"/>
              <w:cnfStyle w:val="000000000000" w:firstRow="0" w:lastRow="0" w:firstColumn="0" w:lastColumn="0" w:oddVBand="0" w:evenVBand="0" w:oddHBand="0" w:evenHBand="0" w:firstRowFirstColumn="0" w:firstRowLastColumn="0" w:lastRowFirstColumn="0" w:lastRowLastColumn="0"/>
            </w:pPr>
            <w:r w:rsidRPr="000B0C8F">
              <w:t>Innovation, performance, and problem-solving</w:t>
            </w:r>
          </w:p>
        </w:tc>
        <w:tc>
          <w:tcPr>
            <w:tcW w:w="0" w:type="auto"/>
            <w:hideMark/>
          </w:tcPr>
          <w:p w14:paraId="4A840F71" w14:textId="77777777" w:rsidR="000B0C8F" w:rsidRPr="000B0C8F" w:rsidRDefault="000B0C8F" w:rsidP="000B0C8F">
            <w:pPr>
              <w:spacing w:after="160" w:line="278" w:lineRule="auto"/>
              <w:cnfStyle w:val="000000000000" w:firstRow="0" w:lastRow="0" w:firstColumn="0" w:lastColumn="0" w:oddVBand="0" w:evenVBand="0" w:oddHBand="0" w:evenHBand="0" w:firstRowFirstColumn="0" w:firstRowLastColumn="0" w:lastRowFirstColumn="0" w:lastRowLastColumn="0"/>
            </w:pPr>
            <w:r w:rsidRPr="000B0C8F">
              <w:t>Strong culture but may contribute to high-pressure environment</w:t>
            </w:r>
          </w:p>
        </w:tc>
      </w:tr>
      <w:tr w:rsidR="000B0C8F" w:rsidRPr="000B0C8F" w14:paraId="19875988" w14:textId="77777777" w:rsidTr="000B0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902A36" w14:textId="77777777" w:rsidR="000B0C8F" w:rsidRPr="000B0C8F" w:rsidRDefault="000B0C8F" w:rsidP="000B0C8F">
            <w:pPr>
              <w:spacing w:after="160" w:line="278" w:lineRule="auto"/>
              <w:rPr>
                <w:b w:val="0"/>
                <w:bCs w:val="0"/>
              </w:rPr>
            </w:pPr>
            <w:r w:rsidRPr="000B0C8F">
              <w:rPr>
                <w:b w:val="0"/>
                <w:bCs w:val="0"/>
              </w:rPr>
              <w:t>Skills</w:t>
            </w:r>
          </w:p>
        </w:tc>
        <w:tc>
          <w:tcPr>
            <w:tcW w:w="0" w:type="auto"/>
            <w:hideMark/>
          </w:tcPr>
          <w:p w14:paraId="3FB009CC" w14:textId="77777777" w:rsidR="000B0C8F" w:rsidRPr="000B0C8F" w:rsidRDefault="000B0C8F" w:rsidP="000B0C8F">
            <w:pPr>
              <w:spacing w:after="160" w:line="278" w:lineRule="auto"/>
              <w:cnfStyle w:val="000000100000" w:firstRow="0" w:lastRow="0" w:firstColumn="0" w:lastColumn="0" w:oddVBand="0" w:evenVBand="0" w:oddHBand="1" w:evenHBand="0" w:firstRowFirstColumn="0" w:firstRowLastColumn="0" w:lastRowFirstColumn="0" w:lastRowLastColumn="0"/>
            </w:pPr>
            <w:r w:rsidRPr="000B0C8F">
              <w:t>Advanced engineering and AI expertise</w:t>
            </w:r>
          </w:p>
        </w:tc>
        <w:tc>
          <w:tcPr>
            <w:tcW w:w="0" w:type="auto"/>
            <w:hideMark/>
          </w:tcPr>
          <w:p w14:paraId="5F74A914" w14:textId="77777777" w:rsidR="000B0C8F" w:rsidRPr="000B0C8F" w:rsidRDefault="000B0C8F" w:rsidP="000B0C8F">
            <w:pPr>
              <w:spacing w:after="160" w:line="278" w:lineRule="auto"/>
              <w:cnfStyle w:val="000000100000" w:firstRow="0" w:lastRow="0" w:firstColumn="0" w:lastColumn="0" w:oddVBand="0" w:evenVBand="0" w:oddHBand="1" w:evenHBand="0" w:firstRowFirstColumn="0" w:firstRowLastColumn="0" w:lastRowFirstColumn="0" w:lastRowLastColumn="0"/>
            </w:pPr>
            <w:r w:rsidRPr="000B0C8F">
              <w:t>Requires continuous upskilling to maintain competitiveness</w:t>
            </w:r>
          </w:p>
        </w:tc>
      </w:tr>
      <w:tr w:rsidR="000B0C8F" w:rsidRPr="000B0C8F" w14:paraId="3491A8AA" w14:textId="77777777" w:rsidTr="000B0C8F">
        <w:tc>
          <w:tcPr>
            <w:cnfStyle w:val="001000000000" w:firstRow="0" w:lastRow="0" w:firstColumn="1" w:lastColumn="0" w:oddVBand="0" w:evenVBand="0" w:oddHBand="0" w:evenHBand="0" w:firstRowFirstColumn="0" w:firstRowLastColumn="0" w:lastRowFirstColumn="0" w:lastRowLastColumn="0"/>
            <w:tcW w:w="0" w:type="auto"/>
            <w:hideMark/>
          </w:tcPr>
          <w:p w14:paraId="78827425" w14:textId="77777777" w:rsidR="000B0C8F" w:rsidRPr="000B0C8F" w:rsidRDefault="000B0C8F" w:rsidP="000B0C8F">
            <w:pPr>
              <w:spacing w:after="160" w:line="278" w:lineRule="auto"/>
              <w:rPr>
                <w:b w:val="0"/>
                <w:bCs w:val="0"/>
              </w:rPr>
            </w:pPr>
            <w:r w:rsidRPr="000B0C8F">
              <w:rPr>
                <w:b w:val="0"/>
                <w:bCs w:val="0"/>
              </w:rPr>
              <w:t>Style</w:t>
            </w:r>
          </w:p>
        </w:tc>
        <w:tc>
          <w:tcPr>
            <w:tcW w:w="0" w:type="auto"/>
            <w:hideMark/>
          </w:tcPr>
          <w:p w14:paraId="3FAEA30E" w14:textId="77777777" w:rsidR="000B0C8F" w:rsidRPr="000B0C8F" w:rsidRDefault="000B0C8F" w:rsidP="000B0C8F">
            <w:pPr>
              <w:spacing w:after="160" w:line="278" w:lineRule="auto"/>
              <w:cnfStyle w:val="000000000000" w:firstRow="0" w:lastRow="0" w:firstColumn="0" w:lastColumn="0" w:oddVBand="0" w:evenVBand="0" w:oddHBand="0" w:evenHBand="0" w:firstRowFirstColumn="0" w:firstRowLastColumn="0" w:lastRowFirstColumn="0" w:lastRowLastColumn="0"/>
            </w:pPr>
            <w:r w:rsidRPr="000B0C8F">
              <w:t>Transformational leadership (vision-driven)</w:t>
            </w:r>
          </w:p>
        </w:tc>
        <w:tc>
          <w:tcPr>
            <w:tcW w:w="0" w:type="auto"/>
            <w:hideMark/>
          </w:tcPr>
          <w:p w14:paraId="29B2346B" w14:textId="77777777" w:rsidR="000B0C8F" w:rsidRPr="000B0C8F" w:rsidRDefault="000B0C8F" w:rsidP="000B0C8F">
            <w:pPr>
              <w:spacing w:after="160" w:line="278" w:lineRule="auto"/>
              <w:cnfStyle w:val="000000000000" w:firstRow="0" w:lastRow="0" w:firstColumn="0" w:lastColumn="0" w:oddVBand="0" w:evenVBand="0" w:oddHBand="0" w:evenHBand="0" w:firstRowFirstColumn="0" w:firstRowLastColumn="0" w:lastRowFirstColumn="0" w:lastRowLastColumn="0"/>
            </w:pPr>
            <w:r w:rsidRPr="000B0C8F">
              <w:t>Over-reliance on leadership vision may limit decentralisation</w:t>
            </w:r>
          </w:p>
        </w:tc>
      </w:tr>
      <w:tr w:rsidR="000B0C8F" w:rsidRPr="000B0C8F" w14:paraId="12196852" w14:textId="77777777" w:rsidTr="000B0C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0059A6" w14:textId="77777777" w:rsidR="000B0C8F" w:rsidRPr="000B0C8F" w:rsidRDefault="000B0C8F" w:rsidP="000B0C8F">
            <w:pPr>
              <w:spacing w:after="160" w:line="278" w:lineRule="auto"/>
              <w:rPr>
                <w:b w:val="0"/>
                <w:bCs w:val="0"/>
              </w:rPr>
            </w:pPr>
            <w:r w:rsidRPr="000B0C8F">
              <w:rPr>
                <w:b w:val="0"/>
                <w:bCs w:val="0"/>
              </w:rPr>
              <w:t>Staff</w:t>
            </w:r>
          </w:p>
        </w:tc>
        <w:tc>
          <w:tcPr>
            <w:tcW w:w="0" w:type="auto"/>
            <w:hideMark/>
          </w:tcPr>
          <w:p w14:paraId="4F7C119E" w14:textId="77777777" w:rsidR="000B0C8F" w:rsidRPr="000B0C8F" w:rsidRDefault="000B0C8F" w:rsidP="000B0C8F">
            <w:pPr>
              <w:spacing w:after="160" w:line="278" w:lineRule="auto"/>
              <w:cnfStyle w:val="000000100000" w:firstRow="0" w:lastRow="0" w:firstColumn="0" w:lastColumn="0" w:oddVBand="0" w:evenVBand="0" w:oddHBand="1" w:evenHBand="0" w:firstRowFirstColumn="0" w:firstRowLastColumn="0" w:lastRowFirstColumn="0" w:lastRowLastColumn="0"/>
            </w:pPr>
            <w:r w:rsidRPr="000B0C8F">
              <w:t>Highly skilled, competitive workforce</w:t>
            </w:r>
          </w:p>
        </w:tc>
        <w:tc>
          <w:tcPr>
            <w:tcW w:w="0" w:type="auto"/>
            <w:hideMark/>
          </w:tcPr>
          <w:p w14:paraId="65BCABD8" w14:textId="77777777" w:rsidR="000B0C8F" w:rsidRPr="000B0C8F" w:rsidRDefault="000B0C8F" w:rsidP="000B0C8F">
            <w:pPr>
              <w:spacing w:after="160" w:line="278" w:lineRule="auto"/>
              <w:cnfStyle w:val="000000100000" w:firstRow="0" w:lastRow="0" w:firstColumn="0" w:lastColumn="0" w:oddVBand="0" w:evenVBand="0" w:oddHBand="1" w:evenHBand="0" w:firstRowFirstColumn="0" w:firstRowLastColumn="0" w:lastRowFirstColumn="0" w:lastRowLastColumn="0"/>
            </w:pPr>
            <w:r w:rsidRPr="000B0C8F">
              <w:t>Talent retention and burnout are key risks</w:t>
            </w:r>
          </w:p>
        </w:tc>
      </w:tr>
    </w:tbl>
    <w:p w14:paraId="5CF66BCB" w14:textId="0F8AAABA" w:rsidR="000B0C8F" w:rsidRDefault="000B0C8F" w:rsidP="000B0C8F">
      <w:pPr>
        <w:pStyle w:val="NoSpacing"/>
      </w:pPr>
      <w:r w:rsidRPr="000B0C8F">
        <w:lastRenderedPageBreak/>
        <w:t>Triggers for Change</w:t>
      </w:r>
    </w:p>
    <w:p w14:paraId="2D13D5EF" w14:textId="16A5428A" w:rsidR="000B0C8F" w:rsidRDefault="000B0C8F" w:rsidP="000B0C8F">
      <w:r>
        <w:t>NVIDIA is currently experiencing multiple triggers for strategic change, driven by both external pressures and internal dynamics. One of the most significant drivers is digital disruption, particularly the rapid advancement of artificial intelligence technologies. The emergence of generative AI and machine learning applications has fundamentally reshaped industry demand, requiring NVIDIA to reposition itself as an AI platform provider rather than solely a hardware manufacturer.</w:t>
      </w:r>
    </w:p>
    <w:p w14:paraId="26064B69" w14:textId="77777777" w:rsidR="000B0C8F" w:rsidRDefault="000B0C8F" w:rsidP="000B0C8F">
      <w:r>
        <w:t>The rise of AI as a core economic driver has intensified competition and accelerated innovation cycles. Organisations across industries are investing heavily in AI capabilities, increasing demand for NVIDIA’s products while simultaneously attracting new competitors and alternative technologies. This creates pressure on NVIDIA to continuously innovate and scale its operations effectively.</w:t>
      </w:r>
    </w:p>
    <w:p w14:paraId="24764216" w14:textId="77777777" w:rsidR="000B0C8F" w:rsidRDefault="000B0C8F" w:rsidP="000B0C8F">
      <w:r>
        <w:t>Although online shopping is less directly relevant to NVIDIA compared to traditional retail firms, the growth of e-commerce and cloud-based services has indirectly increased demand for data centre infrastructure, thereby reinforcing the importance of NVIDIA’s role in supporting digital ecosystems. This demonstrates how broader digital transformation trends influence even upstream technology providers.</w:t>
      </w:r>
    </w:p>
    <w:p w14:paraId="02BA4474" w14:textId="77777777" w:rsidR="000B0C8F" w:rsidRDefault="000B0C8F" w:rsidP="000B0C8F">
      <w:r>
        <w:t>Another critical trigger is intensifying competition within the semiconductor and AI industries. Competitors such as AMD and Intel are developing advanced chips to challenge NVIDIA’s dominance, while large technology firms are increasingly designing their own custom AI processors. This shift threatens NVIDIA’s market share and requires strategic adaptation to maintain competitive advantage.</w:t>
      </w:r>
    </w:p>
    <w:p w14:paraId="4E929BDE" w14:textId="77777777" w:rsidR="000B0C8F" w:rsidRDefault="000B0C8F" w:rsidP="000B0C8F">
      <w:r>
        <w:t>Internally, organisational capabilities represent both a strength and a trigger for change. While NVIDIA’s innovation capabilities are a key asset, rapid growth places strain on its organisational structure, workforce, and leadership systems. Issues such as talent retention, employee burnout, and the need for continuous skill development highlight the importance of effective internal change management.</w:t>
      </w:r>
    </w:p>
    <w:p w14:paraId="67E76EAC" w14:textId="77777777" w:rsidR="000B0C8F" w:rsidRDefault="000B0C8F" w:rsidP="000B0C8F">
      <w:r>
        <w:t>Furthermore, geopolitical and supply chain risks act as external triggers that necessitate internal change. Dependence on external manufacturing partners and exposure to international trade restrictions require NVIDIA to explore diversification strategies and enhance operational resilience.</w:t>
      </w:r>
    </w:p>
    <w:p w14:paraId="1875A62E" w14:textId="39EEBBBE" w:rsidR="005D3B91" w:rsidRDefault="000B0C8F" w:rsidP="000B0C8F">
      <w:r>
        <w:t>In conclusion, NVIDIA faces a complex set of interrelated change drivers, including technological disruption, competitive pressure, and organisational challenges. These factors collectively create a strong imperative for strategic change, requiring the organisation to adopt structured change management approaches to sustain growth and maintain its competitive position within the global technology landscape.</w:t>
      </w:r>
    </w:p>
    <w:p w14:paraId="45F9F6BA" w14:textId="77777777" w:rsidR="005D3B91" w:rsidRDefault="005D3B91"/>
    <w:p w14:paraId="0AB0E3A6" w14:textId="68F48DDA" w:rsidR="005D3B91" w:rsidRDefault="008D60D6" w:rsidP="008D60D6">
      <w:pPr>
        <w:pStyle w:val="Heading1"/>
      </w:pPr>
      <w:bookmarkStart w:id="4" w:name="_Toc225038481"/>
      <w:bookmarkStart w:id="5" w:name="_Toc225109524"/>
      <w:r w:rsidRPr="008D60D6">
        <w:lastRenderedPageBreak/>
        <w:t>Review and Evaluation of Change Management Models</w:t>
      </w:r>
      <w:bookmarkEnd w:id="4"/>
      <w:bookmarkEnd w:id="5"/>
    </w:p>
    <w:p w14:paraId="05E7009C" w14:textId="2E6C89F2" w:rsidR="008D60D6" w:rsidRPr="008D60D6" w:rsidRDefault="008D60D6" w:rsidP="008D60D6">
      <w:pPr>
        <w:pStyle w:val="NoSpacing"/>
      </w:pPr>
      <w:r w:rsidRPr="008D60D6">
        <w:t>Lewin’s Change Model</w:t>
      </w:r>
    </w:p>
    <w:p w14:paraId="3229B21E" w14:textId="77777777" w:rsidR="008D60D6" w:rsidRPr="008D60D6" w:rsidRDefault="008D60D6" w:rsidP="008D60D6">
      <w:r w:rsidRPr="008D60D6">
        <w:t>Lewin’s (1947) three-stage model—unfreeze, change, refreeze—represents one of the earliest and most influential frameworks in change management. The model emphasises the importance of preparing an organisation for change (unfreezing), implementing new behaviours or processes (change), and stabilising these changes to ensure long-term sustainability (refreezing).</w:t>
      </w:r>
    </w:p>
    <w:p w14:paraId="04A30211" w14:textId="2546243C" w:rsidR="008D60D6" w:rsidRPr="008D60D6" w:rsidRDefault="008D60D6" w:rsidP="008D60D6">
      <w:r w:rsidRPr="008D60D6">
        <w:t>A key strength of Lewin’s model lies in its simplicity and clarity, making it accessible and easy to apply. In NVIDIA’s context, the “unfreezing” stage can be associated with recognising the need to shift from a gaming-focused business model to an AI-centric strategy. The “change” stage reflects the organisation’s investment in AI technologies, while “refreezing” would involve embedding these changes into organisational culture and systems.</w:t>
      </w:r>
    </w:p>
    <w:p w14:paraId="68A36B82" w14:textId="0933AF3C" w:rsidR="008D60D6" w:rsidRDefault="008D60D6" w:rsidP="008D60D6">
      <w:r w:rsidRPr="008D60D6">
        <w:t>However, the model has been criticised for its linear and static nature, which may not reflect the realities of modern organisations operating in highly dynamic environments (Burnes, 20</w:t>
      </w:r>
      <w:r w:rsidR="005C23B3">
        <w:t>17</w:t>
      </w:r>
      <w:r w:rsidRPr="008D60D6">
        <w:t>). NVIDIA’s continuous innovation cycles and rapidly evolving market conditions challenge the notion of a stable “refreeze” stage. In practice, organisations such as NVIDIA are in a constant state of flux, requiring ongoing adaptation rather than a fixed end state.</w:t>
      </w:r>
    </w:p>
    <w:p w14:paraId="2E608341" w14:textId="5BC893A2" w:rsidR="008D60D6" w:rsidRPr="008D60D6" w:rsidRDefault="008D60D6" w:rsidP="008D60D6">
      <w:r w:rsidRPr="008D60D6">
        <w:t>Furthermore, Lewin’s model does not sufficiently address the role of leadership, communication, and employee engagement in driving change. These limitations reduce its applicability as a standalone framework for complex, large-scale transformations. Nonetheless, the model remains valuable as a conceptual foundation for understanding the stages of change.</w:t>
      </w:r>
    </w:p>
    <w:p w14:paraId="21BF27C5" w14:textId="77777777" w:rsidR="00F75ACA" w:rsidRPr="00F75ACA" w:rsidRDefault="00F75ACA" w:rsidP="00F75ACA">
      <w:pPr>
        <w:pStyle w:val="NoSpacing"/>
      </w:pPr>
      <w:r w:rsidRPr="00F75ACA">
        <w:t xml:space="preserve">Kotter’s 8-Step Model </w:t>
      </w:r>
    </w:p>
    <w:p w14:paraId="003454D4" w14:textId="77777777" w:rsidR="00754789" w:rsidRPr="00754789" w:rsidRDefault="00754789" w:rsidP="00754789">
      <w:r w:rsidRPr="00754789">
        <w:t>Kotter’s (1996) 8-Step Model builds on earlier theories by providing a more detailed and actionable framework for managing organisational change. The model includes steps such as creating a sense of urgency, forming a guiding coalition, developing a vision, and anchoring change within organisational culture.</w:t>
      </w:r>
    </w:p>
    <w:p w14:paraId="72A70525" w14:textId="77777777" w:rsidR="00754789" w:rsidRPr="00754789" w:rsidRDefault="00754789" w:rsidP="00754789">
      <w:r w:rsidRPr="00754789">
        <w:t>One of the primary strengths of Kotter’s model is its emphasis on leadership and communication. For NVIDIA, establishing a clear sense of urgency around AI leadership and market competition is essential to drive organisational alignment. The model’s focus on building a guiding coalition aligns with NVIDIA’s need for strong leadership teams to coordinate change across complex global operations.</w:t>
      </w:r>
    </w:p>
    <w:p w14:paraId="0C7D4083" w14:textId="77777777" w:rsidR="00754789" w:rsidRPr="00754789" w:rsidRDefault="00754789" w:rsidP="00754789">
      <w:r w:rsidRPr="00754789">
        <w:t xml:space="preserve">Additionally, Kotter’s emphasis on short-term wins and continuous communication is particularly relevant in maintaining employee engagement during periods of rapid </w:t>
      </w:r>
      <w:r w:rsidRPr="00754789">
        <w:lastRenderedPageBreak/>
        <w:t>transformation. By demonstrating progress and reinforcing the benefits of change, organisations can reduce resistance and build momentum.</w:t>
      </w:r>
    </w:p>
    <w:p w14:paraId="3C20A699" w14:textId="281A4859" w:rsidR="00754789" w:rsidRPr="00754789" w:rsidRDefault="00754789" w:rsidP="00754789">
      <w:r w:rsidRPr="00754789">
        <w:t xml:space="preserve">However, Kotter’s model is not without limitations. </w:t>
      </w:r>
      <w:r>
        <w:t xml:space="preserve">It is </w:t>
      </w:r>
      <w:r w:rsidR="004314F8" w:rsidRPr="00754789">
        <w:t>argua</w:t>
      </w:r>
      <w:r w:rsidR="004314F8">
        <w:t>ble</w:t>
      </w:r>
      <w:r w:rsidRPr="00754789">
        <w:t xml:space="preserve"> that it remains relatively linear and may not fully accommodate the iterative nature of change in fast-moving industries (Appelbaum et al., 2012). In NVIDIA’s case, where technological advancements and market conditions evolve rapidly, a rigid step-by-step approach may lack flexibility.</w:t>
      </w:r>
    </w:p>
    <w:p w14:paraId="4BA42096" w14:textId="77777777" w:rsidR="00754789" w:rsidRDefault="00754789" w:rsidP="00754789">
      <w:r w:rsidRPr="00754789">
        <w:t>Moreover, the model tends to adopt a top-down perspective, focusing heavily on leadership-driven change while potentially underestimating the importance of individual employee experiences. This limitation highlights the need for complementary approaches that address change at the individual level.</w:t>
      </w:r>
    </w:p>
    <w:p w14:paraId="3C74A956" w14:textId="5980CF7A" w:rsidR="00D33610" w:rsidRDefault="00D33610" w:rsidP="00D33610">
      <w:pPr>
        <w:pStyle w:val="NoSpacing"/>
      </w:pPr>
      <w:r w:rsidRPr="00D33610">
        <w:t>ADKAR Model</w:t>
      </w:r>
    </w:p>
    <w:p w14:paraId="5144F27B" w14:textId="51D39129" w:rsidR="00D33610" w:rsidRPr="00D33610" w:rsidRDefault="00D33610" w:rsidP="00D33610">
      <w:r w:rsidRPr="00D33610">
        <w:t>The ADKAR model, developed by Hiatt (2006), focuses on individual change as the foundation for organisational transformation. The model identifies five key elements: Awareness, Desire, Knowledge, Ability, and Reinforcement.</w:t>
      </w:r>
    </w:p>
    <w:p w14:paraId="5D1737B1" w14:textId="2857164C" w:rsidR="00D33610" w:rsidRPr="00D33610" w:rsidRDefault="00D33610" w:rsidP="00D33610">
      <w:r w:rsidRPr="00D33610">
        <w:t xml:space="preserve">A significant strength of the ADKAR model is its focus on the human dimension of change. In NVIDIA’s context, where highly skilled employees are critical to innovation, ensuring that individuals understand and support organisational change is essential. The model provides a structured approach to managing employee resistance by addressing both </w:t>
      </w:r>
      <w:r w:rsidR="004314F8">
        <w:t xml:space="preserve">the </w:t>
      </w:r>
      <w:r w:rsidRPr="00D33610">
        <w:t>cognitive and behavioural aspects of change.</w:t>
      </w:r>
    </w:p>
    <w:p w14:paraId="5EC0676D" w14:textId="77777777" w:rsidR="00D33610" w:rsidRPr="00D33610" w:rsidRDefault="00D33610" w:rsidP="00D33610">
      <w:r w:rsidRPr="00D33610">
        <w:t>For example, creating awareness of the need for change in response to AI disruption, fostering desire through incentives and leadership engagement, and developing knowledge and ability through training programmes are all highly relevant to NVIDIA’s workforce transformation. The emphasis on reinforcement ensures that changes are sustained over time, addressing one of the key weaknesses of other models.</w:t>
      </w:r>
    </w:p>
    <w:p w14:paraId="164CB08B" w14:textId="2FFF1A8E" w:rsidR="00D33610" w:rsidRPr="00D33610" w:rsidRDefault="00D33610" w:rsidP="00D33610">
      <w:r w:rsidRPr="00D33610">
        <w:t>Despite its strengths, the ADKAR model has limitations. It primarily focuses on individual change and does not explicitly address broader organisational factors such as strategy, structure, and external environment. As a result, it may be insufficient when applied in isolation to large-scale strategic transformations</w:t>
      </w:r>
      <w:r w:rsidR="004314F8">
        <w:t>.</w:t>
      </w:r>
    </w:p>
    <w:p w14:paraId="1FF4EF52" w14:textId="443E2243" w:rsidR="00D33610" w:rsidRPr="00397C58" w:rsidRDefault="00397C58" w:rsidP="00397C58">
      <w:pPr>
        <w:pStyle w:val="NoSpacing"/>
      </w:pPr>
      <w:r w:rsidRPr="00397C58">
        <w:t xml:space="preserve">Justification of a </w:t>
      </w:r>
      <w:r>
        <w:t>h</w:t>
      </w:r>
      <w:r w:rsidRPr="00397C58">
        <w:t>ybrid Model</w:t>
      </w:r>
    </w:p>
    <w:p w14:paraId="6DAC8B5B" w14:textId="77777777" w:rsidR="00397C58" w:rsidRDefault="00397C58" w:rsidP="00397C58">
      <w:r>
        <w:t>Given the limitations of each model, this report proposes a hybrid change management approach combining elements of Lewin, Kotter, and ADKAR to address NVIDIA’s complex change requirements.</w:t>
      </w:r>
    </w:p>
    <w:p w14:paraId="18765F79" w14:textId="77777777" w:rsidR="00397C58" w:rsidRDefault="00397C58" w:rsidP="00397C58">
      <w:r>
        <w:t xml:space="preserve">Lewin’s model provides a useful overarching structure, particularly in conceptualising the transition from a traditional GPU-focused organisation to an AI-driven enterprise. However, to overcome its limitations, Kotter’s model offers a more detailed roadmap for implementation, particularly in relation to leadership, communication, and </w:t>
      </w:r>
      <w:r>
        <w:lastRenderedPageBreak/>
        <w:t>organisational alignment. The emphasis on creating urgency and embedding change within organisational culture is particularly relevant to NVIDIA’s strategic transformation.</w:t>
      </w:r>
    </w:p>
    <w:p w14:paraId="062467EB" w14:textId="77777777" w:rsidR="00397C58" w:rsidRDefault="00397C58" w:rsidP="00397C58">
      <w:r>
        <w:t>At the same time, the inclusion of the ADKAR model ensures that individual-level change is effectively managed. This is critical in a knowledge-intensive organisation such as NVIDIA, where employee engagement, skills development, and behavioural change directly impact organisational performance.</w:t>
      </w:r>
    </w:p>
    <w:p w14:paraId="23F55B91" w14:textId="240B1658" w:rsidR="00397C58" w:rsidRDefault="00397C58" w:rsidP="00397C58">
      <w:r>
        <w:t>The integration of these models enables a more comprehensive approach to change management. Kotter’s framework addresses the strategic and organisational dimensions of change, ADKAR focuses on individual adoption, and Lewin provides a foundational structure for understanding the change process. This combination enhances flexibility, allowing NVIDIA to respond to continuous environmental changes while maintaining alignment with its strategic objectives.</w:t>
      </w:r>
    </w:p>
    <w:p w14:paraId="6F13E2B7" w14:textId="4907CB0F" w:rsidR="00397C58" w:rsidRDefault="00397C58" w:rsidP="00397C58">
      <w:pPr>
        <w:pStyle w:val="Heading1"/>
      </w:pPr>
      <w:bookmarkStart w:id="6" w:name="_Toc225109525"/>
      <w:r w:rsidRPr="00397C58">
        <w:t>Leadership and Organisational Culture</w:t>
      </w:r>
      <w:r>
        <w:t>s</w:t>
      </w:r>
      <w:r w:rsidRPr="00397C58">
        <w:t xml:space="preserve"> in Change</w:t>
      </w:r>
      <w:bookmarkEnd w:id="6"/>
    </w:p>
    <w:p w14:paraId="4334DD1F" w14:textId="61DD5FFD" w:rsidR="00126A67" w:rsidRDefault="00126A67" w:rsidP="00126A67">
      <w:pPr>
        <w:pStyle w:val="NoSpacing"/>
      </w:pPr>
      <w:r w:rsidRPr="00126A67">
        <w:t>Leadership Styles and Their Impact on Change</w:t>
      </w:r>
    </w:p>
    <w:p w14:paraId="577E4DC6" w14:textId="7F282C35" w:rsidR="003F2871" w:rsidRDefault="003F2871" w:rsidP="003F2871">
      <w:r>
        <w:t>Leadership is central to driving organisational change. NVIDIA’s leadership, under CEO Jensen Huang, is widely regarded as transformational, characterised by a clear vision, strong communication, and the ability to inspire innovation.</w:t>
      </w:r>
    </w:p>
    <w:p w14:paraId="0B97A486" w14:textId="7BCF3702" w:rsidR="003F2871" w:rsidRDefault="003F2871" w:rsidP="003F2871">
      <w:r>
        <w:t>Transformational leadership focuses on motivating employees to exceed expectations by aligning organisational goals with individual values and fostering a shared vision (Bass and Riggio, 2006). In NVIDIA’s case, the strategic shift towards artificial intelligence has been driven by a compelling vision of becoming a leader in accelerated computing. This approach has enabled the organisation to mobilise resources, attract top talent, and maintain a strong innovation culture. Transformational leadership is particularly effective in periods of radical change, as it encourages creativity, adaptability, and long-term thinking.</w:t>
      </w:r>
    </w:p>
    <w:p w14:paraId="40CEB9AC" w14:textId="77777777" w:rsidR="003F2871" w:rsidRDefault="003F2871" w:rsidP="003F2871">
      <w:r>
        <w:t>However, reliance on transformational leadership can present risks. The concentration of strategic direction around a visionary leader may create dependency, potentially limiting distributed leadership and organisational resilience. In fast-scaling organisations like NVIDIA, this may hinder the development of middle management capabilities required to sustain long-term growth.</w:t>
      </w:r>
    </w:p>
    <w:p w14:paraId="3D88EE85" w14:textId="77777777" w:rsidR="003F2871" w:rsidRDefault="003F2871" w:rsidP="003F2871">
      <w:r>
        <w:t xml:space="preserve">In contrast, transactional leadership, which focuses on performance management through rewards and penalties, plays a complementary role. NVIDIA’s high-performance culture, characterised by clear targets and accountability, reflects elements of transactional leadership. This approach ensures operational efficiency and short-term goal attainment, particularly in areas such as product development and project delivery. Nevertheless, transactional leadership alone is insufficient for managing </w:t>
      </w:r>
      <w:r>
        <w:lastRenderedPageBreak/>
        <w:t>complex change, as it may not foster the innovation and engagement required in dynamic environments.</w:t>
      </w:r>
    </w:p>
    <w:p w14:paraId="4E996E0E" w14:textId="1DE5422B" w:rsidR="003F2871" w:rsidRDefault="003F2871" w:rsidP="003F2871">
      <w:r>
        <w:t>Situational leadership (Hersey and Blanchard, 19</w:t>
      </w:r>
      <w:r w:rsidR="00126A67">
        <w:t>69</w:t>
      </w:r>
      <w:r>
        <w:t>) provides a more flexible approach, suggesting that leadership style should adapt to the needs of employees and the specific context. In NVIDIA’s rapidly evolving environment, situational leadership is essential to address varying levels of employee readiness, particularly as the organisation expands into new technological domains. For example, highly skilled engineers may require a delegative approach, while less experienced employees may benefit from more directive leadership during periods of change.</w:t>
      </w:r>
    </w:p>
    <w:p w14:paraId="3BB47021" w14:textId="377C6F28" w:rsidR="00397C58" w:rsidRPr="00397C58" w:rsidRDefault="003F2871" w:rsidP="003F2871">
      <w:r>
        <w:t>Overall, NVIDIA’s leadership approach can be characterised as a hybrid model, combining transformational vision with transactional discipline and situational adaptability. This combination enables the organisation to balance innovation with operational efficiency, although challenges remain in ensuring leadership effectiveness at all organisational levels.</w:t>
      </w:r>
    </w:p>
    <w:p w14:paraId="0DBAAC7C" w14:textId="77777777" w:rsidR="00B20A6B" w:rsidRDefault="00126A67" w:rsidP="00126A67">
      <w:pPr>
        <w:pStyle w:val="NoSpacing"/>
      </w:pPr>
      <w:r w:rsidRPr="00126A67">
        <w:t>Organisational Culture and Its Influence on Change</w:t>
      </w:r>
    </w:p>
    <w:p w14:paraId="6F44CBDA" w14:textId="77777777" w:rsidR="00771BC0" w:rsidRDefault="00B20A6B" w:rsidP="00B20A6B">
      <w:r w:rsidRPr="00B20A6B">
        <w:t xml:space="preserve">Organisational culture </w:t>
      </w:r>
      <w:r>
        <w:t xml:space="preserve">dictates </w:t>
      </w:r>
      <w:r w:rsidRPr="00B20A6B">
        <w:t>how change is perceived, accepted, and implemented. Schein’s (20</w:t>
      </w:r>
      <w:r w:rsidR="00771BC0">
        <w:t>04</w:t>
      </w:r>
      <w:r w:rsidRPr="00B20A6B">
        <w:t>) three-level model of organisational culture—artefacts, espoused values, and underlying assumptions—provides a useful framework for analysing NVIDIA’s culture.</w:t>
      </w:r>
    </w:p>
    <w:p w14:paraId="1815AC1C" w14:textId="77777777" w:rsidR="00771BC0" w:rsidRDefault="00771BC0" w:rsidP="00771BC0">
      <w:r>
        <w:t>At the artefact level, NVIDIA demonstrates a strong emphasis on innovation, reflected in its cutting-edge products, fast-paced work environment, and collaborative workspaces. At the level of espoused values, the organisation prioritises technological excellence, problem-solving, and continuous improvement. These values are reinforced through leadership communication and strategic objectives.</w:t>
      </w:r>
    </w:p>
    <w:p w14:paraId="70E4D303" w14:textId="77777777" w:rsidR="00771BC0" w:rsidRDefault="00771BC0" w:rsidP="00771BC0">
      <w:r>
        <w:t>At the deepest level, underlying assumptions within NVIDIA’s culture include a belief in the importance of innovation, speed, and competitive performance. While these assumptions support organisational success, they may also contribute to high-pressure working conditions and potential employee burnout. This highlights a critical tension within the organisation’s culture, where the drive for excellence may conflict with employee well-being.</w:t>
      </w:r>
    </w:p>
    <w:p w14:paraId="3E8109AE" w14:textId="77777777" w:rsidR="00771BC0" w:rsidRDefault="00771BC0" w:rsidP="00771BC0">
      <w:r>
        <w:t>Hofstede’s (2001) cultural dimensions further illuminate NVIDIA’s organisational culture. The company exhibits characteristics of low power distance, encouraging open communication and idea-sharing, which supports innovation. It also reflects high individualism, valuing personal achievement and expertise, and low uncertainty avoidance, enabling risk-taking and experimentation. These cultural traits are advantageous for managing change in a technology-driven environment, as they promote flexibility and creativity.</w:t>
      </w:r>
    </w:p>
    <w:p w14:paraId="6A309273" w14:textId="35F2CBCB" w:rsidR="00771BC0" w:rsidRDefault="00771BC0" w:rsidP="00771BC0">
      <w:r>
        <w:lastRenderedPageBreak/>
        <w:t>Handy’s (1993) typology suggests that NVIDIA aligns closely with a task culture, where teams are formed to solve specific problems and innovation is prioritised. Task cultures are highly adaptable and suitable for project-based work, making them effective in environments requiring rapid technological development. However, such cultures may lack stability and can create coordination challenges as organisations scale.</w:t>
      </w:r>
    </w:p>
    <w:p w14:paraId="20422328" w14:textId="77777777" w:rsidR="00335BA5" w:rsidRDefault="00335BA5" w:rsidP="00335BA5">
      <w:pPr>
        <w:pStyle w:val="NoSpacing"/>
      </w:pPr>
      <w:r w:rsidRPr="00335BA5">
        <w:t>Leadership and Culture in Managing Change</w:t>
      </w:r>
    </w:p>
    <w:p w14:paraId="434285DE" w14:textId="77777777" w:rsidR="00335BA5" w:rsidRDefault="00335BA5" w:rsidP="00335BA5">
      <w:r>
        <w:t>The interaction between leadership and organisational culture has been central to NVIDIA’s ability to manage change effectively. Transformational leadership has played a key role in articulating a clear strategic vision and fostering a culture of innovation, enabling the organisation to transition successfully towards AI-driven markets.</w:t>
      </w:r>
    </w:p>
    <w:p w14:paraId="7AAB9579" w14:textId="77777777" w:rsidR="00335BA5" w:rsidRDefault="00335BA5" w:rsidP="00335BA5">
      <w:r>
        <w:t>However, the effectiveness of this approach depends on the alignment between leadership practices and organisational culture. While NVIDIA’s culture supports innovation and adaptability, it also presents challenges in terms of sustainability and employee well-being. The high-performance environment may lead to resistance to change if employees experience excessive pressure or lack adequate support.</w:t>
      </w:r>
    </w:p>
    <w:p w14:paraId="49287AE0" w14:textId="3A7C5852" w:rsidR="00335BA5" w:rsidRDefault="00335BA5" w:rsidP="00335BA5">
      <w:r>
        <w:t>Furthermore, the organisation’s reliance on a strong central leader may limit the development of distributed leadership capabilities, which are essential for managing complex, large-scale change. To address this, NVIDIA must adopt a more structured approach to leadership development, ensuring that change management responsibilities are shared across the organisation.</w:t>
      </w:r>
    </w:p>
    <w:p w14:paraId="23876E57" w14:textId="77777777" w:rsidR="00335BA5" w:rsidRDefault="00335BA5" w:rsidP="00335BA5">
      <w:r>
        <w:t>From a change management perspective, the integration of leadership and culture is critical. Effective change requires not only strategic direction but also cultural alignment and employee engagement. NVIDIA’s experience demonstrates that while a strong innovation culture and visionary leadership can drive rapid transformation, sustaining change requires balancing performance with employee well-being and organisational stability.</w:t>
      </w:r>
      <w:r>
        <w:t xml:space="preserve"> </w:t>
      </w:r>
    </w:p>
    <w:p w14:paraId="494D4354" w14:textId="77777777" w:rsidR="00335BA5" w:rsidRDefault="00335BA5" w:rsidP="00335BA5">
      <w:pPr>
        <w:pStyle w:val="Heading1"/>
      </w:pPr>
      <w:bookmarkStart w:id="7" w:name="_Toc225109526"/>
      <w:r w:rsidRPr="00335BA5">
        <w:t>Proposed Strategic Change Management Plan</w:t>
      </w:r>
      <w:bookmarkEnd w:id="7"/>
    </w:p>
    <w:p w14:paraId="47D11396" w14:textId="77777777" w:rsidR="007250AD" w:rsidRDefault="007250AD" w:rsidP="00335BA5">
      <w:pPr>
        <w:pStyle w:val="NoSpacing"/>
      </w:pPr>
      <w:r w:rsidRPr="007250AD">
        <w:t>Change Vision and Objectives</w:t>
      </w:r>
    </w:p>
    <w:p w14:paraId="7BF32313" w14:textId="77777777" w:rsidR="000E5239" w:rsidRDefault="000E5239" w:rsidP="000E5239">
      <w:r>
        <w:t>The proposed change vision for NVIDIA is to establish itself as a resilient, scalable, and ethically responsible global leader in AI and accelerated computing, while reducing operational vulnerabilities and enhancing organisational sustainability. This vision aligns with the organisation’s strategic trajectory but introduces a stronger emphasis on resilience, workforce sustainability, and risk diversification.</w:t>
      </w:r>
    </w:p>
    <w:p w14:paraId="3916D585" w14:textId="77777777" w:rsidR="000E5239" w:rsidRDefault="000E5239" w:rsidP="000E5239">
      <w:r>
        <w:t>The key objectives of this change plan are:</w:t>
      </w:r>
    </w:p>
    <w:p w14:paraId="077BAC54" w14:textId="77777777" w:rsidR="000E5239" w:rsidRDefault="000E5239" w:rsidP="000E5239">
      <w:r>
        <w:t>To diversify supply chain dependencies and reduce geopolitical risk exposure.</w:t>
      </w:r>
    </w:p>
    <w:p w14:paraId="5B8F20A3" w14:textId="7D10C5A8" w:rsidR="000E5239" w:rsidRDefault="000E5239" w:rsidP="000E5239">
      <w:r>
        <w:lastRenderedPageBreak/>
        <w:t>To strengthen organisational capabilities, particularly in talent retention, leadership development, and workforce well-being.</w:t>
      </w:r>
    </w:p>
    <w:p w14:paraId="1CE3EF73" w14:textId="77777777" w:rsidR="000E5239" w:rsidRDefault="000E5239" w:rsidP="000E5239">
      <w:r>
        <w:t>To expand NVIDIA’s AI ecosystem, including software, partnerships, and platform integration.</w:t>
      </w:r>
    </w:p>
    <w:p w14:paraId="3AB2CC08" w14:textId="6F65C745" w:rsidR="007250AD" w:rsidRDefault="000E5239" w:rsidP="000E5239">
      <w:r>
        <w:t>To embed ethical AI practices and sustainability into core operations.</w:t>
      </w:r>
    </w:p>
    <w:p w14:paraId="01329C8E" w14:textId="77777777" w:rsidR="007250AD" w:rsidRDefault="007250AD" w:rsidP="00335BA5">
      <w:pPr>
        <w:pStyle w:val="NoSpacing"/>
      </w:pPr>
      <w:r w:rsidRPr="007250AD">
        <w:t>Stakeholder Analysis</w:t>
      </w:r>
    </w:p>
    <w:p w14:paraId="13015A32" w14:textId="77777777" w:rsidR="000E5239" w:rsidRDefault="000E5239" w:rsidP="000E5239">
      <w:r>
        <w:t>Effective change management requires careful consideration of key stakeholders and their influence on the process.</w:t>
      </w:r>
    </w:p>
    <w:p w14:paraId="05B8346C" w14:textId="77777777" w:rsidR="000E5239" w:rsidRDefault="000E5239" w:rsidP="000E5239">
      <w:r>
        <w:t>Internal stakeholders include employees, senior management, and leadership teams. Employees are critical to implementation, particularly in a knowledge-intensive organisation, and may resist change due to increased workloads or uncertainty. Leadership plays a central role in driving vision and ensuring alignment.</w:t>
      </w:r>
    </w:p>
    <w:p w14:paraId="06BFC2F8" w14:textId="550065CB" w:rsidR="000E5239" w:rsidRDefault="000E5239" w:rsidP="000E5239">
      <w:r>
        <w:t>External stakeholders include customers, suppliers, regulators, and investors. Customers demand continuous innovation, while suppliers influence operational capability. Regulators impose constraints that must be managed strategically, and investors expect sustained growth and profitability.</w:t>
      </w:r>
    </w:p>
    <w:p w14:paraId="38765A1E" w14:textId="7E25413C" w:rsidR="000E5239" w:rsidRDefault="000E5239" w:rsidP="000E5239">
      <w:r>
        <w:t>A stakeholder mapping approach suggests prioritising high-power, high-interest stakeholders, such as leadership, key customers, and regulators, while maintaining engagement with employees to ensure successful adoption.</w:t>
      </w:r>
    </w:p>
    <w:p w14:paraId="4258C9A8" w14:textId="77777777" w:rsidR="007250AD" w:rsidRDefault="007250AD" w:rsidP="00335BA5">
      <w:pPr>
        <w:pStyle w:val="NoSpacing"/>
      </w:pPr>
      <w:r w:rsidRPr="007250AD">
        <w:t>Implementation Framework</w:t>
      </w:r>
    </w:p>
    <w:p w14:paraId="4872903E" w14:textId="6A4A4AF8" w:rsidR="000E5239" w:rsidRDefault="00235DFD" w:rsidP="000E5239">
      <w:r>
        <w:t>The</w:t>
      </w:r>
      <w:r w:rsidRPr="00235DFD">
        <w:t xml:space="preserve"> change plan will adopt a hybrid model combining Kotter’s 8-Step framework and ADKAR principles, supported by Lewin’s overarching stages.</w:t>
      </w:r>
    </w:p>
    <w:p w14:paraId="7FB1ADC5" w14:textId="77777777" w:rsidR="00235DFD" w:rsidRDefault="00235DFD" w:rsidP="00235DFD">
      <w:r>
        <w:t>Unfreeze (Lewin): Establish urgency around geopolitical risks and organisational strain. Communicate the need for change through leadership messaging.</w:t>
      </w:r>
    </w:p>
    <w:p w14:paraId="5E6464FC" w14:textId="77777777" w:rsidR="00235DFD" w:rsidRDefault="00235DFD" w:rsidP="00235DFD">
      <w:r>
        <w:t>Kotter Steps:</w:t>
      </w:r>
    </w:p>
    <w:p w14:paraId="4C8312A7" w14:textId="77777777" w:rsidR="00235DFD" w:rsidRDefault="00235DFD" w:rsidP="00235DFD">
      <w:r>
        <w:t>Create urgency and build a guiding coalition</w:t>
      </w:r>
    </w:p>
    <w:p w14:paraId="5B6F7B37" w14:textId="77777777" w:rsidR="00235DFD" w:rsidRDefault="00235DFD" w:rsidP="00235DFD">
      <w:r>
        <w:t>Develop and communicate a clear vision</w:t>
      </w:r>
    </w:p>
    <w:p w14:paraId="5ED6D20F" w14:textId="77777777" w:rsidR="00235DFD" w:rsidRDefault="00235DFD" w:rsidP="00235DFD">
      <w:r>
        <w:t>Empower employees and remove barriers</w:t>
      </w:r>
    </w:p>
    <w:p w14:paraId="7245648F" w14:textId="77777777" w:rsidR="00235DFD" w:rsidRDefault="00235DFD" w:rsidP="00235DFD">
      <w:r>
        <w:t>Generate short-term wins (e.g., new partnerships, internal initiatives)</w:t>
      </w:r>
    </w:p>
    <w:p w14:paraId="6B2FBD5B" w14:textId="77777777" w:rsidR="00235DFD" w:rsidRDefault="00235DFD" w:rsidP="00235DFD">
      <w:r>
        <w:t>ADKAR Integration:</w:t>
      </w:r>
    </w:p>
    <w:p w14:paraId="21802C32" w14:textId="77777777" w:rsidR="00235DFD" w:rsidRDefault="00235DFD" w:rsidP="00235DFD">
      <w:r>
        <w:t>Build awareness and desire among employees</w:t>
      </w:r>
    </w:p>
    <w:p w14:paraId="4D2C2F70" w14:textId="77777777" w:rsidR="00235DFD" w:rsidRDefault="00235DFD" w:rsidP="00235DFD">
      <w:r>
        <w:t>Provide training (knowledge and ability)</w:t>
      </w:r>
    </w:p>
    <w:p w14:paraId="3324BB26" w14:textId="77777777" w:rsidR="00235DFD" w:rsidRDefault="00235DFD" w:rsidP="00235DFD">
      <w:r>
        <w:t>Reinforce new behaviours through performance systems</w:t>
      </w:r>
    </w:p>
    <w:p w14:paraId="6D56BE71" w14:textId="33D4EBAA" w:rsidR="00235DFD" w:rsidRDefault="00235DFD" w:rsidP="00235DFD">
      <w:r>
        <w:lastRenderedPageBreak/>
        <w:t>Refreeze (Lewin): Embed changes into organisational culture, systems, and leadership practices.</w:t>
      </w:r>
    </w:p>
    <w:p w14:paraId="42FBED24" w14:textId="77777777" w:rsidR="007250AD" w:rsidRDefault="007250AD" w:rsidP="00335BA5">
      <w:pPr>
        <w:pStyle w:val="NoSpacing"/>
      </w:pPr>
      <w:r w:rsidRPr="007250AD">
        <w:t>Communication Plan</w:t>
      </w:r>
    </w:p>
    <w:p w14:paraId="77A70203" w14:textId="77777777" w:rsidR="00235DFD" w:rsidRDefault="00235DFD" w:rsidP="00235DFD">
      <w:r>
        <w:t>The communication strategy will focus on clarity, consistency, and transparency.</w:t>
      </w:r>
    </w:p>
    <w:p w14:paraId="2C341626" w14:textId="77777777" w:rsidR="00235DFD" w:rsidRDefault="00235DFD" w:rsidP="00235DFD">
      <w:r>
        <w:t>Internal communication: Regular leadership briefings, team meetings, and digital platforms will be used to explain the rationale for change, expected outcomes, and individual roles. Two-way communication channels, such as feedback sessions and surveys, will encourage employee involvement.</w:t>
      </w:r>
    </w:p>
    <w:p w14:paraId="5E6707C6" w14:textId="6542708A" w:rsidR="00235DFD" w:rsidRDefault="00235DFD" w:rsidP="00235DFD">
      <w:r>
        <w:t>External communication: Stakeholders, including investors and customers, will be informed through reports, press releases, and strategic updates to maintain confidence and transparency.</w:t>
      </w:r>
    </w:p>
    <w:p w14:paraId="58D7ADA6" w14:textId="77777777" w:rsidR="007250AD" w:rsidRDefault="007250AD" w:rsidP="00335BA5">
      <w:pPr>
        <w:pStyle w:val="NoSpacing"/>
      </w:pPr>
      <w:r w:rsidRPr="007250AD">
        <w:t>Financial and Resource Plan</w:t>
      </w:r>
    </w:p>
    <w:p w14:paraId="64193F35" w14:textId="77777777" w:rsidR="00235DFD" w:rsidRDefault="00235DFD" w:rsidP="00235DFD">
      <w:r>
        <w:t>The successful implementation of this change plan requires significant financial and resource investment.</w:t>
      </w:r>
    </w:p>
    <w:p w14:paraId="4848B006" w14:textId="77777777" w:rsidR="00235DFD" w:rsidRDefault="00235DFD" w:rsidP="00235DFD">
      <w:r>
        <w:t>Financial resources will be allocated towards research and development, workforce training, and supply chain diversification. Investment in sustainable technologies and ethical AI governance will also be prioritised.</w:t>
      </w:r>
    </w:p>
    <w:p w14:paraId="2795A8D4" w14:textId="77777777" w:rsidR="00235DFD" w:rsidRDefault="00235DFD" w:rsidP="00235DFD">
      <w:r>
        <w:t>Human resources will focus on recruiting and retaining skilled talent, as well as upskilling existing employees to meet evolving technological demands.</w:t>
      </w:r>
    </w:p>
    <w:p w14:paraId="13A7DF0E" w14:textId="337A8DE8" w:rsidR="00235DFD" w:rsidRDefault="00235DFD" w:rsidP="00235DFD">
      <w:r>
        <w:t>Technological resources include investment in infrastructure, AI platforms, and data management systems.</w:t>
      </w:r>
    </w:p>
    <w:p w14:paraId="739F97EB" w14:textId="77777777" w:rsidR="007250AD" w:rsidRDefault="007250AD" w:rsidP="00335BA5">
      <w:pPr>
        <w:pStyle w:val="NoSpacing"/>
      </w:pPr>
      <w:r w:rsidRPr="007250AD">
        <w:t>Risk Assessment and Mitigation</w:t>
      </w:r>
    </w:p>
    <w:tbl>
      <w:tblPr>
        <w:tblStyle w:val="TableGrid"/>
        <w:tblW w:w="0" w:type="auto"/>
        <w:tblLook w:val="04A0" w:firstRow="1" w:lastRow="0" w:firstColumn="1" w:lastColumn="0" w:noHBand="0" w:noVBand="1"/>
      </w:tblPr>
      <w:tblGrid>
        <w:gridCol w:w="3005"/>
        <w:gridCol w:w="3005"/>
        <w:gridCol w:w="3006"/>
      </w:tblGrid>
      <w:tr w:rsidR="00235DFD" w14:paraId="6E426215" w14:textId="77777777" w:rsidTr="00235DFD">
        <w:tc>
          <w:tcPr>
            <w:tcW w:w="3005" w:type="dxa"/>
          </w:tcPr>
          <w:p w14:paraId="333C96D9" w14:textId="16822D78" w:rsidR="00235DFD" w:rsidRDefault="00235DFD" w:rsidP="00235DFD">
            <w:r>
              <w:t>Factor</w:t>
            </w:r>
          </w:p>
        </w:tc>
        <w:tc>
          <w:tcPr>
            <w:tcW w:w="3005" w:type="dxa"/>
          </w:tcPr>
          <w:p w14:paraId="3673CC1D" w14:textId="27DFCC09" w:rsidR="00235DFD" w:rsidRDefault="00235DFD" w:rsidP="00235DFD">
            <w:r w:rsidRPr="00235DFD">
              <w:t>Risk</w:t>
            </w:r>
          </w:p>
        </w:tc>
        <w:tc>
          <w:tcPr>
            <w:tcW w:w="3006" w:type="dxa"/>
          </w:tcPr>
          <w:p w14:paraId="136A40BE" w14:textId="487274A5" w:rsidR="00235DFD" w:rsidRDefault="00235DFD" w:rsidP="00235DFD">
            <w:r w:rsidRPr="00235DFD">
              <w:t>Mitigation</w:t>
            </w:r>
          </w:p>
        </w:tc>
      </w:tr>
      <w:tr w:rsidR="00235DFD" w14:paraId="6437A634" w14:textId="77777777" w:rsidTr="00235DFD">
        <w:tc>
          <w:tcPr>
            <w:tcW w:w="3005" w:type="dxa"/>
          </w:tcPr>
          <w:p w14:paraId="7E71E469" w14:textId="22D7376B" w:rsidR="00235DFD" w:rsidRDefault="00235DFD" w:rsidP="00235DFD">
            <w:r w:rsidRPr="00235DFD">
              <w:t>Employee resistance</w:t>
            </w:r>
          </w:p>
        </w:tc>
        <w:tc>
          <w:tcPr>
            <w:tcW w:w="3005" w:type="dxa"/>
          </w:tcPr>
          <w:p w14:paraId="72549C55" w14:textId="1083E2F7" w:rsidR="00235DFD" w:rsidRDefault="00235DFD" w:rsidP="00235DFD">
            <w:r w:rsidRPr="00235DFD">
              <w:t>High workloads and uncertainty may lead to disengagement.</w:t>
            </w:r>
          </w:p>
        </w:tc>
        <w:tc>
          <w:tcPr>
            <w:tcW w:w="3006" w:type="dxa"/>
          </w:tcPr>
          <w:p w14:paraId="32FE6363" w14:textId="07DD7697" w:rsidR="00235DFD" w:rsidRDefault="00235DFD" w:rsidP="00235DFD">
            <w:r w:rsidRPr="00235DFD">
              <w:t>Strong communication, training, and support systems.</w:t>
            </w:r>
          </w:p>
        </w:tc>
      </w:tr>
      <w:tr w:rsidR="00235DFD" w14:paraId="0327DCCD" w14:textId="77777777" w:rsidTr="00235DFD">
        <w:tc>
          <w:tcPr>
            <w:tcW w:w="3005" w:type="dxa"/>
          </w:tcPr>
          <w:p w14:paraId="03B9AE27" w14:textId="373CA336" w:rsidR="00235DFD" w:rsidRDefault="00235DFD" w:rsidP="00235DFD">
            <w:r w:rsidRPr="00235DFD">
              <w:t>Supply chain disruption</w:t>
            </w:r>
          </w:p>
        </w:tc>
        <w:tc>
          <w:tcPr>
            <w:tcW w:w="3005" w:type="dxa"/>
          </w:tcPr>
          <w:p w14:paraId="055ABEA7" w14:textId="4A65055A" w:rsidR="00235DFD" w:rsidRDefault="00235DFD" w:rsidP="00235DFD">
            <w:r w:rsidRPr="00235DFD">
              <w:t xml:space="preserve">Continued reliance on external manufacturers poses operational risks. </w:t>
            </w:r>
          </w:p>
        </w:tc>
        <w:tc>
          <w:tcPr>
            <w:tcW w:w="3006" w:type="dxa"/>
          </w:tcPr>
          <w:p w14:paraId="0550ADCA" w14:textId="208B2F7B" w:rsidR="00235DFD" w:rsidRDefault="00235DFD" w:rsidP="00235DFD">
            <w:r w:rsidRPr="00235DFD">
              <w:t>Diversification of suppliers and strategic partnerships.</w:t>
            </w:r>
          </w:p>
        </w:tc>
      </w:tr>
      <w:tr w:rsidR="00235DFD" w14:paraId="4DF3738D" w14:textId="77777777" w:rsidTr="00235DFD">
        <w:tc>
          <w:tcPr>
            <w:tcW w:w="3005" w:type="dxa"/>
          </w:tcPr>
          <w:p w14:paraId="2B4E63B7" w14:textId="3B40BEE7" w:rsidR="00235DFD" w:rsidRDefault="00235DFD" w:rsidP="00235DFD">
            <w:r w:rsidRPr="00235DFD">
              <w:t>Regulatory challenges</w:t>
            </w:r>
          </w:p>
        </w:tc>
        <w:tc>
          <w:tcPr>
            <w:tcW w:w="3005" w:type="dxa"/>
          </w:tcPr>
          <w:p w14:paraId="795422A5" w14:textId="3EC671BF" w:rsidR="00235DFD" w:rsidRDefault="00235DFD" w:rsidP="00235DFD">
            <w:r w:rsidRPr="00235DFD">
              <w:t>Changing regulations may impact market access.</w:t>
            </w:r>
          </w:p>
        </w:tc>
        <w:tc>
          <w:tcPr>
            <w:tcW w:w="3006" w:type="dxa"/>
          </w:tcPr>
          <w:p w14:paraId="2BC20981" w14:textId="4AF481D0" w:rsidR="00235DFD" w:rsidRDefault="00235DFD" w:rsidP="00235DFD">
            <w:r w:rsidRPr="00235DFD">
              <w:t>Ongoing compliance monitoring and strategic adaptation.</w:t>
            </w:r>
          </w:p>
        </w:tc>
      </w:tr>
      <w:tr w:rsidR="00235DFD" w14:paraId="5AE181E9" w14:textId="77777777" w:rsidTr="00235DFD">
        <w:tc>
          <w:tcPr>
            <w:tcW w:w="3005" w:type="dxa"/>
          </w:tcPr>
          <w:p w14:paraId="0FA4D253" w14:textId="1BEDF453" w:rsidR="00235DFD" w:rsidRDefault="00235DFD" w:rsidP="00235DFD">
            <w:r w:rsidRPr="00235DFD">
              <w:t>Financial risk</w:t>
            </w:r>
          </w:p>
        </w:tc>
        <w:tc>
          <w:tcPr>
            <w:tcW w:w="3005" w:type="dxa"/>
          </w:tcPr>
          <w:p w14:paraId="4125756C" w14:textId="65FAD24F" w:rsidR="00235DFD" w:rsidRDefault="00235DFD" w:rsidP="00235DFD">
            <w:r w:rsidRPr="00235DFD">
              <w:t>High investment costs may affect short-term profitability.</w:t>
            </w:r>
          </w:p>
        </w:tc>
        <w:tc>
          <w:tcPr>
            <w:tcW w:w="3006" w:type="dxa"/>
          </w:tcPr>
          <w:p w14:paraId="55167DB6" w14:textId="2EF32117" w:rsidR="00235DFD" w:rsidRDefault="00235DFD" w:rsidP="00235DFD">
            <w:r w:rsidRPr="00235DFD">
              <w:t>Phased implementation and performance monitoring.</w:t>
            </w:r>
          </w:p>
        </w:tc>
      </w:tr>
    </w:tbl>
    <w:p w14:paraId="6D3DF11B" w14:textId="77777777" w:rsidR="00235DFD" w:rsidRDefault="00235DFD" w:rsidP="00235DFD"/>
    <w:p w14:paraId="24AAF209" w14:textId="77777777" w:rsidR="00235DFD" w:rsidRDefault="007250AD" w:rsidP="00335BA5">
      <w:pPr>
        <w:pStyle w:val="NoSpacing"/>
      </w:pPr>
      <w:r w:rsidRPr="007250AD">
        <w:t>Evaluation and KPIs</w:t>
      </w:r>
    </w:p>
    <w:p w14:paraId="41B5DB6D" w14:textId="595C2B7A" w:rsidR="00235DFD" w:rsidRDefault="00235DFD" w:rsidP="00235DFD">
      <w:r>
        <w:t>To ensure the effectiveness of the change plan, clear performance indicators will be established.</w:t>
      </w:r>
    </w:p>
    <w:p w14:paraId="07CDD003" w14:textId="77777777" w:rsidR="00235DFD" w:rsidRDefault="00235DFD" w:rsidP="00235DFD">
      <w:r>
        <w:lastRenderedPageBreak/>
        <w:t>Key Performance Indicators (KPIs) include:</w:t>
      </w:r>
    </w:p>
    <w:p w14:paraId="25A46B20" w14:textId="77777777" w:rsidR="00235DFD" w:rsidRDefault="00235DFD" w:rsidP="00235DFD">
      <w:r>
        <w:t>Financial performance: Revenue growth from AI-related products</w:t>
      </w:r>
    </w:p>
    <w:p w14:paraId="2FAE7661" w14:textId="77777777" w:rsidR="00235DFD" w:rsidRDefault="00235DFD" w:rsidP="00235DFD">
      <w:r>
        <w:t>Operational efficiency: Supply chain diversification metrics</w:t>
      </w:r>
    </w:p>
    <w:p w14:paraId="53003337" w14:textId="77777777" w:rsidR="00235DFD" w:rsidRDefault="00235DFD" w:rsidP="00235DFD">
      <w:r>
        <w:t>Employee engagement: Retention rates and satisfaction scores</w:t>
      </w:r>
    </w:p>
    <w:p w14:paraId="49B9A5DD" w14:textId="77777777" w:rsidR="00235DFD" w:rsidRDefault="00235DFD" w:rsidP="00235DFD">
      <w:r>
        <w:t>Innovation output: Number of new products, patents, or partnerships</w:t>
      </w:r>
    </w:p>
    <w:p w14:paraId="635640C2" w14:textId="721CE3CD" w:rsidR="005D3B91" w:rsidRDefault="00235DFD" w:rsidP="00235DFD">
      <w:r>
        <w:t>Sustainability metrics: Reduction in energy consumption and carbon footprint</w:t>
      </w:r>
    </w:p>
    <w:p w14:paraId="4003097A" w14:textId="22081B2F" w:rsidR="00235DFD" w:rsidRDefault="00326D8E" w:rsidP="00326D8E">
      <w:pPr>
        <w:pStyle w:val="Heading1"/>
      </w:pPr>
      <w:bookmarkStart w:id="8" w:name="_Toc225109527"/>
      <w:r w:rsidRPr="00326D8E">
        <w:t>Discussion and Critical Reflection</w:t>
      </w:r>
      <w:bookmarkEnd w:id="8"/>
    </w:p>
    <w:p w14:paraId="6E973E51" w14:textId="77777777" w:rsidR="00A82856" w:rsidRPr="00A82856" w:rsidRDefault="00A82856" w:rsidP="00A82856">
      <w:r w:rsidRPr="00A82856">
        <w:t>The proposed strategic change plan for NVIDIA demonstrates several key strengths, particularly in its comprehensive and integrated approach to managing complex organisational transformation. By combining elements of Kotter’s, Lewin’s, and ADKAR models, the plan effectively addresses both macro-level strategic change and micro-level employee adoption. This hybrid framework enhances flexibility, allowing NVIDIA to respond to continuous environmental shifts while maintaining structured implementation. Additionally, the emphasis on stakeholder engagement, communication, and workforce development strengthens the likelihood of successful change adoption, particularly in a knowledge-intensive organisation where human capital is a critical asset.</w:t>
      </w:r>
    </w:p>
    <w:p w14:paraId="3B3E9BFE" w14:textId="77777777" w:rsidR="00A82856" w:rsidRPr="00A82856" w:rsidRDefault="00A82856" w:rsidP="00A82856">
      <w:r w:rsidRPr="00A82856">
        <w:t>However, the plan also presents several limitations. Firstly, the reliance on established change management models may not fully capture the unpredictable and non-linear nature of change within high-technology industries. NVIDIA operates in an environment characterised by rapid innovation and disruption, where change is continuous rather than episodic. As such, the concept of “refreezing” may be unrealistic, and the plan may require ongoing adaptation beyond its initial implementation framework. Secondly, the financial and resource demands associated with supply chain diversification and workforce development may pose short-term challenges, particularly in balancing investment with profitability. There is also a potential risk of overestimating the organisation’s capacity to implement multiple strategic initiatives simultaneously.</w:t>
      </w:r>
    </w:p>
    <w:p w14:paraId="6BF32EC5" w14:textId="77777777" w:rsidR="00A82856" w:rsidRPr="00A82856" w:rsidRDefault="00A82856" w:rsidP="00A82856">
      <w:r w:rsidRPr="00A82856">
        <w:t>From an ethical perspective, the plan places appropriate emphasis on responsible AI development and employee well-being. Addressing ethical concerns surrounding AI, such as bias, transparency, and societal impact, is essential for maintaining stakeholder trust and long-term legitimacy. Furthermore, prioritising employee engagement and reducing burnout reflects a commitment to ethical leadership practices. Nevertheless, ethical challenges remain, particularly in ensuring that rapid technological advancement does not outpace regulatory frameworks or societal readiness.</w:t>
      </w:r>
    </w:p>
    <w:p w14:paraId="6B56310D" w14:textId="77777777" w:rsidR="00A82856" w:rsidRPr="00A82856" w:rsidRDefault="00A82856" w:rsidP="00A82856">
      <w:r w:rsidRPr="00A82856">
        <w:lastRenderedPageBreak/>
        <w:t>In terms of sustainability, the plan recognises the importance of environmental considerations, particularly the energy consumption associated with data centres and AI infrastructure. The inclusion of sustainability metrics and investment in energy-efficient technologies represents a positive step towards aligning organisational growth with environmental responsibility. However, achieving meaningful sustainability outcomes may require deeper structural changes and long-term commitment beyond the scope of the current plan.</w:t>
      </w:r>
    </w:p>
    <w:p w14:paraId="64A4B8BB" w14:textId="77777777" w:rsidR="00A82856" w:rsidRPr="00A82856" w:rsidRDefault="00A82856" w:rsidP="00A82856">
      <w:r w:rsidRPr="00A82856">
        <w:t>In conclusion, while the proposed change plan is robust and strategically aligned, its effectiveness will depend on continuous adaptation, ethical vigilance, and sustained commitment to both organisational and societal objectives.</w:t>
      </w:r>
    </w:p>
    <w:p w14:paraId="09B79670" w14:textId="77777777" w:rsidR="00A82856" w:rsidRDefault="00A82856" w:rsidP="00A82856">
      <w:pPr>
        <w:pStyle w:val="Heading1"/>
      </w:pPr>
      <w:bookmarkStart w:id="9" w:name="_Toc225109528"/>
      <w:r>
        <w:t>C</w:t>
      </w:r>
      <w:r w:rsidRPr="00A82856">
        <w:t>onclusion</w:t>
      </w:r>
      <w:bookmarkEnd w:id="9"/>
      <w:r w:rsidRPr="00A82856">
        <w:t xml:space="preserve"> </w:t>
      </w:r>
    </w:p>
    <w:p w14:paraId="53B255C4" w14:textId="77777777" w:rsidR="00A82856" w:rsidRDefault="00A82856" w:rsidP="00A82856">
      <w:r>
        <w:t>In conclusion, this report has critically analysed the strategic change requirements of NVIDIA within a highly dynamic and technology-driven environment. The analysis of external and internal factors highlighted significant pressures arising from digital disruption, artificial intelligence, geopolitical constraints, and increasing competition. These challenges necessitate a structured and forward-looking approach to change management in order to sustain competitive advantage.</w:t>
      </w:r>
    </w:p>
    <w:p w14:paraId="090B44E3" w14:textId="77777777" w:rsidR="00A82856" w:rsidRDefault="00A82856" w:rsidP="00A82856">
      <w:r>
        <w:t>The evaluation of change management models demonstrated that no single framework is sufficient to address the complexity of large-scale organisational transformation. Consequently, a hybrid approach integrating Lewin’s, Kotter’s, and ADKAR models was proposed to balance strategic direction with individual-level change adoption. Furthermore, the analysis of leadership and organisational culture emphasised the importance of transformational leadership and an innovation-driven culture in enabling effective change, while also recognising the risks associated with high-performance environments.</w:t>
      </w:r>
    </w:p>
    <w:p w14:paraId="1176CD31" w14:textId="77777777" w:rsidR="00A82856" w:rsidRDefault="00A82856" w:rsidP="00A82856">
      <w:r>
        <w:t>The proposed change management plan provides a comprehensive and practical framework, incorporating clear objectives, stakeholder engagement, communication strategies, and performance evaluation measures. However, its success will depend on continuous adaptation, strong leadership, and alignment between organisational strategy and workforce capabilities.</w:t>
      </w:r>
    </w:p>
    <w:p w14:paraId="62176AB3" w14:textId="4A5F20EE" w:rsidR="00235DFD" w:rsidRDefault="00A82856" w:rsidP="00A82856">
      <w:r>
        <w:t>Ultimately, NVIDIA’s ability to manage change effectively will determine its long-term sustainability and leadership within the global AI and semiconductor industry.</w:t>
      </w:r>
      <w:r w:rsidR="00235DFD">
        <w:br w:type="page"/>
      </w:r>
    </w:p>
    <w:p w14:paraId="4477A996" w14:textId="3FFCD8D6" w:rsidR="005D3B91" w:rsidRPr="005D3B91" w:rsidRDefault="005D3B91" w:rsidP="00754789">
      <w:pPr>
        <w:pStyle w:val="Heading1"/>
      </w:pPr>
      <w:bookmarkStart w:id="10" w:name="_Toc225109529"/>
      <w:r w:rsidRPr="005D3B91">
        <w:lastRenderedPageBreak/>
        <w:t>references</w:t>
      </w:r>
      <w:bookmarkEnd w:id="10"/>
    </w:p>
    <w:p w14:paraId="52B7E5C2" w14:textId="70DB46C0" w:rsidR="00D33610" w:rsidRDefault="00D33610">
      <w:r w:rsidRPr="00D33610">
        <w:t xml:space="preserve">Appelbaum, S.H., Habashy, S., Malo, J. and Shafiq, H. (2012). Back to the future: Revisiting Kotter’s 1996 Change Model. </w:t>
      </w:r>
      <w:r w:rsidRPr="00D33610">
        <w:rPr>
          <w:i/>
          <w:iCs/>
        </w:rPr>
        <w:t>Journal of Management Development</w:t>
      </w:r>
      <w:r w:rsidRPr="00D33610">
        <w:t xml:space="preserve">, [online] 31(8), pp.764–782. </w:t>
      </w:r>
      <w:proofErr w:type="spellStart"/>
      <w:proofErr w:type="gramStart"/>
      <w:r w:rsidRPr="00D33610">
        <w:t>doi:https</w:t>
      </w:r>
      <w:proofErr w:type="spellEnd"/>
      <w:r w:rsidRPr="00D33610">
        <w:t>://doi.org/10.1108/02621711211253231</w:t>
      </w:r>
      <w:proofErr w:type="gramEnd"/>
      <w:r w:rsidRPr="00D33610">
        <w:t>.</w:t>
      </w:r>
    </w:p>
    <w:p w14:paraId="2D1EE016" w14:textId="3B9F6F95" w:rsidR="003F2871" w:rsidRDefault="003F2871">
      <w:r w:rsidRPr="003F2871">
        <w:t xml:space="preserve">Bass, B.M. and Riggio, R.E. (2006). </w:t>
      </w:r>
      <w:r w:rsidRPr="003F2871">
        <w:rPr>
          <w:i/>
          <w:iCs/>
        </w:rPr>
        <w:t>Transformational Leadership</w:t>
      </w:r>
      <w:r w:rsidRPr="003F2871">
        <w:t>. 2nd ed. New York: Routledge.</w:t>
      </w:r>
    </w:p>
    <w:p w14:paraId="54F6320B" w14:textId="555FAE8B" w:rsidR="005C23B3" w:rsidRDefault="005C23B3">
      <w:r w:rsidRPr="005C23B3">
        <w:t xml:space="preserve">Burnes, B. (2017). </w:t>
      </w:r>
      <w:r w:rsidRPr="005C23B3">
        <w:rPr>
          <w:i/>
          <w:iCs/>
        </w:rPr>
        <w:t>Managing Change</w:t>
      </w:r>
      <w:r w:rsidRPr="005C23B3">
        <w:t>. 7th ed. Harlow: Pearson Education Limited.</w:t>
      </w:r>
    </w:p>
    <w:p w14:paraId="23DA3179" w14:textId="5BBED135" w:rsidR="005D3B91" w:rsidRDefault="005D3B91">
      <w:r w:rsidRPr="005D3B91">
        <w:t>Cognativ.com. (2025). </w:t>
      </w:r>
      <w:r w:rsidRPr="005D3B91">
        <w:rPr>
          <w:i/>
          <w:iCs/>
        </w:rPr>
        <w:t>How Can Nvidia Maintain Its Competitive Edge in the AI Chip Market</w:t>
      </w:r>
      <w:r w:rsidRPr="005D3B91">
        <w:t xml:space="preserve">. [online] Available at: </w:t>
      </w:r>
      <w:hyperlink r:id="rId11" w:history="1">
        <w:r w:rsidRPr="008815A3">
          <w:rPr>
            <w:rStyle w:val="Hyperlink"/>
          </w:rPr>
          <w:t>https://www.cognativ.com/blogs/post/how-can-nvidia-maintain-its-competitive-edge-in-the-ai-chip-market/289</w:t>
        </w:r>
      </w:hyperlink>
      <w:r w:rsidRPr="005D3B91">
        <w:t>.</w:t>
      </w:r>
    </w:p>
    <w:p w14:paraId="23CD4563" w14:textId="1FA7F420" w:rsidR="008460AE" w:rsidRDefault="008460AE">
      <w:r w:rsidRPr="008460AE">
        <w:t xml:space="preserve">Company Overview. (2024). Available at: </w:t>
      </w:r>
      <w:hyperlink r:id="rId12" w:history="1">
        <w:r w:rsidR="00016AC6" w:rsidRPr="000A5881">
          <w:rPr>
            <w:rStyle w:val="Hyperlink"/>
          </w:rPr>
          <w:t>https://s201.q4cdn.com/141608511/files/doc_presentations/2024/Feb/NVDA-Company-Overview-2024-02-21.pdf</w:t>
        </w:r>
      </w:hyperlink>
      <w:r w:rsidRPr="008460AE">
        <w:t>.</w:t>
      </w:r>
    </w:p>
    <w:p w14:paraId="253A2A37" w14:textId="5B246707" w:rsidR="00AB503E" w:rsidRDefault="00AB503E">
      <w:r w:rsidRPr="00AB503E">
        <w:t>Handy, C. (1993). Understanding organisations. Penguin.</w:t>
      </w:r>
    </w:p>
    <w:p w14:paraId="550032C8" w14:textId="3020282D" w:rsidR="00126A67" w:rsidRDefault="00126A67">
      <w:r w:rsidRPr="00126A67">
        <w:t>Hersey, P. and Blanchard, K. H. (1969). </w:t>
      </w:r>
      <w:r w:rsidRPr="00126A67">
        <w:rPr>
          <w:i/>
          <w:iCs/>
        </w:rPr>
        <w:t xml:space="preserve">Management of Organizational </w:t>
      </w:r>
      <w:proofErr w:type="spellStart"/>
      <w:r w:rsidRPr="00126A67">
        <w:rPr>
          <w:i/>
          <w:iCs/>
        </w:rPr>
        <w:t>Behavior</w:t>
      </w:r>
      <w:proofErr w:type="spellEnd"/>
      <w:r w:rsidRPr="00126A67">
        <w:rPr>
          <w:i/>
          <w:iCs/>
        </w:rPr>
        <w:t xml:space="preserve"> – Utilizing Human Resources</w:t>
      </w:r>
      <w:r w:rsidRPr="00126A67">
        <w:t>. New Jersey/Prentice Hall.</w:t>
      </w:r>
    </w:p>
    <w:p w14:paraId="47B420CE" w14:textId="77777777" w:rsidR="0091201A" w:rsidRDefault="0091201A" w:rsidP="0091201A">
      <w:r w:rsidRPr="0091201A">
        <w:t xml:space="preserve">Hofstede, G. (2001). </w:t>
      </w:r>
      <w:r w:rsidRPr="0091201A">
        <w:rPr>
          <w:i/>
          <w:iCs/>
        </w:rPr>
        <w:t xml:space="preserve">Culture’s </w:t>
      </w:r>
      <w:proofErr w:type="gramStart"/>
      <w:r w:rsidRPr="0091201A">
        <w:rPr>
          <w:i/>
          <w:iCs/>
        </w:rPr>
        <w:t>Consequences :</w:t>
      </w:r>
      <w:proofErr w:type="gramEnd"/>
      <w:r w:rsidRPr="0091201A">
        <w:rPr>
          <w:i/>
          <w:iCs/>
        </w:rPr>
        <w:t xml:space="preserve"> Comparing values, </w:t>
      </w:r>
      <w:proofErr w:type="spellStart"/>
      <w:r w:rsidRPr="0091201A">
        <w:rPr>
          <w:i/>
          <w:iCs/>
        </w:rPr>
        <w:t>behaviors</w:t>
      </w:r>
      <w:proofErr w:type="spellEnd"/>
      <w:r w:rsidRPr="0091201A">
        <w:rPr>
          <w:i/>
          <w:iCs/>
        </w:rPr>
        <w:t>, institutions, and Organizations across Nations</w:t>
      </w:r>
      <w:r w:rsidRPr="0091201A">
        <w:t xml:space="preserve">. 2nd ed. Thousand Oaks, </w:t>
      </w:r>
      <w:proofErr w:type="gramStart"/>
      <w:r w:rsidRPr="0091201A">
        <w:t>Calif. ;</w:t>
      </w:r>
      <w:proofErr w:type="gramEnd"/>
      <w:r w:rsidRPr="0091201A">
        <w:t xml:space="preserve"> London: Sage.</w:t>
      </w:r>
    </w:p>
    <w:p w14:paraId="0B9BFC0F" w14:textId="56AE2820" w:rsidR="00C87E2F" w:rsidRPr="0091201A" w:rsidRDefault="00C87E2F" w:rsidP="0091201A">
      <w:r w:rsidRPr="00C87E2F">
        <w:t xml:space="preserve">Hughes, T. (2025). </w:t>
      </w:r>
      <w:r w:rsidRPr="00C87E2F">
        <w:rPr>
          <w:i/>
          <w:iCs/>
        </w:rPr>
        <w:t>AMD Relieves Market Despite Ongoing Share Price Outlook Caution</w:t>
      </w:r>
      <w:r w:rsidRPr="00C87E2F">
        <w:t>. [online] Entrepreneur. Available at: https://www.entrepreneur.com/finance/amd-relieves-market-despite-ongoing-share-price-outlook/491284 [Accessed 2</w:t>
      </w:r>
      <w:r>
        <w:t>0</w:t>
      </w:r>
      <w:r w:rsidRPr="00C87E2F">
        <w:t xml:space="preserve"> Mar. 2026].</w:t>
      </w:r>
    </w:p>
    <w:p w14:paraId="28319E9D" w14:textId="71E82209" w:rsidR="00754789" w:rsidRDefault="00754789">
      <w:r w:rsidRPr="00754789">
        <w:t xml:space="preserve">Kotter, J.P. (1996). </w:t>
      </w:r>
      <w:r w:rsidRPr="00754789">
        <w:rPr>
          <w:i/>
          <w:iCs/>
        </w:rPr>
        <w:t>Leading Change</w:t>
      </w:r>
      <w:r w:rsidRPr="00754789">
        <w:t>. Boston: Harvard Business School Press.</w:t>
      </w:r>
    </w:p>
    <w:p w14:paraId="0615F5C6" w14:textId="68588D4D" w:rsidR="005C23B3" w:rsidRDefault="005C23B3">
      <w:r w:rsidRPr="005C23B3">
        <w:t xml:space="preserve">Lewin, K. (1947). </w:t>
      </w:r>
      <w:r w:rsidRPr="005C23B3">
        <w:rPr>
          <w:i/>
          <w:iCs/>
        </w:rPr>
        <w:t>Frontiers in Group Dynamics.</w:t>
      </w:r>
      <w:r w:rsidRPr="005C23B3">
        <w:t xml:space="preserve"> Human Relations.</w:t>
      </w:r>
    </w:p>
    <w:p w14:paraId="4A05297F" w14:textId="76A3F144" w:rsidR="00016AC6" w:rsidRDefault="00016AC6">
      <w:r w:rsidRPr="00016AC6">
        <w:t>Mapping the semiconductor value chain. (2025). </w:t>
      </w:r>
      <w:r w:rsidRPr="00016AC6">
        <w:rPr>
          <w:i/>
          <w:iCs/>
        </w:rPr>
        <w:t>OECD science, technology and industry policy papers</w:t>
      </w:r>
      <w:r w:rsidRPr="00016AC6">
        <w:t xml:space="preserve">. </w:t>
      </w:r>
      <w:proofErr w:type="spellStart"/>
      <w:proofErr w:type="gramStart"/>
      <w:r w:rsidRPr="00016AC6">
        <w:t>doi:https</w:t>
      </w:r>
      <w:proofErr w:type="spellEnd"/>
      <w:r w:rsidRPr="00016AC6">
        <w:t>://doi.org/10.1787/4154cdbf-en</w:t>
      </w:r>
      <w:proofErr w:type="gramEnd"/>
      <w:r w:rsidRPr="00016AC6">
        <w:t>.</w:t>
      </w:r>
    </w:p>
    <w:p w14:paraId="33B32409" w14:textId="2F231DE8" w:rsidR="00016AC6" w:rsidRDefault="005D3B91">
      <w:r w:rsidRPr="005D3B91">
        <w:t>Nvidia (2025). </w:t>
      </w:r>
      <w:r w:rsidRPr="005D3B91">
        <w:rPr>
          <w:i/>
          <w:iCs/>
        </w:rPr>
        <w:t>NVIDIA Company History: Innovations Over the Years</w:t>
      </w:r>
      <w:r w:rsidRPr="005D3B91">
        <w:t xml:space="preserve">. [online] NVIDIA. Available at: </w:t>
      </w:r>
      <w:hyperlink r:id="rId13" w:history="1">
        <w:r w:rsidR="00016AC6" w:rsidRPr="000A5881">
          <w:rPr>
            <w:rStyle w:val="Hyperlink"/>
          </w:rPr>
          <w:t>https://www.nvidia.com/en-us/about-nvidia/corporate-timeline/</w:t>
        </w:r>
      </w:hyperlink>
      <w:r w:rsidRPr="005D3B91">
        <w:t>.</w:t>
      </w:r>
      <w:r w:rsidR="00016AC6">
        <w:t xml:space="preserve"> </w:t>
      </w:r>
    </w:p>
    <w:p w14:paraId="604C2E68" w14:textId="736F2825" w:rsidR="005D3B91" w:rsidRDefault="00D03B73">
      <w:r w:rsidRPr="00D03B73">
        <w:t>Ravi, S. (2023). </w:t>
      </w:r>
      <w:r w:rsidRPr="00D03B73">
        <w:rPr>
          <w:i/>
          <w:iCs/>
        </w:rPr>
        <w:t>2023 State of the U.S. Semiconductor Industry</w:t>
      </w:r>
      <w:r w:rsidRPr="00D03B73">
        <w:t xml:space="preserve">. [online] Semiconductor Industry Association. Available at: </w:t>
      </w:r>
      <w:hyperlink r:id="rId14" w:history="1">
        <w:r w:rsidRPr="000A5881">
          <w:rPr>
            <w:rStyle w:val="Hyperlink"/>
          </w:rPr>
          <w:t>https://www.semiconductors.org/2023-state-of-the-u-s-semiconductor-industry/</w:t>
        </w:r>
      </w:hyperlink>
      <w:r w:rsidRPr="00D03B73">
        <w:t>.</w:t>
      </w:r>
      <w:r>
        <w:t xml:space="preserve"> </w:t>
      </w:r>
    </w:p>
    <w:p w14:paraId="0831E456" w14:textId="5BBE16C0" w:rsidR="00B20A6B" w:rsidRDefault="00771BC0">
      <w:r w:rsidRPr="00771BC0">
        <w:t xml:space="preserve">Schein, E.H. (2004). </w:t>
      </w:r>
      <w:r w:rsidRPr="00771BC0">
        <w:rPr>
          <w:i/>
          <w:iCs/>
        </w:rPr>
        <w:t>Organizational Culture and Leadership</w:t>
      </w:r>
      <w:r w:rsidRPr="00771BC0">
        <w:t xml:space="preserve">. 3rd ed. [online] Jossey-Bass, A Wiley Imprint. Available at: </w:t>
      </w:r>
      <w:hyperlink r:id="rId15" w:history="1">
        <w:r w:rsidRPr="00771BC0">
          <w:rPr>
            <w:rStyle w:val="Hyperlink"/>
          </w:rPr>
          <w:t>https://agustinazubair.wordpress.com/wp-</w:t>
        </w:r>
        <w:r w:rsidRPr="00771BC0">
          <w:rPr>
            <w:rStyle w:val="Hyperlink"/>
          </w:rPr>
          <w:lastRenderedPageBreak/>
          <w:t>content/uploads/2013/04/13-organizational_culture_and_leadership_3rd_edition-p-4581.pdf</w:t>
        </w:r>
      </w:hyperlink>
      <w:r w:rsidRPr="00771BC0">
        <w:t>.</w:t>
      </w:r>
    </w:p>
    <w:p w14:paraId="71FFF0B6" w14:textId="50B16390" w:rsidR="005570C3" w:rsidRDefault="005570C3">
      <w:r w:rsidRPr="005570C3">
        <w:t xml:space="preserve">Surender, S. (2024). </w:t>
      </w:r>
      <w:r w:rsidRPr="005570C3">
        <w:rPr>
          <w:i/>
          <w:iCs/>
        </w:rPr>
        <w:t xml:space="preserve">Nvidia’s Dominance in the AI Chip Market: </w:t>
      </w:r>
      <w:proofErr w:type="spellStart"/>
      <w:r w:rsidRPr="005570C3">
        <w:rPr>
          <w:i/>
          <w:iCs/>
        </w:rPr>
        <w:t>Unraveling</w:t>
      </w:r>
      <w:proofErr w:type="spellEnd"/>
      <w:r w:rsidRPr="005570C3">
        <w:rPr>
          <w:i/>
          <w:iCs/>
        </w:rPr>
        <w:t xml:space="preserve"> the Future of Industry</w:t>
      </w:r>
      <w:r w:rsidRPr="005570C3">
        <w:t xml:space="preserve">. [online] Marketsandmarkets.com. Available at: </w:t>
      </w:r>
      <w:hyperlink r:id="rId16" w:history="1">
        <w:r w:rsidRPr="005570C3">
          <w:rPr>
            <w:rStyle w:val="Hyperlink"/>
          </w:rPr>
          <w:t>https://www.marketsandmarkets.com/blog/SE/nvidia-dominance-in-the-ai-chip-market</w:t>
        </w:r>
      </w:hyperlink>
      <w:r>
        <w:t xml:space="preserve">. </w:t>
      </w:r>
    </w:p>
    <w:p w14:paraId="4484F185" w14:textId="77777777" w:rsidR="005570C3" w:rsidRDefault="005570C3"/>
    <w:p w14:paraId="252CEC37" w14:textId="77777777" w:rsidR="00771BC0" w:rsidRDefault="00771BC0"/>
    <w:sectPr w:rsidR="00771BC0" w:rsidSect="008B76E5">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542D3" w14:textId="77777777" w:rsidR="00245620" w:rsidRDefault="00245620" w:rsidP="008B76E5">
      <w:pPr>
        <w:spacing w:after="0" w:line="240" w:lineRule="auto"/>
      </w:pPr>
      <w:r>
        <w:separator/>
      </w:r>
    </w:p>
  </w:endnote>
  <w:endnote w:type="continuationSeparator" w:id="0">
    <w:p w14:paraId="1E81C66D" w14:textId="77777777" w:rsidR="00245620" w:rsidRDefault="00245620" w:rsidP="008B7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640587"/>
      <w:docPartObj>
        <w:docPartGallery w:val="Page Numbers (Bottom of Page)"/>
        <w:docPartUnique/>
      </w:docPartObj>
    </w:sdtPr>
    <w:sdtContent>
      <w:p w14:paraId="27E8FE38" w14:textId="71053851" w:rsidR="008B76E5" w:rsidRDefault="008B76E5">
        <w:pPr>
          <w:pStyle w:val="Footer"/>
        </w:pPr>
        <w:r>
          <w:fldChar w:fldCharType="begin"/>
        </w:r>
        <w:r>
          <w:instrText>PAGE   \* MERGEFORMAT</w:instrText>
        </w:r>
        <w:r>
          <w:fldChar w:fldCharType="separate"/>
        </w:r>
        <w:r>
          <w:t>2</w:t>
        </w:r>
        <w:r>
          <w:fldChar w:fldCharType="end"/>
        </w:r>
      </w:p>
    </w:sdtContent>
  </w:sdt>
  <w:p w14:paraId="3389D580" w14:textId="77777777" w:rsidR="008B76E5" w:rsidRDefault="008B7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93701" w14:textId="77777777" w:rsidR="00245620" w:rsidRDefault="00245620" w:rsidP="008B76E5">
      <w:pPr>
        <w:spacing w:after="0" w:line="240" w:lineRule="auto"/>
      </w:pPr>
      <w:r>
        <w:separator/>
      </w:r>
    </w:p>
  </w:footnote>
  <w:footnote w:type="continuationSeparator" w:id="0">
    <w:p w14:paraId="021C61DE" w14:textId="77777777" w:rsidR="00245620" w:rsidRDefault="00245620" w:rsidP="008B76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3237A4"/>
    <w:multiLevelType w:val="multilevel"/>
    <w:tmpl w:val="B790B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3348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46C"/>
    <w:rsid w:val="00016AC6"/>
    <w:rsid w:val="000311FB"/>
    <w:rsid w:val="00092D9B"/>
    <w:rsid w:val="000B0C8F"/>
    <w:rsid w:val="000C2503"/>
    <w:rsid w:val="000D23DE"/>
    <w:rsid w:val="000E5239"/>
    <w:rsid w:val="0010407F"/>
    <w:rsid w:val="00126A67"/>
    <w:rsid w:val="00186AA8"/>
    <w:rsid w:val="001C70C5"/>
    <w:rsid w:val="001F0730"/>
    <w:rsid w:val="00235DFD"/>
    <w:rsid w:val="00245620"/>
    <w:rsid w:val="00246652"/>
    <w:rsid w:val="00326D8E"/>
    <w:rsid w:val="00335BA5"/>
    <w:rsid w:val="00397C58"/>
    <w:rsid w:val="003F2871"/>
    <w:rsid w:val="00402495"/>
    <w:rsid w:val="004314F8"/>
    <w:rsid w:val="005517DE"/>
    <w:rsid w:val="005570C3"/>
    <w:rsid w:val="00564220"/>
    <w:rsid w:val="005C23B3"/>
    <w:rsid w:val="005D3B91"/>
    <w:rsid w:val="00652792"/>
    <w:rsid w:val="0066111F"/>
    <w:rsid w:val="00701387"/>
    <w:rsid w:val="007250AD"/>
    <w:rsid w:val="00754789"/>
    <w:rsid w:val="00771BC0"/>
    <w:rsid w:val="007820C4"/>
    <w:rsid w:val="008460AE"/>
    <w:rsid w:val="008B76E5"/>
    <w:rsid w:val="008D60D6"/>
    <w:rsid w:val="0091201A"/>
    <w:rsid w:val="00913E00"/>
    <w:rsid w:val="00951AD2"/>
    <w:rsid w:val="00964113"/>
    <w:rsid w:val="00A82856"/>
    <w:rsid w:val="00AB503E"/>
    <w:rsid w:val="00AB6C7E"/>
    <w:rsid w:val="00B20A6B"/>
    <w:rsid w:val="00BD346C"/>
    <w:rsid w:val="00C33515"/>
    <w:rsid w:val="00C87E2F"/>
    <w:rsid w:val="00D03B73"/>
    <w:rsid w:val="00D33610"/>
    <w:rsid w:val="00D96631"/>
    <w:rsid w:val="00DA4F89"/>
    <w:rsid w:val="00F75ACA"/>
    <w:rsid w:val="00FF6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89A89"/>
  <w15:chartTrackingRefBased/>
  <w15:docId w15:val="{C6FB732E-9926-40D4-B3FA-34E2C6092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6652"/>
    <w:pPr>
      <w:keepNext/>
      <w:keepLines/>
      <w:spacing w:before="360" w:after="80"/>
      <w:jc w:val="center"/>
      <w:outlineLvl w:val="0"/>
    </w:pPr>
    <w:rPr>
      <w:rFonts w:asciiTheme="majorHAnsi" w:eastAsiaTheme="majorEastAsia" w:hAnsiTheme="majorHAnsi" w:cstheme="majorBidi"/>
      <w:color w:val="BF4E14" w:themeColor="accent2" w:themeShade="BF"/>
      <w:sz w:val="40"/>
      <w:szCs w:val="40"/>
      <w:u w:val="single"/>
    </w:rPr>
  </w:style>
  <w:style w:type="paragraph" w:styleId="Heading2">
    <w:name w:val="heading 2"/>
    <w:basedOn w:val="Normal"/>
    <w:next w:val="Normal"/>
    <w:link w:val="Heading2Char"/>
    <w:uiPriority w:val="9"/>
    <w:semiHidden/>
    <w:unhideWhenUsed/>
    <w:qFormat/>
    <w:rsid w:val="00BD34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34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34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34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34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34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34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34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652"/>
    <w:rPr>
      <w:rFonts w:asciiTheme="majorHAnsi" w:eastAsiaTheme="majorEastAsia" w:hAnsiTheme="majorHAnsi" w:cstheme="majorBidi"/>
      <w:color w:val="BF4E14" w:themeColor="accent2" w:themeShade="BF"/>
      <w:sz w:val="40"/>
      <w:szCs w:val="40"/>
      <w:u w:val="single"/>
    </w:rPr>
  </w:style>
  <w:style w:type="character" w:customStyle="1" w:styleId="Heading2Char">
    <w:name w:val="Heading 2 Char"/>
    <w:basedOn w:val="DefaultParagraphFont"/>
    <w:link w:val="Heading2"/>
    <w:uiPriority w:val="9"/>
    <w:semiHidden/>
    <w:rsid w:val="00BD34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34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34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34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34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34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34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346C"/>
    <w:rPr>
      <w:rFonts w:eastAsiaTheme="majorEastAsia" w:cstheme="majorBidi"/>
      <w:color w:val="272727" w:themeColor="text1" w:themeTint="D8"/>
    </w:rPr>
  </w:style>
  <w:style w:type="paragraph" w:styleId="Title">
    <w:name w:val="Title"/>
    <w:basedOn w:val="Normal"/>
    <w:next w:val="Normal"/>
    <w:link w:val="TitleChar"/>
    <w:uiPriority w:val="10"/>
    <w:qFormat/>
    <w:rsid w:val="00BD34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34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34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34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346C"/>
    <w:pPr>
      <w:spacing w:before="160"/>
      <w:jc w:val="center"/>
    </w:pPr>
    <w:rPr>
      <w:i/>
      <w:iCs/>
      <w:color w:val="404040" w:themeColor="text1" w:themeTint="BF"/>
    </w:rPr>
  </w:style>
  <w:style w:type="character" w:customStyle="1" w:styleId="QuoteChar">
    <w:name w:val="Quote Char"/>
    <w:basedOn w:val="DefaultParagraphFont"/>
    <w:link w:val="Quote"/>
    <w:uiPriority w:val="29"/>
    <w:rsid w:val="00BD346C"/>
    <w:rPr>
      <w:i/>
      <w:iCs/>
      <w:color w:val="404040" w:themeColor="text1" w:themeTint="BF"/>
    </w:rPr>
  </w:style>
  <w:style w:type="paragraph" w:styleId="ListParagraph">
    <w:name w:val="List Paragraph"/>
    <w:basedOn w:val="Normal"/>
    <w:uiPriority w:val="34"/>
    <w:qFormat/>
    <w:rsid w:val="00BD346C"/>
    <w:pPr>
      <w:ind w:left="720"/>
      <w:contextualSpacing/>
    </w:pPr>
  </w:style>
  <w:style w:type="character" w:styleId="IntenseEmphasis">
    <w:name w:val="Intense Emphasis"/>
    <w:basedOn w:val="DefaultParagraphFont"/>
    <w:uiPriority w:val="21"/>
    <w:qFormat/>
    <w:rsid w:val="00BD346C"/>
    <w:rPr>
      <w:i/>
      <w:iCs/>
      <w:color w:val="0F4761" w:themeColor="accent1" w:themeShade="BF"/>
    </w:rPr>
  </w:style>
  <w:style w:type="paragraph" w:styleId="IntenseQuote">
    <w:name w:val="Intense Quote"/>
    <w:basedOn w:val="Normal"/>
    <w:next w:val="Normal"/>
    <w:link w:val="IntenseQuoteChar"/>
    <w:uiPriority w:val="30"/>
    <w:qFormat/>
    <w:rsid w:val="00BD34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346C"/>
    <w:rPr>
      <w:i/>
      <w:iCs/>
      <w:color w:val="0F4761" w:themeColor="accent1" w:themeShade="BF"/>
    </w:rPr>
  </w:style>
  <w:style w:type="character" w:styleId="IntenseReference">
    <w:name w:val="Intense Reference"/>
    <w:basedOn w:val="DefaultParagraphFont"/>
    <w:uiPriority w:val="32"/>
    <w:qFormat/>
    <w:rsid w:val="00BD346C"/>
    <w:rPr>
      <w:b/>
      <w:bCs/>
      <w:smallCaps/>
      <w:color w:val="0F4761" w:themeColor="accent1" w:themeShade="BF"/>
      <w:spacing w:val="5"/>
    </w:rPr>
  </w:style>
  <w:style w:type="character" w:styleId="Hyperlink">
    <w:name w:val="Hyperlink"/>
    <w:basedOn w:val="DefaultParagraphFont"/>
    <w:uiPriority w:val="99"/>
    <w:unhideWhenUsed/>
    <w:rsid w:val="005D3B91"/>
    <w:rPr>
      <w:color w:val="467886" w:themeColor="hyperlink"/>
      <w:u w:val="single"/>
    </w:rPr>
  </w:style>
  <w:style w:type="character" w:styleId="UnresolvedMention">
    <w:name w:val="Unresolved Mention"/>
    <w:basedOn w:val="DefaultParagraphFont"/>
    <w:uiPriority w:val="99"/>
    <w:semiHidden/>
    <w:unhideWhenUsed/>
    <w:rsid w:val="005D3B91"/>
    <w:rPr>
      <w:color w:val="605E5C"/>
      <w:shd w:val="clear" w:color="auto" w:fill="E1DFDD"/>
    </w:rPr>
  </w:style>
  <w:style w:type="paragraph" w:styleId="Header">
    <w:name w:val="header"/>
    <w:basedOn w:val="Normal"/>
    <w:link w:val="HeaderChar"/>
    <w:uiPriority w:val="99"/>
    <w:unhideWhenUsed/>
    <w:rsid w:val="008B76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6E5"/>
  </w:style>
  <w:style w:type="paragraph" w:styleId="Footer">
    <w:name w:val="footer"/>
    <w:basedOn w:val="Normal"/>
    <w:link w:val="FooterChar"/>
    <w:uiPriority w:val="99"/>
    <w:unhideWhenUsed/>
    <w:rsid w:val="008B76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6E5"/>
  </w:style>
  <w:style w:type="paragraph" w:styleId="NoSpacing">
    <w:name w:val="No Spacing"/>
    <w:link w:val="NoSpacingChar"/>
    <w:uiPriority w:val="1"/>
    <w:qFormat/>
    <w:rsid w:val="00397C58"/>
    <w:pPr>
      <w:spacing w:after="0" w:line="240" w:lineRule="auto"/>
      <w:jc w:val="center"/>
    </w:pPr>
    <w:rPr>
      <w:rFonts w:eastAsiaTheme="minorEastAsia"/>
      <w:kern w:val="0"/>
      <w:sz w:val="22"/>
      <w:szCs w:val="22"/>
      <w:u w:val="single"/>
      <w:lang w:eastAsia="en-GB"/>
      <w14:ligatures w14:val="none"/>
    </w:rPr>
  </w:style>
  <w:style w:type="character" w:customStyle="1" w:styleId="NoSpacingChar">
    <w:name w:val="No Spacing Char"/>
    <w:basedOn w:val="DefaultParagraphFont"/>
    <w:link w:val="NoSpacing"/>
    <w:uiPriority w:val="1"/>
    <w:rsid w:val="00397C58"/>
    <w:rPr>
      <w:rFonts w:eastAsiaTheme="minorEastAsia"/>
      <w:kern w:val="0"/>
      <w:sz w:val="22"/>
      <w:szCs w:val="22"/>
      <w:u w:val="single"/>
      <w:lang w:eastAsia="en-GB"/>
      <w14:ligatures w14:val="none"/>
    </w:rPr>
  </w:style>
  <w:style w:type="table" w:styleId="TableGrid">
    <w:name w:val="Table Grid"/>
    <w:basedOn w:val="TableNormal"/>
    <w:uiPriority w:val="39"/>
    <w:rsid w:val="00092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46652"/>
    <w:pPr>
      <w:spacing w:before="240" w:after="0" w:line="259" w:lineRule="auto"/>
      <w:jc w:val="left"/>
      <w:outlineLvl w:val="9"/>
    </w:pPr>
    <w:rPr>
      <w:color w:val="0F4761" w:themeColor="accent1" w:themeShade="BF"/>
      <w:kern w:val="0"/>
      <w:sz w:val="32"/>
      <w:szCs w:val="32"/>
      <w:u w:val="none"/>
      <w:lang w:eastAsia="en-GB"/>
      <w14:ligatures w14:val="none"/>
    </w:rPr>
  </w:style>
  <w:style w:type="paragraph" w:styleId="TOC1">
    <w:name w:val="toc 1"/>
    <w:basedOn w:val="Normal"/>
    <w:next w:val="Normal"/>
    <w:autoRedefine/>
    <w:uiPriority w:val="39"/>
    <w:unhideWhenUsed/>
    <w:rsid w:val="00246652"/>
    <w:pPr>
      <w:spacing w:after="100"/>
    </w:pPr>
  </w:style>
  <w:style w:type="table" w:styleId="TableGridLight">
    <w:name w:val="Grid Table Light"/>
    <w:basedOn w:val="TableNormal"/>
    <w:uiPriority w:val="40"/>
    <w:rsid w:val="00D966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B0C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107146">
      <w:bodyDiv w:val="1"/>
      <w:marLeft w:val="0"/>
      <w:marRight w:val="0"/>
      <w:marTop w:val="0"/>
      <w:marBottom w:val="0"/>
      <w:divBdr>
        <w:top w:val="none" w:sz="0" w:space="0" w:color="auto"/>
        <w:left w:val="none" w:sz="0" w:space="0" w:color="auto"/>
        <w:bottom w:val="none" w:sz="0" w:space="0" w:color="auto"/>
        <w:right w:val="none" w:sz="0" w:space="0" w:color="auto"/>
      </w:divBdr>
    </w:div>
    <w:div w:id="943463340">
      <w:bodyDiv w:val="1"/>
      <w:marLeft w:val="0"/>
      <w:marRight w:val="0"/>
      <w:marTop w:val="0"/>
      <w:marBottom w:val="0"/>
      <w:divBdr>
        <w:top w:val="none" w:sz="0" w:space="0" w:color="auto"/>
        <w:left w:val="none" w:sz="0" w:space="0" w:color="auto"/>
        <w:bottom w:val="none" w:sz="0" w:space="0" w:color="auto"/>
        <w:right w:val="none" w:sz="0" w:space="0" w:color="auto"/>
      </w:divBdr>
    </w:div>
    <w:div w:id="1300185500">
      <w:bodyDiv w:val="1"/>
      <w:marLeft w:val="0"/>
      <w:marRight w:val="0"/>
      <w:marTop w:val="0"/>
      <w:marBottom w:val="0"/>
      <w:divBdr>
        <w:top w:val="none" w:sz="0" w:space="0" w:color="auto"/>
        <w:left w:val="none" w:sz="0" w:space="0" w:color="auto"/>
        <w:bottom w:val="none" w:sz="0" w:space="0" w:color="auto"/>
        <w:right w:val="none" w:sz="0" w:space="0" w:color="auto"/>
      </w:divBdr>
    </w:div>
    <w:div w:id="1302465867">
      <w:bodyDiv w:val="1"/>
      <w:marLeft w:val="0"/>
      <w:marRight w:val="0"/>
      <w:marTop w:val="0"/>
      <w:marBottom w:val="0"/>
      <w:divBdr>
        <w:top w:val="none" w:sz="0" w:space="0" w:color="auto"/>
        <w:left w:val="none" w:sz="0" w:space="0" w:color="auto"/>
        <w:bottom w:val="none" w:sz="0" w:space="0" w:color="auto"/>
        <w:right w:val="none" w:sz="0" w:space="0" w:color="auto"/>
      </w:divBdr>
    </w:div>
    <w:div w:id="199984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vidia.com/en-us/about-nvidia/corporate-timeline/"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s201.q4cdn.com/141608511/files/doc_presentations/2024/Feb/NVDA-Company-Overview-2024-02-21.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marketsandmarkets.com/blog/SE/nvidia-dominance-in-the-ai-chip-marke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gnativ.com/blogs/post/how-can-nvidia-maintain-its-competitive-edge-in-the-ai-chip-market/289" TargetMode="External"/><Relationship Id="rId5" Type="http://schemas.openxmlformats.org/officeDocument/2006/relationships/settings" Target="settings.xml"/><Relationship Id="rId15" Type="http://schemas.openxmlformats.org/officeDocument/2006/relationships/hyperlink" Target="https://agustinazubair.wordpress.com/wp-content/uploads/2013/04/13-organizational_culture_and_leadership_3rd_edition-p-4581.pdf"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emiconductors.org/2023-state-of-the-u-s-semiconductor-industr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2A19BE19D04142B7C803F6B97DCD2A"/>
        <w:category>
          <w:name w:val="General"/>
          <w:gallery w:val="placeholder"/>
        </w:category>
        <w:types>
          <w:type w:val="bbPlcHdr"/>
        </w:types>
        <w:behaviors>
          <w:behavior w:val="content"/>
        </w:behaviors>
        <w:guid w:val="{4499CEFB-07F4-43BF-9D75-14FCDC6A192F}"/>
      </w:docPartPr>
      <w:docPartBody>
        <w:p w:rsidR="00DF45D3" w:rsidRDefault="009251FD" w:rsidP="009251FD">
          <w:pPr>
            <w:pStyle w:val="022A19BE19D04142B7C803F6B97DCD2A"/>
          </w:pPr>
          <w:r>
            <w:rPr>
              <w:rFonts w:asciiTheme="majorHAnsi" w:eastAsiaTheme="majorEastAsia" w:hAnsiTheme="majorHAnsi" w:cstheme="majorBidi"/>
              <w:caps/>
              <w:color w:val="156082" w:themeColor="accent1"/>
              <w:sz w:val="80"/>
              <w:szCs w:val="80"/>
            </w:rPr>
            <w:t>[Document title]</w:t>
          </w:r>
        </w:p>
      </w:docPartBody>
    </w:docPart>
    <w:docPart>
      <w:docPartPr>
        <w:name w:val="1743F779DA3E48FDA679146FBD1389CC"/>
        <w:category>
          <w:name w:val="General"/>
          <w:gallery w:val="placeholder"/>
        </w:category>
        <w:types>
          <w:type w:val="bbPlcHdr"/>
        </w:types>
        <w:behaviors>
          <w:behavior w:val="content"/>
        </w:behaviors>
        <w:guid w:val="{03A0B07A-4E67-47F0-8161-A4BD785AB356}"/>
      </w:docPartPr>
      <w:docPartBody>
        <w:p w:rsidR="00DF45D3" w:rsidRDefault="009251FD" w:rsidP="009251FD">
          <w:pPr>
            <w:pStyle w:val="1743F779DA3E48FDA679146FBD1389C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1FD"/>
    <w:rsid w:val="00087026"/>
    <w:rsid w:val="001F0730"/>
    <w:rsid w:val="00564220"/>
    <w:rsid w:val="009251FD"/>
    <w:rsid w:val="009D2951"/>
    <w:rsid w:val="00B269A7"/>
    <w:rsid w:val="00DF45D3"/>
    <w:rsid w:val="00FF6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2A19BE19D04142B7C803F6B97DCD2A">
    <w:name w:val="022A19BE19D04142B7C803F6B97DCD2A"/>
    <w:rsid w:val="009251FD"/>
  </w:style>
  <w:style w:type="paragraph" w:customStyle="1" w:styleId="1743F779DA3E48FDA679146FBD1389CC">
    <w:name w:val="1743F779DA3E48FDA679146FBD1389CC"/>
    <w:rsid w:val="009251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Dr. Sujeewa Herath</PublishDate>
  <Abstract/>
  <CompanyAddress>Lamar Walters 2310732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cor26</b:Tag>
    <b:SourceType>InternetSite</b:SourceType>
    <b:Guid>{5BCB222C-567B-492F-8E1E-57A8D5F609B3}</b:Guid>
    <b:Title>corporate timeline</b:Title>
    <b:Year>2026</b:Year>
    <b:Month>March</b:Month>
    <b:Day>10</b:Day>
    <b:InternetSiteTitle>Nvidia</b:InternetSiteTitle>
    <b:URL>https://www.nvidia.com/en-us/about-nvidia/corporate-timeline/</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E5A48E-08EE-475A-A5AE-6F45A250C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18</Pages>
  <Words>5491</Words>
  <Characters>31305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LCLM6003</Company>
  <LinksUpToDate>false</LinksUpToDate>
  <CharactersWithSpaces>36723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Change</dc:title>
  <dc:subject>BA (Hons) Leadership and Management Skills for the Workplace</dc:subject>
  <dc:creator>Lamar Walters (2310732)</dc:creator>
  <cp:keywords/>
  <dc:description/>
  <cp:lastModifiedBy>Lamar Walters (2310732)</cp:lastModifiedBy>
  <cp:revision>10</cp:revision>
  <dcterms:created xsi:type="dcterms:W3CDTF">2026-03-20T09:47:00Z</dcterms:created>
  <dcterms:modified xsi:type="dcterms:W3CDTF">2026-03-22T22:12:00Z</dcterms:modified>
</cp:coreProperties>
</file>