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5BF5C" w14:textId="3D514F84" w:rsidR="00204067" w:rsidRDefault="00204067" w:rsidP="00204067">
      <w:pPr>
        <w:pStyle w:val="BodyText"/>
        <w:ind w:left="244"/>
        <w:rPr>
          <w:rFonts w:ascii="Times New Roman"/>
          <w:sz w:val="20"/>
        </w:rPr>
      </w:pPr>
      <w:r>
        <w:rPr>
          <w:rFonts w:ascii="Times New Roman"/>
          <w:noProof/>
          <w:sz w:val="20"/>
        </w:rPr>
        <w:drawing>
          <wp:inline distT="0" distB="0" distL="0" distR="0" wp14:anchorId="5E3F266B" wp14:editId="23C92065">
            <wp:extent cx="1819852" cy="594074"/>
            <wp:effectExtent l="0" t="0" r="0" b="0"/>
            <wp:docPr id="2" name="Imag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background with white text&#10;&#10;AI-generated content may be incorrect."/>
                    <pic:cNvPicPr/>
                  </pic:nvPicPr>
                  <pic:blipFill>
                    <a:blip r:embed="rId8" cstate="print"/>
                    <a:stretch>
                      <a:fillRect/>
                    </a:stretch>
                  </pic:blipFill>
                  <pic:spPr>
                    <a:xfrm>
                      <a:off x="0" y="0"/>
                      <a:ext cx="1819852" cy="594074"/>
                    </a:xfrm>
                    <a:prstGeom prst="rect">
                      <a:avLst/>
                    </a:prstGeom>
                  </pic:spPr>
                </pic:pic>
              </a:graphicData>
            </a:graphic>
          </wp:inline>
        </w:drawing>
      </w:r>
    </w:p>
    <w:p w14:paraId="481B0AE8" w14:textId="77777777" w:rsidR="00204067" w:rsidRDefault="00204067" w:rsidP="00204067">
      <w:pPr>
        <w:pStyle w:val="BodyText"/>
        <w:spacing w:before="150"/>
        <w:rPr>
          <w:rFonts w:ascii="Times New Roman"/>
          <w:sz w:val="28"/>
        </w:rPr>
      </w:pPr>
    </w:p>
    <w:p w14:paraId="507E41FE" w14:textId="77777777" w:rsidR="00204067" w:rsidRDefault="00204067" w:rsidP="00204067">
      <w:pPr>
        <w:ind w:right="367"/>
        <w:rPr>
          <w:b/>
          <w:sz w:val="28"/>
        </w:rPr>
      </w:pPr>
      <w:r>
        <w:rPr>
          <w:b/>
          <w:sz w:val="28"/>
        </w:rPr>
        <w:t>APPENDIX</w:t>
      </w:r>
      <w:r>
        <w:rPr>
          <w:b/>
          <w:spacing w:val="-8"/>
          <w:sz w:val="28"/>
        </w:rPr>
        <w:t xml:space="preserve"> </w:t>
      </w:r>
      <w:r>
        <w:rPr>
          <w:b/>
          <w:spacing w:val="-4"/>
          <w:sz w:val="28"/>
        </w:rPr>
        <w:t>GA36a</w:t>
      </w:r>
    </w:p>
    <w:p w14:paraId="16B693B4" w14:textId="77777777" w:rsidR="00204067" w:rsidRDefault="00204067" w:rsidP="00204067">
      <w:pPr>
        <w:pStyle w:val="BodyText"/>
        <w:spacing w:before="68"/>
        <w:rPr>
          <w:b/>
          <w:sz w:val="20"/>
        </w:rPr>
      </w:pPr>
    </w:p>
    <w:tbl>
      <w:tblPr>
        <w:tblW w:w="10065"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7"/>
        <w:gridCol w:w="3404"/>
        <w:gridCol w:w="2263"/>
        <w:gridCol w:w="145"/>
        <w:gridCol w:w="2126"/>
      </w:tblGrid>
      <w:tr w:rsidR="00DF551A" w14:paraId="2DD5E693" w14:textId="77777777" w:rsidTr="00DF551A">
        <w:trPr>
          <w:trHeight w:val="647"/>
        </w:trPr>
        <w:tc>
          <w:tcPr>
            <w:tcW w:w="10065" w:type="dxa"/>
            <w:gridSpan w:val="5"/>
            <w:shd w:val="clear" w:color="auto" w:fill="C0C0C0"/>
          </w:tcPr>
          <w:p w14:paraId="3C9150CF" w14:textId="05E50974" w:rsidR="00DF551A" w:rsidRDefault="00DF551A" w:rsidP="007777EF">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DF551A" w14:paraId="755ACB13" w14:textId="77777777" w:rsidTr="00DF551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4A0" w:firstRow="1" w:lastRow="0" w:firstColumn="1" w:lastColumn="0" w:noHBand="0" w:noVBand="1"/>
        </w:tblPrEx>
        <w:trPr>
          <w:trHeight w:val="525"/>
        </w:trPr>
        <w:tc>
          <w:tcPr>
            <w:tcW w:w="2127" w:type="dxa"/>
            <w:tcBorders>
              <w:top w:val="single" w:sz="4" w:space="0" w:color="auto"/>
              <w:left w:val="single" w:sz="4" w:space="0" w:color="auto"/>
              <w:bottom w:val="single" w:sz="4" w:space="0" w:color="auto"/>
              <w:right w:val="single" w:sz="4" w:space="0" w:color="auto"/>
            </w:tcBorders>
            <w:hideMark/>
          </w:tcPr>
          <w:p w14:paraId="0DF31264" w14:textId="77777777" w:rsidR="00DF551A" w:rsidRDefault="00DF551A">
            <w:pPr>
              <w:spacing w:before="120" w:after="120"/>
              <w:jc w:val="both"/>
              <w:rPr>
                <w:rFonts w:eastAsia="Times New Roman"/>
                <w:b/>
                <w:lang w:val="en-GB"/>
              </w:rPr>
            </w:pPr>
            <w:r>
              <w:rPr>
                <w:b/>
              </w:rPr>
              <w:t>Student name:</w:t>
            </w:r>
          </w:p>
        </w:tc>
        <w:tc>
          <w:tcPr>
            <w:tcW w:w="3404" w:type="dxa"/>
            <w:tcBorders>
              <w:top w:val="single" w:sz="4" w:space="0" w:color="auto"/>
              <w:left w:val="single" w:sz="4" w:space="0" w:color="auto"/>
              <w:bottom w:val="single" w:sz="4" w:space="0" w:color="auto"/>
              <w:right w:val="single" w:sz="4" w:space="0" w:color="auto"/>
            </w:tcBorders>
            <w:hideMark/>
          </w:tcPr>
          <w:p w14:paraId="411550E2" w14:textId="1698B3D5" w:rsidR="00DF551A" w:rsidRDefault="00DF551A">
            <w:pPr>
              <w:spacing w:before="120" w:after="120"/>
              <w:jc w:val="both"/>
              <w:rPr>
                <w:b/>
              </w:rPr>
            </w:pPr>
            <w:r>
              <w:rPr>
                <w:b/>
              </w:rPr>
              <w:t>Kristina Masih</w:t>
            </w:r>
          </w:p>
        </w:tc>
        <w:tc>
          <w:tcPr>
            <w:tcW w:w="240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9CCBDAC" w14:textId="77777777" w:rsidR="00DF551A" w:rsidRDefault="00DF551A">
            <w:pPr>
              <w:spacing w:before="120" w:after="120"/>
              <w:jc w:val="both"/>
              <w:rPr>
                <w:b/>
              </w:rPr>
            </w:pPr>
            <w:r>
              <w:rPr>
                <w:b/>
              </w:rPr>
              <w:t>Student ID number:</w:t>
            </w:r>
          </w:p>
        </w:tc>
        <w:tc>
          <w:tcPr>
            <w:tcW w:w="2126" w:type="dxa"/>
            <w:tcBorders>
              <w:top w:val="single" w:sz="4" w:space="0" w:color="auto"/>
              <w:left w:val="single" w:sz="4" w:space="0" w:color="auto"/>
              <w:bottom w:val="single" w:sz="4" w:space="0" w:color="auto"/>
              <w:right w:val="single" w:sz="4" w:space="0" w:color="auto"/>
            </w:tcBorders>
          </w:tcPr>
          <w:p w14:paraId="6E956BF0" w14:textId="61BD3950" w:rsidR="00DF551A" w:rsidRDefault="00DF551A">
            <w:pPr>
              <w:spacing w:before="120" w:after="120"/>
              <w:jc w:val="both"/>
              <w:rPr>
                <w:b/>
              </w:rPr>
            </w:pPr>
            <w:r>
              <w:rPr>
                <w:b/>
              </w:rPr>
              <w:t>2419848</w:t>
            </w:r>
          </w:p>
        </w:tc>
      </w:tr>
      <w:tr w:rsidR="00204067" w14:paraId="13A8A907" w14:textId="77777777" w:rsidTr="00DF551A">
        <w:trPr>
          <w:trHeight w:val="544"/>
        </w:trPr>
        <w:tc>
          <w:tcPr>
            <w:tcW w:w="2127" w:type="dxa"/>
          </w:tcPr>
          <w:p w14:paraId="4448294E" w14:textId="77777777" w:rsidR="00204067" w:rsidRDefault="00204067" w:rsidP="007777EF">
            <w:pPr>
              <w:pStyle w:val="TableParagraph"/>
              <w:spacing w:before="144"/>
              <w:ind w:left="117"/>
              <w:rPr>
                <w:b/>
              </w:rPr>
            </w:pPr>
            <w:proofErr w:type="spellStart"/>
            <w:r>
              <w:rPr>
                <w:b/>
                <w:spacing w:val="-2"/>
              </w:rPr>
              <w:t>Programme</w:t>
            </w:r>
            <w:proofErr w:type="spellEnd"/>
            <w:r>
              <w:rPr>
                <w:b/>
                <w:spacing w:val="-2"/>
              </w:rPr>
              <w:t>:</w:t>
            </w:r>
          </w:p>
        </w:tc>
        <w:tc>
          <w:tcPr>
            <w:tcW w:w="7938" w:type="dxa"/>
            <w:gridSpan w:val="4"/>
          </w:tcPr>
          <w:p w14:paraId="1F657E3D" w14:textId="77777777" w:rsidR="00204067" w:rsidRDefault="00204067" w:rsidP="007777EF">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204067" w14:paraId="7A48469A" w14:textId="77777777" w:rsidTr="00DF551A">
        <w:trPr>
          <w:trHeight w:val="539"/>
        </w:trPr>
        <w:tc>
          <w:tcPr>
            <w:tcW w:w="2127" w:type="dxa"/>
          </w:tcPr>
          <w:p w14:paraId="4869343B" w14:textId="77777777" w:rsidR="00204067" w:rsidRDefault="00204067" w:rsidP="007777EF">
            <w:pPr>
              <w:pStyle w:val="TableParagraph"/>
              <w:spacing w:before="139"/>
              <w:ind w:left="117"/>
              <w:rPr>
                <w:b/>
              </w:rPr>
            </w:pPr>
            <w:r>
              <w:rPr>
                <w:b/>
                <w:spacing w:val="-2"/>
              </w:rPr>
              <w:t>Module:</w:t>
            </w:r>
          </w:p>
        </w:tc>
        <w:tc>
          <w:tcPr>
            <w:tcW w:w="7938" w:type="dxa"/>
            <w:gridSpan w:val="4"/>
          </w:tcPr>
          <w:p w14:paraId="0705883D" w14:textId="71120945" w:rsidR="00204067" w:rsidRDefault="00204067" w:rsidP="007777EF">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r w:rsidR="00C51D66">
              <w:rPr>
                <w:b/>
                <w:spacing w:val="-4"/>
              </w:rPr>
              <w:t xml:space="preserve"> </w:t>
            </w:r>
          </w:p>
        </w:tc>
      </w:tr>
      <w:tr w:rsidR="00204067" w14:paraId="017234D9" w14:textId="77777777" w:rsidTr="00DF551A">
        <w:trPr>
          <w:trHeight w:val="854"/>
        </w:trPr>
        <w:tc>
          <w:tcPr>
            <w:tcW w:w="2127" w:type="dxa"/>
          </w:tcPr>
          <w:p w14:paraId="41C975DC" w14:textId="77777777" w:rsidR="00204067" w:rsidRDefault="00204067" w:rsidP="007777EF">
            <w:pPr>
              <w:pStyle w:val="TableParagraph"/>
              <w:spacing w:before="15"/>
              <w:ind w:left="117"/>
              <w:rPr>
                <w:b/>
              </w:rPr>
            </w:pPr>
            <w:r>
              <w:rPr>
                <w:b/>
              </w:rPr>
              <w:t>Module</w:t>
            </w:r>
            <w:r>
              <w:rPr>
                <w:b/>
                <w:spacing w:val="-8"/>
              </w:rPr>
              <w:t xml:space="preserve"> </w:t>
            </w:r>
            <w:r>
              <w:rPr>
                <w:b/>
                <w:spacing w:val="-2"/>
              </w:rPr>
              <w:t>code:</w:t>
            </w:r>
          </w:p>
        </w:tc>
        <w:tc>
          <w:tcPr>
            <w:tcW w:w="3404" w:type="dxa"/>
          </w:tcPr>
          <w:p w14:paraId="68BB52C2" w14:textId="77777777" w:rsidR="00204067" w:rsidRDefault="00204067" w:rsidP="007777EF">
            <w:pPr>
              <w:pStyle w:val="TableParagraph"/>
              <w:spacing w:before="15"/>
              <w:ind w:left="117"/>
              <w:rPr>
                <w:b/>
              </w:rPr>
            </w:pPr>
            <w:r>
              <w:rPr>
                <w:b/>
                <w:spacing w:val="-2"/>
              </w:rPr>
              <w:t>LCHS4010</w:t>
            </w:r>
          </w:p>
        </w:tc>
        <w:tc>
          <w:tcPr>
            <w:tcW w:w="2263" w:type="dxa"/>
            <w:shd w:val="clear" w:color="auto" w:fill="D9D9D9" w:themeFill="background1" w:themeFillShade="D9"/>
          </w:tcPr>
          <w:p w14:paraId="7562D482" w14:textId="77777777" w:rsidR="00204067" w:rsidRDefault="00204067" w:rsidP="007777EF">
            <w:pPr>
              <w:pStyle w:val="TableParagraph"/>
              <w:tabs>
                <w:tab w:val="left" w:pos="2049"/>
              </w:tabs>
              <w:spacing w:before="15"/>
              <w:ind w:left="117" w:right="-15" w:hanging="113"/>
              <w:rPr>
                <w:b/>
                <w:bCs/>
              </w:rPr>
            </w:pPr>
            <w:r w:rsidRPr="6F47122B">
              <w:rPr>
                <w:b/>
                <w:bCs/>
                <w:spacing w:val="-2"/>
              </w:rPr>
              <w:t xml:space="preserve">Contribution </w:t>
            </w:r>
            <w:r w:rsidRPr="6F47122B">
              <w:rPr>
                <w:b/>
                <w:bCs/>
                <w:spacing w:val="-5"/>
              </w:rPr>
              <w:t>to</w:t>
            </w:r>
          </w:p>
          <w:p w14:paraId="6B7F7EFA" w14:textId="77777777" w:rsidR="00204067" w:rsidRDefault="00204067" w:rsidP="007777EF">
            <w:pPr>
              <w:pStyle w:val="TableParagraph"/>
              <w:tabs>
                <w:tab w:val="left" w:pos="1489"/>
              </w:tabs>
              <w:spacing w:before="10" w:line="270" w:lineRule="atLeast"/>
              <w:ind w:left="117" w:right="-15"/>
              <w:rPr>
                <w:b/>
                <w:bCs/>
              </w:rPr>
            </w:pPr>
            <w:r w:rsidRPr="6F47122B">
              <w:rPr>
                <w:b/>
                <w:bCs/>
                <w:spacing w:val="-2"/>
              </w:rPr>
              <w:t xml:space="preserve">Overall Module </w:t>
            </w:r>
            <w:r w:rsidRPr="6F47122B">
              <w:rPr>
                <w:b/>
                <w:bCs/>
              </w:rPr>
              <w:t>Assessment (%):</w:t>
            </w:r>
          </w:p>
        </w:tc>
        <w:tc>
          <w:tcPr>
            <w:tcW w:w="2271" w:type="dxa"/>
            <w:gridSpan w:val="2"/>
          </w:tcPr>
          <w:p w14:paraId="1537317D" w14:textId="77777777" w:rsidR="00204067" w:rsidRDefault="00204067" w:rsidP="007777EF">
            <w:pPr>
              <w:pStyle w:val="TableParagraph"/>
              <w:spacing w:before="15"/>
              <w:ind w:left="124"/>
              <w:rPr>
                <w:b/>
              </w:rPr>
            </w:pPr>
            <w:r>
              <w:rPr>
                <w:b/>
                <w:spacing w:val="-5"/>
              </w:rPr>
              <w:t>50%</w:t>
            </w:r>
          </w:p>
        </w:tc>
      </w:tr>
      <w:tr w:rsidR="00204067" w14:paraId="02DCFEE3" w14:textId="77777777" w:rsidTr="00DF551A">
        <w:trPr>
          <w:trHeight w:val="1233"/>
        </w:trPr>
        <w:tc>
          <w:tcPr>
            <w:tcW w:w="2127" w:type="dxa"/>
          </w:tcPr>
          <w:p w14:paraId="1562114C" w14:textId="77777777" w:rsidR="00204067" w:rsidRDefault="00204067" w:rsidP="007777EF">
            <w:pPr>
              <w:pStyle w:val="TableParagraph"/>
              <w:spacing w:before="140"/>
              <w:rPr>
                <w:b/>
              </w:rPr>
            </w:pPr>
          </w:p>
          <w:p w14:paraId="6E3E4761" w14:textId="77777777" w:rsidR="00204067" w:rsidRDefault="00204067" w:rsidP="007777EF">
            <w:pPr>
              <w:pStyle w:val="TableParagraph"/>
              <w:ind w:left="177"/>
              <w:rPr>
                <w:b/>
              </w:rPr>
            </w:pPr>
            <w:r>
              <w:rPr>
                <w:b/>
              </w:rPr>
              <w:t>Module</w:t>
            </w:r>
            <w:r>
              <w:rPr>
                <w:b/>
                <w:spacing w:val="-6"/>
              </w:rPr>
              <w:t xml:space="preserve"> </w:t>
            </w:r>
            <w:r>
              <w:rPr>
                <w:b/>
                <w:spacing w:val="-2"/>
              </w:rPr>
              <w:t>lead:</w:t>
            </w:r>
          </w:p>
        </w:tc>
        <w:tc>
          <w:tcPr>
            <w:tcW w:w="3404" w:type="dxa"/>
          </w:tcPr>
          <w:p w14:paraId="66455779" w14:textId="77777777" w:rsidR="00204067" w:rsidRPr="00994B74" w:rsidRDefault="00204067" w:rsidP="007777EF">
            <w:pPr>
              <w:pStyle w:val="TableParagraph"/>
              <w:spacing w:before="240"/>
              <w:rPr>
                <w:b/>
                <w:bCs/>
              </w:rPr>
            </w:pPr>
            <w:r>
              <w:rPr>
                <w:b/>
                <w:bCs/>
              </w:rPr>
              <w:t xml:space="preserve"> Neale Haddon (Module lead)</w:t>
            </w:r>
          </w:p>
        </w:tc>
        <w:tc>
          <w:tcPr>
            <w:tcW w:w="2263" w:type="dxa"/>
            <w:shd w:val="clear" w:color="auto" w:fill="D9D9D9" w:themeFill="background1" w:themeFillShade="D9"/>
          </w:tcPr>
          <w:p w14:paraId="0D39AF87" w14:textId="77777777" w:rsidR="00204067" w:rsidRDefault="00204067" w:rsidP="007777EF">
            <w:pPr>
              <w:pStyle w:val="TableParagraph"/>
              <w:spacing w:before="140"/>
              <w:rPr>
                <w:b/>
              </w:rPr>
            </w:pPr>
          </w:p>
          <w:p w14:paraId="790F771A" w14:textId="77777777" w:rsidR="00204067" w:rsidRDefault="00204067" w:rsidP="007777EF">
            <w:pPr>
              <w:pStyle w:val="TableParagraph"/>
              <w:ind w:left="117"/>
              <w:rPr>
                <w:b/>
              </w:rPr>
            </w:pPr>
            <w:r>
              <w:rPr>
                <w:b/>
              </w:rPr>
              <w:t>Internal</w:t>
            </w:r>
            <w:r>
              <w:rPr>
                <w:b/>
                <w:spacing w:val="-8"/>
              </w:rPr>
              <w:t xml:space="preserve"> </w:t>
            </w:r>
            <w:r>
              <w:rPr>
                <w:b/>
                <w:spacing w:val="-2"/>
              </w:rPr>
              <w:t>Verifier:</w:t>
            </w:r>
          </w:p>
        </w:tc>
        <w:tc>
          <w:tcPr>
            <w:tcW w:w="2271" w:type="dxa"/>
            <w:gridSpan w:val="2"/>
          </w:tcPr>
          <w:p w14:paraId="61590EF6" w14:textId="77777777" w:rsidR="00204067" w:rsidRDefault="00204067" w:rsidP="007777EF">
            <w:pPr>
              <w:pStyle w:val="TableParagraph"/>
              <w:rPr>
                <w:b/>
              </w:rPr>
            </w:pPr>
          </w:p>
          <w:p w14:paraId="309FF093" w14:textId="77777777" w:rsidR="00204067" w:rsidRDefault="00204067" w:rsidP="007777EF">
            <w:pPr>
              <w:pStyle w:val="TableParagraph"/>
              <w:rPr>
                <w:b/>
              </w:rPr>
            </w:pPr>
            <w:r>
              <w:rPr>
                <w:b/>
              </w:rPr>
              <w:t xml:space="preserve"> Dr Besty Jose</w:t>
            </w:r>
          </w:p>
        </w:tc>
      </w:tr>
      <w:tr w:rsidR="00204067" w14:paraId="35ABD1A6" w14:textId="77777777" w:rsidTr="00DF551A">
        <w:trPr>
          <w:trHeight w:val="1336"/>
        </w:trPr>
        <w:tc>
          <w:tcPr>
            <w:tcW w:w="2127" w:type="dxa"/>
          </w:tcPr>
          <w:p w14:paraId="732B08E1" w14:textId="77777777" w:rsidR="00204067" w:rsidRDefault="00204067" w:rsidP="007777EF">
            <w:pPr>
              <w:pStyle w:val="TableParagraph"/>
              <w:spacing w:before="14"/>
              <w:ind w:left="117"/>
              <w:rPr>
                <w:b/>
              </w:rPr>
            </w:pPr>
            <w:r>
              <w:rPr>
                <w:b/>
              </w:rPr>
              <w:t>Assignment</w:t>
            </w:r>
            <w:r>
              <w:rPr>
                <w:b/>
                <w:spacing w:val="-10"/>
              </w:rPr>
              <w:t xml:space="preserve"> </w:t>
            </w:r>
            <w:r>
              <w:rPr>
                <w:b/>
                <w:spacing w:val="-2"/>
              </w:rPr>
              <w:t>Title:</w:t>
            </w:r>
          </w:p>
        </w:tc>
        <w:tc>
          <w:tcPr>
            <w:tcW w:w="3404" w:type="dxa"/>
          </w:tcPr>
          <w:p w14:paraId="55008558" w14:textId="77777777" w:rsidR="00204067" w:rsidRDefault="00204067" w:rsidP="007777EF">
            <w:pPr>
              <w:pStyle w:val="TableParagraph"/>
              <w:spacing w:before="139" w:line="254" w:lineRule="auto"/>
              <w:ind w:left="117" w:right="1623"/>
              <w:rPr>
                <w:b/>
              </w:rPr>
            </w:pPr>
            <w:r w:rsidRPr="00F921E6">
              <w:rPr>
                <w:b/>
              </w:rPr>
              <w:t>Assignment</w:t>
            </w:r>
            <w:r w:rsidRPr="00F921E6">
              <w:rPr>
                <w:b/>
                <w:spacing w:val="-4"/>
              </w:rPr>
              <w:t xml:space="preserve"> </w:t>
            </w:r>
            <w:r w:rsidRPr="00F921E6">
              <w:rPr>
                <w:b/>
              </w:rPr>
              <w:t>2</w:t>
            </w:r>
            <w:r w:rsidRPr="00F921E6">
              <w:rPr>
                <w:b/>
                <w:spacing w:val="-1"/>
              </w:rPr>
              <w:t>: Written Task</w:t>
            </w:r>
            <w:r>
              <w:rPr>
                <w:b/>
                <w:spacing w:val="-1"/>
              </w:rPr>
              <w:t xml:space="preserve"> </w:t>
            </w:r>
            <w:r w:rsidRPr="00F921E6">
              <w:rPr>
                <w:b/>
                <w:spacing w:val="-1"/>
              </w:rPr>
              <w:t>(</w:t>
            </w:r>
            <w:r>
              <w:rPr>
                <w:b/>
                <w:spacing w:val="-1"/>
              </w:rPr>
              <w:t xml:space="preserve">To be submitted in a </w:t>
            </w:r>
            <w:r w:rsidRPr="00F921E6">
              <w:rPr>
                <w:b/>
              </w:rPr>
              <w:t>Word</w:t>
            </w:r>
            <w:r>
              <w:rPr>
                <w:b/>
              </w:rPr>
              <w:t xml:space="preserve"> </w:t>
            </w:r>
            <w:r w:rsidRPr="00F921E6">
              <w:rPr>
                <w:b/>
              </w:rPr>
              <w:t>document)</w:t>
            </w:r>
          </w:p>
        </w:tc>
        <w:tc>
          <w:tcPr>
            <w:tcW w:w="2263" w:type="dxa"/>
          </w:tcPr>
          <w:p w14:paraId="10085737" w14:textId="77777777" w:rsidR="00204067" w:rsidRDefault="00204067" w:rsidP="007777EF">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71" w:type="dxa"/>
            <w:gridSpan w:val="2"/>
          </w:tcPr>
          <w:p w14:paraId="2B068F15" w14:textId="77777777" w:rsidR="00204067" w:rsidRDefault="00204067" w:rsidP="007777EF">
            <w:pPr>
              <w:pStyle w:val="TableParagraph"/>
              <w:spacing w:before="14" w:line="259" w:lineRule="auto"/>
              <w:ind w:left="124" w:right="39"/>
              <w:rPr>
                <w:b/>
              </w:rPr>
            </w:pPr>
            <w:r>
              <w:rPr>
                <w:b/>
              </w:rPr>
              <w:t>1500 words</w:t>
            </w:r>
          </w:p>
        </w:tc>
      </w:tr>
      <w:tr w:rsidR="00204067" w14:paraId="7E034617" w14:textId="77777777" w:rsidTr="00DF551A">
        <w:trPr>
          <w:trHeight w:val="252"/>
        </w:trPr>
        <w:tc>
          <w:tcPr>
            <w:tcW w:w="2127" w:type="dxa"/>
            <w:tcBorders>
              <w:bottom w:val="nil"/>
            </w:tcBorders>
          </w:tcPr>
          <w:p w14:paraId="1B96AFEA" w14:textId="113F67E8" w:rsidR="00204067" w:rsidRDefault="00204067" w:rsidP="007777EF">
            <w:pPr>
              <w:pStyle w:val="TableParagraph"/>
              <w:spacing w:before="16" w:line="245" w:lineRule="exact"/>
              <w:ind w:left="117"/>
              <w:rPr>
                <w:b/>
              </w:rPr>
            </w:pPr>
          </w:p>
        </w:tc>
        <w:tc>
          <w:tcPr>
            <w:tcW w:w="3404" w:type="dxa"/>
            <w:tcBorders>
              <w:bottom w:val="nil"/>
            </w:tcBorders>
          </w:tcPr>
          <w:p w14:paraId="0C4D7F23" w14:textId="77777777" w:rsidR="00204067" w:rsidRDefault="00204067" w:rsidP="007777EF">
            <w:pPr>
              <w:pStyle w:val="TableParagraph"/>
              <w:spacing w:before="14" w:line="248" w:lineRule="exact"/>
              <w:ind w:left="117"/>
              <w:rPr>
                <w:b/>
                <w:bCs/>
              </w:rPr>
            </w:pPr>
          </w:p>
        </w:tc>
        <w:tc>
          <w:tcPr>
            <w:tcW w:w="2263" w:type="dxa"/>
            <w:tcBorders>
              <w:bottom w:val="nil"/>
            </w:tcBorders>
          </w:tcPr>
          <w:p w14:paraId="14130F33" w14:textId="0FDB620B" w:rsidR="00204067" w:rsidRDefault="00204067" w:rsidP="007777EF">
            <w:pPr>
              <w:pStyle w:val="TableParagraph"/>
              <w:spacing w:before="16" w:line="245" w:lineRule="exact"/>
              <w:ind w:left="117"/>
              <w:rPr>
                <w:b/>
              </w:rPr>
            </w:pPr>
          </w:p>
        </w:tc>
        <w:tc>
          <w:tcPr>
            <w:tcW w:w="2271" w:type="dxa"/>
            <w:gridSpan w:val="2"/>
            <w:tcBorders>
              <w:bottom w:val="nil"/>
            </w:tcBorders>
          </w:tcPr>
          <w:p w14:paraId="3A3AD4D2" w14:textId="4C02509D" w:rsidR="00204067" w:rsidRPr="003313D3" w:rsidRDefault="00204067" w:rsidP="007777EF">
            <w:pPr>
              <w:pStyle w:val="TableParagraph"/>
              <w:rPr>
                <w:b/>
                <w:bCs/>
              </w:rPr>
            </w:pPr>
          </w:p>
        </w:tc>
      </w:tr>
      <w:tr w:rsidR="00204067" w14:paraId="5FAABF51" w14:textId="77777777" w:rsidTr="00DF551A">
        <w:trPr>
          <w:trHeight w:val="274"/>
        </w:trPr>
        <w:tc>
          <w:tcPr>
            <w:tcW w:w="2127" w:type="dxa"/>
            <w:tcBorders>
              <w:top w:val="nil"/>
              <w:bottom w:val="nil"/>
            </w:tcBorders>
          </w:tcPr>
          <w:p w14:paraId="5EA4DD56" w14:textId="4881E262" w:rsidR="00204067" w:rsidRDefault="00204067" w:rsidP="007777EF">
            <w:pPr>
              <w:pStyle w:val="TableParagraph"/>
              <w:spacing w:before="5" w:line="249" w:lineRule="exact"/>
              <w:ind w:left="117"/>
              <w:rPr>
                <w:b/>
              </w:rPr>
            </w:pPr>
          </w:p>
        </w:tc>
        <w:tc>
          <w:tcPr>
            <w:tcW w:w="3404" w:type="dxa"/>
            <w:tcBorders>
              <w:top w:val="nil"/>
              <w:bottom w:val="nil"/>
            </w:tcBorders>
          </w:tcPr>
          <w:p w14:paraId="75CC052E" w14:textId="77777777" w:rsidR="00204067" w:rsidRDefault="00204067" w:rsidP="007777EF">
            <w:pPr>
              <w:pStyle w:val="TableParagraph"/>
              <w:rPr>
                <w:rFonts w:ascii="Times New Roman"/>
                <w:sz w:val="20"/>
              </w:rPr>
            </w:pPr>
          </w:p>
        </w:tc>
        <w:tc>
          <w:tcPr>
            <w:tcW w:w="2263" w:type="dxa"/>
            <w:tcBorders>
              <w:top w:val="nil"/>
              <w:bottom w:val="nil"/>
            </w:tcBorders>
          </w:tcPr>
          <w:p w14:paraId="2EEFA6DB" w14:textId="77777777" w:rsidR="00204067" w:rsidRDefault="00204067" w:rsidP="007777EF">
            <w:pPr>
              <w:pStyle w:val="TableParagraph"/>
              <w:spacing w:before="5" w:line="249" w:lineRule="exact"/>
              <w:ind w:left="117"/>
              <w:rPr>
                <w:b/>
              </w:rPr>
            </w:pPr>
          </w:p>
        </w:tc>
        <w:tc>
          <w:tcPr>
            <w:tcW w:w="2271" w:type="dxa"/>
            <w:gridSpan w:val="2"/>
            <w:tcBorders>
              <w:top w:val="nil"/>
              <w:bottom w:val="nil"/>
            </w:tcBorders>
          </w:tcPr>
          <w:p w14:paraId="3AE0DDD3" w14:textId="77777777" w:rsidR="00204067" w:rsidRDefault="00204067" w:rsidP="007777EF">
            <w:pPr>
              <w:pStyle w:val="TableParagraph"/>
              <w:spacing w:before="10" w:line="244" w:lineRule="exact"/>
              <w:ind w:left="124"/>
              <w:rPr>
                <w:b/>
              </w:rPr>
            </w:pPr>
          </w:p>
        </w:tc>
      </w:tr>
      <w:tr w:rsidR="00204067" w14:paraId="2E5BD820" w14:textId="77777777" w:rsidTr="00ED0C16">
        <w:trPr>
          <w:trHeight w:val="60"/>
        </w:trPr>
        <w:tc>
          <w:tcPr>
            <w:tcW w:w="2127" w:type="dxa"/>
            <w:tcBorders>
              <w:top w:val="nil"/>
              <w:bottom w:val="nil"/>
            </w:tcBorders>
          </w:tcPr>
          <w:p w14:paraId="0C8DF218" w14:textId="77777777" w:rsidR="00204067" w:rsidRDefault="00204067" w:rsidP="007777EF">
            <w:pPr>
              <w:pStyle w:val="TableParagraph"/>
              <w:spacing w:before="5" w:line="249" w:lineRule="exact"/>
              <w:ind w:left="117"/>
              <w:rPr>
                <w:b/>
                <w:spacing w:val="-2"/>
              </w:rPr>
            </w:pPr>
          </w:p>
        </w:tc>
        <w:tc>
          <w:tcPr>
            <w:tcW w:w="3404" w:type="dxa"/>
            <w:tcBorders>
              <w:top w:val="nil"/>
              <w:bottom w:val="nil"/>
            </w:tcBorders>
          </w:tcPr>
          <w:p w14:paraId="3C8D2F60" w14:textId="77777777" w:rsidR="00204067" w:rsidRDefault="00204067" w:rsidP="007777EF">
            <w:pPr>
              <w:pStyle w:val="TableParagraph"/>
              <w:rPr>
                <w:rFonts w:ascii="Times New Roman"/>
                <w:sz w:val="20"/>
              </w:rPr>
            </w:pPr>
          </w:p>
        </w:tc>
        <w:tc>
          <w:tcPr>
            <w:tcW w:w="2263" w:type="dxa"/>
            <w:tcBorders>
              <w:top w:val="nil"/>
              <w:bottom w:val="nil"/>
            </w:tcBorders>
          </w:tcPr>
          <w:p w14:paraId="0F5F599C" w14:textId="77777777" w:rsidR="00204067" w:rsidRDefault="00204067" w:rsidP="007777EF">
            <w:pPr>
              <w:pStyle w:val="TableParagraph"/>
              <w:spacing w:before="5" w:line="249" w:lineRule="exact"/>
              <w:ind w:left="117"/>
              <w:rPr>
                <w:b/>
              </w:rPr>
            </w:pPr>
          </w:p>
        </w:tc>
        <w:tc>
          <w:tcPr>
            <w:tcW w:w="2271" w:type="dxa"/>
            <w:gridSpan w:val="2"/>
            <w:tcBorders>
              <w:top w:val="nil"/>
              <w:bottom w:val="nil"/>
            </w:tcBorders>
          </w:tcPr>
          <w:p w14:paraId="57FD6015" w14:textId="77777777" w:rsidR="00204067" w:rsidRDefault="00204067" w:rsidP="007777EF">
            <w:pPr>
              <w:pStyle w:val="TableParagraph"/>
              <w:spacing w:before="10" w:line="244" w:lineRule="exact"/>
              <w:ind w:left="124"/>
              <w:rPr>
                <w:b/>
              </w:rPr>
            </w:pPr>
          </w:p>
        </w:tc>
      </w:tr>
      <w:tr w:rsidR="00204067" w14:paraId="009B4CEE" w14:textId="77777777" w:rsidTr="00DF551A">
        <w:trPr>
          <w:trHeight w:val="274"/>
        </w:trPr>
        <w:tc>
          <w:tcPr>
            <w:tcW w:w="2127" w:type="dxa"/>
            <w:tcBorders>
              <w:top w:val="nil"/>
              <w:bottom w:val="nil"/>
            </w:tcBorders>
          </w:tcPr>
          <w:p w14:paraId="0CC94573" w14:textId="77777777" w:rsidR="00204067" w:rsidRDefault="00204067" w:rsidP="007777EF">
            <w:pPr>
              <w:pStyle w:val="TableParagraph"/>
              <w:spacing w:before="5" w:line="249" w:lineRule="exact"/>
              <w:ind w:left="117"/>
              <w:rPr>
                <w:b/>
                <w:spacing w:val="-2"/>
              </w:rPr>
            </w:pPr>
          </w:p>
        </w:tc>
        <w:tc>
          <w:tcPr>
            <w:tcW w:w="3404" w:type="dxa"/>
            <w:tcBorders>
              <w:top w:val="nil"/>
              <w:bottom w:val="nil"/>
            </w:tcBorders>
          </w:tcPr>
          <w:p w14:paraId="2079F17F" w14:textId="77777777" w:rsidR="00204067" w:rsidRDefault="00204067" w:rsidP="007777EF">
            <w:pPr>
              <w:pStyle w:val="TableParagraph"/>
              <w:rPr>
                <w:rFonts w:ascii="Times New Roman"/>
                <w:sz w:val="20"/>
              </w:rPr>
            </w:pPr>
          </w:p>
        </w:tc>
        <w:tc>
          <w:tcPr>
            <w:tcW w:w="2263" w:type="dxa"/>
            <w:tcBorders>
              <w:top w:val="nil"/>
              <w:bottom w:val="nil"/>
            </w:tcBorders>
          </w:tcPr>
          <w:p w14:paraId="013248C4" w14:textId="77777777" w:rsidR="00204067" w:rsidRDefault="00204067" w:rsidP="007777EF">
            <w:pPr>
              <w:pStyle w:val="TableParagraph"/>
              <w:spacing w:before="5" w:line="249" w:lineRule="exact"/>
              <w:ind w:left="117"/>
              <w:rPr>
                <w:b/>
              </w:rPr>
            </w:pPr>
          </w:p>
        </w:tc>
        <w:tc>
          <w:tcPr>
            <w:tcW w:w="2271" w:type="dxa"/>
            <w:gridSpan w:val="2"/>
            <w:tcBorders>
              <w:top w:val="nil"/>
              <w:bottom w:val="nil"/>
            </w:tcBorders>
          </w:tcPr>
          <w:p w14:paraId="011E4074" w14:textId="77777777" w:rsidR="00204067" w:rsidRDefault="00204067" w:rsidP="007777EF">
            <w:pPr>
              <w:pStyle w:val="TableParagraph"/>
              <w:spacing w:before="10" w:line="244" w:lineRule="exact"/>
              <w:ind w:left="124"/>
              <w:rPr>
                <w:b/>
              </w:rPr>
            </w:pPr>
          </w:p>
        </w:tc>
      </w:tr>
      <w:tr w:rsidR="00204067" w14:paraId="02647F20" w14:textId="77777777" w:rsidTr="00DF551A">
        <w:trPr>
          <w:trHeight w:val="274"/>
        </w:trPr>
        <w:tc>
          <w:tcPr>
            <w:tcW w:w="2127" w:type="dxa"/>
            <w:tcBorders>
              <w:top w:val="nil"/>
              <w:bottom w:val="single" w:sz="4" w:space="0" w:color="auto"/>
            </w:tcBorders>
          </w:tcPr>
          <w:p w14:paraId="60933769" w14:textId="77777777" w:rsidR="00204067" w:rsidRDefault="00204067" w:rsidP="007777EF">
            <w:pPr>
              <w:pStyle w:val="TableParagraph"/>
              <w:spacing w:before="5" w:line="249" w:lineRule="exact"/>
              <w:ind w:left="117"/>
              <w:rPr>
                <w:b/>
                <w:spacing w:val="-2"/>
              </w:rPr>
            </w:pPr>
          </w:p>
        </w:tc>
        <w:tc>
          <w:tcPr>
            <w:tcW w:w="3404" w:type="dxa"/>
            <w:tcBorders>
              <w:top w:val="nil"/>
              <w:bottom w:val="single" w:sz="4" w:space="0" w:color="auto"/>
            </w:tcBorders>
          </w:tcPr>
          <w:p w14:paraId="0AC19662" w14:textId="77777777" w:rsidR="00204067" w:rsidRDefault="00204067" w:rsidP="007777EF">
            <w:pPr>
              <w:pStyle w:val="TableParagraph"/>
              <w:rPr>
                <w:rFonts w:ascii="Times New Roman"/>
                <w:sz w:val="20"/>
              </w:rPr>
            </w:pPr>
          </w:p>
        </w:tc>
        <w:tc>
          <w:tcPr>
            <w:tcW w:w="2263" w:type="dxa"/>
            <w:tcBorders>
              <w:top w:val="nil"/>
              <w:bottom w:val="single" w:sz="4" w:space="0" w:color="auto"/>
            </w:tcBorders>
          </w:tcPr>
          <w:p w14:paraId="3FB2DBE8" w14:textId="77777777" w:rsidR="00204067" w:rsidRDefault="00204067" w:rsidP="007777EF">
            <w:pPr>
              <w:pStyle w:val="TableParagraph"/>
              <w:spacing w:before="5" w:line="249" w:lineRule="exact"/>
              <w:ind w:left="117"/>
              <w:rPr>
                <w:b/>
              </w:rPr>
            </w:pPr>
          </w:p>
        </w:tc>
        <w:tc>
          <w:tcPr>
            <w:tcW w:w="2271" w:type="dxa"/>
            <w:gridSpan w:val="2"/>
            <w:tcBorders>
              <w:top w:val="nil"/>
              <w:bottom w:val="single" w:sz="4" w:space="0" w:color="auto"/>
            </w:tcBorders>
          </w:tcPr>
          <w:p w14:paraId="4BAB36DC" w14:textId="77777777" w:rsidR="00204067" w:rsidRDefault="00204067" w:rsidP="007777EF">
            <w:pPr>
              <w:pStyle w:val="TableParagraph"/>
              <w:spacing w:before="10" w:line="244" w:lineRule="exact"/>
              <w:ind w:left="124"/>
              <w:rPr>
                <w:b/>
              </w:rPr>
            </w:pPr>
          </w:p>
        </w:tc>
      </w:tr>
    </w:tbl>
    <w:p w14:paraId="6B84D23B" w14:textId="77777777" w:rsidR="00204067" w:rsidRDefault="00204067"/>
    <w:p w14:paraId="2D431657" w14:textId="77777777" w:rsidR="00DF551A" w:rsidRDefault="00DF551A"/>
    <w:p w14:paraId="4181595E" w14:textId="77777777" w:rsidR="00DF551A" w:rsidRDefault="00DF551A"/>
    <w:p w14:paraId="4923B64A" w14:textId="77777777" w:rsidR="00DF551A" w:rsidRPr="000826FE" w:rsidRDefault="00DF551A" w:rsidP="000826FE">
      <w:pPr>
        <w:spacing w:line="360" w:lineRule="auto"/>
      </w:pPr>
    </w:p>
    <w:p w14:paraId="1621B287" w14:textId="77777777" w:rsidR="00DF551A" w:rsidRPr="000826FE" w:rsidRDefault="00DF551A" w:rsidP="000826FE">
      <w:pPr>
        <w:spacing w:line="360" w:lineRule="auto"/>
      </w:pPr>
    </w:p>
    <w:p w14:paraId="7E99DCEF" w14:textId="77777777" w:rsidR="007B2351" w:rsidRDefault="007B2351" w:rsidP="000826FE">
      <w:pPr>
        <w:pStyle w:val="Heading2"/>
        <w:spacing w:line="360" w:lineRule="auto"/>
        <w:rPr>
          <w:rFonts w:ascii="Arial" w:eastAsia="Arial" w:hAnsi="Arial" w:cs="Arial"/>
          <w:b/>
          <w:bCs/>
          <w:color w:val="auto"/>
          <w:sz w:val="22"/>
          <w:szCs w:val="22"/>
        </w:rPr>
      </w:pPr>
    </w:p>
    <w:p w14:paraId="52D09DC9" w14:textId="77777777" w:rsidR="007B2351" w:rsidRDefault="007B2351" w:rsidP="000826FE">
      <w:pPr>
        <w:pStyle w:val="Heading2"/>
        <w:spacing w:line="360" w:lineRule="auto"/>
        <w:rPr>
          <w:rFonts w:ascii="Arial" w:eastAsia="Arial" w:hAnsi="Arial" w:cs="Arial"/>
          <w:b/>
          <w:bCs/>
          <w:color w:val="auto"/>
          <w:sz w:val="22"/>
          <w:szCs w:val="22"/>
        </w:rPr>
      </w:pPr>
    </w:p>
    <w:p w14:paraId="23364D65" w14:textId="77777777" w:rsidR="00C20696" w:rsidRDefault="00C20696" w:rsidP="000826FE">
      <w:pPr>
        <w:pStyle w:val="Heading2"/>
        <w:spacing w:line="360" w:lineRule="auto"/>
        <w:rPr>
          <w:rFonts w:ascii="Arial" w:eastAsia="Arial" w:hAnsi="Arial" w:cs="Arial"/>
          <w:b/>
          <w:bCs/>
          <w:color w:val="auto"/>
          <w:sz w:val="22"/>
          <w:szCs w:val="22"/>
        </w:rPr>
      </w:pPr>
    </w:p>
    <w:p w14:paraId="615F6111" w14:textId="77777777" w:rsidR="00EF0A0E" w:rsidRDefault="00EF0A0E" w:rsidP="000826FE">
      <w:pPr>
        <w:pStyle w:val="Heading2"/>
        <w:spacing w:line="360" w:lineRule="auto"/>
        <w:rPr>
          <w:rFonts w:ascii="Arial" w:eastAsia="Arial" w:hAnsi="Arial" w:cs="Arial"/>
          <w:b/>
          <w:bCs/>
          <w:color w:val="auto"/>
          <w:sz w:val="22"/>
          <w:szCs w:val="22"/>
        </w:rPr>
      </w:pPr>
    </w:p>
    <w:p w14:paraId="0034B2B5" w14:textId="42F8E469" w:rsidR="00DF551A" w:rsidRPr="00905ED5" w:rsidRDefault="000826FE" w:rsidP="000826FE">
      <w:pPr>
        <w:pStyle w:val="Heading2"/>
        <w:spacing w:line="360" w:lineRule="auto"/>
        <w:rPr>
          <w:rFonts w:ascii="Arial" w:eastAsia="Arial" w:hAnsi="Arial" w:cs="Arial"/>
          <w:b/>
          <w:bCs/>
          <w:color w:val="auto"/>
          <w:sz w:val="22"/>
          <w:szCs w:val="22"/>
        </w:rPr>
      </w:pPr>
      <w:r w:rsidRPr="00905ED5">
        <w:rPr>
          <w:rFonts w:ascii="Arial" w:eastAsia="Arial" w:hAnsi="Arial" w:cs="Arial"/>
          <w:b/>
          <w:bCs/>
          <w:color w:val="auto"/>
          <w:sz w:val="22"/>
          <w:szCs w:val="22"/>
        </w:rPr>
        <w:t>Context</w:t>
      </w:r>
    </w:p>
    <w:p w14:paraId="601E9EF7" w14:textId="77777777" w:rsidR="00CD30BD" w:rsidRDefault="00CD30BD" w:rsidP="008A1A6F">
      <w:pPr>
        <w:spacing w:line="360" w:lineRule="auto"/>
      </w:pPr>
      <w:r>
        <w:t>The global rise in life expectancy has contributed to a significant increase in the number of adults aged 65 and over living with dementia. In the UK, an estimated 944,000 people currently have dementia, and numbers are expected to exceed one million by 2030 (Alzheimer’s Society, 2024). Dementia is one of the leading causes of death among older adults, and approximately 70% of care home residents live with some form of dementia. These figures highlight the urgent need for psychological approaches that support emotional well-being, identity, autonomy, and cultural needs within care settings.</w:t>
      </w:r>
    </w:p>
    <w:p w14:paraId="11C559FA" w14:textId="77777777" w:rsidR="00CD30BD" w:rsidRDefault="00CD30BD" w:rsidP="008A1A6F">
      <w:pPr>
        <w:spacing w:line="360" w:lineRule="auto"/>
      </w:pPr>
    </w:p>
    <w:p w14:paraId="5B19830B" w14:textId="77777777" w:rsidR="00CD30BD" w:rsidRDefault="00CD30BD" w:rsidP="008A1A6F">
      <w:pPr>
        <w:spacing w:line="360" w:lineRule="auto"/>
      </w:pPr>
      <w:r>
        <w:t>Psychological theories of ageing provide useful frameworks for understanding how older adults adapt to later life. This report examines two major theories—Disengagement Theory and Activity Theory—and critically evaluates how they can be applied in dementia care. The discussion draws on a real-world scenario involving Donna, a 78-year-old resident living in a dementia care home, and explores practical applications, strengths and limitations, cultural competence, and implications for holistic practice.</w:t>
      </w:r>
    </w:p>
    <w:p w14:paraId="7CC511D0" w14:textId="77777777" w:rsidR="00CD30BD" w:rsidRDefault="00CD30BD" w:rsidP="008A1A6F">
      <w:pPr>
        <w:spacing w:line="360" w:lineRule="auto"/>
      </w:pPr>
    </w:p>
    <w:p w14:paraId="2F494A15" w14:textId="77777777" w:rsidR="00CD30BD" w:rsidRDefault="00CD30BD" w:rsidP="008A1A6F">
      <w:pPr>
        <w:spacing w:line="360" w:lineRule="auto"/>
      </w:pPr>
      <w:r>
        <w:t xml:space="preserve">Scenario: Donna  </w:t>
      </w:r>
    </w:p>
    <w:p w14:paraId="19B45D6D" w14:textId="29ABC24D" w:rsidR="00905ED5" w:rsidRDefault="00CD30BD" w:rsidP="008A1A6F">
      <w:pPr>
        <w:spacing w:line="360" w:lineRule="auto"/>
      </w:pPr>
      <w:r>
        <w:t>Donna is a 78-year-old woman living in a dementia care home with moderate dementia. She enjoys calm, familiar activities such as listening to music but becomes overwhelmed in busy group settings. Donna’s fluctuating levels of engagement provide a useful lens for examining how both theories can be applied in practice.</w:t>
      </w:r>
    </w:p>
    <w:p w14:paraId="46EC30AE" w14:textId="77777777" w:rsidR="00CD30BD" w:rsidRDefault="00CD30BD" w:rsidP="00CD30BD">
      <w:pPr>
        <w:spacing w:line="360" w:lineRule="auto"/>
      </w:pPr>
    </w:p>
    <w:p w14:paraId="024BF8F9" w14:textId="76258D8D" w:rsidR="00DF551A" w:rsidRPr="00905ED5" w:rsidRDefault="00DF551A" w:rsidP="00905ED5">
      <w:pPr>
        <w:spacing w:line="360" w:lineRule="auto"/>
        <w:rPr>
          <w:b/>
          <w:bCs/>
        </w:rPr>
      </w:pPr>
      <w:r w:rsidRPr="00905ED5">
        <w:rPr>
          <w:b/>
          <w:bCs/>
        </w:rPr>
        <w:t>Disengagement Theory</w:t>
      </w:r>
    </w:p>
    <w:p w14:paraId="4F21F110" w14:textId="7A949224" w:rsidR="007B2351" w:rsidRDefault="003B0437" w:rsidP="008A1A6F">
      <w:pPr>
        <w:spacing w:line="360" w:lineRule="auto"/>
        <w:rPr>
          <w:b/>
          <w:bCs/>
        </w:rPr>
      </w:pPr>
      <w:r>
        <w:t>Disengagement Theory (Cumming &amp; Henry, 1961) proposes that ageing involves a natural and gradual withdrawal from social roles and relationships. Reduced social involvement may help older adults adjust to declining physical and cognitive ability and prepare psychologically for later life.</w:t>
      </w:r>
      <w:r>
        <w:br/>
      </w:r>
      <w:r>
        <w:br/>
        <w:t xml:space="preserve">Strengths and Limitations of Disengagement Theory  </w:t>
      </w:r>
      <w:r>
        <w:br/>
        <w:t xml:space="preserve">Strengths:  </w:t>
      </w:r>
      <w:r>
        <w:br/>
        <w:t xml:space="preserve">- Helps staff </w:t>
      </w:r>
      <w:proofErr w:type="spellStart"/>
      <w:r>
        <w:t>recognise</w:t>
      </w:r>
      <w:proofErr w:type="spellEnd"/>
      <w:r>
        <w:t xml:space="preserve"> that solitude may be meaningful, protective, or calming for residents </w:t>
      </w:r>
      <w:r>
        <w:lastRenderedPageBreak/>
        <w:t xml:space="preserve">like Donna.  </w:t>
      </w:r>
      <w:r>
        <w:br/>
        <w:t xml:space="preserve">- Encourages respect for autonomy—avoiding forcing residents into overstimulating activities.  </w:t>
      </w:r>
      <w:r>
        <w:br/>
        <w:t>- Useful when residents experience fatigue, sensory overload, or cognitive stress.</w:t>
      </w:r>
      <w:r>
        <w:br/>
      </w:r>
      <w:r>
        <w:br/>
        <w:t xml:space="preserve">Limitations:  </w:t>
      </w:r>
      <w:r>
        <w:br/>
        <w:t xml:space="preserve">- Can risk being misused to justify neglect or lack of support.  </w:t>
      </w:r>
      <w:r>
        <w:br/>
        <w:t xml:space="preserve">- Assumes disengagement is universal.  </w:t>
      </w:r>
      <w:r>
        <w:br/>
        <w:t xml:space="preserve">- May overlook distress, depression, or unmet needs.  </w:t>
      </w:r>
      <w:r>
        <w:br/>
        <w:t>- Cultural differences influence expectations around ageing.</w:t>
      </w:r>
      <w:r>
        <w:br/>
      </w:r>
      <w:r>
        <w:br/>
        <w:t xml:space="preserve">Applying Disengagement Theory in Practice  </w:t>
      </w:r>
      <w:r>
        <w:br/>
        <w:t xml:space="preserve">Using this theory, professionals can:  </w:t>
      </w:r>
      <w:r>
        <w:br/>
        <w:t xml:space="preserve">- Provide quiet, low-stimulation environments for residents like Donna.  </w:t>
      </w:r>
      <w:r>
        <w:br/>
        <w:t xml:space="preserve">- Respect individual preferences for solitude.  </w:t>
      </w:r>
      <w:r>
        <w:br/>
        <w:t xml:space="preserve">- Maintain gentle check-ins to prevent harmful isolation.  </w:t>
      </w:r>
      <w:r>
        <w:br/>
        <w:t>- Use personal items and familiar music to support identity and comfort.</w:t>
      </w:r>
      <w:r>
        <w:br/>
      </w:r>
      <w:r>
        <w:br/>
      </w:r>
    </w:p>
    <w:p w14:paraId="559C8536" w14:textId="34AC400D" w:rsidR="00DF551A" w:rsidRPr="00905ED5" w:rsidRDefault="00DF551A" w:rsidP="00905ED5">
      <w:pPr>
        <w:spacing w:line="360" w:lineRule="auto"/>
        <w:rPr>
          <w:b/>
          <w:bCs/>
        </w:rPr>
      </w:pPr>
      <w:r w:rsidRPr="00905ED5">
        <w:rPr>
          <w:b/>
          <w:bCs/>
        </w:rPr>
        <w:t>Activity Theory</w:t>
      </w:r>
    </w:p>
    <w:p w14:paraId="38803AF5" w14:textId="77777777" w:rsidR="00187051" w:rsidRPr="008A1A6F" w:rsidRDefault="00187051" w:rsidP="008A1A6F">
      <w:pPr>
        <w:spacing w:line="360" w:lineRule="auto"/>
      </w:pPr>
      <w:r w:rsidRPr="008A1A6F">
        <w:t>Activity Theory argues that successful ageing occurs when older adults remain active and socially engaged. Participation in meaningful physical, social, and cognitive activities is linked to improved mood, self-esteem, and wellbeing.</w:t>
      </w:r>
    </w:p>
    <w:p w14:paraId="2A62AA7D" w14:textId="77777777" w:rsidR="00187051" w:rsidRPr="008A1A6F" w:rsidRDefault="00187051" w:rsidP="008A1A6F">
      <w:pPr>
        <w:spacing w:line="360" w:lineRule="auto"/>
      </w:pPr>
    </w:p>
    <w:p w14:paraId="26333CF4" w14:textId="77777777" w:rsidR="00187051" w:rsidRPr="008A1A6F" w:rsidRDefault="00187051" w:rsidP="008A1A6F">
      <w:pPr>
        <w:spacing w:line="360" w:lineRule="auto"/>
      </w:pPr>
      <w:r w:rsidRPr="008A1A6F">
        <w:t xml:space="preserve">Strengths and Limitations of Activity Theory  </w:t>
      </w:r>
    </w:p>
    <w:p w14:paraId="16B61151" w14:textId="77777777" w:rsidR="00187051" w:rsidRPr="008A1A6F" w:rsidRDefault="00187051" w:rsidP="008A1A6F">
      <w:pPr>
        <w:spacing w:line="360" w:lineRule="auto"/>
      </w:pPr>
      <w:r w:rsidRPr="008A1A6F">
        <w:t xml:space="preserve">Strengths:  </w:t>
      </w:r>
    </w:p>
    <w:p w14:paraId="61C31E80" w14:textId="77777777" w:rsidR="00187051" w:rsidRPr="008A1A6F" w:rsidRDefault="00187051" w:rsidP="008A1A6F">
      <w:pPr>
        <w:spacing w:line="360" w:lineRule="auto"/>
      </w:pPr>
      <w:r w:rsidRPr="008A1A6F">
        <w:t xml:space="preserve">- Encourages meaningful engagement that supports identity and self-esteem.  </w:t>
      </w:r>
    </w:p>
    <w:p w14:paraId="1575F8AF" w14:textId="77777777" w:rsidR="00187051" w:rsidRPr="008A1A6F" w:rsidRDefault="00187051" w:rsidP="008A1A6F">
      <w:pPr>
        <w:spacing w:line="360" w:lineRule="auto"/>
      </w:pPr>
      <w:r w:rsidRPr="008A1A6F">
        <w:t>- Aligns strongly with person-</w:t>
      </w:r>
      <w:proofErr w:type="spellStart"/>
      <w:r w:rsidRPr="008A1A6F">
        <w:t>centred</w:t>
      </w:r>
      <w:proofErr w:type="spellEnd"/>
      <w:r w:rsidRPr="008A1A6F">
        <w:t xml:space="preserve"> care approaches.  </w:t>
      </w:r>
    </w:p>
    <w:p w14:paraId="69D1FF6E" w14:textId="77777777" w:rsidR="00187051" w:rsidRPr="008A1A6F" w:rsidRDefault="00187051" w:rsidP="008A1A6F">
      <w:pPr>
        <w:spacing w:line="360" w:lineRule="auto"/>
      </w:pPr>
      <w:r w:rsidRPr="008A1A6F">
        <w:t>- Helps residents maintain roles.</w:t>
      </w:r>
    </w:p>
    <w:p w14:paraId="3840FF18" w14:textId="77777777" w:rsidR="00187051" w:rsidRPr="008A1A6F" w:rsidRDefault="00187051" w:rsidP="008A1A6F">
      <w:pPr>
        <w:spacing w:line="360" w:lineRule="auto"/>
      </w:pPr>
    </w:p>
    <w:p w14:paraId="30871748" w14:textId="77777777" w:rsidR="00187051" w:rsidRPr="008A1A6F" w:rsidRDefault="00187051" w:rsidP="008A1A6F">
      <w:pPr>
        <w:spacing w:line="360" w:lineRule="auto"/>
      </w:pPr>
      <w:r w:rsidRPr="008A1A6F">
        <w:t xml:space="preserve">Limitations:  </w:t>
      </w:r>
    </w:p>
    <w:p w14:paraId="4994FDA5" w14:textId="77777777" w:rsidR="00187051" w:rsidRPr="008A1A6F" w:rsidRDefault="00187051" w:rsidP="008A1A6F">
      <w:pPr>
        <w:spacing w:line="360" w:lineRule="auto"/>
      </w:pPr>
      <w:r w:rsidRPr="008A1A6F">
        <w:t xml:space="preserve">- Assumes activity is universally beneficial.  </w:t>
      </w:r>
    </w:p>
    <w:p w14:paraId="73D390A2" w14:textId="77777777" w:rsidR="00187051" w:rsidRPr="008A1A6F" w:rsidRDefault="00187051" w:rsidP="008A1A6F">
      <w:pPr>
        <w:spacing w:line="360" w:lineRule="auto"/>
      </w:pPr>
      <w:r w:rsidRPr="008A1A6F">
        <w:t xml:space="preserve">- Risks overstimulation for residents with sensory sensitivities.  </w:t>
      </w:r>
    </w:p>
    <w:p w14:paraId="68C3D292" w14:textId="77777777" w:rsidR="00187051" w:rsidRPr="008A1A6F" w:rsidRDefault="00187051" w:rsidP="008A1A6F">
      <w:pPr>
        <w:spacing w:line="360" w:lineRule="auto"/>
      </w:pPr>
      <w:r w:rsidRPr="008A1A6F">
        <w:t>- Cultural expectations around activity levels vary.</w:t>
      </w:r>
    </w:p>
    <w:p w14:paraId="3A87E54B" w14:textId="0A7432CF" w:rsidR="006C50E1" w:rsidRPr="008A1A6F" w:rsidRDefault="006C50E1" w:rsidP="008A1A6F">
      <w:pPr>
        <w:spacing w:line="360" w:lineRule="auto"/>
      </w:pPr>
      <w:r w:rsidRPr="008A1A6F">
        <w:t xml:space="preserve">Applying Activity Theory in Practice  </w:t>
      </w:r>
      <w:r w:rsidRPr="008A1A6F">
        <w:br/>
        <w:t xml:space="preserve">Care staff can:  </w:t>
      </w:r>
      <w:r w:rsidRPr="008A1A6F">
        <w:br/>
        <w:t xml:space="preserve">- Design </w:t>
      </w:r>
      <w:proofErr w:type="spellStart"/>
      <w:r w:rsidRPr="008A1A6F">
        <w:t>personalised</w:t>
      </w:r>
      <w:proofErr w:type="spellEnd"/>
      <w:r w:rsidRPr="008A1A6F">
        <w:t xml:space="preserve"> activity plans.  </w:t>
      </w:r>
      <w:r w:rsidRPr="008A1A6F">
        <w:br/>
      </w:r>
      <w:r w:rsidRPr="008A1A6F">
        <w:lastRenderedPageBreak/>
        <w:t xml:space="preserve">- Use reminiscence therapy, familiar music, or meaningful objects.  </w:t>
      </w:r>
      <w:r w:rsidRPr="008A1A6F">
        <w:br/>
        <w:t xml:space="preserve">- Support continuation of valued roles.  </w:t>
      </w:r>
      <w:r w:rsidRPr="008A1A6F">
        <w:br/>
        <w:t>- Facilitate small-group activities.</w:t>
      </w:r>
      <w:r w:rsidRPr="008A1A6F">
        <w:br/>
      </w:r>
      <w:r w:rsidRPr="008A1A6F">
        <w:br/>
      </w:r>
    </w:p>
    <w:p w14:paraId="22A78117" w14:textId="77777777" w:rsidR="00187051" w:rsidRPr="008A1A6F" w:rsidRDefault="00187051" w:rsidP="008A1A6F">
      <w:pPr>
        <w:spacing w:line="360" w:lineRule="auto"/>
      </w:pPr>
    </w:p>
    <w:p w14:paraId="7FB42E74" w14:textId="3B72154A" w:rsidR="00DF551A" w:rsidRPr="00905ED5" w:rsidRDefault="00DF551A" w:rsidP="00187051">
      <w:pPr>
        <w:spacing w:line="360" w:lineRule="auto"/>
        <w:rPr>
          <w:b/>
          <w:bCs/>
        </w:rPr>
      </w:pPr>
      <w:r w:rsidRPr="00905ED5">
        <w:rPr>
          <w:b/>
          <w:bCs/>
        </w:rPr>
        <w:t>Applying Disengagement Theory in Practice</w:t>
      </w:r>
    </w:p>
    <w:p w14:paraId="3E67175F" w14:textId="77777777" w:rsidR="00DF551A" w:rsidRPr="008A1A6F" w:rsidRDefault="00DF551A" w:rsidP="008A1A6F">
      <w:pPr>
        <w:spacing w:line="360" w:lineRule="auto"/>
      </w:pPr>
      <w:r w:rsidRPr="008A1A6F">
        <w:t xml:space="preserve">Disengagement Theory helps staff understand that social withdrawal in older adults with dementia can sometimes reflect a natural process rather than a symptom of failure. Many residents may prefer calm, familiar environments instead of busy communal settings. </w:t>
      </w:r>
      <w:proofErr w:type="spellStart"/>
      <w:r w:rsidRPr="008A1A6F">
        <w:t>Recognising</w:t>
      </w:r>
      <w:proofErr w:type="spellEnd"/>
      <w:r w:rsidRPr="008A1A6F">
        <w:t xml:space="preserve"> this preference allows professionals to respect autonomy and avoid unnecessary pressure to participate (Hooyman &amp; Kiyak, 2018).</w:t>
      </w:r>
    </w:p>
    <w:p w14:paraId="1E66EF48" w14:textId="77777777" w:rsidR="00B05A13" w:rsidRPr="008A1A6F" w:rsidRDefault="00B05A13" w:rsidP="008A1A6F">
      <w:pPr>
        <w:spacing w:line="360" w:lineRule="auto"/>
      </w:pPr>
    </w:p>
    <w:p w14:paraId="13F85B7A" w14:textId="77777777" w:rsidR="00DF551A" w:rsidRPr="008A1A6F" w:rsidRDefault="00DF551A" w:rsidP="008A1A6F">
      <w:pPr>
        <w:spacing w:line="360" w:lineRule="auto"/>
      </w:pPr>
      <w:r w:rsidRPr="008A1A6F">
        <w:t>Health and social care professionals should acknowledge residents’ right to choose solitude when desired. For instance, a resident who prefers sitting quietly listening to familiar music rather than attending a group session may be exercising control over their environment. Forcing engagement could increase anxiety or agitation. By respecting such preferences, staff promote emotional comfort and dignity (</w:t>
      </w:r>
      <w:proofErr w:type="spellStart"/>
      <w:r w:rsidRPr="008A1A6F">
        <w:t>Kitwood</w:t>
      </w:r>
      <w:proofErr w:type="spellEnd"/>
      <w:r w:rsidRPr="008A1A6F">
        <w:t>, 1997).</w:t>
      </w:r>
    </w:p>
    <w:p w14:paraId="47B044B7" w14:textId="77777777" w:rsidR="00BC062A" w:rsidRPr="008A1A6F" w:rsidRDefault="00BC062A" w:rsidP="008A1A6F">
      <w:pPr>
        <w:spacing w:line="360" w:lineRule="auto"/>
      </w:pPr>
    </w:p>
    <w:p w14:paraId="185F287E" w14:textId="329622E2" w:rsidR="00BC062A" w:rsidRPr="008A1A6F" w:rsidRDefault="00DF551A" w:rsidP="008A1A6F">
      <w:pPr>
        <w:spacing w:line="360" w:lineRule="auto"/>
      </w:pPr>
      <w:r w:rsidRPr="008A1A6F">
        <w:t xml:space="preserve">Many people with dementia find large groups overstimulating. Applying Disengagement Theory involves providing quiet spaces and </w:t>
      </w:r>
      <w:proofErr w:type="spellStart"/>
      <w:r w:rsidRPr="008A1A6F">
        <w:t>personalised</w:t>
      </w:r>
      <w:proofErr w:type="spellEnd"/>
      <w:r w:rsidRPr="008A1A6F">
        <w:t xml:space="preserve"> routines that reduce confusion and stress. Familiar surroundings, photos, and personal belongings can evoke security and identity (Feil &amp; de Klerk-Rubin, 2015). Staff can still maintain gentle contact, checking in regularly to ensure withdrawal does not progress into isolation or depression.</w:t>
      </w:r>
    </w:p>
    <w:p w14:paraId="5B19F3A0" w14:textId="312710ED" w:rsidR="00905ED5" w:rsidRPr="008A1A6F" w:rsidRDefault="00DF551A" w:rsidP="008A1A6F">
      <w:pPr>
        <w:spacing w:line="360" w:lineRule="auto"/>
      </w:pPr>
      <w:r w:rsidRPr="008A1A6F">
        <w:t>While this theory helps professionals understand natural withdrawal, it can also risk justifying social neglect if applied rigidly. Some residents may disengage due to unmet psychological needs, not genuine choice (</w:t>
      </w:r>
      <w:proofErr w:type="spellStart"/>
      <w:r w:rsidRPr="008A1A6F">
        <w:t>Quadagno</w:t>
      </w:r>
      <w:proofErr w:type="spellEnd"/>
      <w:r w:rsidRPr="008A1A6F">
        <w:t>, 2018). Professionals should therefore assess whether disengagement is adaptive or harmful. Regular observation, family input, and communication training can help staff differentiate between healthy solitude and distress.</w:t>
      </w:r>
    </w:p>
    <w:p w14:paraId="6B46ABED" w14:textId="77777777" w:rsidR="00905ED5" w:rsidRDefault="00905ED5" w:rsidP="00905ED5">
      <w:pPr>
        <w:spacing w:line="360" w:lineRule="auto"/>
      </w:pPr>
    </w:p>
    <w:p w14:paraId="34B84727" w14:textId="0DA41858" w:rsidR="00DF551A" w:rsidRPr="00905ED5" w:rsidRDefault="00DF551A" w:rsidP="00905ED5">
      <w:pPr>
        <w:spacing w:line="360" w:lineRule="auto"/>
        <w:rPr>
          <w:b/>
          <w:bCs/>
        </w:rPr>
      </w:pPr>
      <w:r w:rsidRPr="00905ED5">
        <w:rPr>
          <w:b/>
          <w:bCs/>
        </w:rPr>
        <w:t>Applying Activity Theory in Practice</w:t>
      </w:r>
    </w:p>
    <w:p w14:paraId="1C8E676E" w14:textId="1677B755" w:rsidR="00DF551A" w:rsidRDefault="00DF551A" w:rsidP="008A1A6F">
      <w:pPr>
        <w:spacing w:line="360" w:lineRule="auto"/>
      </w:pPr>
      <w:r w:rsidRPr="000826FE">
        <w:t xml:space="preserve">Activity Theory forms the foundation of many therapeutic approaches in dementia care. It promotes psychological </w:t>
      </w:r>
      <w:r w:rsidR="00965D2A">
        <w:t>well-being</w:t>
      </w:r>
      <w:r w:rsidRPr="000826FE">
        <w:t xml:space="preserve"> through active participation, role maintenance, and social connection (Adams, Leibbrandt &amp; Moon, 2011).</w:t>
      </w:r>
    </w:p>
    <w:p w14:paraId="0ACD922F" w14:textId="77777777" w:rsidR="009B27BC" w:rsidRPr="000826FE" w:rsidRDefault="009B27BC" w:rsidP="008A1A6F">
      <w:pPr>
        <w:spacing w:line="360" w:lineRule="auto"/>
      </w:pPr>
    </w:p>
    <w:p w14:paraId="1E22ACA6" w14:textId="77777777" w:rsidR="00DF551A" w:rsidRDefault="00DF551A" w:rsidP="008A1A6F">
      <w:pPr>
        <w:spacing w:line="360" w:lineRule="auto"/>
      </w:pPr>
      <w:r w:rsidRPr="000826FE">
        <w:t xml:space="preserve">Care home professionals can use </w:t>
      </w:r>
      <w:proofErr w:type="spellStart"/>
      <w:r w:rsidRPr="000826FE">
        <w:t>individualised</w:t>
      </w:r>
      <w:proofErr w:type="spellEnd"/>
      <w:r w:rsidRPr="000826FE">
        <w:t xml:space="preserve"> activity plans tailored to each resident’s interests, history, and abilities. For example, reminiscence therapy uses photographs, music, </w:t>
      </w:r>
      <w:r w:rsidRPr="000826FE">
        <w:lastRenderedPageBreak/>
        <w:t>or familiar scents to evoke positive memories (Subramaniam &amp; Woods, 2016); music and art therapy allow self-expression even when verbal communication is impaired (</w:t>
      </w:r>
      <w:proofErr w:type="spellStart"/>
      <w:r w:rsidRPr="000826FE">
        <w:t>Raglio</w:t>
      </w:r>
      <w:proofErr w:type="spellEnd"/>
      <w:r w:rsidRPr="000826FE">
        <w:t xml:space="preserve"> et al., 2015); and light physical activity such as gentle exercise supports mood and sleep (Forbes et al., 2015).</w:t>
      </w:r>
    </w:p>
    <w:p w14:paraId="0B88EADA" w14:textId="77777777" w:rsidR="009B27BC" w:rsidRPr="000826FE" w:rsidRDefault="009B27BC" w:rsidP="008A1A6F">
      <w:pPr>
        <w:spacing w:line="360" w:lineRule="auto"/>
      </w:pPr>
    </w:p>
    <w:p w14:paraId="33460CEF" w14:textId="77777777" w:rsidR="00DF551A" w:rsidRDefault="00DF551A" w:rsidP="008A1A6F">
      <w:pPr>
        <w:spacing w:line="360" w:lineRule="auto"/>
      </w:pPr>
      <w:r w:rsidRPr="000826FE">
        <w:t>Supporting older adults to continue valued roles fosters self-esteem and belonging. A former teacher might enjoy reading to small groups, while a retired gardener could assist with tending plants. By enabling residents to contribute within their abilities, professionals enhance identity and agency (Brooker &amp; Latham, 2016).</w:t>
      </w:r>
    </w:p>
    <w:p w14:paraId="7057066A" w14:textId="77777777" w:rsidR="009B27BC" w:rsidRPr="000826FE" w:rsidRDefault="009B27BC" w:rsidP="008A1A6F">
      <w:pPr>
        <w:spacing w:line="360" w:lineRule="auto"/>
      </w:pPr>
    </w:p>
    <w:p w14:paraId="026CA3E0" w14:textId="77777777" w:rsidR="00905ED5" w:rsidRDefault="00DF551A" w:rsidP="008A1A6F">
      <w:pPr>
        <w:spacing w:line="360" w:lineRule="auto"/>
      </w:pPr>
      <w:r w:rsidRPr="000826FE">
        <w:t>Group activities such as singing, storytelling, or shared meals can foster friendships and social cohesion. Observing peers’ participation often encourages hesitant residents to join in, creating a sense of community (Woods et al., 2018). However, professionals should adapt activities to residents’ abilities to avoid overstimulation (</w:t>
      </w:r>
      <w:proofErr w:type="spellStart"/>
      <w:r w:rsidRPr="000826FE">
        <w:t>Kitwood</w:t>
      </w:r>
      <w:proofErr w:type="spellEnd"/>
      <w:r w:rsidRPr="000826FE">
        <w:t>, 1997).</w:t>
      </w:r>
    </w:p>
    <w:p w14:paraId="3D361D7A" w14:textId="77777777" w:rsidR="00955DFD" w:rsidRDefault="00955DFD" w:rsidP="008A1A6F">
      <w:pPr>
        <w:spacing w:line="360" w:lineRule="auto"/>
      </w:pPr>
    </w:p>
    <w:p w14:paraId="552D2C6F" w14:textId="410E8414" w:rsidR="00035710" w:rsidRDefault="00035710" w:rsidP="008A1A6F">
      <w:pPr>
        <w:spacing w:line="360" w:lineRule="auto"/>
      </w:pPr>
      <w:r>
        <w:t xml:space="preserve">Why These Theories Were Chosen  </w:t>
      </w:r>
    </w:p>
    <w:p w14:paraId="3A06790F" w14:textId="255F0A05" w:rsidR="00955DFD" w:rsidRDefault="00955DFD" w:rsidP="008A1A6F">
      <w:pPr>
        <w:spacing w:line="360" w:lineRule="auto"/>
      </w:pPr>
      <w:r>
        <w:t>Disengagement and Activity Theories were selected because together they provide balanced and contrasting perspectives on ageing.</w:t>
      </w:r>
    </w:p>
    <w:p w14:paraId="7D94F449" w14:textId="566C8297" w:rsidR="00B84A27" w:rsidRDefault="00B84A27" w:rsidP="008A1A6F">
      <w:pPr>
        <w:spacing w:line="360" w:lineRule="auto"/>
      </w:pPr>
      <w:r>
        <w:t>Cultural values shape views on independence, communication, and engagement. For Donna, understanding her background helps tailor activities and communication.</w:t>
      </w:r>
    </w:p>
    <w:p w14:paraId="0411B17A" w14:textId="35D25563" w:rsidR="00610F2C" w:rsidRDefault="00610F2C" w:rsidP="008A1A6F">
      <w:pPr>
        <w:spacing w:line="360" w:lineRule="auto"/>
      </w:pPr>
      <w:r>
        <w:t>Disengagement Theory and Activity Theory provide valuable insights into the ageing process and offer practical guidance for dementia care.</w:t>
      </w:r>
    </w:p>
    <w:p w14:paraId="12A8A102" w14:textId="77777777" w:rsidR="00905ED5" w:rsidRDefault="00905ED5" w:rsidP="00905ED5">
      <w:pPr>
        <w:spacing w:line="360" w:lineRule="auto"/>
      </w:pPr>
    </w:p>
    <w:p w14:paraId="2141E110" w14:textId="1CD78226" w:rsidR="00DF551A" w:rsidRPr="00905ED5" w:rsidRDefault="00DF551A" w:rsidP="00905ED5">
      <w:pPr>
        <w:spacing w:line="360" w:lineRule="auto"/>
        <w:rPr>
          <w:b/>
          <w:bCs/>
        </w:rPr>
      </w:pPr>
      <w:r w:rsidRPr="00905ED5">
        <w:rPr>
          <w:b/>
          <w:bCs/>
        </w:rPr>
        <w:t>Two Theories for Holistic Care</w:t>
      </w:r>
    </w:p>
    <w:p w14:paraId="3CAB9552" w14:textId="2F8C3A87" w:rsidR="00905ED5" w:rsidRPr="008A1A6F" w:rsidRDefault="00B6797C" w:rsidP="008A1A6F">
      <w:pPr>
        <w:spacing w:line="360" w:lineRule="auto"/>
      </w:pPr>
      <w:r w:rsidRPr="008A1A6F">
        <w:t xml:space="preserve">Although Disengagement and Activity Theories appear contradictory, they can be integrated effectively </w:t>
      </w:r>
      <w:proofErr w:type="gramStart"/>
      <w:r w:rsidRPr="008A1A6F">
        <w:t>in</w:t>
      </w:r>
      <w:proofErr w:type="gramEnd"/>
      <w:r w:rsidRPr="008A1A6F">
        <w:t xml:space="preserve"> dementia care. A balanced approach </w:t>
      </w:r>
      <w:proofErr w:type="spellStart"/>
      <w:r w:rsidRPr="008A1A6F">
        <w:t>recognises</w:t>
      </w:r>
      <w:proofErr w:type="spellEnd"/>
      <w:r w:rsidRPr="008A1A6F">
        <w:t xml:space="preserve"> that residents may fluctuate between periods of engagement and withdrawal depending on their mood, health, and cognitive state. For example, a resident may benefit from group singing in the morning but prefer solitude later in the day. Flexible care plans blending activity-based stimulation with opportunities for quiet reflection prevent both overstimulation and social isolation (Feil &amp; de Klerk-Rubin, 2015). This integrated model encourages staff to assess individual needs continually, adapting support to each resident’s preferences and energy levels, thereby promoting holistic, person-</w:t>
      </w:r>
      <w:proofErr w:type="spellStart"/>
      <w:r w:rsidRPr="008A1A6F">
        <w:t>centred</w:t>
      </w:r>
      <w:proofErr w:type="spellEnd"/>
      <w:r w:rsidRPr="008A1A6F">
        <w:t xml:space="preserve"> care that values both participation and rest.</w:t>
      </w:r>
    </w:p>
    <w:p w14:paraId="2F5BA31C" w14:textId="77777777" w:rsidR="00DD621B" w:rsidRPr="008A1A6F" w:rsidRDefault="00DD621B" w:rsidP="008A1A6F">
      <w:pPr>
        <w:spacing w:line="360" w:lineRule="auto"/>
        <w:rPr>
          <w:b/>
          <w:bCs/>
        </w:rPr>
      </w:pPr>
    </w:p>
    <w:p w14:paraId="66E40EB7" w14:textId="77777777" w:rsidR="00DD621B" w:rsidRPr="008A1A6F" w:rsidRDefault="00DD621B" w:rsidP="008A1A6F">
      <w:pPr>
        <w:spacing w:line="360" w:lineRule="auto"/>
        <w:rPr>
          <w:b/>
          <w:bCs/>
        </w:rPr>
      </w:pPr>
    </w:p>
    <w:p w14:paraId="0E4F72C6" w14:textId="77777777" w:rsidR="00DD621B" w:rsidRPr="008A1A6F" w:rsidRDefault="00DD621B" w:rsidP="008A1A6F">
      <w:pPr>
        <w:spacing w:line="360" w:lineRule="auto"/>
        <w:rPr>
          <w:b/>
          <w:bCs/>
        </w:rPr>
      </w:pPr>
    </w:p>
    <w:p w14:paraId="340039A5" w14:textId="77777777" w:rsidR="00DD621B" w:rsidRPr="008A1A6F" w:rsidRDefault="00DD621B" w:rsidP="008A1A6F">
      <w:pPr>
        <w:spacing w:line="360" w:lineRule="auto"/>
        <w:rPr>
          <w:b/>
          <w:bCs/>
        </w:rPr>
      </w:pPr>
    </w:p>
    <w:p w14:paraId="109475F4" w14:textId="77777777" w:rsidR="00DD621B" w:rsidRPr="008A1A6F" w:rsidRDefault="00DD621B" w:rsidP="008A1A6F">
      <w:pPr>
        <w:spacing w:line="360" w:lineRule="auto"/>
        <w:rPr>
          <w:b/>
          <w:bCs/>
        </w:rPr>
      </w:pPr>
    </w:p>
    <w:p w14:paraId="4E00B0F5" w14:textId="07B046B0" w:rsidR="00DF551A" w:rsidRPr="00905ED5" w:rsidRDefault="00DF551A" w:rsidP="00905ED5">
      <w:pPr>
        <w:spacing w:line="360" w:lineRule="auto"/>
        <w:rPr>
          <w:b/>
          <w:bCs/>
        </w:rPr>
      </w:pPr>
      <w:r w:rsidRPr="00905ED5">
        <w:rPr>
          <w:b/>
          <w:bCs/>
        </w:rPr>
        <w:t>Conclusion</w:t>
      </w:r>
    </w:p>
    <w:p w14:paraId="35FA21D4" w14:textId="5B3301BB" w:rsidR="00DD621B" w:rsidRPr="008A1A6F" w:rsidRDefault="00C20696" w:rsidP="008A1A6F">
      <w:pPr>
        <w:spacing w:line="360" w:lineRule="auto"/>
        <w:rPr>
          <w:b/>
          <w:bCs/>
        </w:rPr>
      </w:pPr>
      <w:r w:rsidRPr="008A1A6F">
        <w:t xml:space="preserve">Disengagement Theory and Activity Theory offer valuable yet contrasting perspectives on ageing. Disengagement Theory helps professionals understand that withdrawal in older adults may sometimes be a natural and adaptive response to cognitive and physical decline, while Activity Theory </w:t>
      </w:r>
      <w:proofErr w:type="spellStart"/>
      <w:r w:rsidRPr="008A1A6F">
        <w:t>emphasises</w:t>
      </w:r>
      <w:proofErr w:type="spellEnd"/>
      <w:r w:rsidRPr="008A1A6F">
        <w:t xml:space="preserve"> continued engagement, participation, and purpose as essential for wellbeing. In dementia care, both models have practical applications—respecting autonomy while promoting meaningful, stimulating activity. A balanced, person-</w:t>
      </w:r>
      <w:proofErr w:type="spellStart"/>
      <w:r w:rsidRPr="008A1A6F">
        <w:t>centred</w:t>
      </w:r>
      <w:proofErr w:type="spellEnd"/>
      <w:r w:rsidRPr="008A1A6F">
        <w:t xml:space="preserve"> approach integrating both theories ensures care that upholds dignity, comfort, and wellbeing for older adults living with dementia. By applying these theories flexibly, professionals can tailor interventions that </w:t>
      </w:r>
      <w:proofErr w:type="spellStart"/>
      <w:r w:rsidRPr="008A1A6F">
        <w:t>recognise</w:t>
      </w:r>
      <w:proofErr w:type="spellEnd"/>
      <w:r w:rsidRPr="008A1A6F">
        <w:t xml:space="preserve"> individuality, support psychological resilience, and enhance overall quality of life within care home environments. Ultimately, understanding when to encourage participation and when to allow rest enables a compassionate, responsive model of care that </w:t>
      </w:r>
      <w:proofErr w:type="spellStart"/>
      <w:r w:rsidRPr="008A1A6F">
        <w:t>prioritises</w:t>
      </w:r>
      <w:proofErr w:type="spellEnd"/>
      <w:r w:rsidRPr="008A1A6F">
        <w:t xml:space="preserve"> emotional security, human connection, and sustained psychological health in later life.</w:t>
      </w:r>
    </w:p>
    <w:p w14:paraId="45C2E4C8" w14:textId="77777777" w:rsidR="00DD621B" w:rsidRPr="008A1A6F" w:rsidRDefault="00DD621B" w:rsidP="008A1A6F">
      <w:pPr>
        <w:spacing w:line="360" w:lineRule="auto"/>
        <w:rPr>
          <w:b/>
          <w:bCs/>
        </w:rPr>
      </w:pPr>
    </w:p>
    <w:p w14:paraId="1824F3F8" w14:textId="77777777" w:rsidR="00DD621B" w:rsidRPr="008A1A6F" w:rsidRDefault="00DD621B" w:rsidP="008A1A6F">
      <w:pPr>
        <w:spacing w:line="360" w:lineRule="auto"/>
        <w:rPr>
          <w:b/>
          <w:bCs/>
        </w:rPr>
      </w:pPr>
    </w:p>
    <w:p w14:paraId="6CF64105" w14:textId="77777777" w:rsidR="00DD621B" w:rsidRPr="008A1A6F" w:rsidRDefault="00DD621B" w:rsidP="008A1A6F">
      <w:pPr>
        <w:spacing w:line="360" w:lineRule="auto"/>
        <w:rPr>
          <w:b/>
          <w:bCs/>
        </w:rPr>
      </w:pPr>
    </w:p>
    <w:p w14:paraId="4FA3CB73" w14:textId="77777777" w:rsidR="00DD621B" w:rsidRPr="008A1A6F" w:rsidRDefault="00DD621B" w:rsidP="008A1A6F">
      <w:pPr>
        <w:spacing w:line="360" w:lineRule="auto"/>
        <w:rPr>
          <w:b/>
          <w:bCs/>
        </w:rPr>
      </w:pPr>
    </w:p>
    <w:p w14:paraId="545EF1F1" w14:textId="77777777" w:rsidR="00DD621B" w:rsidRPr="008A1A6F" w:rsidRDefault="00DD621B" w:rsidP="008A1A6F">
      <w:pPr>
        <w:spacing w:line="360" w:lineRule="auto"/>
        <w:rPr>
          <w:b/>
          <w:bCs/>
        </w:rPr>
      </w:pPr>
    </w:p>
    <w:p w14:paraId="67FECB5E" w14:textId="77777777" w:rsidR="00DD621B" w:rsidRPr="008A1A6F" w:rsidRDefault="00DD621B" w:rsidP="008A1A6F">
      <w:pPr>
        <w:spacing w:line="360" w:lineRule="auto"/>
        <w:rPr>
          <w:b/>
          <w:bCs/>
        </w:rPr>
      </w:pPr>
    </w:p>
    <w:p w14:paraId="2C78C50A" w14:textId="77777777" w:rsidR="00DD621B" w:rsidRPr="008A1A6F" w:rsidRDefault="00DD621B" w:rsidP="008A1A6F">
      <w:pPr>
        <w:spacing w:line="360" w:lineRule="auto"/>
        <w:rPr>
          <w:b/>
          <w:bCs/>
        </w:rPr>
      </w:pPr>
    </w:p>
    <w:p w14:paraId="1D53B236" w14:textId="77777777" w:rsidR="00DD621B" w:rsidRDefault="00DD621B" w:rsidP="00905ED5">
      <w:pPr>
        <w:spacing w:line="360" w:lineRule="auto"/>
        <w:rPr>
          <w:b/>
          <w:bCs/>
        </w:rPr>
      </w:pPr>
    </w:p>
    <w:p w14:paraId="2B111B27" w14:textId="77777777" w:rsidR="00DD621B" w:rsidRDefault="00DD621B" w:rsidP="00905ED5">
      <w:pPr>
        <w:spacing w:line="360" w:lineRule="auto"/>
        <w:rPr>
          <w:b/>
          <w:bCs/>
        </w:rPr>
      </w:pPr>
    </w:p>
    <w:p w14:paraId="4D2B20B3" w14:textId="77777777" w:rsidR="00DD621B" w:rsidRDefault="00DD621B" w:rsidP="00905ED5">
      <w:pPr>
        <w:spacing w:line="360" w:lineRule="auto"/>
        <w:rPr>
          <w:b/>
          <w:bCs/>
        </w:rPr>
      </w:pPr>
    </w:p>
    <w:p w14:paraId="2BDD7854" w14:textId="77777777" w:rsidR="00DD621B" w:rsidRDefault="00DD621B" w:rsidP="00905ED5">
      <w:pPr>
        <w:spacing w:line="360" w:lineRule="auto"/>
        <w:rPr>
          <w:b/>
          <w:bCs/>
        </w:rPr>
      </w:pPr>
    </w:p>
    <w:p w14:paraId="30FB24B2" w14:textId="77777777" w:rsidR="00DD621B" w:rsidRDefault="00DD621B" w:rsidP="00905ED5">
      <w:pPr>
        <w:spacing w:line="360" w:lineRule="auto"/>
        <w:rPr>
          <w:b/>
          <w:bCs/>
        </w:rPr>
      </w:pPr>
    </w:p>
    <w:p w14:paraId="0C6EAEBA" w14:textId="77777777" w:rsidR="00DD621B" w:rsidRDefault="00DD621B" w:rsidP="00905ED5">
      <w:pPr>
        <w:spacing w:line="360" w:lineRule="auto"/>
        <w:rPr>
          <w:b/>
          <w:bCs/>
        </w:rPr>
      </w:pPr>
    </w:p>
    <w:p w14:paraId="49F7C329" w14:textId="77777777" w:rsidR="00DD621B" w:rsidRDefault="00DD621B" w:rsidP="00905ED5">
      <w:pPr>
        <w:spacing w:line="360" w:lineRule="auto"/>
        <w:rPr>
          <w:b/>
          <w:bCs/>
        </w:rPr>
      </w:pPr>
    </w:p>
    <w:p w14:paraId="3ECF38A2" w14:textId="77777777" w:rsidR="00DD621B" w:rsidRDefault="00DD621B" w:rsidP="00905ED5">
      <w:pPr>
        <w:spacing w:line="360" w:lineRule="auto"/>
        <w:rPr>
          <w:b/>
          <w:bCs/>
        </w:rPr>
      </w:pPr>
    </w:p>
    <w:p w14:paraId="0DD9A236" w14:textId="77777777" w:rsidR="00DD621B" w:rsidRDefault="00DD621B" w:rsidP="00905ED5">
      <w:pPr>
        <w:spacing w:line="360" w:lineRule="auto"/>
        <w:rPr>
          <w:b/>
          <w:bCs/>
        </w:rPr>
      </w:pPr>
    </w:p>
    <w:p w14:paraId="7300B277" w14:textId="77777777" w:rsidR="00DD621B" w:rsidRDefault="00DD621B" w:rsidP="00905ED5">
      <w:pPr>
        <w:spacing w:line="360" w:lineRule="auto"/>
        <w:rPr>
          <w:b/>
          <w:bCs/>
        </w:rPr>
      </w:pPr>
    </w:p>
    <w:p w14:paraId="2377B302" w14:textId="77777777" w:rsidR="00DD621B" w:rsidRDefault="00DD621B" w:rsidP="00905ED5">
      <w:pPr>
        <w:spacing w:line="360" w:lineRule="auto"/>
        <w:rPr>
          <w:b/>
          <w:bCs/>
        </w:rPr>
      </w:pPr>
    </w:p>
    <w:p w14:paraId="24180EBC" w14:textId="77777777" w:rsidR="00DD621B" w:rsidRDefault="00DD621B" w:rsidP="00905ED5">
      <w:pPr>
        <w:spacing w:line="360" w:lineRule="auto"/>
        <w:rPr>
          <w:b/>
          <w:bCs/>
        </w:rPr>
      </w:pPr>
    </w:p>
    <w:p w14:paraId="176D268D" w14:textId="77777777" w:rsidR="00DD621B" w:rsidRDefault="00DD621B" w:rsidP="00905ED5">
      <w:pPr>
        <w:spacing w:line="360" w:lineRule="auto"/>
        <w:rPr>
          <w:b/>
          <w:bCs/>
        </w:rPr>
      </w:pPr>
    </w:p>
    <w:p w14:paraId="4FB5FE2E" w14:textId="77777777" w:rsidR="00DD621B" w:rsidRDefault="00DD621B" w:rsidP="00905ED5">
      <w:pPr>
        <w:spacing w:line="360" w:lineRule="auto"/>
        <w:rPr>
          <w:b/>
          <w:bCs/>
        </w:rPr>
      </w:pPr>
    </w:p>
    <w:p w14:paraId="572281E8" w14:textId="77777777" w:rsidR="00DD621B" w:rsidRDefault="00DD621B" w:rsidP="00905ED5">
      <w:pPr>
        <w:spacing w:line="360" w:lineRule="auto"/>
        <w:rPr>
          <w:b/>
          <w:bCs/>
        </w:rPr>
      </w:pPr>
    </w:p>
    <w:p w14:paraId="7AEA1E71" w14:textId="77777777" w:rsidR="008A1A6F" w:rsidRDefault="008A1A6F" w:rsidP="00905ED5">
      <w:pPr>
        <w:spacing w:line="360" w:lineRule="auto"/>
        <w:rPr>
          <w:b/>
          <w:bCs/>
        </w:rPr>
      </w:pPr>
    </w:p>
    <w:p w14:paraId="68536CC7" w14:textId="4205FDE5" w:rsidR="00DF551A" w:rsidRPr="00905ED5" w:rsidRDefault="00DF551A" w:rsidP="00905ED5">
      <w:pPr>
        <w:spacing w:line="360" w:lineRule="auto"/>
        <w:rPr>
          <w:b/>
          <w:bCs/>
        </w:rPr>
      </w:pPr>
      <w:r w:rsidRPr="00905ED5">
        <w:rPr>
          <w:b/>
          <w:bCs/>
        </w:rPr>
        <w:t xml:space="preserve">References </w:t>
      </w:r>
    </w:p>
    <w:p w14:paraId="6380EF9F" w14:textId="77777777" w:rsidR="00DF551A" w:rsidRPr="008A1A6F" w:rsidRDefault="00DF551A" w:rsidP="008A1A6F">
      <w:pPr>
        <w:pStyle w:val="ListBullet"/>
        <w:numPr>
          <w:ilvl w:val="0"/>
          <w:numId w:val="0"/>
        </w:numPr>
        <w:spacing w:line="360" w:lineRule="auto"/>
        <w:rPr>
          <w:rFonts w:ascii="Arial" w:hAnsi="Arial" w:cs="Arial"/>
        </w:rPr>
      </w:pPr>
      <w:r w:rsidRPr="008A1A6F">
        <w:rPr>
          <w:rFonts w:ascii="Arial" w:hAnsi="Arial" w:cs="Arial"/>
        </w:rPr>
        <w:t>Adams, K. B., Leibbrandt, S. and Moon, H. (2011) ‘A critical review of the literature on social and leisure activity and wellbeing in later life’, Ageing &amp; Society, 31(4), pp. 683–712.</w:t>
      </w:r>
    </w:p>
    <w:p w14:paraId="050752A3" w14:textId="77777777" w:rsidR="00905ED5" w:rsidRPr="008A1A6F" w:rsidRDefault="00905ED5" w:rsidP="008A1A6F">
      <w:pPr>
        <w:pStyle w:val="ListBullet"/>
        <w:numPr>
          <w:ilvl w:val="0"/>
          <w:numId w:val="0"/>
        </w:numPr>
        <w:spacing w:line="360" w:lineRule="auto"/>
        <w:rPr>
          <w:rFonts w:ascii="Arial" w:hAnsi="Arial" w:cs="Arial"/>
        </w:rPr>
      </w:pPr>
    </w:p>
    <w:p w14:paraId="6475A517" w14:textId="2974E87A" w:rsidR="00DF551A" w:rsidRPr="008A1A6F" w:rsidRDefault="00DF551A" w:rsidP="008A1A6F">
      <w:pPr>
        <w:pStyle w:val="ListBullet"/>
        <w:numPr>
          <w:ilvl w:val="0"/>
          <w:numId w:val="0"/>
        </w:numPr>
        <w:spacing w:line="360" w:lineRule="auto"/>
        <w:rPr>
          <w:rFonts w:ascii="Arial" w:hAnsi="Arial" w:cs="Arial"/>
        </w:rPr>
      </w:pPr>
      <w:r w:rsidRPr="008A1A6F">
        <w:rPr>
          <w:rFonts w:ascii="Arial" w:hAnsi="Arial" w:cs="Arial"/>
        </w:rPr>
        <w:t>Alzheimer’s Society (2024) Dementia Statistics Hub. [Online] Available at: https://www.alzheimers.org.uk [Accessed 10 November 2025].</w:t>
      </w:r>
    </w:p>
    <w:p w14:paraId="7E1153A3" w14:textId="77777777" w:rsidR="00E76733" w:rsidRPr="008A1A6F" w:rsidRDefault="00E76733" w:rsidP="008A1A6F">
      <w:pPr>
        <w:pStyle w:val="ListBullet"/>
        <w:numPr>
          <w:ilvl w:val="0"/>
          <w:numId w:val="0"/>
        </w:numPr>
        <w:spacing w:line="360" w:lineRule="auto"/>
        <w:rPr>
          <w:rFonts w:ascii="Arial" w:hAnsi="Arial" w:cs="Arial"/>
        </w:rPr>
      </w:pPr>
    </w:p>
    <w:p w14:paraId="104B46A4" w14:textId="77777777" w:rsidR="00DF551A" w:rsidRPr="008A1A6F" w:rsidRDefault="00DF551A" w:rsidP="008A1A6F">
      <w:pPr>
        <w:pStyle w:val="ListBullet"/>
        <w:numPr>
          <w:ilvl w:val="0"/>
          <w:numId w:val="0"/>
        </w:numPr>
        <w:spacing w:line="360" w:lineRule="auto"/>
        <w:rPr>
          <w:rFonts w:ascii="Arial" w:hAnsi="Arial" w:cs="Arial"/>
        </w:rPr>
      </w:pPr>
      <w:r w:rsidRPr="008A1A6F">
        <w:rPr>
          <w:rFonts w:ascii="Arial" w:hAnsi="Arial" w:cs="Arial"/>
        </w:rPr>
        <w:t>Brooker, D. and Latham, G. (2016) Person-</w:t>
      </w:r>
      <w:proofErr w:type="spellStart"/>
      <w:r w:rsidRPr="008A1A6F">
        <w:rPr>
          <w:rFonts w:ascii="Arial" w:hAnsi="Arial" w:cs="Arial"/>
        </w:rPr>
        <w:t>Centred</w:t>
      </w:r>
      <w:proofErr w:type="spellEnd"/>
      <w:r w:rsidRPr="008A1A6F">
        <w:rPr>
          <w:rFonts w:ascii="Arial" w:hAnsi="Arial" w:cs="Arial"/>
        </w:rPr>
        <w:t xml:space="preserve"> Dementia Care: Making Services Better. 2nd ed. London: Jessica Kingsley Publishers.</w:t>
      </w:r>
    </w:p>
    <w:p w14:paraId="37ADCB3D" w14:textId="77777777" w:rsidR="00E76733" w:rsidRPr="008A1A6F" w:rsidRDefault="00E76733" w:rsidP="008A1A6F">
      <w:pPr>
        <w:pStyle w:val="ListBullet"/>
        <w:numPr>
          <w:ilvl w:val="0"/>
          <w:numId w:val="0"/>
        </w:numPr>
        <w:spacing w:line="360" w:lineRule="auto"/>
        <w:rPr>
          <w:rFonts w:ascii="Arial" w:hAnsi="Arial" w:cs="Arial"/>
        </w:rPr>
      </w:pPr>
    </w:p>
    <w:p w14:paraId="32E1A88B" w14:textId="77777777" w:rsidR="00DF551A" w:rsidRPr="008A1A6F" w:rsidRDefault="00DF551A" w:rsidP="008A1A6F">
      <w:pPr>
        <w:pStyle w:val="ListBullet"/>
        <w:numPr>
          <w:ilvl w:val="0"/>
          <w:numId w:val="0"/>
        </w:numPr>
        <w:spacing w:line="360" w:lineRule="auto"/>
        <w:rPr>
          <w:rFonts w:ascii="Arial" w:hAnsi="Arial" w:cs="Arial"/>
        </w:rPr>
      </w:pPr>
      <w:r w:rsidRPr="008A1A6F">
        <w:rPr>
          <w:rFonts w:ascii="Arial" w:hAnsi="Arial" w:cs="Arial"/>
        </w:rPr>
        <w:t>Cumming, E. and Henry, W. E. (1961) Growing Old: The Process of Disengagement. New York: Basic Books.</w:t>
      </w:r>
    </w:p>
    <w:p w14:paraId="12DAAD99" w14:textId="77777777" w:rsidR="00E76733" w:rsidRPr="008A1A6F" w:rsidRDefault="00E76733" w:rsidP="008A1A6F">
      <w:pPr>
        <w:pStyle w:val="ListBullet"/>
        <w:numPr>
          <w:ilvl w:val="0"/>
          <w:numId w:val="0"/>
        </w:numPr>
        <w:spacing w:line="360" w:lineRule="auto"/>
        <w:rPr>
          <w:rFonts w:ascii="Arial" w:hAnsi="Arial" w:cs="Arial"/>
        </w:rPr>
      </w:pPr>
    </w:p>
    <w:p w14:paraId="160BA15C" w14:textId="3457440E" w:rsidR="00DF551A" w:rsidRPr="008A1A6F" w:rsidRDefault="00DF551A" w:rsidP="008A1A6F">
      <w:pPr>
        <w:pStyle w:val="ListBullet"/>
        <w:numPr>
          <w:ilvl w:val="0"/>
          <w:numId w:val="0"/>
        </w:numPr>
        <w:spacing w:line="360" w:lineRule="auto"/>
        <w:rPr>
          <w:rFonts w:ascii="Arial" w:hAnsi="Arial" w:cs="Arial"/>
        </w:rPr>
      </w:pPr>
      <w:r w:rsidRPr="008A1A6F">
        <w:rPr>
          <w:rFonts w:ascii="Arial" w:hAnsi="Arial" w:cs="Arial"/>
        </w:rPr>
        <w:t>Feil, N. and de Klerk-Rubin, V. (2015) The Validation Breakthrough: Simple Techniques for Communicating with People with Alzheimer’s-Type Dementia. 3rd ed. Baltimore: Health Professions Press.</w:t>
      </w:r>
    </w:p>
    <w:p w14:paraId="00ED540E" w14:textId="77777777" w:rsidR="001D619C" w:rsidRPr="008A1A6F" w:rsidRDefault="001D619C" w:rsidP="008A1A6F">
      <w:pPr>
        <w:pStyle w:val="ListBullet"/>
        <w:numPr>
          <w:ilvl w:val="0"/>
          <w:numId w:val="0"/>
        </w:numPr>
        <w:spacing w:line="360" w:lineRule="auto"/>
        <w:rPr>
          <w:rFonts w:ascii="Arial" w:hAnsi="Arial" w:cs="Arial"/>
        </w:rPr>
      </w:pPr>
    </w:p>
    <w:p w14:paraId="3D598AAE" w14:textId="2F29FAEF" w:rsidR="001D619C" w:rsidRPr="008A1A6F" w:rsidRDefault="001D619C" w:rsidP="008A1A6F">
      <w:pPr>
        <w:pStyle w:val="ListBullet"/>
        <w:numPr>
          <w:ilvl w:val="0"/>
          <w:numId w:val="0"/>
        </w:numPr>
        <w:spacing w:line="360" w:lineRule="auto"/>
        <w:rPr>
          <w:rFonts w:ascii="Arial" w:hAnsi="Arial" w:cs="Arial"/>
        </w:rPr>
      </w:pPr>
      <w:r w:rsidRPr="008A1A6F">
        <w:t>Havighurst, R. &amp; Albrecht, R. (</w:t>
      </w:r>
      <w:proofErr w:type="gramStart"/>
      <w:r w:rsidRPr="008A1A6F">
        <w:t>1953)...</w:t>
      </w:r>
      <w:proofErr w:type="gramEnd"/>
      <w:r w:rsidRPr="008A1A6F">
        <w:t xml:space="preserve">  </w:t>
      </w:r>
    </w:p>
    <w:p w14:paraId="2B6AAFF7" w14:textId="77777777" w:rsidR="001D619C" w:rsidRPr="008A1A6F" w:rsidRDefault="001D619C" w:rsidP="008A1A6F">
      <w:pPr>
        <w:pStyle w:val="ListBullet"/>
        <w:numPr>
          <w:ilvl w:val="0"/>
          <w:numId w:val="0"/>
        </w:numPr>
        <w:spacing w:line="360" w:lineRule="auto"/>
        <w:rPr>
          <w:rFonts w:ascii="Arial" w:hAnsi="Arial" w:cs="Arial"/>
        </w:rPr>
      </w:pPr>
    </w:p>
    <w:p w14:paraId="5739F720" w14:textId="7D0E5F4B" w:rsidR="00DF551A" w:rsidRPr="008A1A6F" w:rsidRDefault="00DF551A" w:rsidP="008A1A6F">
      <w:pPr>
        <w:pStyle w:val="ListBullet"/>
        <w:numPr>
          <w:ilvl w:val="0"/>
          <w:numId w:val="0"/>
        </w:numPr>
        <w:spacing w:line="360" w:lineRule="auto"/>
        <w:rPr>
          <w:rFonts w:ascii="Arial" w:hAnsi="Arial" w:cs="Arial"/>
        </w:rPr>
      </w:pPr>
      <w:r w:rsidRPr="008A1A6F">
        <w:rPr>
          <w:rFonts w:ascii="Arial" w:hAnsi="Arial" w:cs="Arial"/>
        </w:rPr>
        <w:t>Hooyman, N. R. and Kiyak, H. A. (2018) Social Gerontology: A Multidisciplinary Perspective. 10th ed. Boston: Pearson.</w:t>
      </w:r>
    </w:p>
    <w:p w14:paraId="31175321" w14:textId="77777777" w:rsidR="001D619C" w:rsidRPr="008A1A6F" w:rsidRDefault="001D619C" w:rsidP="008A1A6F">
      <w:pPr>
        <w:pStyle w:val="ListBullet"/>
        <w:numPr>
          <w:ilvl w:val="0"/>
          <w:numId w:val="0"/>
        </w:numPr>
        <w:spacing w:line="360" w:lineRule="auto"/>
        <w:rPr>
          <w:rFonts w:ascii="Arial" w:hAnsi="Arial" w:cs="Arial"/>
        </w:rPr>
      </w:pPr>
    </w:p>
    <w:p w14:paraId="65CA6302" w14:textId="4D076E17" w:rsidR="00DF551A" w:rsidRPr="008A1A6F" w:rsidRDefault="00DF551A" w:rsidP="008A1A6F">
      <w:pPr>
        <w:pStyle w:val="ListBullet"/>
        <w:numPr>
          <w:ilvl w:val="0"/>
          <w:numId w:val="0"/>
        </w:numPr>
        <w:spacing w:line="360" w:lineRule="auto"/>
        <w:rPr>
          <w:rFonts w:ascii="Arial" w:hAnsi="Arial" w:cs="Arial"/>
        </w:rPr>
      </w:pPr>
      <w:proofErr w:type="spellStart"/>
      <w:r w:rsidRPr="008A1A6F">
        <w:rPr>
          <w:rFonts w:ascii="Arial" w:hAnsi="Arial" w:cs="Arial"/>
        </w:rPr>
        <w:t>Kitwood</w:t>
      </w:r>
      <w:proofErr w:type="spellEnd"/>
      <w:r w:rsidRPr="008A1A6F">
        <w:rPr>
          <w:rFonts w:ascii="Arial" w:hAnsi="Arial" w:cs="Arial"/>
        </w:rPr>
        <w:t>, T. (1997) Dementia Reconsidered: The Person Comes First. Buckingham: Open University Press.</w:t>
      </w:r>
    </w:p>
    <w:p w14:paraId="3EEBA77E" w14:textId="77777777" w:rsidR="008A1A6F" w:rsidRPr="008A1A6F" w:rsidRDefault="008A1A6F" w:rsidP="008A1A6F">
      <w:pPr>
        <w:pStyle w:val="ListBullet"/>
        <w:numPr>
          <w:ilvl w:val="0"/>
          <w:numId w:val="0"/>
        </w:numPr>
        <w:spacing w:line="360" w:lineRule="auto"/>
        <w:rPr>
          <w:rFonts w:ascii="Arial" w:hAnsi="Arial" w:cs="Arial"/>
        </w:rPr>
      </w:pPr>
    </w:p>
    <w:p w14:paraId="793198E8" w14:textId="0FFA72AF" w:rsidR="001D619C" w:rsidRPr="00EA3E0B" w:rsidRDefault="00EA3E0B" w:rsidP="008A1A6F">
      <w:pPr>
        <w:pStyle w:val="ListBullet"/>
        <w:numPr>
          <w:ilvl w:val="0"/>
          <w:numId w:val="0"/>
        </w:numPr>
        <w:spacing w:line="360" w:lineRule="auto"/>
        <w:rPr>
          <w:rFonts w:ascii="Arial" w:hAnsi="Arial" w:cs="Arial"/>
        </w:rPr>
      </w:pPr>
      <w:r w:rsidRPr="00EA3E0B">
        <w:rPr>
          <w:rFonts w:ascii="Arial" w:hAnsi="Arial" w:cs="Arial"/>
        </w:rPr>
        <w:t>Raglio, A. et al. (</w:t>
      </w:r>
      <w:proofErr w:type="gramStart"/>
      <w:r w:rsidRPr="00EA3E0B">
        <w:rPr>
          <w:rFonts w:ascii="Arial" w:hAnsi="Arial" w:cs="Arial"/>
        </w:rPr>
        <w:t>2015) ‘</w:t>
      </w:r>
      <w:proofErr w:type="gramEnd"/>
      <w:r w:rsidRPr="00EA3E0B">
        <w:rPr>
          <w:rFonts w:ascii="Arial" w:hAnsi="Arial" w:cs="Arial"/>
        </w:rPr>
        <w:t xml:space="preserve">Music therapy in dementia care’, </w:t>
      </w:r>
      <w:r w:rsidRPr="00EA3E0B">
        <w:rPr>
          <w:rFonts w:ascii="Arial" w:hAnsi="Arial" w:cs="Arial"/>
          <w:i/>
          <w:iCs/>
        </w:rPr>
        <w:t>International Journal of Geriatric Psychiatry</w:t>
      </w:r>
      <w:r w:rsidRPr="00EA3E0B">
        <w:rPr>
          <w:rFonts w:ascii="Arial" w:hAnsi="Arial" w:cs="Arial"/>
        </w:rPr>
        <w:t>.</w:t>
      </w:r>
    </w:p>
    <w:p w14:paraId="68364A09" w14:textId="77777777" w:rsidR="00EA3E0B" w:rsidRPr="008A1A6F" w:rsidRDefault="00EA3E0B" w:rsidP="008A1A6F">
      <w:pPr>
        <w:pStyle w:val="ListBullet"/>
        <w:numPr>
          <w:ilvl w:val="0"/>
          <w:numId w:val="0"/>
        </w:numPr>
        <w:spacing w:line="360" w:lineRule="auto"/>
        <w:rPr>
          <w:rFonts w:ascii="Arial" w:hAnsi="Arial" w:cs="Arial"/>
        </w:rPr>
      </w:pPr>
    </w:p>
    <w:p w14:paraId="20454282" w14:textId="47ED6467" w:rsidR="00DF551A" w:rsidRPr="008A1A6F" w:rsidRDefault="00DF551A" w:rsidP="008A1A6F">
      <w:pPr>
        <w:pStyle w:val="ListBullet"/>
        <w:numPr>
          <w:ilvl w:val="0"/>
          <w:numId w:val="0"/>
        </w:numPr>
        <w:spacing w:line="360" w:lineRule="auto"/>
        <w:rPr>
          <w:rFonts w:ascii="Arial" w:hAnsi="Arial" w:cs="Arial"/>
        </w:rPr>
      </w:pPr>
      <w:r w:rsidRPr="008A1A6F">
        <w:rPr>
          <w:rFonts w:ascii="Arial" w:hAnsi="Arial" w:cs="Arial"/>
        </w:rPr>
        <w:t>Subramaniam, P. and Woods, B. (2016) ‘The impact of individual reminiscence therapy for people with dementia: Systematic review’, Expert Review of Neurotherapeutics, 16(5), pp. 511–520.</w:t>
      </w:r>
    </w:p>
    <w:p w14:paraId="29016ED1" w14:textId="1045936F" w:rsidR="00E76733" w:rsidRPr="00D44CAE" w:rsidRDefault="00D44CAE" w:rsidP="008A1A6F">
      <w:pPr>
        <w:spacing w:line="360" w:lineRule="auto"/>
      </w:pPr>
      <w:r w:rsidRPr="00D44CAE">
        <w:t>Woods, B. et al. (</w:t>
      </w:r>
      <w:proofErr w:type="gramStart"/>
      <w:r w:rsidRPr="00D44CAE">
        <w:t>2018) ‘</w:t>
      </w:r>
      <w:proofErr w:type="gramEnd"/>
      <w:r w:rsidRPr="00D44CAE">
        <w:t xml:space="preserve">Cognitive stimulation for dementia’, </w:t>
      </w:r>
      <w:r w:rsidRPr="00D44CAE">
        <w:rPr>
          <w:i/>
          <w:iCs/>
        </w:rPr>
        <w:t>Cochrane Library</w:t>
      </w:r>
      <w:r w:rsidRPr="00D44CAE">
        <w:t>.</w:t>
      </w:r>
      <w:r w:rsidR="00E76733" w:rsidRPr="00D44CAE">
        <w:br/>
      </w:r>
      <w:r w:rsidR="00E76733" w:rsidRPr="00D44CAE">
        <w:br/>
      </w:r>
    </w:p>
    <w:p w14:paraId="0A27840C" w14:textId="77777777" w:rsidR="00E76733" w:rsidRPr="008A1A6F" w:rsidRDefault="00E76733" w:rsidP="008A1A6F">
      <w:pPr>
        <w:pStyle w:val="ListBullet"/>
        <w:numPr>
          <w:ilvl w:val="0"/>
          <w:numId w:val="0"/>
        </w:numPr>
        <w:spacing w:line="360" w:lineRule="auto"/>
        <w:rPr>
          <w:rFonts w:ascii="Arial" w:hAnsi="Arial" w:cs="Arial"/>
        </w:rPr>
      </w:pPr>
    </w:p>
    <w:p w14:paraId="2EE7B6F4" w14:textId="77777777" w:rsidR="00DF551A" w:rsidRPr="008A1A6F" w:rsidRDefault="00DF551A" w:rsidP="008A1A6F">
      <w:pPr>
        <w:spacing w:line="360" w:lineRule="auto"/>
      </w:pPr>
    </w:p>
    <w:sectPr w:rsidR="00DF551A" w:rsidRPr="008A1A6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B6FE3" w14:textId="77777777" w:rsidR="00F73582" w:rsidRDefault="00F73582" w:rsidP="00FE6F3E">
      <w:r>
        <w:separator/>
      </w:r>
    </w:p>
  </w:endnote>
  <w:endnote w:type="continuationSeparator" w:id="0">
    <w:p w14:paraId="244966C0" w14:textId="77777777" w:rsidR="00F73582" w:rsidRDefault="00F73582" w:rsidP="00FE6F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8D154" w14:textId="77777777" w:rsidR="00FE6F3E" w:rsidRDefault="00FE6F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233"/>
      <w:docPartObj>
        <w:docPartGallery w:val="Page Numbers (Bottom of Page)"/>
        <w:docPartUnique/>
      </w:docPartObj>
    </w:sdtPr>
    <w:sdtEndPr>
      <w:rPr>
        <w:noProof/>
      </w:rPr>
    </w:sdtEndPr>
    <w:sdtContent>
      <w:p w14:paraId="36A3D0E6" w14:textId="0DF80CB2" w:rsidR="00A02533" w:rsidRDefault="00A02533">
        <w:pPr>
          <w:pStyle w:val="Footer"/>
          <w:jc w:val="center"/>
        </w:pPr>
        <w:r>
          <w:rPr>
            <w:noProof/>
          </w:rPr>
          <mc:AlternateContent>
            <mc:Choice Requires="wps">
              <w:drawing>
                <wp:inline distT="0" distB="0" distL="0" distR="0" wp14:anchorId="2C645AEC" wp14:editId="0F2FEB55">
                  <wp:extent cx="5467350" cy="45085"/>
                  <wp:effectExtent l="9525" t="9525" r="0" b="2540"/>
                  <wp:docPr id="2121405604"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1B66F2A"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4591E943" w14:textId="5A33BD75" w:rsidR="00A02533" w:rsidRDefault="00A025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8877E" w14:textId="77777777" w:rsidR="00FE6F3E" w:rsidRDefault="00FE6F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52287" w14:textId="77777777" w:rsidR="00FE6F3E" w:rsidRDefault="00FE6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D104F" w14:textId="77777777" w:rsidR="00F73582" w:rsidRDefault="00F73582" w:rsidP="00FE6F3E">
      <w:r>
        <w:separator/>
      </w:r>
    </w:p>
  </w:footnote>
  <w:footnote w:type="continuationSeparator" w:id="0">
    <w:p w14:paraId="59518CF1" w14:textId="77777777" w:rsidR="00F73582" w:rsidRDefault="00F73582" w:rsidP="00FE6F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75D42" w14:textId="77777777" w:rsidR="00FE6F3E" w:rsidRDefault="00FE6F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20765" w14:textId="77777777" w:rsidR="00FE6F3E" w:rsidRDefault="00FE6F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B054C" w14:textId="77777777" w:rsidR="00FE6F3E" w:rsidRDefault="00FE6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F6303C0A"/>
    <w:lvl w:ilvl="0">
      <w:start w:val="1"/>
      <w:numFmt w:val="bullet"/>
      <w:pStyle w:val="ListBullet"/>
      <w:lvlText w:val=""/>
      <w:lvlJc w:val="left"/>
      <w:pPr>
        <w:tabs>
          <w:tab w:val="num" w:pos="360"/>
        </w:tabs>
        <w:ind w:left="360" w:hanging="360"/>
      </w:pPr>
      <w:rPr>
        <w:rFonts w:ascii="Symbol" w:hAnsi="Symbol" w:hint="default"/>
      </w:rPr>
    </w:lvl>
  </w:abstractNum>
  <w:num w:numId="1" w16cid:durableId="483549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067"/>
    <w:rsid w:val="00000D52"/>
    <w:rsid w:val="00023E60"/>
    <w:rsid w:val="00035710"/>
    <w:rsid w:val="000669B3"/>
    <w:rsid w:val="00080323"/>
    <w:rsid w:val="000826FE"/>
    <w:rsid w:val="000A52B2"/>
    <w:rsid w:val="000D6859"/>
    <w:rsid w:val="00187051"/>
    <w:rsid w:val="001D619C"/>
    <w:rsid w:val="00204067"/>
    <w:rsid w:val="002F5A88"/>
    <w:rsid w:val="00316D15"/>
    <w:rsid w:val="003B0437"/>
    <w:rsid w:val="004B6137"/>
    <w:rsid w:val="004F2D85"/>
    <w:rsid w:val="005261C6"/>
    <w:rsid w:val="005D3F7F"/>
    <w:rsid w:val="005E5020"/>
    <w:rsid w:val="00610F2C"/>
    <w:rsid w:val="00697E1D"/>
    <w:rsid w:val="006C379C"/>
    <w:rsid w:val="006C50E1"/>
    <w:rsid w:val="006E7A98"/>
    <w:rsid w:val="00730B3D"/>
    <w:rsid w:val="007857D7"/>
    <w:rsid w:val="007B2351"/>
    <w:rsid w:val="008A1A6F"/>
    <w:rsid w:val="00905ED5"/>
    <w:rsid w:val="00955DFD"/>
    <w:rsid w:val="00965D2A"/>
    <w:rsid w:val="009A780B"/>
    <w:rsid w:val="009B27BC"/>
    <w:rsid w:val="00A02533"/>
    <w:rsid w:val="00A527DA"/>
    <w:rsid w:val="00AD67F5"/>
    <w:rsid w:val="00B05A13"/>
    <w:rsid w:val="00B6797C"/>
    <w:rsid w:val="00B84A27"/>
    <w:rsid w:val="00BC062A"/>
    <w:rsid w:val="00C20696"/>
    <w:rsid w:val="00C51D66"/>
    <w:rsid w:val="00C85484"/>
    <w:rsid w:val="00CB5191"/>
    <w:rsid w:val="00CD30BD"/>
    <w:rsid w:val="00D44CAE"/>
    <w:rsid w:val="00D64C77"/>
    <w:rsid w:val="00DD621B"/>
    <w:rsid w:val="00DF551A"/>
    <w:rsid w:val="00E13E8B"/>
    <w:rsid w:val="00E76733"/>
    <w:rsid w:val="00EA3E0B"/>
    <w:rsid w:val="00ED0C16"/>
    <w:rsid w:val="00EF0A0E"/>
    <w:rsid w:val="00F73582"/>
    <w:rsid w:val="00FE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22822F"/>
  <w15:chartTrackingRefBased/>
  <w15:docId w15:val="{DF27E190-3230-49A6-8E2B-0DD90810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067"/>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2040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40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40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0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0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06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06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06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06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0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40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40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0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0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0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0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0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067"/>
    <w:rPr>
      <w:rFonts w:eastAsiaTheme="majorEastAsia" w:cstheme="majorBidi"/>
      <w:color w:val="272727" w:themeColor="text1" w:themeTint="D8"/>
    </w:rPr>
  </w:style>
  <w:style w:type="paragraph" w:styleId="Title">
    <w:name w:val="Title"/>
    <w:basedOn w:val="Normal"/>
    <w:next w:val="Normal"/>
    <w:link w:val="TitleChar"/>
    <w:uiPriority w:val="10"/>
    <w:qFormat/>
    <w:rsid w:val="0020406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0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0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0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067"/>
    <w:pPr>
      <w:spacing w:before="160"/>
      <w:jc w:val="center"/>
    </w:pPr>
    <w:rPr>
      <w:i/>
      <w:iCs/>
      <w:color w:val="404040" w:themeColor="text1" w:themeTint="BF"/>
    </w:rPr>
  </w:style>
  <w:style w:type="character" w:customStyle="1" w:styleId="QuoteChar">
    <w:name w:val="Quote Char"/>
    <w:basedOn w:val="DefaultParagraphFont"/>
    <w:link w:val="Quote"/>
    <w:uiPriority w:val="29"/>
    <w:rsid w:val="00204067"/>
    <w:rPr>
      <w:i/>
      <w:iCs/>
      <w:color w:val="404040" w:themeColor="text1" w:themeTint="BF"/>
    </w:rPr>
  </w:style>
  <w:style w:type="paragraph" w:styleId="ListParagraph">
    <w:name w:val="List Paragraph"/>
    <w:basedOn w:val="Normal"/>
    <w:uiPriority w:val="34"/>
    <w:qFormat/>
    <w:rsid w:val="00204067"/>
    <w:pPr>
      <w:ind w:left="720"/>
      <w:contextualSpacing/>
    </w:pPr>
  </w:style>
  <w:style w:type="character" w:styleId="IntenseEmphasis">
    <w:name w:val="Intense Emphasis"/>
    <w:basedOn w:val="DefaultParagraphFont"/>
    <w:uiPriority w:val="21"/>
    <w:qFormat/>
    <w:rsid w:val="00204067"/>
    <w:rPr>
      <w:i/>
      <w:iCs/>
      <w:color w:val="0F4761" w:themeColor="accent1" w:themeShade="BF"/>
    </w:rPr>
  </w:style>
  <w:style w:type="paragraph" w:styleId="IntenseQuote">
    <w:name w:val="Intense Quote"/>
    <w:basedOn w:val="Normal"/>
    <w:next w:val="Normal"/>
    <w:link w:val="IntenseQuoteChar"/>
    <w:uiPriority w:val="30"/>
    <w:qFormat/>
    <w:rsid w:val="002040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067"/>
    <w:rPr>
      <w:i/>
      <w:iCs/>
      <w:color w:val="0F4761" w:themeColor="accent1" w:themeShade="BF"/>
    </w:rPr>
  </w:style>
  <w:style w:type="character" w:styleId="IntenseReference">
    <w:name w:val="Intense Reference"/>
    <w:basedOn w:val="DefaultParagraphFont"/>
    <w:uiPriority w:val="32"/>
    <w:qFormat/>
    <w:rsid w:val="00204067"/>
    <w:rPr>
      <w:b/>
      <w:bCs/>
      <w:smallCaps/>
      <w:color w:val="0F4761" w:themeColor="accent1" w:themeShade="BF"/>
      <w:spacing w:val="5"/>
    </w:rPr>
  </w:style>
  <w:style w:type="paragraph" w:styleId="BodyText">
    <w:name w:val="Body Text"/>
    <w:basedOn w:val="Normal"/>
    <w:link w:val="BodyTextChar"/>
    <w:uiPriority w:val="1"/>
    <w:qFormat/>
    <w:rsid w:val="00204067"/>
  </w:style>
  <w:style w:type="character" w:customStyle="1" w:styleId="BodyTextChar">
    <w:name w:val="Body Text Char"/>
    <w:basedOn w:val="DefaultParagraphFont"/>
    <w:link w:val="BodyText"/>
    <w:uiPriority w:val="1"/>
    <w:rsid w:val="00204067"/>
    <w:rPr>
      <w:rFonts w:ascii="Arial" w:eastAsia="Arial" w:hAnsi="Arial" w:cs="Arial"/>
      <w:kern w:val="0"/>
      <w:sz w:val="22"/>
      <w:szCs w:val="22"/>
      <w:lang w:val="en-US"/>
      <w14:ligatures w14:val="none"/>
    </w:rPr>
  </w:style>
  <w:style w:type="paragraph" w:customStyle="1" w:styleId="TableParagraph">
    <w:name w:val="Table Paragraph"/>
    <w:basedOn w:val="Normal"/>
    <w:uiPriority w:val="1"/>
    <w:qFormat/>
    <w:rsid w:val="00204067"/>
  </w:style>
  <w:style w:type="paragraph" w:styleId="ListBullet">
    <w:name w:val="List Bullet"/>
    <w:basedOn w:val="Normal"/>
    <w:uiPriority w:val="99"/>
    <w:unhideWhenUsed/>
    <w:rsid w:val="00DF551A"/>
    <w:pPr>
      <w:widowControl/>
      <w:numPr>
        <w:numId w:val="1"/>
      </w:numPr>
      <w:tabs>
        <w:tab w:val="clear" w:pos="360"/>
      </w:tabs>
      <w:autoSpaceDE/>
      <w:autoSpaceDN/>
      <w:spacing w:after="200" w:line="276" w:lineRule="auto"/>
      <w:ind w:left="0" w:firstLine="0"/>
      <w:contextualSpacing/>
    </w:pPr>
    <w:rPr>
      <w:rFonts w:asciiTheme="minorHAnsi" w:eastAsiaTheme="minorEastAsia" w:hAnsiTheme="minorHAnsi" w:cstheme="minorBidi"/>
    </w:rPr>
  </w:style>
  <w:style w:type="paragraph" w:styleId="TOCHeading">
    <w:name w:val="TOC Heading"/>
    <w:basedOn w:val="Heading1"/>
    <w:next w:val="Normal"/>
    <w:uiPriority w:val="39"/>
    <w:unhideWhenUsed/>
    <w:qFormat/>
    <w:rsid w:val="00DF551A"/>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DF551A"/>
    <w:pPr>
      <w:spacing w:after="100"/>
    </w:pPr>
  </w:style>
  <w:style w:type="paragraph" w:styleId="TOC2">
    <w:name w:val="toc 2"/>
    <w:basedOn w:val="Normal"/>
    <w:next w:val="Normal"/>
    <w:autoRedefine/>
    <w:uiPriority w:val="39"/>
    <w:unhideWhenUsed/>
    <w:rsid w:val="00DF551A"/>
    <w:pPr>
      <w:spacing w:after="100"/>
      <w:ind w:left="220"/>
    </w:pPr>
  </w:style>
  <w:style w:type="paragraph" w:styleId="TOC3">
    <w:name w:val="toc 3"/>
    <w:basedOn w:val="Normal"/>
    <w:next w:val="Normal"/>
    <w:autoRedefine/>
    <w:uiPriority w:val="39"/>
    <w:unhideWhenUsed/>
    <w:rsid w:val="00DF551A"/>
    <w:pPr>
      <w:spacing w:after="100"/>
      <w:ind w:left="440"/>
    </w:pPr>
  </w:style>
  <w:style w:type="character" w:styleId="Hyperlink">
    <w:name w:val="Hyperlink"/>
    <w:basedOn w:val="DefaultParagraphFont"/>
    <w:uiPriority w:val="99"/>
    <w:unhideWhenUsed/>
    <w:rsid w:val="00DF551A"/>
    <w:rPr>
      <w:color w:val="467886" w:themeColor="hyperlink"/>
      <w:u w:val="single"/>
    </w:rPr>
  </w:style>
  <w:style w:type="paragraph" w:styleId="Header">
    <w:name w:val="header"/>
    <w:basedOn w:val="Normal"/>
    <w:link w:val="HeaderChar"/>
    <w:uiPriority w:val="99"/>
    <w:unhideWhenUsed/>
    <w:rsid w:val="00FE6F3E"/>
    <w:pPr>
      <w:tabs>
        <w:tab w:val="center" w:pos="4513"/>
        <w:tab w:val="right" w:pos="9026"/>
      </w:tabs>
    </w:pPr>
  </w:style>
  <w:style w:type="character" w:customStyle="1" w:styleId="HeaderChar">
    <w:name w:val="Header Char"/>
    <w:basedOn w:val="DefaultParagraphFont"/>
    <w:link w:val="Header"/>
    <w:uiPriority w:val="99"/>
    <w:rsid w:val="00FE6F3E"/>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FE6F3E"/>
    <w:pPr>
      <w:tabs>
        <w:tab w:val="center" w:pos="4513"/>
        <w:tab w:val="right" w:pos="9026"/>
      </w:tabs>
    </w:pPr>
  </w:style>
  <w:style w:type="character" w:customStyle="1" w:styleId="FooterChar">
    <w:name w:val="Footer Char"/>
    <w:basedOn w:val="DefaultParagraphFont"/>
    <w:link w:val="Footer"/>
    <w:uiPriority w:val="99"/>
    <w:rsid w:val="00FE6F3E"/>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7CD30-E857-4C14-B61D-0DCCFBC58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1502</Words>
  <Characters>9478</Characters>
  <Application>Microsoft Office Word</Application>
  <DocSecurity>0</DocSecurity>
  <Lines>280</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Masih</dc:creator>
  <cp:keywords/>
  <dc:description/>
  <cp:lastModifiedBy>James Masih</cp:lastModifiedBy>
  <cp:revision>40</cp:revision>
  <dcterms:created xsi:type="dcterms:W3CDTF">2025-11-10T19:03:00Z</dcterms:created>
  <dcterms:modified xsi:type="dcterms:W3CDTF">2025-11-17T21:28:00Z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a6feb719-a022-49d8-b2a6-87d9c6bbeacc</vt:lpwstr>
  </property>
</Properties>
</file>