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8A88DC8" w14:textId="77777777" w:rsidR="00755786" w:rsidRDefault="002F1C97" w:rsidP="002F1C97">
      <w:pPr>
        <w:spacing w:line="256" w:lineRule="auto"/>
        <w:ind w:left="54"/>
      </w:pPr>
      <w:r>
        <w:rPr>
          <w:noProof/>
        </w:rPr>
        <w:drawing>
          <wp:inline distT="0" distB="0" distL="0" distR="0" wp14:anchorId="3F0B1B3B" wp14:editId="28206B85">
            <wp:extent cx="1809750" cy="723900"/>
            <wp:effectExtent l="0" t="0" r="0" b="0"/>
            <wp:docPr id="356" name="Picture 356"/>
            <wp:cNvGraphicFramePr/>
            <a:graphic xmlns:a="http://schemas.openxmlformats.org/drawingml/2006/main">
              <a:graphicData uri="http://schemas.openxmlformats.org/drawingml/2006/picture">
                <pic:pic xmlns:pic="http://schemas.openxmlformats.org/drawingml/2006/picture">
                  <pic:nvPicPr>
                    <pic:cNvPr id="356" name="Picture 356"/>
                    <pic:cNvPicPr/>
                  </pic:nvPicPr>
                  <pic:blipFill>
                    <a:blip r:embed="rId7"/>
                    <a:stretch>
                      <a:fillRect/>
                    </a:stretch>
                  </pic:blipFill>
                  <pic:spPr>
                    <a:xfrm>
                      <a:off x="0" y="0"/>
                      <a:ext cx="1809750" cy="723900"/>
                    </a:xfrm>
                    <a:prstGeom prst="rect">
                      <a:avLst/>
                    </a:prstGeom>
                  </pic:spPr>
                </pic:pic>
              </a:graphicData>
            </a:graphic>
          </wp:inline>
        </w:drawing>
      </w:r>
      <w:r w:rsidR="00755786">
        <w:rPr>
          <w:b/>
          <w:i/>
        </w:rPr>
        <w:t xml:space="preserve"> </w:t>
      </w:r>
    </w:p>
    <w:tbl>
      <w:tblPr>
        <w:tblStyle w:val="TableGrid"/>
        <w:tblW w:w="9278" w:type="dxa"/>
        <w:tblInd w:w="396" w:type="dxa"/>
        <w:tblCellMar>
          <w:top w:w="49" w:type="dxa"/>
          <w:right w:w="46" w:type="dxa"/>
        </w:tblCellMar>
        <w:tblLook w:val="04A0" w:firstRow="1" w:lastRow="0" w:firstColumn="1" w:lastColumn="0" w:noHBand="0" w:noVBand="1"/>
      </w:tblPr>
      <w:tblGrid>
        <w:gridCol w:w="435"/>
        <w:gridCol w:w="1518"/>
        <w:gridCol w:w="3097"/>
        <w:gridCol w:w="2242"/>
        <w:gridCol w:w="1986"/>
      </w:tblGrid>
      <w:tr w:rsidR="00755786" w14:paraId="58B17A99" w14:textId="77777777" w:rsidTr="00E35204">
        <w:trPr>
          <w:trHeight w:val="552"/>
        </w:trPr>
        <w:tc>
          <w:tcPr>
            <w:tcW w:w="1953" w:type="dxa"/>
            <w:gridSpan w:val="2"/>
            <w:tcBorders>
              <w:top w:val="single" w:sz="4" w:space="0" w:color="000000"/>
              <w:left w:val="single" w:sz="4" w:space="0" w:color="000000"/>
              <w:bottom w:val="single" w:sz="4" w:space="0" w:color="000000"/>
              <w:right w:val="single" w:sz="4" w:space="0" w:color="000000"/>
            </w:tcBorders>
            <w:vAlign w:val="center"/>
            <w:hideMark/>
          </w:tcPr>
          <w:p w14:paraId="255427F8" w14:textId="77777777" w:rsidR="00755786" w:rsidRDefault="00755786">
            <w:pPr>
              <w:spacing w:line="256" w:lineRule="auto"/>
              <w:ind w:left="2"/>
            </w:pPr>
            <w:r>
              <w:rPr>
                <w:b/>
              </w:rPr>
              <w:t xml:space="preserve">Student name: </w:t>
            </w:r>
          </w:p>
        </w:tc>
        <w:tc>
          <w:tcPr>
            <w:tcW w:w="3097" w:type="dxa"/>
            <w:tcBorders>
              <w:top w:val="single" w:sz="4" w:space="0" w:color="000000"/>
              <w:left w:val="single" w:sz="4" w:space="0" w:color="000000"/>
              <w:bottom w:val="single" w:sz="4" w:space="0" w:color="000000"/>
              <w:right w:val="single" w:sz="4" w:space="0" w:color="000000"/>
            </w:tcBorders>
            <w:vAlign w:val="center"/>
            <w:hideMark/>
          </w:tcPr>
          <w:p w14:paraId="288E27AB" w14:textId="4440B3DF" w:rsidR="00755786" w:rsidRDefault="00755786">
            <w:pPr>
              <w:spacing w:line="256" w:lineRule="auto"/>
            </w:pPr>
            <w:r>
              <w:rPr>
                <w:b/>
              </w:rPr>
              <w:t xml:space="preserve">      </w:t>
            </w:r>
            <w:r w:rsidR="00E35204">
              <w:rPr>
                <w:b/>
              </w:rPr>
              <w:t>Volodymyr Kalhin</w:t>
            </w:r>
          </w:p>
        </w:tc>
        <w:tc>
          <w:tcPr>
            <w:tcW w:w="224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94850A" w14:textId="77777777" w:rsidR="00755786" w:rsidRDefault="00755786">
            <w:pPr>
              <w:spacing w:line="256" w:lineRule="auto"/>
              <w:ind w:left="1"/>
            </w:pPr>
            <w:r>
              <w:rPr>
                <w:b/>
              </w:rPr>
              <w:t xml:space="preserve">Student ID number: </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0CC0BA23" w14:textId="1768FC32" w:rsidR="00755786" w:rsidRDefault="00755786">
            <w:pPr>
              <w:spacing w:line="256" w:lineRule="auto"/>
              <w:ind w:left="4"/>
            </w:pPr>
            <w:r>
              <w:rPr>
                <w:b/>
              </w:rPr>
              <w:t xml:space="preserve"> </w:t>
            </w:r>
            <w:r w:rsidR="00E35204" w:rsidRPr="00E35204">
              <w:rPr>
                <w:b/>
              </w:rPr>
              <w:t>2514104</w:t>
            </w:r>
          </w:p>
        </w:tc>
      </w:tr>
      <w:tr w:rsidR="00755786" w14:paraId="5B25FE9A" w14:textId="77777777" w:rsidTr="00E35204">
        <w:trPr>
          <w:trHeight w:val="569"/>
        </w:trPr>
        <w:tc>
          <w:tcPr>
            <w:tcW w:w="1953" w:type="dxa"/>
            <w:gridSpan w:val="2"/>
            <w:tcBorders>
              <w:top w:val="single" w:sz="4" w:space="0" w:color="000000"/>
              <w:left w:val="single" w:sz="4" w:space="0" w:color="000000"/>
              <w:bottom w:val="single" w:sz="4" w:space="0" w:color="000000"/>
              <w:right w:val="single" w:sz="4" w:space="0" w:color="000000"/>
            </w:tcBorders>
            <w:vAlign w:val="center"/>
            <w:hideMark/>
          </w:tcPr>
          <w:p w14:paraId="2BB92E07" w14:textId="77777777" w:rsidR="00755786" w:rsidRDefault="00755786">
            <w:pPr>
              <w:spacing w:line="256" w:lineRule="auto"/>
              <w:ind w:left="2"/>
            </w:pPr>
            <w:r>
              <w:rPr>
                <w:b/>
              </w:rPr>
              <w:t xml:space="preserve">Programme: </w:t>
            </w:r>
          </w:p>
        </w:tc>
        <w:tc>
          <w:tcPr>
            <w:tcW w:w="7325" w:type="dxa"/>
            <w:gridSpan w:val="3"/>
            <w:tcBorders>
              <w:top w:val="single" w:sz="4" w:space="0" w:color="000000"/>
              <w:left w:val="single" w:sz="4" w:space="0" w:color="000000"/>
              <w:bottom w:val="single" w:sz="4" w:space="0" w:color="000000"/>
              <w:right w:val="single" w:sz="4" w:space="0" w:color="000000"/>
            </w:tcBorders>
            <w:hideMark/>
          </w:tcPr>
          <w:p w14:paraId="7A279257" w14:textId="77777777" w:rsidR="00755786" w:rsidRDefault="00755786">
            <w:pPr>
              <w:spacing w:line="256" w:lineRule="auto"/>
            </w:pPr>
            <w:r>
              <w:rPr>
                <w:b/>
              </w:rPr>
              <w:t xml:space="preserve">Certificate of Higher Education Skills for the Workplace (Health &amp; Social Care) </w:t>
            </w:r>
          </w:p>
        </w:tc>
      </w:tr>
      <w:tr w:rsidR="00755786" w14:paraId="3FA5AD43" w14:textId="77777777" w:rsidTr="00E35204">
        <w:trPr>
          <w:trHeight w:val="554"/>
        </w:trPr>
        <w:tc>
          <w:tcPr>
            <w:tcW w:w="1953" w:type="dxa"/>
            <w:gridSpan w:val="2"/>
            <w:tcBorders>
              <w:top w:val="single" w:sz="4" w:space="0" w:color="000000"/>
              <w:left w:val="single" w:sz="4" w:space="0" w:color="000000"/>
              <w:bottom w:val="single" w:sz="4" w:space="0" w:color="000000"/>
              <w:right w:val="single" w:sz="4" w:space="0" w:color="000000"/>
            </w:tcBorders>
            <w:vAlign w:val="center"/>
            <w:hideMark/>
          </w:tcPr>
          <w:p w14:paraId="5BA54278" w14:textId="77777777" w:rsidR="00755786" w:rsidRDefault="00755786">
            <w:pPr>
              <w:spacing w:line="256" w:lineRule="auto"/>
              <w:ind w:left="2"/>
            </w:pPr>
            <w:r>
              <w:rPr>
                <w:b/>
              </w:rPr>
              <w:t xml:space="preserve">Module: </w:t>
            </w:r>
          </w:p>
        </w:tc>
        <w:tc>
          <w:tcPr>
            <w:tcW w:w="7325" w:type="dxa"/>
            <w:gridSpan w:val="3"/>
            <w:tcBorders>
              <w:top w:val="single" w:sz="4" w:space="0" w:color="000000"/>
              <w:left w:val="single" w:sz="4" w:space="0" w:color="000000"/>
              <w:bottom w:val="single" w:sz="4" w:space="0" w:color="000000"/>
              <w:right w:val="single" w:sz="4" w:space="0" w:color="000000"/>
            </w:tcBorders>
            <w:vAlign w:val="center"/>
            <w:hideMark/>
          </w:tcPr>
          <w:p w14:paraId="6DF3DE57" w14:textId="77777777" w:rsidR="00755786" w:rsidRDefault="00755786">
            <w:pPr>
              <w:spacing w:line="256" w:lineRule="auto"/>
            </w:pPr>
            <w:r>
              <w:rPr>
                <w:b/>
              </w:rPr>
              <w:t xml:space="preserve">Introduction to Health and Social Care </w:t>
            </w:r>
          </w:p>
        </w:tc>
      </w:tr>
      <w:tr w:rsidR="00755786" w14:paraId="3C09211E" w14:textId="77777777" w:rsidTr="00E35204">
        <w:trPr>
          <w:trHeight w:val="846"/>
        </w:trPr>
        <w:tc>
          <w:tcPr>
            <w:tcW w:w="1953" w:type="dxa"/>
            <w:gridSpan w:val="2"/>
            <w:tcBorders>
              <w:top w:val="single" w:sz="4" w:space="0" w:color="000000"/>
              <w:left w:val="single" w:sz="4" w:space="0" w:color="000000"/>
              <w:bottom w:val="single" w:sz="4" w:space="0" w:color="000000"/>
              <w:right w:val="single" w:sz="4" w:space="0" w:color="000000"/>
            </w:tcBorders>
            <w:hideMark/>
          </w:tcPr>
          <w:p w14:paraId="51F4AE58" w14:textId="77777777" w:rsidR="00755786" w:rsidRDefault="00755786">
            <w:pPr>
              <w:spacing w:line="256" w:lineRule="auto"/>
              <w:ind w:left="2"/>
            </w:pPr>
            <w:r>
              <w:rPr>
                <w:b/>
              </w:rPr>
              <w:t xml:space="preserve">Module code: </w:t>
            </w:r>
          </w:p>
        </w:tc>
        <w:tc>
          <w:tcPr>
            <w:tcW w:w="3097" w:type="dxa"/>
            <w:tcBorders>
              <w:top w:val="single" w:sz="4" w:space="0" w:color="000000"/>
              <w:left w:val="single" w:sz="4" w:space="0" w:color="000000"/>
              <w:bottom w:val="single" w:sz="4" w:space="0" w:color="000000"/>
              <w:right w:val="single" w:sz="4" w:space="0" w:color="000000"/>
            </w:tcBorders>
            <w:hideMark/>
          </w:tcPr>
          <w:p w14:paraId="32D138FE" w14:textId="77777777" w:rsidR="00755786" w:rsidRDefault="00755786">
            <w:pPr>
              <w:spacing w:line="256" w:lineRule="auto"/>
            </w:pPr>
            <w:r>
              <w:rPr>
                <w:b/>
              </w:rPr>
              <w:t xml:space="preserve">LCHS4003 </w:t>
            </w:r>
          </w:p>
        </w:tc>
        <w:tc>
          <w:tcPr>
            <w:tcW w:w="2242" w:type="dxa"/>
            <w:tcBorders>
              <w:top w:val="single" w:sz="4" w:space="0" w:color="000000"/>
              <w:left w:val="single" w:sz="4" w:space="0" w:color="000000"/>
              <w:bottom w:val="single" w:sz="4" w:space="0" w:color="000000"/>
              <w:right w:val="single" w:sz="4" w:space="0" w:color="000000"/>
            </w:tcBorders>
            <w:shd w:val="clear" w:color="auto" w:fill="D9D9D9"/>
            <w:hideMark/>
          </w:tcPr>
          <w:p w14:paraId="1F8425A4" w14:textId="77777777" w:rsidR="00755786" w:rsidRDefault="00755786">
            <w:pPr>
              <w:ind w:left="1"/>
            </w:pPr>
            <w:r>
              <w:rPr>
                <w:b/>
              </w:rPr>
              <w:t xml:space="preserve">Contribution to Overall Module </w:t>
            </w:r>
          </w:p>
          <w:p w14:paraId="2BA4D55A" w14:textId="77777777" w:rsidR="00755786" w:rsidRDefault="00755786">
            <w:pPr>
              <w:spacing w:line="256" w:lineRule="auto"/>
              <w:ind w:left="1"/>
            </w:pPr>
            <w:r>
              <w:rPr>
                <w:b/>
              </w:rPr>
              <w:t xml:space="preserve">Assessment (%): </w:t>
            </w:r>
          </w:p>
        </w:tc>
        <w:tc>
          <w:tcPr>
            <w:tcW w:w="1984" w:type="dxa"/>
            <w:tcBorders>
              <w:top w:val="single" w:sz="4" w:space="0" w:color="000000"/>
              <w:left w:val="single" w:sz="4" w:space="0" w:color="000000"/>
              <w:bottom w:val="single" w:sz="4" w:space="0" w:color="000000"/>
              <w:right w:val="single" w:sz="4" w:space="0" w:color="000000"/>
            </w:tcBorders>
            <w:hideMark/>
          </w:tcPr>
          <w:p w14:paraId="6D99B030" w14:textId="77777777" w:rsidR="00755786" w:rsidRDefault="00755786">
            <w:pPr>
              <w:spacing w:line="256" w:lineRule="auto"/>
              <w:ind w:left="4"/>
            </w:pPr>
            <w:r>
              <w:rPr>
                <w:b/>
              </w:rPr>
              <w:t xml:space="preserve">50% </w:t>
            </w:r>
          </w:p>
        </w:tc>
      </w:tr>
      <w:tr w:rsidR="00755786" w14:paraId="2D30C3E0" w14:textId="77777777" w:rsidTr="00E35204">
        <w:trPr>
          <w:trHeight w:val="830"/>
        </w:trPr>
        <w:tc>
          <w:tcPr>
            <w:tcW w:w="1953" w:type="dxa"/>
            <w:gridSpan w:val="2"/>
            <w:tcBorders>
              <w:top w:val="single" w:sz="4" w:space="0" w:color="000000"/>
              <w:left w:val="single" w:sz="4" w:space="0" w:color="000000"/>
              <w:bottom w:val="single" w:sz="4" w:space="0" w:color="000000"/>
              <w:right w:val="single" w:sz="4" w:space="0" w:color="000000"/>
            </w:tcBorders>
            <w:vAlign w:val="center"/>
            <w:hideMark/>
          </w:tcPr>
          <w:p w14:paraId="45484328" w14:textId="77777777" w:rsidR="00755786" w:rsidRDefault="00755786">
            <w:pPr>
              <w:spacing w:line="256" w:lineRule="auto"/>
              <w:ind w:left="2"/>
            </w:pPr>
            <w:r>
              <w:rPr>
                <w:b/>
              </w:rPr>
              <w:t xml:space="preserve">Resit/Rework Lecturer: </w:t>
            </w:r>
          </w:p>
        </w:tc>
        <w:tc>
          <w:tcPr>
            <w:tcW w:w="3097" w:type="dxa"/>
            <w:tcBorders>
              <w:top w:val="single" w:sz="4" w:space="0" w:color="000000"/>
              <w:left w:val="single" w:sz="4" w:space="0" w:color="000000"/>
              <w:bottom w:val="single" w:sz="4" w:space="0" w:color="000000"/>
              <w:right w:val="single" w:sz="4" w:space="0" w:color="000000"/>
            </w:tcBorders>
            <w:hideMark/>
          </w:tcPr>
          <w:p w14:paraId="00452569" w14:textId="77777777" w:rsidR="00755786" w:rsidRDefault="00755786">
            <w:pPr>
              <w:spacing w:line="256" w:lineRule="auto"/>
            </w:pPr>
            <w:r>
              <w:rPr>
                <w:b/>
              </w:rPr>
              <w:t xml:space="preserve">Muhammad Aliyu  </w:t>
            </w:r>
          </w:p>
        </w:tc>
        <w:tc>
          <w:tcPr>
            <w:tcW w:w="2242" w:type="dxa"/>
            <w:tcBorders>
              <w:top w:val="single" w:sz="4" w:space="0" w:color="000000"/>
              <w:left w:val="single" w:sz="4" w:space="0" w:color="000000"/>
              <w:bottom w:val="single" w:sz="4" w:space="0" w:color="000000"/>
              <w:right w:val="single" w:sz="4" w:space="0" w:color="000000"/>
            </w:tcBorders>
            <w:shd w:val="clear" w:color="auto" w:fill="D9D9D9"/>
            <w:hideMark/>
          </w:tcPr>
          <w:p w14:paraId="77B8D261" w14:textId="77777777" w:rsidR="00755786" w:rsidRDefault="00755786">
            <w:pPr>
              <w:spacing w:line="256" w:lineRule="auto"/>
              <w:ind w:left="1"/>
            </w:pPr>
            <w:r>
              <w:rPr>
                <w:b/>
              </w:rPr>
              <w:t xml:space="preserve">Internal Verifier: </w:t>
            </w:r>
          </w:p>
        </w:tc>
        <w:tc>
          <w:tcPr>
            <w:tcW w:w="1984" w:type="dxa"/>
            <w:tcBorders>
              <w:top w:val="single" w:sz="4" w:space="0" w:color="000000"/>
              <w:left w:val="single" w:sz="4" w:space="0" w:color="000000"/>
              <w:bottom w:val="single" w:sz="4" w:space="0" w:color="000000"/>
              <w:right w:val="single" w:sz="4" w:space="0" w:color="000000"/>
            </w:tcBorders>
            <w:hideMark/>
          </w:tcPr>
          <w:p w14:paraId="086BDE03" w14:textId="77777777" w:rsidR="00755786" w:rsidRDefault="00755786">
            <w:pPr>
              <w:spacing w:line="256" w:lineRule="auto"/>
              <w:ind w:left="4"/>
            </w:pPr>
            <w:r>
              <w:rPr>
                <w:b/>
              </w:rPr>
              <w:t xml:space="preserve">Jolly Nwankwo </w:t>
            </w:r>
          </w:p>
        </w:tc>
      </w:tr>
      <w:tr w:rsidR="00755786" w14:paraId="49BAC07D" w14:textId="77777777" w:rsidTr="00E35204">
        <w:trPr>
          <w:trHeight w:val="834"/>
        </w:trPr>
        <w:tc>
          <w:tcPr>
            <w:tcW w:w="1953" w:type="dxa"/>
            <w:gridSpan w:val="2"/>
            <w:tcBorders>
              <w:top w:val="single" w:sz="4" w:space="0" w:color="000000"/>
              <w:left w:val="single" w:sz="4" w:space="0" w:color="000000"/>
              <w:bottom w:val="single" w:sz="4" w:space="0" w:color="000000"/>
              <w:right w:val="single" w:sz="4" w:space="0" w:color="000000"/>
            </w:tcBorders>
            <w:hideMark/>
          </w:tcPr>
          <w:p w14:paraId="42D73759" w14:textId="77777777" w:rsidR="00755786" w:rsidRDefault="00755786">
            <w:pPr>
              <w:spacing w:line="256" w:lineRule="auto"/>
              <w:ind w:left="2"/>
            </w:pPr>
            <w:r>
              <w:rPr>
                <w:b/>
              </w:rPr>
              <w:t xml:space="preserve">Assignment Title: </w:t>
            </w:r>
          </w:p>
        </w:tc>
        <w:tc>
          <w:tcPr>
            <w:tcW w:w="3097" w:type="dxa"/>
            <w:tcBorders>
              <w:top w:val="single" w:sz="4" w:space="0" w:color="000000"/>
              <w:left w:val="single" w:sz="4" w:space="0" w:color="000000"/>
              <w:bottom w:val="single" w:sz="4" w:space="0" w:color="000000"/>
              <w:right w:val="single" w:sz="4" w:space="0" w:color="000000"/>
            </w:tcBorders>
            <w:hideMark/>
          </w:tcPr>
          <w:p w14:paraId="55733C67" w14:textId="77777777" w:rsidR="00755786" w:rsidRDefault="00755786">
            <w:pPr>
              <w:spacing w:line="256" w:lineRule="auto"/>
            </w:pPr>
            <w:r>
              <w:rPr>
                <w:b/>
              </w:rPr>
              <w:t xml:space="preserve">Portfolio – Two Tasks </w:t>
            </w:r>
          </w:p>
        </w:tc>
        <w:tc>
          <w:tcPr>
            <w:tcW w:w="2242" w:type="dxa"/>
            <w:tcBorders>
              <w:top w:val="single" w:sz="4" w:space="0" w:color="000000"/>
              <w:left w:val="single" w:sz="4" w:space="0" w:color="000000"/>
              <w:bottom w:val="single" w:sz="4" w:space="0" w:color="000000"/>
              <w:right w:val="single" w:sz="4" w:space="0" w:color="000000"/>
            </w:tcBorders>
            <w:vAlign w:val="center"/>
            <w:hideMark/>
          </w:tcPr>
          <w:p w14:paraId="40E12AE9" w14:textId="77777777" w:rsidR="00755786" w:rsidRDefault="00755786">
            <w:pPr>
              <w:spacing w:line="256" w:lineRule="auto"/>
              <w:ind w:left="1"/>
            </w:pPr>
            <w:r>
              <w:rPr>
                <w:b/>
              </w:rPr>
              <w:t xml:space="preserve">Word </w:t>
            </w:r>
            <w:r>
              <w:rPr>
                <w:b/>
              </w:rPr>
              <w:tab/>
              <w:t xml:space="preserve">count </w:t>
            </w:r>
            <w:r>
              <w:rPr>
                <w:b/>
              </w:rPr>
              <w:tab/>
              <w:t xml:space="preserve">(or equivalent): </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9381147" w14:textId="77777777" w:rsidR="00755786" w:rsidRDefault="00755786">
            <w:pPr>
              <w:spacing w:line="256" w:lineRule="auto"/>
              <w:ind w:left="4"/>
            </w:pPr>
            <w:r>
              <w:rPr>
                <w:b/>
              </w:rPr>
              <w:t xml:space="preserve">1,500 words </w:t>
            </w:r>
          </w:p>
          <w:p w14:paraId="16FB8219" w14:textId="77777777" w:rsidR="00755786" w:rsidRDefault="00755786">
            <w:pPr>
              <w:spacing w:line="256" w:lineRule="auto"/>
              <w:ind w:left="4"/>
            </w:pPr>
            <w:r>
              <w:rPr>
                <w:b/>
              </w:rPr>
              <w:t xml:space="preserve">Equivalent </w:t>
            </w:r>
          </w:p>
        </w:tc>
      </w:tr>
      <w:tr w:rsidR="00755786" w14:paraId="1C908D93" w14:textId="77777777" w:rsidTr="00E35204">
        <w:trPr>
          <w:trHeight w:val="1127"/>
        </w:trPr>
        <w:tc>
          <w:tcPr>
            <w:tcW w:w="1953" w:type="dxa"/>
            <w:gridSpan w:val="2"/>
            <w:tcBorders>
              <w:top w:val="single" w:sz="4" w:space="0" w:color="000000"/>
              <w:left w:val="single" w:sz="4" w:space="0" w:color="000000"/>
              <w:bottom w:val="single" w:sz="4" w:space="0" w:color="000000"/>
              <w:right w:val="single" w:sz="4" w:space="0" w:color="000000"/>
            </w:tcBorders>
            <w:hideMark/>
          </w:tcPr>
          <w:p w14:paraId="1C775939" w14:textId="77777777" w:rsidR="00755786" w:rsidRDefault="00755786">
            <w:pPr>
              <w:spacing w:line="256" w:lineRule="auto"/>
              <w:ind w:left="2"/>
            </w:pPr>
            <w:r>
              <w:rPr>
                <w:b/>
              </w:rPr>
              <w:t xml:space="preserve">Submission deadline: </w:t>
            </w:r>
          </w:p>
        </w:tc>
        <w:tc>
          <w:tcPr>
            <w:tcW w:w="3097" w:type="dxa"/>
            <w:tcBorders>
              <w:top w:val="single" w:sz="4" w:space="0" w:color="000000"/>
              <w:left w:val="single" w:sz="4" w:space="0" w:color="000000"/>
              <w:bottom w:val="single" w:sz="4" w:space="0" w:color="000000"/>
              <w:right w:val="single" w:sz="4" w:space="0" w:color="000000"/>
            </w:tcBorders>
            <w:hideMark/>
          </w:tcPr>
          <w:p w14:paraId="78CAA853" w14:textId="209F4DE6" w:rsidR="00755786" w:rsidRPr="00E35204" w:rsidRDefault="00E35204" w:rsidP="00E35204">
            <w:pPr>
              <w:rPr>
                <w:b/>
                <w:bCs/>
              </w:rPr>
            </w:pPr>
            <w:r w:rsidRPr="00E35204">
              <w:rPr>
                <w:b/>
                <w:bCs/>
              </w:rPr>
              <w:t>To be submitted via Turnitin on Monday, 23rd March 2026, 10 am</w:t>
            </w:r>
          </w:p>
          <w:p w14:paraId="11A8809A" w14:textId="77777777" w:rsidR="00755786" w:rsidRDefault="00755786">
            <w:pPr>
              <w:spacing w:line="256" w:lineRule="auto"/>
            </w:pPr>
            <w:r>
              <w:rPr>
                <w:b/>
                <w:color w:val="FF0000"/>
              </w:rPr>
              <w:t xml:space="preserve"> </w:t>
            </w:r>
          </w:p>
        </w:tc>
        <w:tc>
          <w:tcPr>
            <w:tcW w:w="2242" w:type="dxa"/>
            <w:tcBorders>
              <w:top w:val="single" w:sz="4" w:space="0" w:color="000000"/>
              <w:left w:val="single" w:sz="4" w:space="0" w:color="000000"/>
              <w:bottom w:val="single" w:sz="4" w:space="0" w:color="000000"/>
              <w:right w:val="single" w:sz="4" w:space="0" w:color="000000"/>
            </w:tcBorders>
            <w:vAlign w:val="center"/>
            <w:hideMark/>
          </w:tcPr>
          <w:p w14:paraId="085A3E95" w14:textId="77777777" w:rsidR="00755786" w:rsidRDefault="00755786" w:rsidP="00E35204">
            <w:pPr>
              <w:spacing w:line="256" w:lineRule="auto"/>
            </w:pPr>
            <w:r>
              <w:rPr>
                <w:b/>
              </w:rPr>
              <w:t xml:space="preserve">Return date of provisional marks &amp; written feedback: </w:t>
            </w:r>
          </w:p>
        </w:tc>
        <w:tc>
          <w:tcPr>
            <w:tcW w:w="1984" w:type="dxa"/>
            <w:tcBorders>
              <w:top w:val="single" w:sz="4" w:space="0" w:color="000000"/>
              <w:left w:val="single" w:sz="4" w:space="0" w:color="000000"/>
              <w:bottom w:val="single" w:sz="4" w:space="0" w:color="000000"/>
              <w:right w:val="single" w:sz="4" w:space="0" w:color="000000"/>
            </w:tcBorders>
            <w:hideMark/>
          </w:tcPr>
          <w:p w14:paraId="091F9B2C" w14:textId="77777777" w:rsidR="00755786" w:rsidRDefault="00755786">
            <w:pPr>
              <w:spacing w:line="256" w:lineRule="auto"/>
              <w:ind w:left="4"/>
            </w:pPr>
            <w:r>
              <w:rPr>
                <w:b/>
              </w:rPr>
              <w:t>17</w:t>
            </w:r>
            <w:r>
              <w:rPr>
                <w:b/>
                <w:vertAlign w:val="superscript"/>
              </w:rPr>
              <w:t>th</w:t>
            </w:r>
            <w:r>
              <w:rPr>
                <w:b/>
              </w:rPr>
              <w:t xml:space="preserve">  April 2026 </w:t>
            </w:r>
          </w:p>
        </w:tc>
      </w:tr>
      <w:tr w:rsidR="00755786" w14:paraId="7DA88D1A" w14:textId="77777777" w:rsidTr="00E35204">
        <w:trPr>
          <w:trHeight w:val="573"/>
        </w:trPr>
        <w:tc>
          <w:tcPr>
            <w:tcW w:w="435" w:type="dxa"/>
            <w:tcBorders>
              <w:top w:val="single" w:sz="4" w:space="0" w:color="000000"/>
              <w:left w:val="single" w:sz="4" w:space="0" w:color="000000"/>
              <w:bottom w:val="single" w:sz="4" w:space="0" w:color="000000"/>
              <w:right w:val="nil"/>
            </w:tcBorders>
            <w:vAlign w:val="bottom"/>
          </w:tcPr>
          <w:p w14:paraId="709408C8" w14:textId="77777777" w:rsidR="00755786" w:rsidRDefault="00755786">
            <w:pPr>
              <w:spacing w:line="256" w:lineRule="auto"/>
              <w:ind w:left="106"/>
            </w:pPr>
          </w:p>
        </w:tc>
        <w:tc>
          <w:tcPr>
            <w:tcW w:w="8843" w:type="dxa"/>
            <w:gridSpan w:val="4"/>
            <w:tcBorders>
              <w:top w:val="single" w:sz="4" w:space="0" w:color="000000"/>
              <w:left w:val="nil"/>
              <w:bottom w:val="single" w:sz="4" w:space="0" w:color="000000"/>
              <w:right w:val="single" w:sz="4" w:space="0" w:color="000000"/>
            </w:tcBorders>
            <w:vAlign w:val="bottom"/>
          </w:tcPr>
          <w:p w14:paraId="7A21CC53" w14:textId="77777777" w:rsidR="00755786" w:rsidRDefault="00755786">
            <w:pPr>
              <w:spacing w:line="256" w:lineRule="auto"/>
            </w:pPr>
          </w:p>
        </w:tc>
      </w:tr>
      <w:tr w:rsidR="00755786" w14:paraId="7A647D2A" w14:textId="77777777" w:rsidTr="00E35204">
        <w:trPr>
          <w:trHeight w:val="286"/>
        </w:trPr>
        <w:tc>
          <w:tcPr>
            <w:tcW w:w="435" w:type="dxa"/>
            <w:tcBorders>
              <w:top w:val="single" w:sz="4" w:space="0" w:color="000000"/>
              <w:left w:val="single" w:sz="4" w:space="0" w:color="000000"/>
              <w:bottom w:val="single" w:sz="4" w:space="0" w:color="000000"/>
              <w:right w:val="nil"/>
            </w:tcBorders>
            <w:shd w:val="clear" w:color="auto" w:fill="C0C0C0"/>
          </w:tcPr>
          <w:p w14:paraId="463A0F83" w14:textId="77777777" w:rsidR="00755786" w:rsidRDefault="00755786">
            <w:pPr>
              <w:spacing w:after="160" w:line="256" w:lineRule="auto"/>
            </w:pPr>
          </w:p>
        </w:tc>
        <w:tc>
          <w:tcPr>
            <w:tcW w:w="8843" w:type="dxa"/>
            <w:gridSpan w:val="4"/>
            <w:tcBorders>
              <w:top w:val="single" w:sz="4" w:space="0" w:color="000000"/>
              <w:left w:val="nil"/>
              <w:bottom w:val="single" w:sz="4" w:space="0" w:color="000000"/>
              <w:right w:val="single" w:sz="4" w:space="0" w:color="000000"/>
            </w:tcBorders>
            <w:shd w:val="clear" w:color="auto" w:fill="C0C0C0"/>
          </w:tcPr>
          <w:p w14:paraId="3C71F22D" w14:textId="77777777" w:rsidR="00755786" w:rsidRDefault="00755786">
            <w:pPr>
              <w:spacing w:line="256" w:lineRule="auto"/>
              <w:ind w:right="355"/>
              <w:jc w:val="center"/>
            </w:pPr>
          </w:p>
        </w:tc>
      </w:tr>
    </w:tbl>
    <w:p w14:paraId="7C22A5C5" w14:textId="77777777" w:rsidR="00755786" w:rsidRDefault="00755786" w:rsidP="00755786">
      <w:pPr>
        <w:spacing w:line="256" w:lineRule="auto"/>
        <w:rPr>
          <w:rFonts w:ascii="Arial" w:eastAsia="Arial" w:hAnsi="Arial" w:cs="Arial"/>
          <w:color w:val="000000"/>
        </w:rPr>
      </w:pPr>
      <w:r>
        <w:t xml:space="preserve"> </w:t>
      </w:r>
    </w:p>
    <w:p w14:paraId="583E7DF6" w14:textId="77777777" w:rsidR="00755786" w:rsidRDefault="00755786" w:rsidP="00755786">
      <w:pPr>
        <w:spacing w:after="0" w:line="360" w:lineRule="auto"/>
        <w:rPr>
          <w:rFonts w:ascii="Times New Roman" w:hAnsi="Times New Roman" w:cs="Times New Roman"/>
          <w:sz w:val="24"/>
          <w:szCs w:val="24"/>
        </w:rPr>
      </w:pPr>
    </w:p>
    <w:p w14:paraId="707328E5" w14:textId="77777777" w:rsidR="002F1C97" w:rsidRDefault="002F1C97">
      <w:pPr>
        <w:rPr>
          <w:rFonts w:ascii="Times New Roman" w:hAnsi="Times New Roman" w:cs="Times New Roman"/>
          <w:sz w:val="24"/>
          <w:szCs w:val="24"/>
        </w:rPr>
      </w:pPr>
      <w:r>
        <w:rPr>
          <w:rFonts w:ascii="Times New Roman" w:hAnsi="Times New Roman" w:cs="Times New Roman"/>
          <w:sz w:val="24"/>
          <w:szCs w:val="24"/>
        </w:rPr>
        <w:br w:type="page"/>
      </w:r>
    </w:p>
    <w:p w14:paraId="0CF4D3ED" w14:textId="77777777" w:rsidR="00DF7E8C" w:rsidRDefault="00DF7E8C" w:rsidP="00DF7E8C">
      <w:pPr>
        <w:spacing w:after="0"/>
        <w:jc w:val="center"/>
        <w:rPr>
          <w:rFonts w:ascii="Times New Roman" w:hAnsi="Times New Roman" w:cs="Times New Roman"/>
          <w:b/>
          <w:sz w:val="24"/>
          <w:szCs w:val="24"/>
        </w:rPr>
        <w:sectPr w:rsidR="00DF7E8C">
          <w:headerReference w:type="default" r:id="rId8"/>
          <w:pgSz w:w="11906" w:h="16838"/>
          <w:pgMar w:top="1440" w:right="1440" w:bottom="1440" w:left="1440" w:header="720" w:footer="720" w:gutter="0"/>
          <w:cols w:space="720"/>
          <w:docGrid w:linePitch="360"/>
        </w:sectPr>
      </w:pPr>
    </w:p>
    <w:p w14:paraId="2772F2F5" w14:textId="77777777" w:rsidR="00DF7E8C" w:rsidRPr="006B62D1" w:rsidRDefault="00401712" w:rsidP="006B62D1">
      <w:pPr>
        <w:spacing w:after="0" w:line="276" w:lineRule="auto"/>
        <w:rPr>
          <w:rFonts w:ascii="Georgia" w:hAnsi="Georgia" w:cs="Times New Roman"/>
          <w:b/>
          <w:sz w:val="24"/>
          <w:szCs w:val="24"/>
        </w:rPr>
      </w:pPr>
      <w:r w:rsidRPr="006B62D1">
        <w:rPr>
          <w:rFonts w:ascii="Georgia" w:hAnsi="Georgia" w:cs="Times New Roman"/>
          <w:b/>
          <w:noProof/>
          <w:sz w:val="24"/>
          <w:szCs w:val="24"/>
        </w:rPr>
        <w:lastRenderedPageBreak/>
        <mc:AlternateContent>
          <mc:Choice Requires="wps">
            <w:drawing>
              <wp:anchor distT="0" distB="0" distL="114300" distR="114300" simplePos="0" relativeHeight="251659264" behindDoc="0" locked="0" layoutInCell="1" allowOverlap="1" wp14:anchorId="549AB928" wp14:editId="4EBE1C21">
                <wp:simplePos x="0" y="0"/>
                <wp:positionH relativeFrom="column">
                  <wp:posOffset>2986644</wp:posOffset>
                </wp:positionH>
                <wp:positionV relativeFrom="paragraph">
                  <wp:posOffset>-620065</wp:posOffset>
                </wp:positionV>
                <wp:extent cx="12682847" cy="534389"/>
                <wp:effectExtent l="0" t="0" r="24130" b="18415"/>
                <wp:wrapNone/>
                <wp:docPr id="11" name="Rectangle: Rounded Corners 11"/>
                <wp:cNvGraphicFramePr/>
                <a:graphic xmlns:a="http://schemas.openxmlformats.org/drawingml/2006/main">
                  <a:graphicData uri="http://schemas.microsoft.com/office/word/2010/wordprocessingShape">
                    <wps:wsp>
                      <wps:cNvSpPr/>
                      <wps:spPr>
                        <a:xfrm>
                          <a:off x="0" y="0"/>
                          <a:ext cx="12682847" cy="53438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D0D49A" w14:textId="77777777" w:rsidR="00401712" w:rsidRPr="00CC5ECB" w:rsidRDefault="00401712" w:rsidP="00401712">
                            <w:pPr>
                              <w:pStyle w:val="ab"/>
                              <w:jc w:val="center"/>
                              <w:rPr>
                                <w:rFonts w:ascii="Georgia" w:hAnsi="Georgia"/>
                                <w:b/>
                              </w:rPr>
                            </w:pPr>
                            <w:r w:rsidRPr="00CC5ECB">
                              <w:rPr>
                                <w:rFonts w:ascii="Georgia" w:hAnsi="Georgia"/>
                                <w:b/>
                              </w:rPr>
                              <w:t>Mental Health Services in Communities</w:t>
                            </w:r>
                          </w:p>
                          <w:p w14:paraId="3778CDBF" w14:textId="77777777" w:rsidR="00401712" w:rsidRDefault="00401712" w:rsidP="004017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1" o:spid="_x0000_s1026" style="position:absolute;margin-left:235.15pt;margin-top:-48.8pt;width:998.65pt;height:42.1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" fillcolor="#4472c4 [3204]" strokecolor="#1f3763 [1604]" strokeweight="1pt">
                <v:stroke joinstyle="miter"/>
                <v:textbox>
                  <w:txbxContent>
                    <w:p w:rsidR="00401712" w:rsidRPr="00CC5ECB" w:rsidRDefault="00401712" w:rsidP="00401712">
                      <w:pPr>
                        <w:pStyle w:val="Title"/>
                        <w:jc w:val="center"/>
                        <w:rPr>
                          <w:rFonts w:ascii="Georgia" w:hAnsi="Georgia"/>
                          <w:b/>
                        </w:rPr>
                      </w:pPr>
                      <w:r w:rsidRPr="00CC5ECB">
                        <w:rPr>
                          <w:rFonts w:ascii="Georgia" w:hAnsi="Georgia"/>
                          <w:b/>
                        </w:rPr>
                        <w:t>Mental Health Services in Communities</w:t>
                      </w:r>
                    </w:p>
                    <w:p w:rsidR="00401712" w:rsidRDefault="00401712" w:rsidP="00401712">
                      <w:pPr>
                        <w:jc w:val="center"/>
                      </w:pPr>
                    </w:p>
                  </w:txbxContent>
                </v:textbox>
              </v:roundrect>
            </w:pict>
          </mc:Fallback>
        </mc:AlternateContent>
      </w:r>
    </w:p>
    <w:p w14:paraId="7FDF5BE5" w14:textId="77777777" w:rsidR="00AF3F4D" w:rsidRDefault="00AF3F4D" w:rsidP="00AF3F4D">
      <w:pPr>
        <w:spacing w:before="240" w:after="0" w:line="240" w:lineRule="auto"/>
        <w:ind w:firstLine="720"/>
        <w:rPr>
          <w:rFonts w:ascii="Georgia" w:hAnsi="Georgia" w:cs="Times New Roman"/>
          <w:sz w:val="24"/>
          <w:szCs w:val="24"/>
        </w:rPr>
        <w:sectPr w:rsidR="00AF3F4D" w:rsidSect="008037DF">
          <w:pgSz w:w="31680" w:h="31680" w:code="8"/>
          <w:pgMar w:top="720" w:right="720" w:bottom="720" w:left="720" w:header="720" w:footer="720" w:gutter="0"/>
          <w:cols w:num="3" w:space="720"/>
          <w:docGrid w:linePitch="360"/>
        </w:sectPr>
      </w:pPr>
    </w:p>
    <w:p w14:paraId="36D5578E" w14:textId="77777777" w:rsidR="00DE110B" w:rsidRPr="006B62D1" w:rsidRDefault="00DF7E8C" w:rsidP="00AF3F4D">
      <w:pPr>
        <w:spacing w:before="240" w:after="0" w:line="240" w:lineRule="auto"/>
        <w:ind w:firstLine="720"/>
        <w:rPr>
          <w:rFonts w:ascii="Georgia" w:hAnsi="Georgia" w:cs="Times New Roman"/>
          <w:sz w:val="24"/>
          <w:szCs w:val="24"/>
        </w:rPr>
      </w:pPr>
      <w:r w:rsidRPr="006B62D1">
        <w:rPr>
          <w:rFonts w:ascii="Georgia" w:hAnsi="Georgia" w:cs="Times New Roman"/>
          <w:sz w:val="24"/>
          <w:szCs w:val="24"/>
        </w:rPr>
        <w:t xml:space="preserve">Community Mental Health Services (CMHS) are specialised programs that are aimed at providing mental health care and treatment to people within the community, and not in institutions. </w:t>
      </w:r>
    </w:p>
    <w:p w14:paraId="318CA3B3" w14:textId="77777777" w:rsidR="00DE110B" w:rsidRPr="006B62D1" w:rsidRDefault="00DE110B" w:rsidP="00AF3F4D">
      <w:pPr>
        <w:keepNext/>
        <w:spacing w:before="240" w:after="0" w:line="240" w:lineRule="auto"/>
        <w:ind w:firstLine="720"/>
        <w:rPr>
          <w:rFonts w:ascii="Georgia" w:hAnsi="Georgia"/>
        </w:rPr>
      </w:pPr>
      <w:r w:rsidRPr="006B62D1">
        <w:rPr>
          <w:rFonts w:ascii="Georgia" w:hAnsi="Georgia"/>
          <w:noProof/>
        </w:rPr>
        <w:drawing>
          <wp:inline distT="0" distB="0" distL="0" distR="0" wp14:anchorId="6E4A0DB4" wp14:editId="29FCABED">
            <wp:extent cx="5195413" cy="5981700"/>
            <wp:effectExtent l="0" t="0" r="5715" b="0"/>
            <wp:docPr id="2" name="Picture 2" descr="The Role of Communities in Mental Health Care in Low- and Middle-Income  Countries: A Meta-Review of Components and Compete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ole of Communities in Mental Health Care in Low- and Middle-Income  Countries: A Meta-Review of Components and Competenci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7494"/>
                    <a:stretch/>
                  </pic:blipFill>
                  <pic:spPr bwMode="auto">
                    <a:xfrm>
                      <a:off x="0" y="0"/>
                      <a:ext cx="5237998" cy="6030730"/>
                    </a:xfrm>
                    <a:prstGeom prst="rect">
                      <a:avLst/>
                    </a:prstGeom>
                    <a:noFill/>
                    <a:ln>
                      <a:noFill/>
                    </a:ln>
                    <a:extLst>
                      <a:ext uri="{53640926-AAD7-44D8-BBD7-CCE9431645EC}">
                        <a14:shadowObscured xmlns:a14="http://schemas.microsoft.com/office/drawing/2010/main"/>
                      </a:ext>
                    </a:extLst>
                  </pic:spPr>
                </pic:pic>
              </a:graphicData>
            </a:graphic>
          </wp:inline>
        </w:drawing>
      </w:r>
    </w:p>
    <w:p w14:paraId="7B70DDF2" w14:textId="77777777" w:rsidR="00DE110B" w:rsidRPr="006B62D1" w:rsidRDefault="00DE110B" w:rsidP="00AF3F4D">
      <w:pPr>
        <w:pStyle w:val="a8"/>
        <w:spacing w:before="240" w:after="0"/>
        <w:rPr>
          <w:rFonts w:ascii="Georgia" w:hAnsi="Georgia"/>
        </w:rPr>
      </w:pPr>
      <w:r w:rsidRPr="006B62D1">
        <w:rPr>
          <w:rFonts w:ascii="Georgia" w:hAnsi="Georgia"/>
        </w:rPr>
        <w:t xml:space="preserve">Figure </w:t>
      </w:r>
      <w:r w:rsidRPr="006B62D1">
        <w:rPr>
          <w:rFonts w:ascii="Georgia" w:hAnsi="Georgia"/>
        </w:rPr>
        <w:fldChar w:fldCharType="begin"/>
      </w:r>
      <w:r w:rsidRPr="006B62D1">
        <w:rPr>
          <w:rFonts w:ascii="Georgia" w:hAnsi="Georgia"/>
        </w:rPr>
        <w:instrText xml:space="preserve"> SEQ Figure \* ARABIC </w:instrText>
      </w:r>
      <w:r w:rsidRPr="006B62D1">
        <w:rPr>
          <w:rFonts w:ascii="Georgia" w:hAnsi="Georgia"/>
        </w:rPr>
        <w:fldChar w:fldCharType="separate"/>
      </w:r>
      <w:r w:rsidR="00401712" w:rsidRPr="006B62D1">
        <w:rPr>
          <w:rFonts w:ascii="Georgia" w:hAnsi="Georgia"/>
          <w:noProof/>
        </w:rPr>
        <w:t>1</w:t>
      </w:r>
      <w:r w:rsidRPr="006B62D1">
        <w:rPr>
          <w:rFonts w:ascii="Georgia" w:hAnsi="Georgia"/>
        </w:rPr>
        <w:fldChar w:fldCharType="end"/>
      </w:r>
      <w:r w:rsidRPr="006B62D1">
        <w:rPr>
          <w:rFonts w:ascii="Georgia" w:hAnsi="Georgia"/>
        </w:rPr>
        <w:t xml:space="preserve">: The Role of Communities in Mental Health Care in Low- and Middle-Income Countries: A Meta-Review of Components and Competencies. Retrieved from: </w:t>
      </w:r>
      <w:hyperlink r:id="rId10" w:history="1">
        <w:r w:rsidRPr="006B62D1">
          <w:rPr>
            <w:rStyle w:val="a7"/>
            <w:rFonts w:ascii="Georgia" w:hAnsi="Georgia"/>
          </w:rPr>
          <w:t>https://www.mdpi.com/1660-4601/15/6/1279</w:t>
        </w:r>
      </w:hyperlink>
    </w:p>
    <w:p w14:paraId="33FF778A" w14:textId="77777777" w:rsidR="0003326D" w:rsidRPr="006B62D1" w:rsidRDefault="00DE110B" w:rsidP="00AF3F4D">
      <w:pPr>
        <w:pStyle w:val="aa"/>
        <w:numPr>
          <w:ilvl w:val="0"/>
          <w:numId w:val="4"/>
        </w:numPr>
        <w:spacing w:before="240" w:after="0" w:line="240" w:lineRule="auto"/>
        <w:rPr>
          <w:rFonts w:ascii="Georgia" w:hAnsi="Georgia" w:cs="Times New Roman"/>
          <w:sz w:val="24"/>
          <w:szCs w:val="24"/>
        </w:rPr>
      </w:pPr>
      <w:r w:rsidRPr="006B62D1">
        <w:rPr>
          <w:rFonts w:ascii="Georgia" w:hAnsi="Georgia" w:cs="Times New Roman"/>
          <w:sz w:val="24"/>
          <w:szCs w:val="24"/>
        </w:rPr>
        <w:t>CMHS</w:t>
      </w:r>
      <w:r w:rsidR="00DF7E8C" w:rsidRPr="006B62D1">
        <w:rPr>
          <w:rFonts w:ascii="Georgia" w:hAnsi="Georgia" w:cs="Times New Roman"/>
          <w:sz w:val="24"/>
          <w:szCs w:val="24"/>
        </w:rPr>
        <w:t xml:space="preserve"> are broad and encompass therapy and counselling to crisis intervention and long-term care, among other forms of interventions aimed at enhancing the mental health of individuals situated in their immediate surroundings (NHS England, 2024</w:t>
      </w:r>
      <w:r w:rsidR="0003326D" w:rsidRPr="006B62D1">
        <w:rPr>
          <w:rFonts w:ascii="Georgia" w:hAnsi="Georgia" w:cs="Times New Roman"/>
          <w:sz w:val="24"/>
          <w:szCs w:val="24"/>
        </w:rPr>
        <w:t>).</w:t>
      </w:r>
    </w:p>
    <w:p w14:paraId="6A99AEE4" w14:textId="77777777" w:rsidR="00DE110B" w:rsidRPr="006B62D1" w:rsidRDefault="00DF7E8C" w:rsidP="00AF3F4D">
      <w:pPr>
        <w:pStyle w:val="aa"/>
        <w:numPr>
          <w:ilvl w:val="0"/>
          <w:numId w:val="4"/>
        </w:numPr>
        <w:spacing w:before="240" w:after="0" w:line="240" w:lineRule="auto"/>
        <w:rPr>
          <w:rFonts w:ascii="Georgia" w:hAnsi="Georgia" w:cs="Times New Roman"/>
          <w:sz w:val="24"/>
          <w:szCs w:val="24"/>
        </w:rPr>
      </w:pPr>
      <w:r w:rsidRPr="006B62D1">
        <w:rPr>
          <w:rFonts w:ascii="Georgia" w:hAnsi="Georgia" w:cs="Times New Roman"/>
          <w:sz w:val="24"/>
          <w:szCs w:val="24"/>
        </w:rPr>
        <w:t xml:space="preserve">CMHS is concerned about delivering community-based, accessible care that supports recovery and reintegration into society and targets individuals of all ages and requirements (Bouras et al., 2018). </w:t>
      </w:r>
    </w:p>
    <w:p w14:paraId="24D73ECA" w14:textId="77777777" w:rsidR="0003326D" w:rsidRPr="006B62D1" w:rsidRDefault="00DE110B" w:rsidP="00AF3F4D">
      <w:pPr>
        <w:keepNext/>
        <w:spacing w:before="240" w:after="0" w:line="240" w:lineRule="auto"/>
        <w:ind w:firstLine="720"/>
        <w:rPr>
          <w:rFonts w:ascii="Georgia" w:hAnsi="Georgia"/>
        </w:rPr>
      </w:pPr>
      <w:r w:rsidRPr="006B62D1">
        <w:rPr>
          <w:rFonts w:ascii="Georgia" w:hAnsi="Georgia"/>
          <w:noProof/>
        </w:rPr>
        <w:drawing>
          <wp:inline distT="0" distB="0" distL="0" distR="0" wp14:anchorId="5D5C6E8D" wp14:editId="3E09EDB1">
            <wp:extent cx="4762605" cy="3943350"/>
            <wp:effectExtent l="0" t="0" r="0" b="0"/>
            <wp:docPr id="1" name="Picture 1" descr="Integrated care systems (ICS) | NHS Confe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grated care systems (ICS) | NHS Confederation"/>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289" r="12714"/>
                    <a:stretch/>
                  </pic:blipFill>
                  <pic:spPr bwMode="auto">
                    <a:xfrm>
                      <a:off x="0" y="0"/>
                      <a:ext cx="4770831" cy="3950161"/>
                    </a:xfrm>
                    <a:prstGeom prst="rect">
                      <a:avLst/>
                    </a:prstGeom>
                    <a:noFill/>
                    <a:ln>
                      <a:noFill/>
                    </a:ln>
                    <a:extLst>
                      <a:ext uri="{53640926-AAD7-44D8-BBD7-CCE9431645EC}">
                        <a14:shadowObscured xmlns:a14="http://schemas.microsoft.com/office/drawing/2010/main"/>
                      </a:ext>
                    </a:extLst>
                  </pic:spPr>
                </pic:pic>
              </a:graphicData>
            </a:graphic>
          </wp:inline>
        </w:drawing>
      </w:r>
    </w:p>
    <w:p w14:paraId="70909CAD" w14:textId="77777777" w:rsidR="00DE110B" w:rsidRPr="006B62D1" w:rsidRDefault="0003326D" w:rsidP="00AF3F4D">
      <w:pPr>
        <w:pStyle w:val="a8"/>
        <w:spacing w:before="240" w:after="0"/>
        <w:rPr>
          <w:rFonts w:ascii="Georgia" w:hAnsi="Georgia"/>
        </w:rPr>
      </w:pPr>
      <w:r w:rsidRPr="006B62D1">
        <w:rPr>
          <w:rFonts w:ascii="Georgia" w:hAnsi="Georgia"/>
        </w:rPr>
        <w:t xml:space="preserve">Figure </w:t>
      </w:r>
      <w:r w:rsidRPr="006B62D1">
        <w:rPr>
          <w:rFonts w:ascii="Georgia" w:hAnsi="Georgia"/>
        </w:rPr>
        <w:fldChar w:fldCharType="begin"/>
      </w:r>
      <w:r w:rsidRPr="006B62D1">
        <w:rPr>
          <w:rFonts w:ascii="Georgia" w:hAnsi="Georgia"/>
        </w:rPr>
        <w:instrText xml:space="preserve"> SEQ Figure \* ARABIC </w:instrText>
      </w:r>
      <w:r w:rsidRPr="006B62D1">
        <w:rPr>
          <w:rFonts w:ascii="Georgia" w:hAnsi="Georgia"/>
        </w:rPr>
        <w:fldChar w:fldCharType="separate"/>
      </w:r>
      <w:r w:rsidR="00401712" w:rsidRPr="006B62D1">
        <w:rPr>
          <w:rFonts w:ascii="Georgia" w:hAnsi="Georgia"/>
          <w:noProof/>
        </w:rPr>
        <w:t>2</w:t>
      </w:r>
      <w:r w:rsidRPr="006B62D1">
        <w:rPr>
          <w:rFonts w:ascii="Georgia" w:hAnsi="Georgia"/>
        </w:rPr>
        <w:fldChar w:fldCharType="end"/>
      </w:r>
      <w:r w:rsidRPr="006B62D1">
        <w:rPr>
          <w:rFonts w:ascii="Georgia" w:hAnsi="Georgia"/>
        </w:rPr>
        <w:t xml:space="preserve">: Integrated care systems (ICS) | NHS Confederation. Retrieved from: </w:t>
      </w:r>
      <w:hyperlink r:id="rId12" w:history="1">
        <w:r w:rsidRPr="006B62D1">
          <w:rPr>
            <w:rStyle w:val="a7"/>
            <w:rFonts w:ascii="Georgia" w:hAnsi="Georgia"/>
          </w:rPr>
          <w:t>https://www.nhsconfed.org/publications/integrated-care-systems-ics</w:t>
        </w:r>
      </w:hyperlink>
    </w:p>
    <w:p w14:paraId="76D79C1E" w14:textId="77777777" w:rsidR="0003326D" w:rsidRPr="006B62D1" w:rsidRDefault="00DF7E8C" w:rsidP="00AF3F4D">
      <w:pPr>
        <w:spacing w:before="240" w:after="0" w:line="240" w:lineRule="auto"/>
        <w:rPr>
          <w:rFonts w:ascii="Georgia" w:hAnsi="Georgia" w:cs="Times New Roman"/>
          <w:sz w:val="24"/>
          <w:szCs w:val="24"/>
        </w:rPr>
      </w:pPr>
      <w:r w:rsidRPr="006B62D1">
        <w:rPr>
          <w:rFonts w:ascii="Georgia" w:hAnsi="Georgia" w:cs="Times New Roman"/>
          <w:sz w:val="24"/>
          <w:szCs w:val="24"/>
        </w:rPr>
        <w:t>The three primary goals of CMHS include</w:t>
      </w:r>
      <w:r w:rsidR="0003326D" w:rsidRPr="006B62D1">
        <w:rPr>
          <w:rFonts w:ascii="Georgia" w:hAnsi="Georgia" w:cs="Times New Roman"/>
          <w:sz w:val="24"/>
          <w:szCs w:val="24"/>
        </w:rPr>
        <w:t xml:space="preserve">: </w:t>
      </w:r>
      <w:r w:rsidRPr="006B62D1">
        <w:rPr>
          <w:rFonts w:ascii="Georgia" w:hAnsi="Georgia" w:cs="Times New Roman"/>
          <w:sz w:val="24"/>
          <w:szCs w:val="24"/>
        </w:rPr>
        <w:t xml:space="preserve"> </w:t>
      </w:r>
    </w:p>
    <w:p w14:paraId="488D3418" w14:textId="77777777" w:rsidR="0003326D" w:rsidRPr="006B62D1" w:rsidRDefault="0003326D" w:rsidP="00AF3F4D">
      <w:pPr>
        <w:pStyle w:val="aa"/>
        <w:numPr>
          <w:ilvl w:val="0"/>
          <w:numId w:val="5"/>
        </w:numPr>
        <w:spacing w:before="240" w:after="0" w:line="240" w:lineRule="auto"/>
        <w:rPr>
          <w:rFonts w:ascii="Georgia" w:hAnsi="Georgia" w:cs="Times New Roman"/>
          <w:sz w:val="24"/>
          <w:szCs w:val="24"/>
        </w:rPr>
      </w:pPr>
      <w:r w:rsidRPr="006B62D1">
        <w:rPr>
          <w:rFonts w:ascii="Georgia" w:hAnsi="Georgia" w:cs="Times New Roman"/>
          <w:sz w:val="24"/>
          <w:szCs w:val="24"/>
        </w:rPr>
        <w:t>Preventing hospitalisation</w:t>
      </w:r>
      <w:r w:rsidR="00DF7E8C" w:rsidRPr="006B62D1">
        <w:rPr>
          <w:rFonts w:ascii="Georgia" w:hAnsi="Georgia" w:cs="Times New Roman"/>
          <w:sz w:val="24"/>
          <w:szCs w:val="24"/>
        </w:rPr>
        <w:t xml:space="preserve"> </w:t>
      </w:r>
    </w:p>
    <w:p w14:paraId="6C1446AC" w14:textId="77777777" w:rsidR="0003326D" w:rsidRPr="006B62D1" w:rsidRDefault="0003326D" w:rsidP="00AF3F4D">
      <w:pPr>
        <w:pStyle w:val="aa"/>
        <w:numPr>
          <w:ilvl w:val="0"/>
          <w:numId w:val="5"/>
        </w:numPr>
        <w:spacing w:before="240" w:after="0" w:line="240" w:lineRule="auto"/>
        <w:rPr>
          <w:rFonts w:ascii="Georgia" w:hAnsi="Georgia" w:cs="Times New Roman"/>
          <w:sz w:val="24"/>
          <w:szCs w:val="24"/>
        </w:rPr>
      </w:pPr>
      <w:r w:rsidRPr="006B62D1">
        <w:rPr>
          <w:rFonts w:ascii="Georgia" w:hAnsi="Georgia" w:cs="Times New Roman"/>
          <w:sz w:val="24"/>
          <w:szCs w:val="24"/>
        </w:rPr>
        <w:t>Lowering the stig</w:t>
      </w:r>
      <w:r w:rsidR="00DF7E8C" w:rsidRPr="006B62D1">
        <w:rPr>
          <w:rFonts w:ascii="Georgia" w:hAnsi="Georgia" w:cs="Times New Roman"/>
          <w:sz w:val="24"/>
          <w:szCs w:val="24"/>
        </w:rPr>
        <w:t xml:space="preserve">ma of mental health </w:t>
      </w:r>
    </w:p>
    <w:p w14:paraId="60E81909" w14:textId="77777777" w:rsidR="0003326D" w:rsidRPr="006B62D1" w:rsidRDefault="0003326D" w:rsidP="00AF3F4D">
      <w:pPr>
        <w:pStyle w:val="aa"/>
        <w:numPr>
          <w:ilvl w:val="0"/>
          <w:numId w:val="5"/>
        </w:numPr>
        <w:spacing w:before="240" w:after="0" w:line="240" w:lineRule="auto"/>
        <w:rPr>
          <w:rFonts w:ascii="Georgia" w:hAnsi="Georgia" w:cs="Times New Roman"/>
          <w:sz w:val="24"/>
          <w:szCs w:val="24"/>
        </w:rPr>
      </w:pPr>
      <w:r w:rsidRPr="006B62D1">
        <w:rPr>
          <w:rFonts w:ascii="Georgia" w:hAnsi="Georgia" w:cs="Times New Roman"/>
          <w:sz w:val="24"/>
          <w:szCs w:val="24"/>
        </w:rPr>
        <w:t xml:space="preserve">Equipping patients with the means to cope with their ailments and live freely. </w:t>
      </w:r>
    </w:p>
    <w:p w14:paraId="4315657B" w14:textId="77777777" w:rsidR="00DF7E8C" w:rsidRPr="006B62D1" w:rsidRDefault="00DF7E8C" w:rsidP="00AF3F4D">
      <w:pPr>
        <w:spacing w:before="240" w:after="0" w:line="240" w:lineRule="auto"/>
        <w:rPr>
          <w:rFonts w:ascii="Georgia" w:hAnsi="Georgia" w:cs="Times New Roman"/>
          <w:sz w:val="24"/>
          <w:szCs w:val="24"/>
        </w:rPr>
      </w:pPr>
      <w:r w:rsidRPr="006B62D1">
        <w:rPr>
          <w:rFonts w:ascii="Georgia" w:hAnsi="Georgia" w:cs="Times New Roman"/>
          <w:sz w:val="24"/>
          <w:szCs w:val="24"/>
        </w:rPr>
        <w:t>This is achieved using several community interventions, among them day centres, outreach programs, and home visits. It involves mental health professionals, i.e., psychiatrists, social workers, and psychologists working together to deliver an integrated care that is client-oriented (Vigo, 2017).</w:t>
      </w:r>
    </w:p>
    <w:p w14:paraId="26E2F926" w14:textId="77777777" w:rsidR="00DF7E8C" w:rsidRPr="006B62D1" w:rsidRDefault="00DF7E8C" w:rsidP="00AF3F4D">
      <w:pPr>
        <w:pStyle w:val="1"/>
        <w:spacing w:line="240" w:lineRule="auto"/>
        <w:rPr>
          <w:rFonts w:ascii="Georgia" w:hAnsi="Georgia"/>
          <w:b/>
        </w:rPr>
      </w:pPr>
      <w:r w:rsidRPr="006B62D1">
        <w:rPr>
          <w:rFonts w:ascii="Georgia" w:hAnsi="Georgia"/>
          <w:b/>
        </w:rPr>
        <w:t>A Brief History of Community Mental Health Services</w:t>
      </w:r>
    </w:p>
    <w:p w14:paraId="6C7CFBFF" w14:textId="77777777" w:rsidR="0020295B" w:rsidRPr="006B62D1" w:rsidRDefault="00DF7E8C" w:rsidP="00AF3F4D">
      <w:pPr>
        <w:spacing w:before="240" w:after="0" w:line="240" w:lineRule="auto"/>
        <w:ind w:firstLine="720"/>
        <w:rPr>
          <w:rFonts w:ascii="Georgia" w:hAnsi="Georgia" w:cs="Times New Roman"/>
          <w:sz w:val="24"/>
          <w:szCs w:val="24"/>
        </w:rPr>
      </w:pPr>
      <w:r w:rsidRPr="006B62D1">
        <w:rPr>
          <w:rFonts w:ascii="Georgia" w:hAnsi="Georgia" w:cs="Times New Roman"/>
          <w:sz w:val="24"/>
          <w:szCs w:val="24"/>
        </w:rPr>
        <w:t>The transition of institutional to community-based care for persons with mental illnesses started in the latter half of the 20th century. In the past, patients with mental illnesses were usually placed in huge mental institutions, which were ineffective in numerous situations, and this resulted in negative health outcomes for patients (Turner et al., 2015). During the 1950s and 1960s, when people started to realise the drawbacks of institutionalisation, numerous Western nations started to transition to community care systems. This change was cemented in the UK by the National Health Service Act of 1946, which formed the beginnings of the expansion of access to mental health services. However, there was a tremendous shift in the de-institutionalisation movement of the 1980s, as long-term care became not the purview of psychiatric hospitals, but rather the services of community-based organisations. It was aimed at offering care in less restrictive and more integrated environments in society where people could recover (Bouras et al., 2018</w:t>
      </w:r>
      <w:r w:rsidR="0020295B" w:rsidRPr="006B62D1">
        <w:rPr>
          <w:rFonts w:ascii="Georgia" w:hAnsi="Georgia" w:cs="Times New Roman"/>
          <w:sz w:val="24"/>
          <w:szCs w:val="24"/>
        </w:rPr>
        <w:t>).</w:t>
      </w:r>
    </w:p>
    <w:p w14:paraId="11DC53A2" w14:textId="77777777" w:rsidR="0020295B" w:rsidRPr="006B62D1" w:rsidRDefault="0020295B" w:rsidP="00AF3F4D">
      <w:pPr>
        <w:keepNext/>
        <w:spacing w:before="240" w:after="0" w:line="240" w:lineRule="auto"/>
        <w:ind w:firstLine="720"/>
        <w:rPr>
          <w:rFonts w:ascii="Georgia" w:hAnsi="Georgia"/>
        </w:rPr>
      </w:pPr>
      <w:r w:rsidRPr="006B62D1">
        <w:rPr>
          <w:rFonts w:ascii="Georgia" w:hAnsi="Georgia"/>
          <w:noProof/>
        </w:rPr>
        <w:drawing>
          <wp:inline distT="0" distB="0" distL="0" distR="0" wp14:anchorId="595492D4" wp14:editId="278FF505">
            <wp:extent cx="4138318" cy="275507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419" t="14199" r="16814" b="4411"/>
                    <a:stretch/>
                  </pic:blipFill>
                  <pic:spPr bwMode="auto">
                    <a:xfrm>
                      <a:off x="0" y="0"/>
                      <a:ext cx="4215289" cy="2806319"/>
                    </a:xfrm>
                    <a:prstGeom prst="rect">
                      <a:avLst/>
                    </a:prstGeom>
                    <a:ln>
                      <a:noFill/>
                    </a:ln>
                    <a:extLst>
                      <a:ext uri="{53640926-AAD7-44D8-BBD7-CCE9431645EC}">
                        <a14:shadowObscured xmlns:a14="http://schemas.microsoft.com/office/drawing/2010/main"/>
                      </a:ext>
                    </a:extLst>
                  </pic:spPr>
                </pic:pic>
              </a:graphicData>
            </a:graphic>
          </wp:inline>
        </w:drawing>
      </w:r>
    </w:p>
    <w:p w14:paraId="4C813A34" w14:textId="77777777" w:rsidR="0020295B" w:rsidRPr="006B62D1" w:rsidRDefault="0020295B" w:rsidP="00AF3F4D">
      <w:pPr>
        <w:pStyle w:val="a8"/>
        <w:spacing w:before="240" w:after="0"/>
        <w:rPr>
          <w:rFonts w:ascii="Georgia" w:hAnsi="Georgia"/>
        </w:rPr>
      </w:pPr>
      <w:r w:rsidRPr="006B62D1">
        <w:rPr>
          <w:rFonts w:ascii="Georgia" w:hAnsi="Georgia"/>
        </w:rPr>
        <w:t xml:space="preserve">Figure </w:t>
      </w:r>
      <w:r w:rsidRPr="006B62D1">
        <w:rPr>
          <w:rFonts w:ascii="Georgia" w:hAnsi="Georgia"/>
        </w:rPr>
        <w:fldChar w:fldCharType="begin"/>
      </w:r>
      <w:r w:rsidRPr="006B62D1">
        <w:rPr>
          <w:rFonts w:ascii="Georgia" w:hAnsi="Georgia"/>
        </w:rPr>
        <w:instrText xml:space="preserve"> SEQ Figure \* ARABIC </w:instrText>
      </w:r>
      <w:r w:rsidRPr="006B62D1">
        <w:rPr>
          <w:rFonts w:ascii="Georgia" w:hAnsi="Georgia"/>
        </w:rPr>
        <w:fldChar w:fldCharType="separate"/>
      </w:r>
      <w:r w:rsidR="00401712" w:rsidRPr="006B62D1">
        <w:rPr>
          <w:rFonts w:ascii="Georgia" w:hAnsi="Georgia"/>
          <w:noProof/>
        </w:rPr>
        <w:t>3</w:t>
      </w:r>
      <w:r w:rsidRPr="006B62D1">
        <w:rPr>
          <w:rFonts w:ascii="Georgia" w:hAnsi="Georgia"/>
        </w:rPr>
        <w:fldChar w:fldCharType="end"/>
      </w:r>
      <w:r w:rsidRPr="006B62D1">
        <w:rPr>
          <w:rFonts w:ascii="Georgia" w:hAnsi="Georgia"/>
        </w:rPr>
        <w:t xml:space="preserve">: </w:t>
      </w:r>
      <w:proofErr w:type="spellStart"/>
      <w:r w:rsidRPr="006B62D1">
        <w:rPr>
          <w:rFonts w:ascii="Georgia" w:hAnsi="Georgia"/>
        </w:rPr>
        <w:t>communiy</w:t>
      </w:r>
      <w:proofErr w:type="spellEnd"/>
      <w:r w:rsidRPr="006B62D1">
        <w:rPr>
          <w:rFonts w:ascii="Georgia" w:hAnsi="Georgia"/>
        </w:rPr>
        <w:t xml:space="preserve">-based Mental Health care framework. Retrieved from: </w:t>
      </w:r>
      <w:hyperlink r:id="rId14" w:history="1">
        <w:r w:rsidRPr="006B62D1">
          <w:rPr>
            <w:rStyle w:val="a7"/>
            <w:rFonts w:ascii="Georgia" w:hAnsi="Georgia"/>
          </w:rPr>
          <w:t>https://www.researchgate.net/figure/Comprehensive-collaborative-and-community-based-care-C4-framework-for-LMICs_fig1_368857198</w:t>
        </w:r>
      </w:hyperlink>
    </w:p>
    <w:p w14:paraId="14A2BA41" w14:textId="77777777" w:rsidR="00DF7E8C" w:rsidRPr="006B62D1" w:rsidRDefault="00DF7E8C" w:rsidP="00AF3F4D">
      <w:pPr>
        <w:spacing w:before="240" w:after="0" w:line="240" w:lineRule="auto"/>
        <w:ind w:firstLine="720"/>
        <w:rPr>
          <w:rFonts w:ascii="Georgia" w:hAnsi="Georgia" w:cs="Times New Roman"/>
          <w:sz w:val="24"/>
          <w:szCs w:val="24"/>
        </w:rPr>
      </w:pPr>
      <w:r w:rsidRPr="006B62D1">
        <w:rPr>
          <w:rFonts w:ascii="Georgia" w:hAnsi="Georgia" w:cs="Times New Roman"/>
          <w:sz w:val="24"/>
          <w:szCs w:val="24"/>
        </w:rPr>
        <w:t xml:space="preserve"> Community mental health care is still becoming increasingly developed, especially with the inclusion of new methods, such as recovery-oriented care and the increase in the number of multidisciplinary teams (</w:t>
      </w:r>
      <w:proofErr w:type="spellStart"/>
      <w:r w:rsidRPr="006B62D1">
        <w:rPr>
          <w:rFonts w:ascii="Georgia" w:hAnsi="Georgia" w:cs="Times New Roman"/>
          <w:sz w:val="24"/>
          <w:szCs w:val="24"/>
        </w:rPr>
        <w:t>Bemme</w:t>
      </w:r>
      <w:proofErr w:type="spellEnd"/>
      <w:r w:rsidRPr="006B62D1">
        <w:rPr>
          <w:rFonts w:ascii="Georgia" w:hAnsi="Georgia" w:cs="Times New Roman"/>
          <w:sz w:val="24"/>
          <w:szCs w:val="24"/>
        </w:rPr>
        <w:t xml:space="preserve"> et al., 2021). Nevertheless, the problems have not been eliminated, especially the ability to meet the increasing demand with the required resources to supply the services.</w:t>
      </w:r>
    </w:p>
    <w:p w14:paraId="41D00F87" w14:textId="77777777" w:rsidR="00DF7E8C" w:rsidRPr="006B62D1" w:rsidRDefault="00DF7E8C" w:rsidP="00AF3F4D">
      <w:pPr>
        <w:pStyle w:val="1"/>
        <w:spacing w:line="240" w:lineRule="auto"/>
        <w:rPr>
          <w:rFonts w:ascii="Georgia" w:hAnsi="Georgia"/>
          <w:b/>
        </w:rPr>
      </w:pPr>
      <w:r w:rsidRPr="006B62D1">
        <w:rPr>
          <w:rFonts w:ascii="Georgia" w:hAnsi="Georgia"/>
          <w:b/>
        </w:rPr>
        <w:t>Current Functioning of Community Mental Health Services</w:t>
      </w:r>
    </w:p>
    <w:p w14:paraId="65F0858F" w14:textId="77777777" w:rsidR="0020295B" w:rsidRPr="006B62D1" w:rsidRDefault="00DF7E8C" w:rsidP="00AF3F4D">
      <w:pPr>
        <w:spacing w:before="240" w:after="0" w:line="240" w:lineRule="auto"/>
        <w:ind w:firstLine="720"/>
        <w:rPr>
          <w:rFonts w:ascii="Georgia" w:hAnsi="Georgia" w:cs="Times New Roman"/>
          <w:sz w:val="24"/>
          <w:szCs w:val="24"/>
        </w:rPr>
      </w:pPr>
      <w:r w:rsidRPr="006B62D1">
        <w:rPr>
          <w:rFonts w:ascii="Georgia" w:hAnsi="Georgia" w:cs="Times New Roman"/>
          <w:sz w:val="24"/>
          <w:szCs w:val="24"/>
        </w:rPr>
        <w:t xml:space="preserve">Nowadays, CMHS in the UK are present on many levels, such as the early intervention and prevention up to the treatment of severe mental illnesses in the long-term. As NHS England (2024) states, contemporary CMHS provides an outreach service, counselling, social support, and psychiatric treatment. Such services usually act in liaison with local general practitioners (GPs), social services, and housing support organisations in order to provide holistic care to people. </w:t>
      </w:r>
    </w:p>
    <w:p w14:paraId="57409EC8" w14:textId="77777777" w:rsidR="00672D4E" w:rsidRPr="006B62D1" w:rsidRDefault="0020295B" w:rsidP="00AF3F4D">
      <w:pPr>
        <w:keepNext/>
        <w:spacing w:before="240" w:after="0" w:line="240" w:lineRule="auto"/>
        <w:ind w:firstLine="720"/>
        <w:rPr>
          <w:rFonts w:ascii="Georgia" w:hAnsi="Georgia"/>
        </w:rPr>
      </w:pPr>
      <w:r w:rsidRPr="006B62D1">
        <w:rPr>
          <w:rFonts w:ascii="Georgia" w:hAnsi="Georgia"/>
          <w:noProof/>
        </w:rPr>
        <w:drawing>
          <wp:inline distT="0" distB="0" distL="0" distR="0" wp14:anchorId="1DF06A4E" wp14:editId="2B2B055C">
            <wp:extent cx="4262250" cy="3581400"/>
            <wp:effectExtent l="0" t="0" r="5080" b="0"/>
            <wp:docPr id="6" name="Picture 6" descr="Investigation report: Care delivery within community mental health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vestigation report: Care delivery within community mental health team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4275874" cy="3592848"/>
                    </a:xfrm>
                    <a:prstGeom prst="rect">
                      <a:avLst/>
                    </a:prstGeom>
                    <a:noFill/>
                    <a:ln>
                      <a:noFill/>
                    </a:ln>
                    <a:extLst>
                      <a:ext uri="{53640926-AAD7-44D8-BBD7-CCE9431645EC}">
                        <a14:shadowObscured xmlns:a14="http://schemas.microsoft.com/office/drawing/2010/main"/>
                      </a:ext>
                    </a:extLst>
                  </pic:spPr>
                </pic:pic>
              </a:graphicData>
            </a:graphic>
          </wp:inline>
        </w:drawing>
      </w:r>
    </w:p>
    <w:p w14:paraId="651844B5" w14:textId="77777777" w:rsidR="0020295B" w:rsidRPr="006B62D1" w:rsidRDefault="00672D4E" w:rsidP="00AF3F4D">
      <w:pPr>
        <w:pStyle w:val="a8"/>
        <w:spacing w:before="240" w:after="0"/>
        <w:rPr>
          <w:rFonts w:ascii="Georgia" w:hAnsi="Georgia"/>
        </w:rPr>
      </w:pPr>
      <w:r w:rsidRPr="006B62D1">
        <w:rPr>
          <w:rFonts w:ascii="Georgia" w:hAnsi="Georgia"/>
        </w:rPr>
        <w:t xml:space="preserve">Figure </w:t>
      </w:r>
      <w:r w:rsidRPr="006B62D1">
        <w:rPr>
          <w:rFonts w:ascii="Georgia" w:hAnsi="Georgia"/>
        </w:rPr>
        <w:fldChar w:fldCharType="begin"/>
      </w:r>
      <w:r w:rsidRPr="006B62D1">
        <w:rPr>
          <w:rFonts w:ascii="Georgia" w:hAnsi="Georgia"/>
        </w:rPr>
        <w:instrText xml:space="preserve"> SEQ Figure \* ARABIC </w:instrText>
      </w:r>
      <w:r w:rsidRPr="006B62D1">
        <w:rPr>
          <w:rFonts w:ascii="Georgia" w:hAnsi="Georgia"/>
        </w:rPr>
        <w:fldChar w:fldCharType="separate"/>
      </w:r>
      <w:r w:rsidR="00401712" w:rsidRPr="006B62D1">
        <w:rPr>
          <w:rFonts w:ascii="Georgia" w:hAnsi="Georgia"/>
          <w:noProof/>
        </w:rPr>
        <w:t>4</w:t>
      </w:r>
      <w:r w:rsidRPr="006B62D1">
        <w:rPr>
          <w:rFonts w:ascii="Georgia" w:hAnsi="Georgia"/>
        </w:rPr>
        <w:fldChar w:fldCharType="end"/>
      </w:r>
      <w:r w:rsidRPr="006B62D1">
        <w:rPr>
          <w:rFonts w:ascii="Georgia" w:hAnsi="Georgia"/>
        </w:rPr>
        <w:t xml:space="preserve">: Current functioning of CMHS. Retrieved from: </w:t>
      </w:r>
      <w:hyperlink r:id="rId16" w:history="1">
        <w:r w:rsidRPr="006B62D1">
          <w:rPr>
            <w:rStyle w:val="a7"/>
            <w:rFonts w:ascii="Georgia" w:hAnsi="Georgia"/>
          </w:rPr>
          <w:t>https://www.hssib.org.uk/patient-safety-investigations/care-delivery-within-community-mental-health-teams/investigation-report/</w:t>
        </w:r>
      </w:hyperlink>
    </w:p>
    <w:p w14:paraId="6F10BCBA" w14:textId="77777777" w:rsidR="00672D4E" w:rsidRPr="006B62D1" w:rsidRDefault="00DF7E8C" w:rsidP="00AF3F4D">
      <w:pPr>
        <w:spacing w:before="240" w:after="0" w:line="240" w:lineRule="auto"/>
        <w:ind w:firstLine="720"/>
        <w:rPr>
          <w:rFonts w:ascii="Georgia" w:hAnsi="Georgia" w:cs="Times New Roman"/>
          <w:sz w:val="24"/>
          <w:szCs w:val="24"/>
        </w:rPr>
      </w:pPr>
      <w:r w:rsidRPr="006B62D1">
        <w:rPr>
          <w:rFonts w:ascii="Georgia" w:hAnsi="Georgia" w:cs="Times New Roman"/>
          <w:sz w:val="24"/>
          <w:szCs w:val="24"/>
        </w:rPr>
        <w:t>Among the biggest CMHS innovations, the shift towards integrated care systems (ICS), in which several services are synchronised to provide holistic care, should be mentioned. These systems enable quicker and more individual care since they offer accessibility to numerous professionals who collaborate.</w:t>
      </w:r>
    </w:p>
    <w:p w14:paraId="702517C4" w14:textId="77777777" w:rsidR="00672D4E" w:rsidRPr="006B62D1" w:rsidRDefault="00672D4E" w:rsidP="00AF3F4D">
      <w:pPr>
        <w:keepNext/>
        <w:spacing w:before="240" w:after="0" w:line="240" w:lineRule="auto"/>
        <w:ind w:firstLine="720"/>
        <w:rPr>
          <w:rFonts w:ascii="Georgia" w:hAnsi="Georgia"/>
        </w:rPr>
      </w:pPr>
      <w:r w:rsidRPr="006B62D1">
        <w:rPr>
          <w:rFonts w:ascii="Georgia" w:hAnsi="Georgia"/>
          <w:noProof/>
        </w:rPr>
        <w:drawing>
          <wp:inline distT="0" distB="0" distL="0" distR="0" wp14:anchorId="2C7957CA" wp14:editId="4629B128">
            <wp:extent cx="5408766" cy="3859481"/>
            <wp:effectExtent l="0" t="0" r="1905" b="8255"/>
            <wp:docPr id="7" name="Picture 7" descr="What is important - Mid and South Essex Integrated Car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at is important - Mid and South Essex Integrated Care System"/>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5437442" cy="3879943"/>
                    </a:xfrm>
                    <a:prstGeom prst="rect">
                      <a:avLst/>
                    </a:prstGeom>
                    <a:noFill/>
                    <a:ln>
                      <a:noFill/>
                    </a:ln>
                    <a:extLst>
                      <a:ext uri="{53640926-AAD7-44D8-BBD7-CCE9431645EC}">
                        <a14:shadowObscured xmlns:a14="http://schemas.microsoft.com/office/drawing/2010/main"/>
                      </a:ext>
                    </a:extLst>
                  </pic:spPr>
                </pic:pic>
              </a:graphicData>
            </a:graphic>
          </wp:inline>
        </w:drawing>
      </w:r>
    </w:p>
    <w:p w14:paraId="5A0D9F21" w14:textId="77777777" w:rsidR="00672D4E" w:rsidRPr="006B62D1" w:rsidRDefault="00672D4E" w:rsidP="00AF3F4D">
      <w:pPr>
        <w:pStyle w:val="a8"/>
        <w:spacing w:before="240" w:after="0"/>
        <w:rPr>
          <w:rFonts w:ascii="Georgia" w:hAnsi="Georgia"/>
        </w:rPr>
      </w:pPr>
      <w:r w:rsidRPr="006B62D1">
        <w:rPr>
          <w:rFonts w:ascii="Georgia" w:hAnsi="Georgia"/>
        </w:rPr>
        <w:t xml:space="preserve">Figure </w:t>
      </w:r>
      <w:r w:rsidRPr="006B62D1">
        <w:rPr>
          <w:rFonts w:ascii="Georgia" w:hAnsi="Georgia"/>
        </w:rPr>
        <w:fldChar w:fldCharType="begin"/>
      </w:r>
      <w:r w:rsidRPr="006B62D1">
        <w:rPr>
          <w:rFonts w:ascii="Georgia" w:hAnsi="Georgia"/>
        </w:rPr>
        <w:instrText xml:space="preserve"> SEQ Figure \* ARABIC </w:instrText>
      </w:r>
      <w:r w:rsidRPr="006B62D1">
        <w:rPr>
          <w:rFonts w:ascii="Georgia" w:hAnsi="Georgia"/>
        </w:rPr>
        <w:fldChar w:fldCharType="separate"/>
      </w:r>
      <w:r w:rsidR="00401712" w:rsidRPr="006B62D1">
        <w:rPr>
          <w:rFonts w:ascii="Georgia" w:hAnsi="Georgia"/>
          <w:noProof/>
        </w:rPr>
        <w:t>5</w:t>
      </w:r>
      <w:r w:rsidRPr="006B62D1">
        <w:rPr>
          <w:rFonts w:ascii="Georgia" w:hAnsi="Georgia"/>
        </w:rPr>
        <w:fldChar w:fldCharType="end"/>
      </w:r>
      <w:r w:rsidRPr="006B62D1">
        <w:rPr>
          <w:rFonts w:ascii="Georgia" w:hAnsi="Georgia"/>
        </w:rPr>
        <w:t xml:space="preserve">: Integrated Care system. retrieved from: </w:t>
      </w:r>
      <w:hyperlink r:id="rId18" w:history="1">
        <w:r w:rsidRPr="006B62D1">
          <w:rPr>
            <w:rStyle w:val="a7"/>
            <w:rFonts w:ascii="Georgia" w:hAnsi="Georgia"/>
          </w:rPr>
          <w:t>https://www.midandsouthessex.ics.nhs.uk/about/integrated-care-strategy-2023-33/what-is-important/</w:t>
        </w:r>
      </w:hyperlink>
    </w:p>
    <w:p w14:paraId="579EA89A" w14:textId="77777777" w:rsidR="00ED7712" w:rsidRPr="006B62D1" w:rsidRDefault="00DF7E8C" w:rsidP="00AF3F4D">
      <w:pPr>
        <w:pStyle w:val="aa"/>
        <w:numPr>
          <w:ilvl w:val="0"/>
          <w:numId w:val="6"/>
        </w:numPr>
        <w:spacing w:before="240" w:after="0" w:line="240" w:lineRule="auto"/>
        <w:rPr>
          <w:rFonts w:ascii="Georgia" w:hAnsi="Georgia" w:cs="Times New Roman"/>
          <w:sz w:val="24"/>
          <w:szCs w:val="24"/>
        </w:rPr>
      </w:pPr>
      <w:r w:rsidRPr="006B62D1">
        <w:rPr>
          <w:rFonts w:ascii="Georgia" w:hAnsi="Georgia" w:cs="Times New Roman"/>
          <w:sz w:val="24"/>
          <w:szCs w:val="24"/>
        </w:rPr>
        <w:t xml:space="preserve">CMHS also uses digital tools to keep track of its patients, enabling more effective and frequent communication between professionals and service users (Vigo, 2017). </w:t>
      </w:r>
    </w:p>
    <w:p w14:paraId="7CB70032" w14:textId="77777777" w:rsidR="00ED7712" w:rsidRPr="006B62D1" w:rsidRDefault="00DF7E8C" w:rsidP="00AF3F4D">
      <w:pPr>
        <w:pStyle w:val="aa"/>
        <w:numPr>
          <w:ilvl w:val="0"/>
          <w:numId w:val="6"/>
        </w:numPr>
        <w:spacing w:before="240" w:after="0" w:line="240" w:lineRule="auto"/>
        <w:rPr>
          <w:rFonts w:ascii="Georgia" w:hAnsi="Georgia" w:cs="Times New Roman"/>
          <w:sz w:val="24"/>
          <w:szCs w:val="24"/>
        </w:rPr>
      </w:pPr>
      <w:r w:rsidRPr="006B62D1">
        <w:rPr>
          <w:rFonts w:ascii="Georgia" w:hAnsi="Georgia" w:cs="Times New Roman"/>
          <w:sz w:val="24"/>
          <w:szCs w:val="24"/>
        </w:rPr>
        <w:t>CMHS has become more interested in mental health crises, and some of them provide crisis intervention and mental health urgent care centres where people can obtain immediate care without having to visit a hospital (</w:t>
      </w:r>
      <w:proofErr w:type="spellStart"/>
      <w:r w:rsidRPr="006B62D1">
        <w:rPr>
          <w:rFonts w:ascii="Georgia" w:hAnsi="Georgia" w:cs="Times New Roman"/>
          <w:sz w:val="24"/>
          <w:szCs w:val="24"/>
        </w:rPr>
        <w:t>Bemme</w:t>
      </w:r>
      <w:proofErr w:type="spellEnd"/>
      <w:r w:rsidRPr="006B62D1">
        <w:rPr>
          <w:rFonts w:ascii="Georgia" w:hAnsi="Georgia" w:cs="Times New Roman"/>
          <w:sz w:val="24"/>
          <w:szCs w:val="24"/>
        </w:rPr>
        <w:t xml:space="preserve"> et al., 2021). </w:t>
      </w:r>
    </w:p>
    <w:p w14:paraId="138F7FB8" w14:textId="77777777" w:rsidR="00DF7E8C" w:rsidRPr="006B62D1" w:rsidRDefault="00DF7E8C" w:rsidP="00AF3F4D">
      <w:pPr>
        <w:pStyle w:val="aa"/>
        <w:numPr>
          <w:ilvl w:val="0"/>
          <w:numId w:val="6"/>
        </w:numPr>
        <w:spacing w:before="240" w:after="0" w:line="240" w:lineRule="auto"/>
        <w:rPr>
          <w:rFonts w:ascii="Georgia" w:hAnsi="Georgia" w:cs="Times New Roman"/>
          <w:sz w:val="24"/>
          <w:szCs w:val="24"/>
        </w:rPr>
      </w:pPr>
      <w:r w:rsidRPr="006B62D1">
        <w:rPr>
          <w:rFonts w:ascii="Georgia" w:hAnsi="Georgia" w:cs="Times New Roman"/>
          <w:sz w:val="24"/>
          <w:szCs w:val="24"/>
        </w:rPr>
        <w:t>The method can greatly alleviate the load in emergency departments and offer a more humane, specialised intervention to patients in acute distress.</w:t>
      </w:r>
    </w:p>
    <w:p w14:paraId="03236B92" w14:textId="77777777" w:rsidR="00DF7E8C" w:rsidRPr="006B62D1" w:rsidRDefault="00DF7E8C" w:rsidP="00AF3F4D">
      <w:pPr>
        <w:pStyle w:val="1"/>
        <w:spacing w:line="240" w:lineRule="auto"/>
        <w:rPr>
          <w:rFonts w:ascii="Georgia" w:hAnsi="Georgia"/>
          <w:b/>
        </w:rPr>
      </w:pPr>
      <w:r w:rsidRPr="006B62D1">
        <w:rPr>
          <w:rFonts w:ascii="Georgia" w:hAnsi="Georgia"/>
          <w:b/>
        </w:rPr>
        <w:t>Two Challenges Faced by Community Mental Health Services</w:t>
      </w:r>
    </w:p>
    <w:p w14:paraId="00E27C96" w14:textId="77777777" w:rsidR="00DF7E8C" w:rsidRPr="006B62D1" w:rsidRDefault="00DF7E8C" w:rsidP="00AF3F4D">
      <w:pPr>
        <w:pStyle w:val="2"/>
        <w:spacing w:before="240" w:line="240" w:lineRule="auto"/>
        <w:rPr>
          <w:rFonts w:ascii="Georgia" w:hAnsi="Georgia"/>
          <w:b/>
        </w:rPr>
      </w:pPr>
      <w:r w:rsidRPr="006B62D1">
        <w:rPr>
          <w:rFonts w:ascii="Georgia" w:hAnsi="Georgia"/>
          <w:b/>
        </w:rPr>
        <w:t>Challenge 1:  Inadequate Funding and Resource Shortages</w:t>
      </w:r>
    </w:p>
    <w:p w14:paraId="0BD230FB" w14:textId="77777777" w:rsidR="00BF3E11" w:rsidRPr="006B62D1" w:rsidRDefault="00DF7E8C" w:rsidP="00AF3F4D">
      <w:pPr>
        <w:spacing w:before="240" w:after="0" w:line="240" w:lineRule="auto"/>
        <w:ind w:firstLine="720"/>
        <w:rPr>
          <w:rFonts w:ascii="Georgia" w:hAnsi="Georgia" w:cs="Times New Roman"/>
          <w:sz w:val="24"/>
          <w:szCs w:val="24"/>
        </w:rPr>
      </w:pPr>
      <w:r w:rsidRPr="006B62D1">
        <w:rPr>
          <w:rFonts w:ascii="Georgia" w:hAnsi="Georgia" w:cs="Times New Roman"/>
          <w:sz w:val="24"/>
          <w:szCs w:val="24"/>
        </w:rPr>
        <w:t xml:space="preserve">Although there have been advances in the development of CMHS, one of the challenges has been underfunding and a shortage of resources that influence service delivery. There has been a huge rise in the demand for mental health services, particularly during the COVID-19 pandemic period, but the funding has not kept up (Ahmed et al., 2023). </w:t>
      </w:r>
    </w:p>
    <w:p w14:paraId="19ADD749" w14:textId="77777777" w:rsidR="00BF3E11" w:rsidRPr="006B62D1" w:rsidRDefault="00BF3E11" w:rsidP="00AF3F4D">
      <w:pPr>
        <w:keepNext/>
        <w:spacing w:before="240" w:after="0" w:line="240" w:lineRule="auto"/>
        <w:ind w:firstLine="720"/>
        <w:rPr>
          <w:rFonts w:ascii="Georgia" w:hAnsi="Georgia"/>
        </w:rPr>
      </w:pPr>
      <w:r w:rsidRPr="006B62D1">
        <w:rPr>
          <w:rFonts w:ascii="Georgia" w:hAnsi="Georgia"/>
          <w:noProof/>
        </w:rPr>
        <w:drawing>
          <wp:inline distT="0" distB="0" distL="0" distR="0" wp14:anchorId="487E1E07" wp14:editId="2952CBDC">
            <wp:extent cx="3707319" cy="3942608"/>
            <wp:effectExtent l="0" t="0" r="7620" b="1270"/>
            <wp:docPr id="10" name="Picture 10" descr="Identifying Challenges and Solutions for Improving Access to Mental Health  Services for Rural Youth: Insights from Adult Community Me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dentifying Challenges and Solutions for Improving Access to Mental Health  Services for Rural Youth: Insights from Adult Community Member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24430" cy="3960805"/>
                    </a:xfrm>
                    <a:prstGeom prst="rect">
                      <a:avLst/>
                    </a:prstGeom>
                    <a:noFill/>
                    <a:ln>
                      <a:noFill/>
                    </a:ln>
                  </pic:spPr>
                </pic:pic>
              </a:graphicData>
            </a:graphic>
          </wp:inline>
        </w:drawing>
      </w:r>
    </w:p>
    <w:p w14:paraId="3D28C486" w14:textId="77777777" w:rsidR="00BF3E11" w:rsidRPr="006B62D1" w:rsidRDefault="00BF3E11" w:rsidP="00AF3F4D">
      <w:pPr>
        <w:pStyle w:val="a8"/>
        <w:spacing w:before="240" w:after="0"/>
        <w:rPr>
          <w:rFonts w:ascii="Georgia" w:hAnsi="Georgia"/>
        </w:rPr>
      </w:pPr>
      <w:r w:rsidRPr="006B62D1">
        <w:rPr>
          <w:rFonts w:ascii="Georgia" w:hAnsi="Georgia"/>
        </w:rPr>
        <w:t xml:space="preserve">Figure </w:t>
      </w:r>
      <w:r w:rsidRPr="006B62D1">
        <w:rPr>
          <w:rFonts w:ascii="Georgia" w:hAnsi="Georgia"/>
        </w:rPr>
        <w:fldChar w:fldCharType="begin"/>
      </w:r>
      <w:r w:rsidRPr="006B62D1">
        <w:rPr>
          <w:rFonts w:ascii="Georgia" w:hAnsi="Georgia"/>
        </w:rPr>
        <w:instrText xml:space="preserve"> SEQ Figure \* ARABIC </w:instrText>
      </w:r>
      <w:r w:rsidRPr="006B62D1">
        <w:rPr>
          <w:rFonts w:ascii="Georgia" w:hAnsi="Georgia"/>
        </w:rPr>
        <w:fldChar w:fldCharType="separate"/>
      </w:r>
      <w:r w:rsidR="00401712" w:rsidRPr="006B62D1">
        <w:rPr>
          <w:rFonts w:ascii="Georgia" w:hAnsi="Georgia"/>
          <w:noProof/>
        </w:rPr>
        <w:t>6</w:t>
      </w:r>
      <w:r w:rsidRPr="006B62D1">
        <w:rPr>
          <w:rFonts w:ascii="Georgia" w:hAnsi="Georgia"/>
        </w:rPr>
        <w:fldChar w:fldCharType="end"/>
      </w:r>
      <w:r w:rsidRPr="006B62D1">
        <w:rPr>
          <w:rFonts w:ascii="Georgia" w:hAnsi="Georgia"/>
        </w:rPr>
        <w:t xml:space="preserve">: Effects of Limited Resources on CMHS. Retrieved from: </w:t>
      </w:r>
      <w:hyperlink r:id="rId20" w:history="1">
        <w:r w:rsidRPr="006B62D1">
          <w:rPr>
            <w:rStyle w:val="a7"/>
            <w:rFonts w:ascii="Georgia" w:hAnsi="Georgia"/>
          </w:rPr>
          <w:t>https://www.mdpi.com/1660-4601/21/6/725</w:t>
        </w:r>
      </w:hyperlink>
    </w:p>
    <w:p w14:paraId="60080CC5" w14:textId="77777777" w:rsidR="00DF7E8C" w:rsidRPr="006B62D1" w:rsidRDefault="00DF7E8C" w:rsidP="00AF3F4D">
      <w:pPr>
        <w:spacing w:before="240" w:after="0" w:line="240" w:lineRule="auto"/>
        <w:ind w:firstLine="720"/>
        <w:rPr>
          <w:rFonts w:ascii="Georgia" w:hAnsi="Georgia" w:cs="Times New Roman"/>
          <w:sz w:val="24"/>
          <w:szCs w:val="24"/>
        </w:rPr>
      </w:pPr>
      <w:r w:rsidRPr="006B62D1">
        <w:rPr>
          <w:rFonts w:ascii="Georgia" w:hAnsi="Georgia" w:cs="Times New Roman"/>
          <w:sz w:val="24"/>
          <w:szCs w:val="24"/>
        </w:rPr>
        <w:t>The community typically results in mental health services being cut, limiting them to staff hiring, the required training, or the adoption of modern treatments (Bouras et al., 2018). Due to that, patients can face delays in receiving treatment, limited access to services, and a greater risk of mental health emergencies (NHS England, 2024).</w:t>
      </w:r>
    </w:p>
    <w:p w14:paraId="2FDEC78C" w14:textId="77777777" w:rsidR="00DF7E8C" w:rsidRPr="006B62D1" w:rsidRDefault="00DF7E8C" w:rsidP="00AF3F4D">
      <w:pPr>
        <w:pStyle w:val="2"/>
        <w:spacing w:before="240" w:line="240" w:lineRule="auto"/>
        <w:rPr>
          <w:rFonts w:ascii="Georgia" w:hAnsi="Georgia"/>
          <w:b/>
        </w:rPr>
      </w:pPr>
      <w:r w:rsidRPr="006B62D1">
        <w:rPr>
          <w:rFonts w:ascii="Georgia" w:hAnsi="Georgia"/>
          <w:b/>
        </w:rPr>
        <w:t>Challenge 2:  The Impact of the COVID-19 Pandemic on Service Delivery</w:t>
      </w:r>
    </w:p>
    <w:p w14:paraId="109A0181" w14:textId="77777777" w:rsidR="00BF3E11" w:rsidRPr="006B62D1" w:rsidRDefault="00DF7E8C" w:rsidP="00AF3F4D">
      <w:pPr>
        <w:spacing w:before="240" w:after="0" w:line="240" w:lineRule="auto"/>
        <w:ind w:firstLine="720"/>
        <w:rPr>
          <w:rFonts w:ascii="Georgia" w:hAnsi="Georgia" w:cs="Times New Roman"/>
          <w:sz w:val="24"/>
          <w:szCs w:val="24"/>
        </w:rPr>
      </w:pPr>
      <w:r w:rsidRPr="006B62D1">
        <w:rPr>
          <w:rFonts w:ascii="Georgia" w:hAnsi="Georgia" w:cs="Times New Roman"/>
          <w:sz w:val="24"/>
          <w:szCs w:val="24"/>
        </w:rPr>
        <w:t>COVID-19  affected mental health services in the entire world, including community-based services. As the need for mental health care increased considerably, a lot of the services underwent minimisation or transitioned into the remote mode, including teletherapy. Despite the digital platforms being beneficial, they have formed obstacles to some groups of people, including those who lack access to the internet or lack technology proficiency (</w:t>
      </w:r>
      <w:proofErr w:type="spellStart"/>
      <w:r w:rsidRPr="006B62D1">
        <w:rPr>
          <w:rFonts w:ascii="Georgia" w:hAnsi="Georgia" w:cs="Times New Roman"/>
          <w:sz w:val="24"/>
          <w:szCs w:val="24"/>
        </w:rPr>
        <w:t>Bemme</w:t>
      </w:r>
      <w:proofErr w:type="spellEnd"/>
      <w:r w:rsidRPr="006B62D1">
        <w:rPr>
          <w:rFonts w:ascii="Georgia" w:hAnsi="Georgia" w:cs="Times New Roman"/>
          <w:sz w:val="24"/>
          <w:szCs w:val="24"/>
        </w:rPr>
        <w:t xml:space="preserve"> et al., 2021).</w:t>
      </w:r>
    </w:p>
    <w:p w14:paraId="7F387BD0" w14:textId="77777777" w:rsidR="00401712" w:rsidRPr="006B62D1" w:rsidRDefault="00BF3E11" w:rsidP="00AF3F4D">
      <w:pPr>
        <w:keepNext/>
        <w:spacing w:before="240" w:after="0" w:line="240" w:lineRule="auto"/>
        <w:ind w:firstLine="720"/>
        <w:rPr>
          <w:rFonts w:ascii="Georgia" w:hAnsi="Georgia"/>
        </w:rPr>
      </w:pPr>
      <w:r w:rsidRPr="006B62D1">
        <w:rPr>
          <w:rFonts w:ascii="Georgia" w:hAnsi="Georgia"/>
          <w:noProof/>
        </w:rPr>
        <w:drawing>
          <wp:inline distT="0" distB="0" distL="0" distR="0" wp14:anchorId="68637E2D" wp14:editId="4BEC7A96">
            <wp:extent cx="3707130" cy="2916965"/>
            <wp:effectExtent l="0" t="0" r="7620" b="0"/>
            <wp:docPr id="9" name="Picture 9" descr="COVID-19 exposed the digital divide. Here's how we can close it | World  Economic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VID-19 exposed the digital divide. Here's how we can close it | World  Economic Forum"/>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3714779" cy="2922984"/>
                    </a:xfrm>
                    <a:prstGeom prst="rect">
                      <a:avLst/>
                    </a:prstGeom>
                    <a:noFill/>
                    <a:ln>
                      <a:noFill/>
                    </a:ln>
                    <a:extLst>
                      <a:ext uri="{53640926-AAD7-44D8-BBD7-CCE9431645EC}">
                        <a14:shadowObscured xmlns:a14="http://schemas.microsoft.com/office/drawing/2010/main"/>
                      </a:ext>
                    </a:extLst>
                  </pic:spPr>
                </pic:pic>
              </a:graphicData>
            </a:graphic>
          </wp:inline>
        </w:drawing>
      </w:r>
    </w:p>
    <w:p w14:paraId="34F2E57B" w14:textId="77777777" w:rsidR="00BF3E11" w:rsidRPr="006B62D1" w:rsidRDefault="00401712" w:rsidP="00AF3F4D">
      <w:pPr>
        <w:pStyle w:val="a8"/>
        <w:spacing w:before="240" w:after="0"/>
        <w:rPr>
          <w:rFonts w:ascii="Georgia" w:hAnsi="Georgia"/>
        </w:rPr>
      </w:pPr>
      <w:r w:rsidRPr="006B62D1">
        <w:rPr>
          <w:rFonts w:ascii="Georgia" w:hAnsi="Georgia"/>
        </w:rPr>
        <w:t xml:space="preserve">Figure </w:t>
      </w:r>
      <w:r w:rsidRPr="006B62D1">
        <w:rPr>
          <w:rFonts w:ascii="Georgia" w:hAnsi="Georgia"/>
        </w:rPr>
        <w:fldChar w:fldCharType="begin"/>
      </w:r>
      <w:r w:rsidRPr="006B62D1">
        <w:rPr>
          <w:rFonts w:ascii="Georgia" w:hAnsi="Georgia"/>
        </w:rPr>
        <w:instrText xml:space="preserve"> SEQ Figure \* ARABIC </w:instrText>
      </w:r>
      <w:r w:rsidRPr="006B62D1">
        <w:rPr>
          <w:rFonts w:ascii="Georgia" w:hAnsi="Georgia"/>
        </w:rPr>
        <w:fldChar w:fldCharType="separate"/>
      </w:r>
      <w:r w:rsidRPr="006B62D1">
        <w:rPr>
          <w:rFonts w:ascii="Georgia" w:hAnsi="Georgia"/>
          <w:noProof/>
        </w:rPr>
        <w:t>7</w:t>
      </w:r>
      <w:r w:rsidRPr="006B62D1">
        <w:rPr>
          <w:rFonts w:ascii="Georgia" w:hAnsi="Georgia"/>
        </w:rPr>
        <w:fldChar w:fldCharType="end"/>
      </w:r>
      <w:r w:rsidRPr="006B62D1">
        <w:rPr>
          <w:rFonts w:ascii="Georgia" w:hAnsi="Georgia"/>
        </w:rPr>
        <w:t xml:space="preserve">: The digital divide exposed by COVID-19. Retrieved from: </w:t>
      </w:r>
      <w:hyperlink r:id="rId22" w:history="1">
        <w:r w:rsidRPr="006B62D1">
          <w:rPr>
            <w:rStyle w:val="a7"/>
            <w:rFonts w:ascii="Georgia" w:hAnsi="Georgia"/>
          </w:rPr>
          <w:t>https://www.weforum.org/stories/2021/01/covid-digital-divide-learning-education/</w:t>
        </w:r>
      </w:hyperlink>
    </w:p>
    <w:p w14:paraId="655A7087" w14:textId="77777777" w:rsidR="00DF7E8C" w:rsidRPr="006B62D1" w:rsidRDefault="00DF7E8C" w:rsidP="00AF3F4D">
      <w:pPr>
        <w:spacing w:before="240" w:after="0" w:line="240" w:lineRule="auto"/>
        <w:ind w:firstLine="720"/>
        <w:rPr>
          <w:rFonts w:ascii="Georgia" w:hAnsi="Georgia" w:cs="Times New Roman"/>
          <w:sz w:val="24"/>
          <w:szCs w:val="24"/>
        </w:rPr>
      </w:pPr>
      <w:r w:rsidRPr="006B62D1">
        <w:rPr>
          <w:rFonts w:ascii="Georgia" w:hAnsi="Georgia" w:cs="Times New Roman"/>
          <w:sz w:val="24"/>
          <w:szCs w:val="24"/>
        </w:rPr>
        <w:t xml:space="preserve"> Additionally, the pandemic aggravated mental health problems, which increased anxiety, depression, and post-traumatic stress disorder (PTSD) within communities (Ahmed et al., 2023). The long-term social consequences of the pandemic are the issue of restoring mental health services in the community, overwhelmed or paralysed in the midst of the crisis (</w:t>
      </w:r>
      <w:proofErr w:type="spellStart"/>
      <w:r w:rsidRPr="006B62D1">
        <w:rPr>
          <w:rFonts w:ascii="Georgia" w:hAnsi="Georgia" w:cs="Times New Roman"/>
          <w:sz w:val="24"/>
          <w:szCs w:val="24"/>
        </w:rPr>
        <w:t>Bemme</w:t>
      </w:r>
      <w:proofErr w:type="spellEnd"/>
      <w:r w:rsidRPr="006B62D1">
        <w:rPr>
          <w:rFonts w:ascii="Georgia" w:hAnsi="Georgia" w:cs="Times New Roman"/>
          <w:sz w:val="24"/>
          <w:szCs w:val="24"/>
        </w:rPr>
        <w:t xml:space="preserve"> et al., 2021). For example, whereas outreach services and face-to-face support have been of primary importance to the community mental health approach, they were limited considerably in times of lockdowns, which also affected access to vulnerable people (Vigo, 2017).</w:t>
      </w:r>
    </w:p>
    <w:p w14:paraId="599BEADF" w14:textId="77777777" w:rsidR="00DF7E8C" w:rsidRPr="006B62D1" w:rsidRDefault="00DF7E8C" w:rsidP="00AF3F4D">
      <w:pPr>
        <w:pStyle w:val="1"/>
        <w:spacing w:line="240" w:lineRule="auto"/>
        <w:rPr>
          <w:rFonts w:ascii="Georgia" w:hAnsi="Georgia"/>
          <w:b/>
        </w:rPr>
      </w:pPr>
      <w:r w:rsidRPr="006B62D1">
        <w:rPr>
          <w:rFonts w:ascii="Georgia" w:hAnsi="Georgia"/>
          <w:b/>
        </w:rPr>
        <w:t>Conclusion</w:t>
      </w:r>
    </w:p>
    <w:p w14:paraId="4D8E4234" w14:textId="77777777" w:rsidR="00DF7E8C" w:rsidRDefault="00DF7E8C" w:rsidP="00AF3F4D">
      <w:pPr>
        <w:spacing w:before="240" w:after="0" w:line="240" w:lineRule="auto"/>
        <w:ind w:firstLine="720"/>
        <w:rPr>
          <w:rFonts w:ascii="Georgia" w:hAnsi="Georgia" w:cs="Times New Roman"/>
          <w:sz w:val="24"/>
          <w:szCs w:val="24"/>
        </w:rPr>
      </w:pPr>
      <w:r w:rsidRPr="006B62D1">
        <w:rPr>
          <w:rFonts w:ascii="Georgia" w:hAnsi="Georgia" w:cs="Times New Roman"/>
          <w:sz w:val="24"/>
          <w:szCs w:val="24"/>
        </w:rPr>
        <w:t>CMMHS is crucial to serving as an integrated, accessible care provider to people with mental illnesses. Community care is a significant step in the treatment of mental health and provides an opportunity to approach the treatment of a person as an individual, with care. However, the issues of inadequate funding and the effects of the COVID-19 pandemic still influence the effectiveness of such services. To make CMHS successful in the future, it is paramount that the governments and healthcare providers address these problems and ensure that funding and resources coincide with demand.</w:t>
      </w:r>
    </w:p>
    <w:p w14:paraId="658EB2E2" w14:textId="77777777" w:rsidR="00CC5ECB" w:rsidRPr="006B62D1" w:rsidRDefault="00CC5ECB" w:rsidP="00AF3F4D">
      <w:pPr>
        <w:pStyle w:val="1"/>
        <w:spacing w:line="240" w:lineRule="auto"/>
        <w:rPr>
          <w:rFonts w:ascii="Georgia" w:hAnsi="Georgia"/>
          <w:b/>
        </w:rPr>
      </w:pPr>
      <w:r w:rsidRPr="006B62D1">
        <w:rPr>
          <w:rFonts w:ascii="Georgia" w:hAnsi="Georgia"/>
          <w:b/>
        </w:rPr>
        <w:t>References</w:t>
      </w:r>
    </w:p>
    <w:p w14:paraId="2E717AD1" w14:textId="77777777" w:rsidR="00CC5ECB" w:rsidRPr="006B62D1" w:rsidRDefault="00CC5ECB" w:rsidP="00AF3F4D">
      <w:pPr>
        <w:pStyle w:val="aa"/>
        <w:numPr>
          <w:ilvl w:val="0"/>
          <w:numId w:val="7"/>
        </w:numPr>
        <w:spacing w:before="240" w:after="0" w:line="240" w:lineRule="auto"/>
        <w:rPr>
          <w:rFonts w:ascii="Georgia" w:hAnsi="Georgia" w:cs="Times New Roman"/>
          <w:color w:val="222222"/>
          <w:sz w:val="24"/>
          <w:szCs w:val="24"/>
          <w:shd w:val="clear" w:color="auto" w:fill="FFFFFF"/>
        </w:rPr>
      </w:pPr>
      <w:r w:rsidRPr="006B62D1">
        <w:rPr>
          <w:rFonts w:ascii="Georgia" w:hAnsi="Georgia" w:cs="Times New Roman"/>
          <w:color w:val="222222"/>
          <w:sz w:val="24"/>
          <w:szCs w:val="24"/>
          <w:shd w:val="clear" w:color="auto" w:fill="FFFFFF"/>
        </w:rPr>
        <w:t xml:space="preserve">Ahmed, N., Barnett, P., Greenburgh, A., </w:t>
      </w:r>
      <w:proofErr w:type="spellStart"/>
      <w:r w:rsidRPr="006B62D1">
        <w:rPr>
          <w:rFonts w:ascii="Georgia" w:hAnsi="Georgia" w:cs="Times New Roman"/>
          <w:color w:val="222222"/>
          <w:sz w:val="24"/>
          <w:szCs w:val="24"/>
          <w:shd w:val="clear" w:color="auto" w:fill="FFFFFF"/>
        </w:rPr>
        <w:t>Pemovska</w:t>
      </w:r>
      <w:proofErr w:type="spellEnd"/>
      <w:r w:rsidRPr="006B62D1">
        <w:rPr>
          <w:rFonts w:ascii="Georgia" w:hAnsi="Georgia" w:cs="Times New Roman"/>
          <w:color w:val="222222"/>
          <w:sz w:val="24"/>
          <w:szCs w:val="24"/>
          <w:shd w:val="clear" w:color="auto" w:fill="FFFFFF"/>
        </w:rPr>
        <w:t xml:space="preserve">, T., Stefanidou, T., Lyons, N., </w:t>
      </w:r>
      <w:proofErr w:type="spellStart"/>
      <w:r w:rsidRPr="006B62D1">
        <w:rPr>
          <w:rFonts w:ascii="Georgia" w:hAnsi="Georgia" w:cs="Times New Roman"/>
          <w:color w:val="222222"/>
          <w:sz w:val="24"/>
          <w:szCs w:val="24"/>
          <w:shd w:val="clear" w:color="auto" w:fill="FFFFFF"/>
        </w:rPr>
        <w:t>Ikhtabi</w:t>
      </w:r>
      <w:proofErr w:type="spellEnd"/>
      <w:r w:rsidRPr="006B62D1">
        <w:rPr>
          <w:rFonts w:ascii="Georgia" w:hAnsi="Georgia" w:cs="Times New Roman"/>
          <w:color w:val="222222"/>
          <w:sz w:val="24"/>
          <w:szCs w:val="24"/>
          <w:shd w:val="clear" w:color="auto" w:fill="FFFFFF"/>
        </w:rPr>
        <w:t>, S., Talwar, S., Francis, E.R., Harris, S.M., and Shah, P. (2023). Mental health in Europe during the COVID-19 pandemic: a systematic review. </w:t>
      </w:r>
      <w:r w:rsidRPr="006B62D1">
        <w:rPr>
          <w:rFonts w:ascii="Georgia" w:hAnsi="Georgia" w:cs="Times New Roman"/>
          <w:i/>
          <w:iCs/>
          <w:color w:val="222222"/>
          <w:sz w:val="24"/>
          <w:szCs w:val="24"/>
          <w:shd w:val="clear" w:color="auto" w:fill="FFFFFF"/>
        </w:rPr>
        <w:t>The Lancet Psychiatry</w:t>
      </w:r>
      <w:r w:rsidRPr="006B62D1">
        <w:rPr>
          <w:rFonts w:ascii="Georgia" w:hAnsi="Georgia" w:cs="Times New Roman"/>
          <w:color w:val="222222"/>
          <w:sz w:val="24"/>
          <w:szCs w:val="24"/>
          <w:shd w:val="clear" w:color="auto" w:fill="FFFFFF"/>
        </w:rPr>
        <w:t>, </w:t>
      </w:r>
      <w:r w:rsidRPr="006B62D1">
        <w:rPr>
          <w:rFonts w:ascii="Georgia" w:hAnsi="Georgia" w:cs="Times New Roman"/>
          <w:i/>
          <w:iCs/>
          <w:color w:val="222222"/>
          <w:sz w:val="24"/>
          <w:szCs w:val="24"/>
          <w:shd w:val="clear" w:color="auto" w:fill="FFFFFF"/>
        </w:rPr>
        <w:t>10</w:t>
      </w:r>
      <w:r w:rsidRPr="006B62D1">
        <w:rPr>
          <w:rFonts w:ascii="Georgia" w:hAnsi="Georgia" w:cs="Times New Roman"/>
          <w:color w:val="222222"/>
          <w:sz w:val="24"/>
          <w:szCs w:val="24"/>
          <w:shd w:val="clear" w:color="auto" w:fill="FFFFFF"/>
        </w:rPr>
        <w:t>(7), pp.537-556.</w:t>
      </w:r>
    </w:p>
    <w:p w14:paraId="52818149" w14:textId="77777777" w:rsidR="00CC5ECB" w:rsidRPr="006B62D1" w:rsidRDefault="00CC5ECB" w:rsidP="00AF3F4D">
      <w:pPr>
        <w:pStyle w:val="aa"/>
        <w:numPr>
          <w:ilvl w:val="0"/>
          <w:numId w:val="7"/>
        </w:numPr>
        <w:spacing w:before="240" w:after="0" w:line="240" w:lineRule="auto"/>
        <w:rPr>
          <w:rFonts w:ascii="Georgia" w:hAnsi="Georgia" w:cs="Times New Roman"/>
          <w:color w:val="222222"/>
          <w:sz w:val="24"/>
          <w:szCs w:val="24"/>
          <w:shd w:val="clear" w:color="auto" w:fill="FFFFFF"/>
        </w:rPr>
      </w:pPr>
      <w:proofErr w:type="spellStart"/>
      <w:r w:rsidRPr="006B62D1">
        <w:rPr>
          <w:rFonts w:ascii="Georgia" w:hAnsi="Georgia" w:cs="Times New Roman"/>
          <w:color w:val="222222"/>
          <w:sz w:val="24"/>
          <w:szCs w:val="24"/>
          <w:shd w:val="clear" w:color="auto" w:fill="FFFFFF"/>
        </w:rPr>
        <w:t>Bemme</w:t>
      </w:r>
      <w:proofErr w:type="spellEnd"/>
      <w:r w:rsidRPr="006B62D1">
        <w:rPr>
          <w:rFonts w:ascii="Georgia" w:hAnsi="Georgia" w:cs="Times New Roman"/>
          <w:color w:val="222222"/>
          <w:sz w:val="24"/>
          <w:szCs w:val="24"/>
          <w:shd w:val="clear" w:color="auto" w:fill="FFFFFF"/>
        </w:rPr>
        <w:t>, D., Gayer-Anderson, C., Irvine, A., Strang, L. and Rose, N. (2021). Long-term societal implications of COVID-19: mental health.</w:t>
      </w:r>
    </w:p>
    <w:p w14:paraId="4D49B3CC" w14:textId="77777777" w:rsidR="00CC5ECB" w:rsidRPr="006B62D1" w:rsidRDefault="00CC5ECB" w:rsidP="00AF3F4D">
      <w:pPr>
        <w:pStyle w:val="aa"/>
        <w:numPr>
          <w:ilvl w:val="0"/>
          <w:numId w:val="7"/>
        </w:numPr>
        <w:spacing w:before="240" w:after="0" w:line="240" w:lineRule="auto"/>
        <w:rPr>
          <w:rFonts w:ascii="Georgia" w:hAnsi="Georgia" w:cs="Times New Roman"/>
          <w:color w:val="222222"/>
          <w:sz w:val="24"/>
          <w:szCs w:val="24"/>
          <w:shd w:val="clear" w:color="auto" w:fill="FFFFFF"/>
        </w:rPr>
      </w:pPr>
      <w:r w:rsidRPr="006B62D1">
        <w:rPr>
          <w:rFonts w:ascii="Georgia" w:hAnsi="Georgia" w:cs="Times New Roman"/>
          <w:color w:val="222222"/>
          <w:sz w:val="24"/>
          <w:szCs w:val="24"/>
          <w:shd w:val="clear" w:color="auto" w:fill="FFFFFF"/>
        </w:rPr>
        <w:t xml:space="preserve">Bouras, N., </w:t>
      </w:r>
      <w:proofErr w:type="spellStart"/>
      <w:r w:rsidRPr="006B62D1">
        <w:rPr>
          <w:rFonts w:ascii="Georgia" w:hAnsi="Georgia" w:cs="Times New Roman"/>
          <w:color w:val="222222"/>
          <w:sz w:val="24"/>
          <w:szCs w:val="24"/>
          <w:shd w:val="clear" w:color="auto" w:fill="FFFFFF"/>
        </w:rPr>
        <w:t>Ikkos</w:t>
      </w:r>
      <w:proofErr w:type="spellEnd"/>
      <w:r w:rsidRPr="006B62D1">
        <w:rPr>
          <w:rFonts w:ascii="Georgia" w:hAnsi="Georgia" w:cs="Times New Roman"/>
          <w:color w:val="222222"/>
          <w:sz w:val="24"/>
          <w:szCs w:val="24"/>
          <w:shd w:val="clear" w:color="auto" w:fill="FFFFFF"/>
        </w:rPr>
        <w:t>, G. and Craig, T. (2018). From community to meta-community mental health care. </w:t>
      </w:r>
      <w:r w:rsidRPr="006B62D1">
        <w:rPr>
          <w:rFonts w:ascii="Georgia" w:hAnsi="Georgia" w:cs="Times New Roman"/>
          <w:i/>
          <w:iCs/>
          <w:color w:val="222222"/>
          <w:sz w:val="24"/>
          <w:szCs w:val="24"/>
          <w:shd w:val="clear" w:color="auto" w:fill="FFFFFF"/>
        </w:rPr>
        <w:t>International journal of environmental research and public health</w:t>
      </w:r>
      <w:r w:rsidRPr="006B62D1">
        <w:rPr>
          <w:rFonts w:ascii="Georgia" w:hAnsi="Georgia" w:cs="Times New Roman"/>
          <w:color w:val="222222"/>
          <w:sz w:val="24"/>
          <w:szCs w:val="24"/>
          <w:shd w:val="clear" w:color="auto" w:fill="FFFFFF"/>
        </w:rPr>
        <w:t>, </w:t>
      </w:r>
      <w:r w:rsidRPr="006B62D1">
        <w:rPr>
          <w:rFonts w:ascii="Georgia" w:hAnsi="Georgia" w:cs="Times New Roman"/>
          <w:i/>
          <w:iCs/>
          <w:color w:val="222222"/>
          <w:sz w:val="24"/>
          <w:szCs w:val="24"/>
          <w:shd w:val="clear" w:color="auto" w:fill="FFFFFF"/>
        </w:rPr>
        <w:t>15</w:t>
      </w:r>
      <w:r w:rsidRPr="006B62D1">
        <w:rPr>
          <w:rFonts w:ascii="Georgia" w:hAnsi="Georgia" w:cs="Times New Roman"/>
          <w:color w:val="222222"/>
          <w:sz w:val="24"/>
          <w:szCs w:val="24"/>
          <w:shd w:val="clear" w:color="auto" w:fill="FFFFFF"/>
        </w:rPr>
        <w:t>(4), p.806.</w:t>
      </w:r>
    </w:p>
    <w:p w14:paraId="1F8370A1" w14:textId="77777777" w:rsidR="00CC5ECB" w:rsidRPr="006B62D1" w:rsidRDefault="00CC5ECB" w:rsidP="00AF3F4D">
      <w:pPr>
        <w:pStyle w:val="aa"/>
        <w:numPr>
          <w:ilvl w:val="0"/>
          <w:numId w:val="7"/>
        </w:numPr>
        <w:spacing w:before="240" w:after="0" w:line="240" w:lineRule="auto"/>
        <w:rPr>
          <w:rFonts w:ascii="Georgia" w:hAnsi="Georgia" w:cs="Times New Roman"/>
          <w:sz w:val="24"/>
          <w:szCs w:val="24"/>
        </w:rPr>
      </w:pPr>
      <w:r w:rsidRPr="006B62D1">
        <w:rPr>
          <w:rFonts w:ascii="Georgia" w:hAnsi="Georgia" w:cs="Times New Roman"/>
          <w:sz w:val="24"/>
          <w:szCs w:val="24"/>
        </w:rPr>
        <w:t xml:space="preserve">NHS England (2024). Community mental health services. </w:t>
      </w:r>
      <w:hyperlink r:id="rId23" w:history="1">
        <w:r w:rsidRPr="006B62D1">
          <w:rPr>
            <w:rStyle w:val="a7"/>
            <w:rFonts w:ascii="Georgia" w:hAnsi="Georgia" w:cs="Times New Roman"/>
            <w:sz w:val="24"/>
            <w:szCs w:val="24"/>
          </w:rPr>
          <w:t>https://www.england.nhs.uk/mental-health/adults/cmhs/</w:t>
        </w:r>
      </w:hyperlink>
      <w:r w:rsidRPr="006B62D1">
        <w:rPr>
          <w:rFonts w:ascii="Georgia" w:hAnsi="Georgia" w:cs="Times New Roman"/>
          <w:sz w:val="24"/>
          <w:szCs w:val="24"/>
        </w:rPr>
        <w:t xml:space="preserve"> </w:t>
      </w:r>
    </w:p>
    <w:p w14:paraId="108489F6" w14:textId="77777777" w:rsidR="00CC5ECB" w:rsidRPr="006B62D1" w:rsidRDefault="00CC5ECB" w:rsidP="00AF3F4D">
      <w:pPr>
        <w:pStyle w:val="aa"/>
        <w:numPr>
          <w:ilvl w:val="0"/>
          <w:numId w:val="7"/>
        </w:numPr>
        <w:spacing w:before="240" w:after="0" w:line="240" w:lineRule="auto"/>
        <w:rPr>
          <w:rFonts w:ascii="Georgia" w:hAnsi="Georgia" w:cs="Times New Roman"/>
          <w:color w:val="222222"/>
          <w:sz w:val="24"/>
          <w:szCs w:val="24"/>
          <w:shd w:val="clear" w:color="auto" w:fill="FFFFFF"/>
        </w:rPr>
      </w:pPr>
      <w:r w:rsidRPr="006B62D1">
        <w:rPr>
          <w:rFonts w:ascii="Georgia" w:hAnsi="Georgia" w:cs="Times New Roman"/>
          <w:color w:val="222222"/>
          <w:sz w:val="24"/>
          <w:szCs w:val="24"/>
          <w:shd w:val="clear" w:color="auto" w:fill="FFFFFF"/>
        </w:rPr>
        <w:t>Turner, J., Hayward, R., Angel, K., Fulford, B., Hall, J., Millard, C., and Thomson, M. (2015). The history of mental health services in modern England: practitioner memories and the direction of future research. </w:t>
      </w:r>
      <w:r w:rsidRPr="006B62D1">
        <w:rPr>
          <w:rFonts w:ascii="Georgia" w:hAnsi="Georgia" w:cs="Times New Roman"/>
          <w:i/>
          <w:iCs/>
          <w:color w:val="222222"/>
          <w:sz w:val="24"/>
          <w:szCs w:val="24"/>
          <w:shd w:val="clear" w:color="auto" w:fill="FFFFFF"/>
        </w:rPr>
        <w:t>Medical history</w:t>
      </w:r>
      <w:r w:rsidRPr="006B62D1">
        <w:rPr>
          <w:rFonts w:ascii="Georgia" w:hAnsi="Georgia" w:cs="Times New Roman"/>
          <w:color w:val="222222"/>
          <w:sz w:val="24"/>
          <w:szCs w:val="24"/>
          <w:shd w:val="clear" w:color="auto" w:fill="FFFFFF"/>
        </w:rPr>
        <w:t>, </w:t>
      </w:r>
      <w:r w:rsidRPr="006B62D1">
        <w:rPr>
          <w:rFonts w:ascii="Georgia" w:hAnsi="Georgia" w:cs="Times New Roman"/>
          <w:i/>
          <w:iCs/>
          <w:color w:val="222222"/>
          <w:sz w:val="24"/>
          <w:szCs w:val="24"/>
          <w:shd w:val="clear" w:color="auto" w:fill="FFFFFF"/>
        </w:rPr>
        <w:t>59</w:t>
      </w:r>
      <w:r w:rsidRPr="006B62D1">
        <w:rPr>
          <w:rFonts w:ascii="Georgia" w:hAnsi="Georgia" w:cs="Times New Roman"/>
          <w:color w:val="222222"/>
          <w:sz w:val="24"/>
          <w:szCs w:val="24"/>
          <w:shd w:val="clear" w:color="auto" w:fill="FFFFFF"/>
        </w:rPr>
        <w:t>(4), pp.599-624.</w:t>
      </w:r>
    </w:p>
    <w:p w14:paraId="47AD620E" w14:textId="77777777" w:rsidR="00CC5ECB" w:rsidRPr="006B62D1" w:rsidRDefault="00CC5ECB" w:rsidP="00AF3F4D">
      <w:pPr>
        <w:pStyle w:val="aa"/>
        <w:numPr>
          <w:ilvl w:val="0"/>
          <w:numId w:val="7"/>
        </w:numPr>
        <w:spacing w:before="240" w:after="0" w:line="240" w:lineRule="auto"/>
        <w:rPr>
          <w:rFonts w:ascii="Georgia" w:hAnsi="Georgia" w:cs="Times New Roman"/>
          <w:sz w:val="24"/>
          <w:szCs w:val="24"/>
        </w:rPr>
      </w:pPr>
      <w:r w:rsidRPr="006B62D1">
        <w:rPr>
          <w:rFonts w:ascii="Georgia" w:hAnsi="Georgia" w:cs="Times New Roman"/>
          <w:color w:val="222222"/>
          <w:sz w:val="24"/>
          <w:szCs w:val="24"/>
          <w:shd w:val="clear" w:color="auto" w:fill="FFFFFF"/>
        </w:rPr>
        <w:t>Vigo, D.V. (2017). On burden: a study of the population-level health-effects of mental illness.</w:t>
      </w:r>
    </w:p>
    <w:p w14:paraId="61979C0F" w14:textId="77777777" w:rsidR="00AF3F4D" w:rsidRDefault="00AF3F4D" w:rsidP="00CC5ECB">
      <w:pPr>
        <w:rPr>
          <w:rFonts w:ascii="Times New Roman" w:hAnsi="Times New Roman" w:cs="Times New Roman"/>
          <w:b/>
          <w:sz w:val="24"/>
          <w:szCs w:val="24"/>
        </w:rPr>
        <w:sectPr w:rsidR="00AF3F4D" w:rsidSect="00AF3F4D">
          <w:type w:val="continuous"/>
          <w:pgSz w:w="31680" w:h="31680" w:code="8"/>
          <w:pgMar w:top="720" w:right="720" w:bottom="720" w:left="720" w:header="720" w:footer="720" w:gutter="0"/>
          <w:pgBorders w:offsetFrom="page">
            <w:top w:val="single" w:sz="12" w:space="24" w:color="auto"/>
            <w:left w:val="single" w:sz="12" w:space="24" w:color="auto"/>
            <w:bottom w:val="single" w:sz="12" w:space="24" w:color="auto"/>
            <w:right w:val="single" w:sz="12" w:space="24" w:color="auto"/>
          </w:pgBorders>
          <w:cols w:num="3" w:sep="1" w:space="720"/>
          <w:docGrid w:linePitch="360"/>
        </w:sectPr>
      </w:pPr>
    </w:p>
    <w:p w14:paraId="104AD7A6" w14:textId="77777777" w:rsidR="00714D40" w:rsidRPr="005425BD" w:rsidRDefault="00714D40" w:rsidP="005425BD">
      <w:pPr>
        <w:pStyle w:val="1"/>
        <w:jc w:val="center"/>
        <w:rPr>
          <w:rFonts w:ascii="Times New Roman" w:hAnsi="Times New Roman" w:cs="Times New Roman"/>
          <w:b/>
          <w:color w:val="000000" w:themeColor="text1"/>
        </w:rPr>
      </w:pPr>
      <w:r w:rsidRPr="005425BD">
        <w:rPr>
          <w:rFonts w:ascii="Times New Roman" w:hAnsi="Times New Roman" w:cs="Times New Roman"/>
          <w:b/>
          <w:color w:val="000000" w:themeColor="text1"/>
        </w:rPr>
        <w:lastRenderedPageBreak/>
        <w:t>History</w:t>
      </w:r>
      <w:r w:rsidR="005425BD" w:rsidRPr="005425BD">
        <w:rPr>
          <w:rFonts w:ascii="Times New Roman" w:hAnsi="Times New Roman" w:cs="Times New Roman"/>
          <w:b/>
          <w:color w:val="000000" w:themeColor="text1"/>
        </w:rPr>
        <w:t xml:space="preserve">, Present Operation, And Importance Of </w:t>
      </w:r>
      <w:r w:rsidRPr="005425BD">
        <w:rPr>
          <w:rFonts w:ascii="Times New Roman" w:hAnsi="Times New Roman" w:cs="Times New Roman"/>
          <w:b/>
          <w:color w:val="000000" w:themeColor="text1"/>
        </w:rPr>
        <w:t>Ambulance Services</w:t>
      </w:r>
    </w:p>
    <w:p w14:paraId="223FB9DF" w14:textId="77777777" w:rsidR="00714D40" w:rsidRPr="00755786" w:rsidRDefault="00714D40" w:rsidP="00714D40">
      <w:pPr>
        <w:spacing w:after="0" w:line="360" w:lineRule="auto"/>
        <w:ind w:firstLine="720"/>
        <w:rPr>
          <w:rFonts w:ascii="Times New Roman" w:hAnsi="Times New Roman" w:cs="Times New Roman"/>
          <w:sz w:val="24"/>
          <w:szCs w:val="24"/>
        </w:rPr>
      </w:pPr>
      <w:r w:rsidRPr="00755786">
        <w:rPr>
          <w:rFonts w:ascii="Times New Roman" w:hAnsi="Times New Roman" w:cs="Times New Roman"/>
          <w:sz w:val="24"/>
          <w:szCs w:val="24"/>
        </w:rPr>
        <w:t>The ambulance service is a very important component of emergency medical care as it enables fast response to medical emergencies and enhances patient outcomes. These services were originally designed to facilitate transportation, but nowadays they have been integrated into complex systems that provide pre-hospital services. This essay delves into the history of ambulance services, their operation in the modern world, and their role in improving the living standards of the users of the services.</w:t>
      </w:r>
    </w:p>
    <w:p w14:paraId="01CA6D31" w14:textId="77777777" w:rsidR="00714D40" w:rsidRPr="00755786" w:rsidRDefault="00714D40" w:rsidP="00714D40">
      <w:pPr>
        <w:spacing w:after="0" w:line="360" w:lineRule="auto"/>
        <w:ind w:firstLine="720"/>
        <w:rPr>
          <w:rFonts w:ascii="Times New Roman" w:hAnsi="Times New Roman" w:cs="Times New Roman"/>
          <w:sz w:val="24"/>
          <w:szCs w:val="24"/>
        </w:rPr>
      </w:pPr>
      <w:r w:rsidRPr="00755786">
        <w:rPr>
          <w:rFonts w:ascii="Times New Roman" w:hAnsi="Times New Roman" w:cs="Times New Roman"/>
          <w:sz w:val="24"/>
          <w:szCs w:val="24"/>
        </w:rPr>
        <w:t>Ambulance services date back to the early 19th century when military forces utilised horse-drawn carriages to transport injured soldiers. In 1865, the initial civilian emergency medical transport was organised in London, which inaugurated the first modern ambulance service (Mort et al., 2015).</w:t>
      </w:r>
      <w:r>
        <w:rPr>
          <w:rFonts w:ascii="Times New Roman" w:hAnsi="Times New Roman" w:cs="Times New Roman"/>
          <w:sz w:val="24"/>
          <w:szCs w:val="24"/>
        </w:rPr>
        <w:t xml:space="preserve"> </w:t>
      </w:r>
      <w:r w:rsidRPr="00755786">
        <w:rPr>
          <w:rFonts w:ascii="Times New Roman" w:hAnsi="Times New Roman" w:cs="Times New Roman"/>
          <w:sz w:val="24"/>
          <w:szCs w:val="24"/>
        </w:rPr>
        <w:t xml:space="preserve">At the beginning, ambulances were just employed in transportation. </w:t>
      </w:r>
      <w:r>
        <w:rPr>
          <w:rFonts w:ascii="Times New Roman" w:hAnsi="Times New Roman" w:cs="Times New Roman"/>
          <w:sz w:val="24"/>
          <w:szCs w:val="24"/>
        </w:rPr>
        <w:t>However</w:t>
      </w:r>
      <w:r w:rsidRPr="00755786">
        <w:rPr>
          <w:rFonts w:ascii="Times New Roman" w:hAnsi="Times New Roman" w:cs="Times New Roman"/>
          <w:sz w:val="24"/>
          <w:szCs w:val="24"/>
        </w:rPr>
        <w:t>, the growth of medical crises after World War II resulted in the professionalisation of ambulance services. The introduction of paramedics in the 1970s and 1980s was introduced to offer pre-hospital treatment, such as life-saving measures, such as CPR, airway care, and medications (Brady, 2020). These discoveries led to modern ambulance services that have become techno-paramedical.</w:t>
      </w:r>
    </w:p>
    <w:p w14:paraId="4DCBA7B9" w14:textId="77777777" w:rsidR="00714D40" w:rsidRPr="00755786" w:rsidRDefault="00714D40" w:rsidP="00714D40">
      <w:pPr>
        <w:spacing w:after="0" w:line="360" w:lineRule="auto"/>
        <w:ind w:firstLine="720"/>
        <w:rPr>
          <w:rFonts w:ascii="Times New Roman" w:hAnsi="Times New Roman" w:cs="Times New Roman"/>
          <w:sz w:val="24"/>
          <w:szCs w:val="24"/>
        </w:rPr>
      </w:pPr>
      <w:r w:rsidRPr="00755786">
        <w:rPr>
          <w:rFonts w:ascii="Times New Roman" w:hAnsi="Times New Roman" w:cs="Times New Roman"/>
          <w:sz w:val="24"/>
          <w:szCs w:val="24"/>
        </w:rPr>
        <w:t>Ambulance service of the modern time is a highly specialised organisation accompanied by the latest technologies and provided with trained paramedics. These services work under the system of triage and give priority to the most urgent emergencies (Brady, 2020). Telephone triage systems are very common, in which operators determine the severity of the condition of a patient and send an ambulance (Booker et al., 2019).</w:t>
      </w:r>
      <w:r>
        <w:rPr>
          <w:rFonts w:ascii="Times New Roman" w:hAnsi="Times New Roman" w:cs="Times New Roman"/>
          <w:sz w:val="24"/>
          <w:szCs w:val="24"/>
        </w:rPr>
        <w:t xml:space="preserve"> </w:t>
      </w:r>
      <w:r w:rsidRPr="00755786">
        <w:rPr>
          <w:rFonts w:ascii="Times New Roman" w:hAnsi="Times New Roman" w:cs="Times New Roman"/>
          <w:sz w:val="24"/>
          <w:szCs w:val="24"/>
        </w:rPr>
        <w:t>Ambulances are nowadays more advanced with a GPS tracker and telemedicine, meaning that paramedics can contact hospital physicians in real-time (</w:t>
      </w:r>
      <w:proofErr w:type="spellStart"/>
      <w:r w:rsidRPr="00755786">
        <w:rPr>
          <w:rFonts w:ascii="Times New Roman" w:hAnsi="Times New Roman" w:cs="Times New Roman"/>
          <w:sz w:val="24"/>
          <w:szCs w:val="24"/>
        </w:rPr>
        <w:t>Pulsiri</w:t>
      </w:r>
      <w:proofErr w:type="spellEnd"/>
      <w:r w:rsidRPr="00755786">
        <w:rPr>
          <w:rFonts w:ascii="Times New Roman" w:hAnsi="Times New Roman" w:cs="Times New Roman"/>
          <w:sz w:val="24"/>
          <w:szCs w:val="24"/>
        </w:rPr>
        <w:t xml:space="preserve"> et al., 2019). Such technologies assist paramedics in giving prompt attention to the patient and relaying critical data about the patient, including heartbeat and oxygenation, before the patient even reaches the hospital.</w:t>
      </w:r>
      <w:r>
        <w:rPr>
          <w:rFonts w:ascii="Times New Roman" w:hAnsi="Times New Roman" w:cs="Times New Roman"/>
          <w:sz w:val="24"/>
          <w:szCs w:val="24"/>
        </w:rPr>
        <w:t xml:space="preserve"> </w:t>
      </w:r>
      <w:r w:rsidRPr="00755786">
        <w:rPr>
          <w:rFonts w:ascii="Times New Roman" w:hAnsi="Times New Roman" w:cs="Times New Roman"/>
          <w:sz w:val="24"/>
          <w:szCs w:val="24"/>
        </w:rPr>
        <w:t>The ambulance services are also instrumental in solving the primary care problems. They are usually requested in non-emergency cases like chronic care of minor injuries, which can be treated by primary health care providers (Booker et al., 2019).</w:t>
      </w:r>
    </w:p>
    <w:p w14:paraId="18EE4385" w14:textId="77777777" w:rsidR="00714D40" w:rsidRPr="00755786" w:rsidRDefault="00714D40" w:rsidP="00714D40">
      <w:pPr>
        <w:spacing w:after="0" w:line="360" w:lineRule="auto"/>
        <w:ind w:firstLine="720"/>
        <w:rPr>
          <w:rFonts w:ascii="Times New Roman" w:hAnsi="Times New Roman" w:cs="Times New Roman"/>
          <w:sz w:val="24"/>
          <w:szCs w:val="24"/>
        </w:rPr>
      </w:pPr>
      <w:r w:rsidRPr="00755786">
        <w:rPr>
          <w:rFonts w:ascii="Times New Roman" w:hAnsi="Times New Roman" w:cs="Times New Roman"/>
          <w:sz w:val="24"/>
          <w:szCs w:val="24"/>
        </w:rPr>
        <w:t>The services of an ambulance contribute greatly to the quality of life of people who are faced with medical emergencies. Fast response time may save lives in situations such as heart attacks, strokes, and trauma because the response is fast (</w:t>
      </w:r>
      <w:proofErr w:type="spellStart"/>
      <w:r w:rsidRPr="00755786">
        <w:rPr>
          <w:rFonts w:ascii="Times New Roman" w:hAnsi="Times New Roman" w:cs="Times New Roman"/>
          <w:sz w:val="24"/>
          <w:szCs w:val="24"/>
        </w:rPr>
        <w:t>Alnashwan</w:t>
      </w:r>
      <w:proofErr w:type="spellEnd"/>
      <w:r w:rsidRPr="00755786">
        <w:rPr>
          <w:rFonts w:ascii="Times New Roman" w:hAnsi="Times New Roman" w:cs="Times New Roman"/>
          <w:sz w:val="24"/>
          <w:szCs w:val="24"/>
        </w:rPr>
        <w:t xml:space="preserve"> et al., 2025). Patients can be stabilised with pre-hospital care, including the use of painkillers and oxygen, </w:t>
      </w:r>
      <w:r w:rsidRPr="00755786">
        <w:rPr>
          <w:rFonts w:ascii="Times New Roman" w:hAnsi="Times New Roman" w:cs="Times New Roman"/>
          <w:sz w:val="24"/>
          <w:szCs w:val="24"/>
        </w:rPr>
        <w:lastRenderedPageBreak/>
        <w:t>which enhance the effects of recovery.</w:t>
      </w:r>
      <w:r>
        <w:rPr>
          <w:rFonts w:ascii="Times New Roman" w:hAnsi="Times New Roman" w:cs="Times New Roman"/>
          <w:sz w:val="24"/>
          <w:szCs w:val="24"/>
        </w:rPr>
        <w:t xml:space="preserve"> </w:t>
      </w:r>
      <w:r w:rsidRPr="00755786">
        <w:rPr>
          <w:rFonts w:ascii="Times New Roman" w:hAnsi="Times New Roman" w:cs="Times New Roman"/>
          <w:sz w:val="24"/>
          <w:szCs w:val="24"/>
        </w:rPr>
        <w:t>An additional benefit of technological advancements to patient care is such areas as telemedicine, which allows real-time consultations between paramedics and hospital physicians (</w:t>
      </w:r>
      <w:proofErr w:type="spellStart"/>
      <w:r w:rsidRPr="00755786">
        <w:rPr>
          <w:rFonts w:ascii="Times New Roman" w:hAnsi="Times New Roman" w:cs="Times New Roman"/>
          <w:sz w:val="24"/>
          <w:szCs w:val="24"/>
        </w:rPr>
        <w:t>Pulsiri</w:t>
      </w:r>
      <w:proofErr w:type="spellEnd"/>
      <w:r w:rsidRPr="00755786">
        <w:rPr>
          <w:rFonts w:ascii="Times New Roman" w:hAnsi="Times New Roman" w:cs="Times New Roman"/>
          <w:sz w:val="24"/>
          <w:szCs w:val="24"/>
        </w:rPr>
        <w:t xml:space="preserve"> et al., 2019). These technologies will make sure that patients receive the necessary care until they are at the hospital, which enhances the effectiveness of the treatment.</w:t>
      </w:r>
      <w:r>
        <w:rPr>
          <w:rFonts w:ascii="Times New Roman" w:hAnsi="Times New Roman" w:cs="Times New Roman"/>
          <w:sz w:val="24"/>
          <w:szCs w:val="24"/>
        </w:rPr>
        <w:t xml:space="preserve"> Furthermore</w:t>
      </w:r>
      <w:r w:rsidRPr="00755786">
        <w:rPr>
          <w:rFonts w:ascii="Times New Roman" w:hAnsi="Times New Roman" w:cs="Times New Roman"/>
          <w:sz w:val="24"/>
          <w:szCs w:val="24"/>
        </w:rPr>
        <w:t>, the emergency ambulance services offer emotional assistance. Professionalism and empathy of paramedics are the source of anxiety relief to patients and families and provide reassurance in stressful times (Newton, 2014).</w:t>
      </w:r>
    </w:p>
    <w:p w14:paraId="07A11199" w14:textId="77777777" w:rsidR="00714D40" w:rsidRDefault="00714D40" w:rsidP="00714D40">
      <w:pPr>
        <w:spacing w:after="0" w:line="360" w:lineRule="auto"/>
        <w:ind w:firstLine="720"/>
        <w:rPr>
          <w:rFonts w:ascii="Times New Roman" w:hAnsi="Times New Roman" w:cs="Times New Roman"/>
          <w:sz w:val="24"/>
          <w:szCs w:val="24"/>
        </w:rPr>
      </w:pPr>
      <w:r w:rsidRPr="00755786">
        <w:rPr>
          <w:rFonts w:ascii="Times New Roman" w:hAnsi="Times New Roman" w:cs="Times New Roman"/>
          <w:sz w:val="24"/>
          <w:szCs w:val="24"/>
        </w:rPr>
        <w:t>Ambulance services have participated in the development of the primitive modes of transport to the modern medical care teams, which offer life-saving interventions. They are needed today to handle medical emergencies, provide state-of-the-art care</w:t>
      </w:r>
      <w:r>
        <w:rPr>
          <w:rFonts w:ascii="Times New Roman" w:hAnsi="Times New Roman" w:cs="Times New Roman"/>
          <w:sz w:val="24"/>
          <w:szCs w:val="24"/>
        </w:rPr>
        <w:t>,</w:t>
      </w:r>
      <w:r w:rsidRPr="00755786">
        <w:rPr>
          <w:rFonts w:ascii="Times New Roman" w:hAnsi="Times New Roman" w:cs="Times New Roman"/>
          <w:sz w:val="24"/>
          <w:szCs w:val="24"/>
        </w:rPr>
        <w:t xml:space="preserve"> and enhance patient outcomes. In spite of such setbacks as overloading with non-emergency patients, ambulance services remain critical in improving the quality of life of service users, saving lives, and offering the necessary treatment during critical situations.</w:t>
      </w:r>
    </w:p>
    <w:p w14:paraId="492CCA9C" w14:textId="77777777" w:rsidR="00714D40" w:rsidRDefault="00714D40" w:rsidP="00714D40">
      <w:pPr>
        <w:rPr>
          <w:rFonts w:ascii="Times New Roman" w:hAnsi="Times New Roman" w:cs="Times New Roman"/>
          <w:sz w:val="24"/>
          <w:szCs w:val="24"/>
        </w:rPr>
      </w:pPr>
      <w:r>
        <w:rPr>
          <w:rFonts w:ascii="Times New Roman" w:hAnsi="Times New Roman" w:cs="Times New Roman"/>
          <w:sz w:val="24"/>
          <w:szCs w:val="24"/>
        </w:rPr>
        <w:br w:type="page"/>
      </w:r>
    </w:p>
    <w:p w14:paraId="5665AD12" w14:textId="77777777" w:rsidR="00714D40" w:rsidRPr="00D30D15" w:rsidRDefault="00714D40" w:rsidP="00714D40">
      <w:pPr>
        <w:spacing w:after="0" w:line="360" w:lineRule="auto"/>
        <w:ind w:firstLine="720"/>
        <w:jc w:val="center"/>
        <w:rPr>
          <w:rFonts w:ascii="Times New Roman" w:hAnsi="Times New Roman" w:cs="Times New Roman"/>
          <w:b/>
          <w:sz w:val="24"/>
          <w:szCs w:val="24"/>
        </w:rPr>
      </w:pPr>
      <w:r w:rsidRPr="00D30D15">
        <w:rPr>
          <w:rFonts w:ascii="Times New Roman" w:hAnsi="Times New Roman" w:cs="Times New Roman"/>
          <w:b/>
          <w:sz w:val="24"/>
          <w:szCs w:val="24"/>
        </w:rPr>
        <w:lastRenderedPageBreak/>
        <w:t>References</w:t>
      </w:r>
    </w:p>
    <w:p w14:paraId="15AD62AF" w14:textId="77777777" w:rsidR="00714D40" w:rsidRPr="00EE01FB" w:rsidRDefault="00714D40" w:rsidP="00714D40">
      <w:pPr>
        <w:spacing w:after="0" w:line="360" w:lineRule="auto"/>
        <w:rPr>
          <w:rFonts w:ascii="Times New Roman" w:hAnsi="Times New Roman" w:cs="Times New Roman"/>
          <w:color w:val="222222"/>
          <w:sz w:val="24"/>
          <w:szCs w:val="24"/>
          <w:shd w:val="clear" w:color="auto" w:fill="FFFFFF"/>
        </w:rPr>
      </w:pPr>
      <w:proofErr w:type="spellStart"/>
      <w:r w:rsidRPr="00EE01FB">
        <w:rPr>
          <w:rFonts w:ascii="Times New Roman" w:hAnsi="Times New Roman" w:cs="Times New Roman"/>
          <w:color w:val="222222"/>
          <w:sz w:val="24"/>
          <w:szCs w:val="24"/>
          <w:shd w:val="clear" w:color="auto" w:fill="FFFFFF"/>
        </w:rPr>
        <w:t>Alnashwan</w:t>
      </w:r>
      <w:proofErr w:type="spellEnd"/>
      <w:r w:rsidRPr="00EE01FB">
        <w:rPr>
          <w:rFonts w:ascii="Times New Roman" w:hAnsi="Times New Roman" w:cs="Times New Roman"/>
          <w:color w:val="222222"/>
          <w:sz w:val="24"/>
          <w:szCs w:val="24"/>
          <w:shd w:val="clear" w:color="auto" w:fill="FFFFFF"/>
        </w:rPr>
        <w:t xml:space="preserve">, H.F., Almutairi, F.T., Almutairi, A.S., </w:t>
      </w:r>
      <w:proofErr w:type="spellStart"/>
      <w:r w:rsidRPr="00EE01FB">
        <w:rPr>
          <w:rFonts w:ascii="Times New Roman" w:hAnsi="Times New Roman" w:cs="Times New Roman"/>
          <w:color w:val="222222"/>
          <w:sz w:val="24"/>
          <w:szCs w:val="24"/>
          <w:shd w:val="clear" w:color="auto" w:fill="FFFFFF"/>
        </w:rPr>
        <w:t>Alghuwainem</w:t>
      </w:r>
      <w:proofErr w:type="spellEnd"/>
      <w:r w:rsidRPr="00EE01FB">
        <w:rPr>
          <w:rFonts w:ascii="Times New Roman" w:hAnsi="Times New Roman" w:cs="Times New Roman"/>
          <w:color w:val="222222"/>
          <w:sz w:val="24"/>
          <w:szCs w:val="24"/>
          <w:shd w:val="clear" w:color="auto" w:fill="FFFFFF"/>
        </w:rPr>
        <w:t xml:space="preserve">, A.M., </w:t>
      </w:r>
      <w:proofErr w:type="spellStart"/>
      <w:r w:rsidRPr="00EE01FB">
        <w:rPr>
          <w:rFonts w:ascii="Times New Roman" w:hAnsi="Times New Roman" w:cs="Times New Roman"/>
          <w:color w:val="222222"/>
          <w:sz w:val="24"/>
          <w:szCs w:val="24"/>
          <w:shd w:val="clear" w:color="auto" w:fill="FFFFFF"/>
        </w:rPr>
        <w:t>Aljuraybah</w:t>
      </w:r>
      <w:proofErr w:type="spellEnd"/>
      <w:r w:rsidRPr="00EE01FB">
        <w:rPr>
          <w:rFonts w:ascii="Times New Roman" w:hAnsi="Times New Roman" w:cs="Times New Roman"/>
          <w:color w:val="222222"/>
          <w:sz w:val="24"/>
          <w:szCs w:val="24"/>
          <w:shd w:val="clear" w:color="auto" w:fill="FFFFFF"/>
        </w:rPr>
        <w:t>, S.A.,</w:t>
      </w:r>
      <w:r>
        <w:rPr>
          <w:rFonts w:ascii="Times New Roman" w:hAnsi="Times New Roman" w:cs="Times New Roman"/>
          <w:color w:val="222222"/>
          <w:sz w:val="24"/>
          <w:szCs w:val="24"/>
          <w:shd w:val="clear" w:color="auto" w:fill="FFFFFF"/>
        </w:rPr>
        <w:tab/>
      </w:r>
      <w:proofErr w:type="spellStart"/>
      <w:r w:rsidRPr="00EE01FB">
        <w:rPr>
          <w:rFonts w:ascii="Times New Roman" w:hAnsi="Times New Roman" w:cs="Times New Roman"/>
          <w:color w:val="222222"/>
          <w:sz w:val="24"/>
          <w:szCs w:val="24"/>
          <w:shd w:val="clear" w:color="auto" w:fill="FFFFFF"/>
        </w:rPr>
        <w:t>Almoijed</w:t>
      </w:r>
      <w:proofErr w:type="spellEnd"/>
      <w:r w:rsidRPr="00EE01FB">
        <w:rPr>
          <w:rFonts w:ascii="Times New Roman" w:hAnsi="Times New Roman" w:cs="Times New Roman"/>
          <w:color w:val="222222"/>
          <w:sz w:val="24"/>
          <w:szCs w:val="24"/>
          <w:shd w:val="clear" w:color="auto" w:fill="FFFFFF"/>
        </w:rPr>
        <w:t>, M.B., Almutairi, E.A.</w:t>
      </w:r>
      <w:r>
        <w:rPr>
          <w:rFonts w:ascii="Times New Roman" w:hAnsi="Times New Roman" w:cs="Times New Roman"/>
          <w:color w:val="222222"/>
          <w:sz w:val="24"/>
          <w:szCs w:val="24"/>
          <w:shd w:val="clear" w:color="auto" w:fill="FFFFFF"/>
        </w:rPr>
        <w:t>,</w:t>
      </w:r>
      <w:r w:rsidRPr="00EE01FB">
        <w:rPr>
          <w:rFonts w:ascii="Times New Roman" w:hAnsi="Times New Roman" w:cs="Times New Roman"/>
          <w:color w:val="222222"/>
          <w:sz w:val="24"/>
          <w:szCs w:val="24"/>
          <w:shd w:val="clear" w:color="auto" w:fill="FFFFFF"/>
        </w:rPr>
        <w:t xml:space="preserve"> and Almutairi, H.L.H. (2025). Advancing</w:t>
      </w:r>
      <w:r>
        <w:rPr>
          <w:rFonts w:ascii="Times New Roman" w:hAnsi="Times New Roman" w:cs="Times New Roman"/>
          <w:color w:val="222222"/>
          <w:sz w:val="24"/>
          <w:szCs w:val="24"/>
          <w:shd w:val="clear" w:color="auto" w:fill="FFFFFF"/>
        </w:rPr>
        <w:tab/>
      </w:r>
      <w:r w:rsidRPr="00EE01FB">
        <w:rPr>
          <w:rFonts w:ascii="Times New Roman" w:hAnsi="Times New Roman" w:cs="Times New Roman"/>
          <w:color w:val="222222"/>
          <w:sz w:val="24"/>
          <w:szCs w:val="24"/>
          <w:shd w:val="clear" w:color="auto" w:fill="FFFFFF"/>
        </w:rPr>
        <w:t>Ambulance Services For Optimal Emergency Response: A Comprehensive Review</w:t>
      </w:r>
      <w:r>
        <w:rPr>
          <w:rFonts w:ascii="Times New Roman" w:hAnsi="Times New Roman" w:cs="Times New Roman"/>
          <w:color w:val="222222"/>
          <w:sz w:val="24"/>
          <w:szCs w:val="24"/>
          <w:shd w:val="clear" w:color="auto" w:fill="FFFFFF"/>
        </w:rPr>
        <w:tab/>
      </w:r>
      <w:r w:rsidRPr="00EE01FB">
        <w:rPr>
          <w:rFonts w:ascii="Times New Roman" w:hAnsi="Times New Roman" w:cs="Times New Roman"/>
          <w:color w:val="222222"/>
          <w:sz w:val="24"/>
          <w:szCs w:val="24"/>
          <w:shd w:val="clear" w:color="auto" w:fill="FFFFFF"/>
        </w:rPr>
        <w:t>Of Global Practices And Innovations. </w:t>
      </w:r>
      <w:r w:rsidRPr="00EE01FB">
        <w:rPr>
          <w:rFonts w:ascii="Times New Roman" w:hAnsi="Times New Roman" w:cs="Times New Roman"/>
          <w:i/>
          <w:iCs/>
          <w:color w:val="222222"/>
          <w:sz w:val="24"/>
          <w:szCs w:val="24"/>
          <w:shd w:val="clear" w:color="auto" w:fill="FFFFFF"/>
        </w:rPr>
        <w:t>The Review of Diabetic Studies</w:t>
      </w:r>
      <w:r w:rsidRPr="00EE01FB">
        <w:rPr>
          <w:rFonts w:ascii="Times New Roman" w:hAnsi="Times New Roman" w:cs="Times New Roman"/>
          <w:color w:val="222222"/>
          <w:sz w:val="24"/>
          <w:szCs w:val="24"/>
          <w:shd w:val="clear" w:color="auto" w:fill="FFFFFF"/>
        </w:rPr>
        <w:t>, pp.197-207.</w:t>
      </w:r>
    </w:p>
    <w:p w14:paraId="37AF9091" w14:textId="77777777" w:rsidR="00714D40" w:rsidRDefault="00714D40" w:rsidP="00714D40">
      <w:pPr>
        <w:spacing w:after="0" w:line="360" w:lineRule="auto"/>
        <w:rPr>
          <w:rFonts w:ascii="Times New Roman" w:hAnsi="Times New Roman" w:cs="Times New Roman"/>
          <w:color w:val="222222"/>
          <w:sz w:val="24"/>
          <w:szCs w:val="24"/>
          <w:shd w:val="clear" w:color="auto" w:fill="FFFFFF"/>
        </w:rPr>
      </w:pPr>
      <w:r w:rsidRPr="00EE01FB">
        <w:rPr>
          <w:rFonts w:ascii="Times New Roman" w:hAnsi="Times New Roman" w:cs="Times New Roman"/>
          <w:color w:val="222222"/>
          <w:sz w:val="24"/>
          <w:szCs w:val="24"/>
          <w:shd w:val="clear" w:color="auto" w:fill="FFFFFF"/>
        </w:rPr>
        <w:t>Booker, M.J., Purdy, S., Barnes, R. and Shaw, A.R., (2019). Ambulance use for ‘primary</w:t>
      </w:r>
      <w:r>
        <w:rPr>
          <w:rFonts w:ascii="Times New Roman" w:hAnsi="Times New Roman" w:cs="Times New Roman"/>
          <w:color w:val="222222"/>
          <w:sz w:val="24"/>
          <w:szCs w:val="24"/>
          <w:shd w:val="clear" w:color="auto" w:fill="FFFFFF"/>
        </w:rPr>
        <w:tab/>
      </w:r>
      <w:r w:rsidRPr="00EE01FB">
        <w:rPr>
          <w:rFonts w:ascii="Times New Roman" w:hAnsi="Times New Roman" w:cs="Times New Roman"/>
          <w:color w:val="222222"/>
          <w:sz w:val="24"/>
          <w:szCs w:val="24"/>
          <w:shd w:val="clear" w:color="auto" w:fill="FFFFFF"/>
        </w:rPr>
        <w:t>care’</w:t>
      </w:r>
      <w:r>
        <w:rPr>
          <w:rFonts w:ascii="Times New Roman" w:hAnsi="Times New Roman" w:cs="Times New Roman"/>
          <w:color w:val="222222"/>
          <w:sz w:val="24"/>
          <w:szCs w:val="24"/>
          <w:shd w:val="clear" w:color="auto" w:fill="FFFFFF"/>
        </w:rPr>
        <w:t xml:space="preserve"> </w:t>
      </w:r>
      <w:r w:rsidRPr="00EE01FB">
        <w:rPr>
          <w:rFonts w:ascii="Times New Roman" w:hAnsi="Times New Roman" w:cs="Times New Roman"/>
          <w:color w:val="222222"/>
          <w:sz w:val="24"/>
          <w:szCs w:val="24"/>
          <w:shd w:val="clear" w:color="auto" w:fill="FFFFFF"/>
        </w:rPr>
        <w:t>problems: an ethnographic study of seeking and providing help in a UK</w:t>
      </w:r>
      <w:r>
        <w:rPr>
          <w:rFonts w:ascii="Times New Roman" w:hAnsi="Times New Roman" w:cs="Times New Roman"/>
          <w:color w:val="222222"/>
          <w:sz w:val="24"/>
          <w:szCs w:val="24"/>
          <w:shd w:val="clear" w:color="auto" w:fill="FFFFFF"/>
        </w:rPr>
        <w:tab/>
      </w:r>
      <w:r w:rsidRPr="00EE01FB">
        <w:rPr>
          <w:rFonts w:ascii="Times New Roman" w:hAnsi="Times New Roman" w:cs="Times New Roman"/>
          <w:color w:val="222222"/>
          <w:sz w:val="24"/>
          <w:szCs w:val="24"/>
          <w:shd w:val="clear" w:color="auto" w:fill="FFFFFF"/>
        </w:rPr>
        <w:t>ambulance service. </w:t>
      </w:r>
      <w:r w:rsidRPr="00EE01FB">
        <w:rPr>
          <w:rFonts w:ascii="Times New Roman" w:hAnsi="Times New Roman" w:cs="Times New Roman"/>
          <w:i/>
          <w:iCs/>
          <w:color w:val="222222"/>
          <w:sz w:val="24"/>
          <w:szCs w:val="24"/>
          <w:shd w:val="clear" w:color="auto" w:fill="FFFFFF"/>
        </w:rPr>
        <w:t>BMJ open</w:t>
      </w:r>
      <w:r w:rsidRPr="00EE01FB">
        <w:rPr>
          <w:rFonts w:ascii="Times New Roman" w:hAnsi="Times New Roman" w:cs="Times New Roman"/>
          <w:color w:val="222222"/>
          <w:sz w:val="24"/>
          <w:szCs w:val="24"/>
          <w:shd w:val="clear" w:color="auto" w:fill="FFFFFF"/>
        </w:rPr>
        <w:t>, </w:t>
      </w:r>
      <w:r w:rsidRPr="00EE01FB">
        <w:rPr>
          <w:rFonts w:ascii="Times New Roman" w:hAnsi="Times New Roman" w:cs="Times New Roman"/>
          <w:i/>
          <w:iCs/>
          <w:color w:val="222222"/>
          <w:sz w:val="24"/>
          <w:szCs w:val="24"/>
          <w:shd w:val="clear" w:color="auto" w:fill="FFFFFF"/>
        </w:rPr>
        <w:t>9</w:t>
      </w:r>
      <w:r w:rsidRPr="00EE01FB">
        <w:rPr>
          <w:rFonts w:ascii="Times New Roman" w:hAnsi="Times New Roman" w:cs="Times New Roman"/>
          <w:color w:val="222222"/>
          <w:sz w:val="24"/>
          <w:szCs w:val="24"/>
          <w:shd w:val="clear" w:color="auto" w:fill="FFFFFF"/>
        </w:rPr>
        <w:t>(10), p.e033037.</w:t>
      </w:r>
    </w:p>
    <w:p w14:paraId="6549DEF8" w14:textId="77777777" w:rsidR="00714D40" w:rsidRPr="00EE01FB" w:rsidRDefault="00714D40" w:rsidP="00714D40">
      <w:pPr>
        <w:spacing w:after="0" w:line="360" w:lineRule="auto"/>
        <w:rPr>
          <w:rFonts w:ascii="Times New Roman" w:hAnsi="Times New Roman" w:cs="Times New Roman"/>
          <w:color w:val="222222"/>
          <w:sz w:val="24"/>
          <w:szCs w:val="24"/>
          <w:shd w:val="clear" w:color="auto" w:fill="FFFFFF"/>
        </w:rPr>
      </w:pPr>
      <w:r w:rsidRPr="00EE01FB">
        <w:rPr>
          <w:rFonts w:ascii="Times New Roman" w:hAnsi="Times New Roman" w:cs="Times New Roman"/>
          <w:color w:val="222222"/>
          <w:sz w:val="24"/>
          <w:szCs w:val="24"/>
          <w:shd w:val="clear" w:color="auto" w:fill="FFFFFF"/>
        </w:rPr>
        <w:t>Brady, M. (2020). Patient experiences of UK ambulance service telephone triage: a review</w:t>
      </w:r>
      <w:r>
        <w:rPr>
          <w:rFonts w:ascii="Times New Roman" w:hAnsi="Times New Roman" w:cs="Times New Roman"/>
          <w:color w:val="222222"/>
          <w:sz w:val="24"/>
          <w:szCs w:val="24"/>
          <w:shd w:val="clear" w:color="auto" w:fill="FFFFFF"/>
        </w:rPr>
        <w:tab/>
      </w:r>
      <w:r w:rsidRPr="00EE01FB">
        <w:rPr>
          <w:rFonts w:ascii="Times New Roman" w:hAnsi="Times New Roman" w:cs="Times New Roman"/>
          <w:color w:val="222222"/>
          <w:sz w:val="24"/>
          <w:szCs w:val="24"/>
          <w:shd w:val="clear" w:color="auto" w:fill="FFFFFF"/>
        </w:rPr>
        <w:t>of the literature. </w:t>
      </w:r>
      <w:r w:rsidRPr="00EE01FB">
        <w:rPr>
          <w:rFonts w:ascii="Times New Roman" w:hAnsi="Times New Roman" w:cs="Times New Roman"/>
          <w:i/>
          <w:iCs/>
          <w:color w:val="222222"/>
          <w:sz w:val="24"/>
          <w:szCs w:val="24"/>
          <w:shd w:val="clear" w:color="auto" w:fill="FFFFFF"/>
        </w:rPr>
        <w:t>International Journal of Emergency Services</w:t>
      </w:r>
      <w:r w:rsidRPr="00EE01FB">
        <w:rPr>
          <w:rFonts w:ascii="Times New Roman" w:hAnsi="Times New Roman" w:cs="Times New Roman"/>
          <w:color w:val="222222"/>
          <w:sz w:val="24"/>
          <w:szCs w:val="24"/>
          <w:shd w:val="clear" w:color="auto" w:fill="FFFFFF"/>
        </w:rPr>
        <w:t>, </w:t>
      </w:r>
      <w:r w:rsidRPr="00EE01FB">
        <w:rPr>
          <w:rFonts w:ascii="Times New Roman" w:hAnsi="Times New Roman" w:cs="Times New Roman"/>
          <w:i/>
          <w:iCs/>
          <w:color w:val="222222"/>
          <w:sz w:val="24"/>
          <w:szCs w:val="24"/>
          <w:shd w:val="clear" w:color="auto" w:fill="FFFFFF"/>
        </w:rPr>
        <w:t>9</w:t>
      </w:r>
      <w:r w:rsidRPr="00EE01FB">
        <w:rPr>
          <w:rFonts w:ascii="Times New Roman" w:hAnsi="Times New Roman" w:cs="Times New Roman"/>
          <w:color w:val="222222"/>
          <w:sz w:val="24"/>
          <w:szCs w:val="24"/>
          <w:shd w:val="clear" w:color="auto" w:fill="FFFFFF"/>
        </w:rPr>
        <w:t>(2), pp.89-108.</w:t>
      </w:r>
    </w:p>
    <w:p w14:paraId="5DFBB732" w14:textId="77777777" w:rsidR="00714D40" w:rsidRPr="00EE01FB" w:rsidRDefault="00714D40" w:rsidP="00714D40">
      <w:pPr>
        <w:spacing w:after="0" w:line="360" w:lineRule="auto"/>
        <w:rPr>
          <w:rFonts w:ascii="Times New Roman" w:hAnsi="Times New Roman" w:cs="Times New Roman"/>
          <w:color w:val="222222"/>
          <w:sz w:val="24"/>
          <w:szCs w:val="24"/>
          <w:shd w:val="clear" w:color="auto" w:fill="FFFFFF"/>
        </w:rPr>
      </w:pPr>
      <w:r w:rsidRPr="00EE01FB">
        <w:rPr>
          <w:rFonts w:ascii="Times New Roman" w:hAnsi="Times New Roman" w:cs="Times New Roman"/>
          <w:color w:val="222222"/>
          <w:sz w:val="24"/>
          <w:szCs w:val="24"/>
          <w:shd w:val="clear" w:color="auto" w:fill="FFFFFF"/>
        </w:rPr>
        <w:t>Mort, A.J., Fitzpatrick, D., Schneider, A., Wilson, P. and Mellish, C. (2015). Pre-hospital</w:t>
      </w:r>
      <w:r>
        <w:rPr>
          <w:rFonts w:ascii="Times New Roman" w:hAnsi="Times New Roman" w:cs="Times New Roman"/>
          <w:color w:val="222222"/>
          <w:sz w:val="24"/>
          <w:szCs w:val="24"/>
          <w:shd w:val="clear" w:color="auto" w:fill="FFFFFF"/>
        </w:rPr>
        <w:tab/>
      </w:r>
      <w:r w:rsidRPr="00EE01FB">
        <w:rPr>
          <w:rFonts w:ascii="Times New Roman" w:hAnsi="Times New Roman" w:cs="Times New Roman"/>
          <w:color w:val="222222"/>
          <w:sz w:val="24"/>
          <w:szCs w:val="24"/>
          <w:shd w:val="clear" w:color="auto" w:fill="FFFFFF"/>
        </w:rPr>
        <w:t>technology research: reflecting on a collaborative project between ambulance service</w:t>
      </w:r>
      <w:r>
        <w:rPr>
          <w:rFonts w:ascii="Times New Roman" w:hAnsi="Times New Roman" w:cs="Times New Roman"/>
          <w:color w:val="222222"/>
          <w:sz w:val="24"/>
          <w:szCs w:val="24"/>
          <w:shd w:val="clear" w:color="auto" w:fill="FFFFFF"/>
        </w:rPr>
        <w:tab/>
      </w:r>
      <w:r w:rsidRPr="00EE01FB">
        <w:rPr>
          <w:rFonts w:ascii="Times New Roman" w:hAnsi="Times New Roman" w:cs="Times New Roman"/>
          <w:color w:val="222222"/>
          <w:sz w:val="24"/>
          <w:szCs w:val="24"/>
          <w:shd w:val="clear" w:color="auto" w:fill="FFFFFF"/>
        </w:rPr>
        <w:t>and academia. </w:t>
      </w:r>
      <w:r w:rsidRPr="00EE01FB">
        <w:rPr>
          <w:rFonts w:ascii="Times New Roman" w:hAnsi="Times New Roman" w:cs="Times New Roman"/>
          <w:i/>
          <w:iCs/>
          <w:color w:val="222222"/>
          <w:sz w:val="24"/>
          <w:szCs w:val="24"/>
          <w:shd w:val="clear" w:color="auto" w:fill="FFFFFF"/>
        </w:rPr>
        <w:t>Journal of Paramedic Practice</w:t>
      </w:r>
      <w:r w:rsidRPr="00EE01FB">
        <w:rPr>
          <w:rFonts w:ascii="Times New Roman" w:hAnsi="Times New Roman" w:cs="Times New Roman"/>
          <w:color w:val="222222"/>
          <w:sz w:val="24"/>
          <w:szCs w:val="24"/>
          <w:shd w:val="clear" w:color="auto" w:fill="FFFFFF"/>
        </w:rPr>
        <w:t>, </w:t>
      </w:r>
      <w:r w:rsidRPr="00EE01FB">
        <w:rPr>
          <w:rFonts w:ascii="Times New Roman" w:hAnsi="Times New Roman" w:cs="Times New Roman"/>
          <w:i/>
          <w:iCs/>
          <w:color w:val="222222"/>
          <w:sz w:val="24"/>
          <w:szCs w:val="24"/>
          <w:shd w:val="clear" w:color="auto" w:fill="FFFFFF"/>
        </w:rPr>
        <w:t>7</w:t>
      </w:r>
      <w:r w:rsidRPr="00EE01FB">
        <w:rPr>
          <w:rFonts w:ascii="Times New Roman" w:hAnsi="Times New Roman" w:cs="Times New Roman"/>
          <w:color w:val="222222"/>
          <w:sz w:val="24"/>
          <w:szCs w:val="24"/>
          <w:shd w:val="clear" w:color="auto" w:fill="FFFFFF"/>
        </w:rPr>
        <w:t>(4), pp.184-191.</w:t>
      </w:r>
    </w:p>
    <w:p w14:paraId="1CAFD09C" w14:textId="77777777" w:rsidR="00714D40" w:rsidRPr="00EE01FB" w:rsidRDefault="00714D40" w:rsidP="00714D40">
      <w:pPr>
        <w:spacing w:after="0" w:line="360" w:lineRule="auto"/>
        <w:rPr>
          <w:rFonts w:ascii="Times New Roman" w:hAnsi="Times New Roman" w:cs="Times New Roman"/>
          <w:color w:val="222222"/>
          <w:sz w:val="24"/>
          <w:szCs w:val="24"/>
          <w:shd w:val="clear" w:color="auto" w:fill="FFFFFF"/>
        </w:rPr>
      </w:pPr>
      <w:r w:rsidRPr="00EE01FB">
        <w:rPr>
          <w:rFonts w:ascii="Times New Roman" w:hAnsi="Times New Roman" w:cs="Times New Roman"/>
          <w:color w:val="222222"/>
          <w:sz w:val="24"/>
          <w:szCs w:val="24"/>
          <w:shd w:val="clear" w:color="auto" w:fill="FFFFFF"/>
        </w:rPr>
        <w:t>Newton, A. (2014). Ambulance Service 2030: the future of paramedics.</w:t>
      </w:r>
    </w:p>
    <w:p w14:paraId="1FE2A32D" w14:textId="77777777" w:rsidR="00714D40" w:rsidRDefault="00714D40" w:rsidP="00714D40">
      <w:pPr>
        <w:spacing w:after="0" w:line="360" w:lineRule="auto"/>
        <w:rPr>
          <w:rFonts w:ascii="Times New Roman" w:hAnsi="Times New Roman" w:cs="Times New Roman"/>
          <w:color w:val="222222"/>
          <w:sz w:val="24"/>
          <w:szCs w:val="24"/>
          <w:shd w:val="clear" w:color="auto" w:fill="FFFFFF"/>
        </w:rPr>
      </w:pPr>
      <w:proofErr w:type="spellStart"/>
      <w:r w:rsidRPr="00EE01FB">
        <w:rPr>
          <w:rFonts w:ascii="Times New Roman" w:hAnsi="Times New Roman" w:cs="Times New Roman"/>
          <w:color w:val="222222"/>
          <w:sz w:val="24"/>
          <w:szCs w:val="24"/>
          <w:shd w:val="clear" w:color="auto" w:fill="FFFFFF"/>
        </w:rPr>
        <w:t>Pulsiri</w:t>
      </w:r>
      <w:proofErr w:type="spellEnd"/>
      <w:r w:rsidRPr="00EE01FB">
        <w:rPr>
          <w:rFonts w:ascii="Times New Roman" w:hAnsi="Times New Roman" w:cs="Times New Roman"/>
          <w:color w:val="222222"/>
          <w:sz w:val="24"/>
          <w:szCs w:val="24"/>
          <w:shd w:val="clear" w:color="auto" w:fill="FFFFFF"/>
        </w:rPr>
        <w:t xml:space="preserve">, N., </w:t>
      </w:r>
      <w:proofErr w:type="spellStart"/>
      <w:r w:rsidRPr="00EE01FB">
        <w:rPr>
          <w:rFonts w:ascii="Times New Roman" w:hAnsi="Times New Roman" w:cs="Times New Roman"/>
          <w:color w:val="222222"/>
          <w:sz w:val="24"/>
          <w:szCs w:val="24"/>
          <w:shd w:val="clear" w:color="auto" w:fill="FFFFFF"/>
        </w:rPr>
        <w:t>Vatananan</w:t>
      </w:r>
      <w:proofErr w:type="spellEnd"/>
      <w:r w:rsidRPr="00EE01FB">
        <w:rPr>
          <w:rFonts w:ascii="Times New Roman" w:hAnsi="Times New Roman" w:cs="Times New Roman"/>
          <w:color w:val="222222"/>
          <w:sz w:val="24"/>
          <w:szCs w:val="24"/>
          <w:shd w:val="clear" w:color="auto" w:fill="FFFFFF"/>
        </w:rPr>
        <w:t xml:space="preserve">-Thesenvitz, R., </w:t>
      </w:r>
      <w:proofErr w:type="spellStart"/>
      <w:r w:rsidRPr="00EE01FB">
        <w:rPr>
          <w:rFonts w:ascii="Times New Roman" w:hAnsi="Times New Roman" w:cs="Times New Roman"/>
          <w:color w:val="222222"/>
          <w:sz w:val="24"/>
          <w:szCs w:val="24"/>
          <w:shd w:val="clear" w:color="auto" w:fill="FFFFFF"/>
        </w:rPr>
        <w:t>Sirisamutr</w:t>
      </w:r>
      <w:proofErr w:type="spellEnd"/>
      <w:r w:rsidRPr="00EE01FB">
        <w:rPr>
          <w:rFonts w:ascii="Times New Roman" w:hAnsi="Times New Roman" w:cs="Times New Roman"/>
          <w:color w:val="222222"/>
          <w:sz w:val="24"/>
          <w:szCs w:val="24"/>
          <w:shd w:val="clear" w:color="auto" w:fill="FFFFFF"/>
        </w:rPr>
        <w:t>, T.</w:t>
      </w:r>
      <w:r>
        <w:rPr>
          <w:rFonts w:ascii="Times New Roman" w:hAnsi="Times New Roman" w:cs="Times New Roman"/>
          <w:color w:val="222222"/>
          <w:sz w:val="24"/>
          <w:szCs w:val="24"/>
          <w:shd w:val="clear" w:color="auto" w:fill="FFFFFF"/>
        </w:rPr>
        <w:t>,</w:t>
      </w:r>
      <w:r w:rsidRPr="00EE01FB">
        <w:rPr>
          <w:rFonts w:ascii="Times New Roman" w:hAnsi="Times New Roman" w:cs="Times New Roman"/>
          <w:color w:val="222222"/>
          <w:sz w:val="24"/>
          <w:szCs w:val="24"/>
          <w:shd w:val="clear" w:color="auto" w:fill="FFFFFF"/>
        </w:rPr>
        <w:t xml:space="preserve"> and </w:t>
      </w:r>
      <w:proofErr w:type="spellStart"/>
      <w:r w:rsidRPr="00EE01FB">
        <w:rPr>
          <w:rFonts w:ascii="Times New Roman" w:hAnsi="Times New Roman" w:cs="Times New Roman"/>
          <w:color w:val="222222"/>
          <w:sz w:val="24"/>
          <w:szCs w:val="24"/>
          <w:shd w:val="clear" w:color="auto" w:fill="FFFFFF"/>
        </w:rPr>
        <w:t>Wachiradilok</w:t>
      </w:r>
      <w:proofErr w:type="spellEnd"/>
      <w:r w:rsidRPr="00EE01FB">
        <w:rPr>
          <w:rFonts w:ascii="Times New Roman" w:hAnsi="Times New Roman" w:cs="Times New Roman"/>
          <w:color w:val="222222"/>
          <w:sz w:val="24"/>
          <w:szCs w:val="24"/>
          <w:shd w:val="clear" w:color="auto" w:fill="FFFFFF"/>
        </w:rPr>
        <w:t>, P. (2019), August.</w:t>
      </w:r>
      <w:r>
        <w:rPr>
          <w:rFonts w:ascii="Times New Roman" w:hAnsi="Times New Roman" w:cs="Times New Roman"/>
          <w:color w:val="222222"/>
          <w:sz w:val="24"/>
          <w:szCs w:val="24"/>
          <w:shd w:val="clear" w:color="auto" w:fill="FFFFFF"/>
        </w:rPr>
        <w:tab/>
      </w:r>
      <w:r w:rsidRPr="00EE01FB">
        <w:rPr>
          <w:rFonts w:ascii="Times New Roman" w:hAnsi="Times New Roman" w:cs="Times New Roman"/>
          <w:color w:val="222222"/>
          <w:sz w:val="24"/>
          <w:szCs w:val="24"/>
          <w:shd w:val="clear" w:color="auto" w:fill="FFFFFF"/>
        </w:rPr>
        <w:t>Save lives: a review of ambulance technologies in pre-hospital emergency medical</w:t>
      </w:r>
      <w:r>
        <w:rPr>
          <w:rFonts w:ascii="Times New Roman" w:hAnsi="Times New Roman" w:cs="Times New Roman"/>
          <w:color w:val="222222"/>
          <w:sz w:val="24"/>
          <w:szCs w:val="24"/>
          <w:shd w:val="clear" w:color="auto" w:fill="FFFFFF"/>
        </w:rPr>
        <w:tab/>
      </w:r>
      <w:r w:rsidRPr="00EE01FB">
        <w:rPr>
          <w:rFonts w:ascii="Times New Roman" w:hAnsi="Times New Roman" w:cs="Times New Roman"/>
          <w:color w:val="222222"/>
          <w:sz w:val="24"/>
          <w:szCs w:val="24"/>
          <w:shd w:val="clear" w:color="auto" w:fill="FFFFFF"/>
        </w:rPr>
        <w:t>services. In </w:t>
      </w:r>
      <w:r w:rsidRPr="00EE01FB">
        <w:rPr>
          <w:rFonts w:ascii="Times New Roman" w:hAnsi="Times New Roman" w:cs="Times New Roman"/>
          <w:i/>
          <w:iCs/>
          <w:color w:val="222222"/>
          <w:sz w:val="24"/>
          <w:szCs w:val="24"/>
          <w:shd w:val="clear" w:color="auto" w:fill="FFFFFF"/>
        </w:rPr>
        <w:t>2019</w:t>
      </w:r>
      <w:r>
        <w:rPr>
          <w:rFonts w:ascii="Times New Roman" w:hAnsi="Times New Roman" w:cs="Times New Roman"/>
          <w:i/>
          <w:iCs/>
          <w:color w:val="222222"/>
          <w:sz w:val="24"/>
          <w:szCs w:val="24"/>
          <w:shd w:val="clear" w:color="auto" w:fill="FFFFFF"/>
        </w:rPr>
        <w:t>,</w:t>
      </w:r>
      <w:r w:rsidRPr="00EE01FB">
        <w:rPr>
          <w:rFonts w:ascii="Times New Roman" w:hAnsi="Times New Roman" w:cs="Times New Roman"/>
          <w:i/>
          <w:iCs/>
          <w:color w:val="222222"/>
          <w:sz w:val="24"/>
          <w:szCs w:val="24"/>
          <w:shd w:val="clear" w:color="auto" w:fill="FFFFFF"/>
        </w:rPr>
        <w:t xml:space="preserve"> Portland International Conference on Management of Engineering</w:t>
      </w:r>
      <w:r>
        <w:rPr>
          <w:rFonts w:ascii="Times New Roman" w:hAnsi="Times New Roman" w:cs="Times New Roman"/>
          <w:i/>
          <w:iCs/>
          <w:color w:val="222222"/>
          <w:sz w:val="24"/>
          <w:szCs w:val="24"/>
          <w:shd w:val="clear" w:color="auto" w:fill="FFFFFF"/>
        </w:rPr>
        <w:tab/>
      </w:r>
      <w:r w:rsidRPr="00EE01FB">
        <w:rPr>
          <w:rFonts w:ascii="Times New Roman" w:hAnsi="Times New Roman" w:cs="Times New Roman"/>
          <w:i/>
          <w:iCs/>
          <w:color w:val="222222"/>
          <w:sz w:val="24"/>
          <w:szCs w:val="24"/>
          <w:shd w:val="clear" w:color="auto" w:fill="FFFFFF"/>
        </w:rPr>
        <w:t>and Technology (PICMET)</w:t>
      </w:r>
      <w:r w:rsidRPr="00EE01FB">
        <w:rPr>
          <w:rFonts w:ascii="Times New Roman" w:hAnsi="Times New Roman" w:cs="Times New Roman"/>
          <w:color w:val="222222"/>
          <w:sz w:val="24"/>
          <w:szCs w:val="24"/>
          <w:shd w:val="clear" w:color="auto" w:fill="FFFFFF"/>
        </w:rPr>
        <w:t> (pp. 1-10). IEEE.</w:t>
      </w:r>
    </w:p>
    <w:sectPr w:rsidR="00714D4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D2119" w14:textId="77777777" w:rsidR="00CE3365" w:rsidRDefault="00CE3365" w:rsidP="002F1C97">
      <w:pPr>
        <w:spacing w:after="0" w:line="240" w:lineRule="auto"/>
      </w:pPr>
      <w:r>
        <w:separator/>
      </w:r>
    </w:p>
  </w:endnote>
  <w:endnote w:type="continuationSeparator" w:id="0">
    <w:p w14:paraId="5BC06A62" w14:textId="77777777" w:rsidR="00CE3365" w:rsidRDefault="00CE3365" w:rsidP="002F1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725FB" w14:textId="77777777" w:rsidR="00CE3365" w:rsidRDefault="00CE3365" w:rsidP="002F1C97">
      <w:pPr>
        <w:spacing w:after="0" w:line="240" w:lineRule="auto"/>
      </w:pPr>
      <w:r>
        <w:separator/>
      </w:r>
    </w:p>
  </w:footnote>
  <w:footnote w:type="continuationSeparator" w:id="0">
    <w:p w14:paraId="27C7B751" w14:textId="77777777" w:rsidR="00CE3365" w:rsidRDefault="00CE3365" w:rsidP="002F1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212671"/>
      <w:docPartObj>
        <w:docPartGallery w:val="Page Numbers (Top of Page)"/>
        <w:docPartUnique/>
      </w:docPartObj>
    </w:sdtPr>
    <w:sdtEndPr>
      <w:rPr>
        <w:noProof/>
      </w:rPr>
    </w:sdtEndPr>
    <w:sdtContent>
      <w:p w14:paraId="1E99E1E1" w14:textId="77777777" w:rsidR="002F1C97" w:rsidRDefault="002F1C97">
        <w:pPr>
          <w:pStyle w:val="a3"/>
          <w:jc w:val="right"/>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A6E2F"/>
    <w:multiLevelType w:val="hybridMultilevel"/>
    <w:tmpl w:val="8918DF90"/>
    <w:lvl w:ilvl="0" w:tplc="20000009">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 w15:restartNumberingAfterBreak="0">
    <w:nsid w:val="15D95227"/>
    <w:multiLevelType w:val="hybridMultilevel"/>
    <w:tmpl w:val="BB7ABC02"/>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83D20B1"/>
    <w:multiLevelType w:val="hybridMultilevel"/>
    <w:tmpl w:val="C99ABC42"/>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 w15:restartNumberingAfterBreak="0">
    <w:nsid w:val="3CC100D2"/>
    <w:multiLevelType w:val="hybridMultilevel"/>
    <w:tmpl w:val="4E38104A"/>
    <w:lvl w:ilvl="0" w:tplc="20000009">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4" w15:restartNumberingAfterBreak="0">
    <w:nsid w:val="48872D97"/>
    <w:multiLevelType w:val="hybridMultilevel"/>
    <w:tmpl w:val="5A84F456"/>
    <w:lvl w:ilvl="0" w:tplc="20000009">
      <w:start w:val="1"/>
      <w:numFmt w:val="bullet"/>
      <w:lvlText w:val=""/>
      <w:lvlJc w:val="left"/>
      <w:pPr>
        <w:ind w:left="1505" w:hanging="360"/>
      </w:pPr>
      <w:rPr>
        <w:rFonts w:ascii="Wingdings" w:hAnsi="Wingdings" w:hint="default"/>
      </w:rPr>
    </w:lvl>
    <w:lvl w:ilvl="1" w:tplc="20000003" w:tentative="1">
      <w:start w:val="1"/>
      <w:numFmt w:val="bullet"/>
      <w:lvlText w:val="o"/>
      <w:lvlJc w:val="left"/>
      <w:pPr>
        <w:ind w:left="2225" w:hanging="360"/>
      </w:pPr>
      <w:rPr>
        <w:rFonts w:ascii="Courier New" w:hAnsi="Courier New" w:cs="Courier New" w:hint="default"/>
      </w:rPr>
    </w:lvl>
    <w:lvl w:ilvl="2" w:tplc="20000005" w:tentative="1">
      <w:start w:val="1"/>
      <w:numFmt w:val="bullet"/>
      <w:lvlText w:val=""/>
      <w:lvlJc w:val="left"/>
      <w:pPr>
        <w:ind w:left="2945" w:hanging="360"/>
      </w:pPr>
      <w:rPr>
        <w:rFonts w:ascii="Wingdings" w:hAnsi="Wingdings" w:hint="default"/>
      </w:rPr>
    </w:lvl>
    <w:lvl w:ilvl="3" w:tplc="20000001" w:tentative="1">
      <w:start w:val="1"/>
      <w:numFmt w:val="bullet"/>
      <w:lvlText w:val=""/>
      <w:lvlJc w:val="left"/>
      <w:pPr>
        <w:ind w:left="3665" w:hanging="360"/>
      </w:pPr>
      <w:rPr>
        <w:rFonts w:ascii="Symbol" w:hAnsi="Symbol" w:hint="default"/>
      </w:rPr>
    </w:lvl>
    <w:lvl w:ilvl="4" w:tplc="20000003" w:tentative="1">
      <w:start w:val="1"/>
      <w:numFmt w:val="bullet"/>
      <w:lvlText w:val="o"/>
      <w:lvlJc w:val="left"/>
      <w:pPr>
        <w:ind w:left="4385" w:hanging="360"/>
      </w:pPr>
      <w:rPr>
        <w:rFonts w:ascii="Courier New" w:hAnsi="Courier New" w:cs="Courier New" w:hint="default"/>
      </w:rPr>
    </w:lvl>
    <w:lvl w:ilvl="5" w:tplc="20000005" w:tentative="1">
      <w:start w:val="1"/>
      <w:numFmt w:val="bullet"/>
      <w:lvlText w:val=""/>
      <w:lvlJc w:val="left"/>
      <w:pPr>
        <w:ind w:left="5105" w:hanging="360"/>
      </w:pPr>
      <w:rPr>
        <w:rFonts w:ascii="Wingdings" w:hAnsi="Wingdings" w:hint="default"/>
      </w:rPr>
    </w:lvl>
    <w:lvl w:ilvl="6" w:tplc="20000001" w:tentative="1">
      <w:start w:val="1"/>
      <w:numFmt w:val="bullet"/>
      <w:lvlText w:val=""/>
      <w:lvlJc w:val="left"/>
      <w:pPr>
        <w:ind w:left="5825" w:hanging="360"/>
      </w:pPr>
      <w:rPr>
        <w:rFonts w:ascii="Symbol" w:hAnsi="Symbol" w:hint="default"/>
      </w:rPr>
    </w:lvl>
    <w:lvl w:ilvl="7" w:tplc="20000003" w:tentative="1">
      <w:start w:val="1"/>
      <w:numFmt w:val="bullet"/>
      <w:lvlText w:val="o"/>
      <w:lvlJc w:val="left"/>
      <w:pPr>
        <w:ind w:left="6545" w:hanging="360"/>
      </w:pPr>
      <w:rPr>
        <w:rFonts w:ascii="Courier New" w:hAnsi="Courier New" w:cs="Courier New" w:hint="default"/>
      </w:rPr>
    </w:lvl>
    <w:lvl w:ilvl="8" w:tplc="20000005" w:tentative="1">
      <w:start w:val="1"/>
      <w:numFmt w:val="bullet"/>
      <w:lvlText w:val=""/>
      <w:lvlJc w:val="left"/>
      <w:pPr>
        <w:ind w:left="7265" w:hanging="360"/>
      </w:pPr>
      <w:rPr>
        <w:rFonts w:ascii="Wingdings" w:hAnsi="Wingdings" w:hint="default"/>
      </w:rPr>
    </w:lvl>
  </w:abstractNum>
  <w:abstractNum w:abstractNumId="5" w15:restartNumberingAfterBreak="0">
    <w:nsid w:val="56ED7F0E"/>
    <w:multiLevelType w:val="hybridMultilevel"/>
    <w:tmpl w:val="37ECBEE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 w15:restartNumberingAfterBreak="0">
    <w:nsid w:val="57AE7ECD"/>
    <w:multiLevelType w:val="hybridMultilevel"/>
    <w:tmpl w:val="8668C646"/>
    <w:lvl w:ilvl="0" w:tplc="E6841484">
      <w:start w:val="1"/>
      <w:numFmt w:val="bullet"/>
      <w:lvlText w:val="•"/>
      <w:lvlJc w:val="left"/>
      <w:pPr>
        <w:ind w:left="36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BFC6CC8">
      <w:start w:val="1"/>
      <w:numFmt w:val="bullet"/>
      <w:lvlText w:val="o"/>
      <w:lvlJc w:val="left"/>
      <w:pPr>
        <w:ind w:left="118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D486AB2">
      <w:start w:val="1"/>
      <w:numFmt w:val="bullet"/>
      <w:lvlText w:val="▪"/>
      <w:lvlJc w:val="left"/>
      <w:pPr>
        <w:ind w:left="19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A43C24DA">
      <w:start w:val="1"/>
      <w:numFmt w:val="bullet"/>
      <w:lvlText w:val="•"/>
      <w:lvlJc w:val="left"/>
      <w:pPr>
        <w:ind w:left="262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31968FF4">
      <w:start w:val="1"/>
      <w:numFmt w:val="bullet"/>
      <w:lvlText w:val="o"/>
      <w:lvlJc w:val="left"/>
      <w:pPr>
        <w:ind w:left="334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EEFA6BE6">
      <w:start w:val="1"/>
      <w:numFmt w:val="bullet"/>
      <w:lvlText w:val="▪"/>
      <w:lvlJc w:val="left"/>
      <w:pPr>
        <w:ind w:left="406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C930C138">
      <w:start w:val="1"/>
      <w:numFmt w:val="bullet"/>
      <w:lvlText w:val="•"/>
      <w:lvlJc w:val="left"/>
      <w:pPr>
        <w:ind w:left="47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13366388">
      <w:start w:val="1"/>
      <w:numFmt w:val="bullet"/>
      <w:lvlText w:val="o"/>
      <w:lvlJc w:val="left"/>
      <w:pPr>
        <w:ind w:left="55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EFD671DE">
      <w:start w:val="1"/>
      <w:numFmt w:val="bullet"/>
      <w:lvlText w:val="▪"/>
      <w:lvlJc w:val="left"/>
      <w:pPr>
        <w:ind w:left="622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526017552">
    <w:abstractNumId w:val="6"/>
  </w:num>
  <w:num w:numId="2" w16cid:durableId="471798338">
    <w:abstractNumId w:val="5"/>
  </w:num>
  <w:num w:numId="3" w16cid:durableId="298919298">
    <w:abstractNumId w:val="2"/>
  </w:num>
  <w:num w:numId="4" w16cid:durableId="621956643">
    <w:abstractNumId w:val="3"/>
  </w:num>
  <w:num w:numId="5" w16cid:durableId="1135412102">
    <w:abstractNumId w:val="0"/>
  </w:num>
  <w:num w:numId="6" w16cid:durableId="208957829">
    <w:abstractNumId w:val="4"/>
  </w:num>
  <w:num w:numId="7" w16cid:durableId="1973513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786"/>
    <w:rsid w:val="0003326D"/>
    <w:rsid w:val="000F6225"/>
    <w:rsid w:val="001D0A9B"/>
    <w:rsid w:val="0020295B"/>
    <w:rsid w:val="002F1C97"/>
    <w:rsid w:val="00401712"/>
    <w:rsid w:val="005425BD"/>
    <w:rsid w:val="00672D4E"/>
    <w:rsid w:val="006B62D1"/>
    <w:rsid w:val="006C747D"/>
    <w:rsid w:val="00714D40"/>
    <w:rsid w:val="00734C2D"/>
    <w:rsid w:val="00755786"/>
    <w:rsid w:val="008037DF"/>
    <w:rsid w:val="00881D6D"/>
    <w:rsid w:val="008A6159"/>
    <w:rsid w:val="00A61036"/>
    <w:rsid w:val="00AF3F4D"/>
    <w:rsid w:val="00BF3E11"/>
    <w:rsid w:val="00CC5ECB"/>
    <w:rsid w:val="00CE3365"/>
    <w:rsid w:val="00D1432D"/>
    <w:rsid w:val="00D30D15"/>
    <w:rsid w:val="00D6765B"/>
    <w:rsid w:val="00DE110B"/>
    <w:rsid w:val="00DF7E8C"/>
    <w:rsid w:val="00E35204"/>
    <w:rsid w:val="00ED7712"/>
    <w:rsid w:val="00F96A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4EA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ED77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ED77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755786"/>
    <w:pPr>
      <w:spacing w:after="0" w:line="240" w:lineRule="auto"/>
    </w:pPr>
    <w:rPr>
      <w:rFonts w:eastAsiaTheme="minorEastAsia"/>
    </w:rPr>
    <w:tblPr>
      <w:tblCellMar>
        <w:top w:w="0" w:type="dxa"/>
        <w:left w:w="0" w:type="dxa"/>
        <w:bottom w:w="0" w:type="dxa"/>
        <w:right w:w="0" w:type="dxa"/>
      </w:tblCellMar>
    </w:tblPr>
  </w:style>
  <w:style w:type="paragraph" w:styleId="a3">
    <w:name w:val="header"/>
    <w:basedOn w:val="a"/>
    <w:link w:val="a4"/>
    <w:uiPriority w:val="99"/>
    <w:unhideWhenUsed/>
    <w:rsid w:val="002F1C97"/>
    <w:pPr>
      <w:tabs>
        <w:tab w:val="center" w:pos="4513"/>
        <w:tab w:val="right" w:pos="9026"/>
      </w:tabs>
      <w:spacing w:after="0" w:line="240" w:lineRule="auto"/>
    </w:pPr>
  </w:style>
  <w:style w:type="character" w:customStyle="1" w:styleId="a4">
    <w:name w:val="Верхний колонтитул Знак"/>
    <w:basedOn w:val="a0"/>
    <w:link w:val="a3"/>
    <w:uiPriority w:val="99"/>
    <w:rsid w:val="002F1C97"/>
    <w:rPr>
      <w:lang w:val="en-GB"/>
    </w:rPr>
  </w:style>
  <w:style w:type="paragraph" w:styleId="a5">
    <w:name w:val="footer"/>
    <w:basedOn w:val="a"/>
    <w:link w:val="a6"/>
    <w:uiPriority w:val="99"/>
    <w:unhideWhenUsed/>
    <w:rsid w:val="002F1C97"/>
    <w:pPr>
      <w:tabs>
        <w:tab w:val="center" w:pos="4513"/>
        <w:tab w:val="right" w:pos="9026"/>
      </w:tabs>
      <w:spacing w:after="0" w:line="240" w:lineRule="auto"/>
    </w:pPr>
  </w:style>
  <w:style w:type="character" w:customStyle="1" w:styleId="a6">
    <w:name w:val="Нижний колонтитул Знак"/>
    <w:basedOn w:val="a0"/>
    <w:link w:val="a5"/>
    <w:uiPriority w:val="99"/>
    <w:rsid w:val="002F1C97"/>
    <w:rPr>
      <w:lang w:val="en-GB"/>
    </w:rPr>
  </w:style>
  <w:style w:type="character" w:styleId="a7">
    <w:name w:val="Hyperlink"/>
    <w:basedOn w:val="a0"/>
    <w:uiPriority w:val="99"/>
    <w:unhideWhenUsed/>
    <w:rsid w:val="00DF7E8C"/>
    <w:rPr>
      <w:color w:val="0563C1" w:themeColor="hyperlink"/>
      <w:u w:val="single"/>
    </w:rPr>
  </w:style>
  <w:style w:type="paragraph" w:styleId="a8">
    <w:name w:val="caption"/>
    <w:basedOn w:val="a"/>
    <w:next w:val="a"/>
    <w:uiPriority w:val="35"/>
    <w:unhideWhenUsed/>
    <w:qFormat/>
    <w:rsid w:val="00DE110B"/>
    <w:pPr>
      <w:spacing w:after="200" w:line="240" w:lineRule="auto"/>
    </w:pPr>
    <w:rPr>
      <w:i/>
      <w:iCs/>
      <w:color w:val="44546A" w:themeColor="text2"/>
      <w:sz w:val="18"/>
      <w:szCs w:val="18"/>
    </w:rPr>
  </w:style>
  <w:style w:type="character" w:styleId="a9">
    <w:name w:val="Unresolved Mention"/>
    <w:basedOn w:val="a0"/>
    <w:uiPriority w:val="99"/>
    <w:semiHidden/>
    <w:unhideWhenUsed/>
    <w:rsid w:val="00DE110B"/>
    <w:rPr>
      <w:color w:val="605E5C"/>
      <w:shd w:val="clear" w:color="auto" w:fill="E1DFDD"/>
    </w:rPr>
  </w:style>
  <w:style w:type="paragraph" w:styleId="aa">
    <w:name w:val="List Paragraph"/>
    <w:basedOn w:val="a"/>
    <w:uiPriority w:val="34"/>
    <w:qFormat/>
    <w:rsid w:val="00DE110B"/>
    <w:pPr>
      <w:ind w:left="720"/>
      <w:contextualSpacing/>
    </w:pPr>
  </w:style>
  <w:style w:type="character" w:customStyle="1" w:styleId="10">
    <w:name w:val="Заголовок 1 Знак"/>
    <w:basedOn w:val="a0"/>
    <w:link w:val="1"/>
    <w:uiPriority w:val="9"/>
    <w:rsid w:val="00ED7712"/>
    <w:rPr>
      <w:rFonts w:asciiTheme="majorHAnsi" w:eastAsiaTheme="majorEastAsia" w:hAnsiTheme="majorHAnsi" w:cstheme="majorBidi"/>
      <w:color w:val="2F5496" w:themeColor="accent1" w:themeShade="BF"/>
      <w:sz w:val="32"/>
      <w:szCs w:val="32"/>
      <w:lang w:val="en-GB"/>
    </w:rPr>
  </w:style>
  <w:style w:type="character" w:customStyle="1" w:styleId="20">
    <w:name w:val="Заголовок 2 Знак"/>
    <w:basedOn w:val="a0"/>
    <w:link w:val="2"/>
    <w:uiPriority w:val="9"/>
    <w:rsid w:val="00ED7712"/>
    <w:rPr>
      <w:rFonts w:asciiTheme="majorHAnsi" w:eastAsiaTheme="majorEastAsia" w:hAnsiTheme="majorHAnsi" w:cstheme="majorBidi"/>
      <w:color w:val="2F5496" w:themeColor="accent1" w:themeShade="BF"/>
      <w:sz w:val="26"/>
      <w:szCs w:val="26"/>
      <w:lang w:val="en-GB"/>
    </w:rPr>
  </w:style>
  <w:style w:type="paragraph" w:styleId="ab">
    <w:name w:val="Title"/>
    <w:basedOn w:val="a"/>
    <w:next w:val="a"/>
    <w:link w:val="ac"/>
    <w:uiPriority w:val="10"/>
    <w:qFormat/>
    <w:rsid w:val="004017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b"/>
    <w:uiPriority w:val="10"/>
    <w:rsid w:val="00401712"/>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86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yperlink" Target="https://www.midandsouthessex.ics.nhs.uk/about/integrated-care-strategy-2023-33/what-is-important/" TargetMode="Externa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image" Target="media/image1.png"/><Relationship Id="rId12" Type="http://schemas.openxmlformats.org/officeDocument/2006/relationships/hyperlink" Target="https://www.nhsconfed.org/publications/integrated-care-systems-ics" TargetMode="Externa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ssib.org.uk/patient-safety-investigations/care-delivery-within-community-mental-health-teams/investigation-report/" TargetMode="External"/><Relationship Id="rId20" Type="http://schemas.openxmlformats.org/officeDocument/2006/relationships/hyperlink" Target="https://www.mdpi.com/1660-4601/21/6/7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www.england.nhs.uk/mental-health/adults/cmhs/" TargetMode="External"/><Relationship Id="rId10" Type="http://schemas.openxmlformats.org/officeDocument/2006/relationships/hyperlink" Target="https://www.mdpi.com/1660-4601/15/6/1279"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researchgate.net/figure/Comprehensive-collaborative-and-community-based-care-C4-framework-for-LMICs_fig1_368857198" TargetMode="External"/><Relationship Id="rId22" Type="http://schemas.openxmlformats.org/officeDocument/2006/relationships/hyperlink" Target="https://www.weforum.org/stories/2021/01/covid-digital-divide-learning-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2214</Words>
  <Characters>13285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2026-03-18T06:53:00Z</dcterms:created>
  <dcterms:modified xsi:type="dcterms:W3CDTF">2026-03-18T06:53:00Z</dcterms:modified>
</cp:coreProperties>
</file>