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3BE773" w14:textId="6F111BDD" w:rsidR="001953BB" w:rsidRDefault="00E15909"/>
    <w:p w14:paraId="38D53AC5" w14:textId="249138F0" w:rsidR="0037373C" w:rsidRPr="0037373C" w:rsidRDefault="0037373C" w:rsidP="0037373C">
      <w:pPr>
        <w:rPr>
          <w:b/>
          <w:bCs/>
          <w:sz w:val="28"/>
          <w:szCs w:val="28"/>
        </w:rPr>
      </w:pPr>
      <w:r w:rsidRPr="0037373C">
        <w:rPr>
          <w:b/>
          <w:bCs/>
          <w:sz w:val="28"/>
          <w:szCs w:val="28"/>
        </w:rPr>
        <w:t xml:space="preserve">Understanding Employee Engagement </w:t>
      </w:r>
      <w:r w:rsidR="003D01C0">
        <w:rPr>
          <w:b/>
          <w:bCs/>
          <w:sz w:val="28"/>
          <w:szCs w:val="28"/>
        </w:rPr>
        <w:t>(5EEKG)</w:t>
      </w:r>
    </w:p>
    <w:p w14:paraId="7980A0B6" w14:textId="77777777" w:rsidR="0037373C" w:rsidRDefault="0037373C" w:rsidP="0037373C">
      <w:pPr>
        <w:rPr>
          <w:sz w:val="28"/>
          <w:szCs w:val="28"/>
        </w:rPr>
      </w:pPr>
    </w:p>
    <w:p w14:paraId="56A26199" w14:textId="77777777" w:rsidR="0037373C" w:rsidRDefault="0037373C" w:rsidP="0037373C">
      <w:pPr>
        <w:rPr>
          <w:sz w:val="28"/>
          <w:szCs w:val="28"/>
        </w:rPr>
      </w:pPr>
    </w:p>
    <w:p w14:paraId="0EBB5E26" w14:textId="77777777" w:rsidR="0037373C" w:rsidRDefault="0037373C" w:rsidP="0037373C">
      <w:pPr>
        <w:rPr>
          <w:sz w:val="28"/>
          <w:szCs w:val="28"/>
        </w:rPr>
      </w:pPr>
      <w:r>
        <w:rPr>
          <w:sz w:val="28"/>
          <w:szCs w:val="28"/>
        </w:rPr>
        <w:t xml:space="preserve">Name: Victoria Lauren Evans </w:t>
      </w:r>
    </w:p>
    <w:p w14:paraId="45178E6D" w14:textId="77777777" w:rsidR="0037373C" w:rsidRDefault="0037373C" w:rsidP="0037373C">
      <w:pPr>
        <w:rPr>
          <w:sz w:val="28"/>
          <w:szCs w:val="28"/>
        </w:rPr>
      </w:pPr>
    </w:p>
    <w:p w14:paraId="33BFD566" w14:textId="77777777" w:rsidR="0037373C" w:rsidRDefault="0037373C" w:rsidP="0037373C">
      <w:pPr>
        <w:rPr>
          <w:sz w:val="28"/>
          <w:szCs w:val="28"/>
        </w:rPr>
      </w:pPr>
      <w:r>
        <w:rPr>
          <w:sz w:val="28"/>
          <w:szCs w:val="28"/>
        </w:rPr>
        <w:t>CIPD Membership Number: 48734057</w:t>
      </w:r>
    </w:p>
    <w:p w14:paraId="616A6FD0" w14:textId="77777777" w:rsidR="0037373C" w:rsidRDefault="0037373C" w:rsidP="0037373C">
      <w:pPr>
        <w:rPr>
          <w:sz w:val="28"/>
          <w:szCs w:val="28"/>
        </w:rPr>
      </w:pPr>
    </w:p>
    <w:p w14:paraId="4B505C86" w14:textId="3EC7043D" w:rsidR="0037373C" w:rsidRDefault="0037373C" w:rsidP="0037373C">
      <w:pPr>
        <w:rPr>
          <w:sz w:val="28"/>
          <w:szCs w:val="28"/>
        </w:rPr>
      </w:pPr>
      <w:r>
        <w:rPr>
          <w:sz w:val="28"/>
          <w:szCs w:val="28"/>
        </w:rPr>
        <w:t xml:space="preserve">Date: Submitted </w:t>
      </w:r>
      <w:r>
        <w:rPr>
          <w:sz w:val="28"/>
          <w:szCs w:val="28"/>
        </w:rPr>
        <w:t>10.12.2020 (late submission approved by EC Form)</w:t>
      </w:r>
    </w:p>
    <w:p w14:paraId="64FA51FA" w14:textId="77777777" w:rsidR="0037373C" w:rsidRDefault="0037373C" w:rsidP="0037373C">
      <w:pPr>
        <w:rPr>
          <w:sz w:val="28"/>
          <w:szCs w:val="28"/>
        </w:rPr>
      </w:pPr>
    </w:p>
    <w:p w14:paraId="7227C0BB" w14:textId="77777777" w:rsidR="0037373C" w:rsidRDefault="0037373C" w:rsidP="0037373C">
      <w:pPr>
        <w:rPr>
          <w:sz w:val="28"/>
          <w:szCs w:val="28"/>
        </w:rPr>
      </w:pPr>
    </w:p>
    <w:p w14:paraId="7A19A8C3" w14:textId="77777777" w:rsidR="0037373C" w:rsidRDefault="0037373C" w:rsidP="0037373C">
      <w:pPr>
        <w:rPr>
          <w:sz w:val="28"/>
          <w:szCs w:val="28"/>
        </w:rPr>
      </w:pPr>
    </w:p>
    <w:p w14:paraId="456C3128" w14:textId="7F35B7CD" w:rsidR="0037373C" w:rsidRDefault="0037373C" w:rsidP="0037373C">
      <w:pPr>
        <w:spacing w:after="0" w:line="240" w:lineRule="auto"/>
        <w:rPr>
          <w:rFonts w:cs="Arial"/>
          <w:sz w:val="28"/>
          <w:szCs w:val="28"/>
        </w:rPr>
      </w:pPr>
      <w:r>
        <w:rPr>
          <w:rFonts w:cs="Arial"/>
          <w:sz w:val="28"/>
          <w:szCs w:val="28"/>
        </w:rPr>
        <w:t xml:space="preserve">Word count: </w:t>
      </w:r>
      <w:r w:rsidR="00DE5A53">
        <w:rPr>
          <w:rFonts w:cs="Arial"/>
          <w:sz w:val="28"/>
          <w:szCs w:val="28"/>
        </w:rPr>
        <w:t xml:space="preserve">3,004 </w:t>
      </w:r>
      <w:bookmarkStart w:id="0" w:name="_GoBack"/>
      <w:bookmarkEnd w:id="0"/>
      <w:r>
        <w:rPr>
          <w:rFonts w:cs="Arial"/>
          <w:sz w:val="28"/>
          <w:szCs w:val="28"/>
        </w:rPr>
        <w:t xml:space="preserve">(excluding References) </w:t>
      </w:r>
    </w:p>
    <w:p w14:paraId="62A6B028" w14:textId="77777777" w:rsidR="0037373C" w:rsidRDefault="0037373C" w:rsidP="0037373C">
      <w:pPr>
        <w:rPr>
          <w:b/>
          <w:sz w:val="28"/>
          <w:szCs w:val="28"/>
        </w:rPr>
      </w:pPr>
    </w:p>
    <w:p w14:paraId="2FC0EC90" w14:textId="77777777" w:rsidR="0037373C" w:rsidRDefault="0037373C" w:rsidP="0037373C">
      <w:pPr>
        <w:rPr>
          <w:rFonts w:cs="Arial"/>
          <w:sz w:val="28"/>
          <w:szCs w:val="28"/>
        </w:rPr>
      </w:pPr>
      <w:r>
        <w:rPr>
          <w:rFonts w:cs="Arial"/>
          <w:sz w:val="28"/>
          <w:szCs w:val="28"/>
        </w:rPr>
        <w:t>By signing below, I confirm that the work/evidence presented is my own, unaided work. I understand the regulations pertaining to candidate malpractice and the action that may be taken as a result.</w:t>
      </w:r>
    </w:p>
    <w:p w14:paraId="174017B9" w14:textId="65DABB69" w:rsidR="0037373C" w:rsidRDefault="0037373C" w:rsidP="0037373C">
      <w:pPr>
        <w:rPr>
          <w:rFonts w:cs="Arial"/>
          <w:sz w:val="28"/>
          <w:szCs w:val="28"/>
        </w:rPr>
      </w:pPr>
      <w:r>
        <w:rPr>
          <w:rFonts w:cs="Arial"/>
          <w:noProof/>
          <w:sz w:val="28"/>
          <w:szCs w:val="28"/>
        </w:rPr>
        <w:drawing>
          <wp:anchor distT="0" distB="0" distL="114300" distR="114300" simplePos="0" relativeHeight="251658240" behindDoc="0" locked="0" layoutInCell="1" allowOverlap="1" wp14:anchorId="2150CBC2" wp14:editId="50FE00A2">
            <wp:simplePos x="0" y="0"/>
            <wp:positionH relativeFrom="column">
              <wp:posOffset>668020</wp:posOffset>
            </wp:positionH>
            <wp:positionV relativeFrom="paragraph">
              <wp:posOffset>225425</wp:posOffset>
            </wp:positionV>
            <wp:extent cx="1593850" cy="461645"/>
            <wp:effectExtent l="0" t="0" r="635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93850" cy="461645"/>
                    </a:xfrm>
                    <a:prstGeom prst="rect">
                      <a:avLst/>
                    </a:prstGeom>
                  </pic:spPr>
                </pic:pic>
              </a:graphicData>
            </a:graphic>
            <wp14:sizeRelH relativeFrom="page">
              <wp14:pctWidth>0</wp14:pctWidth>
            </wp14:sizeRelH>
            <wp14:sizeRelV relativeFrom="page">
              <wp14:pctHeight>0</wp14:pctHeight>
            </wp14:sizeRelV>
          </wp:anchor>
        </w:drawing>
      </w:r>
    </w:p>
    <w:p w14:paraId="10DACBA8" w14:textId="613914AB" w:rsidR="0037373C" w:rsidRDefault="0037373C" w:rsidP="0037373C">
      <w:pPr>
        <w:rPr>
          <w:rFonts w:cs="Arial"/>
          <w:sz w:val="28"/>
          <w:szCs w:val="28"/>
        </w:rPr>
      </w:pPr>
      <w:r>
        <w:rPr>
          <w:rFonts w:cs="Arial"/>
          <w:sz w:val="28"/>
          <w:szCs w:val="28"/>
        </w:rPr>
        <w:t xml:space="preserve">Signed: </w:t>
      </w:r>
    </w:p>
    <w:p w14:paraId="300240BE" w14:textId="77777777" w:rsidR="0037373C" w:rsidRDefault="0037373C" w:rsidP="0037373C">
      <w:pPr>
        <w:rPr>
          <w:rFonts w:cs="Arial"/>
          <w:sz w:val="28"/>
          <w:szCs w:val="28"/>
        </w:rPr>
      </w:pPr>
    </w:p>
    <w:p w14:paraId="34C3AF65" w14:textId="25134703" w:rsidR="0037373C" w:rsidRDefault="0037373C" w:rsidP="0037373C">
      <w:pPr>
        <w:rPr>
          <w:rFonts w:cs="Arial"/>
          <w:sz w:val="28"/>
          <w:szCs w:val="28"/>
        </w:rPr>
      </w:pPr>
      <w:r>
        <w:rPr>
          <w:rFonts w:cs="Arial"/>
          <w:sz w:val="28"/>
          <w:szCs w:val="28"/>
        </w:rPr>
        <w:t xml:space="preserve">Date: </w:t>
      </w:r>
      <w:r>
        <w:rPr>
          <w:rFonts w:cs="Arial"/>
          <w:sz w:val="28"/>
          <w:szCs w:val="28"/>
        </w:rPr>
        <w:t>10.12</w:t>
      </w:r>
      <w:r>
        <w:rPr>
          <w:rFonts w:cs="Arial"/>
          <w:sz w:val="28"/>
          <w:szCs w:val="28"/>
        </w:rPr>
        <w:t>.2020</w:t>
      </w:r>
    </w:p>
    <w:p w14:paraId="522C747B" w14:textId="77777777" w:rsidR="0037373C" w:rsidRDefault="0037373C" w:rsidP="0037373C">
      <w:pPr>
        <w:spacing w:after="0" w:line="240" w:lineRule="auto"/>
        <w:rPr>
          <w:rFonts w:cs="Arial"/>
        </w:rPr>
      </w:pPr>
    </w:p>
    <w:p w14:paraId="0E7D74C5" w14:textId="77777777" w:rsidR="0037373C" w:rsidRDefault="0037373C" w:rsidP="0037373C">
      <w:pPr>
        <w:spacing w:after="0" w:line="240" w:lineRule="auto"/>
        <w:rPr>
          <w:rFonts w:cs="Arial"/>
        </w:rPr>
      </w:pPr>
    </w:p>
    <w:p w14:paraId="7DF5541F" w14:textId="77777777" w:rsidR="0037373C" w:rsidRDefault="0037373C" w:rsidP="0037373C">
      <w:pPr>
        <w:rPr>
          <w:rFonts w:ascii="Arial" w:hAnsi="Arial" w:cs="Arial"/>
          <w:b/>
          <w:sz w:val="20"/>
          <w:szCs w:val="20"/>
        </w:rPr>
      </w:pPr>
    </w:p>
    <w:p w14:paraId="47A9300F" w14:textId="77777777" w:rsidR="0037373C" w:rsidRDefault="0037373C" w:rsidP="0037373C">
      <w:pPr>
        <w:rPr>
          <w:rFonts w:ascii="Arial" w:hAnsi="Arial" w:cs="Arial"/>
          <w:b/>
          <w:sz w:val="20"/>
          <w:szCs w:val="20"/>
        </w:rPr>
      </w:pPr>
    </w:p>
    <w:p w14:paraId="3837A8FB" w14:textId="63138A8E" w:rsidR="005F1878" w:rsidRDefault="005F1878">
      <w:pPr>
        <w:rPr>
          <w:rFonts w:ascii="Arial" w:hAnsi="Arial" w:cs="Arial"/>
          <w:b/>
          <w:sz w:val="20"/>
          <w:szCs w:val="20"/>
        </w:rPr>
      </w:pPr>
    </w:p>
    <w:p w14:paraId="7FB75B40" w14:textId="3834AC26" w:rsidR="003D01C0" w:rsidRDefault="003D01C0">
      <w:pPr>
        <w:rPr>
          <w:rFonts w:ascii="Arial" w:hAnsi="Arial" w:cs="Arial"/>
          <w:b/>
          <w:sz w:val="20"/>
          <w:szCs w:val="20"/>
        </w:rPr>
      </w:pPr>
    </w:p>
    <w:p w14:paraId="57BCF80F" w14:textId="77777777" w:rsidR="003D01C0" w:rsidRDefault="003D01C0">
      <w:pPr>
        <w:rPr>
          <w:b/>
          <w:bCs/>
          <w:u w:val="single"/>
        </w:rPr>
      </w:pPr>
    </w:p>
    <w:p w14:paraId="042C227E" w14:textId="77777777" w:rsidR="00726A26" w:rsidRDefault="00726A26">
      <w:pPr>
        <w:rPr>
          <w:b/>
          <w:bCs/>
          <w:u w:val="single"/>
        </w:rPr>
      </w:pPr>
    </w:p>
    <w:p w14:paraId="603A69BB" w14:textId="77777777" w:rsidR="00726A26" w:rsidRDefault="00726A26">
      <w:pPr>
        <w:rPr>
          <w:b/>
          <w:bCs/>
          <w:u w:val="single"/>
        </w:rPr>
      </w:pPr>
    </w:p>
    <w:p w14:paraId="72294776" w14:textId="2C33F493" w:rsidR="00EA7768" w:rsidRPr="00A16F69" w:rsidRDefault="00EA7768">
      <w:pPr>
        <w:rPr>
          <w:b/>
          <w:bCs/>
          <w:u w:val="single"/>
        </w:rPr>
      </w:pPr>
      <w:r w:rsidRPr="00A16F69">
        <w:rPr>
          <w:b/>
          <w:bCs/>
          <w:u w:val="single"/>
        </w:rPr>
        <w:lastRenderedPageBreak/>
        <w:t xml:space="preserve">Understanding Employee Engagement </w:t>
      </w:r>
    </w:p>
    <w:p w14:paraId="27F3075C" w14:textId="7A9D8E48" w:rsidR="00DC599B" w:rsidRDefault="00EA7768">
      <w:r w:rsidRPr="00117598">
        <w:t xml:space="preserve">Employee engagement can be broadly defined as the focus on “mutual gains in employment relationships” (CIPD, 2019) where both the employee and their employer pursue advantages that satisfy both parties. For example, </w:t>
      </w:r>
      <w:r w:rsidR="00A16F69" w:rsidRPr="00117598">
        <w:t>seeking engagement and job satisfaction for employees,</w:t>
      </w:r>
      <w:r w:rsidRPr="00117598">
        <w:t xml:space="preserve"> and</w:t>
      </w:r>
      <w:r w:rsidR="00A16F69" w:rsidRPr="00117598">
        <w:t xml:space="preserve"> in turn commitment and performance that will benefit the organisation</w:t>
      </w:r>
      <w:r w:rsidRPr="00117598">
        <w:t xml:space="preserve">. </w:t>
      </w:r>
      <w:r w:rsidR="00A16F69" w:rsidRPr="00117598">
        <w:t>It can be said that employee engagement is hard to define, as there are so many factors that make up employee engagement and therefore, no common definition is widely used. The 2009 McLeod review found that there were over 50 definitions of employee engagement, and largely, these relate to job satisfaction and employee reward and recognition</w:t>
      </w:r>
      <w:r w:rsidR="00726A26">
        <w:t xml:space="preserve"> (McLeod, 2009)</w:t>
      </w:r>
      <w:r w:rsidR="00A16F69" w:rsidRPr="00117598">
        <w:t>.</w:t>
      </w:r>
      <w:r w:rsidR="00F36546">
        <w:t xml:space="preserve"> More recently, organisations have focused engagement initiatives around less tangible rewards, develop</w:t>
      </w:r>
      <w:r w:rsidR="001E707E">
        <w:t>ing</w:t>
      </w:r>
      <w:r w:rsidR="00F36546">
        <w:t xml:space="preserve"> engagement strategies around wellbeing and work-life balance for their employees</w:t>
      </w:r>
      <w:r w:rsidR="001E707E">
        <w:t xml:space="preserve">. This change in approach has mainly been led by changes in the workforce - namely workforce demographics – coupled with the shifting demands this demographic requires from their work and ultimately, their employers. </w:t>
      </w:r>
    </w:p>
    <w:p w14:paraId="12C26DF0" w14:textId="2EA91763" w:rsidR="00EA7768" w:rsidRPr="00117598" w:rsidRDefault="00A639F5">
      <w:r w:rsidRPr="00117598">
        <w:t xml:space="preserve">Employee engagement can be directly linked to organisational performance through concepts such as commitment, </w:t>
      </w:r>
      <w:r w:rsidR="00845F32" w:rsidRPr="00117598">
        <w:t xml:space="preserve">employee involvement and job satisfaction. Engagement of employees is critical for a business’ competitive advantage with organisations heavily focusing on measuring </w:t>
      </w:r>
      <w:r w:rsidR="00BD2FB5" w:rsidRPr="00117598">
        <w:t xml:space="preserve">engagement and formalising employee engagement initiatives and strategies. This is particularly important as the UK has an engagement (and productivity) deficit, with just one third of UK workers being engaged in their roles (Engage for Success, 2020), demonstrating that there is a clear link between engagement and productivity of employees. It has also been recognised that commitment from employees is a very important factor in how engaged employees are, however, employers and more specifically line managers have a key role to play in how they can engage and motivate their employees. McLeod (2009) wrote that organisations should “create the conditions in which employees offer more of their capability and potential”, </w:t>
      </w:r>
      <w:r w:rsidR="00F93EED" w:rsidRPr="00117598">
        <w:t xml:space="preserve">which can include having an organisation that values employee innovation, encourages participation of employees through a strong employee voice and rewards employees for their commitment. </w:t>
      </w:r>
      <w:r w:rsidR="00BD2FB5" w:rsidRPr="00117598">
        <w:t xml:space="preserve"> </w:t>
      </w:r>
    </w:p>
    <w:p w14:paraId="4A57683E" w14:textId="698742C8" w:rsidR="00F93EED" w:rsidRPr="00117598" w:rsidRDefault="00F93EED">
      <w:r w:rsidRPr="00117598">
        <w:t xml:space="preserve">It has long been cited that engaged employees are more satisfied with their work, and are more likely to remain within an organisation (Balfour and Wechsler, 1994; Cohen 1991), with the majority of employees leaving organisations due to poor management and their overall </w:t>
      </w:r>
      <w:r w:rsidR="00190D3C" w:rsidRPr="00117598">
        <w:t>opinion of the organisation.</w:t>
      </w:r>
      <w:r w:rsidRPr="00117598">
        <w:t xml:space="preserve"> </w:t>
      </w:r>
      <w:r w:rsidR="00190D3C" w:rsidRPr="00117598">
        <w:t>M</w:t>
      </w:r>
      <w:r w:rsidRPr="00117598">
        <w:t>ore recently the CIPD has</w:t>
      </w:r>
      <w:r w:rsidR="00190D3C" w:rsidRPr="00117598">
        <w:t xml:space="preserve"> even changed the employee engagement section on the profession map to employee experience, such is the importance of the overarching experience of employees within organisations. It states that the approach to engagement and wellbeing should be more holistic</w:t>
      </w:r>
      <w:r w:rsidR="00247924" w:rsidRPr="00117598">
        <w:t xml:space="preserve"> </w:t>
      </w:r>
      <w:r w:rsidR="00190D3C" w:rsidRPr="00117598">
        <w:t>and enables employees to be their “best” through employee voice. (CIPD, 2018)</w:t>
      </w:r>
      <w:r w:rsidRPr="00117598">
        <w:t xml:space="preserve">  </w:t>
      </w:r>
    </w:p>
    <w:p w14:paraId="2FC9EA10" w14:textId="379AFC3B" w:rsidR="00C73791" w:rsidRPr="00117598" w:rsidRDefault="0025570A" w:rsidP="00A639F5">
      <w:pPr>
        <w:spacing w:after="0" w:line="240" w:lineRule="auto"/>
        <w:rPr>
          <w:rFonts w:cstheme="minorHAnsi"/>
        </w:rPr>
      </w:pPr>
      <w:r w:rsidRPr="00117598">
        <w:rPr>
          <w:rFonts w:cs="Arial"/>
        </w:rPr>
        <w:t xml:space="preserve">Organisations that have high levels of employee engagement are usually very successful and have competitive advantage within their markets. These organisations have key characteristics that set them apart from organisations who have lower engagement from their workforce, which allow them to gain engagement and buy-in from their employees. In traditional workplaces, leadership is top-down, with very little onus </w:t>
      </w:r>
      <w:r w:rsidR="00394AD2" w:rsidRPr="00117598">
        <w:rPr>
          <w:rFonts w:cs="Arial"/>
        </w:rPr>
        <w:t xml:space="preserve">on employees to be leaders or take ownership. As organisations have developed, there has been a realisation that to engage employees, organisations need to empower their employees to want to take ownership, be innovative and build a strong relationship between the workforce and management to push business </w:t>
      </w:r>
      <w:r w:rsidR="00394AD2" w:rsidRPr="00117598">
        <w:rPr>
          <w:rFonts w:cstheme="minorHAnsi"/>
        </w:rPr>
        <w:t xml:space="preserve">objectives forward. David Marquet developed the idea around “everyone being a leader” within his intent based leadership theory (2013), which encourages </w:t>
      </w:r>
      <w:r w:rsidR="00394AD2" w:rsidRPr="00117598">
        <w:rPr>
          <w:rFonts w:cstheme="minorHAnsi"/>
          <w:color w:val="333333"/>
          <w:shd w:val="clear" w:color="auto" w:fill="FFFFFF"/>
        </w:rPr>
        <w:t>giving control to others rather than dominating control and ensuring that leaders are created, as oppose to followers.</w:t>
      </w:r>
      <w:r w:rsidR="00394AD2" w:rsidRPr="00117598">
        <w:rPr>
          <w:rFonts w:cstheme="minorHAnsi"/>
        </w:rPr>
        <w:t xml:space="preserve"> </w:t>
      </w:r>
      <w:r w:rsidR="00C73791" w:rsidRPr="00117598">
        <w:rPr>
          <w:rFonts w:cstheme="minorHAnsi"/>
        </w:rPr>
        <w:t xml:space="preserve">This theory encourages empowerment and gives employees more satisfaction in their roles, as they can take more accountability for their actions. This also allows for more innovation and employees to raise ideas for business improvement for example, than if they were restricted by top-down management. </w:t>
      </w:r>
    </w:p>
    <w:p w14:paraId="5C244594" w14:textId="77777777" w:rsidR="00C73791" w:rsidRPr="00117598" w:rsidRDefault="00C73791" w:rsidP="00A639F5">
      <w:pPr>
        <w:spacing w:after="0" w:line="240" w:lineRule="auto"/>
        <w:rPr>
          <w:rFonts w:cstheme="minorHAnsi"/>
        </w:rPr>
      </w:pPr>
    </w:p>
    <w:p w14:paraId="7C6BA22A" w14:textId="77777777" w:rsidR="006C6952" w:rsidRDefault="00C73791" w:rsidP="00A639F5">
      <w:pPr>
        <w:spacing w:after="0" w:line="240" w:lineRule="auto"/>
        <w:rPr>
          <w:rFonts w:cstheme="minorHAnsi"/>
          <w:color w:val="282828"/>
          <w:spacing w:val="-3"/>
          <w:shd w:val="clear" w:color="auto" w:fill="FFFFFF"/>
        </w:rPr>
      </w:pPr>
      <w:r w:rsidRPr="00117598">
        <w:rPr>
          <w:rFonts w:cstheme="minorHAnsi"/>
        </w:rPr>
        <w:t>Employees taking more ownership of their roles leads to increased self-motivation and aids productivity within organisations, as employees are more likely to be engaged. It has been said that rewarding employees with tangible things such as financial bonuses or gifts can be damaging to engagement and fail to improve it (Deci &amp; Harlow, 1971), with rewards such as this being seen as a thing of the past particularly in creative workplaces. Pink (2009) built on Deci &amp; Harlow’s theory, and wrote that “carrot and stick” approaches are now outdated and do not address the requirements of modern innovative workplaces, as many employees (particularly millennials) are satisfied by flexibility at work</w:t>
      </w:r>
      <w:r w:rsidR="00FD7A9E" w:rsidRPr="00117598">
        <w:rPr>
          <w:rFonts w:cstheme="minorHAnsi"/>
        </w:rPr>
        <w:t>, employers looking after their wellbeing by promoting work-life balance</w:t>
      </w:r>
      <w:r w:rsidRPr="00117598">
        <w:rPr>
          <w:rFonts w:cstheme="minorHAnsi"/>
        </w:rPr>
        <w:t xml:space="preserve"> and being encouraged to be </w:t>
      </w:r>
      <w:r w:rsidR="00FD7A9E" w:rsidRPr="00117598">
        <w:rPr>
          <w:rFonts w:cstheme="minorHAnsi"/>
        </w:rPr>
        <w:t>thrive</w:t>
      </w:r>
      <w:r w:rsidRPr="00117598">
        <w:rPr>
          <w:rFonts w:cstheme="minorHAnsi"/>
        </w:rPr>
        <w:t xml:space="preserve"> in what they do.</w:t>
      </w:r>
      <w:r w:rsidR="00801B6A" w:rsidRPr="00117598">
        <w:rPr>
          <w:rFonts w:cstheme="minorHAnsi"/>
        </w:rPr>
        <w:t xml:space="preserve"> Patty</w:t>
      </w:r>
      <w:r w:rsidR="00001172" w:rsidRPr="00117598">
        <w:rPr>
          <w:rFonts w:cstheme="minorHAnsi"/>
        </w:rPr>
        <w:t xml:space="preserve"> McCord </w:t>
      </w:r>
      <w:r w:rsidR="00801B6A" w:rsidRPr="00117598">
        <w:rPr>
          <w:rFonts w:cstheme="minorHAnsi"/>
        </w:rPr>
        <w:t xml:space="preserve">overhauled and developed </w:t>
      </w:r>
      <w:r w:rsidR="00001172" w:rsidRPr="00117598">
        <w:rPr>
          <w:rFonts w:cstheme="minorHAnsi"/>
        </w:rPr>
        <w:t xml:space="preserve">Netflix’s culture, </w:t>
      </w:r>
      <w:r w:rsidR="00801B6A" w:rsidRPr="00117598">
        <w:rPr>
          <w:rFonts w:cstheme="minorHAnsi"/>
        </w:rPr>
        <w:t>and she wrote that if an organisation was “car</w:t>
      </w:r>
      <w:r w:rsidR="00801B6A" w:rsidRPr="00117598">
        <w:rPr>
          <w:rFonts w:cstheme="minorHAnsi"/>
          <w:color w:val="282828"/>
          <w:spacing w:val="-3"/>
          <w:shd w:val="clear" w:color="auto" w:fill="FFFFFF"/>
        </w:rPr>
        <w:t xml:space="preserve">eful to hire people who will put the company’s interests first, who understand and support the desire for a high-performance workplace, 97% of employees will do the right thing.” (McCord, 2009) This also links to McCord’s secondary points around high performing and engaged workforces, as by recruiting the right people, a company should not need “gimmicks” to retain, or attract, employees. </w:t>
      </w:r>
    </w:p>
    <w:p w14:paraId="51902682" w14:textId="77777777" w:rsidR="006C6952" w:rsidRDefault="006C6952" w:rsidP="00A639F5">
      <w:pPr>
        <w:spacing w:after="0" w:line="240" w:lineRule="auto"/>
        <w:rPr>
          <w:rFonts w:cstheme="minorHAnsi"/>
          <w:color w:val="282828"/>
          <w:spacing w:val="-3"/>
          <w:shd w:val="clear" w:color="auto" w:fill="FFFFFF"/>
        </w:rPr>
      </w:pPr>
    </w:p>
    <w:p w14:paraId="5C34EF0F" w14:textId="0D621877" w:rsidR="00A639F5" w:rsidRPr="00DC599B" w:rsidRDefault="00801B6A" w:rsidP="00DC599B">
      <w:pPr>
        <w:pStyle w:val="NoSpacing"/>
        <w:rPr>
          <w:shd w:val="clear" w:color="auto" w:fill="FFFFFF"/>
        </w:rPr>
      </w:pPr>
      <w:r w:rsidRPr="00DC599B">
        <w:rPr>
          <w:shd w:val="clear" w:color="auto" w:fill="FFFFFF"/>
        </w:rPr>
        <w:t>There is also notable research around getting to the root cause of why employees don’t engage with their organisation or management within a business. Organisations are sometimes guilty of masking these problems by offering ‘wool</w:t>
      </w:r>
      <w:r w:rsidR="00B9401E" w:rsidRPr="00DC599B">
        <w:rPr>
          <w:shd w:val="clear" w:color="auto" w:fill="FFFFFF"/>
        </w:rPr>
        <w:t>l</w:t>
      </w:r>
      <w:r w:rsidRPr="00DC599B">
        <w:rPr>
          <w:shd w:val="clear" w:color="auto" w:fill="FFFFFF"/>
        </w:rPr>
        <w:t xml:space="preserve">y’ initiatives such as gym membership, free tea and coffee or pool tables in communal areas. </w:t>
      </w:r>
      <w:proofErr w:type="spellStart"/>
      <w:r w:rsidR="00117598" w:rsidRPr="00DC599B">
        <w:rPr>
          <w:shd w:val="clear" w:color="auto" w:fill="FFFFFF"/>
        </w:rPr>
        <w:t>Haudan</w:t>
      </w:r>
      <w:proofErr w:type="spellEnd"/>
      <w:r w:rsidR="00117598" w:rsidRPr="00DC599B">
        <w:rPr>
          <w:shd w:val="clear" w:color="auto" w:fill="FFFFFF"/>
        </w:rPr>
        <w:t xml:space="preserve"> (2008) wrote</w:t>
      </w:r>
      <w:r w:rsidR="006C6952" w:rsidRPr="00DC599B">
        <w:rPr>
          <w:shd w:val="clear" w:color="auto" w:fill="FFFFFF"/>
        </w:rPr>
        <w:t xml:space="preserve"> about why employees are not engaging within organisations and noted</w:t>
      </w:r>
      <w:r w:rsidR="00117598" w:rsidRPr="00DC599B">
        <w:rPr>
          <w:shd w:val="clear" w:color="auto" w:fill="FFFFFF"/>
        </w:rPr>
        <w:t xml:space="preserve"> that </w:t>
      </w:r>
      <w:r w:rsidR="00117598" w:rsidRPr="00DC599B">
        <w:rPr>
          <w:shd w:val="clear" w:color="auto" w:fill="FCFCFC"/>
        </w:rPr>
        <w:t xml:space="preserve">management is the key to employee engagement and productivity. However, </w:t>
      </w:r>
      <w:r w:rsidR="006C6952" w:rsidRPr="00DC599B">
        <w:rPr>
          <w:shd w:val="clear" w:color="auto" w:fill="FCFCFC"/>
        </w:rPr>
        <w:t>managers</w:t>
      </w:r>
      <w:r w:rsidR="00117598" w:rsidRPr="00DC599B">
        <w:rPr>
          <w:shd w:val="clear" w:color="auto" w:fill="FCFCFC"/>
        </w:rPr>
        <w:t xml:space="preserve"> need to involve employees in decisions and strategy, with trust working both ways when it comes to decisions or objectives. Leaders within a business also need to create a workplace where they are transparent at all levels with communications about how the business is doing in respect of success being clear. It is also important that managers are leading by example and encourage integrity and truth as a basis of the organisation’s ethics.</w:t>
      </w:r>
      <w:r w:rsidR="00117598" w:rsidRPr="00DC599B">
        <w:rPr>
          <w:rFonts w:ascii="Georgia" w:hAnsi="Georgia"/>
          <w:sz w:val="27"/>
          <w:szCs w:val="27"/>
          <w:shd w:val="clear" w:color="auto" w:fill="FCFCFC"/>
        </w:rPr>
        <w:t xml:space="preserve"> </w:t>
      </w:r>
      <w:r w:rsidR="006C6952" w:rsidRPr="00DC599B">
        <w:rPr>
          <w:shd w:val="clear" w:color="auto" w:fill="FCFCFC"/>
        </w:rPr>
        <w:t>Relating back to McCord (2009), organisations who want to encourage engagement should treat their employees as “fully-formed adults” as this gains mutual trust and respect between employees and managers.  </w:t>
      </w:r>
    </w:p>
    <w:p w14:paraId="54D9ADD3" w14:textId="3DEE5C5B" w:rsidR="00E94274" w:rsidRDefault="00E94274" w:rsidP="00A639F5">
      <w:pPr>
        <w:spacing w:after="0" w:line="240" w:lineRule="auto"/>
        <w:rPr>
          <w:rFonts w:cs="Arial"/>
          <w:b/>
          <w:bCs/>
        </w:rPr>
      </w:pPr>
    </w:p>
    <w:p w14:paraId="7C59EDB1" w14:textId="686AFC5B" w:rsidR="00E94274" w:rsidRDefault="00F17F6C" w:rsidP="00A639F5">
      <w:pPr>
        <w:spacing w:after="0" w:line="240" w:lineRule="auto"/>
        <w:rPr>
          <w:rFonts w:cs="Arial"/>
        </w:rPr>
      </w:pPr>
      <w:r w:rsidRPr="00F17F6C">
        <w:rPr>
          <w:rFonts w:cs="Arial"/>
        </w:rPr>
        <w:t xml:space="preserve">Employee Engagement is a vital part of strategy and practice within HR, as without engaged employees, an organisation will struggle to succeed. </w:t>
      </w:r>
      <w:r w:rsidR="004C52FC">
        <w:rPr>
          <w:rFonts w:cs="Arial"/>
        </w:rPr>
        <w:t>PESTLE factors can be considered when an organisation wants to include engagement within their strategy; as applying these factors can help the business to understand the external or ‘macro’ factors as follows:</w:t>
      </w:r>
    </w:p>
    <w:p w14:paraId="514F2064" w14:textId="77777777" w:rsidR="004C52FC" w:rsidRDefault="004C52FC" w:rsidP="004C52FC">
      <w:pPr>
        <w:spacing w:after="0" w:line="240" w:lineRule="auto"/>
        <w:rPr>
          <w:u w:val="single"/>
        </w:rPr>
      </w:pPr>
    </w:p>
    <w:p w14:paraId="63401654" w14:textId="2F92AAC6" w:rsidR="004C52FC" w:rsidRDefault="004C52FC" w:rsidP="0025534F">
      <w:pPr>
        <w:pStyle w:val="ListParagraph"/>
        <w:numPr>
          <w:ilvl w:val="0"/>
          <w:numId w:val="6"/>
        </w:numPr>
        <w:spacing w:after="0" w:line="240" w:lineRule="auto"/>
      </w:pPr>
      <w:r w:rsidRPr="004C52FC">
        <w:t>Political</w:t>
      </w:r>
      <w:r>
        <w:t>:  Pay and reward, for example the gender pay gap and living wage.</w:t>
      </w:r>
    </w:p>
    <w:p w14:paraId="13F549E7" w14:textId="2A5B8A18" w:rsidR="004C52FC" w:rsidRDefault="004C52FC" w:rsidP="004C52FC">
      <w:pPr>
        <w:pStyle w:val="ListParagraph"/>
        <w:numPr>
          <w:ilvl w:val="0"/>
          <w:numId w:val="6"/>
        </w:numPr>
        <w:spacing w:after="0" w:line="240" w:lineRule="auto"/>
      </w:pPr>
      <w:r w:rsidRPr="004C52FC">
        <w:t xml:space="preserve">Economic: </w:t>
      </w:r>
      <w:r>
        <w:t>Unemployment levels (</w:t>
      </w:r>
      <w:r w:rsidR="00646F41">
        <w:t>considering</w:t>
      </w:r>
      <w:r>
        <w:t xml:space="preserve"> increases further to the COVID pandemic), ensuring the business is lean and is staffed appropriately further to this and also how the business engages and motivates their employees.</w:t>
      </w:r>
    </w:p>
    <w:p w14:paraId="32AEE07D" w14:textId="286CB790" w:rsidR="004C52FC" w:rsidRDefault="004C52FC" w:rsidP="0025534F">
      <w:pPr>
        <w:pStyle w:val="ListParagraph"/>
        <w:numPr>
          <w:ilvl w:val="0"/>
          <w:numId w:val="6"/>
        </w:numPr>
        <w:spacing w:after="0" w:line="240" w:lineRule="auto"/>
        <w:sectPr w:rsidR="004C52FC">
          <w:headerReference w:type="default" r:id="rId9"/>
          <w:pgSz w:w="11906" w:h="16838"/>
          <w:pgMar w:top="1021" w:right="1418" w:bottom="1418" w:left="1418" w:header="454" w:footer="720" w:gutter="0"/>
          <w:paperSrc w:first="14" w:other="14"/>
          <w:cols w:space="720"/>
        </w:sectPr>
      </w:pPr>
      <w:r>
        <w:t>Social: Demographics (aging population), how does the organisation attract the next generation of workers</w:t>
      </w:r>
      <w:r w:rsidR="0025534F">
        <w:t>, and how can they be engaged and retaine</w:t>
      </w:r>
      <w:r w:rsidR="00646F41">
        <w:t>d.</w:t>
      </w:r>
    </w:p>
    <w:p w14:paraId="37EAAB90" w14:textId="77777777" w:rsidR="00646F41" w:rsidRDefault="004C52FC" w:rsidP="0025534F">
      <w:pPr>
        <w:pStyle w:val="ListParagraph"/>
        <w:numPr>
          <w:ilvl w:val="0"/>
          <w:numId w:val="6"/>
        </w:numPr>
        <w:spacing w:after="0" w:line="240" w:lineRule="auto"/>
      </w:pPr>
      <w:r w:rsidRPr="0025534F">
        <w:lastRenderedPageBreak/>
        <w:t xml:space="preserve">Technical:  </w:t>
      </w:r>
      <w:r w:rsidR="0025534F">
        <w:t>Evaluating systems and whether they are fit for purpose</w:t>
      </w:r>
      <w:r w:rsidR="00646F41">
        <w:t xml:space="preserve"> for employees</w:t>
      </w:r>
      <w:r w:rsidR="0025534F">
        <w:t>.</w:t>
      </w:r>
      <w:r w:rsidR="00646F41">
        <w:t xml:space="preserve"> Shift to working remotely also needs to be considered by organisation and whether it can be facilitated effectively.</w:t>
      </w:r>
    </w:p>
    <w:p w14:paraId="67EDE6DD" w14:textId="77777777" w:rsidR="00646F41" w:rsidRDefault="004C52FC" w:rsidP="0025534F">
      <w:pPr>
        <w:pStyle w:val="ListParagraph"/>
        <w:numPr>
          <w:ilvl w:val="0"/>
          <w:numId w:val="6"/>
        </w:numPr>
        <w:spacing w:after="0" w:line="240" w:lineRule="auto"/>
      </w:pPr>
      <w:r w:rsidRPr="0025534F">
        <w:t>Legal:</w:t>
      </w:r>
      <w:r>
        <w:t xml:space="preserve">  </w:t>
      </w:r>
      <w:r w:rsidR="0025534F">
        <w:t>Keeping abreast of legislation, changes in employment law (Brexit, updates to the law etc)</w:t>
      </w:r>
      <w:r>
        <w:t xml:space="preserve"> </w:t>
      </w:r>
      <w:r w:rsidR="0025534F">
        <w:t xml:space="preserve">and </w:t>
      </w:r>
      <w:r>
        <w:t>EU directive</w:t>
      </w:r>
      <w:r w:rsidR="0025534F">
        <w:t>s</w:t>
      </w:r>
      <w:r w:rsidR="00646F41">
        <w:t>, to ensure employees are supported and their safety and wellbeing is paramount</w:t>
      </w:r>
      <w:r w:rsidR="0025534F">
        <w:t>.</w:t>
      </w:r>
    </w:p>
    <w:p w14:paraId="603BDCF5" w14:textId="2CBE8CF2" w:rsidR="004C52FC" w:rsidRDefault="004C52FC" w:rsidP="0025534F">
      <w:pPr>
        <w:pStyle w:val="ListParagraph"/>
        <w:numPr>
          <w:ilvl w:val="0"/>
          <w:numId w:val="6"/>
        </w:numPr>
        <w:spacing w:after="0" w:line="240" w:lineRule="auto"/>
      </w:pPr>
      <w:r w:rsidRPr="0025534F">
        <w:t xml:space="preserve">Environment:  </w:t>
      </w:r>
      <w:r w:rsidR="0025534F">
        <w:t xml:space="preserve">Being more environmentally aware, corporate social responsibility and ensuring employees feel connected to the ‘bigger picture’ when it comes to initiatives. </w:t>
      </w:r>
    </w:p>
    <w:p w14:paraId="6B600B38" w14:textId="2531DF88" w:rsidR="004C52FC" w:rsidRDefault="004C52FC" w:rsidP="00A639F5">
      <w:pPr>
        <w:spacing w:after="0" w:line="240" w:lineRule="auto"/>
        <w:rPr>
          <w:rFonts w:cs="Arial"/>
        </w:rPr>
      </w:pPr>
    </w:p>
    <w:p w14:paraId="4A269495" w14:textId="4CF61682" w:rsidR="00255DB4" w:rsidRDefault="00646F41" w:rsidP="00A639F5">
      <w:pPr>
        <w:spacing w:after="0" w:line="240" w:lineRule="auto"/>
        <w:rPr>
          <w:rFonts w:cs="Arial"/>
        </w:rPr>
      </w:pPr>
      <w:r>
        <w:rPr>
          <w:rFonts w:cs="Arial"/>
        </w:rPr>
        <w:t xml:space="preserve">Other macro factors </w:t>
      </w:r>
      <w:r w:rsidR="00255DB4">
        <w:rPr>
          <w:rFonts w:cs="Arial"/>
        </w:rPr>
        <w:t xml:space="preserve">include </w:t>
      </w:r>
      <w:r>
        <w:rPr>
          <w:rFonts w:cs="Arial"/>
        </w:rPr>
        <w:t>technological advancements such as the fourth industrial revolution</w:t>
      </w:r>
      <w:r w:rsidR="00255DB4">
        <w:rPr>
          <w:rFonts w:cs="Arial"/>
        </w:rPr>
        <w:t xml:space="preserve">, about which a Deloitte report wrote that “the </w:t>
      </w:r>
      <w:r w:rsidR="00255DB4">
        <w:t>existing mismatch between youth skills and employer needs threatens to become even wider as Industry 4.0 transforms business and jobs faster than workers can adapt</w:t>
      </w:r>
      <w:r w:rsidR="00255DB4">
        <w:t xml:space="preserve">” which can be seen as a real concern for employers, but also, an opportunity to transform and reconsider roles, skills required and how to engage the best talent. (Deloitte, 2018) </w:t>
      </w:r>
      <w:r w:rsidR="00255DB4">
        <w:rPr>
          <w:rFonts w:cs="Arial"/>
        </w:rPr>
        <w:t>M</w:t>
      </w:r>
      <w:r>
        <w:rPr>
          <w:rFonts w:cs="Arial"/>
        </w:rPr>
        <w:t>ost recently, COVID-19</w:t>
      </w:r>
      <w:r w:rsidR="00255DB4">
        <w:rPr>
          <w:rFonts w:cs="Arial"/>
        </w:rPr>
        <w:t xml:space="preserve"> and Brexit</w:t>
      </w:r>
      <w:r>
        <w:rPr>
          <w:rFonts w:cs="Arial"/>
        </w:rPr>
        <w:t xml:space="preserve"> are </w:t>
      </w:r>
      <w:r w:rsidR="00255DB4">
        <w:rPr>
          <w:rFonts w:cs="Arial"/>
        </w:rPr>
        <w:t>critical</w:t>
      </w:r>
      <w:r>
        <w:rPr>
          <w:rFonts w:cs="Arial"/>
        </w:rPr>
        <w:t xml:space="preserve"> considerations for organisations in respect of their strategy around engagement</w:t>
      </w:r>
      <w:r w:rsidR="00255DB4">
        <w:rPr>
          <w:rFonts w:cs="Arial"/>
        </w:rPr>
        <w:t>, both at present and in the future</w:t>
      </w:r>
      <w:r>
        <w:rPr>
          <w:rFonts w:cs="Arial"/>
        </w:rPr>
        <w:t xml:space="preserve">. </w:t>
      </w:r>
      <w:r w:rsidR="00255DB4">
        <w:rPr>
          <w:rFonts w:cs="Arial"/>
        </w:rPr>
        <w:t>All</w:t>
      </w:r>
      <w:r w:rsidR="0013196E">
        <w:rPr>
          <w:rFonts w:cs="Arial"/>
        </w:rPr>
        <w:t xml:space="preserve"> these factors mean a business needs to be agile and prepared to combat </w:t>
      </w:r>
      <w:r w:rsidR="00255DB4">
        <w:rPr>
          <w:rFonts w:cs="Arial"/>
        </w:rPr>
        <w:t>external drivers,</w:t>
      </w:r>
      <w:r w:rsidR="0013196E">
        <w:rPr>
          <w:rFonts w:cs="Arial"/>
        </w:rPr>
        <w:t xml:space="preserve"> whilst maintaining internal factors</w:t>
      </w:r>
      <w:r w:rsidR="00255DB4">
        <w:rPr>
          <w:rFonts w:cs="Arial"/>
        </w:rPr>
        <w:t>, in order to maintain positive organisational outcomes</w:t>
      </w:r>
      <w:r w:rsidR="0013196E">
        <w:rPr>
          <w:rFonts w:cs="Arial"/>
        </w:rPr>
        <w:t xml:space="preserve">. </w:t>
      </w:r>
    </w:p>
    <w:p w14:paraId="4D415F45" w14:textId="77777777" w:rsidR="00255DB4" w:rsidRDefault="00255DB4" w:rsidP="00A639F5">
      <w:pPr>
        <w:spacing w:after="0" w:line="240" w:lineRule="auto"/>
        <w:rPr>
          <w:rFonts w:cs="Arial"/>
        </w:rPr>
      </w:pPr>
    </w:p>
    <w:p w14:paraId="043CABEE" w14:textId="35F55BA5" w:rsidR="00A639F5" w:rsidRDefault="0013196E" w:rsidP="00A639F5">
      <w:pPr>
        <w:spacing w:after="0" w:line="240" w:lineRule="auto"/>
        <w:rPr>
          <w:rFonts w:ascii="Arial" w:hAnsi="Arial" w:cs="Arial"/>
          <w:color w:val="000000"/>
          <w:shd w:val="clear" w:color="auto" w:fill="FFFFFF"/>
        </w:rPr>
      </w:pPr>
      <w:r>
        <w:rPr>
          <w:rFonts w:cs="Arial"/>
        </w:rPr>
        <w:t>There is a distinct relationship between engagement and organisational outcomes</w:t>
      </w:r>
      <w:r w:rsidR="00255DB4">
        <w:rPr>
          <w:rFonts w:cs="Arial"/>
        </w:rPr>
        <w:t xml:space="preserve">, </w:t>
      </w:r>
      <w:r>
        <w:rPr>
          <w:rFonts w:cs="Arial"/>
        </w:rPr>
        <w:t>both positive and negativ</w:t>
      </w:r>
      <w:r w:rsidR="00255DB4">
        <w:rPr>
          <w:rFonts w:cs="Arial"/>
        </w:rPr>
        <w:t>e</w:t>
      </w:r>
      <w:r>
        <w:rPr>
          <w:rFonts w:cs="Arial"/>
        </w:rPr>
        <w:t xml:space="preserve">. Enhanced job satisfaction can be </w:t>
      </w:r>
      <w:r w:rsidR="00255DB4">
        <w:rPr>
          <w:rFonts w:cs="Arial"/>
        </w:rPr>
        <w:t xml:space="preserve">linked back to how an organisation engages its employees in respect of an employees involvement in their work and decisions (Saks, 2006), and also elements such as increased productivity and a desire to commit to the organisation are outcomes for an organisation that are associated with </w:t>
      </w:r>
      <w:r w:rsidR="00A83392">
        <w:rPr>
          <w:rFonts w:cs="Arial"/>
        </w:rPr>
        <w:t xml:space="preserve">employee </w:t>
      </w:r>
      <w:r w:rsidR="00255DB4">
        <w:rPr>
          <w:rFonts w:cs="Arial"/>
        </w:rPr>
        <w:t xml:space="preserve">engagement. (Crawford et Al, 2010) </w:t>
      </w:r>
      <w:r w:rsidR="00A83392">
        <w:rPr>
          <w:rFonts w:cs="Arial"/>
        </w:rPr>
        <w:t xml:space="preserve">It is however important to consider the benefits for different demographics of the workforce and other internal stakeholders such as the senior management team or Trade Union, should the organisation </w:t>
      </w:r>
      <w:r w:rsidR="00A83392" w:rsidRPr="00A83392">
        <w:rPr>
          <w:rFonts w:cstheme="minorHAnsi"/>
        </w:rPr>
        <w:t xml:space="preserve">be unionised.  </w:t>
      </w:r>
      <w:r w:rsidR="00A83392" w:rsidRPr="00A83392">
        <w:rPr>
          <w:rFonts w:cstheme="minorHAnsi"/>
          <w:color w:val="000000"/>
          <w:shd w:val="clear" w:color="auto" w:fill="FFFFFF"/>
        </w:rPr>
        <w:t xml:space="preserve">Effective engagement </w:t>
      </w:r>
      <w:r w:rsidR="00A83392" w:rsidRPr="00A83392">
        <w:rPr>
          <w:rFonts w:cstheme="minorHAnsi"/>
          <w:color w:val="000000"/>
          <w:shd w:val="clear" w:color="auto" w:fill="FFFFFF"/>
        </w:rPr>
        <w:t>with all stakeholders within the business, including employees,</w:t>
      </w:r>
      <w:r w:rsidR="00A83392" w:rsidRPr="00A83392">
        <w:rPr>
          <w:rFonts w:cstheme="minorHAnsi"/>
          <w:color w:val="000000"/>
          <w:shd w:val="clear" w:color="auto" w:fill="FFFFFF"/>
        </w:rPr>
        <w:t xml:space="preserve"> </w:t>
      </w:r>
      <w:r w:rsidR="00A83392" w:rsidRPr="00A83392">
        <w:rPr>
          <w:rFonts w:cstheme="minorHAnsi"/>
          <w:color w:val="000000"/>
          <w:shd w:val="clear" w:color="auto" w:fill="FFFFFF"/>
        </w:rPr>
        <w:t>can ensure that stakeholder needs are translated into organisational objectives and develop strategy accordingly</w:t>
      </w:r>
      <w:r w:rsidR="00A83392" w:rsidRPr="00A83392">
        <w:rPr>
          <w:rFonts w:cstheme="minorHAnsi"/>
          <w:color w:val="000000"/>
          <w:shd w:val="clear" w:color="auto" w:fill="FFFFFF"/>
        </w:rPr>
        <w:t xml:space="preserve">. </w:t>
      </w:r>
      <w:r w:rsidR="00A83392" w:rsidRPr="00A83392">
        <w:rPr>
          <w:rFonts w:cstheme="minorHAnsi"/>
          <w:color w:val="000000"/>
          <w:shd w:val="clear" w:color="auto" w:fill="FFFFFF"/>
        </w:rPr>
        <w:t>Organisations with effective engagement usually have stakeholders who have a shared vision for the same desired outcomes and are aligned strategically</w:t>
      </w:r>
      <w:r w:rsidR="00A83392">
        <w:rPr>
          <w:rFonts w:cstheme="minorHAnsi"/>
          <w:color w:val="000000"/>
          <w:shd w:val="clear" w:color="auto" w:fill="FFFFFF"/>
        </w:rPr>
        <w:t>.</w:t>
      </w:r>
      <w:r w:rsidR="00A83392" w:rsidRPr="00A83392">
        <w:rPr>
          <w:rFonts w:cstheme="minorHAnsi"/>
          <w:color w:val="000000"/>
          <w:shd w:val="clear" w:color="auto" w:fill="FFFFFF"/>
        </w:rPr>
        <w:t xml:space="preserve"> (McQuillan and O’Brien, 2017)</w:t>
      </w:r>
      <w:r w:rsidR="00A83392">
        <w:rPr>
          <w:rFonts w:cstheme="minorHAnsi"/>
          <w:color w:val="000000"/>
          <w:shd w:val="clear" w:color="auto" w:fill="FFFFFF"/>
        </w:rPr>
        <w:t xml:space="preserve"> Organisations should also recognise that different age groups will also have different needs or </w:t>
      </w:r>
      <w:r w:rsidR="00A83392" w:rsidRPr="00D8738A">
        <w:rPr>
          <w:rFonts w:cstheme="minorHAnsi"/>
          <w:color w:val="000000"/>
          <w:shd w:val="clear" w:color="auto" w:fill="FFFFFF"/>
        </w:rPr>
        <w:t xml:space="preserve">perspectives on engagement and should be considered appropriately.  A 2018 survey found that generation Y workers (those born after 1980) are the least engaged in the workforce. 25% of this demographic are disengaged globally, </w:t>
      </w:r>
      <w:r w:rsidR="00D8738A" w:rsidRPr="00D8738A">
        <w:rPr>
          <w:rFonts w:cstheme="minorHAnsi"/>
          <w:color w:val="000000"/>
          <w:shd w:val="clear" w:color="auto" w:fill="FFFFFF"/>
        </w:rPr>
        <w:t>and the reasons are that this generation have a different attitude to work in respect of they are not ‘living to work’; they have a deeper requirement for making a difference in their jobs and are looking to be more socially responsible in what they do</w:t>
      </w:r>
      <w:r w:rsidR="00D8738A">
        <w:rPr>
          <w:rFonts w:cstheme="minorHAnsi"/>
          <w:color w:val="000000"/>
          <w:shd w:val="clear" w:color="auto" w:fill="FFFFFF"/>
        </w:rPr>
        <w:t>. (Blessing White, 2018)</w:t>
      </w:r>
      <w:r w:rsidR="00D8738A">
        <w:rPr>
          <w:rFonts w:ascii="Arial" w:hAnsi="Arial" w:cs="Arial"/>
          <w:color w:val="000000"/>
          <w:shd w:val="clear" w:color="auto" w:fill="FFFFFF"/>
        </w:rPr>
        <w:t xml:space="preserve">  </w:t>
      </w:r>
    </w:p>
    <w:p w14:paraId="20C99CF0" w14:textId="71966E6A" w:rsidR="00D8738A" w:rsidRDefault="00D8738A" w:rsidP="00A639F5">
      <w:pPr>
        <w:spacing w:after="0" w:line="240" w:lineRule="auto"/>
        <w:rPr>
          <w:rFonts w:ascii="Arial" w:hAnsi="Arial" w:cs="Arial"/>
          <w:color w:val="000000"/>
          <w:shd w:val="clear" w:color="auto" w:fill="FFFFFF"/>
        </w:rPr>
      </w:pPr>
    </w:p>
    <w:p w14:paraId="3316C06F" w14:textId="48A15D23" w:rsidR="00D8738A" w:rsidRDefault="00D8738A" w:rsidP="00A639F5">
      <w:pPr>
        <w:spacing w:after="0" w:line="240" w:lineRule="auto"/>
        <w:rPr>
          <w:rFonts w:cstheme="minorHAnsi"/>
          <w:color w:val="000000"/>
          <w:shd w:val="clear" w:color="auto" w:fill="FFFFFF"/>
        </w:rPr>
      </w:pPr>
      <w:r w:rsidRPr="00D8738A">
        <w:rPr>
          <w:rFonts w:cstheme="minorHAnsi"/>
          <w:color w:val="000000"/>
          <w:shd w:val="clear" w:color="auto" w:fill="FFFFFF"/>
        </w:rPr>
        <w:t>When considering engagement, organisations should also think about external stakeholders, for example, their customers and suppliers. Customers will expect good service, and by providing this, customers will maintain business with the organisation and strong mutual relationships can be developed. Employee and customer engagement are linked, in the sense that positive brand experience depends on the individual providing the service going above and beyond. Disengaged employees would not do this, and thus would impact the relationship with important external stakeholders. (Bain, 2017)</w:t>
      </w:r>
      <w:r w:rsidR="003E612F">
        <w:rPr>
          <w:rFonts w:cstheme="minorHAnsi"/>
          <w:color w:val="000000"/>
          <w:shd w:val="clear" w:color="auto" w:fill="FFFFFF"/>
        </w:rPr>
        <w:t xml:space="preserve"> Similarly, suppliers </w:t>
      </w:r>
      <w:r w:rsidR="000A23C4">
        <w:rPr>
          <w:rFonts w:cstheme="minorHAnsi"/>
          <w:color w:val="000000"/>
          <w:shd w:val="clear" w:color="auto" w:fill="FFFFFF"/>
        </w:rPr>
        <w:t xml:space="preserve">will want to develop good relationships with an organisation. In comparison, they may want to consider the organisations reputation and how they operate from a social perspective (i.e. are they sustainable and environmentally friendly, do they operate CSR activities etc) as this can reflect on the supplier should they choose to do business with them. The retailer John Lewis launched a scheme in 2020 called ‘better jobs’ where the company is looking to increase job satisfaction not only within its own organisation, but also within its external supplier base as it recognises the link between both internal and external stakeholder engagement. </w:t>
      </w:r>
      <w:r w:rsidR="000A23C4">
        <w:rPr>
          <w:rFonts w:cstheme="minorHAnsi"/>
          <w:color w:val="000000"/>
          <w:shd w:val="clear" w:color="auto" w:fill="FFFFFF"/>
        </w:rPr>
        <w:lastRenderedPageBreak/>
        <w:t xml:space="preserve">This reflects positively on the organisation and how it engages with its workforce and external stakeholders to maintain positive operations and relationships across the business model. (Bowden, 2020) </w:t>
      </w:r>
    </w:p>
    <w:p w14:paraId="717EF149" w14:textId="57AE2CEA" w:rsidR="000A23C4" w:rsidRDefault="000A23C4" w:rsidP="00A639F5">
      <w:pPr>
        <w:spacing w:after="0" w:line="240" w:lineRule="auto"/>
        <w:rPr>
          <w:rFonts w:cstheme="minorHAnsi"/>
          <w:color w:val="000000"/>
          <w:shd w:val="clear" w:color="auto" w:fill="FFFFFF"/>
        </w:rPr>
      </w:pPr>
    </w:p>
    <w:p w14:paraId="5EF5B7E4" w14:textId="4885F7BB" w:rsidR="00A639F5" w:rsidRPr="00117598" w:rsidRDefault="007B46C4" w:rsidP="00A639F5">
      <w:pPr>
        <w:spacing w:after="0" w:line="240" w:lineRule="auto"/>
        <w:rPr>
          <w:rFonts w:cs="Arial"/>
          <w:b/>
          <w:bCs/>
        </w:rPr>
      </w:pPr>
      <w:r>
        <w:rPr>
          <w:rFonts w:cstheme="minorHAnsi"/>
          <w:color w:val="000000"/>
          <w:shd w:val="clear" w:color="auto" w:fill="FFFFFF"/>
        </w:rPr>
        <w:t xml:space="preserve">Social activism is also a key factor that organisations have had to consider in recent years. Society would traditionally not be able to vocalise their opinions </w:t>
      </w:r>
      <w:r w:rsidR="00EC51CA">
        <w:rPr>
          <w:rFonts w:cstheme="minorHAnsi"/>
          <w:color w:val="000000"/>
          <w:shd w:val="clear" w:color="auto" w:fill="FFFFFF"/>
        </w:rPr>
        <w:t xml:space="preserve">as much as in the present day, as with the prevalence of social media platforms such as Glassdoor, employees can now publicly write their feelings about their employer for the world to see. Social activism has also been documented in recent years in the media such as the stoppage of the </w:t>
      </w:r>
      <w:r w:rsidR="008879D9">
        <w:rPr>
          <w:rFonts w:cstheme="minorHAnsi"/>
          <w:color w:val="000000"/>
          <w:shd w:val="clear" w:color="auto" w:fill="FFFFFF"/>
        </w:rPr>
        <w:t>third</w:t>
      </w:r>
      <w:r w:rsidR="00EC51CA">
        <w:rPr>
          <w:rFonts w:cstheme="minorHAnsi"/>
          <w:color w:val="000000"/>
          <w:shd w:val="clear" w:color="auto" w:fill="FFFFFF"/>
        </w:rPr>
        <w:t xml:space="preserve"> runway at Heathrow</w:t>
      </w:r>
      <w:r w:rsidR="008879D9">
        <w:rPr>
          <w:rFonts w:cstheme="minorHAnsi"/>
          <w:color w:val="000000"/>
          <w:shd w:val="clear" w:color="auto" w:fill="FFFFFF"/>
        </w:rPr>
        <w:t xml:space="preserve"> led by “dogged” campaigners (</w:t>
      </w:r>
      <w:proofErr w:type="spellStart"/>
      <w:r w:rsidR="00875BFC">
        <w:rPr>
          <w:rFonts w:cstheme="minorHAnsi"/>
          <w:color w:val="000000"/>
          <w:shd w:val="clear" w:color="auto" w:fill="FFFFFF"/>
        </w:rPr>
        <w:t>Espiner</w:t>
      </w:r>
      <w:proofErr w:type="spellEnd"/>
      <w:r w:rsidR="008879D9">
        <w:rPr>
          <w:rFonts w:cstheme="minorHAnsi"/>
          <w:color w:val="000000"/>
          <w:shd w:val="clear" w:color="auto" w:fill="FFFFFF"/>
        </w:rPr>
        <w:t>, 2020)</w:t>
      </w:r>
      <w:r w:rsidR="00EC51CA">
        <w:rPr>
          <w:rFonts w:cstheme="minorHAnsi"/>
          <w:color w:val="000000"/>
          <w:shd w:val="clear" w:color="auto" w:fill="FFFFFF"/>
        </w:rPr>
        <w:t xml:space="preserve"> and </w:t>
      </w:r>
      <w:r w:rsidR="008879D9">
        <w:rPr>
          <w:rFonts w:cstheme="minorHAnsi"/>
          <w:color w:val="000000"/>
          <w:shd w:val="clear" w:color="auto" w:fill="FFFFFF"/>
        </w:rPr>
        <w:t>campaigns for</w:t>
      </w:r>
      <w:r w:rsidR="00EC51CA">
        <w:rPr>
          <w:rFonts w:cstheme="minorHAnsi"/>
          <w:color w:val="000000"/>
          <w:shd w:val="clear" w:color="auto" w:fill="FFFFFF"/>
        </w:rPr>
        <w:t xml:space="preserve"> change</w:t>
      </w:r>
      <w:r w:rsidR="008879D9">
        <w:rPr>
          <w:rFonts w:cstheme="minorHAnsi"/>
          <w:color w:val="000000"/>
          <w:shd w:val="clear" w:color="auto" w:fill="FFFFFF"/>
        </w:rPr>
        <w:t xml:space="preserve"> to</w:t>
      </w:r>
      <w:r w:rsidR="00EC51CA">
        <w:rPr>
          <w:rFonts w:cstheme="minorHAnsi"/>
          <w:color w:val="000000"/>
          <w:shd w:val="clear" w:color="auto" w:fill="FFFFFF"/>
        </w:rPr>
        <w:t xml:space="preserve"> the living wage in London</w:t>
      </w:r>
      <w:r w:rsidR="008879D9">
        <w:rPr>
          <w:rFonts w:cstheme="minorHAnsi"/>
          <w:color w:val="000000"/>
          <w:shd w:val="clear" w:color="auto" w:fill="FFFFFF"/>
        </w:rPr>
        <w:t>, which began back in 2001 with social activists leading the initiative. (Living Wage, 2016)</w:t>
      </w:r>
      <w:r w:rsidR="00EC51CA">
        <w:rPr>
          <w:rFonts w:cstheme="minorHAnsi"/>
          <w:color w:val="000000"/>
          <w:shd w:val="clear" w:color="auto" w:fill="FFFFFF"/>
        </w:rPr>
        <w:t xml:space="preserve"> Both examples were </w:t>
      </w:r>
      <w:r w:rsidR="008879D9">
        <w:rPr>
          <w:rFonts w:cstheme="minorHAnsi"/>
          <w:color w:val="000000"/>
          <w:shd w:val="clear" w:color="auto" w:fill="FFFFFF"/>
        </w:rPr>
        <w:t xml:space="preserve">or are </w:t>
      </w:r>
      <w:r w:rsidR="00EC51CA">
        <w:rPr>
          <w:rFonts w:cstheme="minorHAnsi"/>
          <w:color w:val="000000"/>
          <w:shd w:val="clear" w:color="auto" w:fill="FFFFFF"/>
        </w:rPr>
        <w:t>wholly driven by social activists</w:t>
      </w:r>
      <w:r w:rsidR="00EC51CA">
        <w:rPr>
          <w:rFonts w:cstheme="minorHAnsi"/>
          <w:color w:val="000000"/>
          <w:shd w:val="clear" w:color="auto" w:fill="FFFFFF"/>
        </w:rPr>
        <w:t xml:space="preserve">, using social media as a voice and a lever for change. </w:t>
      </w:r>
      <w:r w:rsidR="008879D9">
        <w:rPr>
          <w:rFonts w:cstheme="minorHAnsi"/>
          <w:color w:val="000000"/>
          <w:shd w:val="clear" w:color="auto" w:fill="FFFFFF"/>
        </w:rPr>
        <w:t xml:space="preserve">To improve employee voice, some </w:t>
      </w:r>
      <w:r w:rsidR="00EC51CA">
        <w:rPr>
          <w:rFonts w:cstheme="minorHAnsi"/>
          <w:color w:val="000000"/>
          <w:shd w:val="clear" w:color="auto" w:fill="FFFFFF"/>
        </w:rPr>
        <w:t>organisations have turned to internal platforms for employees to have their sa</w:t>
      </w:r>
      <w:r w:rsidR="005C12CA">
        <w:rPr>
          <w:rFonts w:cstheme="minorHAnsi"/>
          <w:color w:val="000000"/>
          <w:shd w:val="clear" w:color="auto" w:fill="FFFFFF"/>
        </w:rPr>
        <w:t>y as</w:t>
      </w:r>
      <w:r w:rsidR="008879D9">
        <w:rPr>
          <w:rFonts w:cstheme="minorHAnsi"/>
          <w:color w:val="000000"/>
          <w:shd w:val="clear" w:color="auto" w:fill="FFFFFF"/>
        </w:rPr>
        <w:t xml:space="preserve"> </w:t>
      </w:r>
      <w:r w:rsidR="005C12CA">
        <w:rPr>
          <w:rFonts w:cstheme="minorHAnsi"/>
          <w:color w:val="000000"/>
          <w:shd w:val="clear" w:color="auto" w:fill="FFFFFF"/>
        </w:rPr>
        <w:t>i</w:t>
      </w:r>
      <w:r w:rsidR="008879D9">
        <w:rPr>
          <w:rFonts w:cstheme="minorHAnsi"/>
          <w:color w:val="000000"/>
          <w:shd w:val="clear" w:color="auto" w:fill="FFFFFF"/>
        </w:rPr>
        <w:t>t can be argued that as employees use social media more than ever in their personal lives</w:t>
      </w:r>
      <w:r w:rsidR="005C12CA">
        <w:rPr>
          <w:rFonts w:cstheme="minorHAnsi"/>
          <w:color w:val="000000"/>
          <w:shd w:val="clear" w:color="auto" w:fill="FFFFFF"/>
        </w:rPr>
        <w:t xml:space="preserve">, in turn “ this </w:t>
      </w:r>
      <w:r w:rsidR="008879D9">
        <w:t>has also raised people’s expectations of how they should be heard inside organisations.” (Silverman et al., 2013)</w:t>
      </w:r>
      <w:r w:rsidR="005C12CA">
        <w:t xml:space="preserve"> Large organisations such as IBM have developed their own internal social media, whereas smaller organisations have turned to tools such as their intranet facility to enable improvements around employee voice to take place on internal platforms. </w:t>
      </w:r>
    </w:p>
    <w:p w14:paraId="7D76D4B9" w14:textId="49B422E0" w:rsidR="0074745F" w:rsidRDefault="0074745F" w:rsidP="00A639F5">
      <w:pPr>
        <w:spacing w:after="0" w:line="240" w:lineRule="auto"/>
        <w:rPr>
          <w:rFonts w:cs="Arial"/>
          <w:b/>
          <w:bCs/>
        </w:rPr>
      </w:pPr>
    </w:p>
    <w:p w14:paraId="1EAAC178" w14:textId="4C422047" w:rsidR="0074745F" w:rsidRDefault="0074745F" w:rsidP="00A639F5">
      <w:pPr>
        <w:spacing w:after="0" w:line="240" w:lineRule="auto"/>
        <w:rPr>
          <w:rFonts w:cs="Arial"/>
        </w:rPr>
      </w:pPr>
      <w:r w:rsidRPr="0074745F">
        <w:rPr>
          <w:rFonts w:cs="Arial"/>
        </w:rPr>
        <w:t xml:space="preserve">There is a lot of discussion around ‘predicting’ what will happen in the post-Covid working world, as the pandemic has shifted how employers operate in terms of engaging employees, but has also revealed that some sectors of the workforce may have been more affected than others due to the nature of their work or the working structure within their respective organisations. </w:t>
      </w:r>
    </w:p>
    <w:p w14:paraId="1FDD305E" w14:textId="211AED03" w:rsidR="0074745F" w:rsidRDefault="00D46046" w:rsidP="00A639F5">
      <w:pPr>
        <w:spacing w:after="0" w:line="240" w:lineRule="auto"/>
        <w:rPr>
          <w:rFonts w:cs="Arial"/>
        </w:rPr>
      </w:pPr>
      <w:r>
        <w:rPr>
          <w:rFonts w:cs="Arial"/>
        </w:rPr>
        <w:t>The CIPD has noted that the post-Covid working environment will be hard for employers to adjust to, as there are now many considerations for how employees should be engaged after an extended period of uncertainty, including changes such as remote working and furlough that have impacted employee wellbeing</w:t>
      </w:r>
      <w:r w:rsidR="0037373C">
        <w:rPr>
          <w:rFonts w:cs="Arial"/>
        </w:rPr>
        <w:t xml:space="preserve"> (CIPD, 2020)</w:t>
      </w:r>
      <w:r>
        <w:rPr>
          <w:rFonts w:cs="Arial"/>
        </w:rPr>
        <w:t xml:space="preserve">. </w:t>
      </w:r>
      <w:r w:rsidR="00BB77BD">
        <w:rPr>
          <w:rFonts w:cs="Arial"/>
        </w:rPr>
        <w:t xml:space="preserve">It is therefore important that employers have definitive plans and treat employees fairly and consistently throughout any changes. </w:t>
      </w:r>
    </w:p>
    <w:p w14:paraId="210344AA" w14:textId="156DE68E" w:rsidR="0037373C" w:rsidRDefault="0037373C" w:rsidP="00A639F5">
      <w:pPr>
        <w:spacing w:after="0" w:line="240" w:lineRule="auto"/>
        <w:rPr>
          <w:rFonts w:cs="Arial"/>
        </w:rPr>
      </w:pPr>
    </w:p>
    <w:p w14:paraId="67AD17A5" w14:textId="5C7675AE" w:rsidR="00DC599B" w:rsidRDefault="0037373C" w:rsidP="0037373C">
      <w:r>
        <w:rPr>
          <w:rFonts w:cs="Arial"/>
        </w:rPr>
        <w:t xml:space="preserve">Recent studies have outlined that employers and organisations will increasingly need to consider factors such as gender and demographics when thinking about engagement strategy and how these factors influence levels of engagement within the business. As previously discussed, with an ageing workforce, organisations need to consider how they attract and retain the new generation of workers. </w:t>
      </w:r>
      <w:r>
        <w:t>One of the errors organisations make in retaining millennials is not giving feedback appropriately, or not giving feedback quick enough. Millennials are a generation that require everything quickly</w:t>
      </w:r>
      <w:r>
        <w:t xml:space="preserve">; </w:t>
      </w:r>
      <w:r>
        <w:t>feedback should be structured so there is no misunderstanding, and always needs to be specific for the individual to move forward. (Gilbert, 2011) An Iv</w:t>
      </w:r>
      <w:r w:rsidR="002F2C62">
        <w:t>e</w:t>
      </w:r>
      <w:r>
        <w:t xml:space="preserve">y Business journal survey found that Millennials also require far more than palpable rewards and benefits whilst they are at work. </w:t>
      </w:r>
    </w:p>
    <w:p w14:paraId="4C1DC47A" w14:textId="316E1875" w:rsidR="0037373C" w:rsidRDefault="0037373C" w:rsidP="0037373C">
      <w:r>
        <w:t>Traditionally, companies have sold their benefits as relatively tangible (i.e. gym membership, free coffee etc), but millennials have looked to different “drivers” to feel satisfied and engaged at work. The study revealed career opportunities, corporate social responsibility, wellbeing and work-life balance are at the top of millennials priorities at work. (Ivy Business Journal, 2011) These priorities for the new generation of workers has led to organisations intensively reviewing their benefits, including agile working, reward and recognition, to keep up with engaging these individuals.</w:t>
      </w:r>
    </w:p>
    <w:p w14:paraId="17DDD0C8" w14:textId="61B9AC0B" w:rsidR="0037373C" w:rsidRDefault="0037373C" w:rsidP="0037373C">
      <w:pPr>
        <w:pStyle w:val="NoSpacing"/>
      </w:pPr>
      <w:r w:rsidRPr="00A16861">
        <w:t>Although work life balance and wellbeing had become a focus for employers over the past few years,  the C</w:t>
      </w:r>
      <w:r>
        <w:t>ovid-</w:t>
      </w:r>
      <w:r w:rsidRPr="00A16861">
        <w:t xml:space="preserve">19 pandemic has driven organisations to reshape and even overhaul how they operate in terms of working hours and how they make their employers feel looked after whilst being remote.  Employees have increasingly changed their perspective on work following the pandemic, with time </w:t>
      </w:r>
      <w:r w:rsidRPr="00A16861">
        <w:lastRenderedPageBreak/>
        <w:t xml:space="preserve">outside of work becoming a priority for individuals who may have put work first previously. Plans that may have been </w:t>
      </w:r>
      <w:proofErr w:type="spellStart"/>
      <w:r w:rsidRPr="00A16861">
        <w:t>strategised</w:t>
      </w:r>
      <w:proofErr w:type="spellEnd"/>
      <w:r w:rsidRPr="00A16861">
        <w:t xml:space="preserve"> for the future, have now been pulled forward and implemented by employers around wellbeing and engagement. However, the pandemic is an opportunity to seize the moment and make changes that may have been needed before but have now been put into the spotlight by C</w:t>
      </w:r>
      <w:r>
        <w:t>ovid</w:t>
      </w:r>
      <w:r w:rsidRPr="00A16861">
        <w:t>-19. Organisations found a 55% percent improvement in engagement by addressing employees’ need for work recognition through nonfinancial means this year, as they could not necessarily reward through financial means</w:t>
      </w:r>
      <w:r>
        <w:t xml:space="preserve"> </w:t>
      </w:r>
      <w:r w:rsidRPr="00A16861">
        <w:t>(McKinsey, 2020).</w:t>
      </w:r>
      <w:r>
        <w:t xml:space="preserve"> </w:t>
      </w:r>
      <w:r w:rsidRPr="00A16861">
        <w:t>In preparation for a post-</w:t>
      </w:r>
      <w:proofErr w:type="spellStart"/>
      <w:r>
        <w:t>C</w:t>
      </w:r>
      <w:r w:rsidRPr="00A16861">
        <w:t>ovid</w:t>
      </w:r>
      <w:proofErr w:type="spellEnd"/>
      <w:r w:rsidRPr="00A16861">
        <w:t xml:space="preserve"> working landscape, businesses should focus on four key things; security, relationships, culture, and purpose. </w:t>
      </w:r>
    </w:p>
    <w:p w14:paraId="2C0A07E6" w14:textId="77777777" w:rsidR="0037373C" w:rsidRDefault="0037373C" w:rsidP="0037373C"/>
    <w:p w14:paraId="55FE3436" w14:textId="66F364EC" w:rsidR="00A639F5" w:rsidRPr="00117598" w:rsidRDefault="00A639F5" w:rsidP="00A639F5">
      <w:pPr>
        <w:rPr>
          <w:rFonts w:cs="Arial"/>
          <w:b/>
          <w:bCs/>
          <w:u w:val="single"/>
        </w:rPr>
      </w:pPr>
      <w:r w:rsidRPr="00117598">
        <w:rPr>
          <w:rFonts w:cs="Arial"/>
          <w:b/>
          <w:bCs/>
          <w:u w:val="single"/>
        </w:rPr>
        <w:t>Conclusion</w:t>
      </w:r>
    </w:p>
    <w:p w14:paraId="477070CC" w14:textId="7B73C2E7" w:rsidR="00A16861" w:rsidRPr="00DC599B" w:rsidRDefault="00693251" w:rsidP="00DC599B">
      <w:r w:rsidRPr="00693251">
        <w:t>Employee engagement has become increasingly pivotal to organisations in recent times. The focus on engagement has been polarised even further by the COVID-19 pandemic, where organisations have now had to become far more inventive when it comes to engagement, and more mindful about what employees require in terms of engagement which has dramatically changed over the course of the year.</w:t>
      </w:r>
      <w:r w:rsidR="00304B6C">
        <w:t xml:space="preserve"> Trends over the last five to ten years within employee engagement have largely focused on equal pay (gender pay gap) and the ageing population, with a shift to thinking about how employers can attract and retain the next generation (namely generation Z and Millennials). A 2020 Gallup study showed that Millennials are the generation who are most likely to change their job and are the least engaged portion of the workforce. (Adkins, 2020) The study also found that this generation are marginally disengaged with their organisations as they are looking to seek a job that feels worthwhile, so are happy to move around in order to find this. It also stated that a large proportion of those studied just want to “show up and put their hours in”, lacking passion or energy for their role. This has led to organisations focusing on how they attract this </w:t>
      </w:r>
      <w:r w:rsidR="00355B38">
        <w:t xml:space="preserve">group of the workforce, and more importantly how they retain them. </w:t>
      </w:r>
    </w:p>
    <w:p w14:paraId="35FAAF1C" w14:textId="6F0665E4" w:rsidR="00AA7415" w:rsidRPr="00DC599B" w:rsidRDefault="00AA7415" w:rsidP="00DC599B">
      <w:r w:rsidRPr="00DC599B">
        <w:t xml:space="preserve">Employees have been disrupted hugely through the pandemic and are looking to their employers to stabilise their life from a work perspective. Moving forward, employers should look to personalise their culture and change strategies, </w:t>
      </w:r>
      <w:r w:rsidR="00A16861" w:rsidRPr="00DC599B">
        <w:t>considering</w:t>
      </w:r>
      <w:r w:rsidRPr="00DC599B">
        <w:t xml:space="preserve"> what employees now need </w:t>
      </w:r>
      <w:r w:rsidR="00A16861" w:rsidRPr="00DC599B">
        <w:t>(</w:t>
      </w:r>
      <w:r w:rsidRPr="00DC599B">
        <w:t>which may differ hugely fr</w:t>
      </w:r>
      <w:r w:rsidR="00A16861" w:rsidRPr="00DC599B">
        <w:t>om before the pandemic occurred). Employers should</w:t>
      </w:r>
      <w:r w:rsidR="000D203E" w:rsidRPr="00DC599B">
        <w:t>, moving forward,</w:t>
      </w:r>
      <w:r w:rsidR="00A16861" w:rsidRPr="00DC599B">
        <w:t xml:space="preserve"> specifically focus on employee experience</w:t>
      </w:r>
      <w:r w:rsidR="000D203E" w:rsidRPr="00DC599B">
        <w:t>,</w:t>
      </w:r>
      <w:r w:rsidR="00A16861" w:rsidRPr="00DC599B">
        <w:t xml:space="preserve"> as oppose to employee </w:t>
      </w:r>
      <w:r w:rsidR="000D203E" w:rsidRPr="00DC599B">
        <w:t>engagement. The difference being that employee experience is ‘bottom-up’, with the workplace being designed with employee needs in mind</w:t>
      </w:r>
      <w:r w:rsidR="00933D06">
        <w:t>.</w:t>
      </w:r>
      <w:r w:rsidR="000D203E" w:rsidRPr="00DC599B">
        <w:t xml:space="preserve"> (</w:t>
      </w:r>
      <w:r w:rsidR="00933D06">
        <w:t>Lipman</w:t>
      </w:r>
      <w:r w:rsidR="000D203E" w:rsidRPr="00DC599B">
        <w:t>, 201</w:t>
      </w:r>
      <w:r w:rsidR="00933D06">
        <w:t>4</w:t>
      </w:r>
      <w:r w:rsidR="000D203E" w:rsidRPr="00DC599B">
        <w:t>) This concept has also been echoed by many others, including the CIPD, who have underpinned these thoughts in the aforementioned adaptations to the CIPD profession map</w:t>
      </w:r>
      <w:r w:rsidR="00A16861" w:rsidRPr="00DC599B">
        <w:t>.</w:t>
      </w:r>
    </w:p>
    <w:p w14:paraId="1C90034F" w14:textId="5BDBAFDC" w:rsidR="00A16F69" w:rsidRDefault="00A16F69">
      <w:pPr>
        <w:rPr>
          <w:b/>
          <w:bCs/>
          <w:u w:val="single"/>
        </w:rPr>
      </w:pPr>
    </w:p>
    <w:p w14:paraId="15F673AD" w14:textId="2AC064C7" w:rsidR="00A16F69" w:rsidRDefault="00A16F69">
      <w:pPr>
        <w:rPr>
          <w:b/>
          <w:bCs/>
          <w:u w:val="single"/>
        </w:rPr>
      </w:pPr>
    </w:p>
    <w:p w14:paraId="29DDC90D" w14:textId="3C76BCBB" w:rsidR="00A16F69" w:rsidRDefault="00A16F69">
      <w:pPr>
        <w:rPr>
          <w:b/>
          <w:bCs/>
          <w:u w:val="single"/>
        </w:rPr>
      </w:pPr>
    </w:p>
    <w:p w14:paraId="323336F0" w14:textId="71CF6954" w:rsidR="00A16F69" w:rsidRDefault="00A16F69">
      <w:pPr>
        <w:rPr>
          <w:b/>
          <w:bCs/>
          <w:u w:val="single"/>
        </w:rPr>
      </w:pPr>
    </w:p>
    <w:p w14:paraId="3D08BB0B" w14:textId="12FC74D5" w:rsidR="00A16F69" w:rsidRDefault="00A16F69">
      <w:pPr>
        <w:rPr>
          <w:b/>
          <w:bCs/>
          <w:u w:val="single"/>
        </w:rPr>
      </w:pPr>
    </w:p>
    <w:p w14:paraId="7A1ACF11" w14:textId="7186A826" w:rsidR="00A16F69" w:rsidRDefault="00A16F69">
      <w:pPr>
        <w:rPr>
          <w:b/>
          <w:bCs/>
          <w:u w:val="single"/>
        </w:rPr>
      </w:pPr>
    </w:p>
    <w:p w14:paraId="091B549D" w14:textId="77777777" w:rsidR="00DC599B" w:rsidRDefault="00DC599B">
      <w:pPr>
        <w:rPr>
          <w:b/>
          <w:bCs/>
          <w:u w:val="single"/>
        </w:rPr>
      </w:pPr>
    </w:p>
    <w:p w14:paraId="5A105A39" w14:textId="77777777" w:rsidR="00DC599B" w:rsidRDefault="00DC599B">
      <w:pPr>
        <w:rPr>
          <w:b/>
          <w:bCs/>
          <w:u w:val="single"/>
        </w:rPr>
      </w:pPr>
    </w:p>
    <w:p w14:paraId="4BF41F12" w14:textId="77777777" w:rsidR="00127818" w:rsidRDefault="00127818">
      <w:pPr>
        <w:rPr>
          <w:b/>
          <w:bCs/>
          <w:u w:val="single"/>
        </w:rPr>
      </w:pPr>
    </w:p>
    <w:p w14:paraId="31C88785" w14:textId="62BEC763" w:rsidR="00A16F69" w:rsidRDefault="00A16F69">
      <w:pPr>
        <w:rPr>
          <w:b/>
          <w:bCs/>
          <w:u w:val="single"/>
        </w:rPr>
      </w:pPr>
      <w:r>
        <w:rPr>
          <w:b/>
          <w:bCs/>
          <w:u w:val="single"/>
        </w:rPr>
        <w:lastRenderedPageBreak/>
        <w:t>References</w:t>
      </w:r>
    </w:p>
    <w:sdt>
      <w:sdtPr>
        <w:id w:val="-2034869072"/>
        <w:bibliography/>
      </w:sdtPr>
      <w:sdtContent>
        <w:p w14:paraId="0A9D0066" w14:textId="77777777" w:rsidR="00127818" w:rsidRDefault="00127818" w:rsidP="00127818">
          <w:pPr>
            <w:pStyle w:val="Bibliography"/>
            <w:rPr>
              <w:noProof/>
              <w:sz w:val="24"/>
              <w:szCs w:val="24"/>
              <w:lang w:val="en-US"/>
            </w:rPr>
          </w:pPr>
          <w:r>
            <w:fldChar w:fldCharType="begin"/>
          </w:r>
          <w:r>
            <w:instrText xml:space="preserve"> BIBLIOGRAPHY </w:instrText>
          </w:r>
          <w:r>
            <w:fldChar w:fldCharType="separate"/>
          </w:r>
          <w:r>
            <w:rPr>
              <w:noProof/>
              <w:lang w:val="en-US"/>
            </w:rPr>
            <w:t xml:space="preserve">Adkins, A., 2020. </w:t>
          </w:r>
          <w:r>
            <w:rPr>
              <w:i/>
              <w:iCs/>
              <w:noProof/>
              <w:lang w:val="en-US"/>
            </w:rPr>
            <w:t xml:space="preserve">Milennials - The job hopping generation. </w:t>
          </w:r>
          <w:r>
            <w:rPr>
              <w:noProof/>
              <w:lang w:val="en-US"/>
            </w:rPr>
            <w:t xml:space="preserve">[Online] </w:t>
          </w:r>
          <w:r>
            <w:rPr>
              <w:noProof/>
              <w:lang w:val="en-US"/>
            </w:rPr>
            <w:br/>
            <w:t xml:space="preserve">Available at: </w:t>
          </w:r>
          <w:r>
            <w:rPr>
              <w:noProof/>
              <w:u w:val="single"/>
              <w:lang w:val="en-US"/>
            </w:rPr>
            <w:t>https://www.gallup.com/workplace/231587/millennials-job-hopping-generation.aspx</w:t>
          </w:r>
          <w:r>
            <w:rPr>
              <w:noProof/>
              <w:lang w:val="en-US"/>
            </w:rPr>
            <w:br/>
            <w:t>[Accessed 21 November 2020].</w:t>
          </w:r>
        </w:p>
        <w:p w14:paraId="4424F0D7" w14:textId="77777777" w:rsidR="00127818" w:rsidRDefault="00127818" w:rsidP="00127818">
          <w:pPr>
            <w:pStyle w:val="Bibliography"/>
            <w:rPr>
              <w:noProof/>
              <w:lang w:val="en-US"/>
            </w:rPr>
          </w:pPr>
          <w:r>
            <w:rPr>
              <w:noProof/>
              <w:lang w:val="en-US"/>
            </w:rPr>
            <w:t xml:space="preserve">Bain, K., 2018. </w:t>
          </w:r>
          <w:r>
            <w:rPr>
              <w:i/>
              <w:iCs/>
              <w:noProof/>
              <w:lang w:val="en-US"/>
            </w:rPr>
            <w:t xml:space="preserve">The link between employee engagement and customer service. </w:t>
          </w:r>
          <w:r>
            <w:rPr>
              <w:noProof/>
              <w:lang w:val="en-US"/>
            </w:rPr>
            <w:t xml:space="preserve">[Online] </w:t>
          </w:r>
          <w:r>
            <w:rPr>
              <w:noProof/>
              <w:lang w:val="en-US"/>
            </w:rPr>
            <w:br/>
            <w:t xml:space="preserve">Available at: </w:t>
          </w:r>
          <w:r>
            <w:rPr>
              <w:noProof/>
              <w:u w:val="single"/>
              <w:lang w:val="en-US"/>
            </w:rPr>
            <w:t>http://hrnews.co.uk/link-employee-engagement-customer-service/</w:t>
          </w:r>
          <w:r>
            <w:rPr>
              <w:noProof/>
              <w:lang w:val="en-US"/>
            </w:rPr>
            <w:br/>
            <w:t>[Accessed 26 November 2020].</w:t>
          </w:r>
        </w:p>
        <w:p w14:paraId="58385340" w14:textId="77777777" w:rsidR="00127818" w:rsidRDefault="00127818" w:rsidP="00127818">
          <w:pPr>
            <w:pStyle w:val="Bibliography"/>
            <w:rPr>
              <w:noProof/>
              <w:lang w:val="en-US"/>
            </w:rPr>
          </w:pPr>
          <w:r>
            <w:rPr>
              <w:noProof/>
              <w:lang w:val="en-US"/>
            </w:rPr>
            <w:t xml:space="preserve">Bowden, G., 2020. </w:t>
          </w:r>
          <w:r>
            <w:rPr>
              <w:i/>
              <w:iCs/>
              <w:noProof/>
              <w:lang w:val="en-US"/>
            </w:rPr>
            <w:t xml:space="preserve">John Lewis focuses on staff wellbeing in own-brand supplier shake-up. </w:t>
          </w:r>
          <w:r>
            <w:rPr>
              <w:noProof/>
              <w:lang w:val="en-US"/>
            </w:rPr>
            <w:t xml:space="preserve">[Online] </w:t>
          </w:r>
          <w:r>
            <w:rPr>
              <w:noProof/>
              <w:lang w:val="en-US"/>
            </w:rPr>
            <w:br/>
            <w:t xml:space="preserve">Available at: </w:t>
          </w:r>
          <w:r>
            <w:rPr>
              <w:noProof/>
              <w:u w:val="single"/>
              <w:lang w:val="en-US"/>
            </w:rPr>
            <w:t>https://www.retail-week.com/department-stores/john-lewis-focuses-on-staff-wellbeing-in-own-brand-supplier-shake-up/7035448.article?authent=1</w:t>
          </w:r>
          <w:r>
            <w:rPr>
              <w:noProof/>
              <w:lang w:val="en-US"/>
            </w:rPr>
            <w:br/>
            <w:t>[Accessed 26 November 2020].</w:t>
          </w:r>
        </w:p>
        <w:p w14:paraId="03DEB4B7" w14:textId="77777777" w:rsidR="00127818" w:rsidRDefault="00127818" w:rsidP="00127818">
          <w:pPr>
            <w:pStyle w:val="Bibliography"/>
            <w:rPr>
              <w:noProof/>
              <w:lang w:val="en-US"/>
            </w:rPr>
          </w:pPr>
          <w:r>
            <w:rPr>
              <w:noProof/>
              <w:lang w:val="en-US"/>
            </w:rPr>
            <w:t xml:space="preserve">CIPD, 2020. </w:t>
          </w:r>
          <w:r>
            <w:rPr>
              <w:i/>
              <w:iCs/>
              <w:noProof/>
              <w:lang w:val="en-US"/>
            </w:rPr>
            <w:t xml:space="preserve">Engagement Factsheet. </w:t>
          </w:r>
          <w:r>
            <w:rPr>
              <w:noProof/>
              <w:lang w:val="en-US"/>
            </w:rPr>
            <w:t xml:space="preserve">[Online] </w:t>
          </w:r>
          <w:r>
            <w:rPr>
              <w:noProof/>
              <w:lang w:val="en-US"/>
            </w:rPr>
            <w:br/>
            <w:t xml:space="preserve">Available at: </w:t>
          </w:r>
          <w:r>
            <w:rPr>
              <w:noProof/>
              <w:u w:val="single"/>
              <w:lang w:val="en-US"/>
            </w:rPr>
            <w:t>https://www.cipd.co.uk/knowledge/fundamentals/relations/engagement/factsheet</w:t>
          </w:r>
          <w:r>
            <w:rPr>
              <w:noProof/>
              <w:lang w:val="en-US"/>
            </w:rPr>
            <w:br/>
            <w:t>[Accessed 15 November 2020].</w:t>
          </w:r>
        </w:p>
        <w:p w14:paraId="11C78AA1" w14:textId="77777777" w:rsidR="00127818" w:rsidRDefault="00127818" w:rsidP="00127818">
          <w:pPr>
            <w:pStyle w:val="Bibliography"/>
            <w:rPr>
              <w:noProof/>
              <w:lang w:val="en-US"/>
            </w:rPr>
          </w:pPr>
          <w:r>
            <w:rPr>
              <w:noProof/>
              <w:lang w:val="en-US"/>
            </w:rPr>
            <w:t xml:space="preserve">Deloitte, 2018. </w:t>
          </w:r>
          <w:r>
            <w:rPr>
              <w:i/>
              <w:iCs/>
              <w:noProof/>
              <w:lang w:val="en-US"/>
            </w:rPr>
            <w:t xml:space="preserve">Preparing tomorrow’s workforce for the Fourth Industrial Revolution, </w:t>
          </w:r>
          <w:r>
            <w:rPr>
              <w:noProof/>
              <w:lang w:val="en-US"/>
            </w:rPr>
            <w:t>Johannesburg: Deolitte Creative Services.</w:t>
          </w:r>
        </w:p>
        <w:p w14:paraId="2F1DF42B" w14:textId="77777777" w:rsidR="00127818" w:rsidRDefault="00127818" w:rsidP="00127818">
          <w:pPr>
            <w:pStyle w:val="Bibliography"/>
            <w:rPr>
              <w:noProof/>
              <w:lang w:val="en-US"/>
            </w:rPr>
          </w:pPr>
          <w:r>
            <w:rPr>
              <w:noProof/>
              <w:lang w:val="en-US"/>
            </w:rPr>
            <w:t xml:space="preserve">Espiner, T., 2020. </w:t>
          </w:r>
          <w:r>
            <w:rPr>
              <w:i/>
              <w:iCs/>
              <w:noProof/>
              <w:lang w:val="en-US"/>
            </w:rPr>
            <w:t xml:space="preserve">Climate campaigners win Heathrow expansion case. </w:t>
          </w:r>
          <w:r>
            <w:rPr>
              <w:noProof/>
              <w:lang w:val="en-US"/>
            </w:rPr>
            <w:t xml:space="preserve">[Online] </w:t>
          </w:r>
          <w:r>
            <w:rPr>
              <w:noProof/>
              <w:lang w:val="en-US"/>
            </w:rPr>
            <w:br/>
            <w:t xml:space="preserve">Available at: </w:t>
          </w:r>
          <w:r>
            <w:rPr>
              <w:noProof/>
              <w:u w:val="single"/>
              <w:lang w:val="en-US"/>
            </w:rPr>
            <w:t>https://www.bbc.co.uk/news/business-51658693</w:t>
          </w:r>
          <w:r>
            <w:rPr>
              <w:noProof/>
              <w:lang w:val="en-US"/>
            </w:rPr>
            <w:br/>
            <w:t>[Accessed 17 November 2020].</w:t>
          </w:r>
        </w:p>
        <w:p w14:paraId="2B2CD982" w14:textId="77777777" w:rsidR="00127818" w:rsidRDefault="00127818" w:rsidP="00127818">
          <w:pPr>
            <w:pStyle w:val="Bibliography"/>
            <w:rPr>
              <w:noProof/>
              <w:lang w:val="en-US"/>
            </w:rPr>
          </w:pPr>
          <w:r>
            <w:rPr>
              <w:noProof/>
              <w:lang w:val="en-US"/>
            </w:rPr>
            <w:t xml:space="preserve">Gilbert, J., 2011. </w:t>
          </w:r>
          <w:r>
            <w:rPr>
              <w:i/>
              <w:iCs/>
              <w:noProof/>
              <w:lang w:val="en-US"/>
            </w:rPr>
            <w:t xml:space="preserve">Milennials - A new generation of employees, a new set of engageement policies. </w:t>
          </w:r>
          <w:r>
            <w:rPr>
              <w:noProof/>
              <w:lang w:val="en-US"/>
            </w:rPr>
            <w:t xml:space="preserve">[Online] </w:t>
          </w:r>
          <w:r>
            <w:rPr>
              <w:noProof/>
              <w:lang w:val="en-US"/>
            </w:rPr>
            <w:br/>
            <w:t xml:space="preserve">Available at: </w:t>
          </w:r>
          <w:r>
            <w:rPr>
              <w:noProof/>
              <w:u w:val="single"/>
              <w:lang w:val="en-US"/>
            </w:rPr>
            <w:t>https://iveybusinessjournal.com/publication/the-millennials-a-new-generation-of-employees-a-new-set-of-engagement-policies/</w:t>
          </w:r>
          <w:r>
            <w:rPr>
              <w:noProof/>
              <w:lang w:val="en-US"/>
            </w:rPr>
            <w:br/>
            <w:t>[Accessed 18 November 2020].</w:t>
          </w:r>
        </w:p>
        <w:p w14:paraId="72A1196E" w14:textId="77777777" w:rsidR="00127818" w:rsidRDefault="00127818" w:rsidP="00127818">
          <w:pPr>
            <w:pStyle w:val="Bibliography"/>
            <w:rPr>
              <w:noProof/>
              <w:lang w:val="en-US"/>
            </w:rPr>
          </w:pPr>
          <w:r>
            <w:rPr>
              <w:noProof/>
              <w:lang w:val="en-US"/>
            </w:rPr>
            <w:t xml:space="preserve">Lipman, V., 2014. </w:t>
          </w:r>
          <w:r>
            <w:rPr>
              <w:i/>
              <w:iCs/>
              <w:noProof/>
              <w:lang w:val="en-US"/>
            </w:rPr>
            <w:t xml:space="preserve">6 Clear reasons why your employees aren't engaged. </w:t>
          </w:r>
          <w:r>
            <w:rPr>
              <w:noProof/>
              <w:lang w:val="en-US"/>
            </w:rPr>
            <w:t xml:space="preserve">[Online] </w:t>
          </w:r>
          <w:r>
            <w:rPr>
              <w:noProof/>
              <w:lang w:val="en-US"/>
            </w:rPr>
            <w:br/>
            <w:t xml:space="preserve">Available at: </w:t>
          </w:r>
          <w:r>
            <w:rPr>
              <w:noProof/>
              <w:u w:val="single"/>
              <w:lang w:val="en-US"/>
            </w:rPr>
            <w:t>https://www.forbes.com/sites/victorlipman/2014/05/13/6-clear-reasons-why-your-employees-arent-engaged/?sh=20bf03fa2779</w:t>
          </w:r>
          <w:r>
            <w:rPr>
              <w:noProof/>
              <w:lang w:val="en-US"/>
            </w:rPr>
            <w:br/>
            <w:t>[Accessed 23 November 2020].</w:t>
          </w:r>
        </w:p>
        <w:p w14:paraId="29597C8F" w14:textId="77777777" w:rsidR="00127818" w:rsidRDefault="00127818" w:rsidP="00127818">
          <w:pPr>
            <w:pStyle w:val="Bibliography"/>
            <w:rPr>
              <w:noProof/>
              <w:lang w:val="en-US"/>
            </w:rPr>
          </w:pPr>
          <w:r>
            <w:rPr>
              <w:noProof/>
              <w:lang w:val="en-US"/>
            </w:rPr>
            <w:t xml:space="preserve">Living Wage , 2020. </w:t>
          </w:r>
          <w:r>
            <w:rPr>
              <w:i/>
              <w:iCs/>
              <w:noProof/>
              <w:lang w:val="en-US"/>
            </w:rPr>
            <w:t xml:space="preserve">The Living Wage. </w:t>
          </w:r>
          <w:r>
            <w:rPr>
              <w:noProof/>
              <w:lang w:val="en-US"/>
            </w:rPr>
            <w:t xml:space="preserve">[Online] </w:t>
          </w:r>
          <w:r>
            <w:rPr>
              <w:noProof/>
              <w:lang w:val="en-US"/>
            </w:rPr>
            <w:br/>
            <w:t xml:space="preserve">Available at: </w:t>
          </w:r>
          <w:r>
            <w:rPr>
              <w:noProof/>
              <w:u w:val="single"/>
              <w:lang w:val="en-US"/>
            </w:rPr>
            <w:t>https://www.livingwage.org.uk/</w:t>
          </w:r>
          <w:r>
            <w:rPr>
              <w:noProof/>
              <w:lang w:val="en-US"/>
            </w:rPr>
            <w:br/>
            <w:t>[Accessed 24 November 2020].</w:t>
          </w:r>
        </w:p>
        <w:p w14:paraId="690C4D7E" w14:textId="77777777" w:rsidR="00127818" w:rsidRDefault="00127818" w:rsidP="00127818">
          <w:pPr>
            <w:pStyle w:val="Bibliography"/>
            <w:rPr>
              <w:noProof/>
              <w:lang w:val="en-US"/>
            </w:rPr>
          </w:pPr>
          <w:r>
            <w:rPr>
              <w:noProof/>
              <w:lang w:val="en-US"/>
            </w:rPr>
            <w:t xml:space="preserve">McCord, P., 2014. </w:t>
          </w:r>
          <w:r>
            <w:rPr>
              <w:i/>
              <w:iCs/>
              <w:noProof/>
              <w:lang w:val="en-US"/>
            </w:rPr>
            <w:t xml:space="preserve">How Netflix reinvented HR. </w:t>
          </w:r>
          <w:r>
            <w:rPr>
              <w:noProof/>
              <w:lang w:val="en-US"/>
            </w:rPr>
            <w:t xml:space="preserve">[Online] </w:t>
          </w:r>
          <w:r>
            <w:rPr>
              <w:noProof/>
              <w:lang w:val="en-US"/>
            </w:rPr>
            <w:br/>
            <w:t xml:space="preserve">Available at: </w:t>
          </w:r>
          <w:r>
            <w:rPr>
              <w:noProof/>
              <w:u w:val="single"/>
              <w:lang w:val="en-US"/>
            </w:rPr>
            <w:t>https://hbr.org/2014/01/how-netflix-reinvented-hr</w:t>
          </w:r>
          <w:r>
            <w:rPr>
              <w:noProof/>
              <w:lang w:val="en-US"/>
            </w:rPr>
            <w:br/>
            <w:t>[Accessed 21 November 2020].</w:t>
          </w:r>
        </w:p>
        <w:p w14:paraId="1805C8EC" w14:textId="77777777" w:rsidR="00127818" w:rsidRDefault="00127818" w:rsidP="00127818">
          <w:pPr>
            <w:pStyle w:val="Bibliography"/>
            <w:rPr>
              <w:noProof/>
              <w:lang w:val="en-US"/>
            </w:rPr>
          </w:pPr>
          <w:r>
            <w:rPr>
              <w:noProof/>
              <w:lang w:val="en-US"/>
            </w:rPr>
            <w:t xml:space="preserve">McKInsey, 2020. </w:t>
          </w:r>
          <w:r>
            <w:rPr>
              <w:i/>
              <w:iCs/>
              <w:noProof/>
              <w:lang w:val="en-US"/>
            </w:rPr>
            <w:t xml:space="preserve">Covid-19 and the Employee Experience. </w:t>
          </w:r>
          <w:r>
            <w:rPr>
              <w:noProof/>
              <w:lang w:val="en-US"/>
            </w:rPr>
            <w:t xml:space="preserve">[Online] </w:t>
          </w:r>
          <w:r>
            <w:rPr>
              <w:noProof/>
              <w:lang w:val="en-US"/>
            </w:rPr>
            <w:br/>
            <w:t xml:space="preserve">Available at: </w:t>
          </w:r>
          <w:r>
            <w:rPr>
              <w:noProof/>
              <w:u w:val="single"/>
              <w:lang w:val="en-US"/>
            </w:rPr>
            <w:t>https://www.mckinsey.com/business-functions/organization/our-insights/covid-19-and-the-employee-experience-how-leaders-can-seize-the-moment#</w:t>
          </w:r>
          <w:r>
            <w:rPr>
              <w:noProof/>
              <w:lang w:val="en-US"/>
            </w:rPr>
            <w:br/>
            <w:t>[Accessed 17 November 2020].</w:t>
          </w:r>
        </w:p>
        <w:p w14:paraId="30F9B9A9" w14:textId="77777777" w:rsidR="00127818" w:rsidRDefault="00127818" w:rsidP="00127818">
          <w:pPr>
            <w:pStyle w:val="Bibliography"/>
            <w:rPr>
              <w:noProof/>
              <w:lang w:val="en-US"/>
            </w:rPr>
          </w:pPr>
          <w:r>
            <w:rPr>
              <w:noProof/>
              <w:lang w:val="en-US"/>
            </w:rPr>
            <w:t xml:space="preserve">McQuillan, S. &amp; O'Brien, C., 2017. </w:t>
          </w:r>
          <w:r>
            <w:rPr>
              <w:i/>
              <w:iCs/>
              <w:noProof/>
              <w:lang w:val="en-US"/>
            </w:rPr>
            <w:t xml:space="preserve">The Importance of Stakeholder Engagement. </w:t>
          </w:r>
          <w:r>
            <w:rPr>
              <w:noProof/>
              <w:lang w:val="en-US"/>
            </w:rPr>
            <w:t xml:space="preserve">[Online] </w:t>
          </w:r>
          <w:r>
            <w:rPr>
              <w:noProof/>
              <w:lang w:val="en-US"/>
            </w:rPr>
            <w:br/>
            <w:t xml:space="preserve">Available at: </w:t>
          </w:r>
          <w:r>
            <w:rPr>
              <w:noProof/>
              <w:u w:val="single"/>
              <w:lang w:val="en-US"/>
            </w:rPr>
            <w:t>https://www.crowe.com/ie/insights/the-importance-of-stakeholder-engagement</w:t>
          </w:r>
          <w:r>
            <w:rPr>
              <w:noProof/>
              <w:lang w:val="en-US"/>
            </w:rPr>
            <w:br/>
            <w:t>[Accessed 24 November 2020].</w:t>
          </w:r>
        </w:p>
        <w:p w14:paraId="77545D83" w14:textId="030297D0" w:rsidR="00127818" w:rsidRDefault="00127818" w:rsidP="00127818">
          <w:pPr>
            <w:pStyle w:val="Bibliography"/>
            <w:rPr>
              <w:noProof/>
              <w:lang w:val="en-US"/>
            </w:rPr>
          </w:pPr>
          <w:r>
            <w:rPr>
              <w:noProof/>
              <w:lang w:val="en-US"/>
            </w:rPr>
            <w:lastRenderedPageBreak/>
            <w:t xml:space="preserve">Mind Tools, 2020. </w:t>
          </w:r>
          <w:r>
            <w:rPr>
              <w:i/>
              <w:iCs/>
              <w:noProof/>
              <w:lang w:val="en-US"/>
            </w:rPr>
            <w:t xml:space="preserve">Pink's Autonomy, Mastery and Purpose Framework. </w:t>
          </w:r>
          <w:r>
            <w:rPr>
              <w:noProof/>
              <w:lang w:val="en-US"/>
            </w:rPr>
            <w:t xml:space="preserve">[Online] </w:t>
          </w:r>
          <w:r>
            <w:rPr>
              <w:noProof/>
              <w:lang w:val="en-US"/>
            </w:rPr>
            <w:br/>
            <w:t xml:space="preserve">Available at: </w:t>
          </w:r>
          <w:r>
            <w:rPr>
              <w:noProof/>
              <w:u w:val="single"/>
              <w:lang w:val="en-US"/>
            </w:rPr>
            <w:t>https://www.mindtools.com/pages/article/autonomy-mastery-purpose.htm</w:t>
          </w:r>
          <w:r>
            <w:rPr>
              <w:noProof/>
              <w:lang w:val="en-US"/>
            </w:rPr>
            <w:br/>
            <w:t>[Accessed 24 November 2020].</w:t>
          </w:r>
        </w:p>
        <w:p w14:paraId="1586CA00" w14:textId="74023270" w:rsidR="00127818" w:rsidRPr="00127818" w:rsidRDefault="00127818" w:rsidP="00127818">
          <w:r>
            <w:t xml:space="preserve">Rich B L, </w:t>
          </w:r>
          <w:proofErr w:type="spellStart"/>
          <w:r>
            <w:t>Lepine</w:t>
          </w:r>
          <w:proofErr w:type="spellEnd"/>
          <w:r>
            <w:t xml:space="preserve"> J A, Crawford E R (2010), ‘Job Engagement: </w:t>
          </w:r>
          <w:proofErr w:type="spellStart"/>
          <w:r>
            <w:t>antecents</w:t>
          </w:r>
          <w:proofErr w:type="spellEnd"/>
          <w:r>
            <w:t xml:space="preserve"> and effects on job performance’, Academy of Management Journal, Vol. 53, No. 3</w:t>
          </w:r>
        </w:p>
        <w:p w14:paraId="49FC4745" w14:textId="350A226F" w:rsidR="00127818" w:rsidRDefault="00127818" w:rsidP="00127818">
          <w:r>
            <w:t>Saks A (2006), ‘Antecedents and consequences of employee engagement’, Journal of Managerial Psychology, Vol. 21, No. 7</w:t>
          </w:r>
        </w:p>
        <w:p w14:paraId="01D63424" w14:textId="77777777" w:rsidR="00127818" w:rsidRPr="00A16F69" w:rsidRDefault="00127818" w:rsidP="00127818">
          <w:r>
            <w:t xml:space="preserve">Silverman, M., </w:t>
          </w:r>
          <w:proofErr w:type="spellStart"/>
          <w:r>
            <w:t>Bakhshalian</w:t>
          </w:r>
          <w:proofErr w:type="spellEnd"/>
          <w:r>
            <w:t>, E. and Hillman, L. (2013) Social media and employee voice – the current landscape. CIPD.</w:t>
          </w:r>
        </w:p>
        <w:p w14:paraId="7A94519D" w14:textId="7C9DC137" w:rsidR="00127818" w:rsidRDefault="00127818" w:rsidP="00127818">
          <w:pPr>
            <w:pStyle w:val="Bibliography"/>
            <w:rPr>
              <w:noProof/>
              <w:lang w:val="en-US"/>
            </w:rPr>
          </w:pPr>
          <w:r>
            <w:rPr>
              <w:noProof/>
              <w:lang w:val="en-US"/>
            </w:rPr>
            <w:t xml:space="preserve">Stuart, D. &amp; Nordstrom, T., 2018. </w:t>
          </w:r>
          <w:r>
            <w:rPr>
              <w:i/>
              <w:iCs/>
              <w:noProof/>
              <w:lang w:val="en-US"/>
            </w:rPr>
            <w:t xml:space="preserve">Employee Experience vs Engagement - 3 things you should start thinking about now. </w:t>
          </w:r>
          <w:r>
            <w:rPr>
              <w:noProof/>
              <w:lang w:val="en-US"/>
            </w:rPr>
            <w:t xml:space="preserve">[Online] </w:t>
          </w:r>
          <w:r>
            <w:rPr>
              <w:noProof/>
              <w:lang w:val="en-US"/>
            </w:rPr>
            <w:br/>
            <w:t xml:space="preserve">Available at: </w:t>
          </w:r>
          <w:r>
            <w:rPr>
              <w:noProof/>
              <w:u w:val="single"/>
              <w:lang w:val="en-US"/>
            </w:rPr>
            <w:t>https://www.forbes.com/sites/davidsturt/2018/05/18/employee-experience-vs-engagement-and-3-things-you-should-start-thinking-about-now/?sh=2786ebea88f6</w:t>
          </w:r>
          <w:r>
            <w:rPr>
              <w:noProof/>
              <w:lang w:val="en-US"/>
            </w:rPr>
            <w:br/>
            <w:t>[Accessed 15 November 2020].</w:t>
          </w:r>
        </w:p>
        <w:p w14:paraId="270BEAF3" w14:textId="77777777" w:rsidR="00127818" w:rsidRDefault="00127818" w:rsidP="00127818">
          <w:pPr>
            <w:pStyle w:val="Bibliography"/>
            <w:rPr>
              <w:noProof/>
              <w:lang w:val="en-US"/>
            </w:rPr>
          </w:pPr>
          <w:r>
            <w:rPr>
              <w:noProof/>
              <w:lang w:val="en-US"/>
            </w:rPr>
            <w:t xml:space="preserve">Thomas, C., 2018. </w:t>
          </w:r>
          <w:r>
            <w:rPr>
              <w:i/>
              <w:iCs/>
              <w:noProof/>
              <w:lang w:val="en-US"/>
            </w:rPr>
            <w:t xml:space="preserve">How Demographic factors affect Employee Engagement. </w:t>
          </w:r>
          <w:r>
            <w:rPr>
              <w:noProof/>
              <w:lang w:val="en-US"/>
            </w:rPr>
            <w:t xml:space="preserve">[Online] </w:t>
          </w:r>
          <w:r>
            <w:rPr>
              <w:noProof/>
              <w:lang w:val="en-US"/>
            </w:rPr>
            <w:br/>
            <w:t xml:space="preserve">Available at: </w:t>
          </w:r>
          <w:r>
            <w:rPr>
              <w:noProof/>
              <w:u w:val="single"/>
              <w:lang w:val="en-US"/>
            </w:rPr>
            <w:t>https://www.activeconsultancy.com/blog/112/how_demographic_factors_affect_employee_engagement</w:t>
          </w:r>
          <w:r>
            <w:rPr>
              <w:noProof/>
              <w:lang w:val="en-US"/>
            </w:rPr>
            <w:br/>
            <w:t>[Accessed 23 November 2020].</w:t>
          </w:r>
        </w:p>
        <w:p w14:paraId="578D4C8E" w14:textId="77777777" w:rsidR="00127818" w:rsidRDefault="00127818" w:rsidP="00127818">
          <w:r>
            <w:rPr>
              <w:b/>
              <w:bCs/>
              <w:noProof/>
            </w:rPr>
            <w:fldChar w:fldCharType="end"/>
          </w:r>
        </w:p>
      </w:sdtContent>
    </w:sdt>
    <w:sdt>
      <w:sdtPr>
        <w:rPr>
          <w:rFonts w:asciiTheme="majorHAnsi" w:eastAsiaTheme="majorEastAsia" w:hAnsiTheme="majorHAnsi" w:cstheme="majorBidi"/>
          <w:color w:val="2F5496" w:themeColor="accent1" w:themeShade="BF"/>
          <w:sz w:val="32"/>
          <w:szCs w:val="32"/>
          <w:lang w:val="en-US"/>
        </w:rPr>
        <w:id w:val="1603538137"/>
        <w:docPartObj>
          <w:docPartGallery w:val="Bibliographies"/>
          <w:docPartUnique/>
        </w:docPartObj>
      </w:sdtPr>
      <w:sdtEndPr>
        <w:rPr>
          <w:rFonts w:asciiTheme="minorHAnsi" w:eastAsiaTheme="minorHAnsi" w:hAnsiTheme="minorHAnsi" w:cstheme="minorBidi"/>
          <w:color w:val="auto"/>
          <w:sz w:val="22"/>
          <w:szCs w:val="22"/>
          <w:lang w:val="en-GB"/>
        </w:rPr>
      </w:sdtEndPr>
      <w:sdtContent>
        <w:sdt>
          <w:sdtPr>
            <w:id w:val="111145805"/>
            <w:showingPlcHdr/>
            <w:bibliography/>
          </w:sdtPr>
          <w:sdtContent>
            <w:p w14:paraId="7071836A" w14:textId="2F72860C" w:rsidR="00127818" w:rsidRDefault="00127818" w:rsidP="00127818">
              <w:r>
                <w:t xml:space="preserve">     </w:t>
              </w:r>
            </w:p>
          </w:sdtContent>
        </w:sdt>
      </w:sdtContent>
    </w:sdt>
    <w:p w14:paraId="5010E692" w14:textId="77777777" w:rsidR="006A3136" w:rsidRDefault="006A3136"/>
    <w:p w14:paraId="0F97701F" w14:textId="77777777" w:rsidR="006A3136" w:rsidRDefault="006A3136"/>
    <w:p w14:paraId="1E9E9206" w14:textId="03046D06" w:rsidR="006A3136" w:rsidRDefault="006A3136"/>
    <w:p w14:paraId="5BD74071" w14:textId="6BD010E8" w:rsidR="00127818" w:rsidRDefault="00127818"/>
    <w:p w14:paraId="28258DAB" w14:textId="43B8967D" w:rsidR="00127818" w:rsidRDefault="00127818"/>
    <w:p w14:paraId="1B720A2F" w14:textId="00FD7F93" w:rsidR="00127818" w:rsidRDefault="00127818"/>
    <w:p w14:paraId="1813DD5B" w14:textId="4D1FB351" w:rsidR="00127818" w:rsidRDefault="00127818"/>
    <w:p w14:paraId="542F05CD" w14:textId="2AFE63B0" w:rsidR="00127818" w:rsidRDefault="00127818"/>
    <w:p w14:paraId="7C432516" w14:textId="36F2A824" w:rsidR="00127818" w:rsidRDefault="00127818"/>
    <w:p w14:paraId="16293D54" w14:textId="47228799" w:rsidR="00127818" w:rsidRDefault="00127818"/>
    <w:p w14:paraId="12B8C862" w14:textId="77777777" w:rsidR="00127818" w:rsidRDefault="00127818"/>
    <w:p w14:paraId="02334660" w14:textId="77777777" w:rsidR="006A3136" w:rsidRDefault="006A3136"/>
    <w:p w14:paraId="449AABE5" w14:textId="0635E5F1" w:rsidR="005C12CA" w:rsidRPr="00A16F69" w:rsidRDefault="005C12CA"/>
    <w:sectPr w:rsidR="005C12CA" w:rsidRPr="00A16F69">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4E5AB9" w14:textId="77777777" w:rsidR="0088775C" w:rsidRDefault="0088775C" w:rsidP="00EA7768">
      <w:pPr>
        <w:spacing w:after="0" w:line="240" w:lineRule="auto"/>
      </w:pPr>
      <w:r>
        <w:separator/>
      </w:r>
    </w:p>
  </w:endnote>
  <w:endnote w:type="continuationSeparator" w:id="0">
    <w:p w14:paraId="1F4DABD1" w14:textId="77777777" w:rsidR="0088775C" w:rsidRDefault="0088775C" w:rsidP="00EA77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ABDA74" w14:textId="77777777" w:rsidR="0088775C" w:rsidRDefault="0088775C" w:rsidP="00EA7768">
      <w:pPr>
        <w:spacing w:after="0" w:line="240" w:lineRule="auto"/>
      </w:pPr>
      <w:r>
        <w:separator/>
      </w:r>
    </w:p>
  </w:footnote>
  <w:footnote w:type="continuationSeparator" w:id="0">
    <w:p w14:paraId="3BE14714" w14:textId="77777777" w:rsidR="0088775C" w:rsidRDefault="0088775C" w:rsidP="00EA776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2D8ECC" w14:textId="77777777" w:rsidR="003D01C0" w:rsidRDefault="003D01C0" w:rsidP="003D01C0">
    <w:pPr>
      <w:pStyle w:val="Header"/>
    </w:pPr>
    <w:r>
      <w:t xml:space="preserve">Module 5EEKG </w:t>
    </w:r>
    <w:r>
      <w:tab/>
    </w:r>
    <w:r>
      <w:tab/>
      <w:t>Student Number 1707444</w:t>
    </w:r>
  </w:p>
  <w:p w14:paraId="15CBFECE" w14:textId="77777777" w:rsidR="003D01C0" w:rsidRDefault="003D01C0" w:rsidP="003D01C0">
    <w:pPr>
      <w:pStyle w:val="Header"/>
    </w:pPr>
  </w:p>
  <w:p w14:paraId="7F9D8B05" w14:textId="77777777" w:rsidR="003D01C0" w:rsidRDefault="003D01C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125C6A" w14:textId="02CD14C1" w:rsidR="00EA7768" w:rsidRDefault="00EA7768">
    <w:pPr>
      <w:pStyle w:val="Header"/>
    </w:pPr>
    <w:r>
      <w:t xml:space="preserve">Module 5EEKG </w:t>
    </w:r>
    <w:r>
      <w:tab/>
    </w:r>
    <w:r>
      <w:tab/>
      <w:t>Student Number 1707444</w:t>
    </w:r>
  </w:p>
  <w:p w14:paraId="6F7020ED" w14:textId="77777777" w:rsidR="00EA7768" w:rsidRDefault="00EA776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F82D88"/>
    <w:multiLevelType w:val="multilevel"/>
    <w:tmpl w:val="CCAA219A"/>
    <w:lvl w:ilvl="0">
      <w:start w:val="1"/>
      <w:numFmt w:val="decimal"/>
      <w:lvlText w:val="%1."/>
      <w:lvlJc w:val="left"/>
      <w:pPr>
        <w:ind w:left="360" w:hanging="360"/>
      </w:pPr>
      <w:rPr>
        <w:rFonts w:cs="Arial" w:hint="default"/>
        <w:sz w:val="20"/>
      </w:rPr>
    </w:lvl>
    <w:lvl w:ilvl="1">
      <w:start w:val="1"/>
      <w:numFmt w:val="decimal"/>
      <w:lvlText w:val="%1.%2."/>
      <w:lvlJc w:val="left"/>
      <w:pPr>
        <w:ind w:left="360" w:hanging="360"/>
      </w:pPr>
      <w:rPr>
        <w:rFonts w:cs="Arial" w:hint="default"/>
        <w:sz w:val="20"/>
      </w:rPr>
    </w:lvl>
    <w:lvl w:ilvl="2">
      <w:start w:val="1"/>
      <w:numFmt w:val="decimal"/>
      <w:lvlText w:val="%1.%2.%3."/>
      <w:lvlJc w:val="left"/>
      <w:pPr>
        <w:ind w:left="720" w:hanging="720"/>
      </w:pPr>
      <w:rPr>
        <w:rFonts w:cs="Arial" w:hint="default"/>
        <w:sz w:val="20"/>
      </w:rPr>
    </w:lvl>
    <w:lvl w:ilvl="3">
      <w:start w:val="1"/>
      <w:numFmt w:val="decimal"/>
      <w:lvlText w:val="%1.%2.%3.%4."/>
      <w:lvlJc w:val="left"/>
      <w:pPr>
        <w:ind w:left="720" w:hanging="720"/>
      </w:pPr>
      <w:rPr>
        <w:rFonts w:cs="Arial" w:hint="default"/>
        <w:sz w:val="20"/>
      </w:rPr>
    </w:lvl>
    <w:lvl w:ilvl="4">
      <w:start w:val="1"/>
      <w:numFmt w:val="decimal"/>
      <w:lvlText w:val="%1.%2.%3.%4.%5."/>
      <w:lvlJc w:val="left"/>
      <w:pPr>
        <w:ind w:left="1080" w:hanging="1080"/>
      </w:pPr>
      <w:rPr>
        <w:rFonts w:cs="Arial" w:hint="default"/>
        <w:sz w:val="20"/>
      </w:rPr>
    </w:lvl>
    <w:lvl w:ilvl="5">
      <w:start w:val="1"/>
      <w:numFmt w:val="decimal"/>
      <w:lvlText w:val="%1.%2.%3.%4.%5.%6."/>
      <w:lvlJc w:val="left"/>
      <w:pPr>
        <w:ind w:left="1080" w:hanging="1080"/>
      </w:pPr>
      <w:rPr>
        <w:rFonts w:cs="Arial" w:hint="default"/>
        <w:sz w:val="20"/>
      </w:rPr>
    </w:lvl>
    <w:lvl w:ilvl="6">
      <w:start w:val="1"/>
      <w:numFmt w:val="decimal"/>
      <w:lvlText w:val="%1.%2.%3.%4.%5.%6.%7."/>
      <w:lvlJc w:val="left"/>
      <w:pPr>
        <w:ind w:left="1440" w:hanging="1440"/>
      </w:pPr>
      <w:rPr>
        <w:rFonts w:cs="Arial" w:hint="default"/>
        <w:sz w:val="20"/>
      </w:rPr>
    </w:lvl>
    <w:lvl w:ilvl="7">
      <w:start w:val="1"/>
      <w:numFmt w:val="decimal"/>
      <w:lvlText w:val="%1.%2.%3.%4.%5.%6.%7.%8."/>
      <w:lvlJc w:val="left"/>
      <w:pPr>
        <w:ind w:left="1440" w:hanging="1440"/>
      </w:pPr>
      <w:rPr>
        <w:rFonts w:cs="Arial" w:hint="default"/>
        <w:sz w:val="20"/>
      </w:rPr>
    </w:lvl>
    <w:lvl w:ilvl="8">
      <w:start w:val="1"/>
      <w:numFmt w:val="decimal"/>
      <w:lvlText w:val="%1.%2.%3.%4.%5.%6.%7.%8.%9."/>
      <w:lvlJc w:val="left"/>
      <w:pPr>
        <w:ind w:left="1800" w:hanging="1800"/>
      </w:pPr>
      <w:rPr>
        <w:rFonts w:cs="Arial" w:hint="default"/>
        <w:sz w:val="20"/>
      </w:rPr>
    </w:lvl>
  </w:abstractNum>
  <w:abstractNum w:abstractNumId="1" w15:restartNumberingAfterBreak="0">
    <w:nsid w:val="2AAF476D"/>
    <w:multiLevelType w:val="hybridMultilevel"/>
    <w:tmpl w:val="D7E885B2"/>
    <w:lvl w:ilvl="0" w:tplc="6BFE7F2A">
      <w:start w:val="1"/>
      <w:numFmt w:val="decimal"/>
      <w:lvlText w:val="%1."/>
      <w:lvlJc w:val="left"/>
      <w:pPr>
        <w:ind w:left="720" w:hanging="360"/>
      </w:pPr>
      <w:rPr>
        <w:rFonts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39C6932"/>
    <w:multiLevelType w:val="hybridMultilevel"/>
    <w:tmpl w:val="DB9230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7D258C5"/>
    <w:multiLevelType w:val="hybridMultilevel"/>
    <w:tmpl w:val="7090A6B8"/>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4" w15:restartNumberingAfterBreak="0">
    <w:nsid w:val="62C73CDD"/>
    <w:multiLevelType w:val="hybridMultilevel"/>
    <w:tmpl w:val="F10E5496"/>
    <w:lvl w:ilvl="0" w:tplc="3DD6C994">
      <w:start w:val="1"/>
      <w:numFmt w:val="decimal"/>
      <w:lvlText w:val="%1."/>
      <w:lvlJc w:val="left"/>
      <w:pPr>
        <w:ind w:left="720" w:hanging="360"/>
      </w:pPr>
      <w:rPr>
        <w:rFonts w:cs="Arial"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4A14EFA"/>
    <w:multiLevelType w:val="hybridMultilevel"/>
    <w:tmpl w:val="6CAC877E"/>
    <w:lvl w:ilvl="0" w:tplc="C518CAE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E8B1FC4"/>
    <w:multiLevelType w:val="singleLevel"/>
    <w:tmpl w:val="D390E48C"/>
    <w:lvl w:ilvl="0">
      <w:start w:val="1"/>
      <w:numFmt w:val="lowerRoman"/>
      <w:lvlText w:val="(%1)"/>
      <w:lvlJc w:val="left"/>
      <w:pPr>
        <w:tabs>
          <w:tab w:val="num" w:pos="1440"/>
        </w:tabs>
        <w:ind w:left="1440" w:hanging="720"/>
      </w:pPr>
    </w:lvl>
  </w:abstractNum>
  <w:num w:numId="1">
    <w:abstractNumId w:val="0"/>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1"/>
  </w:num>
  <w:num w:numId="5">
    <w:abstractNumId w:val="6"/>
    <w:lvlOverride w:ilvl="0">
      <w:startOverride w:val="1"/>
    </w:lvlOverride>
  </w:num>
  <w:num w:numId="6">
    <w:abstractNumId w:val="2"/>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7768"/>
    <w:rsid w:val="00001172"/>
    <w:rsid w:val="00035CE1"/>
    <w:rsid w:val="00066DC3"/>
    <w:rsid w:val="00093C4D"/>
    <w:rsid w:val="000A23C4"/>
    <w:rsid w:val="000A6264"/>
    <w:rsid w:val="000D203E"/>
    <w:rsid w:val="00117598"/>
    <w:rsid w:val="00127818"/>
    <w:rsid w:val="0013196E"/>
    <w:rsid w:val="00190D3C"/>
    <w:rsid w:val="001E707E"/>
    <w:rsid w:val="00247924"/>
    <w:rsid w:val="0025534F"/>
    <w:rsid w:val="0025570A"/>
    <w:rsid w:val="00255DB4"/>
    <w:rsid w:val="002561B3"/>
    <w:rsid w:val="002F2C62"/>
    <w:rsid w:val="00304B6C"/>
    <w:rsid w:val="00355B38"/>
    <w:rsid w:val="0037373C"/>
    <w:rsid w:val="00394AD2"/>
    <w:rsid w:val="003D01C0"/>
    <w:rsid w:val="003E612F"/>
    <w:rsid w:val="00423F82"/>
    <w:rsid w:val="00432998"/>
    <w:rsid w:val="00482509"/>
    <w:rsid w:val="004C52FC"/>
    <w:rsid w:val="00586CF1"/>
    <w:rsid w:val="005C12CA"/>
    <w:rsid w:val="005F1878"/>
    <w:rsid w:val="005F4A35"/>
    <w:rsid w:val="00646F41"/>
    <w:rsid w:val="00654001"/>
    <w:rsid w:val="00693251"/>
    <w:rsid w:val="006A3136"/>
    <w:rsid w:val="006C6952"/>
    <w:rsid w:val="006F2D1E"/>
    <w:rsid w:val="00726A26"/>
    <w:rsid w:val="0074745F"/>
    <w:rsid w:val="007B46C4"/>
    <w:rsid w:val="00800E3B"/>
    <w:rsid w:val="00801B6A"/>
    <w:rsid w:val="00823C8A"/>
    <w:rsid w:val="00845F32"/>
    <w:rsid w:val="00867D45"/>
    <w:rsid w:val="00871C78"/>
    <w:rsid w:val="00875BFC"/>
    <w:rsid w:val="0088775C"/>
    <w:rsid w:val="008879D9"/>
    <w:rsid w:val="0089059B"/>
    <w:rsid w:val="00933D06"/>
    <w:rsid w:val="009460D4"/>
    <w:rsid w:val="0097313F"/>
    <w:rsid w:val="00977204"/>
    <w:rsid w:val="0098656D"/>
    <w:rsid w:val="00A16861"/>
    <w:rsid w:val="00A16F69"/>
    <w:rsid w:val="00A639F5"/>
    <w:rsid w:val="00A83392"/>
    <w:rsid w:val="00AA7415"/>
    <w:rsid w:val="00AC1E5A"/>
    <w:rsid w:val="00B06C13"/>
    <w:rsid w:val="00B9401E"/>
    <w:rsid w:val="00BB77BD"/>
    <w:rsid w:val="00BD2FB5"/>
    <w:rsid w:val="00C73791"/>
    <w:rsid w:val="00CD2C19"/>
    <w:rsid w:val="00D33CBD"/>
    <w:rsid w:val="00D46046"/>
    <w:rsid w:val="00D8738A"/>
    <w:rsid w:val="00DA249C"/>
    <w:rsid w:val="00DA59A3"/>
    <w:rsid w:val="00DC599B"/>
    <w:rsid w:val="00DE441C"/>
    <w:rsid w:val="00DE5A53"/>
    <w:rsid w:val="00E15909"/>
    <w:rsid w:val="00E66712"/>
    <w:rsid w:val="00E848AE"/>
    <w:rsid w:val="00E94274"/>
    <w:rsid w:val="00EA7768"/>
    <w:rsid w:val="00EC51CA"/>
    <w:rsid w:val="00F17F6C"/>
    <w:rsid w:val="00F36546"/>
    <w:rsid w:val="00F84FE5"/>
    <w:rsid w:val="00F93EED"/>
    <w:rsid w:val="00FD7A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D42EB8"/>
  <w15:chartTrackingRefBased/>
  <w15:docId w15:val="{2029ADD7-2CE2-4FF8-A1D5-2ABAC7D897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27818"/>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A7768"/>
    <w:pPr>
      <w:tabs>
        <w:tab w:val="center" w:pos="4513"/>
        <w:tab w:val="right" w:pos="9026"/>
      </w:tabs>
      <w:spacing w:after="0" w:line="240" w:lineRule="auto"/>
    </w:pPr>
  </w:style>
  <w:style w:type="character" w:customStyle="1" w:styleId="HeaderChar">
    <w:name w:val="Header Char"/>
    <w:basedOn w:val="DefaultParagraphFont"/>
    <w:link w:val="Header"/>
    <w:uiPriority w:val="99"/>
    <w:rsid w:val="00EA7768"/>
  </w:style>
  <w:style w:type="paragraph" w:styleId="Footer">
    <w:name w:val="footer"/>
    <w:basedOn w:val="Normal"/>
    <w:link w:val="FooterChar"/>
    <w:uiPriority w:val="99"/>
    <w:unhideWhenUsed/>
    <w:rsid w:val="00EA77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EA7768"/>
  </w:style>
  <w:style w:type="paragraph" w:styleId="ListParagraph">
    <w:name w:val="List Paragraph"/>
    <w:basedOn w:val="Normal"/>
    <w:uiPriority w:val="34"/>
    <w:qFormat/>
    <w:rsid w:val="00A16F69"/>
    <w:pPr>
      <w:ind w:left="720"/>
      <w:contextualSpacing/>
    </w:pPr>
  </w:style>
  <w:style w:type="character" w:styleId="Emphasis">
    <w:name w:val="Emphasis"/>
    <w:basedOn w:val="DefaultParagraphFont"/>
    <w:uiPriority w:val="20"/>
    <w:qFormat/>
    <w:rsid w:val="00BD2FB5"/>
    <w:rPr>
      <w:i/>
      <w:iCs/>
    </w:rPr>
  </w:style>
  <w:style w:type="paragraph" w:styleId="NormalWeb">
    <w:name w:val="Normal (Web)"/>
    <w:basedOn w:val="Normal"/>
    <w:uiPriority w:val="99"/>
    <w:semiHidden/>
    <w:unhideWhenUsed/>
    <w:rsid w:val="00AA741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A16861"/>
    <w:pPr>
      <w:spacing w:after="0" w:line="240" w:lineRule="auto"/>
    </w:pPr>
  </w:style>
  <w:style w:type="character" w:styleId="Hyperlink">
    <w:name w:val="Hyperlink"/>
    <w:basedOn w:val="DefaultParagraphFont"/>
    <w:uiPriority w:val="99"/>
    <w:unhideWhenUsed/>
    <w:rsid w:val="00E94274"/>
    <w:rPr>
      <w:color w:val="0563C1" w:themeColor="hyperlink"/>
      <w:u w:val="single"/>
    </w:rPr>
  </w:style>
  <w:style w:type="character" w:styleId="UnresolvedMention">
    <w:name w:val="Unresolved Mention"/>
    <w:basedOn w:val="DefaultParagraphFont"/>
    <w:uiPriority w:val="99"/>
    <w:semiHidden/>
    <w:unhideWhenUsed/>
    <w:rsid w:val="00E94274"/>
    <w:rPr>
      <w:color w:val="605E5C"/>
      <w:shd w:val="clear" w:color="auto" w:fill="E1DFDD"/>
    </w:rPr>
  </w:style>
  <w:style w:type="character" w:styleId="FollowedHyperlink">
    <w:name w:val="FollowedHyperlink"/>
    <w:basedOn w:val="DefaultParagraphFont"/>
    <w:uiPriority w:val="99"/>
    <w:semiHidden/>
    <w:unhideWhenUsed/>
    <w:rsid w:val="008879D9"/>
    <w:rPr>
      <w:color w:val="954F72" w:themeColor="followedHyperlink"/>
      <w:u w:val="single"/>
    </w:rPr>
  </w:style>
  <w:style w:type="character" w:customStyle="1" w:styleId="Heading1Char">
    <w:name w:val="Heading 1 Char"/>
    <w:basedOn w:val="DefaultParagraphFont"/>
    <w:link w:val="Heading1"/>
    <w:uiPriority w:val="9"/>
    <w:rsid w:val="00127818"/>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1278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453332">
      <w:bodyDiv w:val="1"/>
      <w:marLeft w:val="0"/>
      <w:marRight w:val="0"/>
      <w:marTop w:val="0"/>
      <w:marBottom w:val="0"/>
      <w:divBdr>
        <w:top w:val="none" w:sz="0" w:space="0" w:color="auto"/>
        <w:left w:val="none" w:sz="0" w:space="0" w:color="auto"/>
        <w:bottom w:val="none" w:sz="0" w:space="0" w:color="auto"/>
        <w:right w:val="none" w:sz="0" w:space="0" w:color="auto"/>
      </w:divBdr>
    </w:div>
    <w:div w:id="1193304402">
      <w:bodyDiv w:val="1"/>
      <w:marLeft w:val="0"/>
      <w:marRight w:val="0"/>
      <w:marTop w:val="0"/>
      <w:marBottom w:val="0"/>
      <w:divBdr>
        <w:top w:val="none" w:sz="0" w:space="0" w:color="auto"/>
        <w:left w:val="none" w:sz="0" w:space="0" w:color="auto"/>
        <w:bottom w:val="none" w:sz="0" w:space="0" w:color="auto"/>
        <w:right w:val="none" w:sz="0" w:space="0" w:color="auto"/>
      </w:divBdr>
    </w:div>
    <w:div w:id="1305087303">
      <w:bodyDiv w:val="1"/>
      <w:marLeft w:val="0"/>
      <w:marRight w:val="0"/>
      <w:marTop w:val="0"/>
      <w:marBottom w:val="0"/>
      <w:divBdr>
        <w:top w:val="none" w:sz="0" w:space="0" w:color="auto"/>
        <w:left w:val="none" w:sz="0" w:space="0" w:color="auto"/>
        <w:bottom w:val="none" w:sz="0" w:space="0" w:color="auto"/>
        <w:right w:val="none" w:sz="0" w:space="0" w:color="auto"/>
      </w:divBdr>
    </w:div>
    <w:div w:id="1511750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CIP204</b:Tag>
    <b:SourceType>InternetSite</b:SourceType>
    <b:Guid>{47FEB3D8-3A91-4D27-8C19-1ECAA4D2C9C3}</b:Guid>
    <b:Title>Engagement Factsheet </b:Title>
    <b:Year>2020</b:Year>
    <b:Author>
      <b:Author>
        <b:Corporate>CIPD</b:Corporate>
      </b:Author>
    </b:Author>
    <b:YearAccessed>2020</b:YearAccessed>
    <b:MonthAccessed>November </b:MonthAccessed>
    <b:DayAccessed>15</b:DayAccessed>
    <b:URL>https://www.cipd.co.uk/knowledge/fundamentals/relations/engagement/factsheet</b:URL>
    <b:RefOrder>1</b:RefOrder>
  </b:Source>
  <b:Source>
    <b:Tag>Stu18</b:Tag>
    <b:SourceType>InternetSite</b:SourceType>
    <b:Guid>{AAC69530-8431-43CE-B326-51407A928A97}</b:Guid>
    <b:Author>
      <b:Author>
        <b:NameList>
          <b:Person>
            <b:Last>Stuart</b:Last>
            <b:First>D</b:First>
          </b:Person>
          <b:Person>
            <b:Last>Nordstrom</b:Last>
            <b:First>T</b:First>
          </b:Person>
        </b:NameList>
      </b:Author>
    </b:Author>
    <b:Title>Employee Experience vs Engagement - 3 things you should start thinking about now</b:Title>
    <b:Year>2018</b:Year>
    <b:YearAccessed>2020</b:YearAccessed>
    <b:MonthAccessed>November </b:MonthAccessed>
    <b:DayAccessed>15</b:DayAccessed>
    <b:URL>https://www.forbes.com/sites/davidsturt/2018/05/18/employee-experience-vs-engagement-and-3-things-you-should-start-thinking-about-now/?sh=2786ebea88f6</b:URL>
    <b:RefOrder>2</b:RefOrder>
  </b:Source>
  <b:Source>
    <b:Tag>McK20</b:Tag>
    <b:SourceType>InternetSite</b:SourceType>
    <b:Guid>{1575038F-D526-493D-B7FD-A8226A6936BE}</b:Guid>
    <b:Author>
      <b:Author>
        <b:Corporate>McKInsey</b:Corporate>
      </b:Author>
    </b:Author>
    <b:Title>Covid-19 and the Employee Experience </b:Title>
    <b:Year>2020</b:Year>
    <b:YearAccessed>2020</b:YearAccessed>
    <b:MonthAccessed>November </b:MonthAccessed>
    <b:DayAccessed>17</b:DayAccessed>
    <b:URL>https://www.mckinsey.com/business-functions/organization/our-insights/covid-19-and-the-employee-experience-how-leaders-can-seize-the-moment#</b:URL>
    <b:RefOrder>3</b:RefOrder>
  </b:Source>
  <b:Source>
    <b:Tag>Gil11</b:Tag>
    <b:SourceType>InternetSite</b:SourceType>
    <b:Guid>{E2117FAA-B33E-4085-80DA-EEB93E810367}</b:Guid>
    <b:Author>
      <b:Author>
        <b:NameList>
          <b:Person>
            <b:Last>Gilbert</b:Last>
            <b:First>J</b:First>
          </b:Person>
        </b:NameList>
      </b:Author>
    </b:Author>
    <b:Title>Milennials - A new generation of employees, a new set of engageement policies </b:Title>
    <b:Year>2011</b:Year>
    <b:YearAccessed>2020</b:YearAccessed>
    <b:MonthAccessed>November </b:MonthAccessed>
    <b:DayAccessed>18</b:DayAccessed>
    <b:URL>https://iveybusinessjournal.com/publication/the-millennials-a-new-generation-of-employees-a-new-set-of-engagement-policies/</b:URL>
    <b:RefOrder>4</b:RefOrder>
  </b:Source>
  <b:Source>
    <b:Tag>Adk20</b:Tag>
    <b:SourceType>InternetSite</b:SourceType>
    <b:Guid>{2A04BEBF-C751-43CE-AD26-0E7E137CA84B}</b:Guid>
    <b:Author>
      <b:Author>
        <b:NameList>
          <b:Person>
            <b:Last>Adkins</b:Last>
            <b:First>A</b:First>
          </b:Person>
        </b:NameList>
      </b:Author>
    </b:Author>
    <b:Title>Milennials - The job hopping generation</b:Title>
    <b:Year>2020</b:Year>
    <b:YearAccessed>2020</b:YearAccessed>
    <b:MonthAccessed>November </b:MonthAccessed>
    <b:DayAccessed>21</b:DayAccessed>
    <b:URL>https://www.gallup.com/workplace/231587/millennials-job-hopping-generation.aspx</b:URL>
    <b:RefOrder>5</b:RefOrder>
  </b:Source>
  <b:Source>
    <b:Tag>Lip14</b:Tag>
    <b:SourceType>InternetSite</b:SourceType>
    <b:Guid>{3C00242D-478A-4E1B-93DD-D06095EAE828}</b:Guid>
    <b:Author>
      <b:Author>
        <b:NameList>
          <b:Person>
            <b:Last>Lipman</b:Last>
            <b:First>V</b:First>
          </b:Person>
        </b:NameList>
      </b:Author>
    </b:Author>
    <b:Title>6 Clear reasons why your employees aren't engaged</b:Title>
    <b:Year>2014</b:Year>
    <b:YearAccessed>2020</b:YearAccessed>
    <b:MonthAccessed>November</b:MonthAccessed>
    <b:DayAccessed>23</b:DayAccessed>
    <b:URL>https://www.forbes.com/sites/victorlipman/2014/05/13/6-clear-reasons-why-your-employees-arent-engaged/?sh=20bf03fa2779</b:URL>
    <b:RefOrder>6</b:RefOrder>
  </b:Source>
  <b:Source>
    <b:Tag>McC14</b:Tag>
    <b:SourceType>InternetSite</b:SourceType>
    <b:Guid>{C3CBF26C-40A5-4B6C-83C2-F2C9910291BC}</b:Guid>
    <b:Author>
      <b:Author>
        <b:NameList>
          <b:Person>
            <b:Last>McCord</b:Last>
            <b:First>P</b:First>
          </b:Person>
        </b:NameList>
      </b:Author>
    </b:Author>
    <b:Title>How Netflix reinvented HR </b:Title>
    <b:Year>2014</b:Year>
    <b:YearAccessed>2020</b:YearAccessed>
    <b:MonthAccessed>November </b:MonthAccessed>
    <b:DayAccessed>21</b:DayAccessed>
    <b:URL>https://hbr.org/2014/01/how-netflix-reinvented-hr</b:URL>
    <b:RefOrder>7</b:RefOrder>
  </b:Source>
  <b:Source>
    <b:Tag>Min20</b:Tag>
    <b:SourceType>InternetSite</b:SourceType>
    <b:Guid>{4DC4A25E-FCD1-42F6-BDD9-07D8BE2C2B30}</b:Guid>
    <b:Author>
      <b:Author>
        <b:Corporate>Mind Tools</b:Corporate>
      </b:Author>
    </b:Author>
    <b:Title>Pink's Autonomy, Mastery and Purpose Framework</b:Title>
    <b:Year>2020</b:Year>
    <b:YearAccessed>2020</b:YearAccessed>
    <b:MonthAccessed>November </b:MonthAccessed>
    <b:DayAccessed>24</b:DayAccessed>
    <b:URL>https://www.mindtools.com/pages/article/autonomy-mastery-purpose.htm</b:URL>
    <b:RefOrder>8</b:RefOrder>
  </b:Source>
  <b:Source>
    <b:Tag>McQ17</b:Tag>
    <b:SourceType>InternetSite</b:SourceType>
    <b:Guid>{A07BACC6-2655-459F-B7B0-4092FC4243D5}</b:Guid>
    <b:Author>
      <b:Author>
        <b:NameList>
          <b:Person>
            <b:Last>McQuillan</b:Last>
            <b:First>S</b:First>
          </b:Person>
          <b:Person>
            <b:Last>O'Brien</b:Last>
            <b:First>C</b:First>
          </b:Person>
        </b:NameList>
      </b:Author>
    </b:Author>
    <b:Title>The Importance of Stakeholder Engagement</b:Title>
    <b:Year>2017</b:Year>
    <b:YearAccessed>2020</b:YearAccessed>
    <b:MonthAccessed>November</b:MonthAccessed>
    <b:DayAccessed>24</b:DayAccessed>
    <b:URL>https://www.crowe.com/ie/insights/the-importance-of-stakeholder-engagement</b:URL>
    <b:RefOrder>9</b:RefOrder>
  </b:Source>
  <b:Source>
    <b:Tag>Del18</b:Tag>
    <b:SourceType>Report</b:SourceType>
    <b:Guid>{1A478835-4BD0-4D61-B388-46604F07FBB9}</b:Guid>
    <b:Title>Preparing tomorrow’s workforce for the Fourth Industrial Revolution</b:Title>
    <b:Year>2018</b:Year>
    <b:Author>
      <b:Author>
        <b:Corporate>Deloitte</b:Corporate>
      </b:Author>
    </b:Author>
    <b:Publisher>Deolitte Creative Services</b:Publisher>
    <b:City>Johannesburg</b:City>
    <b:RefOrder>10</b:RefOrder>
  </b:Source>
  <b:Source>
    <b:Tag>Tho18</b:Tag>
    <b:SourceType>InternetSite</b:SourceType>
    <b:Guid>{F41924C1-003F-4B24-82E0-3961E2570117}</b:Guid>
    <b:Title>How Demographic factors affect Employee Engagement </b:Title>
    <b:Year>2018</b:Year>
    <b:Author>
      <b:Author>
        <b:NameList>
          <b:Person>
            <b:Last>Thomas</b:Last>
            <b:First>C</b:First>
          </b:Person>
        </b:NameList>
      </b:Author>
    </b:Author>
    <b:YearAccessed>2020</b:YearAccessed>
    <b:MonthAccessed>November </b:MonthAccessed>
    <b:DayAccessed>23</b:DayAccessed>
    <b:URL>https://www.activeconsultancy.com/blog/112/how_demographic_factors_affect_employee_engagement</b:URL>
    <b:RefOrder>11</b:RefOrder>
  </b:Source>
  <b:Source>
    <b:Tag>Bai18</b:Tag>
    <b:SourceType>InternetSite</b:SourceType>
    <b:Guid>{4859F040-2ACD-4A04-9721-EBE0FFB711C2}</b:Guid>
    <b:Author>
      <b:Author>
        <b:NameList>
          <b:Person>
            <b:Last>Bain</b:Last>
            <b:First>K</b:First>
          </b:Person>
        </b:NameList>
      </b:Author>
    </b:Author>
    <b:Title>The link between employee engagement and customer service</b:Title>
    <b:Year>2018</b:Year>
    <b:YearAccessed>2020</b:YearAccessed>
    <b:MonthAccessed>November </b:MonthAccessed>
    <b:DayAccessed>26</b:DayAccessed>
    <b:URL>http://hrnews.co.uk/link-employee-engagement-customer-service/</b:URL>
    <b:RefOrder>12</b:RefOrder>
  </b:Source>
  <b:Source>
    <b:Tag>Bow20</b:Tag>
    <b:SourceType>InternetSite</b:SourceType>
    <b:Guid>{2226A874-3D5C-4C63-9E04-4AC9EC184D97}</b:Guid>
    <b:Author>
      <b:Author>
        <b:NameList>
          <b:Person>
            <b:Last>Bowden</b:Last>
            <b:First>G</b:First>
          </b:Person>
        </b:NameList>
      </b:Author>
    </b:Author>
    <b:Title>John Lewis focuses on staff wellbeing in own-brand supplier shake-up</b:Title>
    <b:Year>2020</b:Year>
    <b:YearAccessed>2020</b:YearAccessed>
    <b:MonthAccessed>November </b:MonthAccessed>
    <b:DayAccessed>26</b:DayAccessed>
    <b:URL>https://www.retail-week.com/department-stores/john-lewis-focuses-on-staff-wellbeing-in-own-brand-supplier-shake-up/7035448.article?authent=1</b:URL>
    <b:RefOrder>13</b:RefOrder>
  </b:Source>
  <b:Source>
    <b:Tag>Liv20</b:Tag>
    <b:SourceType>InternetSite</b:SourceType>
    <b:Guid>{AD9FC15C-6675-48E1-BA04-EFF2E87D0C38}</b:Guid>
    <b:Author>
      <b:Author>
        <b:Corporate>Living Wage </b:Corporate>
      </b:Author>
    </b:Author>
    <b:Title>The Living Wage </b:Title>
    <b:Year>2020</b:Year>
    <b:YearAccessed>2020</b:YearAccessed>
    <b:MonthAccessed>November </b:MonthAccessed>
    <b:DayAccessed>24</b:DayAccessed>
    <b:URL>https://www.livingwage.org.uk/</b:URL>
    <b:RefOrder>14</b:RefOrder>
  </b:Source>
  <b:Source>
    <b:Tag>Esp201</b:Tag>
    <b:SourceType>InternetSite</b:SourceType>
    <b:Guid>{A749B6B9-1D27-4D88-ABDD-EF552ABC312D}</b:Guid>
    <b:Author>
      <b:Author>
        <b:NameList>
          <b:Person>
            <b:Last>Espiner</b:Last>
            <b:First>T</b:First>
          </b:Person>
        </b:NameList>
      </b:Author>
    </b:Author>
    <b:Title>Climate campaigners win Heathrow expansion case</b:Title>
    <b:Year>2020</b:Year>
    <b:YearAccessed>2020</b:YearAccessed>
    <b:MonthAccessed>November </b:MonthAccessed>
    <b:DayAccessed>17</b:DayAccessed>
    <b:URL>https://www.bbc.co.uk/news/business-51658693</b:URL>
    <b:RefOrder>15</b:RefOrder>
  </b:Source>
</b:Sources>
</file>

<file path=customXml/itemProps1.xml><?xml version="1.0" encoding="utf-8"?>
<ds:datastoreItem xmlns:ds="http://schemas.openxmlformats.org/officeDocument/2006/customXml" ds:itemID="{5E4220E8-8523-46A9-8585-086431D598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4002</TotalTime>
  <Pages>8</Pages>
  <Words>3431</Words>
  <Characters>19561</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Evans</dc:creator>
  <cp:keywords/>
  <dc:description/>
  <cp:lastModifiedBy>Victoria Evans</cp:lastModifiedBy>
  <cp:revision>53</cp:revision>
  <dcterms:created xsi:type="dcterms:W3CDTF">2020-11-02T11:25:00Z</dcterms:created>
  <dcterms:modified xsi:type="dcterms:W3CDTF">2020-12-10T13:18:00Z</dcterms:modified>
</cp:coreProperties>
</file>