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17437D" w14:textId="77777777" w:rsidR="00AB50CF" w:rsidRDefault="00AB50CF" w:rsidP="007E42F3">
      <w:pPr>
        <w:spacing w:line="360" w:lineRule="auto"/>
        <w:rPr>
          <w:rFonts w:ascii="Arial" w:hAnsi="Arial" w:cs="Arial"/>
          <w:b/>
          <w:bCs/>
        </w:rPr>
      </w:pPr>
    </w:p>
    <w:p w14:paraId="228B25E7" w14:textId="77777777" w:rsidR="00AB50CF" w:rsidRDefault="00AB50CF" w:rsidP="007E42F3">
      <w:pPr>
        <w:spacing w:line="360" w:lineRule="auto"/>
        <w:rPr>
          <w:rFonts w:ascii="Arial" w:hAnsi="Arial" w:cs="Arial"/>
          <w:b/>
          <w:bCs/>
        </w:rPr>
      </w:pPr>
    </w:p>
    <w:p w14:paraId="7813F524" w14:textId="77777777" w:rsidR="00AB50CF" w:rsidRDefault="00AB50CF" w:rsidP="007E42F3">
      <w:pPr>
        <w:spacing w:line="360" w:lineRule="auto"/>
        <w:rPr>
          <w:rFonts w:ascii="Arial" w:hAnsi="Arial" w:cs="Arial"/>
          <w:b/>
          <w:bCs/>
        </w:rPr>
      </w:pPr>
    </w:p>
    <w:p w14:paraId="7A8D071C" w14:textId="77777777" w:rsidR="00AB50CF" w:rsidRPr="00AB50CF" w:rsidRDefault="00AB50CF" w:rsidP="007E42F3">
      <w:pPr>
        <w:spacing w:line="360" w:lineRule="auto"/>
        <w:rPr>
          <w:rFonts w:ascii="Arial" w:hAnsi="Arial" w:cs="Arial"/>
          <w:b/>
          <w:bCs/>
          <w:sz w:val="40"/>
          <w:szCs w:val="40"/>
        </w:rPr>
      </w:pPr>
    </w:p>
    <w:p w14:paraId="2FC6D954" w14:textId="30B067DB" w:rsidR="00857D68" w:rsidRPr="00AB50CF" w:rsidRDefault="00857D68" w:rsidP="007E42F3">
      <w:pPr>
        <w:spacing w:line="360" w:lineRule="auto"/>
        <w:rPr>
          <w:rFonts w:ascii="Arial" w:hAnsi="Arial" w:cs="Arial"/>
          <w:b/>
          <w:bCs/>
          <w:sz w:val="40"/>
          <w:szCs w:val="40"/>
        </w:rPr>
      </w:pPr>
      <w:r w:rsidRPr="00AB50CF">
        <w:rPr>
          <w:rFonts w:ascii="Arial" w:hAnsi="Arial" w:cs="Arial"/>
          <w:b/>
          <w:bCs/>
          <w:sz w:val="40"/>
          <w:szCs w:val="40"/>
        </w:rPr>
        <w:t>Raluca Nicoleta Caruntu</w:t>
      </w:r>
      <w:r w:rsidR="008946A3" w:rsidRPr="00AB50CF">
        <w:rPr>
          <w:rFonts w:ascii="Arial" w:hAnsi="Arial" w:cs="Arial"/>
          <w:b/>
          <w:bCs/>
          <w:sz w:val="40"/>
          <w:szCs w:val="40"/>
        </w:rPr>
        <w:t>-</w:t>
      </w:r>
      <w:r w:rsidR="00296923" w:rsidRPr="00AB50CF">
        <w:rPr>
          <w:rFonts w:ascii="Arial" w:hAnsi="Arial" w:cs="Arial"/>
          <w:b/>
          <w:bCs/>
          <w:sz w:val="40"/>
          <w:szCs w:val="40"/>
        </w:rPr>
        <w:t>2410738</w:t>
      </w:r>
    </w:p>
    <w:p w14:paraId="6435B909" w14:textId="5CB1E5B9" w:rsidR="00017DA3" w:rsidRPr="00AB50CF" w:rsidRDefault="00017DA3" w:rsidP="007E42F3">
      <w:pPr>
        <w:spacing w:line="360" w:lineRule="auto"/>
        <w:rPr>
          <w:rFonts w:ascii="Arial" w:hAnsi="Arial" w:cs="Arial"/>
          <w:b/>
          <w:bCs/>
          <w:sz w:val="40"/>
          <w:szCs w:val="40"/>
        </w:rPr>
      </w:pPr>
      <w:r w:rsidRPr="00AB50CF">
        <w:rPr>
          <w:rFonts w:ascii="Arial" w:hAnsi="Arial" w:cs="Arial"/>
          <w:b/>
          <w:bCs/>
          <w:sz w:val="40"/>
          <w:szCs w:val="40"/>
        </w:rPr>
        <w:t>BA (Hons) Leadership and Management Skills for the Workplace</w:t>
      </w:r>
    </w:p>
    <w:p w14:paraId="63C2C21F" w14:textId="0EBEE99F" w:rsidR="00925D7E" w:rsidRPr="00AB50CF" w:rsidRDefault="00925D7E" w:rsidP="007E42F3">
      <w:pPr>
        <w:spacing w:line="360" w:lineRule="auto"/>
        <w:rPr>
          <w:rFonts w:ascii="Arial" w:hAnsi="Arial" w:cs="Arial"/>
          <w:b/>
          <w:bCs/>
          <w:sz w:val="40"/>
          <w:szCs w:val="40"/>
        </w:rPr>
      </w:pPr>
      <w:r w:rsidRPr="00AB50CF">
        <w:rPr>
          <w:rFonts w:ascii="Arial" w:hAnsi="Arial" w:cs="Arial"/>
          <w:b/>
          <w:bCs/>
          <w:sz w:val="40"/>
          <w:szCs w:val="40"/>
        </w:rPr>
        <w:t>Developing and Managing Individuals and Teams</w:t>
      </w:r>
      <w:r w:rsidR="008946A3" w:rsidRPr="00AB50CF">
        <w:rPr>
          <w:rFonts w:ascii="Arial" w:hAnsi="Arial" w:cs="Arial"/>
          <w:b/>
          <w:bCs/>
          <w:sz w:val="40"/>
          <w:szCs w:val="40"/>
        </w:rPr>
        <w:t xml:space="preserve"> - </w:t>
      </w:r>
      <w:r w:rsidR="00D71B80" w:rsidRPr="00AB50CF">
        <w:rPr>
          <w:rFonts w:ascii="Arial" w:hAnsi="Arial" w:cs="Arial"/>
          <w:b/>
          <w:bCs/>
          <w:sz w:val="40"/>
          <w:szCs w:val="40"/>
        </w:rPr>
        <w:t>LCLM5002</w:t>
      </w:r>
    </w:p>
    <w:p w14:paraId="3DD0DCA9" w14:textId="18E2831B" w:rsidR="00D71B80" w:rsidRPr="00AB50CF" w:rsidRDefault="007851A3" w:rsidP="007E42F3">
      <w:pPr>
        <w:spacing w:line="360" w:lineRule="auto"/>
        <w:rPr>
          <w:rFonts w:ascii="Arial" w:hAnsi="Arial" w:cs="Arial"/>
          <w:b/>
          <w:bCs/>
          <w:sz w:val="40"/>
          <w:szCs w:val="40"/>
        </w:rPr>
      </w:pPr>
      <w:r w:rsidRPr="00AB50CF">
        <w:rPr>
          <w:rFonts w:ascii="Arial" w:hAnsi="Arial" w:cs="Arial"/>
          <w:b/>
          <w:bCs/>
          <w:sz w:val="40"/>
          <w:szCs w:val="40"/>
        </w:rPr>
        <w:t xml:space="preserve">Lecturer - </w:t>
      </w:r>
      <w:r w:rsidR="00CB401E" w:rsidRPr="00AB50CF">
        <w:rPr>
          <w:rFonts w:ascii="Arial" w:hAnsi="Arial" w:cs="Arial"/>
          <w:b/>
          <w:bCs/>
          <w:sz w:val="40"/>
          <w:szCs w:val="40"/>
        </w:rPr>
        <w:t>Doreen Nyaa Amundam</w:t>
      </w:r>
    </w:p>
    <w:p w14:paraId="3A4C9477" w14:textId="1FF3D7F4" w:rsidR="007E42F3" w:rsidRPr="007E42F3" w:rsidRDefault="00981C79" w:rsidP="007E42F3">
      <w:pPr>
        <w:spacing w:line="360" w:lineRule="auto"/>
        <w:rPr>
          <w:rFonts w:ascii="Arial" w:hAnsi="Arial" w:cs="Arial"/>
          <w:b/>
          <w:bCs/>
          <w:sz w:val="40"/>
          <w:szCs w:val="40"/>
        </w:rPr>
      </w:pPr>
      <w:r w:rsidRPr="00AB50CF">
        <w:rPr>
          <w:rFonts w:ascii="Arial" w:hAnsi="Arial" w:cs="Arial"/>
          <w:b/>
          <w:bCs/>
          <w:sz w:val="40"/>
          <w:szCs w:val="40"/>
        </w:rPr>
        <w:t>Component 2- Individual Report</w:t>
      </w:r>
      <w:r w:rsidR="00AB50CF" w:rsidRPr="00AB50CF">
        <w:rPr>
          <w:rFonts w:ascii="Arial" w:hAnsi="Arial" w:cs="Arial"/>
          <w:b/>
          <w:bCs/>
          <w:sz w:val="40"/>
          <w:szCs w:val="40"/>
        </w:rPr>
        <w:t xml:space="preserve"> </w:t>
      </w:r>
      <w:r w:rsidR="001A5790" w:rsidRPr="00AB50CF">
        <w:rPr>
          <w:rFonts w:ascii="Arial" w:hAnsi="Arial" w:cs="Arial"/>
          <w:b/>
          <w:bCs/>
          <w:sz w:val="40"/>
          <w:szCs w:val="40"/>
        </w:rPr>
        <w:t>-</w:t>
      </w:r>
      <w:r w:rsidR="00AB50CF" w:rsidRPr="00AB50CF">
        <w:rPr>
          <w:rFonts w:ascii="Arial" w:hAnsi="Arial" w:cs="Arial"/>
          <w:b/>
          <w:bCs/>
          <w:sz w:val="40"/>
          <w:szCs w:val="40"/>
        </w:rPr>
        <w:t xml:space="preserve"> </w:t>
      </w:r>
      <w:bookmarkStart w:id="0" w:name="_Hlk214272126"/>
      <w:r w:rsidR="007E42F3" w:rsidRPr="007E42F3">
        <w:rPr>
          <w:rFonts w:ascii="Arial" w:hAnsi="Arial" w:cs="Arial"/>
          <w:b/>
          <w:bCs/>
          <w:sz w:val="40"/>
          <w:szCs w:val="40"/>
        </w:rPr>
        <w:t xml:space="preserve">HR Strategies for Managing Change at </w:t>
      </w:r>
      <w:r w:rsidR="00AC655D" w:rsidRPr="00AB50CF">
        <w:rPr>
          <w:rFonts w:ascii="Arial" w:hAnsi="Arial" w:cs="Arial"/>
          <w:b/>
          <w:bCs/>
          <w:sz w:val="40"/>
          <w:szCs w:val="40"/>
        </w:rPr>
        <w:t>Gym shark</w:t>
      </w:r>
      <w:r w:rsidR="007E42F3" w:rsidRPr="007E42F3">
        <w:rPr>
          <w:rFonts w:ascii="Arial" w:hAnsi="Arial" w:cs="Arial"/>
          <w:b/>
          <w:bCs/>
          <w:sz w:val="40"/>
          <w:szCs w:val="40"/>
        </w:rPr>
        <w:t>: Digital Transformation and Flexible Work</w:t>
      </w:r>
      <w:bookmarkEnd w:id="0"/>
    </w:p>
    <w:p w14:paraId="26E870D3" w14:textId="73B2CBD9" w:rsidR="007E42F3" w:rsidRPr="007E42F3" w:rsidRDefault="007E42F3" w:rsidP="007E42F3">
      <w:pPr>
        <w:spacing w:line="360" w:lineRule="auto"/>
        <w:rPr>
          <w:rFonts w:ascii="Arial" w:hAnsi="Arial" w:cs="Arial"/>
        </w:rPr>
      </w:pPr>
    </w:p>
    <w:p w14:paraId="22F1B8AF" w14:textId="77777777" w:rsidR="00AB50CF" w:rsidRDefault="00AB50CF" w:rsidP="007E42F3">
      <w:pPr>
        <w:spacing w:line="360" w:lineRule="auto"/>
        <w:rPr>
          <w:rFonts w:ascii="Arial" w:hAnsi="Arial" w:cs="Arial"/>
          <w:b/>
          <w:bCs/>
        </w:rPr>
      </w:pPr>
    </w:p>
    <w:p w14:paraId="6BEB566D" w14:textId="77777777" w:rsidR="00AB50CF" w:rsidRDefault="00AB50CF" w:rsidP="007E42F3">
      <w:pPr>
        <w:spacing w:line="360" w:lineRule="auto"/>
        <w:rPr>
          <w:rFonts w:ascii="Arial" w:hAnsi="Arial" w:cs="Arial"/>
          <w:b/>
          <w:bCs/>
        </w:rPr>
      </w:pPr>
    </w:p>
    <w:p w14:paraId="72D5BB4E" w14:textId="77777777" w:rsidR="00AB50CF" w:rsidRDefault="00AB50CF" w:rsidP="007E42F3">
      <w:pPr>
        <w:spacing w:line="360" w:lineRule="auto"/>
        <w:rPr>
          <w:rFonts w:ascii="Arial" w:hAnsi="Arial" w:cs="Arial"/>
          <w:b/>
          <w:bCs/>
        </w:rPr>
      </w:pPr>
    </w:p>
    <w:p w14:paraId="148040AF" w14:textId="77777777" w:rsidR="00AB50CF" w:rsidRDefault="00AB50CF" w:rsidP="007E42F3">
      <w:pPr>
        <w:spacing w:line="360" w:lineRule="auto"/>
        <w:rPr>
          <w:rFonts w:ascii="Arial" w:hAnsi="Arial" w:cs="Arial"/>
          <w:b/>
          <w:bCs/>
        </w:rPr>
      </w:pPr>
    </w:p>
    <w:p w14:paraId="4630CA75" w14:textId="77777777" w:rsidR="00AB50CF" w:rsidRDefault="00AB50CF" w:rsidP="007E42F3">
      <w:pPr>
        <w:spacing w:line="360" w:lineRule="auto"/>
        <w:rPr>
          <w:rFonts w:ascii="Arial" w:hAnsi="Arial" w:cs="Arial"/>
          <w:b/>
          <w:bCs/>
        </w:rPr>
      </w:pPr>
    </w:p>
    <w:p w14:paraId="4E31A060" w14:textId="77777777" w:rsidR="00AB50CF" w:rsidRDefault="00AB50CF" w:rsidP="007E42F3">
      <w:pPr>
        <w:spacing w:line="360" w:lineRule="auto"/>
        <w:rPr>
          <w:rFonts w:ascii="Arial" w:hAnsi="Arial" w:cs="Arial"/>
          <w:b/>
          <w:bCs/>
        </w:rPr>
      </w:pPr>
    </w:p>
    <w:p w14:paraId="7030FEDA" w14:textId="77777777" w:rsidR="00156F0A" w:rsidRDefault="00156F0A" w:rsidP="007E42F3">
      <w:pPr>
        <w:spacing w:line="360" w:lineRule="auto"/>
        <w:rPr>
          <w:rFonts w:ascii="Arial" w:hAnsi="Arial" w:cs="Arial"/>
          <w:b/>
          <w:bCs/>
        </w:rPr>
      </w:pPr>
    </w:p>
    <w:p w14:paraId="1472E97D" w14:textId="2894D15F" w:rsidR="00AB50CF" w:rsidRPr="00156F0A" w:rsidRDefault="00AB50CF" w:rsidP="007E42F3">
      <w:pPr>
        <w:spacing w:line="360" w:lineRule="auto"/>
        <w:rPr>
          <w:rFonts w:ascii="Arial" w:hAnsi="Arial" w:cs="Arial"/>
          <w:b/>
          <w:bCs/>
          <w:sz w:val="28"/>
          <w:szCs w:val="28"/>
        </w:rPr>
      </w:pPr>
      <w:r w:rsidRPr="007E42F3">
        <w:rPr>
          <w:rFonts w:ascii="Arial" w:hAnsi="Arial" w:cs="Arial"/>
          <w:b/>
          <w:bCs/>
          <w:sz w:val="28"/>
          <w:szCs w:val="28"/>
        </w:rPr>
        <w:lastRenderedPageBreak/>
        <w:t xml:space="preserve">HR Strategies for Managing Change at </w:t>
      </w:r>
      <w:r w:rsidRPr="00156F0A">
        <w:rPr>
          <w:rFonts w:ascii="Arial" w:hAnsi="Arial" w:cs="Arial"/>
          <w:b/>
          <w:bCs/>
          <w:sz w:val="28"/>
          <w:szCs w:val="28"/>
        </w:rPr>
        <w:t>Gym shark</w:t>
      </w:r>
      <w:r w:rsidRPr="007E42F3">
        <w:rPr>
          <w:rFonts w:ascii="Arial" w:hAnsi="Arial" w:cs="Arial"/>
          <w:b/>
          <w:bCs/>
          <w:sz w:val="28"/>
          <w:szCs w:val="28"/>
        </w:rPr>
        <w:t>: Digital Transformation and Flexible Work</w:t>
      </w:r>
    </w:p>
    <w:p w14:paraId="5C8A6D5C" w14:textId="77777777" w:rsidR="00AB50CF" w:rsidRDefault="00AB50CF" w:rsidP="007E42F3">
      <w:pPr>
        <w:spacing w:line="360" w:lineRule="auto"/>
        <w:rPr>
          <w:rFonts w:ascii="Arial" w:hAnsi="Arial" w:cs="Arial"/>
          <w:b/>
          <w:bCs/>
        </w:rPr>
      </w:pPr>
    </w:p>
    <w:p w14:paraId="3E3D0F17" w14:textId="5676332B" w:rsidR="007E42F3" w:rsidRPr="007E42F3" w:rsidRDefault="00156F0A" w:rsidP="007E42F3">
      <w:pPr>
        <w:spacing w:line="360" w:lineRule="auto"/>
        <w:rPr>
          <w:rFonts w:ascii="Arial" w:hAnsi="Arial" w:cs="Arial"/>
          <w:b/>
          <w:bCs/>
          <w:sz w:val="28"/>
          <w:szCs w:val="28"/>
        </w:rPr>
      </w:pPr>
      <w:r>
        <w:rPr>
          <w:rFonts w:ascii="Arial" w:hAnsi="Arial" w:cs="Arial"/>
          <w:b/>
          <w:bCs/>
          <w:sz w:val="24"/>
          <w:szCs w:val="24"/>
        </w:rPr>
        <w:t xml:space="preserve">   </w:t>
      </w:r>
      <w:r w:rsidR="007E42F3" w:rsidRPr="007E42F3">
        <w:rPr>
          <w:rFonts w:ascii="Arial" w:hAnsi="Arial" w:cs="Arial"/>
          <w:b/>
          <w:bCs/>
          <w:sz w:val="28"/>
          <w:szCs w:val="28"/>
        </w:rPr>
        <w:t>1. Introduction</w:t>
      </w:r>
    </w:p>
    <w:p w14:paraId="4778C749" w14:textId="14AFBBCA" w:rsidR="007E42F3" w:rsidRPr="007E42F3" w:rsidRDefault="00156F0A" w:rsidP="000F187E">
      <w:pPr>
        <w:spacing w:line="360" w:lineRule="auto"/>
        <w:rPr>
          <w:rFonts w:ascii="Arial" w:hAnsi="Arial" w:cs="Arial"/>
        </w:rPr>
      </w:pPr>
      <w:r>
        <w:rPr>
          <w:rFonts w:ascii="Arial" w:hAnsi="Arial" w:cs="Arial"/>
        </w:rPr>
        <w:t xml:space="preserve">   </w:t>
      </w:r>
      <w:r w:rsidR="00AC655D" w:rsidRPr="007E42F3">
        <w:rPr>
          <w:rFonts w:ascii="Arial" w:hAnsi="Arial" w:cs="Arial"/>
        </w:rPr>
        <w:t>Gym shark</w:t>
      </w:r>
      <w:r w:rsidR="007E42F3" w:rsidRPr="007E42F3">
        <w:rPr>
          <w:rFonts w:ascii="Arial" w:hAnsi="Arial" w:cs="Arial"/>
        </w:rPr>
        <w:t>, a leading UK-based fitness apparel brand headquartered in Solihull, is currently undergoing a major business transformation as it transitions from a digital-only e-commerce model to an omnichannel retail enterprise. The company’s strategy now centres on opening physical stores, expanding globally, and adopting advanced digital technologies to enhance operational efficiency and customer experience (</w:t>
      </w:r>
      <w:r w:rsidR="004F5CCB" w:rsidRPr="007E42F3">
        <w:rPr>
          <w:rFonts w:ascii="Arial" w:hAnsi="Arial" w:cs="Arial"/>
        </w:rPr>
        <w:t>Gym shark</w:t>
      </w:r>
      <w:r w:rsidR="007E42F3" w:rsidRPr="007E42F3">
        <w:rPr>
          <w:rFonts w:ascii="Arial" w:hAnsi="Arial" w:cs="Arial"/>
        </w:rPr>
        <w:t xml:space="preserve"> Annual Report, 2024).</w:t>
      </w:r>
    </w:p>
    <w:p w14:paraId="7F8224DD" w14:textId="77777777" w:rsidR="007E42F3" w:rsidRPr="007E42F3" w:rsidRDefault="007E42F3" w:rsidP="000F187E">
      <w:pPr>
        <w:spacing w:line="360" w:lineRule="auto"/>
        <w:rPr>
          <w:rFonts w:ascii="Arial" w:hAnsi="Arial" w:cs="Arial"/>
        </w:rPr>
      </w:pPr>
      <w:r w:rsidRPr="007E42F3">
        <w:rPr>
          <w:rFonts w:ascii="Arial" w:hAnsi="Arial" w:cs="Arial"/>
        </w:rPr>
        <w:t>While this transformation presents exciting opportunities, it has also resulted in an increase in employee grievances. These stem largely from communication gaps, increased workload, lack of clarity in changing roles, and the complexities associated with hybrid and flexible working arrangements. Such challenges are common during organisational transformation, particularly when rapid digitalisation and restructuring create uncertainty, resistance, and role ambiguity among employees (Kotter, 1995; Beer &amp; Nohria, 2000).</w:t>
      </w:r>
    </w:p>
    <w:p w14:paraId="3ECD4153" w14:textId="0C09FA7C" w:rsidR="007E42F3" w:rsidRPr="007E42F3" w:rsidRDefault="007E42F3" w:rsidP="000F187E">
      <w:pPr>
        <w:spacing w:line="360" w:lineRule="auto"/>
        <w:rPr>
          <w:rFonts w:ascii="Arial" w:hAnsi="Arial" w:cs="Arial"/>
        </w:rPr>
      </w:pPr>
      <w:r w:rsidRPr="007E42F3">
        <w:rPr>
          <w:rFonts w:ascii="Arial" w:hAnsi="Arial" w:cs="Arial"/>
        </w:rPr>
        <w:t xml:space="preserve">To manage this transition successfully, </w:t>
      </w:r>
      <w:r w:rsidR="009860B2" w:rsidRPr="007E42F3">
        <w:rPr>
          <w:rFonts w:ascii="Arial" w:hAnsi="Arial" w:cs="Arial"/>
        </w:rPr>
        <w:t>Gym shark’s</w:t>
      </w:r>
      <w:r w:rsidRPr="007E42F3">
        <w:rPr>
          <w:rFonts w:ascii="Arial" w:hAnsi="Arial" w:cs="Arial"/>
        </w:rPr>
        <w:t xml:space="preserve"> HR department must implement effective strategies that balance innovation with employee wellbeing. This report explores the key factors driving change—specifically digital transformation and flexible working—and evaluates contemporary HR practices that can mitigate grievances and strengthen engagement. It also assesses how departmental managers can ensure these practices are implemented consistently and with urgency. Drawing on established HR frameworks, such as Ulrich’s (1997) HR business partner model, Armstrong and Taylor’s (2020) strategic HRM principles, and CIPD (2024) guidelines on employee relations, this report concludes with recommendations designed to build leadership capability, enhance communication, and sustain a people-centred organisational culture.</w:t>
      </w:r>
    </w:p>
    <w:p w14:paraId="634FDD8C" w14:textId="565247C8" w:rsidR="007E42F3" w:rsidRPr="007E42F3" w:rsidRDefault="007E42F3" w:rsidP="007E42F3">
      <w:pPr>
        <w:spacing w:line="360" w:lineRule="auto"/>
        <w:rPr>
          <w:rFonts w:ascii="Arial" w:hAnsi="Arial" w:cs="Arial"/>
        </w:rPr>
      </w:pPr>
    </w:p>
    <w:p w14:paraId="0BA15A31" w14:textId="77777777" w:rsidR="008A6678" w:rsidRDefault="008A6678" w:rsidP="007E42F3">
      <w:pPr>
        <w:spacing w:line="360" w:lineRule="auto"/>
        <w:rPr>
          <w:rFonts w:ascii="Arial" w:hAnsi="Arial" w:cs="Arial"/>
          <w:b/>
          <w:bCs/>
          <w:sz w:val="28"/>
          <w:szCs w:val="28"/>
        </w:rPr>
      </w:pPr>
    </w:p>
    <w:p w14:paraId="545C44DB" w14:textId="77777777" w:rsidR="008A6678" w:rsidRDefault="008A6678" w:rsidP="007E42F3">
      <w:pPr>
        <w:spacing w:line="360" w:lineRule="auto"/>
        <w:rPr>
          <w:rFonts w:ascii="Arial" w:hAnsi="Arial" w:cs="Arial"/>
          <w:b/>
          <w:bCs/>
          <w:sz w:val="28"/>
          <w:szCs w:val="28"/>
        </w:rPr>
      </w:pPr>
    </w:p>
    <w:p w14:paraId="5CDC6E22" w14:textId="77777777" w:rsidR="008A6678" w:rsidRDefault="008A6678" w:rsidP="007E42F3">
      <w:pPr>
        <w:spacing w:line="360" w:lineRule="auto"/>
        <w:rPr>
          <w:rFonts w:ascii="Arial" w:hAnsi="Arial" w:cs="Arial"/>
          <w:b/>
          <w:bCs/>
          <w:sz w:val="28"/>
          <w:szCs w:val="28"/>
        </w:rPr>
      </w:pPr>
    </w:p>
    <w:p w14:paraId="5573D2F3" w14:textId="77777777" w:rsidR="008A6678" w:rsidRDefault="008A6678" w:rsidP="007E42F3">
      <w:pPr>
        <w:spacing w:line="360" w:lineRule="auto"/>
        <w:rPr>
          <w:rFonts w:ascii="Arial" w:hAnsi="Arial" w:cs="Arial"/>
          <w:b/>
          <w:bCs/>
          <w:sz w:val="28"/>
          <w:szCs w:val="28"/>
        </w:rPr>
      </w:pPr>
    </w:p>
    <w:p w14:paraId="09F3403E" w14:textId="1033FB7E" w:rsidR="007E42F3" w:rsidRPr="007E42F3" w:rsidRDefault="00BE0330" w:rsidP="007E42F3">
      <w:pPr>
        <w:spacing w:line="360" w:lineRule="auto"/>
        <w:rPr>
          <w:rFonts w:ascii="Arial" w:hAnsi="Arial" w:cs="Arial"/>
          <w:b/>
          <w:bCs/>
          <w:sz w:val="28"/>
          <w:szCs w:val="28"/>
        </w:rPr>
      </w:pPr>
      <w:r>
        <w:rPr>
          <w:rFonts w:ascii="Arial" w:hAnsi="Arial" w:cs="Arial"/>
          <w:b/>
          <w:bCs/>
          <w:sz w:val="28"/>
          <w:szCs w:val="28"/>
        </w:rPr>
        <w:lastRenderedPageBreak/>
        <w:t xml:space="preserve">   </w:t>
      </w:r>
      <w:r w:rsidR="007E42F3" w:rsidRPr="007E42F3">
        <w:rPr>
          <w:rFonts w:ascii="Arial" w:hAnsi="Arial" w:cs="Arial"/>
          <w:b/>
          <w:bCs/>
          <w:sz w:val="28"/>
          <w:szCs w:val="28"/>
        </w:rPr>
        <w:t xml:space="preserve">2. Factors Driving </w:t>
      </w:r>
      <w:r w:rsidR="00E5330A" w:rsidRPr="000F187E">
        <w:rPr>
          <w:rFonts w:ascii="Arial" w:hAnsi="Arial" w:cs="Arial"/>
          <w:b/>
          <w:bCs/>
          <w:sz w:val="28"/>
          <w:szCs w:val="28"/>
        </w:rPr>
        <w:t>Gym shark’s</w:t>
      </w:r>
      <w:r w:rsidR="007E42F3" w:rsidRPr="007E42F3">
        <w:rPr>
          <w:rFonts w:ascii="Arial" w:hAnsi="Arial" w:cs="Arial"/>
          <w:b/>
          <w:bCs/>
          <w:sz w:val="28"/>
          <w:szCs w:val="28"/>
        </w:rPr>
        <w:t xml:space="preserve"> Transformation</w:t>
      </w:r>
    </w:p>
    <w:p w14:paraId="53F45214" w14:textId="065E4848" w:rsidR="007E42F3" w:rsidRPr="007E42F3" w:rsidRDefault="00BE0330" w:rsidP="007E42F3">
      <w:pPr>
        <w:spacing w:line="360" w:lineRule="auto"/>
        <w:rPr>
          <w:rFonts w:ascii="Arial" w:hAnsi="Arial" w:cs="Arial"/>
          <w:b/>
          <w:bCs/>
          <w:sz w:val="24"/>
          <w:szCs w:val="24"/>
        </w:rPr>
      </w:pPr>
      <w:r>
        <w:rPr>
          <w:rFonts w:ascii="Arial" w:hAnsi="Arial" w:cs="Arial"/>
          <w:b/>
          <w:bCs/>
          <w:sz w:val="24"/>
          <w:szCs w:val="24"/>
        </w:rPr>
        <w:t xml:space="preserve">   </w:t>
      </w:r>
      <w:r w:rsidR="007E42F3" w:rsidRPr="007E42F3">
        <w:rPr>
          <w:rFonts w:ascii="Arial" w:hAnsi="Arial" w:cs="Arial"/>
          <w:b/>
          <w:bCs/>
          <w:sz w:val="24"/>
          <w:szCs w:val="24"/>
        </w:rPr>
        <w:t>2.1 Business Transformation Factors</w:t>
      </w:r>
    </w:p>
    <w:p w14:paraId="5EFDB503" w14:textId="71F980FE" w:rsidR="007E42F3" w:rsidRPr="007E42F3" w:rsidRDefault="00413468" w:rsidP="00413468">
      <w:pPr>
        <w:spacing w:line="360" w:lineRule="auto"/>
        <w:rPr>
          <w:rFonts w:ascii="Arial" w:hAnsi="Arial" w:cs="Arial"/>
        </w:rPr>
      </w:pPr>
      <w:r>
        <w:rPr>
          <w:rFonts w:ascii="Arial" w:hAnsi="Arial" w:cs="Arial"/>
        </w:rPr>
        <w:t xml:space="preserve">   </w:t>
      </w:r>
      <w:r w:rsidR="00E5330A" w:rsidRPr="007E42F3">
        <w:rPr>
          <w:rFonts w:ascii="Arial" w:hAnsi="Arial" w:cs="Arial"/>
        </w:rPr>
        <w:t>Gym shark’s</w:t>
      </w:r>
      <w:r w:rsidR="007E42F3" w:rsidRPr="007E42F3">
        <w:rPr>
          <w:rFonts w:ascii="Arial" w:hAnsi="Arial" w:cs="Arial"/>
        </w:rPr>
        <w:t xml:space="preserve"> transformation is primarily driven by its ambition for strategic growth and operational agility, shifting from an online-only business to an omnichannel retailer (BBC Business, 2025). This shift requires significant organisational restructuring, cultural adaptation, and the development of new leadership competencies. The introduction of roles such as Chief Retail Officer, Store Operations Manager, and Change Manager highlights the growing need for leadership skills in project management, communication, and cross-functional coordination (CIPD, 2024).</w:t>
      </w:r>
    </w:p>
    <w:p w14:paraId="46161592" w14:textId="3AE64026" w:rsidR="007E42F3" w:rsidRPr="007E42F3" w:rsidRDefault="007E42F3" w:rsidP="00413468">
      <w:pPr>
        <w:spacing w:line="360" w:lineRule="auto"/>
        <w:rPr>
          <w:rFonts w:ascii="Arial" w:hAnsi="Arial" w:cs="Arial"/>
        </w:rPr>
      </w:pPr>
      <w:r w:rsidRPr="007E42F3">
        <w:rPr>
          <w:rFonts w:ascii="Arial" w:hAnsi="Arial" w:cs="Arial"/>
        </w:rPr>
        <w:t xml:space="preserve">In addition to structural change, </w:t>
      </w:r>
      <w:r w:rsidR="00006962" w:rsidRPr="007E42F3">
        <w:rPr>
          <w:rFonts w:ascii="Arial" w:hAnsi="Arial" w:cs="Arial"/>
        </w:rPr>
        <w:t>Gym shark</w:t>
      </w:r>
      <w:r w:rsidRPr="007E42F3">
        <w:rPr>
          <w:rFonts w:ascii="Arial" w:hAnsi="Arial" w:cs="Arial"/>
        </w:rPr>
        <w:t xml:space="preserve"> faces a process of cultural transformation. Employees accustomed to digital workflows must now adapt to physical retail environments that prioritise customer interaction and team collaboration. This shift challenges existing norms and requires HR to reinforce values of teamwork, adaptability, and continuous learning. Moreover, talent reallocation remains a central challenge. As roles evolve, redundancies and redeployments may occur, often creating anxiety and uncertainty. Effective HR planning, open communication, and strong change management frameworks are therefore essential to maintaining trust and morale throughout this period of transition (Kotter, 1995).</w:t>
      </w:r>
    </w:p>
    <w:p w14:paraId="584667F1" w14:textId="798760AC" w:rsidR="007E42F3" w:rsidRPr="007E42F3" w:rsidRDefault="007E42F3" w:rsidP="007E42F3">
      <w:pPr>
        <w:spacing w:line="360" w:lineRule="auto"/>
        <w:rPr>
          <w:rFonts w:ascii="Arial" w:hAnsi="Arial" w:cs="Arial"/>
        </w:rPr>
      </w:pPr>
    </w:p>
    <w:p w14:paraId="200E6397" w14:textId="5B8D215D" w:rsidR="007E42F3" w:rsidRPr="007E42F3" w:rsidRDefault="00413468" w:rsidP="007E42F3">
      <w:pPr>
        <w:spacing w:line="360" w:lineRule="auto"/>
        <w:rPr>
          <w:rFonts w:ascii="Arial" w:hAnsi="Arial" w:cs="Arial"/>
          <w:b/>
          <w:bCs/>
          <w:sz w:val="24"/>
          <w:szCs w:val="24"/>
        </w:rPr>
      </w:pPr>
      <w:r>
        <w:rPr>
          <w:rFonts w:ascii="Arial" w:hAnsi="Arial" w:cs="Arial"/>
          <w:b/>
          <w:bCs/>
          <w:sz w:val="24"/>
          <w:szCs w:val="24"/>
        </w:rPr>
        <w:t xml:space="preserve">   </w:t>
      </w:r>
      <w:r w:rsidR="007E42F3" w:rsidRPr="007E42F3">
        <w:rPr>
          <w:rFonts w:ascii="Arial" w:hAnsi="Arial" w:cs="Arial"/>
          <w:b/>
          <w:bCs/>
          <w:sz w:val="24"/>
          <w:szCs w:val="24"/>
        </w:rPr>
        <w:t>2.2 Digital Technology Trends</w:t>
      </w:r>
    </w:p>
    <w:p w14:paraId="630F65EE" w14:textId="0D98DBEA" w:rsidR="007E42F3" w:rsidRPr="007E42F3" w:rsidRDefault="00413468" w:rsidP="007E42F3">
      <w:pPr>
        <w:spacing w:line="360" w:lineRule="auto"/>
        <w:rPr>
          <w:rFonts w:ascii="Arial" w:hAnsi="Arial" w:cs="Arial"/>
        </w:rPr>
      </w:pPr>
      <w:r>
        <w:rPr>
          <w:rFonts w:ascii="Arial" w:hAnsi="Arial" w:cs="Arial"/>
        </w:rPr>
        <w:t xml:space="preserve">   </w:t>
      </w:r>
      <w:r w:rsidR="007E42F3" w:rsidRPr="007E42F3">
        <w:rPr>
          <w:rFonts w:ascii="Arial" w:hAnsi="Arial" w:cs="Arial"/>
        </w:rPr>
        <w:t xml:space="preserve">Digitalisation is now central to </w:t>
      </w:r>
      <w:r w:rsidR="00514F82" w:rsidRPr="007E42F3">
        <w:rPr>
          <w:rFonts w:ascii="Arial" w:hAnsi="Arial" w:cs="Arial"/>
        </w:rPr>
        <w:t>Gym shark’s</w:t>
      </w:r>
      <w:r w:rsidR="007E42F3" w:rsidRPr="007E42F3">
        <w:rPr>
          <w:rFonts w:ascii="Arial" w:hAnsi="Arial" w:cs="Arial"/>
        </w:rPr>
        <w:t xml:space="preserve"> operations, influencing HR, marketing, and retail processes through technologies such as AI analytics, cloud-based systems, and digital collaboration tools (PwC, 2023). While these tools enhance decision-making and streamline workflows, they also create new challenges in employee relations. The introduction of Human Resource Information Systems (HRIS) and automated performance tracking tools, for example, can lead employees to feel constantly monitored, increasing stress and perceived inequity (Armstrong &amp; Taylor, 2020).</w:t>
      </w:r>
    </w:p>
    <w:p w14:paraId="60C63FA3" w14:textId="3E250DAB" w:rsidR="007E42F3" w:rsidRPr="007E42F3" w:rsidRDefault="007E42F3" w:rsidP="007E42F3">
      <w:pPr>
        <w:spacing w:line="360" w:lineRule="auto"/>
        <w:rPr>
          <w:rFonts w:ascii="Arial" w:hAnsi="Arial" w:cs="Arial"/>
        </w:rPr>
      </w:pPr>
      <w:r w:rsidRPr="007E42F3">
        <w:rPr>
          <w:rFonts w:ascii="Arial" w:hAnsi="Arial" w:cs="Arial"/>
        </w:rPr>
        <w:t xml:space="preserve">AI-driven recruitment and employee communication platforms improve efficiency but raise ethical questions regarding data protection and fairness (SHRM, 2023). Furthermore, </w:t>
      </w:r>
      <w:r w:rsidR="00636FC0" w:rsidRPr="007E42F3">
        <w:rPr>
          <w:rFonts w:ascii="Arial" w:hAnsi="Arial" w:cs="Arial"/>
        </w:rPr>
        <w:t>Gym shark’s</w:t>
      </w:r>
      <w:r w:rsidRPr="007E42F3">
        <w:rPr>
          <w:rFonts w:ascii="Arial" w:hAnsi="Arial" w:cs="Arial"/>
        </w:rPr>
        <w:t xml:space="preserve"> use of e-learning platforms for employee training has made upskilling more accessible but may disadvantage employees with limited digital literacy. This creates a “digital divide” within the workforce, often correlated with age, role type, or experience level. Without targeted support, such disparities can foster disengagement and a sense of </w:t>
      </w:r>
      <w:r w:rsidRPr="007E42F3">
        <w:rPr>
          <w:rFonts w:ascii="Arial" w:hAnsi="Arial" w:cs="Arial"/>
        </w:rPr>
        <w:lastRenderedPageBreak/>
        <w:t>exclusion (Rees &amp; Smith, 2021). Therefore, HR plays a pivotal role in ensuring that digital transformation initiatives are implemented inclusively and ethically.</w:t>
      </w:r>
    </w:p>
    <w:p w14:paraId="30844ACC" w14:textId="2021F2C2" w:rsidR="007E42F3" w:rsidRPr="007E42F3" w:rsidRDefault="007E42F3" w:rsidP="007E42F3">
      <w:pPr>
        <w:spacing w:line="360" w:lineRule="auto"/>
        <w:rPr>
          <w:rFonts w:ascii="Arial" w:hAnsi="Arial" w:cs="Arial"/>
        </w:rPr>
      </w:pPr>
    </w:p>
    <w:p w14:paraId="5E36543E" w14:textId="3CC7E800" w:rsidR="007E42F3" w:rsidRPr="007E42F3" w:rsidRDefault="00862257" w:rsidP="007E42F3">
      <w:pPr>
        <w:spacing w:line="360" w:lineRule="auto"/>
        <w:rPr>
          <w:rFonts w:ascii="Arial" w:hAnsi="Arial" w:cs="Arial"/>
          <w:b/>
          <w:bCs/>
          <w:sz w:val="24"/>
          <w:szCs w:val="24"/>
        </w:rPr>
      </w:pPr>
      <w:r>
        <w:rPr>
          <w:rFonts w:ascii="Arial" w:hAnsi="Arial" w:cs="Arial"/>
          <w:b/>
          <w:bCs/>
          <w:sz w:val="24"/>
          <w:szCs w:val="24"/>
        </w:rPr>
        <w:t xml:space="preserve">   </w:t>
      </w:r>
      <w:r w:rsidR="007E42F3" w:rsidRPr="007E42F3">
        <w:rPr>
          <w:rFonts w:ascii="Arial" w:hAnsi="Arial" w:cs="Arial"/>
          <w:b/>
          <w:bCs/>
          <w:sz w:val="24"/>
          <w:szCs w:val="24"/>
        </w:rPr>
        <w:t>2.3 Flexible Working Arrangements</w:t>
      </w:r>
    </w:p>
    <w:p w14:paraId="654AAA15" w14:textId="7EB7038E" w:rsidR="007E42F3" w:rsidRPr="007E42F3" w:rsidRDefault="00862257" w:rsidP="007E42F3">
      <w:pPr>
        <w:spacing w:line="360" w:lineRule="auto"/>
        <w:rPr>
          <w:rFonts w:ascii="Arial" w:hAnsi="Arial" w:cs="Arial"/>
        </w:rPr>
      </w:pPr>
      <w:r>
        <w:rPr>
          <w:rFonts w:ascii="Arial" w:hAnsi="Arial" w:cs="Arial"/>
        </w:rPr>
        <w:t xml:space="preserve">   </w:t>
      </w:r>
      <w:r w:rsidR="00E75B27" w:rsidRPr="007E42F3">
        <w:rPr>
          <w:rFonts w:ascii="Arial" w:hAnsi="Arial" w:cs="Arial"/>
        </w:rPr>
        <w:t>Gym shark</w:t>
      </w:r>
      <w:r w:rsidR="007E42F3" w:rsidRPr="007E42F3">
        <w:rPr>
          <w:rFonts w:ascii="Arial" w:hAnsi="Arial" w:cs="Arial"/>
        </w:rPr>
        <w:t xml:space="preserve"> has also implemented hybrid working for office-based teams, allowing greater flexibility, while retail and logistics employees continue to operate on fixed shifts. This unequal access to flexibility can create perceptions of unfairness and reduce morale (CIPD, 2024). Remote working supports autonomy but may weaken collaboration, while compressed hours improve work–life balance yet reduce coordination. In retail roles, flexible shifts provide control but complicate scheduling and accountability.</w:t>
      </w:r>
    </w:p>
    <w:p w14:paraId="7C6BE67B" w14:textId="77777777" w:rsidR="007E42F3" w:rsidRPr="007E42F3" w:rsidRDefault="007E42F3" w:rsidP="007E42F3">
      <w:pPr>
        <w:spacing w:line="360" w:lineRule="auto"/>
        <w:rPr>
          <w:rFonts w:ascii="Arial" w:hAnsi="Arial" w:cs="Arial"/>
        </w:rPr>
      </w:pPr>
      <w:r w:rsidRPr="007E42F3">
        <w:rPr>
          <w:rFonts w:ascii="Arial" w:hAnsi="Arial" w:cs="Arial"/>
        </w:rPr>
        <w:t>Moreover, inconsistent communication about hybrid work expectations and digital monitoring systems has led to confusion and, in some cases, formal grievances. Without transparent policies and fair managerial oversight, flexible work practices can undermine both performance and organisational trust (Kelliher &amp; Anderson, 2010). Consequently, HR intervention is required to ensure fairness, maintain cohesion, and align flexible working with business needs.</w:t>
      </w:r>
    </w:p>
    <w:p w14:paraId="5275EA61" w14:textId="2BD81BC3" w:rsidR="007E42F3" w:rsidRPr="007E42F3" w:rsidRDefault="007E42F3" w:rsidP="007E42F3">
      <w:pPr>
        <w:spacing w:line="360" w:lineRule="auto"/>
        <w:rPr>
          <w:rFonts w:ascii="Arial" w:hAnsi="Arial" w:cs="Arial"/>
        </w:rPr>
      </w:pPr>
    </w:p>
    <w:p w14:paraId="10AD6215" w14:textId="68099F4E" w:rsidR="007E42F3" w:rsidRPr="007E42F3" w:rsidRDefault="005820D8" w:rsidP="007E42F3">
      <w:pPr>
        <w:spacing w:line="360" w:lineRule="auto"/>
        <w:rPr>
          <w:rFonts w:ascii="Arial" w:hAnsi="Arial" w:cs="Arial"/>
          <w:b/>
          <w:bCs/>
          <w:sz w:val="28"/>
          <w:szCs w:val="28"/>
        </w:rPr>
      </w:pPr>
      <w:r>
        <w:rPr>
          <w:rFonts w:ascii="Arial" w:hAnsi="Arial" w:cs="Arial"/>
          <w:b/>
          <w:bCs/>
          <w:sz w:val="28"/>
          <w:szCs w:val="28"/>
        </w:rPr>
        <w:t xml:space="preserve">   </w:t>
      </w:r>
      <w:r w:rsidR="007E42F3" w:rsidRPr="007E42F3">
        <w:rPr>
          <w:rFonts w:ascii="Arial" w:hAnsi="Arial" w:cs="Arial"/>
          <w:b/>
          <w:bCs/>
          <w:sz w:val="28"/>
          <w:szCs w:val="28"/>
        </w:rPr>
        <w:t>3. Contemporary HR Practices to Support Transformation</w:t>
      </w:r>
    </w:p>
    <w:p w14:paraId="6698871C" w14:textId="2DFD0CF4" w:rsidR="007E42F3" w:rsidRPr="007E42F3" w:rsidRDefault="005820D8" w:rsidP="007E42F3">
      <w:pPr>
        <w:spacing w:line="360" w:lineRule="auto"/>
        <w:rPr>
          <w:rFonts w:ascii="Arial" w:hAnsi="Arial" w:cs="Arial"/>
          <w:b/>
          <w:bCs/>
          <w:sz w:val="24"/>
          <w:szCs w:val="24"/>
        </w:rPr>
      </w:pPr>
      <w:r>
        <w:rPr>
          <w:rFonts w:ascii="Arial" w:hAnsi="Arial" w:cs="Arial"/>
          <w:b/>
          <w:bCs/>
          <w:sz w:val="24"/>
          <w:szCs w:val="24"/>
        </w:rPr>
        <w:t xml:space="preserve">   </w:t>
      </w:r>
      <w:r w:rsidR="007E42F3" w:rsidRPr="007E42F3">
        <w:rPr>
          <w:rFonts w:ascii="Arial" w:hAnsi="Arial" w:cs="Arial"/>
          <w:b/>
          <w:bCs/>
          <w:sz w:val="24"/>
          <w:szCs w:val="24"/>
        </w:rPr>
        <w:t>3.1 Managing Organisational Change</w:t>
      </w:r>
    </w:p>
    <w:p w14:paraId="048421F4" w14:textId="013B1684" w:rsidR="007E42F3" w:rsidRPr="007E42F3" w:rsidRDefault="005820D8" w:rsidP="00741A6F">
      <w:pPr>
        <w:spacing w:line="360" w:lineRule="auto"/>
        <w:rPr>
          <w:rFonts w:ascii="Arial" w:hAnsi="Arial" w:cs="Arial"/>
        </w:rPr>
      </w:pPr>
      <w:r w:rsidRPr="00741A6F">
        <w:rPr>
          <w:rFonts w:ascii="Arial" w:hAnsi="Arial" w:cs="Arial"/>
        </w:rPr>
        <w:t xml:space="preserve">   </w:t>
      </w:r>
      <w:r w:rsidR="007E42F3" w:rsidRPr="007E42F3">
        <w:rPr>
          <w:rFonts w:ascii="Arial" w:hAnsi="Arial" w:cs="Arial"/>
        </w:rPr>
        <w:t>During large-scale transformation, HR practices must reinforce communication, engagement, and leadership visibility. Implementing structured change management frameworks, such as Kotter’s (1995) Eight-Step Model, ensures that change is communicated effectively, that leaders remain visible and engaged, and that employees understand both the purpose and benefits of transformation. Alongside this, employee engagement initiatives—such as regular town halls, pulse surveys, and recognition schemes—help sustain morale and psychological commitment (CIPD, 2024).</w:t>
      </w:r>
    </w:p>
    <w:p w14:paraId="5C174CE1" w14:textId="2E1ECF39" w:rsidR="007E42F3" w:rsidRPr="007E42F3" w:rsidRDefault="007E42F3" w:rsidP="00741A6F">
      <w:pPr>
        <w:spacing w:line="360" w:lineRule="auto"/>
        <w:rPr>
          <w:rFonts w:ascii="Arial" w:hAnsi="Arial" w:cs="Arial"/>
        </w:rPr>
      </w:pPr>
      <w:r w:rsidRPr="007E42F3">
        <w:rPr>
          <w:rFonts w:ascii="Arial" w:hAnsi="Arial" w:cs="Arial"/>
        </w:rPr>
        <w:t xml:space="preserve">Additionally, role clarity and targeted training ensure employees understand new expectations and possess the competencies required to perform effectively (Armstrong &amp; Taylor, 2020). To enhance employee involvement, </w:t>
      </w:r>
      <w:r w:rsidR="00741A6F" w:rsidRPr="00741A6F">
        <w:rPr>
          <w:rFonts w:ascii="Arial" w:hAnsi="Arial" w:cs="Arial"/>
        </w:rPr>
        <w:t>Gym shark</w:t>
      </w:r>
      <w:r w:rsidRPr="007E42F3">
        <w:rPr>
          <w:rFonts w:ascii="Arial" w:hAnsi="Arial" w:cs="Arial"/>
        </w:rPr>
        <w:t xml:space="preserve"> should establish a Change Champion Network comprising influential staff who act as ambassadors of change across departments. This participatory approach fosters transparency, reduces resistance, and strengthens communication (Beer &amp; Nohria, 2000).</w:t>
      </w:r>
    </w:p>
    <w:p w14:paraId="04ED3945" w14:textId="6F009B11" w:rsidR="007E42F3" w:rsidRPr="007E42F3" w:rsidRDefault="007E42F3" w:rsidP="007E42F3">
      <w:pPr>
        <w:spacing w:line="360" w:lineRule="auto"/>
        <w:rPr>
          <w:rFonts w:ascii="Arial" w:hAnsi="Arial" w:cs="Arial"/>
        </w:rPr>
      </w:pPr>
    </w:p>
    <w:p w14:paraId="1BBAC444" w14:textId="31AA3BDB" w:rsidR="007E42F3" w:rsidRPr="007E42F3" w:rsidRDefault="00741A6F" w:rsidP="007E42F3">
      <w:pPr>
        <w:spacing w:line="360" w:lineRule="auto"/>
        <w:rPr>
          <w:rFonts w:ascii="Arial" w:hAnsi="Arial" w:cs="Arial"/>
          <w:b/>
          <w:bCs/>
          <w:sz w:val="24"/>
          <w:szCs w:val="24"/>
        </w:rPr>
      </w:pPr>
      <w:r>
        <w:rPr>
          <w:rFonts w:ascii="Arial" w:hAnsi="Arial" w:cs="Arial"/>
          <w:b/>
          <w:bCs/>
          <w:sz w:val="24"/>
          <w:szCs w:val="24"/>
        </w:rPr>
        <w:t xml:space="preserve">   </w:t>
      </w:r>
      <w:r w:rsidR="007E42F3" w:rsidRPr="007E42F3">
        <w:rPr>
          <w:rFonts w:ascii="Arial" w:hAnsi="Arial" w:cs="Arial"/>
          <w:b/>
          <w:bCs/>
          <w:sz w:val="24"/>
          <w:szCs w:val="24"/>
        </w:rPr>
        <w:t>3.2 Managing Digital Transformation</w:t>
      </w:r>
    </w:p>
    <w:p w14:paraId="67082105" w14:textId="7713A559" w:rsidR="007E42F3" w:rsidRPr="007E42F3" w:rsidRDefault="007E42F3" w:rsidP="005C3470">
      <w:pPr>
        <w:spacing w:line="360" w:lineRule="auto"/>
        <w:rPr>
          <w:rFonts w:ascii="Arial" w:hAnsi="Arial" w:cs="Arial"/>
        </w:rPr>
      </w:pPr>
      <w:r w:rsidRPr="007E42F3">
        <w:rPr>
          <w:rFonts w:ascii="Arial" w:hAnsi="Arial" w:cs="Arial"/>
        </w:rPr>
        <w:t xml:space="preserve">As </w:t>
      </w:r>
      <w:r w:rsidR="00741A6F" w:rsidRPr="005C3470">
        <w:rPr>
          <w:rFonts w:ascii="Arial" w:hAnsi="Arial" w:cs="Arial"/>
        </w:rPr>
        <w:t>Gym shark</w:t>
      </w:r>
      <w:r w:rsidRPr="007E42F3">
        <w:rPr>
          <w:rFonts w:ascii="Arial" w:hAnsi="Arial" w:cs="Arial"/>
        </w:rPr>
        <w:t xml:space="preserve"> continues its digital evolution, HR must focus on building digital literacy and ensuring responsible technology use. Continuous learning and upskilling programmes, delivered through a Learning Management System (LMS), can equip employees with the digital competencies required to navigate new systems confidently. Simultaneously, HR should develop ethical AI policies to promote fairness in algorithmic decision-making and protect employee data (SHRM, 2023).</w:t>
      </w:r>
    </w:p>
    <w:p w14:paraId="3DE79F1F" w14:textId="77777777" w:rsidR="007E42F3" w:rsidRPr="007E42F3" w:rsidRDefault="007E42F3" w:rsidP="005C3470">
      <w:pPr>
        <w:spacing w:line="360" w:lineRule="auto"/>
        <w:rPr>
          <w:rFonts w:ascii="Arial" w:hAnsi="Arial" w:cs="Arial"/>
        </w:rPr>
      </w:pPr>
      <w:r w:rsidRPr="007E42F3">
        <w:rPr>
          <w:rFonts w:ascii="Arial" w:hAnsi="Arial" w:cs="Arial"/>
        </w:rPr>
        <w:t>Furthermore, the strategic use of HR analytics can provide predictive insights into engagement levels and turnover trends, allowing the organisation to address grievances before they escalate (Rees &amp; Smith, 2021). Finally, promoting digital wellbeing policies—such as limiting after-hours communication and encouraging healthy online boundaries—can prevent burnout and help sustain motivation (CIPD, 2023). These initiatives must be implemented holistically, ensuring digital innovation enhances, rather than erodes, employee experience.</w:t>
      </w:r>
    </w:p>
    <w:p w14:paraId="79D04E16" w14:textId="73A1269A" w:rsidR="007E42F3" w:rsidRPr="007E42F3" w:rsidRDefault="007E42F3" w:rsidP="007E42F3">
      <w:pPr>
        <w:spacing w:line="360" w:lineRule="auto"/>
        <w:rPr>
          <w:rFonts w:ascii="Arial" w:hAnsi="Arial" w:cs="Arial"/>
        </w:rPr>
      </w:pPr>
    </w:p>
    <w:p w14:paraId="47509C6D" w14:textId="7BCFA74F" w:rsidR="007E42F3" w:rsidRPr="007E42F3" w:rsidRDefault="005C3470" w:rsidP="007E42F3">
      <w:pPr>
        <w:spacing w:line="360" w:lineRule="auto"/>
        <w:rPr>
          <w:rFonts w:ascii="Arial" w:hAnsi="Arial" w:cs="Arial"/>
          <w:b/>
          <w:bCs/>
          <w:sz w:val="24"/>
          <w:szCs w:val="24"/>
        </w:rPr>
      </w:pPr>
      <w:r>
        <w:rPr>
          <w:rFonts w:ascii="Arial" w:hAnsi="Arial" w:cs="Arial"/>
          <w:b/>
          <w:bCs/>
          <w:sz w:val="24"/>
          <w:szCs w:val="24"/>
        </w:rPr>
        <w:t xml:space="preserve">   </w:t>
      </w:r>
      <w:r w:rsidR="007E42F3" w:rsidRPr="007E42F3">
        <w:rPr>
          <w:rFonts w:ascii="Arial" w:hAnsi="Arial" w:cs="Arial"/>
          <w:b/>
          <w:bCs/>
          <w:sz w:val="24"/>
          <w:szCs w:val="24"/>
        </w:rPr>
        <w:t>3.3 Managing Flexible Working</w:t>
      </w:r>
    </w:p>
    <w:p w14:paraId="7A8DD3F1" w14:textId="391B8DDF" w:rsidR="007E42F3" w:rsidRPr="007E42F3" w:rsidRDefault="005C3470" w:rsidP="005A56FF">
      <w:pPr>
        <w:spacing w:line="360" w:lineRule="auto"/>
        <w:rPr>
          <w:rFonts w:ascii="Arial" w:hAnsi="Arial" w:cs="Arial"/>
        </w:rPr>
      </w:pPr>
      <w:r w:rsidRPr="005A56FF">
        <w:rPr>
          <w:rFonts w:ascii="Arial" w:hAnsi="Arial" w:cs="Arial"/>
        </w:rPr>
        <w:t xml:space="preserve">   </w:t>
      </w:r>
      <w:r w:rsidR="007E42F3" w:rsidRPr="007E42F3">
        <w:rPr>
          <w:rFonts w:ascii="Arial" w:hAnsi="Arial" w:cs="Arial"/>
        </w:rPr>
        <w:t xml:space="preserve">To ensure fairness and inclusion in flexible work arrangements, </w:t>
      </w:r>
      <w:r w:rsidRPr="005A56FF">
        <w:rPr>
          <w:rFonts w:ascii="Arial" w:hAnsi="Arial" w:cs="Arial"/>
        </w:rPr>
        <w:t>Gym shark</w:t>
      </w:r>
      <w:r w:rsidR="007E42F3" w:rsidRPr="007E42F3">
        <w:rPr>
          <w:rFonts w:ascii="Arial" w:hAnsi="Arial" w:cs="Arial"/>
        </w:rPr>
        <w:t xml:space="preserve"> must adopt a hybrid work policy framework that sets clear expectations around communication, availability, and performance standards. The implementation of right-to-disconnect policies will protect employees from overwork and help maintain wellbeing. At the same time, introducing output-based performance management allows managers to assess outcomes rather than physical presence, reinforcing trust and accountability (Armstrong &amp; Taylor, 2020).</w:t>
      </w:r>
    </w:p>
    <w:p w14:paraId="2E08B64B" w14:textId="77777777" w:rsidR="007E42F3" w:rsidRPr="007E42F3" w:rsidRDefault="007E42F3" w:rsidP="005A56FF">
      <w:pPr>
        <w:spacing w:line="360" w:lineRule="auto"/>
        <w:rPr>
          <w:rFonts w:ascii="Arial" w:hAnsi="Arial" w:cs="Arial"/>
        </w:rPr>
      </w:pPr>
      <w:r w:rsidRPr="007E42F3">
        <w:rPr>
          <w:rFonts w:ascii="Arial" w:hAnsi="Arial" w:cs="Arial"/>
        </w:rPr>
        <w:t>Regular inclusion audits can help ensure equitable treatment of remote and in-person workers in career development, recognition, and promotions (CIPD, 2024). Additionally, offering flexible benefits packages—including gym memberships, home-office allowances, or childcare support—can improve motivation and loyalty. Crucially, HR must facilitate continuous dialogue through employee consultation forums and grievance dashboards to maintain transparency and address issues promptly.</w:t>
      </w:r>
    </w:p>
    <w:p w14:paraId="1F462AE6" w14:textId="6ABA290C" w:rsidR="007E42F3" w:rsidRPr="007E42F3" w:rsidRDefault="007E42F3" w:rsidP="007E42F3">
      <w:pPr>
        <w:spacing w:line="360" w:lineRule="auto"/>
        <w:rPr>
          <w:rFonts w:ascii="Arial" w:hAnsi="Arial" w:cs="Arial"/>
        </w:rPr>
      </w:pPr>
    </w:p>
    <w:p w14:paraId="5AD69A16" w14:textId="77777777" w:rsidR="005A56FF" w:rsidRDefault="005A56FF" w:rsidP="007D2E41">
      <w:pPr>
        <w:spacing w:line="360" w:lineRule="auto"/>
        <w:rPr>
          <w:rFonts w:ascii="Arial" w:hAnsi="Arial" w:cs="Arial"/>
          <w:b/>
          <w:bCs/>
        </w:rPr>
      </w:pPr>
    </w:p>
    <w:p w14:paraId="67BA1A69" w14:textId="0129CE94" w:rsidR="007D2E41" w:rsidRPr="007D2E41" w:rsidRDefault="005A56FF" w:rsidP="007D2E41">
      <w:pPr>
        <w:spacing w:line="360" w:lineRule="auto"/>
        <w:rPr>
          <w:rFonts w:ascii="Arial" w:hAnsi="Arial" w:cs="Arial"/>
          <w:b/>
          <w:bCs/>
          <w:sz w:val="28"/>
          <w:szCs w:val="28"/>
        </w:rPr>
      </w:pPr>
      <w:r w:rsidRPr="0010236D">
        <w:rPr>
          <w:rFonts w:ascii="Arial" w:hAnsi="Arial" w:cs="Arial"/>
          <w:b/>
          <w:bCs/>
          <w:sz w:val="28"/>
          <w:szCs w:val="28"/>
        </w:rPr>
        <w:lastRenderedPageBreak/>
        <w:t xml:space="preserve">   </w:t>
      </w:r>
      <w:r w:rsidR="007D2E41" w:rsidRPr="007D2E41">
        <w:rPr>
          <w:rFonts w:ascii="Arial" w:hAnsi="Arial" w:cs="Arial"/>
          <w:b/>
          <w:bCs/>
          <w:sz w:val="28"/>
          <w:szCs w:val="28"/>
        </w:rPr>
        <w:t xml:space="preserve">4. Critical Evaluation: Ensuring Implementation by Departmental Managers </w:t>
      </w:r>
    </w:p>
    <w:p w14:paraId="69941CD0" w14:textId="16C29CEB" w:rsidR="007D2E41" w:rsidRPr="007D2E41" w:rsidRDefault="005E166F" w:rsidP="000A089F">
      <w:pPr>
        <w:spacing w:line="360" w:lineRule="auto"/>
        <w:rPr>
          <w:rFonts w:ascii="Arial" w:hAnsi="Arial" w:cs="Arial"/>
        </w:rPr>
      </w:pPr>
      <w:r w:rsidRPr="000A089F">
        <w:rPr>
          <w:rFonts w:ascii="Arial" w:hAnsi="Arial" w:cs="Arial"/>
        </w:rPr>
        <w:t xml:space="preserve">   </w:t>
      </w:r>
      <w:r w:rsidR="007D2E41" w:rsidRPr="007D2E41">
        <w:rPr>
          <w:rFonts w:ascii="Arial" w:hAnsi="Arial" w:cs="Arial"/>
        </w:rPr>
        <w:t xml:space="preserve">While HR teams are responsible for designing policies and frameworks to support organisational change, the ultimate success of these practices depends on the consistency and capability of departmental managers in applying them. As Ulrich (1997) argues, HR strategy only generates value when operational leaders actively engage in people-focused practices. At </w:t>
      </w:r>
      <w:r w:rsidR="000A089F" w:rsidRPr="000A089F">
        <w:rPr>
          <w:rFonts w:ascii="Arial" w:hAnsi="Arial" w:cs="Arial"/>
        </w:rPr>
        <w:t>Gym shark</w:t>
      </w:r>
      <w:r w:rsidR="007D2E41" w:rsidRPr="007D2E41">
        <w:rPr>
          <w:rFonts w:ascii="Arial" w:hAnsi="Arial" w:cs="Arial"/>
        </w:rPr>
        <w:t>, managers therefore play a crucial role in ensuring that digital transformation and flexible work policies are embedded effectively and aligned with business goals.</w:t>
      </w:r>
    </w:p>
    <w:p w14:paraId="72223C43" w14:textId="1B28C438" w:rsidR="007D2E41" w:rsidRPr="007D2E41" w:rsidRDefault="000A089F" w:rsidP="007D2E41">
      <w:pPr>
        <w:spacing w:line="360" w:lineRule="auto"/>
        <w:rPr>
          <w:rFonts w:ascii="Arial" w:hAnsi="Arial" w:cs="Arial"/>
          <w:b/>
          <w:bCs/>
          <w:sz w:val="24"/>
          <w:szCs w:val="24"/>
        </w:rPr>
      </w:pPr>
      <w:r>
        <w:rPr>
          <w:rFonts w:ascii="Arial" w:hAnsi="Arial" w:cs="Arial"/>
          <w:b/>
          <w:bCs/>
          <w:sz w:val="24"/>
          <w:szCs w:val="24"/>
        </w:rPr>
        <w:t xml:space="preserve">   </w:t>
      </w:r>
      <w:r w:rsidR="007D2E41" w:rsidRPr="007D2E41">
        <w:rPr>
          <w:rFonts w:ascii="Arial" w:hAnsi="Arial" w:cs="Arial"/>
          <w:b/>
          <w:bCs/>
          <w:sz w:val="24"/>
          <w:szCs w:val="24"/>
        </w:rPr>
        <w:t>4.1 Managerial Responsibilities</w:t>
      </w:r>
    </w:p>
    <w:p w14:paraId="266EDB57" w14:textId="5B9FAC4D" w:rsidR="007D2E41" w:rsidRPr="007D2E41" w:rsidRDefault="003203E5" w:rsidP="003203E5">
      <w:pPr>
        <w:spacing w:line="360" w:lineRule="auto"/>
        <w:rPr>
          <w:rFonts w:ascii="Arial" w:hAnsi="Arial" w:cs="Arial"/>
        </w:rPr>
      </w:pPr>
      <w:r w:rsidRPr="003203E5">
        <w:rPr>
          <w:rFonts w:ascii="Arial" w:hAnsi="Arial" w:cs="Arial"/>
        </w:rPr>
        <w:t xml:space="preserve">   </w:t>
      </w:r>
      <w:r w:rsidR="007D2E41" w:rsidRPr="007D2E41">
        <w:rPr>
          <w:rFonts w:ascii="Arial" w:hAnsi="Arial" w:cs="Arial"/>
        </w:rPr>
        <w:t>Managers must act as effective communicators and role models, translating strategic transformation goals into practical behavioural expectations. Clear and empathetic communication is essential to help employees make sense of change, reducing anxiety and uncertainty (Kotter, 1995). Additionally, managers require targeted training in areas such as conflict resolution, digital tool usage, and performance conversations to ensure they can support employees in adapting to new technologies and structural changes.</w:t>
      </w:r>
    </w:p>
    <w:p w14:paraId="05E15BF8" w14:textId="77777777" w:rsidR="007D2E41" w:rsidRPr="007D2E41" w:rsidRDefault="007D2E41" w:rsidP="003203E5">
      <w:pPr>
        <w:spacing w:line="360" w:lineRule="auto"/>
        <w:rPr>
          <w:rFonts w:ascii="Arial" w:hAnsi="Arial" w:cs="Arial"/>
        </w:rPr>
      </w:pPr>
      <w:r w:rsidRPr="007D2E41">
        <w:rPr>
          <w:rFonts w:ascii="Arial" w:hAnsi="Arial" w:cs="Arial"/>
        </w:rPr>
        <w:t>Proactive monitoring and feedback systems, such as regular check-ins, wellbeing conversations, and anonymous engagement surveys, enable managers to identify early signals of disengagement and grievances. This supports a more preventative approach to employee relations rather than reactive issue-management, helping to maintain morale during transformational change.</w:t>
      </w:r>
    </w:p>
    <w:p w14:paraId="3191F7E3" w14:textId="465E3B83" w:rsidR="007D2E41" w:rsidRPr="007D2E41" w:rsidRDefault="003203E5" w:rsidP="007D2E41">
      <w:pPr>
        <w:spacing w:line="360" w:lineRule="auto"/>
        <w:rPr>
          <w:rFonts w:ascii="Arial" w:hAnsi="Arial" w:cs="Arial"/>
          <w:b/>
          <w:bCs/>
          <w:sz w:val="24"/>
          <w:szCs w:val="24"/>
        </w:rPr>
      </w:pPr>
      <w:r>
        <w:rPr>
          <w:rFonts w:ascii="Arial" w:hAnsi="Arial" w:cs="Arial"/>
          <w:b/>
          <w:bCs/>
        </w:rPr>
        <w:t xml:space="preserve">   </w:t>
      </w:r>
      <w:r w:rsidR="007D2E41" w:rsidRPr="007D2E41">
        <w:rPr>
          <w:rFonts w:ascii="Arial" w:hAnsi="Arial" w:cs="Arial"/>
          <w:b/>
          <w:bCs/>
          <w:sz w:val="24"/>
          <w:szCs w:val="24"/>
        </w:rPr>
        <w:t>4.2 Barriers to Implementation</w:t>
      </w:r>
    </w:p>
    <w:p w14:paraId="47DF7B2F" w14:textId="2A947AD3" w:rsidR="007D2E41" w:rsidRPr="007D2E41" w:rsidRDefault="007833D9" w:rsidP="007D2E41">
      <w:pPr>
        <w:spacing w:line="360" w:lineRule="auto"/>
        <w:rPr>
          <w:rFonts w:ascii="Arial" w:hAnsi="Arial" w:cs="Arial"/>
        </w:rPr>
      </w:pPr>
      <w:r>
        <w:rPr>
          <w:rFonts w:ascii="Arial" w:hAnsi="Arial" w:cs="Arial"/>
        </w:rPr>
        <w:t xml:space="preserve">   </w:t>
      </w:r>
      <w:r w:rsidR="007D2E41" w:rsidRPr="007D2E41">
        <w:rPr>
          <w:rFonts w:ascii="Arial" w:hAnsi="Arial" w:cs="Arial"/>
        </w:rPr>
        <w:t xml:space="preserve">Despite the importance of their role, managers frequently encounter practical obstacles such as workload pressures, limited HR expertise, and a lack of confidence when applying new policies. In a fast-growing organisation like </w:t>
      </w:r>
      <w:r w:rsidR="009641D3" w:rsidRPr="007833D9">
        <w:rPr>
          <w:rFonts w:ascii="Arial" w:hAnsi="Arial" w:cs="Arial"/>
        </w:rPr>
        <w:t>Gym shark</w:t>
      </w:r>
      <w:r w:rsidR="007D2E41" w:rsidRPr="007D2E41">
        <w:rPr>
          <w:rFonts w:ascii="Arial" w:hAnsi="Arial" w:cs="Arial"/>
        </w:rPr>
        <w:t>, some managers may prioritise operational targets over people-management responsibilities, which can lead to inconsistent policy enforcement and increased perceptions of unfairness (CIPD, 2024). Moreover, managers may struggle with the cultural shift required to support hybrid work if they are traditionally accustomed to monitoring visible presence rather than outcomes.</w:t>
      </w:r>
    </w:p>
    <w:p w14:paraId="63858AFF" w14:textId="6795DD7C" w:rsidR="007D2E41" w:rsidRPr="007D2E41" w:rsidRDefault="007D2E41" w:rsidP="007D2E41">
      <w:pPr>
        <w:spacing w:line="360" w:lineRule="auto"/>
        <w:rPr>
          <w:rFonts w:ascii="Arial" w:hAnsi="Arial" w:cs="Arial"/>
        </w:rPr>
      </w:pPr>
      <w:r w:rsidRPr="007D2E41">
        <w:rPr>
          <w:rFonts w:ascii="Arial" w:hAnsi="Arial" w:cs="Arial"/>
        </w:rPr>
        <w:t xml:space="preserve">To address these barriers, </w:t>
      </w:r>
      <w:r w:rsidR="009641D3" w:rsidRPr="007833D9">
        <w:rPr>
          <w:rFonts w:ascii="Arial" w:hAnsi="Arial" w:cs="Arial"/>
        </w:rPr>
        <w:t>Gym shark</w:t>
      </w:r>
      <w:r w:rsidRPr="007D2E41">
        <w:rPr>
          <w:rFonts w:ascii="Arial" w:hAnsi="Arial" w:cs="Arial"/>
        </w:rPr>
        <w:t xml:space="preserve"> should embed clear accountability mechanisms. Managerial Key Performance Indicators (KPIs) should incorporate engagement scores, employee turnover data, and adherence to HR policies, ensuring that people-focused leadership becomes a measurable component of managerial success. Encouraging cross-</w:t>
      </w:r>
      <w:r w:rsidRPr="007D2E41">
        <w:rPr>
          <w:rFonts w:ascii="Arial" w:hAnsi="Arial" w:cs="Arial"/>
        </w:rPr>
        <w:lastRenderedPageBreak/>
        <w:t>departmental HR review meetings would also help managers share best practice, develop confidence, and collaborate more consistently across the business.</w:t>
      </w:r>
    </w:p>
    <w:p w14:paraId="15323913" w14:textId="77777777" w:rsidR="007D2E41" w:rsidRPr="007D2E41" w:rsidRDefault="007D2E41" w:rsidP="007D2E41">
      <w:pPr>
        <w:spacing w:line="360" w:lineRule="auto"/>
        <w:rPr>
          <w:rFonts w:ascii="Arial" w:hAnsi="Arial" w:cs="Arial"/>
        </w:rPr>
      </w:pPr>
      <w:r w:rsidRPr="007D2E41">
        <w:rPr>
          <w:rFonts w:ascii="Arial" w:hAnsi="Arial" w:cs="Arial"/>
        </w:rPr>
        <w:t>The introduction of a ‘Manager as Coach’ development programme would further support leaders in developing empathy, active listening, and inclusive behaviour—all of which are essential to building trust during transformation.</w:t>
      </w:r>
    </w:p>
    <w:p w14:paraId="42C4389D" w14:textId="29461476" w:rsidR="007D2E41" w:rsidRPr="007D2E41" w:rsidRDefault="007833D9" w:rsidP="007D2E41">
      <w:pPr>
        <w:spacing w:line="360" w:lineRule="auto"/>
        <w:rPr>
          <w:rFonts w:ascii="Arial" w:hAnsi="Arial" w:cs="Arial"/>
          <w:b/>
          <w:bCs/>
          <w:sz w:val="24"/>
          <w:szCs w:val="24"/>
        </w:rPr>
      </w:pPr>
      <w:r w:rsidRPr="007833D9">
        <w:rPr>
          <w:rFonts w:ascii="Arial" w:hAnsi="Arial" w:cs="Arial"/>
          <w:b/>
          <w:bCs/>
          <w:sz w:val="24"/>
          <w:szCs w:val="24"/>
        </w:rPr>
        <w:t xml:space="preserve">   </w:t>
      </w:r>
      <w:r w:rsidR="007D2E41" w:rsidRPr="007D2E41">
        <w:rPr>
          <w:rFonts w:ascii="Arial" w:hAnsi="Arial" w:cs="Arial"/>
          <w:b/>
          <w:bCs/>
          <w:sz w:val="24"/>
          <w:szCs w:val="24"/>
        </w:rPr>
        <w:t>4.3 Importance of Digital and Cultural Alignment</w:t>
      </w:r>
    </w:p>
    <w:p w14:paraId="7CBCA70A" w14:textId="140BA851" w:rsidR="007D2E41" w:rsidRPr="007D2E41" w:rsidRDefault="007833D9" w:rsidP="00E650B3">
      <w:pPr>
        <w:spacing w:line="360" w:lineRule="auto"/>
        <w:rPr>
          <w:rFonts w:ascii="Arial" w:hAnsi="Arial" w:cs="Arial"/>
        </w:rPr>
      </w:pPr>
      <w:r w:rsidRPr="00E650B3">
        <w:rPr>
          <w:rFonts w:ascii="Arial" w:hAnsi="Arial" w:cs="Arial"/>
        </w:rPr>
        <w:t xml:space="preserve">   </w:t>
      </w:r>
      <w:r w:rsidR="007D2E41" w:rsidRPr="007D2E41">
        <w:rPr>
          <w:rFonts w:ascii="Arial" w:hAnsi="Arial" w:cs="Arial"/>
        </w:rPr>
        <w:t xml:space="preserve">As digital systems become embedded within </w:t>
      </w:r>
      <w:r w:rsidR="00E650B3" w:rsidRPr="00E650B3">
        <w:rPr>
          <w:rFonts w:ascii="Arial" w:hAnsi="Arial" w:cs="Arial"/>
        </w:rPr>
        <w:t>Gym shark’s</w:t>
      </w:r>
      <w:r w:rsidR="007D2E41" w:rsidRPr="007D2E41">
        <w:rPr>
          <w:rFonts w:ascii="Arial" w:hAnsi="Arial" w:cs="Arial"/>
        </w:rPr>
        <w:t xml:space="preserve"> HR and operational functions, managers must demonstrate the competence and willingness to integrate technology into their leadership style. This includes using HR systems for performance tracking, resource planning, and wellbeing monitoring—ensuring transparency and fairness in decision-making (Beer &amp; Nohria, 2000).</w:t>
      </w:r>
    </w:p>
    <w:p w14:paraId="6C6119D3" w14:textId="77777777" w:rsidR="007D2E41" w:rsidRPr="007D2E41" w:rsidRDefault="007D2E41" w:rsidP="00E650B3">
      <w:pPr>
        <w:spacing w:line="360" w:lineRule="auto"/>
        <w:rPr>
          <w:rFonts w:ascii="Arial" w:hAnsi="Arial" w:cs="Arial"/>
        </w:rPr>
      </w:pPr>
      <w:r w:rsidRPr="007D2E41">
        <w:rPr>
          <w:rFonts w:ascii="Arial" w:hAnsi="Arial" w:cs="Arial"/>
        </w:rPr>
        <w:t>Equally important is the need for managers to protect psychological safety within hybrid teams, ensuring remote employees feel equally visible, valued, and involved in decision-making. Leadership modelling plays a direct role in shaping employee attitudes; when managers display openness to learning, resilience to change, and transparency in communications, employees are more likely to respond positively and remain committed to organisational goals (Kotter, 1995; Ulrich, 1997).</w:t>
      </w:r>
    </w:p>
    <w:p w14:paraId="6428A2C5" w14:textId="1C32CF95" w:rsidR="007D2E41" w:rsidRPr="007D2E41" w:rsidRDefault="007D2E41" w:rsidP="00E650B3">
      <w:pPr>
        <w:spacing w:line="360" w:lineRule="auto"/>
        <w:rPr>
          <w:rFonts w:ascii="Arial" w:hAnsi="Arial" w:cs="Arial"/>
        </w:rPr>
      </w:pPr>
      <w:r w:rsidRPr="007D2E41">
        <w:rPr>
          <w:rFonts w:ascii="Arial" w:hAnsi="Arial" w:cs="Arial"/>
        </w:rPr>
        <w:t xml:space="preserve">Overall, the ability of managers to embed HR practices in daily operations is the determining factor in whether </w:t>
      </w:r>
      <w:r w:rsidR="00E650B3" w:rsidRPr="00E650B3">
        <w:rPr>
          <w:rFonts w:ascii="Arial" w:hAnsi="Arial" w:cs="Arial"/>
        </w:rPr>
        <w:t>Gym shark’s</w:t>
      </w:r>
      <w:r w:rsidRPr="007D2E41">
        <w:rPr>
          <w:rFonts w:ascii="Arial" w:hAnsi="Arial" w:cs="Arial"/>
        </w:rPr>
        <w:t xml:space="preserve"> transformation results in sustained cultural improvement or ongoing employee resistance.</w:t>
      </w:r>
    </w:p>
    <w:p w14:paraId="1B4515B2" w14:textId="49AB47BB" w:rsidR="005605D7" w:rsidRPr="005605D7" w:rsidRDefault="00E650B3" w:rsidP="005605D7">
      <w:pPr>
        <w:spacing w:line="360" w:lineRule="auto"/>
        <w:rPr>
          <w:rFonts w:ascii="Arial" w:hAnsi="Arial" w:cs="Arial"/>
          <w:b/>
          <w:bCs/>
          <w:sz w:val="28"/>
          <w:szCs w:val="28"/>
        </w:rPr>
      </w:pPr>
      <w:r>
        <w:rPr>
          <w:rFonts w:ascii="Arial" w:hAnsi="Arial" w:cs="Arial"/>
          <w:b/>
          <w:bCs/>
          <w:sz w:val="28"/>
          <w:szCs w:val="28"/>
        </w:rPr>
        <w:t xml:space="preserve">   </w:t>
      </w:r>
      <w:r w:rsidR="005605D7" w:rsidRPr="005605D7">
        <w:rPr>
          <w:rFonts w:ascii="Arial" w:hAnsi="Arial" w:cs="Arial"/>
          <w:b/>
          <w:bCs/>
          <w:sz w:val="28"/>
          <w:szCs w:val="28"/>
        </w:rPr>
        <w:t>5. Conclusion and Recommendations</w:t>
      </w:r>
    </w:p>
    <w:p w14:paraId="445E0EA1" w14:textId="3FDC640C" w:rsidR="005605D7" w:rsidRPr="005605D7" w:rsidRDefault="00E650B3" w:rsidP="00E95BAD">
      <w:pPr>
        <w:spacing w:line="360" w:lineRule="auto"/>
        <w:rPr>
          <w:rFonts w:ascii="Arial" w:hAnsi="Arial" w:cs="Arial"/>
        </w:rPr>
      </w:pPr>
      <w:r>
        <w:rPr>
          <w:rFonts w:ascii="Arial" w:hAnsi="Arial" w:cs="Arial"/>
        </w:rPr>
        <w:t xml:space="preserve">   </w:t>
      </w:r>
      <w:r w:rsidR="00A81FB0" w:rsidRPr="00E95BAD">
        <w:rPr>
          <w:rFonts w:ascii="Arial" w:hAnsi="Arial" w:cs="Arial"/>
        </w:rPr>
        <w:t>Gym shark’s</w:t>
      </w:r>
      <w:r w:rsidR="005605D7" w:rsidRPr="005605D7">
        <w:rPr>
          <w:rFonts w:ascii="Arial" w:hAnsi="Arial" w:cs="Arial"/>
        </w:rPr>
        <w:t xml:space="preserve"> transformation into an omnichannel and digitally advanced organisation represents a significant shift in its business model, one that presents both strategic opportunities and complex workforce challenges. While digital innovation and flexible working arrangements have enhanced operational performance and supported work–life balance for many employees, they have also introduced risks such as role ambiguity, inconsistent managerial practices, and perceived inequalities between different employee groups. These issues have directly contributed to an increase in employee grievances, highlighting the urgent need for HR to adopt an integrated and proactive approach that balances technological progress with a strong emphasis on employee wellbeing, communication, and fairness across the organisation.</w:t>
      </w:r>
    </w:p>
    <w:p w14:paraId="6763FC78" w14:textId="77777777" w:rsidR="005605D7" w:rsidRPr="005605D7" w:rsidRDefault="005605D7" w:rsidP="00E95BAD">
      <w:pPr>
        <w:spacing w:line="360" w:lineRule="auto"/>
        <w:rPr>
          <w:rFonts w:ascii="Arial" w:hAnsi="Arial" w:cs="Arial"/>
        </w:rPr>
      </w:pPr>
      <w:r w:rsidRPr="005605D7">
        <w:rPr>
          <w:rFonts w:ascii="Arial" w:hAnsi="Arial" w:cs="Arial"/>
        </w:rPr>
        <w:t xml:space="preserve">To support this transition effectively, HR must ensure that the implementation of new systems and structures remains people-centred, with employees given the guidance, voice, </w:t>
      </w:r>
      <w:r w:rsidRPr="005605D7">
        <w:rPr>
          <w:rFonts w:ascii="Arial" w:hAnsi="Arial" w:cs="Arial"/>
        </w:rPr>
        <w:lastRenderedPageBreak/>
        <w:t>and support needed to adapt positively to change. The following recommendations provide a strategic framework for strengthening HR’s role in driving successful transformation:</w:t>
      </w:r>
    </w:p>
    <w:p w14:paraId="01D97A77" w14:textId="77777777" w:rsidR="005605D7" w:rsidRPr="005605D7" w:rsidRDefault="005605D7" w:rsidP="00E95BAD">
      <w:pPr>
        <w:numPr>
          <w:ilvl w:val="0"/>
          <w:numId w:val="13"/>
        </w:numPr>
        <w:spacing w:line="360" w:lineRule="auto"/>
        <w:rPr>
          <w:rFonts w:ascii="Arial" w:hAnsi="Arial" w:cs="Arial"/>
        </w:rPr>
      </w:pPr>
      <w:r w:rsidRPr="005605D7">
        <w:rPr>
          <w:rFonts w:ascii="Arial" w:hAnsi="Arial" w:cs="Arial"/>
        </w:rPr>
        <w:t>Establish a Change Champion Network to encourage transparent communication, employee participation, and shared ownership of transformation progress.</w:t>
      </w:r>
    </w:p>
    <w:p w14:paraId="0F3BC5CE" w14:textId="77777777" w:rsidR="005605D7" w:rsidRPr="005605D7" w:rsidRDefault="005605D7" w:rsidP="00E95BAD">
      <w:pPr>
        <w:numPr>
          <w:ilvl w:val="0"/>
          <w:numId w:val="13"/>
        </w:numPr>
        <w:spacing w:line="360" w:lineRule="auto"/>
        <w:rPr>
          <w:rFonts w:ascii="Arial" w:hAnsi="Arial" w:cs="Arial"/>
        </w:rPr>
      </w:pPr>
      <w:r w:rsidRPr="005605D7">
        <w:rPr>
          <w:rFonts w:ascii="Arial" w:hAnsi="Arial" w:cs="Arial"/>
        </w:rPr>
        <w:t>Implement a Digital Upskilling Strategy through tailored learning pathways to reduce digital skill gaps and promote confidence in new systems.</w:t>
      </w:r>
    </w:p>
    <w:p w14:paraId="03202784" w14:textId="77777777" w:rsidR="005605D7" w:rsidRPr="005605D7" w:rsidRDefault="005605D7" w:rsidP="00E95BAD">
      <w:pPr>
        <w:numPr>
          <w:ilvl w:val="0"/>
          <w:numId w:val="13"/>
        </w:numPr>
        <w:spacing w:line="360" w:lineRule="auto"/>
        <w:rPr>
          <w:rFonts w:ascii="Arial" w:hAnsi="Arial" w:cs="Arial"/>
        </w:rPr>
      </w:pPr>
      <w:r w:rsidRPr="005605D7">
        <w:rPr>
          <w:rFonts w:ascii="Arial" w:hAnsi="Arial" w:cs="Arial"/>
        </w:rPr>
        <w:t>Strengthen Grievance and Feedback Mechanisms through digital dashboards and regular engagement surveys to ensure concerns are captured and resolved promptly.</w:t>
      </w:r>
    </w:p>
    <w:p w14:paraId="03989580" w14:textId="77777777" w:rsidR="005605D7" w:rsidRPr="005605D7" w:rsidRDefault="005605D7" w:rsidP="00E95BAD">
      <w:pPr>
        <w:numPr>
          <w:ilvl w:val="0"/>
          <w:numId w:val="13"/>
        </w:numPr>
        <w:spacing w:line="360" w:lineRule="auto"/>
        <w:rPr>
          <w:rFonts w:ascii="Arial" w:hAnsi="Arial" w:cs="Arial"/>
        </w:rPr>
      </w:pPr>
      <w:r w:rsidRPr="005605D7">
        <w:rPr>
          <w:rFonts w:ascii="Arial" w:hAnsi="Arial" w:cs="Arial"/>
        </w:rPr>
        <w:t>Enhance Manager Accountability by aligning performance evaluations with employee engagement and wellbeing outcomes.</w:t>
      </w:r>
    </w:p>
    <w:p w14:paraId="0FABF8DE" w14:textId="77777777" w:rsidR="005605D7" w:rsidRPr="005605D7" w:rsidRDefault="005605D7" w:rsidP="00E95BAD">
      <w:pPr>
        <w:numPr>
          <w:ilvl w:val="0"/>
          <w:numId w:val="13"/>
        </w:numPr>
        <w:spacing w:line="360" w:lineRule="auto"/>
        <w:rPr>
          <w:rFonts w:ascii="Arial" w:hAnsi="Arial" w:cs="Arial"/>
        </w:rPr>
      </w:pPr>
      <w:r w:rsidRPr="005605D7">
        <w:rPr>
          <w:rFonts w:ascii="Arial" w:hAnsi="Arial" w:cs="Arial"/>
        </w:rPr>
        <w:t>Formalise Hybrid Work Policies that apply consistently across departments to maintain equity and clear expectations for all employees.</w:t>
      </w:r>
    </w:p>
    <w:p w14:paraId="53770AF2" w14:textId="77777777" w:rsidR="005605D7" w:rsidRPr="005605D7" w:rsidRDefault="005605D7" w:rsidP="00E95BAD">
      <w:pPr>
        <w:numPr>
          <w:ilvl w:val="0"/>
          <w:numId w:val="13"/>
        </w:numPr>
        <w:spacing w:line="360" w:lineRule="auto"/>
        <w:rPr>
          <w:rFonts w:ascii="Arial" w:hAnsi="Arial" w:cs="Arial"/>
        </w:rPr>
      </w:pPr>
      <w:r w:rsidRPr="005605D7">
        <w:rPr>
          <w:rFonts w:ascii="Arial" w:hAnsi="Arial" w:cs="Arial"/>
        </w:rPr>
        <w:t>Promote Comprehensive Wellbeing Initiatives including mental health support, flexible benefits, and workload management training to sustain employee resilience.</w:t>
      </w:r>
    </w:p>
    <w:p w14:paraId="18EBBA40" w14:textId="757003E4" w:rsidR="005605D7" w:rsidRPr="005605D7" w:rsidRDefault="005605D7" w:rsidP="00E95BAD">
      <w:pPr>
        <w:spacing w:line="360" w:lineRule="auto"/>
        <w:rPr>
          <w:rFonts w:ascii="Arial" w:hAnsi="Arial" w:cs="Arial"/>
        </w:rPr>
      </w:pPr>
      <w:r w:rsidRPr="005605D7">
        <w:rPr>
          <w:rFonts w:ascii="Arial" w:hAnsi="Arial" w:cs="Arial"/>
        </w:rPr>
        <w:t xml:space="preserve">By embedding these HR strategies and equipping managers to lead change effectively, </w:t>
      </w:r>
      <w:r w:rsidR="00745D69" w:rsidRPr="00E95BAD">
        <w:rPr>
          <w:rFonts w:ascii="Arial" w:hAnsi="Arial" w:cs="Arial"/>
        </w:rPr>
        <w:t>Gym shark</w:t>
      </w:r>
      <w:r w:rsidRPr="005605D7">
        <w:rPr>
          <w:rFonts w:ascii="Arial" w:hAnsi="Arial" w:cs="Arial"/>
        </w:rPr>
        <w:t xml:space="preserve"> can transform current tensions into opportunities for cultural renewal, sustainable workforce development, and long-term organisational success. Ensuring that employees remain informed, supported, and valued throughout the transformation process will be essential to maintaining trust and securing a committed workforce capable of driving </w:t>
      </w:r>
      <w:r w:rsidR="001339CF" w:rsidRPr="00E95BAD">
        <w:rPr>
          <w:rFonts w:ascii="Arial" w:hAnsi="Arial" w:cs="Arial"/>
        </w:rPr>
        <w:t>Gym shark’s</w:t>
      </w:r>
      <w:r w:rsidRPr="005605D7">
        <w:rPr>
          <w:rFonts w:ascii="Arial" w:hAnsi="Arial" w:cs="Arial"/>
        </w:rPr>
        <w:t xml:space="preserve"> future growth.</w:t>
      </w:r>
    </w:p>
    <w:p w14:paraId="32E94FBB" w14:textId="77777777" w:rsidR="006E33C3" w:rsidRDefault="006E33C3" w:rsidP="006E33C3">
      <w:pPr>
        <w:spacing w:line="360" w:lineRule="auto"/>
        <w:rPr>
          <w:rFonts w:ascii="Arial" w:hAnsi="Arial" w:cs="Arial"/>
        </w:rPr>
      </w:pPr>
    </w:p>
    <w:p w14:paraId="312FC3AB" w14:textId="77777777" w:rsidR="006E33C3" w:rsidRDefault="006E33C3" w:rsidP="006E33C3">
      <w:pPr>
        <w:spacing w:line="360" w:lineRule="auto"/>
        <w:rPr>
          <w:rFonts w:ascii="Arial" w:hAnsi="Arial" w:cs="Arial"/>
        </w:rPr>
      </w:pPr>
    </w:p>
    <w:p w14:paraId="0890CD79" w14:textId="77777777" w:rsidR="006E33C3" w:rsidRDefault="006E33C3" w:rsidP="006E33C3">
      <w:pPr>
        <w:spacing w:line="360" w:lineRule="auto"/>
        <w:rPr>
          <w:rFonts w:ascii="Arial" w:hAnsi="Arial" w:cs="Arial"/>
        </w:rPr>
      </w:pPr>
    </w:p>
    <w:p w14:paraId="1A66879D" w14:textId="77777777" w:rsidR="006E33C3" w:rsidRDefault="006E33C3" w:rsidP="006E33C3">
      <w:pPr>
        <w:spacing w:line="360" w:lineRule="auto"/>
        <w:rPr>
          <w:rFonts w:ascii="Arial" w:hAnsi="Arial" w:cs="Arial"/>
        </w:rPr>
      </w:pPr>
    </w:p>
    <w:p w14:paraId="0071BD57" w14:textId="77777777" w:rsidR="006E33C3" w:rsidRPr="006E33C3" w:rsidRDefault="006E33C3" w:rsidP="006E33C3">
      <w:pPr>
        <w:spacing w:line="360" w:lineRule="auto"/>
        <w:rPr>
          <w:rFonts w:ascii="Arial" w:hAnsi="Arial" w:cs="Arial"/>
        </w:rPr>
      </w:pPr>
    </w:p>
    <w:p w14:paraId="70597112" w14:textId="21318074" w:rsidR="00AF4E43" w:rsidRDefault="00AF4E43" w:rsidP="00AF4E43"/>
    <w:p w14:paraId="3F77BA3E" w14:textId="77777777" w:rsidR="00FC7DBA" w:rsidRDefault="00FC7DBA" w:rsidP="00AF4E43"/>
    <w:p w14:paraId="39CE2B19" w14:textId="77777777" w:rsidR="00FC7DBA" w:rsidRDefault="00FC7DBA" w:rsidP="00AF4E43"/>
    <w:p w14:paraId="126C412C" w14:textId="77777777" w:rsidR="00FC7DBA" w:rsidRDefault="00FC7DBA" w:rsidP="00AF4E43"/>
    <w:p w14:paraId="31330AF5" w14:textId="77777777" w:rsidR="00FC7DBA" w:rsidRPr="00AF4E43" w:rsidRDefault="00FC7DBA" w:rsidP="00AF4E43"/>
    <w:p w14:paraId="3253A212" w14:textId="36F329C1" w:rsidR="00AF4E43" w:rsidRPr="00E95BAD" w:rsidRDefault="00AF4E43" w:rsidP="006E33C3">
      <w:pPr>
        <w:spacing w:line="360" w:lineRule="auto"/>
        <w:rPr>
          <w:rFonts w:ascii="Arial" w:hAnsi="Arial" w:cs="Arial"/>
          <w:b/>
          <w:bCs/>
          <w:sz w:val="28"/>
          <w:szCs w:val="28"/>
        </w:rPr>
      </w:pPr>
      <w:r w:rsidRPr="00E95BAD">
        <w:rPr>
          <w:rFonts w:ascii="Arial" w:hAnsi="Arial" w:cs="Arial"/>
          <w:b/>
          <w:bCs/>
          <w:sz w:val="28"/>
          <w:szCs w:val="28"/>
        </w:rPr>
        <w:lastRenderedPageBreak/>
        <w:t xml:space="preserve">References </w:t>
      </w:r>
    </w:p>
    <w:p w14:paraId="4D7D60FC"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Armstrong, M. &amp; Taylor, S. (2020) </w:t>
      </w:r>
      <w:r w:rsidRPr="00AF4E43">
        <w:rPr>
          <w:rFonts w:ascii="Arial" w:hAnsi="Arial" w:cs="Arial"/>
          <w:i/>
          <w:iCs/>
        </w:rPr>
        <w:t>Armstrong’s Handbook of Human Resource Management Practice.</w:t>
      </w:r>
      <w:r w:rsidRPr="00AF4E43">
        <w:rPr>
          <w:rFonts w:ascii="Arial" w:hAnsi="Arial" w:cs="Arial"/>
        </w:rPr>
        <w:t xml:space="preserve"> Kogan Page.</w:t>
      </w:r>
    </w:p>
    <w:p w14:paraId="5DFE7238"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Beer, M. &amp; Nohria, N. (2000) </w:t>
      </w:r>
      <w:r w:rsidRPr="00AF4E43">
        <w:rPr>
          <w:rFonts w:ascii="Arial" w:hAnsi="Arial" w:cs="Arial"/>
          <w:i/>
          <w:iCs/>
        </w:rPr>
        <w:t>Cracking the Code of Change.</w:t>
      </w:r>
      <w:r w:rsidRPr="00AF4E43">
        <w:rPr>
          <w:rFonts w:ascii="Arial" w:hAnsi="Arial" w:cs="Arial"/>
        </w:rPr>
        <w:t xml:space="preserve"> </w:t>
      </w:r>
      <w:r w:rsidRPr="00AF4E43">
        <w:rPr>
          <w:rFonts w:ascii="Arial" w:hAnsi="Arial" w:cs="Arial"/>
          <w:i/>
          <w:iCs/>
        </w:rPr>
        <w:t>Harvard Business Review.</w:t>
      </w:r>
    </w:p>
    <w:p w14:paraId="0570C3E9" w14:textId="2807A121"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BBC Business (2025) </w:t>
      </w:r>
      <w:r w:rsidR="00B736D8" w:rsidRPr="006E33C3">
        <w:rPr>
          <w:rFonts w:ascii="Arial" w:hAnsi="Arial" w:cs="Arial"/>
          <w:i/>
          <w:iCs/>
        </w:rPr>
        <w:t>Gym shark</w:t>
      </w:r>
      <w:r w:rsidRPr="00AF4E43">
        <w:rPr>
          <w:rFonts w:ascii="Arial" w:hAnsi="Arial" w:cs="Arial"/>
          <w:i/>
          <w:iCs/>
        </w:rPr>
        <w:t xml:space="preserve"> Expands Retail Presence in UK and US.</w:t>
      </w:r>
    </w:p>
    <w:p w14:paraId="521874E5"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CIPD (2023) </w:t>
      </w:r>
      <w:r w:rsidRPr="00AF4E43">
        <w:rPr>
          <w:rFonts w:ascii="Arial" w:hAnsi="Arial" w:cs="Arial"/>
          <w:i/>
          <w:iCs/>
        </w:rPr>
        <w:t>Digital Wellbeing and Employee Experience.</w:t>
      </w:r>
      <w:r w:rsidRPr="00AF4E43">
        <w:rPr>
          <w:rFonts w:ascii="Arial" w:hAnsi="Arial" w:cs="Arial"/>
        </w:rPr>
        <w:t xml:space="preserve"> Chartered Institute of Personnel and Development.</w:t>
      </w:r>
    </w:p>
    <w:p w14:paraId="0F495853"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CIPD (2024) </w:t>
      </w:r>
      <w:r w:rsidRPr="00AF4E43">
        <w:rPr>
          <w:rFonts w:ascii="Arial" w:hAnsi="Arial" w:cs="Arial"/>
          <w:i/>
          <w:iCs/>
        </w:rPr>
        <w:t>Employee Relations and Flexible Working.</w:t>
      </w:r>
      <w:r w:rsidRPr="00AF4E43">
        <w:rPr>
          <w:rFonts w:ascii="Arial" w:hAnsi="Arial" w:cs="Arial"/>
        </w:rPr>
        <w:t xml:space="preserve"> Chartered Institute of Personnel and Development.</w:t>
      </w:r>
    </w:p>
    <w:p w14:paraId="0BCE278C"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Kelliher, C. &amp; Anderson, D. (2010) “Doing More with Less? Flexible Working Practices and the Intensification of Work.” </w:t>
      </w:r>
      <w:r w:rsidRPr="00AF4E43">
        <w:rPr>
          <w:rFonts w:ascii="Arial" w:hAnsi="Arial" w:cs="Arial"/>
          <w:i/>
          <w:iCs/>
        </w:rPr>
        <w:t>Human Relations</w:t>
      </w:r>
      <w:r w:rsidRPr="00AF4E43">
        <w:rPr>
          <w:rFonts w:ascii="Arial" w:hAnsi="Arial" w:cs="Arial"/>
        </w:rPr>
        <w:t>, 63(1), pp. 83–106.</w:t>
      </w:r>
    </w:p>
    <w:p w14:paraId="7ECFCC98"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Kotter, J.P. (1995) </w:t>
      </w:r>
      <w:r w:rsidRPr="00AF4E43">
        <w:rPr>
          <w:rFonts w:ascii="Arial" w:hAnsi="Arial" w:cs="Arial"/>
          <w:i/>
          <w:iCs/>
        </w:rPr>
        <w:t>Leading Change: Why Transformation Efforts Fail.</w:t>
      </w:r>
      <w:r w:rsidRPr="00AF4E43">
        <w:rPr>
          <w:rFonts w:ascii="Arial" w:hAnsi="Arial" w:cs="Arial"/>
        </w:rPr>
        <w:t xml:space="preserve"> </w:t>
      </w:r>
      <w:r w:rsidRPr="00AF4E43">
        <w:rPr>
          <w:rFonts w:ascii="Arial" w:hAnsi="Arial" w:cs="Arial"/>
          <w:i/>
          <w:iCs/>
        </w:rPr>
        <w:t>Harvard Business Review.</w:t>
      </w:r>
    </w:p>
    <w:p w14:paraId="04E8DFE7"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PwC (2023) </w:t>
      </w:r>
      <w:r w:rsidRPr="00AF4E43">
        <w:rPr>
          <w:rFonts w:ascii="Arial" w:hAnsi="Arial" w:cs="Arial"/>
          <w:i/>
          <w:iCs/>
        </w:rPr>
        <w:t>Future of Work and Digital Transformation.</w:t>
      </w:r>
      <w:r w:rsidRPr="00AF4E43">
        <w:rPr>
          <w:rFonts w:ascii="Arial" w:hAnsi="Arial" w:cs="Arial"/>
        </w:rPr>
        <w:t xml:space="preserve"> PwC Global Insights.</w:t>
      </w:r>
    </w:p>
    <w:p w14:paraId="74E25DFB"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Rees, G. &amp; Smith, P. (2021) </w:t>
      </w:r>
      <w:r w:rsidRPr="00AF4E43">
        <w:rPr>
          <w:rFonts w:ascii="Arial" w:hAnsi="Arial" w:cs="Arial"/>
          <w:i/>
          <w:iCs/>
        </w:rPr>
        <w:t>Strategic Human Resource Management.</w:t>
      </w:r>
      <w:r w:rsidRPr="00AF4E43">
        <w:rPr>
          <w:rFonts w:ascii="Arial" w:hAnsi="Arial" w:cs="Arial"/>
        </w:rPr>
        <w:t xml:space="preserve"> Sage.</w:t>
      </w:r>
    </w:p>
    <w:p w14:paraId="2B3C67D0"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SHRM (2023) </w:t>
      </w:r>
      <w:r w:rsidRPr="00AF4E43">
        <w:rPr>
          <w:rFonts w:ascii="Arial" w:hAnsi="Arial" w:cs="Arial"/>
          <w:i/>
          <w:iCs/>
        </w:rPr>
        <w:t>AI, Automation, and the Future of HR.</w:t>
      </w:r>
      <w:r w:rsidRPr="00AF4E43">
        <w:rPr>
          <w:rFonts w:ascii="Arial" w:hAnsi="Arial" w:cs="Arial"/>
        </w:rPr>
        <w:t xml:space="preserve"> Society for Human Resource Management.</w:t>
      </w:r>
    </w:p>
    <w:p w14:paraId="47675354" w14:textId="77777777" w:rsidR="00AF4E43" w:rsidRPr="00AF4E43" w:rsidRDefault="00AF4E43" w:rsidP="006E33C3">
      <w:pPr>
        <w:numPr>
          <w:ilvl w:val="0"/>
          <w:numId w:val="11"/>
        </w:numPr>
        <w:spacing w:line="360" w:lineRule="auto"/>
        <w:rPr>
          <w:rFonts w:ascii="Arial" w:hAnsi="Arial" w:cs="Arial"/>
        </w:rPr>
      </w:pPr>
      <w:r w:rsidRPr="00AF4E43">
        <w:rPr>
          <w:rFonts w:ascii="Arial" w:hAnsi="Arial" w:cs="Arial"/>
        </w:rPr>
        <w:t xml:space="preserve">Ulrich, D. (1997) </w:t>
      </w:r>
      <w:r w:rsidRPr="00AF4E43">
        <w:rPr>
          <w:rFonts w:ascii="Arial" w:hAnsi="Arial" w:cs="Arial"/>
          <w:i/>
          <w:iCs/>
        </w:rPr>
        <w:t>Human Resource Champions.</w:t>
      </w:r>
      <w:r w:rsidRPr="00AF4E43">
        <w:rPr>
          <w:rFonts w:ascii="Arial" w:hAnsi="Arial" w:cs="Arial"/>
        </w:rPr>
        <w:t xml:space="preserve"> Harvard Business School Press.</w:t>
      </w:r>
    </w:p>
    <w:p w14:paraId="61F4A344" w14:textId="47BD2FF3" w:rsidR="00AF4E43" w:rsidRPr="00AF4E43" w:rsidRDefault="00AF4E43" w:rsidP="00AF4E43"/>
    <w:p w14:paraId="2A254300" w14:textId="77777777" w:rsidR="00851D3E" w:rsidRDefault="00851D3E"/>
    <w:sectPr w:rsidR="00851D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D28E6"/>
    <w:multiLevelType w:val="multilevel"/>
    <w:tmpl w:val="67603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F493A"/>
    <w:multiLevelType w:val="multilevel"/>
    <w:tmpl w:val="DB54C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DA5772"/>
    <w:multiLevelType w:val="multilevel"/>
    <w:tmpl w:val="E63A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B5A1D"/>
    <w:multiLevelType w:val="multilevel"/>
    <w:tmpl w:val="AFDC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BC17CB"/>
    <w:multiLevelType w:val="multilevel"/>
    <w:tmpl w:val="10365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9A4374"/>
    <w:multiLevelType w:val="multilevel"/>
    <w:tmpl w:val="E80E1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DE04C9"/>
    <w:multiLevelType w:val="multilevel"/>
    <w:tmpl w:val="7CE26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A37670"/>
    <w:multiLevelType w:val="multilevel"/>
    <w:tmpl w:val="15E65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C25500"/>
    <w:multiLevelType w:val="multilevel"/>
    <w:tmpl w:val="3F260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216CCA"/>
    <w:multiLevelType w:val="multilevel"/>
    <w:tmpl w:val="A028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D03A27"/>
    <w:multiLevelType w:val="multilevel"/>
    <w:tmpl w:val="47BA2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C63D3C"/>
    <w:multiLevelType w:val="multilevel"/>
    <w:tmpl w:val="E5F0A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3763BE"/>
    <w:multiLevelType w:val="multilevel"/>
    <w:tmpl w:val="572A7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904672">
    <w:abstractNumId w:val="0"/>
  </w:num>
  <w:num w:numId="2" w16cid:durableId="1841311094">
    <w:abstractNumId w:val="2"/>
  </w:num>
  <w:num w:numId="3" w16cid:durableId="229390421">
    <w:abstractNumId w:val="6"/>
  </w:num>
  <w:num w:numId="4" w16cid:durableId="348870155">
    <w:abstractNumId w:val="8"/>
  </w:num>
  <w:num w:numId="5" w16cid:durableId="1340809758">
    <w:abstractNumId w:val="5"/>
  </w:num>
  <w:num w:numId="6" w16cid:durableId="1309168060">
    <w:abstractNumId w:val="1"/>
  </w:num>
  <w:num w:numId="7" w16cid:durableId="1487745754">
    <w:abstractNumId w:val="7"/>
  </w:num>
  <w:num w:numId="8" w16cid:durableId="1761288481">
    <w:abstractNumId w:val="4"/>
  </w:num>
  <w:num w:numId="9" w16cid:durableId="1754860230">
    <w:abstractNumId w:val="3"/>
  </w:num>
  <w:num w:numId="10" w16cid:durableId="1277445641">
    <w:abstractNumId w:val="10"/>
  </w:num>
  <w:num w:numId="11" w16cid:durableId="850728390">
    <w:abstractNumId w:val="11"/>
  </w:num>
  <w:num w:numId="12" w16cid:durableId="121770581">
    <w:abstractNumId w:val="12"/>
  </w:num>
  <w:num w:numId="13" w16cid:durableId="1628188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E43"/>
    <w:rsid w:val="00006962"/>
    <w:rsid w:val="00017DA3"/>
    <w:rsid w:val="00092FFB"/>
    <w:rsid w:val="000A089F"/>
    <w:rsid w:val="000B2E32"/>
    <w:rsid w:val="000F187E"/>
    <w:rsid w:val="0010236D"/>
    <w:rsid w:val="00104C3D"/>
    <w:rsid w:val="001339CF"/>
    <w:rsid w:val="00156F0A"/>
    <w:rsid w:val="001A5790"/>
    <w:rsid w:val="001E7CF6"/>
    <w:rsid w:val="00213D22"/>
    <w:rsid w:val="00296923"/>
    <w:rsid w:val="00314AA8"/>
    <w:rsid w:val="003203E5"/>
    <w:rsid w:val="003364E6"/>
    <w:rsid w:val="00371893"/>
    <w:rsid w:val="00390C0C"/>
    <w:rsid w:val="00392CDA"/>
    <w:rsid w:val="003B2A05"/>
    <w:rsid w:val="003B782C"/>
    <w:rsid w:val="00413468"/>
    <w:rsid w:val="00491B12"/>
    <w:rsid w:val="004B59C6"/>
    <w:rsid w:val="004F5CCB"/>
    <w:rsid w:val="00514F82"/>
    <w:rsid w:val="005605D7"/>
    <w:rsid w:val="005820D8"/>
    <w:rsid w:val="005A56FF"/>
    <w:rsid w:val="005C3470"/>
    <w:rsid w:val="005E166F"/>
    <w:rsid w:val="005E5782"/>
    <w:rsid w:val="006127DA"/>
    <w:rsid w:val="00622E11"/>
    <w:rsid w:val="00636FC0"/>
    <w:rsid w:val="00647ABD"/>
    <w:rsid w:val="006E33C3"/>
    <w:rsid w:val="00710C59"/>
    <w:rsid w:val="00741A6F"/>
    <w:rsid w:val="00745D69"/>
    <w:rsid w:val="00781871"/>
    <w:rsid w:val="007833D9"/>
    <w:rsid w:val="007851A3"/>
    <w:rsid w:val="007B3BB8"/>
    <w:rsid w:val="007D2E41"/>
    <w:rsid w:val="007D42A4"/>
    <w:rsid w:val="007D7D7F"/>
    <w:rsid w:val="007E42F3"/>
    <w:rsid w:val="008253F5"/>
    <w:rsid w:val="00851D3E"/>
    <w:rsid w:val="00857D68"/>
    <w:rsid w:val="00862257"/>
    <w:rsid w:val="008754D3"/>
    <w:rsid w:val="00892376"/>
    <w:rsid w:val="008946A3"/>
    <w:rsid w:val="008A6678"/>
    <w:rsid w:val="00910D2E"/>
    <w:rsid w:val="00925D7E"/>
    <w:rsid w:val="009277FB"/>
    <w:rsid w:val="00955654"/>
    <w:rsid w:val="009641D3"/>
    <w:rsid w:val="00981C79"/>
    <w:rsid w:val="009860B2"/>
    <w:rsid w:val="00A81FB0"/>
    <w:rsid w:val="00AB40CC"/>
    <w:rsid w:val="00AB50CF"/>
    <w:rsid w:val="00AC655D"/>
    <w:rsid w:val="00AF4E43"/>
    <w:rsid w:val="00B05140"/>
    <w:rsid w:val="00B24327"/>
    <w:rsid w:val="00B43110"/>
    <w:rsid w:val="00B678D7"/>
    <w:rsid w:val="00B736D8"/>
    <w:rsid w:val="00BE0330"/>
    <w:rsid w:val="00C0676E"/>
    <w:rsid w:val="00C106FB"/>
    <w:rsid w:val="00C13FF0"/>
    <w:rsid w:val="00C33AD5"/>
    <w:rsid w:val="00C352CB"/>
    <w:rsid w:val="00CB401E"/>
    <w:rsid w:val="00D432F6"/>
    <w:rsid w:val="00D71B80"/>
    <w:rsid w:val="00D80F2F"/>
    <w:rsid w:val="00DB54A0"/>
    <w:rsid w:val="00DB66A2"/>
    <w:rsid w:val="00DF64E6"/>
    <w:rsid w:val="00E5330A"/>
    <w:rsid w:val="00E650B3"/>
    <w:rsid w:val="00E65586"/>
    <w:rsid w:val="00E75B27"/>
    <w:rsid w:val="00E95BAD"/>
    <w:rsid w:val="00FC7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5E778"/>
  <w15:chartTrackingRefBased/>
  <w15:docId w15:val="{97EEECBF-FE3A-424E-AA80-24877F368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4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E43"/>
    <w:rPr>
      <w:rFonts w:eastAsiaTheme="majorEastAsia" w:cstheme="majorBidi"/>
      <w:color w:val="272727" w:themeColor="text1" w:themeTint="D8"/>
    </w:rPr>
  </w:style>
  <w:style w:type="paragraph" w:styleId="Title">
    <w:name w:val="Title"/>
    <w:basedOn w:val="Normal"/>
    <w:next w:val="Normal"/>
    <w:link w:val="TitleChar"/>
    <w:uiPriority w:val="10"/>
    <w:qFormat/>
    <w:rsid w:val="00AF4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E43"/>
    <w:pPr>
      <w:spacing w:before="160"/>
      <w:jc w:val="center"/>
    </w:pPr>
    <w:rPr>
      <w:i/>
      <w:iCs/>
      <w:color w:val="404040" w:themeColor="text1" w:themeTint="BF"/>
    </w:rPr>
  </w:style>
  <w:style w:type="character" w:customStyle="1" w:styleId="QuoteChar">
    <w:name w:val="Quote Char"/>
    <w:basedOn w:val="DefaultParagraphFont"/>
    <w:link w:val="Quote"/>
    <w:uiPriority w:val="29"/>
    <w:rsid w:val="00AF4E43"/>
    <w:rPr>
      <w:i/>
      <w:iCs/>
      <w:color w:val="404040" w:themeColor="text1" w:themeTint="BF"/>
    </w:rPr>
  </w:style>
  <w:style w:type="paragraph" w:styleId="ListParagraph">
    <w:name w:val="List Paragraph"/>
    <w:basedOn w:val="Normal"/>
    <w:uiPriority w:val="34"/>
    <w:qFormat/>
    <w:rsid w:val="00AF4E43"/>
    <w:pPr>
      <w:ind w:left="720"/>
      <w:contextualSpacing/>
    </w:pPr>
  </w:style>
  <w:style w:type="character" w:styleId="IntenseEmphasis">
    <w:name w:val="Intense Emphasis"/>
    <w:basedOn w:val="DefaultParagraphFont"/>
    <w:uiPriority w:val="21"/>
    <w:qFormat/>
    <w:rsid w:val="00AF4E43"/>
    <w:rPr>
      <w:i/>
      <w:iCs/>
      <w:color w:val="0F4761" w:themeColor="accent1" w:themeShade="BF"/>
    </w:rPr>
  </w:style>
  <w:style w:type="paragraph" w:styleId="IntenseQuote">
    <w:name w:val="Intense Quote"/>
    <w:basedOn w:val="Normal"/>
    <w:next w:val="Normal"/>
    <w:link w:val="IntenseQuoteChar"/>
    <w:uiPriority w:val="30"/>
    <w:qFormat/>
    <w:rsid w:val="00AF4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E43"/>
    <w:rPr>
      <w:i/>
      <w:iCs/>
      <w:color w:val="0F4761" w:themeColor="accent1" w:themeShade="BF"/>
    </w:rPr>
  </w:style>
  <w:style w:type="character" w:styleId="IntenseReference">
    <w:name w:val="Intense Reference"/>
    <w:basedOn w:val="DefaultParagraphFont"/>
    <w:uiPriority w:val="32"/>
    <w:qFormat/>
    <w:rsid w:val="00AF4E43"/>
    <w:rPr>
      <w:b/>
      <w:bCs/>
      <w:smallCaps/>
      <w:color w:val="0F4761" w:themeColor="accent1" w:themeShade="BF"/>
      <w:spacing w:val="5"/>
    </w:rPr>
  </w:style>
  <w:style w:type="paragraph" w:styleId="NormalWeb">
    <w:name w:val="Normal (Web)"/>
    <w:basedOn w:val="Normal"/>
    <w:uiPriority w:val="99"/>
    <w:semiHidden/>
    <w:unhideWhenUsed/>
    <w:rsid w:val="00C33AD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2495</Words>
  <Characters>14227</Characters>
  <Application>Microsoft Office Word</Application>
  <DocSecurity>0</DocSecurity>
  <Lines>118</Lines>
  <Paragraphs>33</Paragraphs>
  <ScaleCrop>false</ScaleCrop>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Caruntu</dc:creator>
  <cp:keywords/>
  <dc:description/>
  <cp:lastModifiedBy>Raluca Caruntu</cp:lastModifiedBy>
  <cp:revision>88</cp:revision>
  <dcterms:created xsi:type="dcterms:W3CDTF">2025-11-04T10:26:00Z</dcterms:created>
  <dcterms:modified xsi:type="dcterms:W3CDTF">2025-11-17T12:00:00Z</dcterms:modified>
</cp:coreProperties>
</file>