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74DE6" w14:textId="77777777" w:rsidR="00E156CD" w:rsidRDefault="00531AF7">
      <w:pPr>
        <w:rPr>
          <w:b/>
          <w:i/>
          <w:sz w:val="28"/>
          <w:u w:val="single"/>
        </w:rPr>
      </w:pPr>
      <w:bookmarkStart w:id="0" w:name="_GoBack"/>
      <w:bookmarkEnd w:id="0"/>
      <w:r w:rsidRPr="00531AF7">
        <w:rPr>
          <w:b/>
          <w:i/>
          <w:sz w:val="28"/>
          <w:u w:val="single"/>
        </w:rPr>
        <w:t>Paraphrasing activity</w:t>
      </w:r>
      <w:r>
        <w:rPr>
          <w:b/>
          <w:i/>
          <w:sz w:val="28"/>
          <w:u w:val="single"/>
        </w:rPr>
        <w:t>:</w:t>
      </w:r>
    </w:p>
    <w:p w14:paraId="39345E1A" w14:textId="2EB0C42B" w:rsidR="00531AF7" w:rsidRDefault="00666F15">
      <w:pPr>
        <w:rPr>
          <w:b/>
          <w:i/>
          <w:sz w:val="28"/>
          <w:u w:val="single"/>
        </w:rPr>
      </w:pPr>
      <w:r>
        <w:rPr>
          <w:b/>
          <w:i/>
          <w:sz w:val="28"/>
          <w:u w:val="single"/>
        </w:rPr>
        <w:t>Brooklyn:</w:t>
      </w:r>
    </w:p>
    <w:p w14:paraId="290AD45A" w14:textId="77777777" w:rsidR="00531AF7" w:rsidRPr="00917716" w:rsidRDefault="7A5BC91A">
      <w:pPr>
        <w:rPr>
          <w:b/>
          <w:sz w:val="24"/>
          <w:u w:val="single"/>
        </w:rPr>
      </w:pPr>
      <w:r w:rsidRPr="00917716">
        <w:rPr>
          <w:b/>
          <w:bCs/>
          <w:sz w:val="24"/>
          <w:szCs w:val="24"/>
          <w:u w:val="single"/>
        </w:rPr>
        <w:t>Leadership</w:t>
      </w:r>
    </w:p>
    <w:p w14:paraId="30B161C9" w14:textId="77777777" w:rsidR="0074569C" w:rsidRDefault="0074569C" w:rsidP="0074569C">
      <w:pPr>
        <w:pStyle w:val="paragraph"/>
        <w:spacing w:before="0" w:beforeAutospacing="0" w:after="0" w:afterAutospacing="0"/>
        <w:textAlignment w:val="baseline"/>
        <w:rPr>
          <w:rFonts w:ascii="&amp;quot" w:hAnsi="&amp;quot"/>
          <w:sz w:val="18"/>
          <w:szCs w:val="18"/>
        </w:rPr>
      </w:pPr>
      <w:r>
        <w:rPr>
          <w:rStyle w:val="normaltextrun"/>
          <w:rFonts w:ascii="Calibri" w:hAnsi="Calibri" w:cs="Calibri"/>
          <w:shd w:val="clear" w:color="auto" w:fill="FFFF00"/>
        </w:rPr>
        <w:t>Traditionally, leadership is defined by the alleged opposite: management (</w:t>
      </w:r>
      <w:proofErr w:type="spellStart"/>
      <w:r>
        <w:rPr>
          <w:rStyle w:val="normaltextrun"/>
          <w:rFonts w:ascii="Calibri" w:hAnsi="Calibri" w:cs="Calibri"/>
          <w:shd w:val="clear" w:color="auto" w:fill="FFFF00"/>
        </w:rPr>
        <w:t>Grint</w:t>
      </w:r>
      <w:proofErr w:type="spellEnd"/>
      <w:r>
        <w:rPr>
          <w:rStyle w:val="normaltextrun"/>
          <w:rFonts w:ascii="Calibri" w:hAnsi="Calibri" w:cs="Calibri"/>
          <w:shd w:val="clear" w:color="auto" w:fill="FFFF00"/>
        </w:rPr>
        <w:t>, Jones, Holt, Storey, 2016, p. 3)</w:t>
      </w:r>
      <w:r>
        <w:rPr>
          <w:rStyle w:val="normaltextrun"/>
          <w:rFonts w:ascii="Calibri" w:hAnsi="Calibri" w:cs="Calibri"/>
        </w:rPr>
        <w:t xml:space="preserve"> </w:t>
      </w:r>
      <w:r>
        <w:rPr>
          <w:rStyle w:val="eop"/>
          <w:rFonts w:ascii="Calibri" w:hAnsi="Calibri" w:cs="Calibri"/>
        </w:rPr>
        <w:t> </w:t>
      </w:r>
    </w:p>
    <w:p w14:paraId="200116FE" w14:textId="77777777" w:rsidR="0074569C" w:rsidRDefault="0074569C" w:rsidP="0074569C">
      <w:pPr>
        <w:pStyle w:val="paragraph"/>
        <w:spacing w:before="0" w:beforeAutospacing="0" w:after="0" w:afterAutospacing="0"/>
        <w:textAlignment w:val="baseline"/>
        <w:rPr>
          <w:rFonts w:ascii="&amp;quot" w:hAnsi="&amp;quot"/>
          <w:sz w:val="18"/>
          <w:szCs w:val="18"/>
        </w:rPr>
      </w:pPr>
      <w:r>
        <w:rPr>
          <w:rStyle w:val="normaltextrun"/>
          <w:rFonts w:ascii="Calibri" w:hAnsi="Calibri" w:cs="Calibri"/>
          <w:shd w:val="clear" w:color="auto" w:fill="FFFF00"/>
        </w:rPr>
        <w:t>Leadership is concerned with direction setting, with novelty and is essentially linked to change, movement and persuasion. (</w:t>
      </w:r>
      <w:proofErr w:type="spellStart"/>
      <w:r>
        <w:rPr>
          <w:rStyle w:val="normaltextrun"/>
          <w:rFonts w:ascii="Calibri" w:hAnsi="Calibri" w:cs="Calibri"/>
          <w:shd w:val="clear" w:color="auto" w:fill="FFFF00"/>
        </w:rPr>
        <w:t>Grint</w:t>
      </w:r>
      <w:proofErr w:type="spellEnd"/>
      <w:r>
        <w:rPr>
          <w:rStyle w:val="normaltextrun"/>
          <w:rFonts w:ascii="Calibri" w:hAnsi="Calibri" w:cs="Calibri"/>
          <w:shd w:val="clear" w:color="auto" w:fill="FFFF00"/>
        </w:rPr>
        <w:t>, Jones, Holt, Storey, 2016, p. 3)</w:t>
      </w:r>
      <w:r>
        <w:rPr>
          <w:rStyle w:val="eop"/>
          <w:rFonts w:ascii="Calibri" w:hAnsi="Calibri" w:cs="Calibri"/>
        </w:rPr>
        <w:t> </w:t>
      </w:r>
    </w:p>
    <w:p w14:paraId="64DBBFE0" w14:textId="77777777" w:rsidR="0074569C" w:rsidRDefault="0074569C" w:rsidP="0074569C">
      <w:pPr>
        <w:pStyle w:val="paragraph"/>
        <w:spacing w:before="0" w:beforeAutospacing="0" w:after="0" w:afterAutospacing="0"/>
        <w:textAlignment w:val="baseline"/>
        <w:rPr>
          <w:rFonts w:ascii="&amp;quot" w:hAnsi="&amp;quot"/>
          <w:sz w:val="18"/>
          <w:szCs w:val="18"/>
        </w:rPr>
      </w:pPr>
      <w:r>
        <w:rPr>
          <w:rStyle w:val="eop"/>
          <w:rFonts w:ascii="Calibri" w:hAnsi="Calibri" w:cs="Calibri"/>
        </w:rPr>
        <w:t> </w:t>
      </w:r>
    </w:p>
    <w:p w14:paraId="75E2835C" w14:textId="48E29AA4" w:rsidR="0074569C" w:rsidRDefault="0074569C" w:rsidP="0074569C">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Leadership </w:t>
      </w:r>
      <w:r>
        <w:rPr>
          <w:rStyle w:val="eop"/>
          <w:rFonts w:ascii="Calibri" w:hAnsi="Calibri" w:cs="Calibri"/>
        </w:rPr>
        <w:t>is a role model in a team who makes decisions under pressure based on trying to make the team succeed. This involves trying to convince and persuade their team mates that the decisions they are making are correct and the right way forward.</w:t>
      </w:r>
    </w:p>
    <w:p w14:paraId="722F03EC" w14:textId="77777777" w:rsidR="0074569C" w:rsidRDefault="0074569C" w:rsidP="0074569C">
      <w:pPr>
        <w:pStyle w:val="paragraph"/>
        <w:spacing w:before="0" w:beforeAutospacing="0" w:after="0" w:afterAutospacing="0"/>
        <w:textAlignment w:val="baseline"/>
        <w:rPr>
          <w:rStyle w:val="eop"/>
          <w:rFonts w:ascii="Calibri" w:hAnsi="Calibri" w:cs="Calibri"/>
        </w:rPr>
      </w:pPr>
    </w:p>
    <w:p w14:paraId="5D5CD7A7" w14:textId="0F39F72E" w:rsidR="0074569C" w:rsidRDefault="0074569C" w:rsidP="0074569C">
      <w:pPr>
        <w:pStyle w:val="paragraph"/>
        <w:spacing w:before="0" w:beforeAutospacing="0" w:after="0" w:afterAutospacing="0"/>
        <w:textAlignment w:val="baseline"/>
        <w:rPr>
          <w:rFonts w:asciiTheme="minorHAnsi" w:hAnsiTheme="minorHAnsi" w:cstheme="minorHAnsi"/>
          <w:color w:val="000000"/>
          <w:szCs w:val="20"/>
          <w:shd w:val="clear" w:color="auto" w:fill="FFFFFF"/>
        </w:rPr>
      </w:pPr>
      <w:proofErr w:type="spellStart"/>
      <w:r>
        <w:rPr>
          <w:rStyle w:val="eop"/>
          <w:rFonts w:ascii="Calibri" w:hAnsi="Calibri" w:cs="Calibri"/>
        </w:rPr>
        <w:t>Grint</w:t>
      </w:r>
      <w:proofErr w:type="spellEnd"/>
      <w:r>
        <w:rPr>
          <w:rStyle w:val="eop"/>
          <w:rFonts w:ascii="Calibri" w:hAnsi="Calibri" w:cs="Calibri"/>
        </w:rPr>
        <w:t xml:space="preserve">, K. Jones, OS. Holt, C and Storey J. (2016), The Routledge </w:t>
      </w:r>
      <w:r w:rsidR="00917716">
        <w:rPr>
          <w:rStyle w:val="eop"/>
          <w:rFonts w:ascii="Calibri" w:hAnsi="Calibri" w:cs="Calibri"/>
        </w:rPr>
        <w:t>Companion to Leadership, (1</w:t>
      </w:r>
      <w:r w:rsidR="00917716" w:rsidRPr="00917716">
        <w:rPr>
          <w:rStyle w:val="eop"/>
          <w:rFonts w:ascii="Calibri" w:hAnsi="Calibri" w:cs="Calibri"/>
          <w:vertAlign w:val="superscript"/>
        </w:rPr>
        <w:t>st</w:t>
      </w:r>
      <w:r w:rsidR="00917716">
        <w:rPr>
          <w:rStyle w:val="eop"/>
          <w:rFonts w:ascii="Calibri" w:hAnsi="Calibri" w:cs="Calibri"/>
        </w:rPr>
        <w:t xml:space="preserve"> Ed), </w:t>
      </w:r>
      <w:r w:rsidR="00917716" w:rsidRPr="00917716">
        <w:rPr>
          <w:rFonts w:asciiTheme="minorHAnsi" w:hAnsiTheme="minorHAnsi" w:cstheme="minorHAnsi"/>
          <w:color w:val="000000"/>
          <w:szCs w:val="20"/>
          <w:shd w:val="clear" w:color="auto" w:fill="FFFFFF"/>
        </w:rPr>
        <w:t>Taylor &amp; Francis, 2016</w:t>
      </w:r>
      <w:r w:rsidR="00917716">
        <w:rPr>
          <w:rFonts w:asciiTheme="minorHAnsi" w:hAnsiTheme="minorHAnsi" w:cstheme="minorHAnsi"/>
          <w:color w:val="000000"/>
          <w:szCs w:val="20"/>
          <w:shd w:val="clear" w:color="auto" w:fill="FFFFFF"/>
        </w:rPr>
        <w:t>.</w:t>
      </w:r>
    </w:p>
    <w:p w14:paraId="3DCC4985" w14:textId="612D5ACA" w:rsidR="00917716" w:rsidRDefault="00917716" w:rsidP="0074569C">
      <w:pPr>
        <w:pStyle w:val="paragraph"/>
        <w:spacing w:before="0" w:beforeAutospacing="0" w:after="0" w:afterAutospacing="0"/>
        <w:textAlignment w:val="baseline"/>
        <w:rPr>
          <w:rFonts w:ascii="&amp;quot" w:hAnsi="&amp;quot"/>
          <w:sz w:val="18"/>
          <w:szCs w:val="18"/>
        </w:rPr>
      </w:pPr>
    </w:p>
    <w:p w14:paraId="2400F1AB" w14:textId="218D4C8F" w:rsidR="00917716" w:rsidRPr="00F67083" w:rsidRDefault="00917716" w:rsidP="0074569C">
      <w:pPr>
        <w:pStyle w:val="paragraph"/>
        <w:spacing w:before="0" w:beforeAutospacing="0" w:after="0" w:afterAutospacing="0"/>
        <w:textAlignment w:val="baseline"/>
        <w:rPr>
          <w:rFonts w:asciiTheme="minorHAnsi" w:hAnsiTheme="minorHAnsi" w:cstheme="minorHAnsi"/>
          <w:szCs w:val="18"/>
        </w:rPr>
      </w:pPr>
      <w:r w:rsidRPr="00F67083">
        <w:rPr>
          <w:rFonts w:asciiTheme="minorHAnsi" w:hAnsiTheme="minorHAnsi" w:cstheme="minorHAnsi"/>
          <w:szCs w:val="18"/>
        </w:rPr>
        <w:t>(Can’t find place of publication)</w:t>
      </w:r>
    </w:p>
    <w:p w14:paraId="1A6C1DE1" w14:textId="77777777" w:rsidR="00531AF7" w:rsidRPr="00531AF7" w:rsidRDefault="00531AF7">
      <w:pPr>
        <w:rPr>
          <w:b/>
          <w:sz w:val="24"/>
        </w:rPr>
      </w:pPr>
    </w:p>
    <w:p w14:paraId="131651CF" w14:textId="60B32117" w:rsidR="00F67083" w:rsidRDefault="00531AF7">
      <w:pPr>
        <w:rPr>
          <w:b/>
          <w:sz w:val="24"/>
          <w:u w:val="single"/>
        </w:rPr>
      </w:pPr>
      <w:r w:rsidRPr="00917716">
        <w:rPr>
          <w:b/>
          <w:sz w:val="24"/>
          <w:u w:val="single"/>
        </w:rPr>
        <w:t xml:space="preserve">Team working </w:t>
      </w:r>
    </w:p>
    <w:p w14:paraId="2EEFDA73" w14:textId="60FB1EB1" w:rsidR="00F67083" w:rsidRDefault="00F67083">
      <w:pPr>
        <w:rPr>
          <w:rFonts w:cstheme="minorHAnsi"/>
          <w:sz w:val="24"/>
          <w:szCs w:val="21"/>
          <w:highlight w:val="yellow"/>
          <w:shd w:val="clear" w:color="auto" w:fill="FFFFFF"/>
        </w:rPr>
      </w:pPr>
      <w:r w:rsidRPr="00F67083">
        <w:rPr>
          <w:sz w:val="24"/>
          <w:highlight w:val="yellow"/>
        </w:rPr>
        <w:t xml:space="preserve">Teamwork is the ability to work together toward a common vision; the ability to direct individual accomplishment toward organizational objectives. </w:t>
      </w:r>
      <w:r w:rsidRPr="00F67083">
        <w:rPr>
          <w:rFonts w:cstheme="minorHAnsi"/>
          <w:sz w:val="24"/>
          <w:szCs w:val="21"/>
          <w:highlight w:val="yellow"/>
          <w:shd w:val="clear" w:color="auto" w:fill="FFFFFF"/>
        </w:rPr>
        <w:t>(American Society of Safety Engineers, 1994)</w:t>
      </w:r>
    </w:p>
    <w:p w14:paraId="6498D7D6" w14:textId="185BE66D" w:rsidR="00F67083" w:rsidRDefault="00F67083">
      <w:pPr>
        <w:rPr>
          <w:rFonts w:cstheme="minorHAnsi"/>
          <w:sz w:val="24"/>
        </w:rPr>
      </w:pPr>
      <w:r>
        <w:rPr>
          <w:rFonts w:cstheme="minorHAnsi"/>
          <w:sz w:val="24"/>
        </w:rPr>
        <w:t xml:space="preserve">Team working is when you work with other people to succeed in reaching a common aim/objective. </w:t>
      </w:r>
    </w:p>
    <w:p w14:paraId="18A39248" w14:textId="77777777" w:rsidR="00102DE0" w:rsidRDefault="00102DE0">
      <w:pPr>
        <w:rPr>
          <w:rFonts w:cstheme="minorHAnsi"/>
          <w:sz w:val="24"/>
        </w:rPr>
      </w:pPr>
    </w:p>
    <w:p w14:paraId="1CD552E1" w14:textId="5021AC33" w:rsidR="00F67083" w:rsidRPr="00102DE0" w:rsidRDefault="00020BEC">
      <w:pPr>
        <w:rPr>
          <w:rFonts w:cstheme="minorHAnsi"/>
          <w:sz w:val="24"/>
          <w:szCs w:val="24"/>
        </w:rPr>
      </w:pPr>
      <w:hyperlink r:id="rId8" w:tooltip="Publication title" w:history="1">
        <w:r w:rsidR="00F67083" w:rsidRPr="00102DE0">
          <w:rPr>
            <w:rStyle w:val="Hyperlink"/>
            <w:rFonts w:cstheme="minorHAnsi"/>
            <w:color w:val="auto"/>
            <w:sz w:val="24"/>
            <w:szCs w:val="24"/>
            <w:u w:val="none"/>
          </w:rPr>
          <w:t>Professional Safety</w:t>
        </w:r>
      </w:hyperlink>
      <w:r w:rsidR="00F67083" w:rsidRPr="00102DE0">
        <w:rPr>
          <w:rFonts w:cstheme="minorHAnsi"/>
          <w:sz w:val="24"/>
          <w:szCs w:val="24"/>
          <w:shd w:val="clear" w:color="auto" w:fill="F6F6F6"/>
        </w:rPr>
        <w:t xml:space="preserve">; </w:t>
      </w:r>
      <w:r w:rsidR="00F67083" w:rsidRPr="00102DE0">
        <w:rPr>
          <w:rStyle w:val="subjectfield-postprocessinghook"/>
          <w:rFonts w:cstheme="minorHAnsi"/>
          <w:sz w:val="24"/>
          <w:szCs w:val="24"/>
        </w:rPr>
        <w:t>Des Plaines</w:t>
      </w:r>
      <w:r w:rsidR="00102DE0">
        <w:rPr>
          <w:rFonts w:cstheme="minorHAnsi"/>
          <w:sz w:val="24"/>
          <w:szCs w:val="24"/>
        </w:rPr>
        <w:t>, (1994), ‘</w:t>
      </w:r>
      <w:r w:rsidR="00102DE0" w:rsidRPr="00102DE0">
        <w:rPr>
          <w:rFonts w:cstheme="minorHAnsi"/>
          <w:sz w:val="24"/>
          <w:szCs w:val="21"/>
          <w:shd w:val="clear" w:color="auto" w:fill="FFFFFF"/>
        </w:rPr>
        <w:t>What is teamwork</w:t>
      </w:r>
      <w:r w:rsidR="00102DE0">
        <w:rPr>
          <w:rFonts w:cstheme="minorHAnsi"/>
          <w:sz w:val="24"/>
          <w:szCs w:val="21"/>
          <w:shd w:val="clear" w:color="auto" w:fill="FFFFFF"/>
        </w:rPr>
        <w:t>’, 39:1, pp. 44</w:t>
      </w:r>
    </w:p>
    <w:p w14:paraId="77CA407C" w14:textId="77777777" w:rsidR="00531AF7" w:rsidRPr="00531AF7" w:rsidRDefault="00531AF7">
      <w:pPr>
        <w:rPr>
          <w:b/>
          <w:sz w:val="24"/>
        </w:rPr>
      </w:pPr>
    </w:p>
    <w:p w14:paraId="2518C5AB" w14:textId="77777777" w:rsidR="00531AF7" w:rsidRPr="00102DE0" w:rsidRDefault="00531AF7">
      <w:pPr>
        <w:rPr>
          <w:b/>
          <w:sz w:val="24"/>
          <w:u w:val="single"/>
        </w:rPr>
      </w:pPr>
      <w:r w:rsidRPr="00102DE0">
        <w:rPr>
          <w:b/>
          <w:sz w:val="24"/>
          <w:u w:val="single"/>
        </w:rPr>
        <w:t>Primary Research</w:t>
      </w:r>
    </w:p>
    <w:p w14:paraId="4263E4E6" w14:textId="663C3601" w:rsidR="00531AF7" w:rsidRDefault="00102DE0">
      <w:pPr>
        <w:rPr>
          <w:rFonts w:cstheme="minorHAnsi"/>
          <w:sz w:val="24"/>
          <w:highlight w:val="yellow"/>
        </w:rPr>
      </w:pPr>
      <w:r w:rsidRPr="003E6F66">
        <w:rPr>
          <w:rFonts w:cstheme="minorHAnsi"/>
          <w:sz w:val="24"/>
          <w:highlight w:val="yellow"/>
        </w:rPr>
        <w:t>Primary research includes qualitative and quantitative research and can include surveys, focus groups, questionnaires, and interviews.</w:t>
      </w:r>
      <w:r w:rsidR="000E0D7A" w:rsidRPr="003E6F66">
        <w:rPr>
          <w:rFonts w:cstheme="minorHAnsi"/>
          <w:sz w:val="24"/>
          <w:highlight w:val="yellow"/>
        </w:rPr>
        <w:t xml:space="preserve"> </w:t>
      </w:r>
      <w:r w:rsidR="003E6F66" w:rsidRPr="003E6F66">
        <w:rPr>
          <w:rFonts w:cstheme="minorHAnsi"/>
          <w:sz w:val="24"/>
          <w:highlight w:val="yellow"/>
        </w:rPr>
        <w:t>(Doyle, (2011)</w:t>
      </w:r>
    </w:p>
    <w:p w14:paraId="2291EB18" w14:textId="28B51834" w:rsidR="003E6F66" w:rsidRDefault="003E6F66">
      <w:pPr>
        <w:rPr>
          <w:rFonts w:cstheme="minorHAnsi"/>
          <w:sz w:val="24"/>
        </w:rPr>
      </w:pPr>
      <w:r>
        <w:rPr>
          <w:rFonts w:cstheme="minorHAnsi"/>
          <w:sz w:val="24"/>
        </w:rPr>
        <w:t>Primary research is research collected straight from the person who has said something which can be done by doing an interview, instead of seeing it quoted in a newspaper.</w:t>
      </w:r>
    </w:p>
    <w:p w14:paraId="466E41FB" w14:textId="0EE611C7" w:rsidR="003E6F66" w:rsidRDefault="003E6F66">
      <w:pPr>
        <w:rPr>
          <w:rFonts w:cstheme="minorHAnsi"/>
          <w:sz w:val="24"/>
        </w:rPr>
      </w:pPr>
    </w:p>
    <w:p w14:paraId="41A896BF" w14:textId="4E6267EF" w:rsidR="003E6F66" w:rsidRDefault="003E6F66">
      <w:pPr>
        <w:rPr>
          <w:rFonts w:cstheme="minorHAnsi"/>
          <w:sz w:val="24"/>
          <w:szCs w:val="23"/>
          <w:shd w:val="clear" w:color="auto" w:fill="FFFFFF"/>
        </w:rPr>
      </w:pPr>
      <w:r w:rsidRPr="003E6F66">
        <w:rPr>
          <w:rFonts w:cstheme="minorHAnsi"/>
          <w:sz w:val="24"/>
          <w:szCs w:val="23"/>
          <w:shd w:val="clear" w:color="auto" w:fill="FFFFFF"/>
        </w:rPr>
        <w:t xml:space="preserve">Doyle, C. "Primary Research." </w:t>
      </w:r>
      <w:r w:rsidRPr="003E6F66">
        <w:rPr>
          <w:rFonts w:cstheme="minorHAnsi"/>
          <w:i/>
          <w:iCs/>
          <w:sz w:val="24"/>
          <w:szCs w:val="23"/>
        </w:rPr>
        <w:t>A Dictionary of Marketing</w:t>
      </w:r>
      <w:r w:rsidRPr="003E6F66">
        <w:rPr>
          <w:rFonts w:cstheme="minorHAnsi"/>
          <w:sz w:val="24"/>
          <w:szCs w:val="23"/>
          <w:shd w:val="clear" w:color="auto" w:fill="FFFFFF"/>
        </w:rPr>
        <w:t xml:space="preserve"> (2011): A Dictionary of Marketing. Web.</w:t>
      </w:r>
    </w:p>
    <w:p w14:paraId="303A0C26" w14:textId="3DF0DCDB" w:rsidR="00666F15" w:rsidRDefault="00666F15">
      <w:pPr>
        <w:rPr>
          <w:rFonts w:cstheme="minorHAnsi"/>
          <w:sz w:val="24"/>
          <w:szCs w:val="23"/>
          <w:shd w:val="clear" w:color="auto" w:fill="FFFFFF"/>
        </w:rPr>
      </w:pPr>
    </w:p>
    <w:p w14:paraId="5C55893C" w14:textId="587EAE2B" w:rsidR="00666F15" w:rsidRDefault="00666F15">
      <w:pPr>
        <w:rPr>
          <w:rFonts w:cstheme="minorHAnsi"/>
          <w:sz w:val="24"/>
          <w:szCs w:val="23"/>
          <w:shd w:val="clear" w:color="auto" w:fill="FFFFFF"/>
        </w:rPr>
      </w:pPr>
    </w:p>
    <w:p w14:paraId="0EEC8CA1" w14:textId="0E8471EA" w:rsidR="00666F15" w:rsidRDefault="00666F15">
      <w:pPr>
        <w:rPr>
          <w:rFonts w:cstheme="minorHAnsi"/>
          <w:b/>
          <w:i/>
          <w:sz w:val="28"/>
          <w:szCs w:val="23"/>
          <w:u w:val="single"/>
          <w:shd w:val="clear" w:color="auto" w:fill="FFFFFF"/>
        </w:rPr>
      </w:pPr>
      <w:r w:rsidRPr="00666F15">
        <w:rPr>
          <w:rFonts w:cstheme="minorHAnsi"/>
          <w:b/>
          <w:i/>
          <w:sz w:val="28"/>
          <w:szCs w:val="23"/>
          <w:u w:val="single"/>
          <w:shd w:val="clear" w:color="auto" w:fill="FFFFFF"/>
        </w:rPr>
        <w:lastRenderedPageBreak/>
        <w:t>Jacob:</w:t>
      </w:r>
    </w:p>
    <w:p w14:paraId="633EDDF3"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u w:val="single"/>
          <w:lang w:eastAsia="en-GB"/>
        </w:rPr>
        <w:t>Negotiation</w:t>
      </w:r>
      <w:r w:rsidRPr="00666F15">
        <w:rPr>
          <w:rFonts w:ascii="Calibri" w:eastAsia="Times New Roman" w:hAnsi="Calibri" w:cs="Calibri"/>
          <w:sz w:val="24"/>
          <w:szCs w:val="24"/>
          <w:lang w:eastAsia="en-GB"/>
        </w:rPr>
        <w:t> </w:t>
      </w:r>
    </w:p>
    <w:p w14:paraId="7DD599B4"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xml:space="preserve">A theory involving negotiation looked at the different approaches of negotiation. The theory looked at the linguistic approach in conversation to see where the negotiation of common ground appeared, when focusing on the cognitivist approach they wanted to focus on processing knowledge, with this process they wanted to see how it would impact </w:t>
      </w:r>
      <w:proofErr w:type="spellStart"/>
      <w:proofErr w:type="gramStart"/>
      <w:r w:rsidRPr="00666F15">
        <w:rPr>
          <w:rFonts w:ascii="Calibri" w:eastAsia="Times New Roman" w:hAnsi="Calibri" w:cs="Calibri"/>
          <w:sz w:val="24"/>
          <w:szCs w:val="24"/>
          <w:lang w:eastAsia="en-GB"/>
        </w:rPr>
        <w:t>a</w:t>
      </w:r>
      <w:proofErr w:type="spellEnd"/>
      <w:proofErr w:type="gramEnd"/>
      <w:r w:rsidRPr="00666F15">
        <w:rPr>
          <w:rFonts w:ascii="Calibri" w:eastAsia="Times New Roman" w:hAnsi="Calibri" w:cs="Calibri"/>
          <w:sz w:val="24"/>
          <w:szCs w:val="24"/>
          <w:lang w:eastAsia="en-GB"/>
        </w:rPr>
        <w:t xml:space="preserve"> individual’s outlook on this theory. </w:t>
      </w:r>
    </w:p>
    <w:p w14:paraId="06768ADA"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0CB9756F"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highlight w:val="red"/>
          <w:shd w:val="clear" w:color="auto" w:fill="FFFF00"/>
          <w:lang w:eastAsia="en-GB"/>
        </w:rPr>
        <w:t>It has been observed (Beers, 2007) that the Theory on negotiation of common ground originated in linguistics (</w:t>
      </w:r>
      <w:r w:rsidRPr="00666F15">
        <w:rPr>
          <w:rFonts w:ascii="Calibri" w:eastAsia="Times New Roman" w:hAnsi="Calibri" w:cs="Calibri"/>
          <w:color w:val="000000"/>
          <w:sz w:val="24"/>
          <w:szCs w:val="24"/>
          <w:highlight w:val="red"/>
          <w:u w:val="single"/>
          <w:shd w:val="clear" w:color="auto" w:fill="FFFF00"/>
          <w:lang w:eastAsia="en-GB"/>
        </w:rPr>
        <w:t>Clark and Brennan, 1991</w:t>
      </w:r>
      <w:r w:rsidRPr="00666F15">
        <w:rPr>
          <w:rFonts w:ascii="Calibri" w:eastAsia="Times New Roman" w:hAnsi="Calibri" w:cs="Calibri"/>
          <w:sz w:val="24"/>
          <w:szCs w:val="24"/>
          <w:highlight w:val="red"/>
          <w:shd w:val="clear" w:color="auto" w:fill="FFFF00"/>
          <w:lang w:eastAsia="en-GB"/>
        </w:rPr>
        <w:t xml:space="preserve">, </w:t>
      </w:r>
      <w:r w:rsidRPr="00666F15">
        <w:rPr>
          <w:rFonts w:ascii="Calibri" w:eastAsia="Times New Roman" w:hAnsi="Calibri" w:cs="Calibri"/>
          <w:color w:val="000000"/>
          <w:sz w:val="24"/>
          <w:szCs w:val="24"/>
          <w:highlight w:val="red"/>
          <w:u w:val="single"/>
          <w:shd w:val="clear" w:color="auto" w:fill="FFFF00"/>
          <w:lang w:eastAsia="en-GB"/>
        </w:rPr>
        <w:t>Clark and Schaefer, 1989</w:t>
      </w:r>
      <w:r w:rsidRPr="00666F15">
        <w:rPr>
          <w:rFonts w:ascii="Calibri" w:eastAsia="Times New Roman" w:hAnsi="Calibri" w:cs="Calibri"/>
          <w:sz w:val="24"/>
          <w:szCs w:val="24"/>
          <w:highlight w:val="red"/>
          <w:shd w:val="clear" w:color="auto" w:fill="FFFF00"/>
          <w:lang w:eastAsia="en-GB"/>
        </w:rPr>
        <w:t>) and cognitivism (</w:t>
      </w:r>
      <w:proofErr w:type="spellStart"/>
      <w:r w:rsidRPr="00666F15">
        <w:rPr>
          <w:rFonts w:ascii="Calibri" w:eastAsia="Times New Roman" w:hAnsi="Calibri" w:cs="Calibri"/>
          <w:color w:val="000000"/>
          <w:sz w:val="24"/>
          <w:szCs w:val="24"/>
          <w:highlight w:val="red"/>
          <w:u w:val="single"/>
          <w:shd w:val="clear" w:color="auto" w:fill="FFFF00"/>
          <w:lang w:eastAsia="en-GB"/>
        </w:rPr>
        <w:t>Bromme</w:t>
      </w:r>
      <w:proofErr w:type="spellEnd"/>
      <w:r w:rsidRPr="00666F15">
        <w:rPr>
          <w:rFonts w:ascii="Calibri" w:eastAsia="Times New Roman" w:hAnsi="Calibri" w:cs="Calibri"/>
          <w:color w:val="000000"/>
          <w:sz w:val="24"/>
          <w:szCs w:val="24"/>
          <w:highlight w:val="red"/>
          <w:u w:val="single"/>
          <w:shd w:val="clear" w:color="auto" w:fill="FFFF00"/>
          <w:lang w:eastAsia="en-GB"/>
        </w:rPr>
        <w:t>, 2000</w:t>
      </w:r>
      <w:r w:rsidRPr="00666F15">
        <w:rPr>
          <w:rFonts w:ascii="Calibri" w:eastAsia="Times New Roman" w:hAnsi="Calibri" w:cs="Calibri"/>
          <w:sz w:val="24"/>
          <w:szCs w:val="24"/>
          <w:highlight w:val="red"/>
          <w:shd w:val="clear" w:color="auto" w:fill="FFFF00"/>
          <w:lang w:eastAsia="en-GB"/>
        </w:rPr>
        <w:t>). The linguistic approach describes how negotiation of common ground appears in conversation, whereas the cognitivist approach focuses on the way new knowledge is processed, the role that prior knowledge plays in this process, and how individual perspectives affect this.</w:t>
      </w:r>
      <w:r w:rsidRPr="00666F15">
        <w:rPr>
          <w:rFonts w:ascii="Calibri" w:eastAsia="Times New Roman" w:hAnsi="Calibri" w:cs="Calibri"/>
          <w:sz w:val="24"/>
          <w:szCs w:val="24"/>
          <w:lang w:eastAsia="en-GB"/>
        </w:rPr>
        <w:t> </w:t>
      </w:r>
    </w:p>
    <w:p w14:paraId="41DAEB8E"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068B8453"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3160208C"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u w:val="single"/>
          <w:lang w:eastAsia="en-GB"/>
        </w:rPr>
        <w:t>Time Management</w:t>
      </w:r>
      <w:r w:rsidRPr="00666F15">
        <w:rPr>
          <w:rFonts w:ascii="Calibri" w:eastAsia="Times New Roman" w:hAnsi="Calibri" w:cs="Calibri"/>
          <w:sz w:val="24"/>
          <w:szCs w:val="24"/>
          <w:lang w:eastAsia="en-GB"/>
        </w:rPr>
        <w:t> </w:t>
      </w:r>
    </w:p>
    <w:p w14:paraId="4FCD5DC5"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As observed by Tracy (2014) To have maximum health and personal effectiveness you must try to make Time management essential in life. It is believed that having inner peace, harmony and a good mental well – being is determined by how much control you have of your time.  </w:t>
      </w:r>
    </w:p>
    <w:p w14:paraId="14933047"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6DAFC1DF"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highlight w:val="red"/>
          <w:shd w:val="clear" w:color="auto" w:fill="FFFF00"/>
          <w:lang w:eastAsia="en-GB"/>
        </w:rPr>
        <w:t>This has been observed (Tracy, 2014) Time management is essential for maximum health and personal effectiveness. The degree to which you feel in control of your time and your life is a major determinant of your level of inner peace, harmony, and mental well-being.</w:t>
      </w:r>
      <w:r w:rsidRPr="00666F15">
        <w:rPr>
          <w:rFonts w:ascii="Calibri" w:eastAsia="Times New Roman" w:hAnsi="Calibri" w:cs="Calibri"/>
          <w:sz w:val="24"/>
          <w:szCs w:val="24"/>
          <w:lang w:eastAsia="en-GB"/>
        </w:rPr>
        <w:t> </w:t>
      </w:r>
    </w:p>
    <w:p w14:paraId="0AAD7D0E"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3CA32B12"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5AB83917"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u w:val="single"/>
          <w:lang w:eastAsia="en-GB"/>
        </w:rPr>
        <w:t>Secondary Research</w:t>
      </w:r>
      <w:r w:rsidRPr="00666F15">
        <w:rPr>
          <w:rFonts w:ascii="Calibri" w:eastAsia="Times New Roman" w:hAnsi="Calibri" w:cs="Calibri"/>
          <w:sz w:val="24"/>
          <w:szCs w:val="24"/>
          <w:lang w:eastAsia="en-GB"/>
        </w:rPr>
        <w:t> </w:t>
      </w:r>
    </w:p>
    <w:p w14:paraId="6873023E" w14:textId="262A319A" w:rsidR="00666F15" w:rsidRPr="00666F15" w:rsidRDefault="00666F15" w:rsidP="00666F15">
      <w:pPr>
        <w:spacing w:after="0" w:line="240" w:lineRule="auto"/>
        <w:textAlignment w:val="baseline"/>
        <w:rPr>
          <w:rFonts w:ascii="Calibri" w:eastAsia="Times New Roman" w:hAnsi="Calibri" w:cs="Calibri"/>
          <w:sz w:val="24"/>
          <w:szCs w:val="24"/>
          <w:lang w:eastAsia="en-GB"/>
        </w:rPr>
      </w:pPr>
      <w:r w:rsidRPr="00666F15">
        <w:rPr>
          <w:rFonts w:ascii="Calibri" w:eastAsia="Times New Roman" w:hAnsi="Calibri" w:cs="Calibri"/>
          <w:sz w:val="24"/>
          <w:szCs w:val="24"/>
          <w:lang w:eastAsia="en-GB"/>
        </w:rPr>
        <w:t>As observed by Trzesniewski, K. H., Donnellan, M. B., &amp; Lucas, R. E. (2011). Researchers have to availability to attain data from a secondary source or that already exists freely even though they had to involvement towards the original study. It has been traditionally used as a long tradition in social science. </w:t>
      </w:r>
    </w:p>
    <w:p w14:paraId="3BBDB46B"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p>
    <w:p w14:paraId="1F29EB07"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highlight w:val="red"/>
          <w:shd w:val="clear" w:color="auto" w:fill="FFFF00"/>
          <w:lang w:eastAsia="en-GB"/>
        </w:rPr>
        <w:t>Observed by Trzesniewski, K.H., Donnellan, M.B., &amp; Lucas, R.E. (2011) The use of secondary data, or existing data that is freely available to researchers who were not involved in the original study, has a long and rich tradition in the social sciences.</w:t>
      </w:r>
      <w:r w:rsidRPr="00666F15">
        <w:rPr>
          <w:rFonts w:ascii="Calibri" w:eastAsia="Times New Roman" w:hAnsi="Calibri" w:cs="Calibri"/>
          <w:sz w:val="24"/>
          <w:szCs w:val="24"/>
          <w:lang w:eastAsia="en-GB"/>
        </w:rPr>
        <w:t> </w:t>
      </w:r>
    </w:p>
    <w:p w14:paraId="0A12D48F" w14:textId="77777777" w:rsidR="00666F15" w:rsidRPr="00666F15" w:rsidRDefault="00666F15">
      <w:pPr>
        <w:rPr>
          <w:rFonts w:cstheme="minorHAnsi"/>
          <w:b/>
          <w:i/>
          <w:sz w:val="28"/>
          <w:szCs w:val="23"/>
          <w:u w:val="single"/>
          <w:shd w:val="clear" w:color="auto" w:fill="FFFFFF"/>
        </w:rPr>
      </w:pPr>
    </w:p>
    <w:p w14:paraId="15B3CF09" w14:textId="2E1A4B23" w:rsidR="003E6F66" w:rsidRDefault="003E6F66">
      <w:pPr>
        <w:rPr>
          <w:rFonts w:cstheme="minorHAnsi"/>
          <w:sz w:val="24"/>
          <w:szCs w:val="23"/>
          <w:shd w:val="clear" w:color="auto" w:fill="FFFFFF"/>
        </w:rPr>
      </w:pPr>
    </w:p>
    <w:p w14:paraId="41C14067" w14:textId="71AC11C3" w:rsidR="003E6F66" w:rsidRDefault="003E6F66">
      <w:pPr>
        <w:rPr>
          <w:rFonts w:cstheme="minorHAnsi"/>
          <w:sz w:val="24"/>
          <w:szCs w:val="23"/>
          <w:shd w:val="clear" w:color="auto" w:fill="FFFFFF"/>
        </w:rPr>
      </w:pPr>
    </w:p>
    <w:p w14:paraId="71325CAC" w14:textId="341A35FC" w:rsidR="00666F15" w:rsidRDefault="00666F15">
      <w:pPr>
        <w:rPr>
          <w:rFonts w:cstheme="minorHAnsi"/>
          <w:sz w:val="24"/>
          <w:szCs w:val="23"/>
          <w:shd w:val="clear" w:color="auto" w:fill="FFFFFF"/>
        </w:rPr>
      </w:pPr>
    </w:p>
    <w:p w14:paraId="6C95D5FE" w14:textId="4B3F5C1F" w:rsidR="00666F15" w:rsidRDefault="00666F15">
      <w:pPr>
        <w:rPr>
          <w:rFonts w:cstheme="minorHAnsi"/>
          <w:sz w:val="24"/>
          <w:szCs w:val="23"/>
          <w:shd w:val="clear" w:color="auto" w:fill="FFFFFF"/>
        </w:rPr>
      </w:pPr>
    </w:p>
    <w:p w14:paraId="58BDEC00" w14:textId="09139492" w:rsidR="00666F15" w:rsidRDefault="00666F15">
      <w:pPr>
        <w:rPr>
          <w:rFonts w:cstheme="minorHAnsi"/>
          <w:sz w:val="24"/>
          <w:szCs w:val="23"/>
          <w:shd w:val="clear" w:color="auto" w:fill="FFFFFF"/>
        </w:rPr>
      </w:pPr>
    </w:p>
    <w:p w14:paraId="4F374CFA" w14:textId="05B71942" w:rsidR="00666F15" w:rsidRPr="00666F15" w:rsidRDefault="00666F15">
      <w:pPr>
        <w:rPr>
          <w:rFonts w:cstheme="minorHAnsi"/>
          <w:b/>
          <w:i/>
          <w:sz w:val="28"/>
          <w:szCs w:val="23"/>
          <w:u w:val="single"/>
          <w:shd w:val="clear" w:color="auto" w:fill="FFFFFF"/>
        </w:rPr>
      </w:pPr>
      <w:r w:rsidRPr="00666F15">
        <w:rPr>
          <w:rFonts w:cstheme="minorHAnsi"/>
          <w:b/>
          <w:i/>
          <w:sz w:val="28"/>
          <w:szCs w:val="23"/>
          <w:u w:val="single"/>
          <w:shd w:val="clear" w:color="auto" w:fill="FFFFFF"/>
        </w:rPr>
        <w:lastRenderedPageBreak/>
        <w:t>Daniel:</w:t>
      </w:r>
    </w:p>
    <w:p w14:paraId="3D9C9DF9"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i/>
          <w:iCs/>
          <w:sz w:val="24"/>
          <w:szCs w:val="24"/>
          <w:u w:val="single"/>
          <w:lang w:eastAsia="en-GB"/>
        </w:rPr>
        <w:t>Job Description</w:t>
      </w:r>
      <w:r w:rsidRPr="003E743B">
        <w:rPr>
          <w:rFonts w:eastAsia="Times New Roman" w:cstheme="minorHAnsi"/>
          <w:sz w:val="24"/>
          <w:szCs w:val="24"/>
          <w:lang w:eastAsia="en-GB"/>
        </w:rPr>
        <w:t> </w:t>
      </w:r>
    </w:p>
    <w:p w14:paraId="2A66366A" w14:textId="77777777" w:rsidR="003E743B" w:rsidRPr="003E743B" w:rsidRDefault="003E743B" w:rsidP="003E743B">
      <w:pPr>
        <w:spacing w:after="0" w:line="240" w:lineRule="auto"/>
        <w:textAlignment w:val="baseline"/>
        <w:rPr>
          <w:rFonts w:eastAsia="Times New Roman" w:cstheme="minorHAnsi"/>
          <w:sz w:val="24"/>
          <w:szCs w:val="24"/>
          <w:highlight w:val="green"/>
          <w:shd w:val="clear" w:color="auto" w:fill="FFFF00"/>
          <w:lang w:eastAsia="en-GB"/>
        </w:rPr>
      </w:pPr>
    </w:p>
    <w:p w14:paraId="3C65347F" w14:textId="4D17F3F3" w:rsidR="003E743B" w:rsidRPr="003E743B" w:rsidRDefault="003E743B" w:rsidP="003E743B">
      <w:pPr>
        <w:spacing w:after="0" w:line="240" w:lineRule="auto"/>
        <w:textAlignment w:val="baseline"/>
        <w:rPr>
          <w:rFonts w:eastAsia="Times New Roman" w:cstheme="minorHAnsi"/>
          <w:sz w:val="24"/>
          <w:szCs w:val="24"/>
          <w:lang w:eastAsia="en-GB"/>
        </w:rPr>
      </w:pPr>
      <w:r w:rsidRPr="003E743B">
        <w:rPr>
          <w:rFonts w:eastAsia="Times New Roman" w:cstheme="minorHAnsi"/>
          <w:sz w:val="24"/>
          <w:szCs w:val="24"/>
          <w:highlight w:val="green"/>
          <w:shd w:val="clear" w:color="auto" w:fill="FFFF00"/>
          <w:lang w:eastAsia="en-GB"/>
        </w:rPr>
        <w:t>‘A job description is a statement that outlines the specifics of a particular job or position with a company’</w:t>
      </w:r>
      <w:r w:rsidRPr="003E743B">
        <w:rPr>
          <w:rFonts w:eastAsia="Times New Roman" w:cstheme="minorHAnsi"/>
          <w:sz w:val="24"/>
          <w:szCs w:val="24"/>
          <w:lang w:eastAsia="en-GB"/>
        </w:rPr>
        <w:t> </w:t>
      </w:r>
    </w:p>
    <w:p w14:paraId="2AF69515" w14:textId="77777777" w:rsidR="003E743B" w:rsidRPr="003E743B" w:rsidRDefault="003E743B" w:rsidP="003E743B">
      <w:pPr>
        <w:spacing w:after="0" w:line="240" w:lineRule="auto"/>
        <w:textAlignment w:val="baseline"/>
        <w:rPr>
          <w:rFonts w:eastAsia="Times New Roman" w:cstheme="minorHAnsi"/>
          <w:sz w:val="18"/>
          <w:szCs w:val="18"/>
          <w:lang w:eastAsia="en-GB"/>
        </w:rPr>
      </w:pPr>
    </w:p>
    <w:p w14:paraId="119BBA37"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lang w:eastAsia="en-GB"/>
        </w:rPr>
        <w:t xml:space="preserve">Is the detailed requirements and roles an employer must carry out of their chosen </w:t>
      </w:r>
      <w:proofErr w:type="gramStart"/>
      <w:r w:rsidRPr="003E743B">
        <w:rPr>
          <w:rFonts w:eastAsia="Times New Roman" w:cstheme="minorHAnsi"/>
          <w:sz w:val="24"/>
          <w:szCs w:val="24"/>
          <w:lang w:eastAsia="en-GB"/>
        </w:rPr>
        <w:t>job.</w:t>
      </w:r>
      <w:proofErr w:type="gramEnd"/>
      <w:r w:rsidRPr="003E743B">
        <w:rPr>
          <w:rFonts w:eastAsia="Times New Roman" w:cstheme="minorHAnsi"/>
          <w:sz w:val="24"/>
          <w:szCs w:val="24"/>
          <w:lang w:eastAsia="en-GB"/>
        </w:rPr>
        <w:t xml:space="preserve"> An example of a job description for a lifeguard would be too help and save people’s lives whilst making sure that all health and safety regulations are followed.  </w:t>
      </w:r>
    </w:p>
    <w:p w14:paraId="1E438DCC"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i/>
          <w:iCs/>
          <w:sz w:val="24"/>
          <w:szCs w:val="24"/>
          <w:u w:val="single"/>
          <w:lang w:eastAsia="en-GB"/>
        </w:rPr>
        <w:t>Training</w:t>
      </w:r>
      <w:r w:rsidRPr="003E743B">
        <w:rPr>
          <w:rFonts w:eastAsia="Times New Roman" w:cstheme="minorHAnsi"/>
          <w:sz w:val="24"/>
          <w:szCs w:val="24"/>
          <w:lang w:eastAsia="en-GB"/>
        </w:rPr>
        <w:t> </w:t>
      </w:r>
    </w:p>
    <w:p w14:paraId="3E91880B" w14:textId="77777777" w:rsidR="003E743B" w:rsidRPr="003E743B" w:rsidRDefault="003E743B" w:rsidP="003E743B">
      <w:pPr>
        <w:spacing w:after="0" w:line="240" w:lineRule="auto"/>
        <w:textAlignment w:val="baseline"/>
        <w:rPr>
          <w:rFonts w:eastAsia="Times New Roman" w:cstheme="minorHAnsi"/>
          <w:sz w:val="24"/>
          <w:szCs w:val="24"/>
          <w:highlight w:val="green"/>
          <w:shd w:val="clear" w:color="auto" w:fill="FFFF00"/>
          <w:lang w:eastAsia="en-GB"/>
        </w:rPr>
      </w:pPr>
    </w:p>
    <w:p w14:paraId="20A39F55" w14:textId="2E423FAC"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highlight w:val="green"/>
          <w:shd w:val="clear" w:color="auto" w:fill="FFFF00"/>
          <w:lang w:eastAsia="en-GB"/>
        </w:rPr>
        <w:t>‘Training is a program organized by the organization to develop knowledge and skills in the employees as per the requirement</w:t>
      </w:r>
      <w:r w:rsidRPr="003E743B">
        <w:rPr>
          <w:rFonts w:eastAsia="Times New Roman" w:cstheme="minorHAnsi"/>
          <w:sz w:val="24"/>
          <w:szCs w:val="24"/>
          <w:highlight w:val="green"/>
          <w:lang w:eastAsia="en-GB"/>
        </w:rPr>
        <w:t>’</w:t>
      </w:r>
      <w:r w:rsidRPr="003E743B">
        <w:rPr>
          <w:rFonts w:eastAsia="Times New Roman" w:cstheme="minorHAnsi"/>
          <w:sz w:val="24"/>
          <w:szCs w:val="24"/>
          <w:lang w:eastAsia="en-GB"/>
        </w:rPr>
        <w:t> </w:t>
      </w:r>
    </w:p>
    <w:p w14:paraId="402439A6" w14:textId="2ECE60FF" w:rsidR="003E743B" w:rsidRPr="003E743B" w:rsidRDefault="003E743B" w:rsidP="003E743B">
      <w:pPr>
        <w:spacing w:after="0" w:line="240" w:lineRule="auto"/>
        <w:textAlignment w:val="baseline"/>
        <w:rPr>
          <w:rFonts w:eastAsia="Times New Roman" w:cstheme="minorHAnsi"/>
          <w:sz w:val="24"/>
          <w:szCs w:val="24"/>
          <w:lang w:eastAsia="en-GB"/>
        </w:rPr>
      </w:pPr>
      <w:r w:rsidRPr="003E743B">
        <w:rPr>
          <w:rFonts w:eastAsia="Times New Roman" w:cstheme="minorHAnsi"/>
          <w:sz w:val="24"/>
          <w:szCs w:val="24"/>
          <w:lang w:eastAsia="en-GB"/>
        </w:rPr>
        <w:t xml:space="preserve">Is a different set of tasks that can be taught to </w:t>
      </w:r>
      <w:proofErr w:type="spellStart"/>
      <w:r w:rsidRPr="003E743B">
        <w:rPr>
          <w:rFonts w:eastAsia="Times New Roman" w:cstheme="minorHAnsi"/>
          <w:sz w:val="24"/>
          <w:szCs w:val="24"/>
          <w:lang w:eastAsia="en-GB"/>
        </w:rPr>
        <w:t>a</w:t>
      </w:r>
      <w:proofErr w:type="spellEnd"/>
      <w:r w:rsidRPr="003E743B">
        <w:rPr>
          <w:rFonts w:eastAsia="Times New Roman" w:cstheme="minorHAnsi"/>
          <w:sz w:val="24"/>
          <w:szCs w:val="24"/>
          <w:lang w:eastAsia="en-GB"/>
        </w:rPr>
        <w:t xml:space="preserve"> employer so they can understand and carry out the skills and roles in their </w:t>
      </w:r>
      <w:proofErr w:type="gramStart"/>
      <w:r w:rsidRPr="003E743B">
        <w:rPr>
          <w:rFonts w:eastAsia="Times New Roman" w:cstheme="minorHAnsi"/>
          <w:sz w:val="24"/>
          <w:szCs w:val="24"/>
          <w:lang w:eastAsia="en-GB"/>
        </w:rPr>
        <w:t>position.</w:t>
      </w:r>
      <w:proofErr w:type="gramEnd"/>
      <w:r w:rsidRPr="003E743B">
        <w:rPr>
          <w:rFonts w:eastAsia="Times New Roman" w:cstheme="minorHAnsi"/>
          <w:sz w:val="24"/>
          <w:szCs w:val="24"/>
          <w:lang w:eastAsia="en-GB"/>
        </w:rPr>
        <w:t xml:space="preserve"> The duration of a training programme depends on how technical the skill in the specific role is.  </w:t>
      </w:r>
    </w:p>
    <w:p w14:paraId="3E6BEAB5" w14:textId="77777777" w:rsidR="003E743B" w:rsidRPr="003E743B" w:rsidRDefault="003E743B" w:rsidP="003E743B">
      <w:pPr>
        <w:spacing w:after="0" w:line="240" w:lineRule="auto"/>
        <w:textAlignment w:val="baseline"/>
        <w:rPr>
          <w:rFonts w:eastAsia="Times New Roman" w:cstheme="minorHAnsi"/>
          <w:sz w:val="18"/>
          <w:szCs w:val="18"/>
          <w:lang w:eastAsia="en-GB"/>
        </w:rPr>
      </w:pPr>
    </w:p>
    <w:p w14:paraId="48C470DE"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i/>
          <w:iCs/>
          <w:sz w:val="24"/>
          <w:szCs w:val="24"/>
          <w:u w:val="single"/>
          <w:lang w:eastAsia="en-GB"/>
        </w:rPr>
        <w:t>Curriculum Vitae</w:t>
      </w:r>
      <w:r w:rsidRPr="003E743B">
        <w:rPr>
          <w:rFonts w:eastAsia="Times New Roman" w:cstheme="minorHAnsi"/>
          <w:sz w:val="24"/>
          <w:szCs w:val="24"/>
          <w:lang w:eastAsia="en-GB"/>
        </w:rPr>
        <w:t> </w:t>
      </w:r>
    </w:p>
    <w:p w14:paraId="2149FF28" w14:textId="77777777" w:rsidR="003E743B" w:rsidRPr="003E743B" w:rsidRDefault="003E743B" w:rsidP="003E743B">
      <w:pPr>
        <w:spacing w:after="0" w:line="240" w:lineRule="auto"/>
        <w:textAlignment w:val="baseline"/>
        <w:rPr>
          <w:rFonts w:eastAsia="Times New Roman" w:cstheme="minorHAnsi"/>
          <w:sz w:val="24"/>
          <w:szCs w:val="24"/>
          <w:highlight w:val="green"/>
          <w:shd w:val="clear" w:color="auto" w:fill="FFFF00"/>
          <w:lang w:eastAsia="en-GB"/>
        </w:rPr>
      </w:pPr>
    </w:p>
    <w:p w14:paraId="332ACD24" w14:textId="701CF0AD"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highlight w:val="green"/>
          <w:shd w:val="clear" w:color="auto" w:fill="FFFF00"/>
          <w:lang w:eastAsia="en-GB"/>
        </w:rPr>
        <w:t>‘A curriculum vitae (CV) provides summary of your experience and skills’</w:t>
      </w:r>
      <w:r w:rsidRPr="003E743B">
        <w:rPr>
          <w:rFonts w:eastAsia="Times New Roman" w:cstheme="minorHAnsi"/>
          <w:sz w:val="24"/>
          <w:szCs w:val="24"/>
          <w:lang w:eastAsia="en-GB"/>
        </w:rPr>
        <w:t> </w:t>
      </w:r>
    </w:p>
    <w:p w14:paraId="6F5F6D0A" w14:textId="07A22157" w:rsidR="00666F15"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lang w:eastAsia="en-GB"/>
        </w:rPr>
        <w:t xml:space="preserve">A CV is a portfolio of all your Personal information, Backgrounds, Achievements and previous/current jobs. Companies use </w:t>
      </w:r>
      <w:proofErr w:type="gramStart"/>
      <w:r w:rsidRPr="003E743B">
        <w:rPr>
          <w:rFonts w:eastAsia="Times New Roman" w:cstheme="minorHAnsi"/>
          <w:sz w:val="24"/>
          <w:szCs w:val="24"/>
          <w:lang w:eastAsia="en-GB"/>
        </w:rPr>
        <w:t>applicants</w:t>
      </w:r>
      <w:proofErr w:type="gramEnd"/>
      <w:r w:rsidRPr="003E743B">
        <w:rPr>
          <w:rFonts w:eastAsia="Times New Roman" w:cstheme="minorHAnsi"/>
          <w:sz w:val="24"/>
          <w:szCs w:val="24"/>
          <w:lang w:eastAsia="en-GB"/>
        </w:rPr>
        <w:t xml:space="preserve"> CV’s to gather information on who will be the best candidate for the role. </w:t>
      </w:r>
    </w:p>
    <w:p w14:paraId="4F31F598" w14:textId="5EC85344" w:rsidR="00666F15" w:rsidRDefault="00666F15">
      <w:pPr>
        <w:rPr>
          <w:rFonts w:cstheme="minorHAnsi"/>
          <w:sz w:val="24"/>
          <w:szCs w:val="23"/>
          <w:shd w:val="clear" w:color="auto" w:fill="FFFFFF"/>
        </w:rPr>
      </w:pPr>
    </w:p>
    <w:p w14:paraId="462F3A75" w14:textId="1CE283C8" w:rsidR="003E743B" w:rsidRDefault="003E743B">
      <w:pPr>
        <w:rPr>
          <w:rFonts w:cstheme="minorHAnsi"/>
          <w:sz w:val="24"/>
          <w:szCs w:val="23"/>
          <w:shd w:val="clear" w:color="auto" w:fill="FFFFFF"/>
        </w:rPr>
      </w:pPr>
    </w:p>
    <w:p w14:paraId="38E64B00" w14:textId="39E71115" w:rsidR="003E743B" w:rsidRDefault="003E743B">
      <w:pPr>
        <w:rPr>
          <w:rFonts w:cstheme="minorHAnsi"/>
          <w:b/>
          <w:i/>
          <w:sz w:val="28"/>
          <w:szCs w:val="23"/>
          <w:u w:val="single"/>
          <w:shd w:val="clear" w:color="auto" w:fill="FFFFFF"/>
        </w:rPr>
      </w:pPr>
      <w:proofErr w:type="spellStart"/>
      <w:r w:rsidRPr="003E743B">
        <w:rPr>
          <w:rFonts w:cstheme="minorHAnsi"/>
          <w:b/>
          <w:i/>
          <w:sz w:val="28"/>
          <w:szCs w:val="23"/>
          <w:u w:val="single"/>
          <w:shd w:val="clear" w:color="auto" w:fill="FFFFFF"/>
        </w:rPr>
        <w:t>Dewi</w:t>
      </w:r>
      <w:proofErr w:type="spellEnd"/>
      <w:r w:rsidRPr="003E743B">
        <w:rPr>
          <w:rFonts w:cstheme="minorHAnsi"/>
          <w:b/>
          <w:i/>
          <w:sz w:val="28"/>
          <w:szCs w:val="23"/>
          <w:u w:val="single"/>
          <w:shd w:val="clear" w:color="auto" w:fill="FFFFFF"/>
        </w:rPr>
        <w:t>:</w:t>
      </w:r>
    </w:p>
    <w:p w14:paraId="70871922" w14:textId="6F7C4824" w:rsidR="003E743B" w:rsidRPr="003E743B" w:rsidRDefault="003E743B">
      <w:pPr>
        <w:rPr>
          <w:rFonts w:cstheme="minorHAnsi"/>
          <w:sz w:val="28"/>
          <w:szCs w:val="23"/>
          <w:shd w:val="clear" w:color="auto" w:fill="FFFFFF"/>
        </w:rPr>
      </w:pPr>
      <w:r>
        <w:rPr>
          <w:rFonts w:cstheme="minorHAnsi"/>
          <w:sz w:val="28"/>
          <w:szCs w:val="23"/>
          <w:shd w:val="clear" w:color="auto" w:fill="FFFFFF"/>
        </w:rPr>
        <w:t>N/A</w:t>
      </w:r>
    </w:p>
    <w:p w14:paraId="1CE400E8" w14:textId="77777777" w:rsidR="00666F15" w:rsidRDefault="00666F15">
      <w:pPr>
        <w:rPr>
          <w:rFonts w:cstheme="minorHAnsi"/>
          <w:sz w:val="24"/>
          <w:szCs w:val="23"/>
          <w:shd w:val="clear" w:color="auto" w:fill="FFFFFF"/>
        </w:rPr>
      </w:pPr>
    </w:p>
    <w:p w14:paraId="323A5127" w14:textId="1BDD187B" w:rsidR="003E6F66" w:rsidRDefault="003E6F66">
      <w:pPr>
        <w:rPr>
          <w:rFonts w:cstheme="minorHAnsi"/>
          <w:b/>
          <w:sz w:val="24"/>
          <w:szCs w:val="23"/>
          <w:u w:val="single"/>
          <w:shd w:val="clear" w:color="auto" w:fill="FFFFFF"/>
        </w:rPr>
      </w:pPr>
      <w:r w:rsidRPr="003E6F66">
        <w:rPr>
          <w:rFonts w:cstheme="minorHAnsi"/>
          <w:b/>
          <w:sz w:val="24"/>
          <w:szCs w:val="23"/>
          <w:u w:val="single"/>
          <w:shd w:val="clear" w:color="auto" w:fill="FFFFFF"/>
        </w:rPr>
        <w:t>Reference list</w:t>
      </w:r>
    </w:p>
    <w:p w14:paraId="78AC0812" w14:textId="77777777" w:rsidR="003E6F66" w:rsidRPr="007D6B68" w:rsidRDefault="003E6F66" w:rsidP="003E6F66">
      <w:pPr>
        <w:spacing w:line="480" w:lineRule="auto"/>
        <w:rPr>
          <w:rFonts w:asciiTheme="majorHAnsi" w:hAnsiTheme="majorHAnsi"/>
        </w:rPr>
      </w:pPr>
    </w:p>
    <w:p w14:paraId="7DDB95D6" w14:textId="4EC371CD" w:rsidR="003E6F66" w:rsidRPr="007D6B68" w:rsidRDefault="003E6F66" w:rsidP="003E6F66">
      <w:pPr>
        <w:spacing w:line="480" w:lineRule="auto"/>
        <w:rPr>
          <w:rFonts w:asciiTheme="majorHAnsi" w:hAnsiTheme="majorHAnsi"/>
        </w:rPr>
      </w:pPr>
      <w:r w:rsidRPr="007D6B68">
        <w:rPr>
          <w:rFonts w:asciiTheme="majorHAnsi" w:hAnsiTheme="majorHAnsi"/>
        </w:rPr>
        <w:t xml:space="preserve">Bailey, S. (2015), </w:t>
      </w:r>
      <w:r w:rsidRPr="007D6B68">
        <w:rPr>
          <w:rFonts w:asciiTheme="majorHAnsi" w:hAnsiTheme="majorHAnsi"/>
          <w:u w:val="single"/>
        </w:rPr>
        <w:t>Academic Writing – A Handbook for International Students</w:t>
      </w:r>
      <w:r w:rsidRPr="007D6B68">
        <w:rPr>
          <w:rFonts w:asciiTheme="majorHAnsi" w:hAnsiTheme="majorHAnsi"/>
        </w:rPr>
        <w:t>, (Fourth Edition) Oxon: Routledge</w:t>
      </w:r>
    </w:p>
    <w:p w14:paraId="46342C01" w14:textId="74DA25E9" w:rsidR="003E6F66" w:rsidRDefault="003E6F66" w:rsidP="003E6F66">
      <w:pPr>
        <w:spacing w:line="480" w:lineRule="auto"/>
        <w:rPr>
          <w:rFonts w:asciiTheme="majorHAnsi" w:hAnsiTheme="majorHAnsi"/>
        </w:rPr>
      </w:pPr>
      <w:r w:rsidRPr="007D6B68">
        <w:rPr>
          <w:rFonts w:asciiTheme="majorHAnsi" w:hAnsiTheme="majorHAnsi"/>
        </w:rPr>
        <w:t xml:space="preserve">Baker, M.J. &amp; </w:t>
      </w:r>
      <w:proofErr w:type="spellStart"/>
      <w:r w:rsidRPr="007D6B68">
        <w:rPr>
          <w:rFonts w:asciiTheme="majorHAnsi" w:hAnsiTheme="majorHAnsi"/>
        </w:rPr>
        <w:t>Saren</w:t>
      </w:r>
      <w:proofErr w:type="spellEnd"/>
      <w:r w:rsidRPr="007D6B68">
        <w:rPr>
          <w:rFonts w:asciiTheme="majorHAnsi" w:hAnsiTheme="majorHAnsi"/>
        </w:rPr>
        <w:t>, M. (2016)</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Marketing Theory – A Student Text</w:t>
      </w:r>
      <w:r w:rsidRPr="007D6B68">
        <w:rPr>
          <w:rFonts w:asciiTheme="majorHAnsi" w:hAnsiTheme="majorHAnsi"/>
        </w:rPr>
        <w:t>, (Third Edition) London: SAGE</w:t>
      </w:r>
    </w:p>
    <w:p w14:paraId="6FED49A3" w14:textId="708E8215" w:rsidR="00666F15" w:rsidRDefault="00666F15" w:rsidP="00666F15">
      <w:pPr>
        <w:spacing w:after="0" w:line="240" w:lineRule="auto"/>
        <w:textAlignment w:val="baseline"/>
        <w:rPr>
          <w:rFonts w:ascii="&amp;quot" w:eastAsia="Times New Roman" w:hAnsi="&amp;quot" w:cs="Times New Roman"/>
          <w:sz w:val="18"/>
          <w:szCs w:val="18"/>
          <w:lang w:eastAsia="en-GB"/>
        </w:rPr>
      </w:pPr>
      <w:r w:rsidRPr="00666F15">
        <w:rPr>
          <w:rFonts w:ascii="Calibri" w:eastAsia="Times New Roman" w:hAnsi="Calibri" w:cs="Calibri"/>
          <w:shd w:val="clear" w:color="auto" w:fill="FF0000"/>
          <w:lang w:eastAsia="en-GB"/>
        </w:rPr>
        <w:t xml:space="preserve">Beers, P.J. (2007), ‘Learning and Instruction’, </w:t>
      </w:r>
      <w:r w:rsidRPr="00666F15">
        <w:rPr>
          <w:rFonts w:ascii="Calibri" w:eastAsia="Times New Roman" w:hAnsi="Calibri" w:cs="Calibri"/>
          <w:u w:val="single"/>
          <w:shd w:val="clear" w:color="auto" w:fill="FF0000"/>
          <w:lang w:eastAsia="en-GB"/>
        </w:rPr>
        <w:t>The analysis of negotiation of common ground in CSCL</w:t>
      </w:r>
      <w:r w:rsidRPr="00666F15">
        <w:rPr>
          <w:rFonts w:ascii="Calibri" w:eastAsia="Times New Roman" w:hAnsi="Calibri" w:cs="Calibri"/>
          <w:shd w:val="clear" w:color="auto" w:fill="FF0000"/>
          <w:lang w:eastAsia="en-GB"/>
        </w:rPr>
        <w:t>, 17: 4, pp. 427–435.</w:t>
      </w:r>
      <w:r w:rsidRPr="00666F15">
        <w:rPr>
          <w:rFonts w:ascii="Calibri" w:eastAsia="Times New Roman" w:hAnsi="Calibri" w:cs="Calibri"/>
          <w:lang w:eastAsia="en-GB"/>
        </w:rPr>
        <w:t> </w:t>
      </w:r>
    </w:p>
    <w:p w14:paraId="26215B30" w14:textId="77777777" w:rsidR="00666F15" w:rsidRPr="00666F15" w:rsidRDefault="00666F15" w:rsidP="00666F15">
      <w:pPr>
        <w:spacing w:after="0" w:line="240" w:lineRule="auto"/>
        <w:textAlignment w:val="baseline"/>
        <w:rPr>
          <w:rFonts w:ascii="&amp;quot" w:eastAsia="Times New Roman" w:hAnsi="&amp;quot" w:cs="Times New Roman"/>
          <w:sz w:val="18"/>
          <w:szCs w:val="18"/>
          <w:lang w:eastAsia="en-GB"/>
        </w:rPr>
      </w:pPr>
    </w:p>
    <w:p w14:paraId="535A32E8" w14:textId="6813CD4A" w:rsidR="003E6F66" w:rsidRPr="003E6F66"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(2010)</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Skills for Success – Personal Development and Employability</w:t>
      </w:r>
      <w:r w:rsidRPr="007D6B68">
        <w:rPr>
          <w:rFonts w:asciiTheme="majorHAnsi" w:hAnsiTheme="majorHAnsi" w:cs="Calibri"/>
        </w:rPr>
        <w:t>, (Second Edition) Hampshire: Palgrave Macmillan</w:t>
      </w:r>
    </w:p>
    <w:p w14:paraId="66E5B864" w14:textId="70A79534"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lastRenderedPageBreak/>
        <w:t>Cottrell, S</w:t>
      </w:r>
      <w:r>
        <w:rPr>
          <w:rFonts w:asciiTheme="majorHAnsi" w:hAnsiTheme="majorHAnsi" w:cs="Calibri"/>
        </w:rPr>
        <w:t>.</w:t>
      </w:r>
      <w:r w:rsidRPr="007D6B68">
        <w:rPr>
          <w:rFonts w:asciiTheme="majorHAnsi" w:hAnsiTheme="majorHAnsi" w:cs="Calibri"/>
        </w:rPr>
        <w:t xml:space="preserve"> (2011)</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Critical Thinking Skills – Developing Effective Analysis and Argument</w:t>
      </w:r>
      <w:r w:rsidRPr="007D6B68">
        <w:rPr>
          <w:rFonts w:asciiTheme="majorHAnsi" w:hAnsiTheme="majorHAnsi" w:cs="Calibri"/>
        </w:rPr>
        <w:t>, (Second Edition) Hampshire: Palgrave Macmillan</w:t>
      </w:r>
    </w:p>
    <w:p w14:paraId="46C6B8A1" w14:textId="01AD4E75"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(2012)</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The Exam Skills Handbook – Achieving Peek Performance</w:t>
      </w:r>
      <w:r w:rsidRPr="007D6B68">
        <w:rPr>
          <w:rFonts w:asciiTheme="majorHAnsi" w:hAnsiTheme="majorHAnsi" w:cs="Calibri"/>
        </w:rPr>
        <w:t>, (Second Edition) Hampshire: Palgrave Macmillan</w:t>
      </w:r>
    </w:p>
    <w:p w14:paraId="061ADFD4" w14:textId="021F3127"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(2013)</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The Study Skills Handbook</w:t>
      </w:r>
      <w:r w:rsidRPr="007D6B68">
        <w:rPr>
          <w:rFonts w:asciiTheme="majorHAnsi" w:hAnsiTheme="majorHAnsi" w:cs="Calibri"/>
        </w:rPr>
        <w:t>, (Fourth Edition) Hampshire: Palgrave Macmillan</w:t>
      </w:r>
    </w:p>
    <w:p w14:paraId="154C7409" w14:textId="1DEF5867" w:rsidR="003E6F66" w:rsidRPr="003E6F66" w:rsidRDefault="003E6F66" w:rsidP="003E6F66">
      <w:pPr>
        <w:spacing w:line="480" w:lineRule="auto"/>
        <w:rPr>
          <w:rFonts w:asciiTheme="majorHAnsi" w:hAnsiTheme="majorHAnsi"/>
        </w:rPr>
      </w:pPr>
      <w:r w:rsidRPr="007D6B68">
        <w:rPr>
          <w:rFonts w:asciiTheme="majorHAnsi" w:hAnsiTheme="majorHAnsi"/>
        </w:rPr>
        <w:t xml:space="preserve">Cottrell, S. (2014), </w:t>
      </w:r>
      <w:r w:rsidRPr="007D6B68">
        <w:rPr>
          <w:rFonts w:asciiTheme="majorHAnsi" w:hAnsiTheme="majorHAnsi"/>
          <w:u w:val="single"/>
        </w:rPr>
        <w:t>Palgrave Study Skills Dissertations and Project Reports – A Step by Step Guide</w:t>
      </w:r>
      <w:r w:rsidRPr="007D6B68">
        <w:rPr>
          <w:rFonts w:asciiTheme="majorHAnsi" w:hAnsiTheme="majorHAnsi"/>
        </w:rPr>
        <w:t>, London: Palgrave Macmillan</w:t>
      </w:r>
    </w:p>
    <w:p w14:paraId="30189C1E" w14:textId="71E5B25C" w:rsidR="003E6F66"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&amp; Morris, N</w:t>
      </w:r>
      <w:r>
        <w:rPr>
          <w:rFonts w:asciiTheme="majorHAnsi" w:hAnsiTheme="majorHAnsi" w:cs="Calibri"/>
        </w:rPr>
        <w:t>.</w:t>
      </w:r>
      <w:r w:rsidRPr="007D6B68">
        <w:rPr>
          <w:rFonts w:asciiTheme="majorHAnsi" w:hAnsiTheme="majorHAnsi" w:cs="Calibri"/>
        </w:rPr>
        <w:t xml:space="preserve"> (2012)</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Study Skills Connected – Using Technology to Support Your Studies</w:t>
      </w:r>
      <w:r w:rsidRPr="007D6B68">
        <w:rPr>
          <w:rFonts w:asciiTheme="majorHAnsi" w:hAnsiTheme="majorHAnsi" w:cs="Calibri"/>
        </w:rPr>
        <w:t>, Hampshire: Palgrave Macmillan</w:t>
      </w:r>
    </w:p>
    <w:p w14:paraId="12CC9BF5" w14:textId="77777777" w:rsidR="003E743B" w:rsidRPr="003E743B" w:rsidRDefault="003E743B" w:rsidP="003E743B">
      <w:pPr>
        <w:spacing w:after="0" w:line="240" w:lineRule="auto"/>
        <w:textAlignment w:val="baseline"/>
        <w:rPr>
          <w:rFonts w:ascii="&amp;quot" w:eastAsia="Times New Roman" w:hAnsi="&amp;quot" w:cs="Times New Roman"/>
          <w:sz w:val="18"/>
          <w:szCs w:val="18"/>
          <w:lang w:eastAsia="en-GB"/>
        </w:rPr>
      </w:pPr>
      <w:proofErr w:type="spellStart"/>
      <w:r w:rsidRPr="003E743B">
        <w:rPr>
          <w:rFonts w:ascii="Calibri" w:eastAsia="Times New Roman" w:hAnsi="Calibri" w:cs="Calibri"/>
          <w:highlight w:val="green"/>
          <w:lang w:eastAsia="en-GB"/>
        </w:rPr>
        <w:t>Doyle,A</w:t>
      </w:r>
      <w:proofErr w:type="spellEnd"/>
      <w:r w:rsidRPr="003E743B">
        <w:rPr>
          <w:rFonts w:ascii="Calibri" w:eastAsia="Times New Roman" w:hAnsi="Calibri" w:cs="Calibri"/>
          <w:highlight w:val="green"/>
          <w:lang w:eastAsia="en-GB"/>
        </w:rPr>
        <w:t xml:space="preserve">. (2019) ‘The difference Between a Resume and a Curriculum Vitae’ [Online] Available: </w:t>
      </w:r>
      <w:hyperlink r:id="rId9" w:tgtFrame="_blank" w:history="1">
        <w:r w:rsidRPr="003E743B">
          <w:rPr>
            <w:rFonts w:ascii="Calibri" w:eastAsia="Times New Roman" w:hAnsi="Calibri" w:cs="Calibri"/>
            <w:color w:val="0563C1"/>
            <w:highlight w:val="green"/>
            <w:u w:val="single"/>
            <w:lang w:eastAsia="en-GB"/>
          </w:rPr>
          <w:t>https://www.thebalancecareers.com/cv-vs-resume-2058495</w:t>
        </w:r>
      </w:hyperlink>
      <w:r w:rsidRPr="003E743B">
        <w:rPr>
          <w:rFonts w:ascii="Calibri" w:eastAsia="Times New Roman" w:hAnsi="Calibri" w:cs="Calibri"/>
          <w:highlight w:val="green"/>
          <w:lang w:eastAsia="en-GB"/>
        </w:rPr>
        <w:t>, Accessed 2019, October, 28th</w:t>
      </w:r>
      <w:r w:rsidRPr="003E743B">
        <w:rPr>
          <w:rFonts w:ascii="Calibri" w:eastAsia="Times New Roman" w:hAnsi="Calibri" w:cs="Calibri"/>
          <w:lang w:eastAsia="en-GB"/>
        </w:rPr>
        <w:t> </w:t>
      </w:r>
    </w:p>
    <w:p w14:paraId="13F876A0" w14:textId="77777777" w:rsidR="003E743B" w:rsidRPr="003E6F66" w:rsidRDefault="003E743B" w:rsidP="003E6F66">
      <w:pPr>
        <w:widowControl w:val="0"/>
        <w:autoSpaceDE w:val="0"/>
        <w:autoSpaceDN w:val="0"/>
        <w:adjustRightInd w:val="0"/>
        <w:spacing w:after="200" w:line="276" w:lineRule="auto"/>
        <w:rPr>
          <w:rFonts w:asciiTheme="majorHAnsi" w:hAnsiTheme="majorHAnsi" w:cs="Calibri"/>
        </w:rPr>
      </w:pPr>
    </w:p>
    <w:p w14:paraId="12A5C42F" w14:textId="2DAB7F19" w:rsidR="003E6F66" w:rsidRPr="003E6F66" w:rsidRDefault="003E6F66" w:rsidP="003E6F66">
      <w:pPr>
        <w:rPr>
          <w:rFonts w:cstheme="minorHAnsi"/>
          <w:sz w:val="24"/>
          <w:szCs w:val="23"/>
          <w:shd w:val="clear" w:color="auto" w:fill="FFFFFF"/>
        </w:rPr>
      </w:pPr>
      <w:r w:rsidRPr="003E6F66">
        <w:rPr>
          <w:rFonts w:cstheme="minorHAnsi"/>
          <w:sz w:val="24"/>
          <w:szCs w:val="23"/>
          <w:highlight w:val="yellow"/>
          <w:shd w:val="clear" w:color="auto" w:fill="FFFFFF"/>
        </w:rPr>
        <w:t xml:space="preserve">Doyle, C. "Primary Research." </w:t>
      </w:r>
      <w:r w:rsidRPr="003E6F66">
        <w:rPr>
          <w:rFonts w:cstheme="minorHAnsi"/>
          <w:i/>
          <w:iCs/>
          <w:sz w:val="24"/>
          <w:szCs w:val="23"/>
          <w:highlight w:val="yellow"/>
        </w:rPr>
        <w:t>A Dictionary of Marketing</w:t>
      </w:r>
      <w:r w:rsidRPr="003E6F66">
        <w:rPr>
          <w:rFonts w:cstheme="minorHAnsi"/>
          <w:sz w:val="24"/>
          <w:szCs w:val="23"/>
          <w:highlight w:val="yellow"/>
          <w:shd w:val="clear" w:color="auto" w:fill="FFFFFF"/>
        </w:rPr>
        <w:t xml:space="preserve"> (2011): A Dictionary of Marketing. Web.</w:t>
      </w:r>
    </w:p>
    <w:p w14:paraId="420F6862" w14:textId="4E87CE9C" w:rsidR="003E6F66" w:rsidRDefault="003E6F66" w:rsidP="003E6F66">
      <w:pPr>
        <w:spacing w:line="480" w:lineRule="auto"/>
        <w:rPr>
          <w:rFonts w:asciiTheme="majorHAnsi" w:hAnsiTheme="majorHAnsi"/>
        </w:rPr>
      </w:pPr>
      <w:r w:rsidRPr="007D6B68">
        <w:rPr>
          <w:rFonts w:asciiTheme="majorHAnsi" w:hAnsiTheme="majorHAnsi"/>
        </w:rPr>
        <w:t>Flynn, N</w:t>
      </w:r>
      <w:r>
        <w:rPr>
          <w:rFonts w:asciiTheme="majorHAnsi" w:hAnsiTheme="majorHAnsi"/>
        </w:rPr>
        <w:t>.</w:t>
      </w:r>
      <w:r w:rsidRPr="007D6B68">
        <w:rPr>
          <w:rFonts w:asciiTheme="majorHAnsi" w:hAnsiTheme="majorHAnsi"/>
        </w:rPr>
        <w:t xml:space="preserve"> (2012)</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Public Sector Management</w:t>
      </w:r>
      <w:r w:rsidRPr="00F44956">
        <w:rPr>
          <w:rFonts w:asciiTheme="majorHAnsi" w:hAnsiTheme="majorHAnsi"/>
        </w:rPr>
        <w:t>,</w:t>
      </w:r>
      <w:r w:rsidRPr="007D6B68">
        <w:rPr>
          <w:rFonts w:asciiTheme="majorHAnsi" w:hAnsiTheme="majorHAnsi"/>
        </w:rPr>
        <w:t xml:space="preserve"> (Sixth Edition) London: Sage Publications Ltd</w:t>
      </w:r>
    </w:p>
    <w:p w14:paraId="24F9B19D" w14:textId="77777777" w:rsidR="003E743B" w:rsidRPr="003E743B" w:rsidRDefault="003E743B" w:rsidP="003E743B">
      <w:pPr>
        <w:spacing w:after="0" w:line="240" w:lineRule="auto"/>
        <w:textAlignment w:val="baseline"/>
        <w:rPr>
          <w:rFonts w:ascii="&amp;quot" w:eastAsia="Times New Roman" w:hAnsi="&amp;quot" w:cs="Times New Roman"/>
          <w:sz w:val="18"/>
          <w:szCs w:val="18"/>
          <w:lang w:eastAsia="en-GB"/>
        </w:rPr>
      </w:pPr>
      <w:r w:rsidRPr="003E743B">
        <w:rPr>
          <w:rFonts w:ascii="Calibri" w:eastAsia="Times New Roman" w:hAnsi="Calibri" w:cs="Calibri"/>
          <w:highlight w:val="green"/>
          <w:lang w:eastAsia="en-GB"/>
        </w:rPr>
        <w:t xml:space="preserve">Frost, S. (2019) ‘Meaning of Job Description’ [Online] Available: </w:t>
      </w:r>
      <w:hyperlink r:id="rId10" w:tgtFrame="_blank" w:history="1">
        <w:r w:rsidRPr="003E743B">
          <w:rPr>
            <w:rFonts w:ascii="Calibri" w:eastAsia="Times New Roman" w:hAnsi="Calibri" w:cs="Calibri"/>
            <w:color w:val="0563C1"/>
            <w:highlight w:val="green"/>
            <w:u w:val="single"/>
            <w:lang w:eastAsia="en-GB"/>
          </w:rPr>
          <w:t>https://work.chron.com/meaning-job-description-6819.html</w:t>
        </w:r>
      </w:hyperlink>
      <w:r w:rsidRPr="003E743B">
        <w:rPr>
          <w:rFonts w:ascii="Calibri" w:eastAsia="Times New Roman" w:hAnsi="Calibri" w:cs="Calibri"/>
          <w:highlight w:val="green"/>
          <w:lang w:eastAsia="en-GB"/>
        </w:rPr>
        <w:t>,</w:t>
      </w:r>
      <w:r w:rsidRPr="003E743B">
        <w:rPr>
          <w:rFonts w:ascii="Calibri" w:eastAsia="Times New Roman" w:hAnsi="Calibri" w:cs="Calibri"/>
          <w:highlight w:val="green"/>
          <w:u w:val="single"/>
          <w:lang w:eastAsia="en-GB"/>
        </w:rPr>
        <w:t xml:space="preserve"> </w:t>
      </w:r>
      <w:r w:rsidRPr="003E743B">
        <w:rPr>
          <w:rFonts w:ascii="Calibri" w:eastAsia="Times New Roman" w:hAnsi="Calibri" w:cs="Calibri"/>
          <w:highlight w:val="green"/>
          <w:lang w:eastAsia="en-GB"/>
        </w:rPr>
        <w:t>Accessed 2019, October, 28</w:t>
      </w:r>
      <w:r w:rsidRPr="003E743B">
        <w:rPr>
          <w:rFonts w:ascii="Calibri" w:eastAsia="Times New Roman" w:hAnsi="Calibri" w:cs="Calibri"/>
          <w:sz w:val="17"/>
          <w:szCs w:val="17"/>
          <w:highlight w:val="green"/>
          <w:vertAlign w:val="superscript"/>
          <w:lang w:eastAsia="en-GB"/>
        </w:rPr>
        <w:t>th</w:t>
      </w:r>
      <w:r w:rsidRPr="003E743B">
        <w:rPr>
          <w:rFonts w:ascii="Calibri" w:eastAsia="Times New Roman" w:hAnsi="Calibri" w:cs="Calibri"/>
          <w:sz w:val="17"/>
          <w:szCs w:val="17"/>
          <w:lang w:eastAsia="en-GB"/>
        </w:rPr>
        <w:t> </w:t>
      </w:r>
    </w:p>
    <w:p w14:paraId="4B0E10E3" w14:textId="2E2D4C2F" w:rsidR="003E743B" w:rsidRPr="007D6B68" w:rsidRDefault="003E743B" w:rsidP="003E6F66">
      <w:pPr>
        <w:spacing w:line="480" w:lineRule="auto"/>
        <w:rPr>
          <w:rFonts w:asciiTheme="majorHAnsi" w:hAnsiTheme="majorHAnsi"/>
        </w:rPr>
      </w:pPr>
    </w:p>
    <w:p w14:paraId="5E86628B" w14:textId="32CB9DB2" w:rsidR="003E6F66" w:rsidRPr="007D6B68" w:rsidRDefault="003E6F66" w:rsidP="003E6F66">
      <w:pPr>
        <w:spacing w:line="480" w:lineRule="auto"/>
        <w:rPr>
          <w:rFonts w:asciiTheme="majorHAnsi" w:hAnsiTheme="majorHAnsi"/>
        </w:rPr>
      </w:pPr>
      <w:proofErr w:type="spellStart"/>
      <w:r w:rsidRPr="007D6B68">
        <w:rPr>
          <w:rFonts w:asciiTheme="majorHAnsi" w:hAnsiTheme="majorHAnsi"/>
        </w:rPr>
        <w:t>Gettinger</w:t>
      </w:r>
      <w:proofErr w:type="spellEnd"/>
      <w:r w:rsidRPr="007D6B68">
        <w:rPr>
          <w:rFonts w:asciiTheme="majorHAnsi" w:hAnsiTheme="majorHAnsi"/>
        </w:rPr>
        <w:t>, M</w:t>
      </w:r>
      <w:r>
        <w:rPr>
          <w:rFonts w:asciiTheme="majorHAnsi" w:hAnsiTheme="majorHAnsi"/>
        </w:rPr>
        <w:t>.</w:t>
      </w:r>
      <w:r w:rsidRPr="007D6B68">
        <w:rPr>
          <w:rFonts w:asciiTheme="majorHAnsi" w:hAnsiTheme="majorHAnsi"/>
        </w:rPr>
        <w:t xml:space="preserve"> and Seibert, J K. (2002)</w:t>
      </w:r>
      <w:r>
        <w:rPr>
          <w:rFonts w:asciiTheme="majorHAnsi" w:hAnsiTheme="majorHAnsi"/>
        </w:rPr>
        <w:t>,</w:t>
      </w:r>
      <w:r w:rsidRPr="007D6B68">
        <w:rPr>
          <w:rFonts w:asciiTheme="majorHAnsi" w:hAnsiTheme="majorHAnsi"/>
        </w:rPr>
        <w:t xml:space="preserve"> ‘Contributions of Study Skills to Academic Competence’, </w:t>
      </w:r>
      <w:r w:rsidRPr="007D6B68">
        <w:rPr>
          <w:rFonts w:asciiTheme="majorHAnsi" w:hAnsiTheme="majorHAnsi"/>
          <w:u w:val="single"/>
        </w:rPr>
        <w:t>School of Psychology Review</w:t>
      </w:r>
      <w:r w:rsidRPr="007D6B68">
        <w:rPr>
          <w:rFonts w:asciiTheme="majorHAnsi" w:hAnsiTheme="majorHAnsi"/>
        </w:rPr>
        <w:t>, 31:3, pp. 350-365</w:t>
      </w:r>
    </w:p>
    <w:p w14:paraId="03A7AA2A" w14:textId="13928915" w:rsidR="003E6F66" w:rsidRDefault="003E6F66" w:rsidP="003E6F66">
      <w:pPr>
        <w:spacing w:line="480" w:lineRule="auto"/>
        <w:rPr>
          <w:rFonts w:asciiTheme="majorHAnsi" w:hAnsiTheme="majorHAnsi"/>
        </w:rPr>
      </w:pPr>
      <w:proofErr w:type="spellStart"/>
      <w:r w:rsidRPr="007D6B68">
        <w:rPr>
          <w:rFonts w:asciiTheme="majorHAnsi" w:hAnsiTheme="majorHAnsi"/>
        </w:rPr>
        <w:t>Gopee</w:t>
      </w:r>
      <w:proofErr w:type="spellEnd"/>
      <w:r w:rsidRPr="007D6B68">
        <w:rPr>
          <w:rFonts w:asciiTheme="majorHAnsi" w:hAnsiTheme="majorHAnsi"/>
        </w:rPr>
        <w:t>, N. &amp; Galloway, J. (2014)</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Leadership &amp; Management in Healthcare</w:t>
      </w:r>
      <w:r w:rsidRPr="007D6B68">
        <w:rPr>
          <w:rFonts w:asciiTheme="majorHAnsi" w:hAnsiTheme="majorHAnsi"/>
        </w:rPr>
        <w:t xml:space="preserve"> (Second Edition) London: SAGE</w:t>
      </w:r>
    </w:p>
    <w:p w14:paraId="0D948AFC" w14:textId="77777777" w:rsidR="00561A4C" w:rsidRDefault="00561A4C" w:rsidP="00561A4C">
      <w:pPr>
        <w:pStyle w:val="paragraph"/>
        <w:spacing w:before="0" w:beforeAutospacing="0" w:after="0" w:afterAutospacing="0"/>
        <w:textAlignment w:val="baseline"/>
        <w:rPr>
          <w:rFonts w:asciiTheme="minorHAnsi" w:hAnsiTheme="minorHAnsi" w:cstheme="minorHAnsi"/>
          <w:color w:val="000000"/>
          <w:szCs w:val="20"/>
          <w:shd w:val="clear" w:color="auto" w:fill="FFFFFF"/>
        </w:rPr>
      </w:pPr>
      <w:proofErr w:type="spellStart"/>
      <w:r w:rsidRPr="00561A4C">
        <w:rPr>
          <w:rStyle w:val="eop"/>
          <w:rFonts w:ascii="Calibri" w:hAnsi="Calibri" w:cs="Calibri"/>
          <w:highlight w:val="yellow"/>
        </w:rPr>
        <w:t>Grint</w:t>
      </w:r>
      <w:proofErr w:type="spellEnd"/>
      <w:r w:rsidRPr="00561A4C">
        <w:rPr>
          <w:rStyle w:val="eop"/>
          <w:rFonts w:ascii="Calibri" w:hAnsi="Calibri" w:cs="Calibri"/>
          <w:highlight w:val="yellow"/>
        </w:rPr>
        <w:t>, K. Jones, OS. Holt, C and Storey J. (2016), The Routledge Companion to Leadership, (1</w:t>
      </w:r>
      <w:r w:rsidRPr="00561A4C">
        <w:rPr>
          <w:rStyle w:val="eop"/>
          <w:rFonts w:ascii="Calibri" w:hAnsi="Calibri" w:cs="Calibri"/>
          <w:highlight w:val="yellow"/>
          <w:vertAlign w:val="superscript"/>
        </w:rPr>
        <w:t>st</w:t>
      </w:r>
      <w:r w:rsidRPr="00561A4C">
        <w:rPr>
          <w:rStyle w:val="eop"/>
          <w:rFonts w:ascii="Calibri" w:hAnsi="Calibri" w:cs="Calibri"/>
          <w:highlight w:val="yellow"/>
        </w:rPr>
        <w:t xml:space="preserve"> Ed), </w:t>
      </w:r>
      <w:r w:rsidRPr="00561A4C">
        <w:rPr>
          <w:rFonts w:asciiTheme="minorHAnsi" w:hAnsiTheme="minorHAnsi" w:cstheme="minorHAnsi"/>
          <w:color w:val="000000"/>
          <w:szCs w:val="20"/>
          <w:highlight w:val="yellow"/>
          <w:shd w:val="clear" w:color="auto" w:fill="FFFFFF"/>
        </w:rPr>
        <w:t>Taylor &amp; Francis, 2016.</w:t>
      </w:r>
    </w:p>
    <w:p w14:paraId="77A199C1" w14:textId="77777777" w:rsidR="00561A4C" w:rsidRPr="003E6F66" w:rsidRDefault="00561A4C" w:rsidP="003E6F66">
      <w:pPr>
        <w:spacing w:line="480" w:lineRule="auto"/>
        <w:rPr>
          <w:rFonts w:asciiTheme="majorHAnsi" w:hAnsiTheme="majorHAnsi"/>
        </w:rPr>
      </w:pPr>
    </w:p>
    <w:p w14:paraId="424842AE" w14:textId="532A6EFC" w:rsidR="003E6F66" w:rsidRPr="003E6F66"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Harrison, M</w:t>
      </w:r>
      <w:r>
        <w:rPr>
          <w:rFonts w:asciiTheme="majorHAnsi" w:hAnsiTheme="majorHAnsi" w:cs="Calibri"/>
        </w:rPr>
        <w:t>.</w:t>
      </w:r>
      <w:r w:rsidRPr="007D6B68">
        <w:rPr>
          <w:rFonts w:asciiTheme="majorHAnsi" w:hAnsiTheme="majorHAnsi" w:cs="Calibri"/>
        </w:rPr>
        <w:t xml:space="preserve">, </w:t>
      </w:r>
      <w:proofErr w:type="spellStart"/>
      <w:r w:rsidRPr="007D6B68">
        <w:rPr>
          <w:rFonts w:asciiTheme="majorHAnsi" w:hAnsiTheme="majorHAnsi" w:cs="Calibri"/>
        </w:rPr>
        <w:t>Jakeman</w:t>
      </w:r>
      <w:proofErr w:type="spellEnd"/>
      <w:r w:rsidRPr="007D6B68">
        <w:rPr>
          <w:rFonts w:asciiTheme="majorHAnsi" w:hAnsiTheme="majorHAnsi" w:cs="Calibri"/>
        </w:rPr>
        <w:t>, V</w:t>
      </w:r>
      <w:r>
        <w:rPr>
          <w:rFonts w:asciiTheme="majorHAnsi" w:hAnsiTheme="majorHAnsi" w:cs="Calibri"/>
        </w:rPr>
        <w:t>.</w:t>
      </w:r>
      <w:r w:rsidRPr="007D6B68">
        <w:rPr>
          <w:rFonts w:asciiTheme="majorHAnsi" w:hAnsiTheme="majorHAnsi" w:cs="Calibri"/>
        </w:rPr>
        <w:t xml:space="preserve"> &amp; Paterson, K</w:t>
      </w:r>
      <w:r>
        <w:rPr>
          <w:rFonts w:asciiTheme="majorHAnsi" w:hAnsiTheme="majorHAnsi" w:cs="Calibri"/>
        </w:rPr>
        <w:t>.</w:t>
      </w:r>
      <w:r w:rsidRPr="007D6B68">
        <w:rPr>
          <w:rFonts w:asciiTheme="majorHAnsi" w:hAnsiTheme="majorHAnsi" w:cs="Calibri"/>
        </w:rPr>
        <w:t xml:space="preserve"> (2012)</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Improve your Grammar</w:t>
      </w:r>
      <w:r w:rsidRPr="007D6B68">
        <w:rPr>
          <w:rFonts w:asciiTheme="majorHAnsi" w:hAnsiTheme="majorHAnsi" w:cs="Calibri"/>
        </w:rPr>
        <w:t>, Hampshire: Palgrave Macmillan</w:t>
      </w:r>
    </w:p>
    <w:p w14:paraId="62B0FA0E" w14:textId="49E78D74" w:rsidR="003E6F66" w:rsidRPr="007D6B68" w:rsidRDefault="003E6F66" w:rsidP="003E6F66">
      <w:pPr>
        <w:spacing w:line="480" w:lineRule="auto"/>
        <w:rPr>
          <w:rFonts w:asciiTheme="majorHAnsi" w:hAnsiTheme="majorHAnsi"/>
        </w:rPr>
      </w:pPr>
      <w:r w:rsidRPr="007D6B68">
        <w:rPr>
          <w:rFonts w:asciiTheme="majorHAnsi" w:hAnsiTheme="majorHAnsi"/>
        </w:rPr>
        <w:t>Marchington, M</w:t>
      </w:r>
      <w:r>
        <w:rPr>
          <w:rFonts w:asciiTheme="majorHAnsi" w:hAnsiTheme="majorHAnsi"/>
        </w:rPr>
        <w:t>.</w:t>
      </w:r>
      <w:r w:rsidRPr="007D6B68">
        <w:rPr>
          <w:rFonts w:asciiTheme="majorHAnsi" w:hAnsiTheme="majorHAnsi"/>
        </w:rPr>
        <w:t xml:space="preserve"> &amp; Wilkinson, A. (2008)</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Human Resource Management at Work – People Management and Development</w:t>
      </w:r>
      <w:r>
        <w:rPr>
          <w:rFonts w:asciiTheme="majorHAnsi" w:hAnsiTheme="majorHAnsi"/>
          <w:u w:val="single"/>
        </w:rPr>
        <w:t>,</w:t>
      </w:r>
      <w:r w:rsidRPr="007D6B68">
        <w:rPr>
          <w:rFonts w:asciiTheme="majorHAnsi" w:hAnsiTheme="majorHAnsi"/>
        </w:rPr>
        <w:t xml:space="preserve"> (Fourth Edition) London: CIPD</w:t>
      </w:r>
    </w:p>
    <w:p w14:paraId="05257B92" w14:textId="6419B953" w:rsidR="003E6F66" w:rsidRDefault="003E6F66" w:rsidP="003E6F66">
      <w:pPr>
        <w:spacing w:line="480" w:lineRule="auto"/>
        <w:rPr>
          <w:rFonts w:asciiTheme="majorHAnsi" w:hAnsiTheme="majorHAnsi"/>
        </w:rPr>
      </w:pPr>
      <w:r w:rsidRPr="007D6B68">
        <w:rPr>
          <w:rFonts w:asciiTheme="majorHAnsi" w:hAnsiTheme="majorHAnsi"/>
        </w:rPr>
        <w:lastRenderedPageBreak/>
        <w:t>Mullins, L.J. (2013)</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Management and Organisational Behaviour</w:t>
      </w:r>
      <w:r>
        <w:rPr>
          <w:rFonts w:asciiTheme="majorHAnsi" w:hAnsiTheme="majorHAnsi"/>
          <w:u w:val="single"/>
        </w:rPr>
        <w:t>,</w:t>
      </w:r>
      <w:r w:rsidRPr="007D6B68">
        <w:rPr>
          <w:rFonts w:asciiTheme="majorHAnsi" w:hAnsiTheme="majorHAnsi"/>
        </w:rPr>
        <w:t xml:space="preserve"> (Tenth Edition) Harlow: Pearson</w:t>
      </w:r>
    </w:p>
    <w:p w14:paraId="5494984F" w14:textId="3AF1AFA6" w:rsidR="003E6F66" w:rsidRPr="003E6F66" w:rsidRDefault="00020BEC" w:rsidP="003E6F66">
      <w:pPr>
        <w:rPr>
          <w:rFonts w:cstheme="minorHAnsi"/>
          <w:sz w:val="24"/>
          <w:szCs w:val="24"/>
        </w:rPr>
      </w:pPr>
      <w:hyperlink r:id="rId11" w:tooltip="Publication title" w:history="1">
        <w:r w:rsidR="003E6F66" w:rsidRPr="003E6F66">
          <w:rPr>
            <w:rStyle w:val="Hyperlink"/>
            <w:rFonts w:cstheme="minorHAnsi"/>
            <w:color w:val="auto"/>
            <w:sz w:val="24"/>
            <w:szCs w:val="24"/>
            <w:highlight w:val="yellow"/>
            <w:u w:val="none"/>
          </w:rPr>
          <w:t>Professional Safety</w:t>
        </w:r>
      </w:hyperlink>
      <w:r w:rsidR="003E6F66" w:rsidRPr="003E6F66">
        <w:rPr>
          <w:rFonts w:cstheme="minorHAnsi"/>
          <w:sz w:val="24"/>
          <w:szCs w:val="24"/>
          <w:highlight w:val="yellow"/>
          <w:shd w:val="clear" w:color="auto" w:fill="F6F6F6"/>
        </w:rPr>
        <w:t xml:space="preserve">; </w:t>
      </w:r>
      <w:r w:rsidR="003E6F66" w:rsidRPr="003E6F66">
        <w:rPr>
          <w:rStyle w:val="subjectfield-postprocessinghook"/>
          <w:rFonts w:cstheme="minorHAnsi"/>
          <w:sz w:val="24"/>
          <w:szCs w:val="24"/>
          <w:highlight w:val="yellow"/>
        </w:rPr>
        <w:t>Des Plaines</w:t>
      </w:r>
      <w:r w:rsidR="003E6F66" w:rsidRPr="003E6F66">
        <w:rPr>
          <w:rFonts w:cstheme="minorHAnsi"/>
          <w:sz w:val="24"/>
          <w:szCs w:val="24"/>
          <w:highlight w:val="yellow"/>
        </w:rPr>
        <w:t>, (1994), ‘</w:t>
      </w:r>
      <w:r w:rsidR="003E6F66" w:rsidRPr="003E6F66">
        <w:rPr>
          <w:rFonts w:cstheme="minorHAnsi"/>
          <w:sz w:val="24"/>
          <w:szCs w:val="21"/>
          <w:highlight w:val="yellow"/>
          <w:shd w:val="clear" w:color="auto" w:fill="FFFFFF"/>
        </w:rPr>
        <w:t>What is teamwork’, 39:1, pp. 44</w:t>
      </w:r>
    </w:p>
    <w:p w14:paraId="24E8879B" w14:textId="1A1FAB54" w:rsidR="003E6F66" w:rsidRDefault="003E6F66" w:rsidP="003E6F66">
      <w:pPr>
        <w:widowControl w:val="0"/>
        <w:autoSpaceDE w:val="0"/>
        <w:autoSpaceDN w:val="0"/>
        <w:adjustRightInd w:val="0"/>
        <w:spacing w:after="200" w:line="276" w:lineRule="auto"/>
        <w:rPr>
          <w:rFonts w:asciiTheme="majorHAnsi" w:hAnsiTheme="majorHAnsi"/>
          <w:vertAlign w:val="superscript"/>
          <w:lang w:val="en"/>
        </w:rPr>
      </w:pPr>
      <w:r w:rsidRPr="007D6B68">
        <w:rPr>
          <w:rFonts w:asciiTheme="majorHAnsi" w:hAnsiTheme="majorHAnsi" w:cs="Calibri"/>
        </w:rPr>
        <w:t>Sparrow, M. (2017) ‘</w:t>
      </w:r>
      <w:r w:rsidRPr="007D6B68">
        <w:rPr>
          <w:rFonts w:asciiTheme="majorHAnsi" w:hAnsiTheme="majorHAnsi"/>
          <w:lang w:val="en"/>
        </w:rPr>
        <w:t xml:space="preserve">Merkel raises hopes of Brexit talks being able to move on to trade in December’ [Online] Available: </w:t>
      </w:r>
      <w:r w:rsidRPr="007D6B68">
        <w:rPr>
          <w:rFonts w:asciiTheme="majorHAnsi" w:hAnsiTheme="majorHAnsi"/>
          <w:u w:val="single"/>
          <w:lang w:val="en"/>
        </w:rPr>
        <w:t>https://www.theguardian.com/politics/blog/live/2017/oct/19/uk-should-give-up-hope-of-trade-deal-with-eu-tory-grandees-tell-may-politics-live</w:t>
      </w:r>
      <w:r w:rsidRPr="007D6B68">
        <w:rPr>
          <w:rFonts w:asciiTheme="majorHAnsi" w:hAnsiTheme="majorHAnsi"/>
          <w:lang w:val="en"/>
        </w:rPr>
        <w:t>, Accessed 2017, October, 19</w:t>
      </w:r>
      <w:r w:rsidRPr="007D6B68">
        <w:rPr>
          <w:rFonts w:asciiTheme="majorHAnsi" w:hAnsiTheme="majorHAnsi"/>
          <w:vertAlign w:val="superscript"/>
          <w:lang w:val="en"/>
        </w:rPr>
        <w:t>th</w:t>
      </w:r>
    </w:p>
    <w:p w14:paraId="0B65E329" w14:textId="77777777" w:rsidR="003E743B" w:rsidRPr="003E743B" w:rsidRDefault="003E743B" w:rsidP="003E743B">
      <w:pPr>
        <w:spacing w:after="0" w:line="240" w:lineRule="auto"/>
        <w:textAlignment w:val="baseline"/>
        <w:rPr>
          <w:rFonts w:ascii="&amp;quot" w:eastAsia="Times New Roman" w:hAnsi="&amp;quot" w:cs="Times New Roman"/>
          <w:sz w:val="18"/>
          <w:szCs w:val="18"/>
          <w:lang w:eastAsia="en-GB"/>
        </w:rPr>
      </w:pPr>
      <w:r w:rsidRPr="003E743B">
        <w:rPr>
          <w:rFonts w:ascii="Calibri" w:eastAsia="Times New Roman" w:hAnsi="Calibri" w:cs="Calibri"/>
          <w:highlight w:val="green"/>
          <w:lang w:eastAsia="en-GB"/>
        </w:rPr>
        <w:t>Surbhi, S (2018) ‘Difference Between Training and development’ [Online]Available:</w:t>
      </w:r>
      <w:hyperlink r:id="rId12" w:tgtFrame="_blank" w:history="1">
        <w:r w:rsidRPr="003E743B">
          <w:rPr>
            <w:rFonts w:ascii="Calibri" w:eastAsia="Times New Roman" w:hAnsi="Calibri" w:cs="Calibri"/>
            <w:color w:val="0563C1"/>
            <w:highlight w:val="green"/>
            <w:u w:val="single"/>
            <w:lang w:eastAsia="en-GB"/>
          </w:rPr>
          <w:t>https://keydifferences.com/difference-between-training-and-development.html</w:t>
        </w:r>
      </w:hyperlink>
      <w:r w:rsidRPr="003E743B">
        <w:rPr>
          <w:rFonts w:ascii="Calibri" w:eastAsia="Times New Roman" w:hAnsi="Calibri" w:cs="Calibri"/>
          <w:highlight w:val="green"/>
          <w:u w:val="single"/>
          <w:lang w:eastAsia="en-GB"/>
        </w:rPr>
        <w:t xml:space="preserve">, </w:t>
      </w:r>
      <w:r w:rsidRPr="003E743B">
        <w:rPr>
          <w:rFonts w:ascii="Calibri" w:eastAsia="Times New Roman" w:hAnsi="Calibri" w:cs="Calibri"/>
          <w:highlight w:val="green"/>
          <w:lang w:eastAsia="en-GB"/>
        </w:rPr>
        <w:t>Accessed 2019, October, 28</w:t>
      </w:r>
      <w:r w:rsidRPr="003E743B">
        <w:rPr>
          <w:rFonts w:ascii="Calibri" w:eastAsia="Times New Roman" w:hAnsi="Calibri" w:cs="Calibri"/>
          <w:sz w:val="17"/>
          <w:szCs w:val="17"/>
          <w:highlight w:val="green"/>
          <w:vertAlign w:val="superscript"/>
          <w:lang w:eastAsia="en-GB"/>
        </w:rPr>
        <w:t>th</w:t>
      </w:r>
      <w:r w:rsidRPr="003E743B">
        <w:rPr>
          <w:rFonts w:ascii="Calibri" w:eastAsia="Times New Roman" w:hAnsi="Calibri" w:cs="Calibri"/>
          <w:sz w:val="17"/>
          <w:szCs w:val="17"/>
          <w:lang w:eastAsia="en-GB"/>
        </w:rPr>
        <w:t> </w:t>
      </w:r>
    </w:p>
    <w:p w14:paraId="4BFC8072" w14:textId="77777777" w:rsidR="003E743B" w:rsidRDefault="003E743B" w:rsidP="003E6F66">
      <w:pPr>
        <w:widowControl w:val="0"/>
        <w:autoSpaceDE w:val="0"/>
        <w:autoSpaceDN w:val="0"/>
        <w:adjustRightInd w:val="0"/>
        <w:spacing w:after="200" w:line="276" w:lineRule="auto"/>
        <w:rPr>
          <w:rFonts w:asciiTheme="majorHAnsi" w:hAnsiTheme="majorHAnsi"/>
          <w:vertAlign w:val="superscript"/>
          <w:lang w:val="en"/>
        </w:rPr>
      </w:pPr>
    </w:p>
    <w:p w14:paraId="750FB051" w14:textId="75EC1A85" w:rsidR="00666F15" w:rsidRDefault="00666F15" w:rsidP="00666F15">
      <w:pPr>
        <w:spacing w:after="0" w:line="240" w:lineRule="auto"/>
        <w:textAlignment w:val="baseline"/>
        <w:rPr>
          <w:rFonts w:ascii="Calibri" w:eastAsia="Times New Roman" w:hAnsi="Calibri" w:cs="Calibri"/>
          <w:lang w:eastAsia="en-GB"/>
        </w:rPr>
      </w:pPr>
      <w:r w:rsidRPr="00666F15">
        <w:rPr>
          <w:rFonts w:ascii="Calibri" w:eastAsia="Times New Roman" w:hAnsi="Calibri" w:cs="Calibri"/>
          <w:highlight w:val="red"/>
          <w:lang w:eastAsia="en-GB"/>
        </w:rPr>
        <w:t xml:space="preserve">Tracy, B. (2014), </w:t>
      </w:r>
      <w:r w:rsidRPr="00666F15">
        <w:rPr>
          <w:rFonts w:ascii="Calibri" w:eastAsia="Times New Roman" w:hAnsi="Calibri" w:cs="Calibri"/>
          <w:highlight w:val="red"/>
          <w:u w:val="single"/>
          <w:lang w:eastAsia="en-GB"/>
        </w:rPr>
        <w:t>Time Management</w:t>
      </w:r>
      <w:r w:rsidRPr="00666F15">
        <w:rPr>
          <w:rFonts w:ascii="Calibri" w:eastAsia="Times New Roman" w:hAnsi="Calibri" w:cs="Calibri"/>
          <w:highlight w:val="red"/>
          <w:lang w:eastAsia="en-GB"/>
        </w:rPr>
        <w:t>, New York: American Management Association.</w:t>
      </w:r>
      <w:r w:rsidRPr="00666F15">
        <w:rPr>
          <w:rFonts w:ascii="Calibri" w:eastAsia="Times New Roman" w:hAnsi="Calibri" w:cs="Calibri"/>
          <w:lang w:eastAsia="en-GB"/>
        </w:rPr>
        <w:t> </w:t>
      </w:r>
    </w:p>
    <w:p w14:paraId="7DC24D55" w14:textId="221DC12C" w:rsidR="00666F15" w:rsidRDefault="00666F15" w:rsidP="00666F15">
      <w:pPr>
        <w:spacing w:after="0" w:line="240" w:lineRule="auto"/>
        <w:textAlignment w:val="baseline"/>
        <w:rPr>
          <w:rFonts w:ascii="&amp;quot" w:eastAsia="Times New Roman" w:hAnsi="&amp;quot" w:cs="Times New Roman"/>
          <w:sz w:val="18"/>
          <w:szCs w:val="18"/>
          <w:lang w:eastAsia="en-GB"/>
        </w:rPr>
      </w:pPr>
    </w:p>
    <w:p w14:paraId="193550E8" w14:textId="77777777" w:rsidR="00666F15" w:rsidRPr="00666F15" w:rsidRDefault="00666F15" w:rsidP="00666F15">
      <w:pPr>
        <w:spacing w:after="0" w:line="240" w:lineRule="auto"/>
        <w:textAlignment w:val="baseline"/>
        <w:rPr>
          <w:rFonts w:ascii="&amp;quot" w:eastAsia="Times New Roman" w:hAnsi="&amp;quot" w:cs="Times New Roman"/>
          <w:sz w:val="18"/>
          <w:szCs w:val="18"/>
          <w:lang w:eastAsia="en-GB"/>
        </w:rPr>
      </w:pPr>
      <w:r w:rsidRPr="00666F15">
        <w:rPr>
          <w:rFonts w:ascii="Calibri" w:eastAsia="Times New Roman" w:hAnsi="Calibri" w:cs="Calibri"/>
          <w:highlight w:val="red"/>
          <w:lang w:eastAsia="en-GB"/>
        </w:rPr>
        <w:t xml:space="preserve">Trzesniewski, K.H., Donnellan, M.B., &amp; Lucas, R.E., </w:t>
      </w:r>
      <w:r w:rsidRPr="00666F15">
        <w:rPr>
          <w:rFonts w:ascii="Calibri" w:eastAsia="Times New Roman" w:hAnsi="Calibri" w:cs="Calibri"/>
          <w:highlight w:val="red"/>
          <w:u w:val="single"/>
          <w:lang w:eastAsia="en-GB"/>
        </w:rPr>
        <w:t xml:space="preserve">Secondary data analysis: An introduction for psychologists, </w:t>
      </w:r>
      <w:r w:rsidRPr="00666F15">
        <w:rPr>
          <w:rFonts w:ascii="Calibri" w:eastAsia="Times New Roman" w:hAnsi="Calibri" w:cs="Calibri"/>
          <w:highlight w:val="red"/>
          <w:lang w:eastAsia="en-GB"/>
        </w:rPr>
        <w:t>Washington D.C: American Psychological Association.</w:t>
      </w:r>
      <w:r w:rsidRPr="00666F15">
        <w:rPr>
          <w:rFonts w:ascii="Calibri" w:eastAsia="Times New Roman" w:hAnsi="Calibri" w:cs="Calibri"/>
          <w:lang w:eastAsia="en-GB"/>
        </w:rPr>
        <w:t> </w:t>
      </w:r>
    </w:p>
    <w:p w14:paraId="6A88823C" w14:textId="77777777" w:rsidR="00666F15" w:rsidRPr="00666F15" w:rsidRDefault="00666F15" w:rsidP="00666F15">
      <w:pPr>
        <w:spacing w:after="0" w:line="240" w:lineRule="auto"/>
        <w:textAlignment w:val="baseline"/>
        <w:rPr>
          <w:rFonts w:ascii="&amp;quot" w:eastAsia="Times New Roman" w:hAnsi="&amp;quot" w:cs="Times New Roman"/>
          <w:sz w:val="18"/>
          <w:szCs w:val="18"/>
          <w:lang w:eastAsia="en-GB"/>
        </w:rPr>
      </w:pPr>
    </w:p>
    <w:p w14:paraId="5DA946C3" w14:textId="01FB2D75" w:rsidR="00666F15" w:rsidRPr="003E6F66" w:rsidRDefault="00666F15" w:rsidP="003E6F66">
      <w:pPr>
        <w:widowControl w:val="0"/>
        <w:autoSpaceDE w:val="0"/>
        <w:autoSpaceDN w:val="0"/>
        <w:adjustRightInd w:val="0"/>
        <w:spacing w:after="200" w:line="276" w:lineRule="auto"/>
        <w:rPr>
          <w:rFonts w:asciiTheme="majorHAnsi" w:hAnsiTheme="majorHAnsi"/>
          <w:lang w:val="en"/>
        </w:rPr>
      </w:pPr>
    </w:p>
    <w:p w14:paraId="07A70201" w14:textId="77777777"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Van Emden, J</w:t>
      </w:r>
      <w:r>
        <w:rPr>
          <w:rFonts w:asciiTheme="majorHAnsi" w:hAnsiTheme="majorHAnsi" w:cs="Calibri"/>
        </w:rPr>
        <w:t>.</w:t>
      </w:r>
      <w:r w:rsidRPr="007D6B68">
        <w:rPr>
          <w:rFonts w:asciiTheme="majorHAnsi" w:hAnsiTheme="majorHAnsi" w:cs="Calibri"/>
        </w:rPr>
        <w:t xml:space="preserve"> &amp; Becker, L</w:t>
      </w:r>
      <w:r>
        <w:rPr>
          <w:rFonts w:asciiTheme="majorHAnsi" w:hAnsiTheme="majorHAnsi" w:cs="Calibri"/>
        </w:rPr>
        <w:t>.</w:t>
      </w:r>
      <w:r w:rsidRPr="007D6B68">
        <w:rPr>
          <w:rFonts w:asciiTheme="majorHAnsi" w:hAnsiTheme="majorHAnsi" w:cs="Calibri"/>
        </w:rPr>
        <w:t xml:space="preserve"> (2010)</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Presentation Skills for Students</w:t>
      </w:r>
      <w:r w:rsidRPr="007D6B68">
        <w:rPr>
          <w:rFonts w:asciiTheme="majorHAnsi" w:hAnsiTheme="majorHAnsi" w:cs="Calibri"/>
        </w:rPr>
        <w:t>, (Second Edition) Hampshire: Palgrave Macmillan</w:t>
      </w:r>
    </w:p>
    <w:p w14:paraId="0C00E254" w14:textId="77777777" w:rsidR="003E6F66" w:rsidRPr="003E6F66" w:rsidRDefault="003E6F66">
      <w:pPr>
        <w:rPr>
          <w:rFonts w:cstheme="minorHAnsi"/>
          <w:b/>
          <w:sz w:val="24"/>
          <w:szCs w:val="23"/>
          <w:u w:val="single"/>
          <w:shd w:val="clear" w:color="auto" w:fill="FFFFFF"/>
        </w:rPr>
      </w:pPr>
    </w:p>
    <w:sectPr w:rsidR="003E6F66" w:rsidRPr="003E6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AF7"/>
    <w:rsid w:val="000E0D7A"/>
    <w:rsid w:val="00102DE0"/>
    <w:rsid w:val="003E6F66"/>
    <w:rsid w:val="003E743B"/>
    <w:rsid w:val="00531AF7"/>
    <w:rsid w:val="00561A4C"/>
    <w:rsid w:val="00666F15"/>
    <w:rsid w:val="007423CB"/>
    <w:rsid w:val="0074569C"/>
    <w:rsid w:val="00862D50"/>
    <w:rsid w:val="00917716"/>
    <w:rsid w:val="00E156CD"/>
    <w:rsid w:val="00F67083"/>
    <w:rsid w:val="7A5BC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2BEF2"/>
  <w15:chartTrackingRefBased/>
  <w15:docId w15:val="{C61DA8BD-C817-418B-B5EB-FED3B81A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AF7"/>
    <w:rPr>
      <w:color w:val="0563C1" w:themeColor="hyperlink"/>
      <w:u w:val="single"/>
    </w:rPr>
  </w:style>
  <w:style w:type="character" w:styleId="UnresolvedMention">
    <w:name w:val="Unresolved Mention"/>
    <w:basedOn w:val="DefaultParagraphFont"/>
    <w:uiPriority w:val="99"/>
    <w:semiHidden/>
    <w:unhideWhenUsed/>
    <w:rsid w:val="00531AF7"/>
    <w:rPr>
      <w:color w:val="605E5C"/>
      <w:shd w:val="clear" w:color="auto" w:fill="E1DFDD"/>
    </w:rPr>
  </w:style>
  <w:style w:type="paragraph" w:customStyle="1" w:styleId="paragraph">
    <w:name w:val="paragraph"/>
    <w:basedOn w:val="Normal"/>
    <w:rsid w:val="007456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569C"/>
  </w:style>
  <w:style w:type="character" w:customStyle="1" w:styleId="eop">
    <w:name w:val="eop"/>
    <w:basedOn w:val="DefaultParagraphFont"/>
    <w:rsid w:val="0074569C"/>
  </w:style>
  <w:style w:type="paragraph" w:styleId="ListParagraph">
    <w:name w:val="List Paragraph"/>
    <w:basedOn w:val="Normal"/>
    <w:uiPriority w:val="34"/>
    <w:qFormat/>
    <w:rsid w:val="00F67083"/>
    <w:pPr>
      <w:ind w:left="720"/>
      <w:contextualSpacing/>
    </w:pPr>
  </w:style>
  <w:style w:type="character" w:customStyle="1" w:styleId="subjectfield-postprocessinghook">
    <w:name w:val="subjectfield-postprocessinghook"/>
    <w:basedOn w:val="DefaultParagraphFont"/>
    <w:rsid w:val="00F67083"/>
  </w:style>
  <w:style w:type="character" w:customStyle="1" w:styleId="contextualspellingandgrammarerror">
    <w:name w:val="contextualspellingandgrammarerror"/>
    <w:basedOn w:val="DefaultParagraphFont"/>
    <w:rsid w:val="00666F15"/>
  </w:style>
  <w:style w:type="character" w:customStyle="1" w:styleId="spellingerror">
    <w:name w:val="spellingerror"/>
    <w:basedOn w:val="DefaultParagraphFont"/>
    <w:rsid w:val="003E7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602202">
      <w:bodyDiv w:val="1"/>
      <w:marLeft w:val="0"/>
      <w:marRight w:val="0"/>
      <w:marTop w:val="0"/>
      <w:marBottom w:val="0"/>
      <w:divBdr>
        <w:top w:val="none" w:sz="0" w:space="0" w:color="auto"/>
        <w:left w:val="none" w:sz="0" w:space="0" w:color="auto"/>
        <w:bottom w:val="none" w:sz="0" w:space="0" w:color="auto"/>
        <w:right w:val="none" w:sz="0" w:space="0" w:color="auto"/>
      </w:divBdr>
    </w:div>
    <w:div w:id="326055198">
      <w:bodyDiv w:val="1"/>
      <w:marLeft w:val="0"/>
      <w:marRight w:val="0"/>
      <w:marTop w:val="0"/>
      <w:marBottom w:val="0"/>
      <w:divBdr>
        <w:top w:val="none" w:sz="0" w:space="0" w:color="auto"/>
        <w:left w:val="none" w:sz="0" w:space="0" w:color="auto"/>
        <w:bottom w:val="none" w:sz="0" w:space="0" w:color="auto"/>
        <w:right w:val="none" w:sz="0" w:space="0" w:color="auto"/>
      </w:divBdr>
    </w:div>
    <w:div w:id="477768755">
      <w:bodyDiv w:val="1"/>
      <w:marLeft w:val="0"/>
      <w:marRight w:val="0"/>
      <w:marTop w:val="0"/>
      <w:marBottom w:val="0"/>
      <w:divBdr>
        <w:top w:val="none" w:sz="0" w:space="0" w:color="auto"/>
        <w:left w:val="none" w:sz="0" w:space="0" w:color="auto"/>
        <w:bottom w:val="none" w:sz="0" w:space="0" w:color="auto"/>
        <w:right w:val="none" w:sz="0" w:space="0" w:color="auto"/>
      </w:divBdr>
    </w:div>
    <w:div w:id="872309837">
      <w:bodyDiv w:val="1"/>
      <w:marLeft w:val="0"/>
      <w:marRight w:val="0"/>
      <w:marTop w:val="0"/>
      <w:marBottom w:val="0"/>
      <w:divBdr>
        <w:top w:val="none" w:sz="0" w:space="0" w:color="auto"/>
        <w:left w:val="none" w:sz="0" w:space="0" w:color="auto"/>
        <w:bottom w:val="none" w:sz="0" w:space="0" w:color="auto"/>
        <w:right w:val="none" w:sz="0" w:space="0" w:color="auto"/>
      </w:divBdr>
    </w:div>
    <w:div w:id="1198618199">
      <w:bodyDiv w:val="1"/>
      <w:marLeft w:val="0"/>
      <w:marRight w:val="0"/>
      <w:marTop w:val="0"/>
      <w:marBottom w:val="0"/>
      <w:divBdr>
        <w:top w:val="none" w:sz="0" w:space="0" w:color="auto"/>
        <w:left w:val="none" w:sz="0" w:space="0" w:color="auto"/>
        <w:bottom w:val="none" w:sz="0" w:space="0" w:color="auto"/>
        <w:right w:val="none" w:sz="0" w:space="0" w:color="auto"/>
      </w:divBdr>
    </w:div>
    <w:div w:id="1880511404">
      <w:bodyDiv w:val="1"/>
      <w:marLeft w:val="0"/>
      <w:marRight w:val="0"/>
      <w:marTop w:val="0"/>
      <w:marBottom w:val="0"/>
      <w:divBdr>
        <w:top w:val="none" w:sz="0" w:space="0" w:color="auto"/>
        <w:left w:val="none" w:sz="0" w:space="0" w:color="auto"/>
        <w:bottom w:val="none" w:sz="0" w:space="0" w:color="auto"/>
        <w:right w:val="none" w:sz="0" w:space="0" w:color="auto"/>
      </w:divBdr>
    </w:div>
    <w:div w:id="1956906819">
      <w:bodyDiv w:val="1"/>
      <w:marLeft w:val="0"/>
      <w:marRight w:val="0"/>
      <w:marTop w:val="0"/>
      <w:marBottom w:val="0"/>
      <w:divBdr>
        <w:top w:val="none" w:sz="0" w:space="0" w:color="auto"/>
        <w:left w:val="none" w:sz="0" w:space="0" w:color="auto"/>
        <w:bottom w:val="none" w:sz="0" w:space="0" w:color="auto"/>
        <w:right w:val="none" w:sz="0" w:space="0" w:color="auto"/>
      </w:divBdr>
    </w:div>
    <w:div w:id="2034650525">
      <w:bodyDiv w:val="1"/>
      <w:marLeft w:val="0"/>
      <w:marRight w:val="0"/>
      <w:marTop w:val="0"/>
      <w:marBottom w:val="0"/>
      <w:divBdr>
        <w:top w:val="none" w:sz="0" w:space="0" w:color="auto"/>
        <w:left w:val="none" w:sz="0" w:space="0" w:color="auto"/>
        <w:bottom w:val="none" w:sz="0" w:space="0" w:color="auto"/>
        <w:right w:val="none" w:sz="0" w:space="0" w:color="auto"/>
      </w:divBdr>
    </w:div>
    <w:div w:id="211027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pubidlinkhandler/sng/pub/Professional+Safety/ExactMatch/47267/DocView/200355211/citation/D9790A83F0144100PQ/1?accountid=130472"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keydifferences.com/difference-between-training-and-development.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arch-proquest-com.ezproxy.uwtsd.ac.uk/pubidlinkhandler/sng/pub/Professional+Safety/ExactMatch/47267/DocView/200355211/citation/D9790A83F0144100PQ/1?accountid=130472" TargetMode="External"/><Relationship Id="rId5" Type="http://schemas.openxmlformats.org/officeDocument/2006/relationships/styles" Target="styles.xml"/><Relationship Id="rId10" Type="http://schemas.openxmlformats.org/officeDocument/2006/relationships/hyperlink" Target="https://work.chron.com/meaning-job-description-6819.html" TargetMode="External"/><Relationship Id="rId4" Type="http://schemas.openxmlformats.org/officeDocument/2006/relationships/customXml" Target="../customXml/item4.xml"/><Relationship Id="rId9" Type="http://schemas.openxmlformats.org/officeDocument/2006/relationships/hyperlink" Target="https://www.thebalancecareers.com/cv-vs-resume-20584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A6292-4D0A-4319-A9F6-8161301CB95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6b8f10f-f56e-4e87-af4a-2384ac144562"/>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EA520A1-3FB3-4A9D-A536-DD95292C41E0}">
  <ds:schemaRefs>
    <ds:schemaRef ds:uri="http://schemas.microsoft.com/sharepoint/v3/contenttype/forms"/>
  </ds:schemaRefs>
</ds:datastoreItem>
</file>

<file path=customXml/itemProps3.xml><?xml version="1.0" encoding="utf-8"?>
<ds:datastoreItem xmlns:ds="http://schemas.openxmlformats.org/officeDocument/2006/customXml" ds:itemID="{973F375C-6C56-47B5-AC6E-2347623CB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112D7-7DE0-46DD-9636-C4A8C6984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Jones (1902065)</dc:creator>
  <cp:keywords/>
  <dc:description/>
  <cp:lastModifiedBy>Jacob Baker (1902157)</cp:lastModifiedBy>
  <cp:revision>2</cp:revision>
  <dcterms:created xsi:type="dcterms:W3CDTF">2019-10-29T15:36:00Z</dcterms:created>
  <dcterms:modified xsi:type="dcterms:W3CDTF">2019-10-29T15:36:00Z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