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1F1245" w14:textId="77777777" w:rsidR="001F2F6F" w:rsidRDefault="001F2F6F" w:rsidP="005B648F">
      <w:pPr>
        <w:jc w:val="center"/>
        <w:rPr>
          <w:rFonts w:ascii="Arial" w:hAnsi="Arial" w:cs="Arial"/>
          <w:b/>
          <w:bCs/>
        </w:rPr>
      </w:pPr>
    </w:p>
    <w:p w14:paraId="039E37AA" w14:textId="77777777" w:rsidR="001F2F6F" w:rsidRDefault="001F2F6F" w:rsidP="005B648F">
      <w:pPr>
        <w:jc w:val="center"/>
        <w:rPr>
          <w:rFonts w:ascii="Arial" w:hAnsi="Arial" w:cs="Arial"/>
          <w:b/>
          <w:bCs/>
        </w:rPr>
      </w:pPr>
    </w:p>
    <w:p w14:paraId="516DB7DB" w14:textId="77777777" w:rsidR="001F2F6F" w:rsidRDefault="001F2F6F" w:rsidP="005B648F">
      <w:pPr>
        <w:jc w:val="center"/>
        <w:rPr>
          <w:rFonts w:ascii="Arial" w:hAnsi="Arial" w:cs="Arial"/>
          <w:b/>
          <w:bCs/>
        </w:rPr>
      </w:pPr>
    </w:p>
    <w:p w14:paraId="3C1DF42A" w14:textId="77777777" w:rsidR="001F2F6F" w:rsidRDefault="001F2F6F" w:rsidP="005B648F">
      <w:pPr>
        <w:jc w:val="center"/>
        <w:rPr>
          <w:rFonts w:ascii="Arial" w:hAnsi="Arial" w:cs="Arial"/>
          <w:b/>
          <w:bCs/>
        </w:rPr>
      </w:pPr>
    </w:p>
    <w:p w14:paraId="24A75BB4" w14:textId="77777777" w:rsidR="001F2F6F" w:rsidRDefault="001F2F6F" w:rsidP="005B648F">
      <w:pPr>
        <w:jc w:val="center"/>
        <w:rPr>
          <w:rFonts w:ascii="Arial" w:hAnsi="Arial" w:cs="Arial"/>
          <w:b/>
          <w:bCs/>
        </w:rPr>
      </w:pPr>
    </w:p>
    <w:p w14:paraId="1C0D47C4" w14:textId="77777777" w:rsidR="001F2F6F" w:rsidRDefault="001F2F6F" w:rsidP="005B648F">
      <w:pPr>
        <w:jc w:val="center"/>
        <w:rPr>
          <w:rFonts w:ascii="Arial" w:hAnsi="Arial" w:cs="Arial"/>
          <w:b/>
          <w:bCs/>
        </w:rPr>
      </w:pPr>
    </w:p>
    <w:p w14:paraId="041E7775" w14:textId="77777777" w:rsidR="001F2F6F" w:rsidRDefault="001F2F6F" w:rsidP="005B648F">
      <w:pPr>
        <w:jc w:val="center"/>
        <w:rPr>
          <w:rFonts w:ascii="Arial" w:hAnsi="Arial" w:cs="Arial"/>
          <w:b/>
          <w:bCs/>
        </w:rPr>
      </w:pPr>
    </w:p>
    <w:p w14:paraId="745A50FE" w14:textId="77777777" w:rsidR="001F2F6F" w:rsidRDefault="001F2F6F" w:rsidP="005B648F">
      <w:pPr>
        <w:jc w:val="center"/>
        <w:rPr>
          <w:rFonts w:ascii="Arial" w:hAnsi="Arial" w:cs="Arial"/>
          <w:b/>
          <w:bCs/>
        </w:rPr>
      </w:pPr>
    </w:p>
    <w:p w14:paraId="45B7A017" w14:textId="77777777" w:rsidR="001F2F6F" w:rsidRDefault="001F2F6F" w:rsidP="005B648F">
      <w:pPr>
        <w:jc w:val="center"/>
        <w:rPr>
          <w:rFonts w:ascii="Arial" w:hAnsi="Arial" w:cs="Arial"/>
          <w:b/>
          <w:bCs/>
        </w:rPr>
      </w:pPr>
    </w:p>
    <w:p w14:paraId="08277C44" w14:textId="77777777" w:rsidR="001F2F6F" w:rsidRDefault="001F2F6F" w:rsidP="005B648F">
      <w:pPr>
        <w:jc w:val="center"/>
        <w:rPr>
          <w:rFonts w:ascii="Arial" w:hAnsi="Arial" w:cs="Arial"/>
          <w:b/>
          <w:bCs/>
        </w:rPr>
      </w:pPr>
    </w:p>
    <w:p w14:paraId="67A99ED3" w14:textId="77777777" w:rsidR="001F2F6F" w:rsidRDefault="001F2F6F" w:rsidP="005B648F">
      <w:pPr>
        <w:jc w:val="center"/>
        <w:rPr>
          <w:rFonts w:ascii="Arial" w:hAnsi="Arial" w:cs="Arial"/>
          <w:b/>
          <w:bCs/>
        </w:rPr>
      </w:pPr>
    </w:p>
    <w:p w14:paraId="33311DB4" w14:textId="6DD6E204" w:rsidR="005B648F" w:rsidRDefault="005B648F" w:rsidP="005B648F">
      <w:pPr>
        <w:jc w:val="center"/>
        <w:rPr>
          <w:rFonts w:ascii="Arial" w:hAnsi="Arial" w:cs="Arial"/>
          <w:b/>
          <w:bCs/>
        </w:rPr>
      </w:pPr>
      <w:r w:rsidRPr="00C652D6">
        <w:rPr>
          <w:rFonts w:ascii="Arial" w:hAnsi="Arial" w:cs="Arial"/>
          <w:b/>
          <w:bCs/>
        </w:rPr>
        <w:t>BMLW50</w:t>
      </w:r>
      <w:r>
        <w:rPr>
          <w:rFonts w:ascii="Arial" w:hAnsi="Arial" w:cs="Arial"/>
          <w:b/>
          <w:bCs/>
        </w:rPr>
        <w:t>18</w:t>
      </w:r>
    </w:p>
    <w:p w14:paraId="7E4D5376" w14:textId="77777777" w:rsidR="005B648F" w:rsidRPr="00C652D6" w:rsidRDefault="005B648F" w:rsidP="005B648F">
      <w:pPr>
        <w:jc w:val="center"/>
        <w:rPr>
          <w:rFonts w:ascii="Arial" w:hAnsi="Arial" w:cs="Arial"/>
          <w:b/>
          <w:bCs/>
        </w:rPr>
      </w:pPr>
    </w:p>
    <w:p w14:paraId="7787C43C" w14:textId="77777777" w:rsidR="005B648F" w:rsidRPr="00C652D6" w:rsidRDefault="005B648F" w:rsidP="005B648F">
      <w:pPr>
        <w:jc w:val="center"/>
        <w:rPr>
          <w:rFonts w:ascii="Arial" w:hAnsi="Arial" w:cs="Arial"/>
          <w:b/>
          <w:bCs/>
        </w:rPr>
      </w:pPr>
      <w:r w:rsidRPr="00C652D6">
        <w:rPr>
          <w:rFonts w:ascii="Arial" w:hAnsi="Arial" w:cs="Arial"/>
          <w:b/>
          <w:bCs/>
        </w:rPr>
        <w:t>Family Law and Practice</w:t>
      </w:r>
    </w:p>
    <w:p w14:paraId="2E802111" w14:textId="77777777" w:rsidR="005B648F" w:rsidRPr="00C652D6" w:rsidRDefault="005B648F" w:rsidP="005B648F">
      <w:pPr>
        <w:rPr>
          <w:rFonts w:ascii="Arial" w:hAnsi="Arial" w:cs="Arial"/>
          <w:b/>
          <w:bCs/>
        </w:rPr>
      </w:pPr>
    </w:p>
    <w:p w14:paraId="048158FA" w14:textId="73EB838E" w:rsidR="005B648F" w:rsidRPr="001F2F6F" w:rsidRDefault="005B648F" w:rsidP="005B648F">
      <w:pPr>
        <w:jc w:val="center"/>
        <w:rPr>
          <w:rFonts w:ascii="Arial" w:hAnsi="Arial" w:cs="Arial"/>
          <w:b/>
          <w:bCs/>
          <w:sz w:val="56"/>
          <w:szCs w:val="56"/>
        </w:rPr>
      </w:pPr>
      <w:r w:rsidRPr="001F2F6F">
        <w:rPr>
          <w:rFonts w:ascii="Arial" w:hAnsi="Arial" w:cs="Arial"/>
          <w:b/>
          <w:bCs/>
          <w:sz w:val="56"/>
          <w:szCs w:val="56"/>
        </w:rPr>
        <w:t>Assessment 1: Child Rights/Law Communications plan</w:t>
      </w:r>
      <w:r w:rsidRPr="001F2F6F">
        <w:rPr>
          <w:rFonts w:ascii="Arial" w:hAnsi="Arial" w:cs="Arial"/>
          <w:b/>
          <w:bCs/>
          <w:sz w:val="56"/>
          <w:szCs w:val="56"/>
        </w:rPr>
        <w:t xml:space="preserve"> and report </w:t>
      </w:r>
    </w:p>
    <w:p w14:paraId="713F3374" w14:textId="77777777" w:rsidR="005B648F" w:rsidRDefault="005B648F" w:rsidP="005B648F">
      <w:pPr>
        <w:rPr>
          <w:rFonts w:ascii="Arial" w:hAnsi="Arial" w:cs="Arial"/>
          <w:b/>
          <w:bCs/>
        </w:rPr>
      </w:pPr>
    </w:p>
    <w:p w14:paraId="20A5D1AB" w14:textId="77777777" w:rsidR="005B648F" w:rsidRDefault="005B648F" w:rsidP="005B648F">
      <w:pPr>
        <w:jc w:val="center"/>
        <w:rPr>
          <w:rFonts w:ascii="Arial" w:hAnsi="Arial" w:cs="Arial"/>
          <w:b/>
          <w:bCs/>
        </w:rPr>
      </w:pPr>
      <w:r>
        <w:rPr>
          <w:rFonts w:ascii="Arial" w:hAnsi="Arial" w:cs="Arial"/>
          <w:b/>
          <w:bCs/>
        </w:rPr>
        <w:t>Gabrial Harris</w:t>
      </w:r>
    </w:p>
    <w:p w14:paraId="14694F96" w14:textId="769F89B2" w:rsidR="005B648F" w:rsidRDefault="005B648F" w:rsidP="005B648F">
      <w:pPr>
        <w:jc w:val="center"/>
        <w:rPr>
          <w:rFonts w:ascii="Arial" w:hAnsi="Arial" w:cs="Arial"/>
          <w:b/>
          <w:bCs/>
        </w:rPr>
      </w:pPr>
      <w:r>
        <w:rPr>
          <w:rFonts w:ascii="Arial" w:hAnsi="Arial" w:cs="Arial"/>
          <w:b/>
          <w:bCs/>
        </w:rPr>
        <w:t>2305593</w:t>
      </w:r>
    </w:p>
    <w:p w14:paraId="271EE564" w14:textId="77777777" w:rsidR="005B648F" w:rsidRDefault="005B648F" w:rsidP="005B648F">
      <w:pPr>
        <w:rPr>
          <w:rFonts w:ascii="Arial" w:hAnsi="Arial" w:cs="Arial"/>
          <w:b/>
          <w:bCs/>
        </w:rPr>
      </w:pPr>
    </w:p>
    <w:p w14:paraId="2F144E55" w14:textId="77777777" w:rsidR="005B648F" w:rsidRDefault="005B648F" w:rsidP="005B648F">
      <w:pPr>
        <w:rPr>
          <w:rFonts w:ascii="Arial" w:hAnsi="Arial" w:cs="Arial"/>
          <w:b/>
          <w:bCs/>
        </w:rPr>
      </w:pPr>
    </w:p>
    <w:p w14:paraId="663C40A5" w14:textId="77777777" w:rsidR="005B648F" w:rsidRDefault="005B648F" w:rsidP="005B648F">
      <w:pPr>
        <w:rPr>
          <w:rFonts w:ascii="Arial" w:hAnsi="Arial" w:cs="Arial"/>
          <w:b/>
          <w:bCs/>
        </w:rPr>
      </w:pPr>
    </w:p>
    <w:p w14:paraId="0CBE4AFF" w14:textId="77777777" w:rsidR="005B648F" w:rsidRDefault="005B648F" w:rsidP="005B648F">
      <w:pPr>
        <w:rPr>
          <w:rFonts w:ascii="Arial" w:hAnsi="Arial" w:cs="Arial"/>
          <w:b/>
          <w:bCs/>
        </w:rPr>
      </w:pPr>
    </w:p>
    <w:p w14:paraId="3DC0F871" w14:textId="77777777" w:rsidR="005B648F" w:rsidRDefault="005B648F" w:rsidP="005B648F">
      <w:pPr>
        <w:rPr>
          <w:rFonts w:ascii="Arial" w:hAnsi="Arial" w:cs="Arial"/>
          <w:b/>
          <w:bCs/>
        </w:rPr>
      </w:pPr>
    </w:p>
    <w:p w14:paraId="5D149372" w14:textId="77777777" w:rsidR="005B648F" w:rsidRDefault="005B648F" w:rsidP="005B648F">
      <w:pPr>
        <w:rPr>
          <w:rFonts w:ascii="Arial" w:hAnsi="Arial" w:cs="Arial"/>
          <w:b/>
          <w:bCs/>
        </w:rPr>
      </w:pPr>
    </w:p>
    <w:p w14:paraId="5BD0AE3F" w14:textId="77777777" w:rsidR="005B648F" w:rsidRDefault="005B648F" w:rsidP="005B648F">
      <w:pPr>
        <w:rPr>
          <w:rFonts w:ascii="Arial" w:hAnsi="Arial" w:cs="Arial"/>
          <w:b/>
          <w:bCs/>
        </w:rPr>
      </w:pPr>
    </w:p>
    <w:p w14:paraId="3BC2A347" w14:textId="77777777" w:rsidR="005B648F" w:rsidRDefault="005B648F" w:rsidP="005B648F">
      <w:pPr>
        <w:rPr>
          <w:rFonts w:ascii="Arial" w:hAnsi="Arial" w:cs="Arial"/>
          <w:b/>
          <w:bCs/>
        </w:rPr>
      </w:pPr>
    </w:p>
    <w:p w14:paraId="26E3A4E0" w14:textId="77777777" w:rsidR="005B648F" w:rsidRDefault="005B648F" w:rsidP="005B648F">
      <w:pPr>
        <w:rPr>
          <w:rFonts w:ascii="Arial" w:hAnsi="Arial" w:cs="Arial"/>
          <w:b/>
          <w:bCs/>
        </w:rPr>
      </w:pPr>
    </w:p>
    <w:p w14:paraId="3DE61FCB" w14:textId="77777777" w:rsidR="005B648F" w:rsidRDefault="005B648F" w:rsidP="005B648F">
      <w:pPr>
        <w:rPr>
          <w:rFonts w:ascii="Arial" w:hAnsi="Arial" w:cs="Arial"/>
          <w:b/>
          <w:bCs/>
        </w:rPr>
      </w:pPr>
    </w:p>
    <w:p w14:paraId="72F0A234" w14:textId="77777777" w:rsidR="002A0383" w:rsidRDefault="002A0383" w:rsidP="005B648F">
      <w:pPr>
        <w:rPr>
          <w:rFonts w:ascii="Arial" w:hAnsi="Arial" w:cs="Arial"/>
          <w:b/>
          <w:bCs/>
        </w:rPr>
      </w:pPr>
    </w:p>
    <w:p w14:paraId="05969513" w14:textId="4FBFC9CA" w:rsidR="005B648F" w:rsidRPr="002A0383" w:rsidRDefault="005B648F" w:rsidP="005B648F">
      <w:pPr>
        <w:rPr>
          <w:rFonts w:ascii="Arial" w:hAnsi="Arial" w:cs="Arial"/>
          <w:b/>
          <w:bCs/>
          <w:sz w:val="48"/>
          <w:szCs w:val="48"/>
        </w:rPr>
      </w:pPr>
      <w:r w:rsidRPr="002A0383">
        <w:rPr>
          <w:rFonts w:ascii="Arial" w:hAnsi="Arial" w:cs="Arial"/>
          <w:b/>
          <w:bCs/>
          <w:sz w:val="48"/>
          <w:szCs w:val="48"/>
        </w:rPr>
        <w:lastRenderedPageBreak/>
        <w:t>Contents</w:t>
      </w:r>
    </w:p>
    <w:p w14:paraId="0FF6C67B" w14:textId="77777777" w:rsidR="005B648F" w:rsidRDefault="005B648F" w:rsidP="005B648F">
      <w:pPr>
        <w:rPr>
          <w:rFonts w:ascii="Arial" w:hAnsi="Arial" w:cs="Arial"/>
          <w:b/>
          <w:bCs/>
        </w:rPr>
      </w:pPr>
    </w:p>
    <w:p w14:paraId="086BFA6A" w14:textId="56CB1C7A" w:rsidR="005B648F" w:rsidRDefault="005B648F" w:rsidP="005B648F">
      <w:pPr>
        <w:jc w:val="both"/>
        <w:rPr>
          <w:rFonts w:ascii="Arial" w:hAnsi="Arial" w:cs="Arial"/>
          <w:b/>
          <w:bCs/>
        </w:rPr>
      </w:pPr>
      <w:r>
        <w:rPr>
          <w:rFonts w:ascii="Arial" w:hAnsi="Arial" w:cs="Arial"/>
          <w:b/>
          <w:bCs/>
        </w:rPr>
        <w:t xml:space="preserve">pp. 1           Plan </w:t>
      </w:r>
    </w:p>
    <w:p w14:paraId="6E11DC8B" w14:textId="77777777" w:rsidR="005B648F" w:rsidRDefault="005B648F" w:rsidP="005B648F">
      <w:pPr>
        <w:rPr>
          <w:rFonts w:ascii="Arial" w:hAnsi="Arial" w:cs="Arial"/>
          <w:b/>
          <w:bCs/>
        </w:rPr>
      </w:pPr>
    </w:p>
    <w:p w14:paraId="1822CDB3" w14:textId="469B8E7B" w:rsidR="005B648F" w:rsidRDefault="005B648F" w:rsidP="005B648F">
      <w:pPr>
        <w:rPr>
          <w:rFonts w:ascii="Arial" w:hAnsi="Arial" w:cs="Arial"/>
          <w:b/>
          <w:bCs/>
        </w:rPr>
      </w:pPr>
      <w:r>
        <w:rPr>
          <w:rFonts w:ascii="Arial" w:hAnsi="Arial" w:cs="Arial"/>
          <w:b/>
          <w:bCs/>
        </w:rPr>
        <w:t>pp. 2 – 3     Report</w:t>
      </w:r>
    </w:p>
    <w:p w14:paraId="7078AD99" w14:textId="77777777" w:rsidR="005B648F" w:rsidRDefault="005B648F" w:rsidP="005B648F">
      <w:pPr>
        <w:rPr>
          <w:rFonts w:ascii="Arial" w:hAnsi="Arial" w:cs="Arial"/>
          <w:b/>
          <w:bCs/>
        </w:rPr>
      </w:pPr>
    </w:p>
    <w:p w14:paraId="6BDC5C8D" w14:textId="1C0F6162" w:rsidR="005B648F" w:rsidRDefault="005B648F" w:rsidP="005B648F">
      <w:pPr>
        <w:rPr>
          <w:rFonts w:ascii="Arial" w:hAnsi="Arial" w:cs="Arial"/>
          <w:b/>
          <w:bCs/>
        </w:rPr>
      </w:pPr>
      <w:r>
        <w:rPr>
          <w:rFonts w:ascii="Arial" w:hAnsi="Arial" w:cs="Arial"/>
          <w:b/>
          <w:bCs/>
        </w:rPr>
        <w:t xml:space="preserve">pp. 4           References </w:t>
      </w:r>
    </w:p>
    <w:p w14:paraId="7746E51B" w14:textId="77777777" w:rsidR="005B648F" w:rsidRDefault="005B648F" w:rsidP="005B648F">
      <w:pPr>
        <w:rPr>
          <w:rFonts w:ascii="Arial" w:hAnsi="Arial" w:cs="Arial"/>
          <w:b/>
          <w:bCs/>
        </w:rPr>
      </w:pPr>
    </w:p>
    <w:p w14:paraId="52599B79" w14:textId="77777777" w:rsidR="005B648F" w:rsidRDefault="005B648F" w:rsidP="005B648F">
      <w:pPr>
        <w:rPr>
          <w:rFonts w:ascii="Arial" w:hAnsi="Arial" w:cs="Arial"/>
          <w:b/>
          <w:bCs/>
        </w:rPr>
      </w:pPr>
    </w:p>
    <w:p w14:paraId="02FF8B38" w14:textId="77777777" w:rsidR="005B648F" w:rsidRDefault="005B648F" w:rsidP="005B648F">
      <w:pPr>
        <w:rPr>
          <w:rFonts w:ascii="Arial" w:hAnsi="Arial" w:cs="Arial"/>
          <w:b/>
          <w:bCs/>
        </w:rPr>
      </w:pPr>
    </w:p>
    <w:p w14:paraId="49A2E912" w14:textId="77777777" w:rsidR="005B648F" w:rsidRDefault="005B648F" w:rsidP="005B648F">
      <w:pPr>
        <w:rPr>
          <w:rFonts w:ascii="Arial" w:hAnsi="Arial" w:cs="Arial"/>
          <w:b/>
          <w:bCs/>
        </w:rPr>
      </w:pPr>
    </w:p>
    <w:p w14:paraId="2CF88218" w14:textId="77777777" w:rsidR="005B648F" w:rsidRDefault="005B648F" w:rsidP="005B648F">
      <w:pPr>
        <w:rPr>
          <w:rFonts w:ascii="Arial" w:hAnsi="Arial" w:cs="Arial"/>
          <w:b/>
          <w:bCs/>
        </w:rPr>
      </w:pPr>
    </w:p>
    <w:p w14:paraId="2143139F" w14:textId="77777777" w:rsidR="005B648F" w:rsidRDefault="005B648F" w:rsidP="005B648F">
      <w:pPr>
        <w:rPr>
          <w:rFonts w:ascii="Arial" w:hAnsi="Arial" w:cs="Arial"/>
          <w:b/>
          <w:bCs/>
        </w:rPr>
      </w:pPr>
    </w:p>
    <w:p w14:paraId="35F8AA99" w14:textId="77777777" w:rsidR="005B648F" w:rsidRDefault="005B648F" w:rsidP="005B648F">
      <w:pPr>
        <w:rPr>
          <w:rFonts w:ascii="Arial" w:hAnsi="Arial" w:cs="Arial"/>
          <w:b/>
          <w:bCs/>
        </w:rPr>
      </w:pPr>
    </w:p>
    <w:p w14:paraId="0ED68EE8" w14:textId="77777777" w:rsidR="005B648F" w:rsidRDefault="005B648F" w:rsidP="005B648F">
      <w:pPr>
        <w:rPr>
          <w:rFonts w:ascii="Arial" w:hAnsi="Arial" w:cs="Arial"/>
          <w:b/>
          <w:bCs/>
        </w:rPr>
      </w:pPr>
    </w:p>
    <w:p w14:paraId="0699FA70" w14:textId="77777777" w:rsidR="005B648F" w:rsidRDefault="005B648F" w:rsidP="005B648F">
      <w:pPr>
        <w:rPr>
          <w:rFonts w:ascii="Arial" w:hAnsi="Arial" w:cs="Arial"/>
          <w:b/>
          <w:bCs/>
        </w:rPr>
      </w:pPr>
    </w:p>
    <w:p w14:paraId="361EA4A6" w14:textId="77777777" w:rsidR="005B648F" w:rsidRDefault="005B648F" w:rsidP="005B648F">
      <w:pPr>
        <w:rPr>
          <w:rFonts w:ascii="Arial" w:hAnsi="Arial" w:cs="Arial"/>
          <w:b/>
          <w:bCs/>
        </w:rPr>
      </w:pPr>
    </w:p>
    <w:p w14:paraId="08D3A6A5" w14:textId="77777777" w:rsidR="005B648F" w:rsidRDefault="005B648F" w:rsidP="005B648F">
      <w:pPr>
        <w:rPr>
          <w:rFonts w:ascii="Arial" w:hAnsi="Arial" w:cs="Arial"/>
          <w:b/>
          <w:bCs/>
        </w:rPr>
      </w:pPr>
    </w:p>
    <w:p w14:paraId="10D25BB5" w14:textId="77777777" w:rsidR="005B648F" w:rsidRDefault="005B648F" w:rsidP="005B648F">
      <w:pPr>
        <w:rPr>
          <w:rFonts w:ascii="Arial" w:hAnsi="Arial" w:cs="Arial"/>
          <w:b/>
          <w:bCs/>
        </w:rPr>
      </w:pPr>
    </w:p>
    <w:p w14:paraId="06CA796D" w14:textId="77777777" w:rsidR="005B648F" w:rsidRDefault="005B648F" w:rsidP="005B648F">
      <w:pPr>
        <w:rPr>
          <w:rFonts w:ascii="Arial" w:hAnsi="Arial" w:cs="Arial"/>
          <w:b/>
          <w:bCs/>
        </w:rPr>
      </w:pPr>
    </w:p>
    <w:p w14:paraId="5BA1AC2D" w14:textId="77777777" w:rsidR="005B648F" w:rsidRDefault="005B648F" w:rsidP="005B648F">
      <w:pPr>
        <w:rPr>
          <w:rFonts w:ascii="Arial" w:hAnsi="Arial" w:cs="Arial"/>
          <w:b/>
          <w:bCs/>
        </w:rPr>
      </w:pPr>
    </w:p>
    <w:p w14:paraId="7D9CB0DD" w14:textId="77777777" w:rsidR="005B648F" w:rsidRDefault="005B648F" w:rsidP="005B648F">
      <w:pPr>
        <w:rPr>
          <w:rFonts w:ascii="Arial" w:hAnsi="Arial" w:cs="Arial"/>
          <w:b/>
          <w:bCs/>
        </w:rPr>
      </w:pPr>
    </w:p>
    <w:p w14:paraId="6E7C037C" w14:textId="77777777" w:rsidR="005B648F" w:rsidRDefault="005B648F" w:rsidP="005B648F">
      <w:pPr>
        <w:rPr>
          <w:rFonts w:ascii="Arial" w:hAnsi="Arial" w:cs="Arial"/>
          <w:b/>
          <w:bCs/>
        </w:rPr>
      </w:pPr>
    </w:p>
    <w:p w14:paraId="306B2330" w14:textId="77777777" w:rsidR="005B648F" w:rsidRDefault="005B648F" w:rsidP="005B648F">
      <w:pPr>
        <w:rPr>
          <w:rFonts w:ascii="Arial" w:hAnsi="Arial" w:cs="Arial"/>
          <w:b/>
          <w:bCs/>
        </w:rPr>
      </w:pPr>
    </w:p>
    <w:p w14:paraId="230B6595" w14:textId="77777777" w:rsidR="005B648F" w:rsidRDefault="005B648F" w:rsidP="005B648F">
      <w:pPr>
        <w:rPr>
          <w:rFonts w:ascii="Arial" w:hAnsi="Arial" w:cs="Arial"/>
          <w:b/>
          <w:bCs/>
        </w:rPr>
      </w:pPr>
    </w:p>
    <w:p w14:paraId="7478EC50" w14:textId="77777777" w:rsidR="005B648F" w:rsidRDefault="005B648F" w:rsidP="005B648F">
      <w:pPr>
        <w:rPr>
          <w:rFonts w:ascii="Arial" w:hAnsi="Arial" w:cs="Arial"/>
          <w:b/>
          <w:bCs/>
        </w:rPr>
      </w:pPr>
    </w:p>
    <w:p w14:paraId="720C43BB" w14:textId="77777777" w:rsidR="005B648F" w:rsidRDefault="005B648F" w:rsidP="005B648F">
      <w:pPr>
        <w:rPr>
          <w:rFonts w:ascii="Arial" w:hAnsi="Arial" w:cs="Arial"/>
          <w:b/>
          <w:bCs/>
        </w:rPr>
      </w:pPr>
    </w:p>
    <w:p w14:paraId="4C0F0263" w14:textId="77777777" w:rsidR="005B648F" w:rsidRDefault="005B648F" w:rsidP="005B648F">
      <w:pPr>
        <w:rPr>
          <w:rFonts w:ascii="Arial" w:hAnsi="Arial" w:cs="Arial"/>
          <w:b/>
          <w:bCs/>
        </w:rPr>
      </w:pPr>
    </w:p>
    <w:p w14:paraId="5962E1EC" w14:textId="77777777" w:rsidR="005B648F" w:rsidRDefault="005B648F" w:rsidP="005B648F">
      <w:pPr>
        <w:rPr>
          <w:rFonts w:ascii="Arial" w:hAnsi="Arial" w:cs="Arial"/>
          <w:b/>
          <w:bCs/>
        </w:rPr>
      </w:pPr>
    </w:p>
    <w:p w14:paraId="3350E8E7" w14:textId="77777777" w:rsidR="005B648F" w:rsidRDefault="005B648F" w:rsidP="005B648F">
      <w:pPr>
        <w:rPr>
          <w:rFonts w:ascii="Arial" w:hAnsi="Arial" w:cs="Arial"/>
          <w:b/>
          <w:bCs/>
        </w:rPr>
      </w:pPr>
    </w:p>
    <w:p w14:paraId="2073BA1B" w14:textId="77777777" w:rsidR="005B648F" w:rsidRDefault="005B648F" w:rsidP="005B648F">
      <w:pPr>
        <w:rPr>
          <w:rFonts w:ascii="Arial" w:hAnsi="Arial" w:cs="Arial"/>
          <w:b/>
          <w:bCs/>
        </w:rPr>
      </w:pPr>
    </w:p>
    <w:tbl>
      <w:tblPr>
        <w:tblStyle w:val="TableGrid"/>
        <w:tblW w:w="9290" w:type="dxa"/>
        <w:tblLook w:val="04A0" w:firstRow="1" w:lastRow="0" w:firstColumn="1" w:lastColumn="0" w:noHBand="0" w:noVBand="1"/>
      </w:tblPr>
      <w:tblGrid>
        <w:gridCol w:w="3064"/>
        <w:gridCol w:w="6226"/>
      </w:tblGrid>
      <w:tr w:rsidR="005B648F" w14:paraId="0887DC69" w14:textId="77777777" w:rsidTr="00477803">
        <w:trPr>
          <w:trHeight w:val="2182"/>
        </w:trPr>
        <w:tc>
          <w:tcPr>
            <w:tcW w:w="3064" w:type="dxa"/>
          </w:tcPr>
          <w:p w14:paraId="6752F422" w14:textId="77777777" w:rsidR="005B648F" w:rsidRDefault="005B648F" w:rsidP="00477803">
            <w:pPr>
              <w:rPr>
                <w:rFonts w:ascii="Arial" w:hAnsi="Arial" w:cs="Arial"/>
                <w:b/>
                <w:bCs/>
              </w:rPr>
            </w:pPr>
            <w:r>
              <w:rPr>
                <w:rFonts w:ascii="Arial" w:hAnsi="Arial" w:cs="Arial"/>
                <w:b/>
                <w:bCs/>
              </w:rPr>
              <w:lastRenderedPageBreak/>
              <w:t xml:space="preserve">Which legal challenge will your resource address? </w:t>
            </w:r>
            <w:r w:rsidRPr="00C652D6">
              <w:rPr>
                <w:rFonts w:ascii="Arial" w:hAnsi="Arial" w:cs="Arial"/>
              </w:rPr>
              <w:t>[Tip</w:t>
            </w:r>
            <w:r>
              <w:rPr>
                <w:rFonts w:ascii="Arial" w:hAnsi="Arial" w:cs="Arial"/>
              </w:rPr>
              <w:t>, keep this narrow]</w:t>
            </w:r>
          </w:p>
        </w:tc>
        <w:tc>
          <w:tcPr>
            <w:tcW w:w="6226" w:type="dxa"/>
          </w:tcPr>
          <w:p w14:paraId="746CAF24" w14:textId="77777777" w:rsidR="005B648F" w:rsidRPr="00C652D6" w:rsidRDefault="005B648F" w:rsidP="00477803">
            <w:pPr>
              <w:rPr>
                <w:rFonts w:ascii="Arial" w:hAnsi="Arial" w:cs="Arial"/>
                <w:b/>
                <w:bCs/>
              </w:rPr>
            </w:pPr>
            <w:r>
              <w:rPr>
                <w:rFonts w:ascii="Arial" w:hAnsi="Arial" w:cs="Arial"/>
                <w:b/>
                <w:bCs/>
              </w:rPr>
              <w:t xml:space="preserve">Gillick Competency &amp; Parental Responsibility </w:t>
            </w:r>
          </w:p>
        </w:tc>
      </w:tr>
      <w:tr w:rsidR="005B648F" w14:paraId="61873377" w14:textId="77777777" w:rsidTr="00477803">
        <w:trPr>
          <w:trHeight w:val="1115"/>
        </w:trPr>
        <w:tc>
          <w:tcPr>
            <w:tcW w:w="3064" w:type="dxa"/>
          </w:tcPr>
          <w:p w14:paraId="5F1F6403" w14:textId="77777777" w:rsidR="005B648F" w:rsidRDefault="005B648F" w:rsidP="00477803">
            <w:pPr>
              <w:rPr>
                <w:rFonts w:ascii="Arial" w:hAnsi="Arial" w:cs="Arial"/>
                <w:b/>
                <w:bCs/>
              </w:rPr>
            </w:pPr>
            <w:r>
              <w:rPr>
                <w:rFonts w:ascii="Arial" w:hAnsi="Arial" w:cs="Arial"/>
                <w:b/>
                <w:bCs/>
              </w:rPr>
              <w:t>Who is your intended audience?</w:t>
            </w:r>
          </w:p>
        </w:tc>
        <w:tc>
          <w:tcPr>
            <w:tcW w:w="6226" w:type="dxa"/>
          </w:tcPr>
          <w:p w14:paraId="524CA5F3" w14:textId="0CF56CF7" w:rsidR="005B648F" w:rsidRPr="00C652D6" w:rsidRDefault="005B648F" w:rsidP="00477803">
            <w:pPr>
              <w:rPr>
                <w:rFonts w:ascii="Arial" w:hAnsi="Arial" w:cs="Arial"/>
                <w:b/>
                <w:bCs/>
              </w:rPr>
            </w:pPr>
            <w:r>
              <w:rPr>
                <w:rFonts w:ascii="Arial" w:hAnsi="Arial" w:cs="Arial"/>
                <w:b/>
                <w:bCs/>
              </w:rPr>
              <w:t>Parents</w:t>
            </w:r>
            <w:r w:rsidR="003B033E">
              <w:rPr>
                <w:rFonts w:ascii="Arial" w:hAnsi="Arial" w:cs="Arial"/>
                <w:b/>
                <w:bCs/>
              </w:rPr>
              <w:t xml:space="preserve"> or legal guardians with parental responsibility of children who may be Gillick Competent </w:t>
            </w:r>
          </w:p>
        </w:tc>
      </w:tr>
      <w:tr w:rsidR="005B648F" w14:paraId="467BD0BA" w14:textId="77777777" w:rsidTr="00477803">
        <w:trPr>
          <w:trHeight w:val="1115"/>
        </w:trPr>
        <w:tc>
          <w:tcPr>
            <w:tcW w:w="3064" w:type="dxa"/>
          </w:tcPr>
          <w:p w14:paraId="1ACE546B" w14:textId="77777777" w:rsidR="005B648F" w:rsidRDefault="005B648F" w:rsidP="00477803">
            <w:pPr>
              <w:rPr>
                <w:rFonts w:ascii="Arial" w:hAnsi="Arial" w:cs="Arial"/>
                <w:b/>
                <w:bCs/>
              </w:rPr>
            </w:pPr>
            <w:r>
              <w:rPr>
                <w:rFonts w:ascii="Arial" w:hAnsi="Arial" w:cs="Arial"/>
                <w:b/>
                <w:bCs/>
              </w:rPr>
              <w:t>What is your primary message?</w:t>
            </w:r>
          </w:p>
        </w:tc>
        <w:tc>
          <w:tcPr>
            <w:tcW w:w="6226" w:type="dxa"/>
          </w:tcPr>
          <w:p w14:paraId="78894DD5" w14:textId="639334FB" w:rsidR="005B648F" w:rsidRPr="00C652D6" w:rsidRDefault="005B648F" w:rsidP="00477803">
            <w:pPr>
              <w:rPr>
                <w:rFonts w:ascii="Arial" w:hAnsi="Arial" w:cs="Arial"/>
                <w:b/>
                <w:bCs/>
              </w:rPr>
            </w:pPr>
            <w:r>
              <w:rPr>
                <w:rFonts w:ascii="Arial" w:hAnsi="Arial" w:cs="Arial"/>
                <w:b/>
                <w:bCs/>
              </w:rPr>
              <w:t>Children are in some circumstances able to make medical decisions without the consent of the parent</w:t>
            </w:r>
            <w:r w:rsidR="004B0800">
              <w:rPr>
                <w:rFonts w:ascii="Arial" w:hAnsi="Arial" w:cs="Arial"/>
                <w:b/>
                <w:bCs/>
              </w:rPr>
              <w:t xml:space="preserve">, that this can create some ethic issues for the parent, and how these ethical dilemmas may be solved </w:t>
            </w:r>
          </w:p>
        </w:tc>
      </w:tr>
      <w:tr w:rsidR="005B648F" w14:paraId="5689E88F" w14:textId="77777777" w:rsidTr="00477803">
        <w:trPr>
          <w:trHeight w:val="1115"/>
        </w:trPr>
        <w:tc>
          <w:tcPr>
            <w:tcW w:w="3064" w:type="dxa"/>
          </w:tcPr>
          <w:p w14:paraId="17033C3A" w14:textId="77777777" w:rsidR="005B648F" w:rsidRDefault="005B648F" w:rsidP="00477803">
            <w:pPr>
              <w:rPr>
                <w:rFonts w:ascii="Arial" w:hAnsi="Arial" w:cs="Arial"/>
                <w:b/>
                <w:bCs/>
              </w:rPr>
            </w:pPr>
            <w:r>
              <w:rPr>
                <w:rFonts w:ascii="Arial" w:hAnsi="Arial" w:cs="Arial"/>
                <w:b/>
                <w:bCs/>
              </w:rPr>
              <w:t>What is your secondary message (if any)?</w:t>
            </w:r>
          </w:p>
        </w:tc>
        <w:tc>
          <w:tcPr>
            <w:tcW w:w="6226" w:type="dxa"/>
          </w:tcPr>
          <w:p w14:paraId="722A2993" w14:textId="77777777" w:rsidR="005B648F" w:rsidRPr="00C652D6" w:rsidRDefault="005B648F" w:rsidP="00477803">
            <w:pPr>
              <w:rPr>
                <w:rFonts w:ascii="Arial" w:hAnsi="Arial" w:cs="Arial"/>
                <w:b/>
                <w:bCs/>
              </w:rPr>
            </w:pPr>
            <w:r>
              <w:rPr>
                <w:rFonts w:ascii="Arial" w:hAnsi="Arial" w:cs="Arial"/>
                <w:b/>
                <w:bCs/>
              </w:rPr>
              <w:t xml:space="preserve">In cases that are not included under Gillick, Parental responsibility takes priority </w:t>
            </w:r>
          </w:p>
        </w:tc>
      </w:tr>
      <w:tr w:rsidR="005B648F" w14:paraId="4BA67192" w14:textId="77777777" w:rsidTr="00477803">
        <w:trPr>
          <w:trHeight w:val="1115"/>
        </w:trPr>
        <w:tc>
          <w:tcPr>
            <w:tcW w:w="3064" w:type="dxa"/>
          </w:tcPr>
          <w:p w14:paraId="03AB8F0B" w14:textId="77777777" w:rsidR="005B648F" w:rsidRDefault="005B648F" w:rsidP="00477803">
            <w:pPr>
              <w:rPr>
                <w:rFonts w:ascii="Arial" w:hAnsi="Arial" w:cs="Arial"/>
                <w:b/>
                <w:bCs/>
              </w:rPr>
            </w:pPr>
            <w:r>
              <w:rPr>
                <w:rFonts w:ascii="Arial" w:hAnsi="Arial" w:cs="Arial"/>
                <w:b/>
                <w:bCs/>
              </w:rPr>
              <w:t>Will you include a call to action? (optional)</w:t>
            </w:r>
          </w:p>
        </w:tc>
        <w:tc>
          <w:tcPr>
            <w:tcW w:w="6226" w:type="dxa"/>
          </w:tcPr>
          <w:p w14:paraId="679B4B59" w14:textId="77777777" w:rsidR="005B648F" w:rsidRPr="00C652D6" w:rsidRDefault="005B648F" w:rsidP="00477803">
            <w:pPr>
              <w:rPr>
                <w:rFonts w:ascii="Arial" w:hAnsi="Arial" w:cs="Arial"/>
                <w:b/>
                <w:bCs/>
              </w:rPr>
            </w:pPr>
            <w:r>
              <w:rPr>
                <w:rFonts w:ascii="Arial" w:hAnsi="Arial" w:cs="Arial"/>
                <w:b/>
                <w:bCs/>
              </w:rPr>
              <w:t xml:space="preserve">Yes, Parents should consider if their child is Competent, and if making decisions on their behalf would be harmful to them </w:t>
            </w:r>
          </w:p>
        </w:tc>
      </w:tr>
      <w:tr w:rsidR="005B648F" w14:paraId="7215CDF2" w14:textId="77777777" w:rsidTr="00477803">
        <w:trPr>
          <w:trHeight w:val="1115"/>
        </w:trPr>
        <w:tc>
          <w:tcPr>
            <w:tcW w:w="3064" w:type="dxa"/>
          </w:tcPr>
          <w:p w14:paraId="4B5FB884" w14:textId="77777777" w:rsidR="005B648F" w:rsidRDefault="005B648F" w:rsidP="00477803">
            <w:pPr>
              <w:rPr>
                <w:rFonts w:ascii="Arial" w:hAnsi="Arial" w:cs="Arial"/>
                <w:b/>
                <w:bCs/>
              </w:rPr>
            </w:pPr>
            <w:r>
              <w:rPr>
                <w:rFonts w:ascii="Arial" w:hAnsi="Arial" w:cs="Arial"/>
                <w:b/>
                <w:bCs/>
              </w:rPr>
              <w:t>Which communications platform will you use?</w:t>
            </w:r>
          </w:p>
        </w:tc>
        <w:tc>
          <w:tcPr>
            <w:tcW w:w="6226" w:type="dxa"/>
          </w:tcPr>
          <w:p w14:paraId="32368EEC" w14:textId="5B81287F" w:rsidR="005B648F" w:rsidRPr="00C652D6" w:rsidRDefault="005B648F" w:rsidP="00477803">
            <w:pPr>
              <w:rPr>
                <w:rFonts w:ascii="Arial" w:hAnsi="Arial" w:cs="Arial"/>
                <w:b/>
                <w:bCs/>
              </w:rPr>
            </w:pPr>
            <w:r>
              <w:rPr>
                <w:rFonts w:ascii="Arial" w:hAnsi="Arial" w:cs="Arial"/>
                <w:b/>
                <w:bCs/>
              </w:rPr>
              <w:t>Physical Media</w:t>
            </w:r>
            <w:r w:rsidR="004B0800">
              <w:rPr>
                <w:rFonts w:ascii="Arial" w:hAnsi="Arial" w:cs="Arial"/>
                <w:b/>
                <w:bCs/>
              </w:rPr>
              <w:t xml:space="preserve"> in public spaces, such as lobbies, surgeries, etc. </w:t>
            </w:r>
          </w:p>
        </w:tc>
      </w:tr>
      <w:tr w:rsidR="005B648F" w14:paraId="7DDE885A" w14:textId="77777777" w:rsidTr="00477803">
        <w:trPr>
          <w:trHeight w:val="1064"/>
        </w:trPr>
        <w:tc>
          <w:tcPr>
            <w:tcW w:w="3064" w:type="dxa"/>
          </w:tcPr>
          <w:p w14:paraId="498AB16D" w14:textId="77777777" w:rsidR="005B648F" w:rsidRDefault="005B648F" w:rsidP="00477803">
            <w:pPr>
              <w:rPr>
                <w:rFonts w:ascii="Arial" w:hAnsi="Arial" w:cs="Arial"/>
                <w:b/>
                <w:bCs/>
              </w:rPr>
            </w:pPr>
            <w:r>
              <w:rPr>
                <w:rFonts w:ascii="Arial" w:hAnsi="Arial" w:cs="Arial"/>
                <w:b/>
                <w:bCs/>
              </w:rPr>
              <w:t>What asset(s) will you produce?</w:t>
            </w:r>
          </w:p>
        </w:tc>
        <w:tc>
          <w:tcPr>
            <w:tcW w:w="6226" w:type="dxa"/>
          </w:tcPr>
          <w:p w14:paraId="68C58DD1" w14:textId="77777777" w:rsidR="005B648F" w:rsidRPr="00C652D6" w:rsidRDefault="005B648F" w:rsidP="00477803">
            <w:pPr>
              <w:rPr>
                <w:rFonts w:ascii="Arial" w:hAnsi="Arial" w:cs="Arial"/>
                <w:b/>
                <w:bCs/>
              </w:rPr>
            </w:pPr>
            <w:r>
              <w:rPr>
                <w:rFonts w:ascii="Arial" w:hAnsi="Arial" w:cs="Arial"/>
                <w:b/>
                <w:bCs/>
              </w:rPr>
              <w:t>Poster</w:t>
            </w:r>
          </w:p>
        </w:tc>
      </w:tr>
      <w:tr w:rsidR="005B648F" w14:paraId="6666039C" w14:textId="77777777" w:rsidTr="00477803">
        <w:trPr>
          <w:trHeight w:val="1166"/>
        </w:trPr>
        <w:tc>
          <w:tcPr>
            <w:tcW w:w="3064" w:type="dxa"/>
          </w:tcPr>
          <w:p w14:paraId="5D21E772" w14:textId="77777777" w:rsidR="005B648F" w:rsidRDefault="005B648F" w:rsidP="00477803">
            <w:pPr>
              <w:rPr>
                <w:rFonts w:ascii="Arial" w:hAnsi="Arial" w:cs="Arial"/>
                <w:b/>
                <w:bCs/>
              </w:rPr>
            </w:pPr>
            <w:r>
              <w:rPr>
                <w:rFonts w:ascii="Arial" w:hAnsi="Arial" w:cs="Arial"/>
                <w:b/>
                <w:bCs/>
              </w:rPr>
              <w:t>Do you require any visual assets?</w:t>
            </w:r>
          </w:p>
        </w:tc>
        <w:tc>
          <w:tcPr>
            <w:tcW w:w="6226" w:type="dxa"/>
          </w:tcPr>
          <w:p w14:paraId="78B8D8E7" w14:textId="021CA52F" w:rsidR="005B648F" w:rsidRPr="00C652D6" w:rsidRDefault="005B648F" w:rsidP="00477803">
            <w:pPr>
              <w:rPr>
                <w:rFonts w:ascii="Arial" w:hAnsi="Arial" w:cs="Arial"/>
                <w:b/>
                <w:bCs/>
              </w:rPr>
            </w:pPr>
            <w:r>
              <w:rPr>
                <w:rFonts w:ascii="Arial" w:hAnsi="Arial" w:cs="Arial"/>
                <w:b/>
                <w:bCs/>
              </w:rPr>
              <w:t xml:space="preserve">Yes, </w:t>
            </w:r>
            <w:r w:rsidR="004B0800">
              <w:rPr>
                <w:rFonts w:ascii="Arial" w:hAnsi="Arial" w:cs="Arial"/>
                <w:b/>
                <w:bCs/>
              </w:rPr>
              <w:t xml:space="preserve">royalty free </w:t>
            </w:r>
            <w:r>
              <w:rPr>
                <w:rFonts w:ascii="Arial" w:hAnsi="Arial" w:cs="Arial"/>
                <w:b/>
                <w:bCs/>
              </w:rPr>
              <w:t>Stock Images</w:t>
            </w:r>
            <w:r w:rsidR="004B0800">
              <w:rPr>
                <w:rFonts w:ascii="Arial" w:hAnsi="Arial" w:cs="Arial"/>
                <w:b/>
                <w:bCs/>
              </w:rPr>
              <w:t xml:space="preserve"> will likely be used to increase the visual appeal of the legal communication </w:t>
            </w:r>
          </w:p>
        </w:tc>
      </w:tr>
    </w:tbl>
    <w:p w14:paraId="3B968D59" w14:textId="77777777" w:rsidR="005B648F" w:rsidRDefault="005B648F">
      <w:pPr>
        <w:rPr>
          <w:b/>
          <w:bCs/>
        </w:rPr>
      </w:pPr>
    </w:p>
    <w:p w14:paraId="76DCA77C" w14:textId="77777777" w:rsidR="005B648F" w:rsidRDefault="005B648F">
      <w:pPr>
        <w:rPr>
          <w:b/>
          <w:bCs/>
        </w:rPr>
      </w:pPr>
    </w:p>
    <w:p w14:paraId="76FE829A" w14:textId="77777777" w:rsidR="005B648F" w:rsidRDefault="005B648F">
      <w:pPr>
        <w:rPr>
          <w:b/>
          <w:bCs/>
        </w:rPr>
      </w:pPr>
    </w:p>
    <w:p w14:paraId="20BADE98" w14:textId="77777777" w:rsidR="005B648F" w:rsidRDefault="005B648F">
      <w:pPr>
        <w:rPr>
          <w:b/>
          <w:bCs/>
        </w:rPr>
      </w:pPr>
    </w:p>
    <w:p w14:paraId="0A798827" w14:textId="77777777" w:rsidR="005B648F" w:rsidRDefault="005B648F">
      <w:pPr>
        <w:rPr>
          <w:b/>
          <w:bCs/>
        </w:rPr>
      </w:pPr>
    </w:p>
    <w:p w14:paraId="1C38340A" w14:textId="77777777" w:rsidR="005B648F" w:rsidRDefault="005B648F">
      <w:pPr>
        <w:rPr>
          <w:b/>
          <w:bCs/>
        </w:rPr>
      </w:pPr>
    </w:p>
    <w:p w14:paraId="25008488" w14:textId="77777777" w:rsidR="005B648F" w:rsidRDefault="005B648F">
      <w:pPr>
        <w:rPr>
          <w:b/>
          <w:bCs/>
        </w:rPr>
      </w:pPr>
    </w:p>
    <w:p w14:paraId="4CCC97D4" w14:textId="77777777" w:rsidR="005B648F" w:rsidRDefault="005B648F">
      <w:pPr>
        <w:rPr>
          <w:b/>
          <w:bCs/>
        </w:rPr>
      </w:pPr>
    </w:p>
    <w:p w14:paraId="1D925A1A" w14:textId="77777777" w:rsidR="005B648F" w:rsidRDefault="005B648F">
      <w:pPr>
        <w:rPr>
          <w:b/>
          <w:bCs/>
        </w:rPr>
      </w:pPr>
    </w:p>
    <w:p w14:paraId="7344C208" w14:textId="7368F2D1" w:rsidR="00A50A58" w:rsidRDefault="00994BC9">
      <w:pPr>
        <w:rPr>
          <w:b/>
          <w:bCs/>
        </w:rPr>
      </w:pPr>
      <w:r w:rsidRPr="00070AD6">
        <w:rPr>
          <w:b/>
          <w:bCs/>
        </w:rPr>
        <w:lastRenderedPageBreak/>
        <w:t>Children’s Ability to Consent to Treatment</w:t>
      </w:r>
    </w:p>
    <w:p w14:paraId="1EB56FA5" w14:textId="0AF6455B" w:rsidR="00BA063E" w:rsidRPr="00BA063E" w:rsidRDefault="00BA063E">
      <w:r w:rsidRPr="00BA063E">
        <w:t xml:space="preserve">As a general rule, children cannot be provided with medical treatment without the consent of both parties with parental </w:t>
      </w:r>
      <w:r>
        <w:t>responsibility</w:t>
      </w:r>
      <w:r w:rsidR="00C813AC">
        <w:t xml:space="preserve"> (An NHS Trust v SR</w:t>
      </w:r>
      <w:r w:rsidR="002B5033">
        <w:t xml:space="preserve"> (</w:t>
      </w:r>
      <w:r w:rsidR="00C813AC">
        <w:t>201</w:t>
      </w:r>
      <w:r w:rsidR="002B5033">
        <w:t>3)</w:t>
      </w:r>
      <w:r w:rsidR="00C813AC">
        <w:t xml:space="preserve">), the court or where it is necessary to do so. In all of these cases, it must be in the best interests of the child to provide medical treatment. Failure to meet these criteria can result in the treatment being considered a battery (Re W (A Minor) </w:t>
      </w:r>
      <w:r w:rsidR="002B5033">
        <w:t>(</w:t>
      </w:r>
      <w:r w:rsidR="00C813AC">
        <w:t>1993</w:t>
      </w:r>
      <w:r w:rsidR="002B5033">
        <w:t>)</w:t>
      </w:r>
      <w:r w:rsidR="00C813AC">
        <w:t xml:space="preserve">). </w:t>
      </w:r>
    </w:p>
    <w:p w14:paraId="4ED06387" w14:textId="0834EABC" w:rsidR="00994BC9" w:rsidRPr="00BE7E1F" w:rsidRDefault="00994BC9">
      <w:r>
        <w:t xml:space="preserve">Under </w:t>
      </w:r>
      <w:r w:rsidRPr="00893CFA">
        <w:t>Gillick v</w:t>
      </w:r>
      <w:r w:rsidR="00174801" w:rsidRPr="00893CFA">
        <w:t xml:space="preserve"> West Norfolk and Wisbech Area Health Authority </w:t>
      </w:r>
      <w:r w:rsidR="00893CFA">
        <w:t>(1986)</w:t>
      </w:r>
      <w:r w:rsidR="00174801">
        <w:t>, it is legal in England and Wales for a child under the age of 16 to consent to medical treatment without the consent of their parents in exceptional circumstances laid out in the “Fraser Guidelines” derived from this case</w:t>
      </w:r>
      <w:r w:rsidR="00C6789E">
        <w:t>, thus creating the concept of a “Gillick competent” child, which could access these rights</w:t>
      </w:r>
      <w:r w:rsidR="00E128FD">
        <w:t xml:space="preserve"> in just the same way that a child over the age of 16, but under the age of 18 can under the </w:t>
      </w:r>
      <w:r w:rsidR="00803C9B" w:rsidRPr="00893CFA">
        <w:t xml:space="preserve">Family Law Reform Act </w:t>
      </w:r>
      <w:r w:rsidR="00893CFA" w:rsidRPr="00893CFA">
        <w:t>(</w:t>
      </w:r>
      <w:r w:rsidR="00803C9B" w:rsidRPr="00893CFA">
        <w:t>1969</w:t>
      </w:r>
      <w:r w:rsidR="00893CFA" w:rsidRPr="00893CFA">
        <w:t>)</w:t>
      </w:r>
      <w:r w:rsidR="00803C9B" w:rsidRPr="00893CFA">
        <w:t xml:space="preserve"> s.8(1)</w:t>
      </w:r>
      <w:r w:rsidR="00C6789E" w:rsidRPr="00893CFA">
        <w:t>.</w:t>
      </w:r>
      <w:r w:rsidR="007B20D5">
        <w:t xml:space="preserve"> Gillick has been upheld for many years such as in</w:t>
      </w:r>
      <w:r w:rsidR="00785F6D">
        <w:t xml:space="preserve"> Re L (Medical Treatment) (1998)</w:t>
      </w:r>
      <w:r w:rsidR="007B20D5">
        <w:t xml:space="preserve"> </w:t>
      </w:r>
      <w:r w:rsidR="00893CFA" w:rsidRPr="00893CFA">
        <w:t xml:space="preserve"> </w:t>
      </w:r>
      <w:r w:rsidR="00C6789E" w:rsidRPr="00893CFA">
        <w:t xml:space="preserve">established </w:t>
      </w:r>
      <w:r w:rsidR="00C6789E" w:rsidRPr="00C6789E">
        <w:t xml:space="preserve">not only </w:t>
      </w:r>
      <w:r w:rsidR="00C6789E">
        <w:t xml:space="preserve">could a Gillick competent child consent to medical treatment without the knowledge or intervention of a </w:t>
      </w:r>
      <w:r w:rsidR="00070AD6">
        <w:t>parent but</w:t>
      </w:r>
      <w:r w:rsidR="00C6789E">
        <w:t xml:space="preserve"> equally had the power to refuse such treatment in the same manner</w:t>
      </w:r>
      <w:r w:rsidR="00785F6D">
        <w:t>, given it did not endanger their life</w:t>
      </w:r>
      <w:r w:rsidR="00BE7E1F">
        <w:t>.</w:t>
      </w:r>
      <w:r w:rsidR="00785F6D">
        <w:t xml:space="preserve"> Bell v Tavistock and Portman NHS Foundation Trust (2022)</w:t>
      </w:r>
      <w:r w:rsidR="00BE7E1F" w:rsidRPr="00893CFA">
        <w:t xml:space="preserve"> m</w:t>
      </w:r>
      <w:r w:rsidR="00BE7E1F">
        <w:t xml:space="preserve">ade clear that parental responsibility does not come before a Gillick competent child’s ability to consent, thus disallowing parents from making decisions on the behalf of their child in cases where they are competent and do consent. </w:t>
      </w:r>
      <w:r w:rsidR="00E128FD">
        <w:t xml:space="preserve">These cases opened many more avenues for medical advice and treatment to be given to a minor without imposing liability on medical practitioners however, it did unintentionally impose a moral and ethical duty onto parents to consider not only the best interests of their child in each case, but also if they were competent enough to make such decisions alone, if their decision to refuse may harm the child, as well as exposing parents who refuse treatment against the best interests of their child to being overruled by the medical practitioner in question, by the court, or both. </w:t>
      </w:r>
    </w:p>
    <w:p w14:paraId="316A64C8" w14:textId="06D42828" w:rsidR="00174801" w:rsidRDefault="00174801"/>
    <w:p w14:paraId="0C50FC8F" w14:textId="71E29C42" w:rsidR="00EB3815" w:rsidRPr="00893CFA" w:rsidRDefault="00EB3815">
      <w:pPr>
        <w:rPr>
          <w:b/>
          <w:bCs/>
        </w:rPr>
      </w:pPr>
      <w:r w:rsidRPr="00893CFA">
        <w:rPr>
          <w:b/>
          <w:bCs/>
        </w:rPr>
        <w:t>How are lay people affected by their children’s ability to consent?</w:t>
      </w:r>
    </w:p>
    <w:p w14:paraId="22B7F7DC" w14:textId="04E82309" w:rsidR="00EB3815" w:rsidRDefault="00EB3815">
      <w:r>
        <w:t xml:space="preserve">Parents caring for children who require </w:t>
      </w:r>
      <w:r w:rsidR="002509C9">
        <w:t xml:space="preserve">medical treatment are posed with a number of difficult questions; Is it right to impose treatment onto the child? </w:t>
      </w:r>
      <w:r w:rsidR="009827F2">
        <w:t xml:space="preserve">Can or should the child choose for themselves? How important or necessary is the treatment? Will medical professionals disagree? </w:t>
      </w:r>
    </w:p>
    <w:p w14:paraId="5D8B0F0A" w14:textId="7D9982F0" w:rsidR="00390090" w:rsidRDefault="00390090">
      <w:r>
        <w:t xml:space="preserve">The wishes of a child who has gained competence under Gillick </w:t>
      </w:r>
      <w:r w:rsidR="00B96C49">
        <w:t xml:space="preserve">(1986) </w:t>
      </w:r>
      <w:r>
        <w:t>may interfere with the wishes of the parents of the child</w:t>
      </w:r>
      <w:r w:rsidR="008F76F3">
        <w:t xml:space="preserve"> as seen in cases such as</w:t>
      </w:r>
      <w:r w:rsidR="00E332A1">
        <w:t xml:space="preserve"> </w:t>
      </w:r>
      <w:r w:rsidR="00D048DB">
        <w:t xml:space="preserve">Bell and Another v Tavistock and Portman NHS Foundation Trust (2020). This allows children to actively defy the wishes of their parents. The </w:t>
      </w:r>
      <w:r w:rsidR="00893CFA">
        <w:t xml:space="preserve">argument that is clearly outlined in this case is that despite a child’s understanding of medical treatment, it may not be enough to ensure lifelong satisfaction with the results of the medical </w:t>
      </w:r>
      <w:r w:rsidR="00B96C49">
        <w:t>treatment or</w:t>
      </w:r>
      <w:r w:rsidR="00893CFA">
        <w:t xml:space="preserve"> avoid regret later in life</w:t>
      </w:r>
      <w:r w:rsidR="00B96C49">
        <w:t xml:space="preserve">. This suggests that despite a child being competent under the guidelines set out in Gillick (1986), they may not be fully aware of the consequences of medical treatments regardless. </w:t>
      </w:r>
    </w:p>
    <w:p w14:paraId="02615489" w14:textId="3FDB2DB5" w:rsidR="000A1253" w:rsidRDefault="000A1253">
      <w:r>
        <w:t xml:space="preserve">It equally may be difficult for the lay person to fully grasp what Gillick competence is, and how it is assessed. </w:t>
      </w:r>
      <w:r w:rsidR="00167A19">
        <w:t xml:space="preserve">This issue is highlighted from the point of view of the medical professional </w:t>
      </w:r>
      <w:r w:rsidR="00200329">
        <w:t xml:space="preserve">by Avraham, Hall and Gillam (2023). In the article it discusses how Gillick does not itself provide guidelines on how competency should be assessed, creating confusion for the </w:t>
      </w:r>
      <w:r w:rsidR="00EB4054">
        <w:t>professional.</w:t>
      </w:r>
      <w:r w:rsidR="000E5D53">
        <w:t xml:space="preserve"> </w:t>
      </w:r>
      <w:r w:rsidR="00EB4054">
        <w:t xml:space="preserve">This would equally cause confusion for the lay person, who </w:t>
      </w:r>
      <w:r w:rsidR="000E5D53">
        <w:t xml:space="preserve">likely has a lesser understanding of </w:t>
      </w:r>
      <w:r w:rsidR="000E5D53">
        <w:lastRenderedPageBreak/>
        <w:t xml:space="preserve">the procedure. </w:t>
      </w:r>
      <w:r w:rsidR="00577A59">
        <w:t>This issue is only worsened by the lack of information provided by health authorities as to what Gillick competence is, and how it is applied. While an overview of the concept of Gillick competence is provided by the NHS website</w:t>
      </w:r>
      <w:r w:rsidR="00016D0F">
        <w:t xml:space="preserve"> (National Health Service)</w:t>
      </w:r>
      <w:r w:rsidR="00577A59">
        <w:t xml:space="preserve">, it is brief and lacks any significant detail, leaving those seeking answers in the dark. </w:t>
      </w:r>
      <w:r w:rsidR="00016D0F">
        <w:t xml:space="preserve">This shows a lack of ability from public bodies to properly communicate Gillick competency to the public in an </w:t>
      </w:r>
      <w:r w:rsidR="008C0B36">
        <w:t>easy-to-understand</w:t>
      </w:r>
      <w:r w:rsidR="00016D0F">
        <w:t xml:space="preserve"> way, </w:t>
      </w:r>
      <w:r w:rsidR="008C0B36">
        <w:t>which m</w:t>
      </w:r>
      <w:r w:rsidR="00B30116">
        <w:t xml:space="preserve">ay cause misunderstanding and open opportunities for misinformation as to the rights of both the child and those with parental responsibility. </w:t>
      </w:r>
    </w:p>
    <w:p w14:paraId="24506A23" w14:textId="622B20F0" w:rsidR="00EB3815" w:rsidRPr="00B30116" w:rsidRDefault="00B30116">
      <w:pPr>
        <w:rPr>
          <w:b/>
          <w:bCs/>
        </w:rPr>
      </w:pPr>
      <w:r w:rsidRPr="00B30116">
        <w:rPr>
          <w:b/>
          <w:bCs/>
        </w:rPr>
        <w:t xml:space="preserve">Analysis of legal communication </w:t>
      </w:r>
    </w:p>
    <w:p w14:paraId="11E48DBC" w14:textId="25CA47AF" w:rsidR="00EB3815" w:rsidRDefault="005577D5">
      <w:r>
        <w:t>The resource that has been made is a</w:t>
      </w:r>
      <w:r w:rsidR="00B30116">
        <w:t xml:space="preserve"> legal communication intended to be an easily consumable source of information on Gillick Competency. </w:t>
      </w:r>
      <w:r w:rsidR="00A2733C">
        <w:t xml:space="preserve">One key strength of the resource I have created is its small size, intended to be shared as small posters or pamphlets, allowing it to be easily shared with the public through public spaces or through sharing of the pamphlets or posters. The resource also condenses difficult to understand concepts that are presented by Gillick </w:t>
      </w:r>
      <w:r w:rsidR="00043D10">
        <w:t xml:space="preserve">into a single digestible format, including a more descriptive outline of the case law created by Gillick </w:t>
      </w:r>
      <w:r w:rsidR="00662A98">
        <w:t xml:space="preserve">as well as the ethical considerations and dilemmas that those with parental responsibility may find themselves in cases where Gillick competency is relevant. </w:t>
      </w:r>
    </w:p>
    <w:p w14:paraId="3B562C96" w14:textId="24BBCE52" w:rsidR="00123942" w:rsidRDefault="00123942">
      <w:r>
        <w:t xml:space="preserve">This resource was particularly difficult to create due to the need to condense complex information so drastically. Gillick is an often referenced case, and is one of the leading precedents is family law. </w:t>
      </w:r>
      <w:r w:rsidR="005577D5">
        <w:t xml:space="preserve">This means that it can quickly become very complex and nuanced while still leaving large gaps in its application and judgements in which it is applied for further variation, iteration and interpretation both by the courts and the medical professionals that must apply the rules within this case. Due to the overwhelming wealth of information available on the case of Gillick and its subsequent applications, it can be difficult to parse what relevant is and isn’t necessary for the lay person to understand </w:t>
      </w:r>
    </w:p>
    <w:p w14:paraId="08066BCB" w14:textId="1DA8414D" w:rsidR="00B30116" w:rsidRDefault="0050308F">
      <w:r>
        <w:t xml:space="preserve">Further revisions of this work may be improved by making the product more visually appealing, both through its graphic design and its text formatting. </w:t>
      </w:r>
      <w:r w:rsidR="00292645">
        <w:t xml:space="preserve">This would further improve the ability of the legal communication to provide information to the public on complex legal concepts through increasing appeal and likelihood of engagement with the material. More materials could also be produced to provide more specific information around the concepts laid out in Gillick and the Fraser Guidelines. </w:t>
      </w:r>
    </w:p>
    <w:p w14:paraId="3EB90A02" w14:textId="77777777" w:rsidR="00B30116" w:rsidRDefault="00B30116"/>
    <w:p w14:paraId="361B1E9F" w14:textId="77777777" w:rsidR="00B30116" w:rsidRDefault="00B30116"/>
    <w:p w14:paraId="48CA61E0" w14:textId="77777777" w:rsidR="00577A59" w:rsidRDefault="00577A59"/>
    <w:p w14:paraId="4B5B1CD8" w14:textId="77777777" w:rsidR="005B648F" w:rsidRDefault="005B648F"/>
    <w:p w14:paraId="04E272A1" w14:textId="77777777" w:rsidR="005B648F" w:rsidRDefault="005B648F"/>
    <w:p w14:paraId="01C89F2B" w14:textId="77777777" w:rsidR="005B648F" w:rsidRDefault="005B648F"/>
    <w:p w14:paraId="6EE647AF" w14:textId="77777777" w:rsidR="005B648F" w:rsidRDefault="005B648F"/>
    <w:p w14:paraId="55B1C34A" w14:textId="77777777" w:rsidR="005B648F" w:rsidRDefault="005B648F"/>
    <w:p w14:paraId="0220C01A" w14:textId="77777777" w:rsidR="005B648F" w:rsidRDefault="005B648F"/>
    <w:p w14:paraId="7D38EA32" w14:textId="77777777" w:rsidR="005B648F" w:rsidRDefault="005B648F"/>
    <w:p w14:paraId="65BB8A09" w14:textId="4E3AE0C7" w:rsidR="005B648F" w:rsidRPr="005B648F" w:rsidRDefault="005B648F">
      <w:pPr>
        <w:rPr>
          <w:sz w:val="28"/>
          <w:szCs w:val="28"/>
        </w:rPr>
      </w:pPr>
      <w:r w:rsidRPr="005B648F">
        <w:rPr>
          <w:sz w:val="28"/>
          <w:szCs w:val="28"/>
        </w:rPr>
        <w:lastRenderedPageBreak/>
        <w:t>References:</w:t>
      </w:r>
    </w:p>
    <w:p w14:paraId="3056D960" w14:textId="1CE35BE4" w:rsidR="002B5033" w:rsidRDefault="002B5033">
      <w:r w:rsidRPr="007B20D5">
        <w:rPr>
          <w:i/>
          <w:iCs/>
        </w:rPr>
        <w:t>‘An NHS Trust v SR’</w:t>
      </w:r>
      <w:r>
        <w:t xml:space="preserve"> (2013) FLR, 1, pp. 1297</w:t>
      </w:r>
    </w:p>
    <w:p w14:paraId="37370B8E" w14:textId="3A3881D7" w:rsidR="005B648F" w:rsidRDefault="005B648F">
      <w:r>
        <w:t xml:space="preserve">Avraham, B, Gillam, L, Hall, G.A. (2023) ‘Gillick competence: an inadequate guide to the ethics of involving adolescents in decision-making’ </w:t>
      </w:r>
      <w:r w:rsidRPr="00DF5A76">
        <w:rPr>
          <w:i/>
          <w:iCs/>
        </w:rPr>
        <w:t>Journal of Medical Ethics</w:t>
      </w:r>
      <w:r>
        <w:rPr>
          <w:i/>
          <w:iCs/>
        </w:rPr>
        <w:t xml:space="preserve">. </w:t>
      </w:r>
      <w:r w:rsidRPr="00DF5A76">
        <w:t>DOI: 10.1136/jme-2023-108930</w:t>
      </w:r>
    </w:p>
    <w:p w14:paraId="26ADFFFD" w14:textId="7C424960" w:rsidR="005B648F" w:rsidRDefault="005B648F">
      <w:r w:rsidRPr="00785F6D">
        <w:rPr>
          <w:i/>
          <w:iCs/>
        </w:rPr>
        <w:t>‘Bell v Tavistock and Portman NHS Foundation Trust’</w:t>
      </w:r>
      <w:r>
        <w:t xml:space="preserve"> (2022) FLR, 1, pp. 30</w:t>
      </w:r>
    </w:p>
    <w:p w14:paraId="6AD20193" w14:textId="77777777" w:rsidR="005B648F" w:rsidRDefault="005B648F" w:rsidP="005B648F">
      <w:r w:rsidRPr="007B20D5">
        <w:rPr>
          <w:i/>
          <w:iCs/>
        </w:rPr>
        <w:t>‘Gillick v West Norfolk and Wisbech Area Health Authority’</w:t>
      </w:r>
      <w:r>
        <w:t xml:space="preserve"> (1986) FLR, 1, pp. 224</w:t>
      </w:r>
    </w:p>
    <w:p w14:paraId="38247CBC" w14:textId="486D9158" w:rsidR="005B648F" w:rsidRDefault="005B648F">
      <w:r w:rsidRPr="007B20D5">
        <w:rPr>
          <w:i/>
          <w:iCs/>
        </w:rPr>
        <w:t>Law Reform Act</w:t>
      </w:r>
      <w:r>
        <w:t xml:space="preserve"> 1969</w:t>
      </w:r>
    </w:p>
    <w:p w14:paraId="1922722E" w14:textId="59831345" w:rsidR="005B648F" w:rsidRDefault="005B648F">
      <w:proofErr w:type="spellStart"/>
      <w:r w:rsidRPr="00785F6D">
        <w:rPr>
          <w:i/>
          <w:iCs/>
        </w:rPr>
        <w:t>‘Re</w:t>
      </w:r>
      <w:proofErr w:type="spellEnd"/>
      <w:r w:rsidRPr="00785F6D">
        <w:rPr>
          <w:i/>
          <w:iCs/>
        </w:rPr>
        <w:t xml:space="preserve"> L (Medical Treatment)’</w:t>
      </w:r>
      <w:r>
        <w:t xml:space="preserve"> (1998) FLR, 2, pp. 810</w:t>
      </w:r>
    </w:p>
    <w:p w14:paraId="6109155F" w14:textId="387A8565" w:rsidR="002B5033" w:rsidRDefault="002B5033">
      <w:proofErr w:type="spellStart"/>
      <w:r w:rsidRPr="007B20D5">
        <w:rPr>
          <w:i/>
          <w:iCs/>
        </w:rPr>
        <w:t>‘Re</w:t>
      </w:r>
      <w:proofErr w:type="spellEnd"/>
      <w:r w:rsidRPr="007B20D5">
        <w:rPr>
          <w:i/>
          <w:iCs/>
        </w:rPr>
        <w:t xml:space="preserve"> W (A Minor)’</w:t>
      </w:r>
      <w:r>
        <w:t xml:space="preserve"> (1993) </w:t>
      </w:r>
      <w:r w:rsidR="007B20D5">
        <w:t>FLR, 1, pp. 692</w:t>
      </w:r>
    </w:p>
    <w:p w14:paraId="43CDA5BF" w14:textId="40F70149" w:rsidR="007B20D5" w:rsidRDefault="007B20D5"/>
    <w:p w14:paraId="2DE2F521" w14:textId="54AE2E3F" w:rsidR="00785F6D" w:rsidRDefault="00785F6D"/>
    <w:p w14:paraId="4ED89536" w14:textId="389E243B" w:rsidR="00785F6D" w:rsidRPr="00DF5A76" w:rsidRDefault="00785F6D"/>
    <w:sectPr w:rsidR="00785F6D" w:rsidRPr="00DF5A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BC9"/>
    <w:rsid w:val="00016D0F"/>
    <w:rsid w:val="00043D10"/>
    <w:rsid w:val="00051FDF"/>
    <w:rsid w:val="00070AD6"/>
    <w:rsid w:val="000A1253"/>
    <w:rsid w:val="000E5D53"/>
    <w:rsid w:val="00123942"/>
    <w:rsid w:val="00167A19"/>
    <w:rsid w:val="00174801"/>
    <w:rsid w:val="001F2F6F"/>
    <w:rsid w:val="00200329"/>
    <w:rsid w:val="002509C9"/>
    <w:rsid w:val="00292645"/>
    <w:rsid w:val="002A0383"/>
    <w:rsid w:val="002B5033"/>
    <w:rsid w:val="00360FFA"/>
    <w:rsid w:val="003627AF"/>
    <w:rsid w:val="00390090"/>
    <w:rsid w:val="003B033E"/>
    <w:rsid w:val="00412EF3"/>
    <w:rsid w:val="004165E6"/>
    <w:rsid w:val="004B0800"/>
    <w:rsid w:val="0050308F"/>
    <w:rsid w:val="005577D5"/>
    <w:rsid w:val="00577A59"/>
    <w:rsid w:val="005A68BE"/>
    <w:rsid w:val="005B648F"/>
    <w:rsid w:val="005D0E54"/>
    <w:rsid w:val="00662A98"/>
    <w:rsid w:val="006A3F9D"/>
    <w:rsid w:val="006D4435"/>
    <w:rsid w:val="00785F6D"/>
    <w:rsid w:val="007B20D5"/>
    <w:rsid w:val="007E186B"/>
    <w:rsid w:val="00803C9B"/>
    <w:rsid w:val="00893CFA"/>
    <w:rsid w:val="008C0B36"/>
    <w:rsid w:val="008F76F3"/>
    <w:rsid w:val="009827F2"/>
    <w:rsid w:val="00994BC9"/>
    <w:rsid w:val="00A2733C"/>
    <w:rsid w:val="00A50A58"/>
    <w:rsid w:val="00B225F4"/>
    <w:rsid w:val="00B30116"/>
    <w:rsid w:val="00B96C49"/>
    <w:rsid w:val="00BA063E"/>
    <w:rsid w:val="00BE7E1F"/>
    <w:rsid w:val="00C6789E"/>
    <w:rsid w:val="00C813AC"/>
    <w:rsid w:val="00C85290"/>
    <w:rsid w:val="00C8750F"/>
    <w:rsid w:val="00CF2555"/>
    <w:rsid w:val="00D048DB"/>
    <w:rsid w:val="00D16231"/>
    <w:rsid w:val="00DF5A76"/>
    <w:rsid w:val="00E128FD"/>
    <w:rsid w:val="00E332A1"/>
    <w:rsid w:val="00E533AC"/>
    <w:rsid w:val="00E73CF5"/>
    <w:rsid w:val="00EB3815"/>
    <w:rsid w:val="00EB4054"/>
    <w:rsid w:val="00F549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A55DD3"/>
  <w15:chartTrackingRefBased/>
  <w15:docId w15:val="{2D045134-8417-44C7-AB5E-39A1F67A5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4B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94B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4B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4B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4B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4B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4B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4B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4B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4B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4B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4B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4B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4B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4B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4B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4B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4BC9"/>
    <w:rPr>
      <w:rFonts w:eastAsiaTheme="majorEastAsia" w:cstheme="majorBidi"/>
      <w:color w:val="272727" w:themeColor="text1" w:themeTint="D8"/>
    </w:rPr>
  </w:style>
  <w:style w:type="paragraph" w:styleId="Title">
    <w:name w:val="Title"/>
    <w:basedOn w:val="Normal"/>
    <w:next w:val="Normal"/>
    <w:link w:val="TitleChar"/>
    <w:uiPriority w:val="10"/>
    <w:qFormat/>
    <w:rsid w:val="00994B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4B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4B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4B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4BC9"/>
    <w:pPr>
      <w:spacing w:before="160"/>
      <w:jc w:val="center"/>
    </w:pPr>
    <w:rPr>
      <w:i/>
      <w:iCs/>
      <w:color w:val="404040" w:themeColor="text1" w:themeTint="BF"/>
    </w:rPr>
  </w:style>
  <w:style w:type="character" w:customStyle="1" w:styleId="QuoteChar">
    <w:name w:val="Quote Char"/>
    <w:basedOn w:val="DefaultParagraphFont"/>
    <w:link w:val="Quote"/>
    <w:uiPriority w:val="29"/>
    <w:rsid w:val="00994BC9"/>
    <w:rPr>
      <w:i/>
      <w:iCs/>
      <w:color w:val="404040" w:themeColor="text1" w:themeTint="BF"/>
    </w:rPr>
  </w:style>
  <w:style w:type="paragraph" w:styleId="ListParagraph">
    <w:name w:val="List Paragraph"/>
    <w:basedOn w:val="Normal"/>
    <w:uiPriority w:val="34"/>
    <w:qFormat/>
    <w:rsid w:val="00994BC9"/>
    <w:pPr>
      <w:ind w:left="720"/>
      <w:contextualSpacing/>
    </w:pPr>
  </w:style>
  <w:style w:type="character" w:styleId="IntenseEmphasis">
    <w:name w:val="Intense Emphasis"/>
    <w:basedOn w:val="DefaultParagraphFont"/>
    <w:uiPriority w:val="21"/>
    <w:qFormat/>
    <w:rsid w:val="00994BC9"/>
    <w:rPr>
      <w:i/>
      <w:iCs/>
      <w:color w:val="0F4761" w:themeColor="accent1" w:themeShade="BF"/>
    </w:rPr>
  </w:style>
  <w:style w:type="paragraph" w:styleId="IntenseQuote">
    <w:name w:val="Intense Quote"/>
    <w:basedOn w:val="Normal"/>
    <w:next w:val="Normal"/>
    <w:link w:val="IntenseQuoteChar"/>
    <w:uiPriority w:val="30"/>
    <w:qFormat/>
    <w:rsid w:val="00994B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4BC9"/>
    <w:rPr>
      <w:i/>
      <w:iCs/>
      <w:color w:val="0F4761" w:themeColor="accent1" w:themeShade="BF"/>
    </w:rPr>
  </w:style>
  <w:style w:type="character" w:styleId="IntenseReference">
    <w:name w:val="Intense Reference"/>
    <w:basedOn w:val="DefaultParagraphFont"/>
    <w:uiPriority w:val="32"/>
    <w:qFormat/>
    <w:rsid w:val="00994BC9"/>
    <w:rPr>
      <w:b/>
      <w:bCs/>
      <w:smallCaps/>
      <w:color w:val="0F4761" w:themeColor="accent1" w:themeShade="BF"/>
      <w:spacing w:val="5"/>
    </w:rPr>
  </w:style>
  <w:style w:type="character" w:styleId="Hyperlink">
    <w:name w:val="Hyperlink"/>
    <w:basedOn w:val="DefaultParagraphFont"/>
    <w:uiPriority w:val="99"/>
    <w:unhideWhenUsed/>
    <w:rsid w:val="00174801"/>
    <w:rPr>
      <w:color w:val="467886" w:themeColor="hyperlink"/>
      <w:u w:val="single"/>
    </w:rPr>
  </w:style>
  <w:style w:type="character" w:styleId="UnresolvedMention">
    <w:name w:val="Unresolved Mention"/>
    <w:basedOn w:val="DefaultParagraphFont"/>
    <w:uiPriority w:val="99"/>
    <w:semiHidden/>
    <w:unhideWhenUsed/>
    <w:rsid w:val="00174801"/>
    <w:rPr>
      <w:color w:val="605E5C"/>
      <w:shd w:val="clear" w:color="auto" w:fill="E1DFDD"/>
    </w:rPr>
  </w:style>
  <w:style w:type="character" w:styleId="FollowedHyperlink">
    <w:name w:val="FollowedHyperlink"/>
    <w:basedOn w:val="DefaultParagraphFont"/>
    <w:uiPriority w:val="99"/>
    <w:semiHidden/>
    <w:unhideWhenUsed/>
    <w:rsid w:val="00E332A1"/>
    <w:rPr>
      <w:color w:val="96607D" w:themeColor="followedHyperlink"/>
      <w:u w:val="single"/>
    </w:rPr>
  </w:style>
  <w:style w:type="table" w:styleId="TableGrid">
    <w:name w:val="Table Grid"/>
    <w:basedOn w:val="TableNormal"/>
    <w:uiPriority w:val="39"/>
    <w:rsid w:val="005B648F"/>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994</TotalTime>
  <Pages>6</Pages>
  <Words>1224</Words>
  <Characters>6980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Gabrial Harris</dc:creator>
  <cp:keywords/>
  <dc:description/>
  <cp:lastModifiedBy>Gabrial Harris</cp:lastModifiedBy>
  <cp:revision>9</cp:revision>
  <dcterms:created xsi:type="dcterms:W3CDTF">2024-11-04T23:32:00Z</dcterms:created>
  <dcterms:modified xsi:type="dcterms:W3CDTF">2025-03-21T23:49:00Z</dcterms:modified>
</cp:coreProperties>
</file>