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75638AAC" w:rsidR="7908378C" w:rsidRDefault="7908378C" w:rsidP="33572C6E">
            <w:pPr>
              <w:ind w:right="237"/>
              <w:rPr>
                <w:b/>
                <w:bCs/>
                <w:color w:val="auto"/>
                <w:sz w:val="32"/>
                <w:szCs w:val="32"/>
              </w:rPr>
            </w:pPr>
            <w:r w:rsidRPr="33572C6E">
              <w:rPr>
                <w:b/>
                <w:bCs/>
                <w:color w:val="auto"/>
                <w:sz w:val="32"/>
                <w:szCs w:val="32"/>
              </w:rPr>
              <w:t>Learner name:</w:t>
            </w:r>
            <w:r w:rsidR="00742EDA">
              <w:rPr>
                <w:b/>
                <w:bCs/>
                <w:color w:val="auto"/>
                <w:sz w:val="32"/>
                <w:szCs w:val="32"/>
              </w:rPr>
              <w:t xml:space="preserve"> MATTHEW MOARES</w:t>
            </w:r>
            <w:r w:rsidRPr="33572C6E">
              <w:rPr>
                <w:b/>
                <w:bCs/>
                <w:color w:val="auto"/>
                <w:sz w:val="32"/>
                <w:szCs w:val="32"/>
              </w:rPr>
              <w:t xml:space="preserve"> ______________________________</w:t>
            </w:r>
          </w:p>
          <w:p w14:paraId="3A3A802D" w14:textId="77777777" w:rsidR="33572C6E" w:rsidRDefault="33572C6E" w:rsidP="33572C6E">
            <w:pPr>
              <w:ind w:right="237"/>
              <w:rPr>
                <w:b/>
                <w:bCs/>
                <w:color w:val="auto"/>
                <w:sz w:val="32"/>
                <w:szCs w:val="32"/>
              </w:rPr>
            </w:pPr>
          </w:p>
          <w:p w14:paraId="5DC3CFD6" w14:textId="7CC87429" w:rsidR="7908378C" w:rsidRDefault="7908378C" w:rsidP="33572C6E">
            <w:pPr>
              <w:ind w:right="237"/>
              <w:rPr>
                <w:b/>
                <w:bCs/>
                <w:color w:val="auto"/>
                <w:sz w:val="32"/>
                <w:szCs w:val="32"/>
              </w:rPr>
            </w:pPr>
            <w:r w:rsidRPr="33572C6E">
              <w:rPr>
                <w:b/>
                <w:bCs/>
                <w:color w:val="auto"/>
                <w:sz w:val="32"/>
                <w:szCs w:val="32"/>
              </w:rPr>
              <w:t>Learner’s University Registration Number:</w:t>
            </w:r>
            <w:r w:rsidR="00742EDA">
              <w:rPr>
                <w:b/>
                <w:bCs/>
                <w:color w:val="auto"/>
                <w:sz w:val="32"/>
                <w:szCs w:val="32"/>
              </w:rPr>
              <w:t xml:space="preserve"> 2236111</w:t>
            </w:r>
          </w:p>
          <w:p w14:paraId="7883A53E" w14:textId="77777777" w:rsidR="7908378C" w:rsidRDefault="7908378C" w:rsidP="33572C6E">
            <w:pPr>
              <w:ind w:right="237"/>
              <w:rPr>
                <w:b/>
                <w:bCs/>
                <w:color w:val="auto"/>
                <w:sz w:val="32"/>
                <w:szCs w:val="32"/>
              </w:rPr>
            </w:pPr>
            <w:r w:rsidRPr="33572C6E">
              <w:rPr>
                <w:b/>
                <w:bCs/>
                <w:color w:val="auto"/>
                <w:sz w:val="32"/>
                <w:szCs w:val="32"/>
              </w:rPr>
              <w:t>_______________________________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5F8928E7"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4578E4">
        <w:rPr>
          <w:b/>
          <w:bCs/>
          <w:i/>
          <w:iCs/>
          <w:color w:val="auto"/>
          <w:sz w:val="24"/>
          <w:szCs w:val="24"/>
        </w:rPr>
        <w:t>9</w:t>
      </w:r>
      <w:r w:rsidR="3DBF3393" w:rsidRPr="45B99DA0">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7CF3862A" w14:textId="77777777" w:rsidR="0000743D" w:rsidRPr="0000743D" w:rsidRDefault="5B843AF0" w:rsidP="0000743D">
      <w:pPr>
        <w:ind w:right="237"/>
        <w:jc w:val="both"/>
        <w:rPr>
          <w:rFonts w:eastAsia="Arial"/>
          <w:color w:val="000000" w:themeColor="text1"/>
          <w:sz w:val="24"/>
          <w:szCs w:val="24"/>
        </w:rPr>
      </w:pPr>
      <w:r w:rsidRPr="5CE196A1">
        <w:rPr>
          <w:rFonts w:eastAsia="Arial"/>
          <w:b/>
          <w:bCs/>
          <w:color w:val="000000" w:themeColor="text1"/>
          <w:sz w:val="24"/>
          <w:szCs w:val="24"/>
        </w:rPr>
        <w:t>ANSWER:</w:t>
      </w:r>
      <w:r w:rsidR="0000743D">
        <w:rPr>
          <w:rFonts w:eastAsia="Arial"/>
          <w:b/>
          <w:bCs/>
          <w:color w:val="000000" w:themeColor="text1"/>
          <w:sz w:val="24"/>
          <w:szCs w:val="24"/>
        </w:rPr>
        <w:t xml:space="preserve"> </w:t>
      </w:r>
      <w:r w:rsidR="0000743D" w:rsidRPr="0000743D">
        <w:rPr>
          <w:rFonts w:eastAsia="Arial"/>
          <w:color w:val="000000" w:themeColor="text1"/>
          <w:sz w:val="24"/>
          <w:szCs w:val="24"/>
        </w:rPr>
        <w:t>This essay outlines the dilemma of Anti-Social Behaviour, where crime may or may not be present, exploring the effectiveness of various disposals available to UK police.</w:t>
      </w:r>
    </w:p>
    <w:p w14:paraId="256EF1AB" w14:textId="77777777" w:rsidR="0000743D" w:rsidRPr="0000743D" w:rsidRDefault="0000743D" w:rsidP="0000743D">
      <w:pPr>
        <w:ind w:right="237"/>
        <w:jc w:val="both"/>
        <w:rPr>
          <w:rFonts w:eastAsia="Arial"/>
          <w:color w:val="000000" w:themeColor="text1"/>
          <w:sz w:val="24"/>
          <w:szCs w:val="24"/>
        </w:rPr>
      </w:pPr>
    </w:p>
    <w:p w14:paraId="2C3A0311"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(College of Policing, 2024) defines ASB as “conduct that has caused – or is likely to cause – harassment, alarm or distress to any person”. From this definition, it can be assumed that ASB can present both in public, and in private. Moreover, such conduct does not necessarily need to involve crime specifically. Therefore, the scope of ASB is quite broad.</w:t>
      </w:r>
    </w:p>
    <w:p w14:paraId="489463C4" w14:textId="77777777" w:rsidR="0000743D" w:rsidRPr="0000743D" w:rsidRDefault="0000743D" w:rsidP="0000743D">
      <w:pPr>
        <w:ind w:right="237"/>
        <w:jc w:val="both"/>
        <w:rPr>
          <w:rFonts w:eastAsia="Arial"/>
          <w:color w:val="000000" w:themeColor="text1"/>
          <w:sz w:val="24"/>
          <w:szCs w:val="24"/>
        </w:rPr>
      </w:pPr>
    </w:p>
    <w:p w14:paraId="7FC41FB4"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This particular case study relates to a local Anti-Social Behaviour (ASB) problem, where residents were consistently complaining about youths drinking, littering, and making noise at unsociable hours in a residential cul-de-sac. It had further been reported these youths had been setting off fireworks in the built-up cul-de-sac in light of bonfire night and Halloween festivities. Relevant legislation presented reasonable limitations to police action, but it also provided certain police powers that would prove effective in dealing with the problem.</w:t>
      </w:r>
    </w:p>
    <w:p w14:paraId="220143DD" w14:textId="77777777" w:rsidR="0000743D" w:rsidRPr="0000743D" w:rsidRDefault="0000743D" w:rsidP="0000743D">
      <w:pPr>
        <w:ind w:right="237"/>
        <w:jc w:val="both"/>
        <w:rPr>
          <w:rFonts w:eastAsia="Arial"/>
          <w:color w:val="000000" w:themeColor="text1"/>
          <w:sz w:val="24"/>
          <w:szCs w:val="24"/>
        </w:rPr>
      </w:pPr>
    </w:p>
    <w:p w14:paraId="25953859" w14:textId="608781D5"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As in any policing operation, it was important to consider that any powers used must be weighed against the public’s human rights. In this case, areas of particular concern were: Article 1 – freeness and equality; Article 10 – freedom of expression; and Article 11, which states that no-one shall be held guilty of an offence where their acts or omissions do not constitute a penal offence (European Convention on Human Rights, 1950).</w:t>
      </w:r>
    </w:p>
    <w:p w14:paraId="689F779C" w14:textId="77777777" w:rsidR="0000743D" w:rsidRPr="0000743D" w:rsidRDefault="0000743D" w:rsidP="0000743D">
      <w:pPr>
        <w:ind w:right="237"/>
        <w:jc w:val="both"/>
        <w:rPr>
          <w:rFonts w:eastAsia="Arial"/>
          <w:color w:val="000000" w:themeColor="text1"/>
          <w:sz w:val="24"/>
          <w:szCs w:val="24"/>
        </w:rPr>
      </w:pPr>
    </w:p>
    <w:p w14:paraId="48BC8E3D" w14:textId="5BC64665"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lastRenderedPageBreak/>
        <w:t>Much of the literature on tackling ASB resolves around ‘problem-oriented policing’ (College of Policing, 2024). As per (ibid), problem-solving policing is an approach to addressing crime and disorder that involves several key steps. It begins with identifying a specific problem, followed by a thorough analysis to understand the underlying issues. Based on this understanding, a tailored response is developed to address the problem effectively. Finally, the impact of the response is assessed to determine its success and make any necessary adjustments.</w:t>
      </w:r>
    </w:p>
    <w:p w14:paraId="04A98997"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 xml:space="preserve"> </w:t>
      </w:r>
    </w:p>
    <w:p w14:paraId="771007A5"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This ‘problem’ theory has formed the more sophisticated ‘SARA model which has seen positive result amongst UK forces</w:t>
      </w:r>
    </w:p>
    <w:p w14:paraId="3D024212"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 xml:space="preserve"> </w:t>
      </w:r>
    </w:p>
    <w:p w14:paraId="1AAD9391"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Scanning: This involves identifying weaknesses in a public or private space , including social or geographical/environmental factors whereby crime and disorder becomes desirable or, at least, more accessible to offenders; Analysis: This involves understanding the underlying causes and contributing factors of the problem in more depth; Response: Developing and implementing tailored strategies to address the problem; Assessment: Evaluating the effectiveness of the response and making necessary adjustments. (ibid).</w:t>
      </w:r>
    </w:p>
    <w:p w14:paraId="1002F227" w14:textId="77777777" w:rsidR="0000743D" w:rsidRPr="0000743D" w:rsidRDefault="0000743D" w:rsidP="0000743D">
      <w:pPr>
        <w:ind w:right="237"/>
        <w:jc w:val="both"/>
        <w:rPr>
          <w:rFonts w:eastAsia="Arial"/>
          <w:color w:val="000000" w:themeColor="text1"/>
          <w:sz w:val="24"/>
          <w:szCs w:val="24"/>
        </w:rPr>
      </w:pPr>
    </w:p>
    <w:p w14:paraId="5C1078CA" w14:textId="27C8C1F9"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(ibid) emphasises the systematic and evidence-based nature of the SARA model, where by breaking down problems into manageable components, police and local authorities can develop targeted strategies that address the root causes of ASB.</w:t>
      </w:r>
    </w:p>
    <w:p w14:paraId="7EF6C72E"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 xml:space="preserve"> </w:t>
      </w:r>
    </w:p>
    <w:p w14:paraId="5C441BD5"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A meta-analysis included in the guidance revealed that problem-oriented policing strategies, including the SARA model, led to a significant reduction in crime and disorder. Studies indicate a 33% reduction in ASB incidents following the implementation of SARA-based interventions (ibid).</w:t>
      </w:r>
    </w:p>
    <w:p w14:paraId="3BEC986A"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 xml:space="preserve"> </w:t>
      </w:r>
    </w:p>
    <w:p w14:paraId="7E9FF2C5"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(Brandon, 2015) corroborates these findings, illustrating through various case studies how the SARA model effectively reduces crime and disorder. For instance, in one case study involving a public housing project plagued by ASB, the implementation of SARA resulted in a 40% reduction in reported incidents over a six-month period.</w:t>
      </w:r>
    </w:p>
    <w:p w14:paraId="59316EB8"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 xml:space="preserve"> </w:t>
      </w:r>
    </w:p>
    <w:p w14:paraId="58716C1F"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The effectiveness of the SARA model in curbing ASB is supported by numerous other case studies. In one example documented by (College of Policing, 2024), a UK police force used the SARA model to address persistent ASB in a local park. The scanning phase identified peak times and types of ASB, while the analysis phase revealed underlying causes, such as inadequate lighting and lack of recreational facilities. The response involved increased patrols, improved lighting, and the installation of a youth centre. The assessment phase showed a 50% reduction in ASB incidents within three months of implementation (ibid).</w:t>
      </w:r>
    </w:p>
    <w:p w14:paraId="124DD4F4"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 xml:space="preserve"> </w:t>
      </w:r>
    </w:p>
    <w:p w14:paraId="4EEF5980"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 xml:space="preserve">The response to anti-social behaviour, particularly where the implementation of SARA is concerned, often requires collaboration between different agencies to determine the most appropriate solution (College of Policing 2024). Where a complaint is made to one agency, that agency may utilise the roles of others in providing a solution if they lack relevant skills or resources. This will help to ensure that reports of anti-social behaviour are not lost or left unanswered. It may also help to provide a mechanism for engagement from the wider community in finding </w:t>
      </w:r>
      <w:r w:rsidRPr="0000743D">
        <w:rPr>
          <w:rFonts w:eastAsia="Arial"/>
          <w:color w:val="000000" w:themeColor="text1"/>
          <w:sz w:val="24"/>
          <w:szCs w:val="24"/>
        </w:rPr>
        <w:lastRenderedPageBreak/>
        <w:t>solutions to local anti-social behaviour issues. Examples of partnership working may include: calling upon the local council to install target hardening; working with fire and rescue where accessibility is an issue; or, notifying social services to conduct welfare checks of vulnerable persons, or; referring young offenders to the Youth Offending Service to facilitate restorative justice and prevent re-offending (College of Policing, 2024).</w:t>
      </w:r>
    </w:p>
    <w:p w14:paraId="4F495A91"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 xml:space="preserve"> </w:t>
      </w:r>
    </w:p>
    <w:p w14:paraId="4C244910"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There is, however, a disadvantage to the multi-agency approach. Where information sharing must be balanced against the need to protect individuals' privacy, agencies must navigate complex legal processes to ensure information is shared lawfully, and this can slow the response process (Abhay, 2023). In my case particularly, there remained an immediate need to mitigate threat/risk/harm using fast track actions backed by police powers.</w:t>
      </w:r>
    </w:p>
    <w:p w14:paraId="2713C33B"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 xml:space="preserve"> </w:t>
      </w:r>
    </w:p>
    <w:p w14:paraId="3C356ECC"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Upon first attending the cul-de-sac, stop and search powers under section 1 of (PACE, 1984) was an obvious first consideration. (ibid) provides that, a constable may stop, detain, and search any person or vehicle in a public place, if they have ‘reasonable grounds’ to suspect they will find stolen or prohibited articles or something that could be used to commit a crime (including prohibited fireworks). The inclusion of ‘prohibited fireworks’ in the legislation (ibid) provided a clear legal basis in this situation. However, Stop Searches proved impractical given the widespread reach of ASB. Search grounds relied upon what officers could physically see, hear or smell at a given time, and the criteria for ‘reasonable grounds’ was scarcely met as it relied on acute knowledge of specific individuals.</w:t>
      </w:r>
    </w:p>
    <w:p w14:paraId="68E86312"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 xml:space="preserve"> </w:t>
      </w:r>
    </w:p>
    <w:p w14:paraId="362D9703"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A potential solution to this dilemma was to issue a section 60 notice in the neighbourhood. Section 60 of the (Criminal Justice and Public Order Act, 1994) provides that, in certain circumstances, an inspector (or higher-ranking officer) can authorise search without grounds over a certain radius, to prevent serious violence. If the officer believes that individuals are carrying dangerous instruments or offensive weapons in the area without a valid reason, they can also issue an authorisation, which allows the exercise of powers specified in the section at any location within the designated area for a period not exceeding 24 hours (ibid).</w:t>
      </w:r>
    </w:p>
    <w:p w14:paraId="0E071008"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 xml:space="preserve"> </w:t>
      </w:r>
    </w:p>
    <w:p w14:paraId="3FFEB063"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This power would provide a more blanketed search strategy; however, it could not be considered appropriate as, whilst fireworks might be considered dangerous instruments, there had been no mention of weapons or injuries cause. As such, my inspector was not satisfied that the threshold of threat to the public had been met.</w:t>
      </w:r>
    </w:p>
    <w:p w14:paraId="28C1A99F"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Knowing this was not an option, there became a greater reliance on dispersing the problem, rather than trying to remove the causal objects from those involved.</w:t>
      </w:r>
    </w:p>
    <w:p w14:paraId="28950291" w14:textId="77777777" w:rsidR="0000743D" w:rsidRPr="0000743D" w:rsidRDefault="0000743D" w:rsidP="0000743D">
      <w:pPr>
        <w:ind w:right="237"/>
        <w:jc w:val="both"/>
        <w:rPr>
          <w:rFonts w:eastAsia="Arial"/>
          <w:color w:val="000000" w:themeColor="text1"/>
          <w:sz w:val="24"/>
          <w:szCs w:val="24"/>
        </w:rPr>
      </w:pPr>
    </w:p>
    <w:p w14:paraId="77904B4A"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ASB also presents a unique issue in that, while behaviour may be antisocial, it may be the case that no criminal offences are technically being committed (Bryant, Bryant 2020). Yet, where members of the public are unhappy, there remains a clear onus on police and local authorities to take action in order to create a safer, or cleaner, public space.</w:t>
      </w:r>
    </w:p>
    <w:p w14:paraId="75A5552F"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 xml:space="preserve"> </w:t>
      </w:r>
    </w:p>
    <w:p w14:paraId="62C1DD4A"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 xml:space="preserve">A solution to this problem in this case was to issue ‘orders to leave’ under Section 35 of the (Anti-social Behaviour, Crime and Policing Act, 2014). The legislation grants police officers and police community support officers (PCSOs) the power to </w:t>
      </w:r>
      <w:r w:rsidRPr="0000743D">
        <w:rPr>
          <w:rFonts w:eastAsia="Arial"/>
          <w:color w:val="000000" w:themeColor="text1"/>
          <w:sz w:val="24"/>
          <w:szCs w:val="24"/>
        </w:rPr>
        <w:lastRenderedPageBreak/>
        <w:t>direct individuals to leave a specified area for up to 48 hours if their presence is likely to contribute to anti-social behaviour, crime, or disorder. This power aims to prevent escalation and protect the community. Officers must reasonably believe the direction is necessary to reduce the likelihood of further issues and provide the individual with a written notice explaining the direction (ibid).</w:t>
      </w:r>
    </w:p>
    <w:p w14:paraId="42534B68"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Compared to S.1 PACE stop-searches, this disposal was not only less intrusive, but more accessible due to the fact it did not rely on such rigid grounds. It proved to be much more effective in that it directly deterred and removed problematic individuals from the area.</w:t>
      </w:r>
    </w:p>
    <w:p w14:paraId="1080A15C"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 xml:space="preserve"> </w:t>
      </w:r>
    </w:p>
    <w:p w14:paraId="31BB1253"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However, like S.1 PACE stop search, it would eventually prove unsustainable on its own. This was because the process relied upon the constant discovery of isolated incidents and the formal identification of those involved, which placed a heavy strain on police resources.</w:t>
      </w:r>
    </w:p>
    <w:p w14:paraId="70BAD410"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 xml:space="preserve"> </w:t>
      </w:r>
    </w:p>
    <w:p w14:paraId="4A6668D1"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Instead, a preventative approach was taken by way of a PSPO (Public Space Protection Order).  Section 59 of the (Anti-social Behaviour, Crime and Policing Act, 2014) allows local authorities to issue Public Spaces Protection Orders (PSPOs). These orders are designed to prevent individuals or groups from engaging in activities in a public space that negatively impact the local community's quality of life, whereby breaches are punishable by fines of up to £1000. Through the SWP Community Safety department, I liaised with the local council to set up a PSPO which prohibited fireworks and alcohol within cul-de-sac and neighbouring park.  I requested the fine be set at this maximum value to provide the strongest deterrent possible.</w:t>
      </w:r>
    </w:p>
    <w:p w14:paraId="55CFEF45"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 xml:space="preserve"> </w:t>
      </w:r>
    </w:p>
    <w:p w14:paraId="251AFFA3"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Once in place, signs were set out in both Welsh and English across the areas.  As in any Welsh force area, there is a legal responsibility for police and local authorities to send and display communications in Welsh as well as English (Welsh Government, 2020). This would become relevant when considering signage as a crime and ASB prevention measure, as discussed later in this essay. The importance of adhering to this law is not only down to compliance with the WLA itself, but, in a broader sense, in upholding transparency to the public and respecting equality with regards to Welsh speakers.</w:t>
      </w:r>
    </w:p>
    <w:p w14:paraId="17CDD454"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 xml:space="preserve"> </w:t>
      </w:r>
    </w:p>
    <w:p w14:paraId="4E575243" w14:textId="77777777" w:rsidR="0000743D" w:rsidRPr="0000743D" w:rsidRDefault="0000743D" w:rsidP="0000743D">
      <w:pPr>
        <w:ind w:right="237"/>
        <w:jc w:val="both"/>
        <w:rPr>
          <w:rFonts w:eastAsia="Arial"/>
          <w:color w:val="000000" w:themeColor="text1"/>
          <w:sz w:val="24"/>
          <w:szCs w:val="24"/>
        </w:rPr>
      </w:pPr>
    </w:p>
    <w:p w14:paraId="06FBB394"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Next, was to apply the SARA model to this incident, where the model was implemented as follows:</w:t>
      </w:r>
    </w:p>
    <w:p w14:paraId="0124E313" w14:textId="77777777" w:rsidR="0000743D" w:rsidRPr="0000743D" w:rsidRDefault="0000743D" w:rsidP="0000743D">
      <w:pPr>
        <w:ind w:right="237"/>
        <w:jc w:val="both"/>
        <w:rPr>
          <w:rFonts w:eastAsia="Arial"/>
          <w:color w:val="000000" w:themeColor="text1"/>
          <w:sz w:val="24"/>
          <w:szCs w:val="24"/>
        </w:rPr>
      </w:pPr>
    </w:p>
    <w:p w14:paraId="7F280D1D"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Scanning: Data from police logs, council reports, and resident complaints identified recurring ASB, particularly during evenings and weekends. The cul-de-sac's poor lighting and secluded nature made it attractive for youths engaging in drinking, littering, and setting off fireworks.</w:t>
      </w:r>
    </w:p>
    <w:p w14:paraId="3E8C2119" w14:textId="77777777" w:rsidR="0000743D" w:rsidRPr="0000743D" w:rsidRDefault="0000743D" w:rsidP="0000743D">
      <w:pPr>
        <w:ind w:right="237"/>
        <w:jc w:val="both"/>
        <w:rPr>
          <w:rFonts w:eastAsia="Arial"/>
          <w:color w:val="000000" w:themeColor="text1"/>
          <w:sz w:val="24"/>
          <w:szCs w:val="24"/>
        </w:rPr>
      </w:pPr>
    </w:p>
    <w:p w14:paraId="20DEA25D"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Analysis: Interviews revealed that the lack of recreational facilities contributed to the youths congregating in the area. The predominantly elderly, Welsh-speaking residents felt vulnerable and hesitant to report incidents, highlighting the need for sensitive engagement.</w:t>
      </w:r>
    </w:p>
    <w:p w14:paraId="18077AF1" w14:textId="77777777" w:rsidR="0000743D" w:rsidRPr="0000743D" w:rsidRDefault="0000743D" w:rsidP="0000743D">
      <w:pPr>
        <w:ind w:right="237"/>
        <w:jc w:val="both"/>
        <w:rPr>
          <w:rFonts w:eastAsia="Arial"/>
          <w:color w:val="000000" w:themeColor="text1"/>
          <w:sz w:val="24"/>
          <w:szCs w:val="24"/>
        </w:rPr>
      </w:pPr>
    </w:p>
    <w:p w14:paraId="72042905"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lastRenderedPageBreak/>
        <w:t>Response: Collaborative efforts with the council led to improved street lighting and the installation of CCTV. I coordinated with youth services to provide alternative activities, reducing the attractiveness of the cul-de-sac. Joint police and PCSO patrols increased visibility during peak times. A PSPO was implemented, with bilingual signage to ensure compliance with Welsh language requirements.</w:t>
      </w:r>
    </w:p>
    <w:p w14:paraId="24A68ADF" w14:textId="77777777" w:rsidR="0000743D" w:rsidRPr="0000743D" w:rsidRDefault="0000743D" w:rsidP="0000743D">
      <w:pPr>
        <w:ind w:right="237"/>
        <w:jc w:val="both"/>
        <w:rPr>
          <w:rFonts w:eastAsia="Arial"/>
          <w:color w:val="000000" w:themeColor="text1"/>
          <w:sz w:val="24"/>
          <w:szCs w:val="24"/>
        </w:rPr>
      </w:pPr>
    </w:p>
    <w:p w14:paraId="242A4FC6"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 xml:space="preserve">Support for the victims was also a priority. </w:t>
      </w:r>
    </w:p>
    <w:p w14:paraId="064332B4" w14:textId="77777777" w:rsidR="0000743D" w:rsidRPr="0000743D" w:rsidRDefault="0000743D" w:rsidP="0000743D">
      <w:pPr>
        <w:ind w:right="237"/>
        <w:jc w:val="both"/>
        <w:rPr>
          <w:rFonts w:eastAsia="Arial"/>
          <w:color w:val="000000" w:themeColor="text1"/>
          <w:sz w:val="24"/>
          <w:szCs w:val="24"/>
        </w:rPr>
      </w:pPr>
    </w:p>
    <w:p w14:paraId="5AFCD9B6"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The two routinely offered mechanisms for support in SWP are Victim Focus Referrals and Public Protection Notifications.</w:t>
      </w:r>
    </w:p>
    <w:p w14:paraId="31390F68" w14:textId="77777777" w:rsidR="0000743D" w:rsidRPr="0000743D" w:rsidRDefault="0000743D" w:rsidP="0000743D">
      <w:pPr>
        <w:ind w:right="237"/>
        <w:jc w:val="both"/>
        <w:rPr>
          <w:rFonts w:eastAsia="Arial"/>
          <w:color w:val="000000" w:themeColor="text1"/>
          <w:sz w:val="24"/>
          <w:szCs w:val="24"/>
        </w:rPr>
      </w:pPr>
    </w:p>
    <w:p w14:paraId="7510DF05"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 xml:space="preserve">Victim Focus provides tailored support for victims of anti-social behaviour (ASB) by offering emotional assistance and practical advice. The service holds one-on-one consultations to provide guidance on how to effectively record and report ASB, accessing local services, and understanding their legal options. They also offer resources for coping with the psychological impact of ASB, such as referrals to specialist support, including counselling (SWVF, 2024). </w:t>
      </w:r>
    </w:p>
    <w:p w14:paraId="2348C5A5" w14:textId="77777777" w:rsidR="0000743D" w:rsidRPr="0000743D" w:rsidRDefault="0000743D" w:rsidP="0000743D">
      <w:pPr>
        <w:ind w:right="237"/>
        <w:jc w:val="both"/>
        <w:rPr>
          <w:rFonts w:eastAsia="Arial"/>
          <w:color w:val="000000" w:themeColor="text1"/>
          <w:sz w:val="24"/>
          <w:szCs w:val="24"/>
        </w:rPr>
      </w:pPr>
    </w:p>
    <w:p w14:paraId="39D3041D"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Meanwhile, PPN submissions relate more to subjects where there are immediate safeguarding and/or welfare concerns. Unlike VFR, these referrals can be shared with third parties such as social services and housing (SWP, 2023).</w:t>
      </w:r>
    </w:p>
    <w:p w14:paraId="6F5196B6" w14:textId="77777777" w:rsidR="0000743D" w:rsidRPr="0000743D" w:rsidRDefault="0000743D" w:rsidP="0000743D">
      <w:pPr>
        <w:ind w:right="237"/>
        <w:jc w:val="both"/>
        <w:rPr>
          <w:rFonts w:eastAsia="Arial"/>
          <w:color w:val="000000" w:themeColor="text1"/>
          <w:sz w:val="24"/>
          <w:szCs w:val="24"/>
        </w:rPr>
      </w:pPr>
    </w:p>
    <w:p w14:paraId="280FBD94"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 xml:space="preserve">Generally, VFR was a more appropriate option in my case, as no persons were injured or in imminent risk, and the majority </w:t>
      </w:r>
      <w:proofErr w:type="spellStart"/>
      <w:r w:rsidRPr="0000743D">
        <w:rPr>
          <w:rFonts w:eastAsia="Arial"/>
          <w:color w:val="000000" w:themeColor="text1"/>
          <w:sz w:val="24"/>
          <w:szCs w:val="24"/>
        </w:rPr>
        <w:t>f</w:t>
      </w:r>
      <w:proofErr w:type="spellEnd"/>
      <w:r w:rsidRPr="0000743D">
        <w:rPr>
          <w:rFonts w:eastAsia="Arial"/>
          <w:color w:val="000000" w:themeColor="text1"/>
          <w:sz w:val="24"/>
          <w:szCs w:val="24"/>
        </w:rPr>
        <w:t xml:space="preserve"> those victims stated they would benefit from general guidance. I was conscious that PPN submissions would be refused for not meeting the necessary risk criteria, thereby delaying support for some victims. A small number of PPNs were submitted for more vulnerable residents (such as an elderly person living on their own and a child with disabilities), both of whom required rehousing. </w:t>
      </w:r>
    </w:p>
    <w:p w14:paraId="7EE89B2C" w14:textId="77777777" w:rsidR="0000743D" w:rsidRPr="0000743D" w:rsidRDefault="0000743D" w:rsidP="0000743D">
      <w:pPr>
        <w:ind w:right="237"/>
        <w:jc w:val="both"/>
        <w:rPr>
          <w:rFonts w:eastAsia="Arial"/>
          <w:color w:val="000000" w:themeColor="text1"/>
          <w:sz w:val="24"/>
          <w:szCs w:val="24"/>
        </w:rPr>
      </w:pPr>
    </w:p>
    <w:p w14:paraId="3C95E0F8"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 xml:space="preserve">I also saw fit to involve local Neighbourhood police patrols as, unlike with the before-mentioned referrals, this provided a direct and tangible response along with a visible police presence that victim’s would take confidence in seeing. </w:t>
      </w:r>
    </w:p>
    <w:p w14:paraId="5CE458D8" w14:textId="77777777" w:rsidR="0000743D" w:rsidRPr="0000743D" w:rsidRDefault="0000743D" w:rsidP="0000743D">
      <w:pPr>
        <w:ind w:right="237"/>
        <w:jc w:val="both"/>
        <w:rPr>
          <w:rFonts w:eastAsia="Arial"/>
          <w:color w:val="000000" w:themeColor="text1"/>
          <w:sz w:val="24"/>
          <w:szCs w:val="24"/>
        </w:rPr>
      </w:pPr>
    </w:p>
    <w:p w14:paraId="3F312CA3"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 xml:space="preserve">In summary, I assessed the situation on a case-by-case basis, and made use of several options as appropriate. </w:t>
      </w:r>
    </w:p>
    <w:p w14:paraId="5C8A3EB5" w14:textId="77777777" w:rsidR="0000743D" w:rsidRPr="0000743D" w:rsidRDefault="0000743D" w:rsidP="0000743D">
      <w:pPr>
        <w:ind w:right="237"/>
        <w:jc w:val="both"/>
        <w:rPr>
          <w:rFonts w:eastAsia="Arial"/>
          <w:color w:val="000000" w:themeColor="text1"/>
          <w:sz w:val="24"/>
          <w:szCs w:val="24"/>
        </w:rPr>
      </w:pPr>
    </w:p>
    <w:p w14:paraId="3E948942"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Actions taken in this scenario were systematically applied as “immediate” and “non-immediate” responses. Immediate responses were necessary to provide urgent safeguarding, and to prevent imminent offences breach of the peace (Bryant, Bryant, 2020), whilst non-immediate responses called upon the utilisation of effective partnership working and target hardening of the area to prevent and deter re-offending.</w:t>
      </w:r>
    </w:p>
    <w:p w14:paraId="63628B35"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 xml:space="preserve"> </w:t>
      </w:r>
    </w:p>
    <w:p w14:paraId="266FC690" w14:textId="56834F1D" w:rsidR="5B843AF0"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As reflected in my own SARA assessment stage, the number of reports from the cul-de-sac declined from 3 per week to an average of 0.7 per week over a 3-month period. This result was achieved by the least intrusive means possible, balancing the clear need for police presence with respect to the human rights of those individuals. A minimal number of arrests took place and the utilisation of these alternative disposals discussed proved to be effective.</w:t>
      </w:r>
    </w:p>
    <w:p w14:paraId="4BBC525A" w14:textId="2C62A870" w:rsidR="5B843AF0" w:rsidRPr="0000743D" w:rsidRDefault="5B843AF0" w:rsidP="5B843AF0">
      <w:pPr>
        <w:ind w:right="237"/>
        <w:jc w:val="both"/>
        <w:rPr>
          <w:rFonts w:eastAsia="Arial"/>
          <w:color w:val="000000" w:themeColor="text1"/>
          <w:sz w:val="24"/>
          <w:szCs w:val="24"/>
        </w:rPr>
      </w:pPr>
    </w:p>
    <w:p w14:paraId="1E96D16A" w14:textId="302F013D" w:rsidR="5B843AF0" w:rsidRPr="0000743D" w:rsidRDefault="5B843AF0" w:rsidP="5B843AF0">
      <w:pPr>
        <w:ind w:right="237"/>
        <w:jc w:val="center"/>
        <w:rPr>
          <w:sz w:val="24"/>
          <w:szCs w:val="24"/>
        </w:rPr>
      </w:pPr>
    </w:p>
    <w:p w14:paraId="5A14BEB8" w14:textId="69952D76" w:rsidR="5B843AF0" w:rsidRPr="0000743D" w:rsidRDefault="5B843AF0" w:rsidP="5B843AF0">
      <w:pPr>
        <w:ind w:right="237"/>
        <w:jc w:val="center"/>
        <w:rPr>
          <w:sz w:val="24"/>
          <w:szCs w:val="24"/>
        </w:rPr>
      </w:pPr>
    </w:p>
    <w:p w14:paraId="68317E39" w14:textId="77777777" w:rsidR="00E676F7" w:rsidRPr="0000743D" w:rsidRDefault="00E676F7">
      <w:pPr>
        <w:overflowPunct/>
        <w:autoSpaceDE/>
        <w:autoSpaceDN/>
        <w:adjustRightInd/>
        <w:textAlignment w:val="auto"/>
        <w:rPr>
          <w:sz w:val="24"/>
          <w:szCs w:val="24"/>
        </w:rPr>
      </w:pPr>
      <w:r w:rsidRPr="0000743D">
        <w:rPr>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06491356" w14:textId="62702098"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3CA05C1C" w:rsidR="005C76DE" w:rsidRPr="00E676F7" w:rsidRDefault="005C76DE" w:rsidP="5CE196A1">
      <w:pPr>
        <w:ind w:right="237"/>
        <w:jc w:val="both"/>
        <w:rPr>
          <w:b/>
          <w:bCs/>
          <w:sz w:val="24"/>
          <w:szCs w:val="24"/>
        </w:rPr>
      </w:pPr>
      <w:r w:rsidRPr="5CE196A1">
        <w:rPr>
          <w:b/>
          <w:bCs/>
          <w:sz w:val="24"/>
          <w:szCs w:val="24"/>
        </w:rPr>
        <w:t>ANSWER:</w:t>
      </w:r>
      <w:r w:rsidR="00742EDA">
        <w:rPr>
          <w:b/>
          <w:bCs/>
          <w:sz w:val="24"/>
          <w:szCs w:val="24"/>
        </w:rPr>
        <w:t xml:space="preserve"> </w:t>
      </w:r>
      <w:r w:rsidR="00742EDA">
        <w:rPr>
          <w:b/>
          <w:bCs/>
          <w:color w:val="000000" w:themeColor="text1"/>
          <w:sz w:val="28"/>
          <w:szCs w:val="28"/>
        </w:rPr>
        <w:t>*</w:t>
      </w:r>
      <w:r w:rsidR="00742EDA" w:rsidRPr="003051C7">
        <w:rPr>
          <w:color w:val="000000" w:themeColor="text1"/>
          <w:sz w:val="28"/>
          <w:szCs w:val="28"/>
        </w:rPr>
        <w:t xml:space="preserve">To be submitted on </w:t>
      </w:r>
      <w:r w:rsidR="00742EDA">
        <w:rPr>
          <w:color w:val="000000" w:themeColor="text1"/>
          <w:sz w:val="28"/>
          <w:szCs w:val="28"/>
        </w:rPr>
        <w:t xml:space="preserve">full </w:t>
      </w:r>
      <w:r w:rsidR="00742EDA" w:rsidRPr="003051C7">
        <w:rPr>
          <w:color w:val="000000" w:themeColor="text1"/>
          <w:sz w:val="28"/>
          <w:szCs w:val="28"/>
        </w:rPr>
        <w:t>completion (for resubmission)</w:t>
      </w:r>
      <w:r w:rsidR="00742EDA">
        <w:rPr>
          <w:color w:val="000000" w:themeColor="text1"/>
          <w:sz w:val="28"/>
          <w:szCs w:val="28"/>
        </w:rPr>
        <w:t>*</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4D504165" w:rsidR="13AD8C62" w:rsidRPr="003051C7" w:rsidRDefault="13AD8C62" w:rsidP="0FF883D4">
      <w:pPr>
        <w:ind w:right="237"/>
        <w:jc w:val="both"/>
        <w:rPr>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A976285" w:rsidR="0FF883D4" w:rsidRDefault="5CE196A1" w:rsidP="5CE196A1">
      <w:r w:rsidRPr="5CE196A1">
        <w:rPr>
          <w:rFonts w:eastAsia="Arial"/>
          <w:b/>
          <w:bCs/>
          <w:color w:val="000000" w:themeColor="text1"/>
          <w:sz w:val="24"/>
          <w:szCs w:val="24"/>
        </w:rPr>
        <w:t xml:space="preserve">Signed: </w:t>
      </w:r>
      <w:proofErr w:type="spellStart"/>
      <w:r w:rsidR="003051C7">
        <w:rPr>
          <w:rFonts w:eastAsia="Arial"/>
          <w:b/>
          <w:bCs/>
          <w:color w:val="000000" w:themeColor="text1"/>
          <w:sz w:val="24"/>
          <w:szCs w:val="24"/>
        </w:rPr>
        <w:t>mmoares</w:t>
      </w:r>
      <w:proofErr w:type="spellEnd"/>
    </w:p>
    <w:p w14:paraId="563192E7" w14:textId="7A83C86F" w:rsidR="0FF883D4" w:rsidRDefault="5CE196A1" w:rsidP="5CE196A1">
      <w:r w:rsidRPr="5CE196A1">
        <w:rPr>
          <w:rFonts w:eastAsia="Arial"/>
          <w:b/>
          <w:bCs/>
          <w:color w:val="000000" w:themeColor="text1"/>
          <w:sz w:val="24"/>
          <w:szCs w:val="24"/>
        </w:rPr>
        <w:t xml:space="preserve"> </w:t>
      </w:r>
    </w:p>
    <w:p w14:paraId="22DBB0E5" w14:textId="4141A611" w:rsidR="0FF883D4" w:rsidRDefault="5CE196A1" w:rsidP="5CE196A1">
      <w:r w:rsidRPr="5CE196A1">
        <w:rPr>
          <w:rFonts w:eastAsia="Arial"/>
          <w:b/>
          <w:bCs/>
          <w:color w:val="000000" w:themeColor="text1"/>
          <w:sz w:val="24"/>
          <w:szCs w:val="24"/>
        </w:rPr>
        <w:t>Date:</w:t>
      </w:r>
      <w:r w:rsidR="003051C7">
        <w:rPr>
          <w:rFonts w:eastAsia="Arial"/>
          <w:b/>
          <w:bCs/>
          <w:color w:val="000000" w:themeColor="text1"/>
          <w:sz w:val="24"/>
          <w:szCs w:val="24"/>
        </w:rPr>
        <w:t xml:space="preserve"> 12/08/24</w:t>
      </w:r>
    </w:p>
    <w:p w14:paraId="482B2B3A" w14:textId="7589F346" w:rsidR="0FF883D4" w:rsidRDefault="0FF883D4" w:rsidP="5CE196A1">
      <w:pPr>
        <w:ind w:left="2880" w:right="225" w:firstLine="720"/>
        <w:rPr>
          <w:b/>
          <w:bCs/>
          <w:sz w:val="24"/>
          <w:szCs w:val="24"/>
          <w:lang w:eastAsia="zh-TW"/>
        </w:rPr>
        <w:sectPr w:rsidR="0FF883D4" w:rsidSect="0022001B">
          <w:footerReference w:type="default" r:id="rId15"/>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37593660" w14:textId="413353C4" w:rsidR="0000743D"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415CECEF" w14:textId="77777777" w:rsidR="0000743D" w:rsidRDefault="0000743D" w:rsidP="00EA28F1">
      <w:pPr>
        <w:keepNext/>
        <w:spacing w:before="240" w:after="60"/>
        <w:ind w:right="237"/>
        <w:jc w:val="both"/>
        <w:rPr>
          <w:sz w:val="24"/>
          <w:szCs w:val="24"/>
        </w:rPr>
      </w:pPr>
    </w:p>
    <w:p w14:paraId="141C4343" w14:textId="77777777" w:rsidR="0000743D" w:rsidRDefault="0000743D" w:rsidP="0000743D">
      <w:pPr>
        <w:pStyle w:val="NormalWeb"/>
        <w:shd w:val="clear" w:color="auto" w:fill="FFFFFF"/>
        <w:spacing w:before="0" w:beforeAutospacing="0" w:after="173" w:afterAutospacing="0"/>
        <w:rPr>
          <w:rFonts w:ascii="Roboto" w:hAnsi="Roboto"/>
          <w:color w:val="000000"/>
          <w:sz w:val="21"/>
          <w:szCs w:val="21"/>
        </w:rPr>
      </w:pPr>
      <w:r>
        <w:rPr>
          <w:rFonts w:ascii="Roboto" w:hAnsi="Roboto"/>
          <w:i/>
          <w:iCs/>
          <w:color w:val="000000"/>
          <w:sz w:val="21"/>
          <w:szCs w:val="21"/>
        </w:rPr>
        <w:t>Anti-social Behaviour, Crime and Policing Act 2014. </w:t>
      </w:r>
      <w:r>
        <w:rPr>
          <w:rFonts w:ascii="Roboto" w:hAnsi="Roboto"/>
          <w:color w:val="000000"/>
          <w:sz w:val="21"/>
          <w:szCs w:val="21"/>
        </w:rPr>
        <w:t xml:space="preserve">2022. Statute Law </w:t>
      </w:r>
      <w:proofErr w:type="spellStart"/>
      <w:r>
        <w:rPr>
          <w:rFonts w:ascii="Roboto" w:hAnsi="Roboto"/>
          <w:color w:val="000000"/>
          <w:sz w:val="21"/>
          <w:szCs w:val="21"/>
        </w:rPr>
        <w:t>edn</w:t>
      </w:r>
      <w:proofErr w:type="spellEnd"/>
      <w:r>
        <w:rPr>
          <w:rFonts w:ascii="Roboto" w:hAnsi="Roboto"/>
          <w:color w:val="000000"/>
          <w:sz w:val="21"/>
          <w:szCs w:val="21"/>
        </w:rPr>
        <w:t>. UK.</w:t>
      </w:r>
    </w:p>
    <w:p w14:paraId="1B4D1C16" w14:textId="77777777" w:rsidR="0000743D" w:rsidRDefault="0000743D" w:rsidP="0000743D">
      <w:pPr>
        <w:pStyle w:val="NormalWeb"/>
        <w:shd w:val="clear" w:color="auto" w:fill="FFFFFF"/>
        <w:spacing w:before="0" w:beforeAutospacing="0" w:after="173" w:afterAutospacing="0"/>
        <w:rPr>
          <w:rFonts w:ascii="Roboto" w:hAnsi="Roboto"/>
          <w:color w:val="000000"/>
          <w:sz w:val="21"/>
          <w:szCs w:val="21"/>
        </w:rPr>
      </w:pPr>
      <w:r>
        <w:rPr>
          <w:rFonts w:ascii="Roboto" w:hAnsi="Roboto"/>
          <w:i/>
          <w:iCs/>
          <w:color w:val="000000"/>
          <w:sz w:val="21"/>
          <w:szCs w:val="21"/>
        </w:rPr>
        <w:t>Anti-social Behaviour, Crime and Policing Act 2014. </w:t>
      </w:r>
      <w:r>
        <w:rPr>
          <w:rFonts w:ascii="Roboto" w:hAnsi="Roboto"/>
          <w:color w:val="000000"/>
          <w:sz w:val="21"/>
          <w:szCs w:val="21"/>
        </w:rPr>
        <w:t xml:space="preserve">2014. Statute Law </w:t>
      </w:r>
      <w:proofErr w:type="spellStart"/>
      <w:r>
        <w:rPr>
          <w:rFonts w:ascii="Roboto" w:hAnsi="Roboto"/>
          <w:color w:val="000000"/>
          <w:sz w:val="21"/>
          <w:szCs w:val="21"/>
        </w:rPr>
        <w:t>edn</w:t>
      </w:r>
      <w:proofErr w:type="spellEnd"/>
      <w:r>
        <w:rPr>
          <w:rFonts w:ascii="Roboto" w:hAnsi="Roboto"/>
          <w:color w:val="000000"/>
          <w:sz w:val="21"/>
          <w:szCs w:val="21"/>
        </w:rPr>
        <w:t>. UK.</w:t>
      </w:r>
    </w:p>
    <w:p w14:paraId="783B3B0D" w14:textId="77777777" w:rsidR="0000743D" w:rsidRDefault="0000743D" w:rsidP="0000743D">
      <w:pPr>
        <w:pStyle w:val="NormalWeb"/>
        <w:shd w:val="clear" w:color="auto" w:fill="FFFFFF"/>
        <w:spacing w:before="0" w:beforeAutospacing="0" w:after="173" w:afterAutospacing="0"/>
        <w:rPr>
          <w:rFonts w:ascii="Roboto" w:hAnsi="Roboto"/>
          <w:color w:val="000000"/>
          <w:sz w:val="21"/>
          <w:szCs w:val="21"/>
        </w:rPr>
      </w:pPr>
      <w:r>
        <w:rPr>
          <w:rFonts w:ascii="Roboto" w:hAnsi="Roboto"/>
          <w:i/>
          <w:iCs/>
          <w:color w:val="000000"/>
          <w:sz w:val="21"/>
          <w:szCs w:val="21"/>
        </w:rPr>
        <w:t>Crime and Disorder Act 1998. </w:t>
      </w:r>
      <w:r>
        <w:rPr>
          <w:rFonts w:ascii="Roboto" w:hAnsi="Roboto"/>
          <w:color w:val="000000"/>
          <w:sz w:val="21"/>
          <w:szCs w:val="21"/>
        </w:rPr>
        <w:t xml:space="preserve">1998a. Statute Law </w:t>
      </w:r>
      <w:proofErr w:type="spellStart"/>
      <w:r>
        <w:rPr>
          <w:rFonts w:ascii="Roboto" w:hAnsi="Roboto"/>
          <w:color w:val="000000"/>
          <w:sz w:val="21"/>
          <w:szCs w:val="21"/>
        </w:rPr>
        <w:t>edn</w:t>
      </w:r>
      <w:proofErr w:type="spellEnd"/>
      <w:r>
        <w:rPr>
          <w:rFonts w:ascii="Roboto" w:hAnsi="Roboto"/>
          <w:color w:val="000000"/>
          <w:sz w:val="21"/>
          <w:szCs w:val="21"/>
        </w:rPr>
        <w:t>. UK.</w:t>
      </w:r>
    </w:p>
    <w:p w14:paraId="1355515E" w14:textId="71826824" w:rsidR="0000743D" w:rsidRDefault="0000743D" w:rsidP="0000743D">
      <w:pPr>
        <w:pStyle w:val="NormalWeb"/>
        <w:shd w:val="clear" w:color="auto" w:fill="FFFFFF"/>
        <w:spacing w:before="0" w:beforeAutospacing="0" w:after="173" w:afterAutospacing="0"/>
        <w:rPr>
          <w:rFonts w:ascii="Roboto" w:hAnsi="Roboto"/>
          <w:color w:val="000000"/>
          <w:sz w:val="21"/>
          <w:szCs w:val="21"/>
        </w:rPr>
      </w:pPr>
      <w:r>
        <w:rPr>
          <w:rFonts w:ascii="Roboto" w:hAnsi="Roboto"/>
          <w:i/>
          <w:iCs/>
          <w:color w:val="000000"/>
          <w:sz w:val="21"/>
          <w:szCs w:val="21"/>
        </w:rPr>
        <w:t>Crime and Disorder Act 1998. </w:t>
      </w:r>
      <w:r>
        <w:rPr>
          <w:rFonts w:ascii="Roboto" w:hAnsi="Roboto"/>
          <w:color w:val="000000"/>
          <w:sz w:val="21"/>
          <w:szCs w:val="21"/>
        </w:rPr>
        <w:t xml:space="preserve">1998b. Statutory Act </w:t>
      </w:r>
      <w:proofErr w:type="spellStart"/>
      <w:r>
        <w:rPr>
          <w:rFonts w:ascii="Roboto" w:hAnsi="Roboto"/>
          <w:color w:val="000000"/>
          <w:sz w:val="21"/>
          <w:szCs w:val="21"/>
        </w:rPr>
        <w:t>edn</w:t>
      </w:r>
      <w:proofErr w:type="spellEnd"/>
      <w:r>
        <w:rPr>
          <w:rFonts w:ascii="Roboto" w:hAnsi="Roboto"/>
          <w:color w:val="000000"/>
          <w:sz w:val="21"/>
          <w:szCs w:val="21"/>
        </w:rPr>
        <w:t>.</w:t>
      </w:r>
      <w:r w:rsidR="003051C7">
        <w:rPr>
          <w:rFonts w:ascii="Roboto" w:hAnsi="Roboto"/>
          <w:color w:val="000000"/>
          <w:sz w:val="21"/>
          <w:szCs w:val="21"/>
        </w:rPr>
        <w:t xml:space="preserve"> UK.</w:t>
      </w:r>
    </w:p>
    <w:p w14:paraId="4B1F4F80" w14:textId="77777777" w:rsidR="0000743D" w:rsidRDefault="0000743D" w:rsidP="0000743D">
      <w:pPr>
        <w:pStyle w:val="NormalWeb"/>
        <w:shd w:val="clear" w:color="auto" w:fill="FFFFFF"/>
        <w:spacing w:before="0" w:beforeAutospacing="0" w:after="173" w:afterAutospacing="0"/>
        <w:rPr>
          <w:rFonts w:ascii="Roboto" w:hAnsi="Roboto"/>
          <w:color w:val="000000"/>
          <w:sz w:val="21"/>
          <w:szCs w:val="21"/>
        </w:rPr>
      </w:pPr>
      <w:r>
        <w:rPr>
          <w:rFonts w:ascii="Roboto" w:hAnsi="Roboto"/>
          <w:i/>
          <w:iCs/>
          <w:color w:val="000000"/>
          <w:sz w:val="21"/>
          <w:szCs w:val="21"/>
        </w:rPr>
        <w:t>Criminal Justice and Public Order Act 1994. </w:t>
      </w:r>
      <w:r>
        <w:rPr>
          <w:rFonts w:ascii="Roboto" w:hAnsi="Roboto"/>
          <w:color w:val="000000"/>
          <w:sz w:val="21"/>
          <w:szCs w:val="21"/>
        </w:rPr>
        <w:t xml:space="preserve">1994. Statute Law </w:t>
      </w:r>
      <w:proofErr w:type="spellStart"/>
      <w:r>
        <w:rPr>
          <w:rFonts w:ascii="Roboto" w:hAnsi="Roboto"/>
          <w:color w:val="000000"/>
          <w:sz w:val="21"/>
          <w:szCs w:val="21"/>
        </w:rPr>
        <w:t>edn</w:t>
      </w:r>
      <w:proofErr w:type="spellEnd"/>
      <w:r>
        <w:rPr>
          <w:rFonts w:ascii="Roboto" w:hAnsi="Roboto"/>
          <w:color w:val="000000"/>
          <w:sz w:val="21"/>
          <w:szCs w:val="21"/>
        </w:rPr>
        <w:t>. UK.</w:t>
      </w:r>
    </w:p>
    <w:p w14:paraId="0B39BEDD" w14:textId="77777777" w:rsidR="0000743D" w:rsidRDefault="0000743D" w:rsidP="0000743D">
      <w:pPr>
        <w:pStyle w:val="NormalWeb"/>
        <w:shd w:val="clear" w:color="auto" w:fill="FFFFFF"/>
        <w:spacing w:before="0" w:beforeAutospacing="0" w:after="173" w:afterAutospacing="0"/>
        <w:rPr>
          <w:rFonts w:ascii="Roboto" w:hAnsi="Roboto"/>
          <w:color w:val="000000"/>
          <w:sz w:val="21"/>
          <w:szCs w:val="21"/>
        </w:rPr>
      </w:pPr>
      <w:r>
        <w:rPr>
          <w:rFonts w:ascii="Roboto" w:hAnsi="Roboto"/>
          <w:i/>
          <w:iCs/>
          <w:color w:val="000000"/>
          <w:sz w:val="21"/>
          <w:szCs w:val="21"/>
        </w:rPr>
        <w:t>Police and Criminal Evidence Act 1984. </w:t>
      </w:r>
      <w:r>
        <w:rPr>
          <w:rFonts w:ascii="Roboto" w:hAnsi="Roboto"/>
          <w:color w:val="000000"/>
          <w:sz w:val="21"/>
          <w:szCs w:val="21"/>
        </w:rPr>
        <w:t xml:space="preserve">1984. Statute Law </w:t>
      </w:r>
      <w:proofErr w:type="spellStart"/>
      <w:r>
        <w:rPr>
          <w:rFonts w:ascii="Roboto" w:hAnsi="Roboto"/>
          <w:color w:val="000000"/>
          <w:sz w:val="21"/>
          <w:szCs w:val="21"/>
        </w:rPr>
        <w:t>edn</w:t>
      </w:r>
      <w:proofErr w:type="spellEnd"/>
      <w:r>
        <w:rPr>
          <w:rFonts w:ascii="Roboto" w:hAnsi="Roboto"/>
          <w:color w:val="000000"/>
          <w:sz w:val="21"/>
          <w:szCs w:val="21"/>
        </w:rPr>
        <w:t>. UK.</w:t>
      </w:r>
    </w:p>
    <w:p w14:paraId="415BE433" w14:textId="77777777" w:rsidR="0000743D" w:rsidRDefault="0000743D" w:rsidP="0000743D">
      <w:pPr>
        <w:pStyle w:val="NormalWeb"/>
        <w:shd w:val="clear" w:color="auto" w:fill="FFFFFF"/>
        <w:spacing w:before="0" w:beforeAutospacing="0" w:after="173" w:afterAutospacing="0"/>
        <w:rPr>
          <w:rFonts w:ascii="Roboto" w:hAnsi="Roboto"/>
          <w:color w:val="000000"/>
          <w:sz w:val="21"/>
          <w:szCs w:val="21"/>
        </w:rPr>
      </w:pPr>
      <w:r>
        <w:rPr>
          <w:rFonts w:ascii="Roboto" w:hAnsi="Roboto"/>
          <w:i/>
          <w:iCs/>
          <w:color w:val="000000"/>
          <w:sz w:val="21"/>
          <w:szCs w:val="21"/>
        </w:rPr>
        <w:t>European Convention on Human Rights. </w:t>
      </w:r>
      <w:r>
        <w:rPr>
          <w:rFonts w:ascii="Roboto" w:hAnsi="Roboto"/>
          <w:color w:val="000000"/>
          <w:sz w:val="21"/>
          <w:szCs w:val="21"/>
        </w:rPr>
        <w:t xml:space="preserve">1950. Convention </w:t>
      </w:r>
      <w:proofErr w:type="spellStart"/>
      <w:r>
        <w:rPr>
          <w:rFonts w:ascii="Roboto" w:hAnsi="Roboto"/>
          <w:color w:val="000000"/>
          <w:sz w:val="21"/>
          <w:szCs w:val="21"/>
        </w:rPr>
        <w:t>edn</w:t>
      </w:r>
      <w:proofErr w:type="spellEnd"/>
      <w:r>
        <w:rPr>
          <w:rFonts w:ascii="Roboto" w:hAnsi="Roboto"/>
          <w:color w:val="000000"/>
          <w:sz w:val="21"/>
          <w:szCs w:val="21"/>
        </w:rPr>
        <w:t>. Europe.</w:t>
      </w:r>
    </w:p>
    <w:p w14:paraId="7D4E500A" w14:textId="77777777" w:rsidR="0000743D" w:rsidRDefault="0000743D" w:rsidP="0000743D">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ABHAY, A., 2023. </w:t>
      </w:r>
      <w:r>
        <w:rPr>
          <w:rFonts w:ascii="Roboto" w:hAnsi="Roboto"/>
          <w:i/>
          <w:iCs/>
          <w:color w:val="000000"/>
          <w:sz w:val="21"/>
          <w:szCs w:val="21"/>
        </w:rPr>
        <w:t>What is multi-agency working in safeguarding.</w:t>
      </w:r>
    </w:p>
    <w:p w14:paraId="406195D4" w14:textId="77777777" w:rsidR="0000743D" w:rsidRDefault="0000743D" w:rsidP="0000743D">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BRANDON, D., 2015. The Use and Effectiveness of Problem-Oriented Policing. </w:t>
      </w:r>
      <w:r>
        <w:rPr>
          <w:rFonts w:ascii="Roboto" w:hAnsi="Roboto"/>
          <w:i/>
          <w:iCs/>
          <w:color w:val="000000"/>
          <w:sz w:val="21"/>
          <w:szCs w:val="21"/>
        </w:rPr>
        <w:t>Inquiries Journal</w:t>
      </w:r>
      <w:r w:rsidRPr="003051C7">
        <w:rPr>
          <w:rFonts w:ascii="Roboto" w:hAnsi="Roboto"/>
          <w:i/>
          <w:iCs/>
          <w:color w:val="000000"/>
          <w:sz w:val="21"/>
          <w:szCs w:val="21"/>
        </w:rPr>
        <w:t>, </w:t>
      </w:r>
      <w:r w:rsidRPr="003051C7">
        <w:rPr>
          <w:rFonts w:ascii="Roboto" w:hAnsi="Roboto"/>
          <w:color w:val="000000"/>
          <w:sz w:val="21"/>
          <w:szCs w:val="21"/>
        </w:rPr>
        <w:t>7</w:t>
      </w:r>
      <w:r>
        <w:rPr>
          <w:rFonts w:ascii="Roboto" w:hAnsi="Roboto"/>
          <w:color w:val="000000"/>
          <w:sz w:val="21"/>
          <w:szCs w:val="21"/>
        </w:rPr>
        <w:t>(04),.</w:t>
      </w:r>
    </w:p>
    <w:p w14:paraId="7ABDCC24" w14:textId="77777777" w:rsidR="0000743D" w:rsidRDefault="0000743D" w:rsidP="0000743D">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COLLEGE OF POLICING&amp;NBSP, 2024-last update, Anti-social behaviour . Available: </w:t>
      </w:r>
      <w:hyperlink r:id="rId16" w:tgtFrame="_blank" w:history="1">
        <w:r>
          <w:rPr>
            <w:rStyle w:val="Hyperlink"/>
            <w:rFonts w:ascii="Roboto" w:hAnsi="Roboto"/>
            <w:color w:val="0066CC"/>
            <w:sz w:val="21"/>
            <w:szCs w:val="21"/>
          </w:rPr>
          <w:t>https://www.college.police.uk/anti-social-behaviour</w:t>
        </w:r>
      </w:hyperlink>
      <w:r>
        <w:rPr>
          <w:rFonts w:ascii="Roboto" w:hAnsi="Roboto"/>
          <w:color w:val="000000"/>
          <w:sz w:val="21"/>
          <w:szCs w:val="21"/>
        </w:rPr>
        <w:t> [12/08/24, .</w:t>
      </w:r>
    </w:p>
    <w:p w14:paraId="5E4D7105" w14:textId="5BBE428D" w:rsidR="0000743D" w:rsidRDefault="0000743D" w:rsidP="0000743D">
      <w:pPr>
        <w:pStyle w:val="NormalWeb"/>
        <w:shd w:val="clear" w:color="auto" w:fill="FFFFFF"/>
        <w:spacing w:before="0" w:beforeAutospacing="0" w:after="173" w:afterAutospacing="0"/>
        <w:rPr>
          <w:rFonts w:ascii="Roboto" w:hAnsi="Roboto"/>
          <w:i/>
          <w:iCs/>
          <w:color w:val="000000"/>
          <w:sz w:val="21"/>
          <w:szCs w:val="21"/>
        </w:rPr>
      </w:pPr>
      <w:r>
        <w:rPr>
          <w:rFonts w:ascii="Roboto" w:hAnsi="Roboto"/>
          <w:color w:val="000000"/>
          <w:sz w:val="21"/>
          <w:szCs w:val="21"/>
        </w:rPr>
        <w:t>GOUDIE, J., 2023. </w:t>
      </w:r>
      <w:r>
        <w:rPr>
          <w:rFonts w:ascii="Roboto" w:hAnsi="Roboto"/>
          <w:i/>
          <w:iCs/>
          <w:color w:val="000000"/>
          <w:sz w:val="21"/>
          <w:szCs w:val="21"/>
        </w:rPr>
        <w:t>PUBLIC SPACES PROTECTION ORDER.</w:t>
      </w:r>
    </w:p>
    <w:p w14:paraId="3FD92C12" w14:textId="753C8FFA" w:rsidR="003051C7" w:rsidRDefault="003051C7" w:rsidP="0000743D">
      <w:pPr>
        <w:pStyle w:val="NormalWeb"/>
        <w:shd w:val="clear" w:color="auto" w:fill="FFFFFF"/>
        <w:spacing w:before="0" w:beforeAutospacing="0" w:after="173" w:afterAutospacing="0"/>
        <w:rPr>
          <w:rFonts w:ascii="Roboto" w:hAnsi="Roboto"/>
          <w:color w:val="000000"/>
          <w:sz w:val="21"/>
          <w:szCs w:val="21"/>
        </w:rPr>
      </w:pPr>
      <w:r w:rsidRPr="003051C7">
        <w:rPr>
          <w:rFonts w:ascii="Roboto" w:hAnsi="Roboto"/>
          <w:color w:val="000000"/>
          <w:sz w:val="21"/>
          <w:szCs w:val="21"/>
        </w:rPr>
        <w:t>South Wales Police. (2023) ‘Victims &amp; Witnesses [Lecture notes], BMPP4002D-BMPP6007D. SWP. 03rd March.</w:t>
      </w:r>
    </w:p>
    <w:p w14:paraId="257228A3" w14:textId="17200DB3" w:rsidR="003051C7" w:rsidRDefault="0000743D" w:rsidP="0000743D">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SOUTH WALES VICTIM FOCUS, 2024-last update, South Wales Victim Focus. Available: </w:t>
      </w:r>
      <w:hyperlink r:id="rId17" w:tgtFrame="_blank" w:history="1">
        <w:r>
          <w:rPr>
            <w:rStyle w:val="Hyperlink"/>
            <w:rFonts w:ascii="Roboto" w:hAnsi="Roboto"/>
            <w:color w:val="0066CC"/>
            <w:sz w:val="21"/>
            <w:szCs w:val="21"/>
          </w:rPr>
          <w:t>https://www.southwalesvictimfocus.org.uk/</w:t>
        </w:r>
      </w:hyperlink>
      <w:r>
        <w:rPr>
          <w:rFonts w:ascii="Roboto" w:hAnsi="Roboto"/>
          <w:color w:val="000000"/>
          <w:sz w:val="21"/>
          <w:szCs w:val="21"/>
        </w:rPr>
        <w:t> [Aug 12, 2024].</w:t>
      </w:r>
    </w:p>
    <w:p w14:paraId="7C2F33DF" w14:textId="77777777" w:rsidR="0000743D" w:rsidRDefault="0000743D" w:rsidP="0000743D">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WELSH GOVERNMENT, -08-26, 2021-last update, Welsh Index of Multiple Deprivation 2019: deprivation analysis relating to young children [HTML] | GOV.WALES. Available: </w:t>
      </w:r>
      <w:hyperlink r:id="rId18" w:tgtFrame="_blank" w:history="1">
        <w:r>
          <w:rPr>
            <w:rStyle w:val="Hyperlink"/>
            <w:rFonts w:ascii="Roboto" w:hAnsi="Roboto"/>
            <w:color w:val="0066CC"/>
            <w:sz w:val="21"/>
            <w:szCs w:val="21"/>
          </w:rPr>
          <w:t>https://www.gov.wales/welsh-index-multiple-deprivation-2019-deprivation-analysis-relating-young-children-html</w:t>
        </w:r>
      </w:hyperlink>
      <w:r>
        <w:rPr>
          <w:rFonts w:ascii="Roboto" w:hAnsi="Roboto"/>
          <w:color w:val="000000"/>
          <w:sz w:val="21"/>
          <w:szCs w:val="21"/>
        </w:rPr>
        <w:t> [Aug 12, 2024].</w:t>
      </w:r>
    </w:p>
    <w:p w14:paraId="39E5D9CA" w14:textId="77777777" w:rsidR="0000743D" w:rsidRDefault="0000743D" w:rsidP="0000743D">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WELSH GOVERNMENT, 2020-last update, Welsh Language Act 1993 | Law Wales. Available: </w:t>
      </w:r>
      <w:hyperlink r:id="rId19" w:tgtFrame="_blank" w:history="1">
        <w:r>
          <w:rPr>
            <w:rStyle w:val="Hyperlink"/>
            <w:rFonts w:ascii="Roboto" w:hAnsi="Roboto"/>
            <w:color w:val="0066CC"/>
            <w:sz w:val="21"/>
            <w:szCs w:val="21"/>
          </w:rPr>
          <w:t>https://law.gov.wales/culture/welsh-language/welsh-language-act-1993</w:t>
        </w:r>
      </w:hyperlink>
      <w:r>
        <w:rPr>
          <w:rFonts w:ascii="Roboto" w:hAnsi="Roboto"/>
          <w:color w:val="000000"/>
          <w:sz w:val="21"/>
          <w:szCs w:val="21"/>
        </w:rPr>
        <w:t> [Aug 1, 2024].</w:t>
      </w:r>
    </w:p>
    <w:p w14:paraId="34D03DA7" w14:textId="77777777" w:rsidR="0000743D" w:rsidRDefault="0000743D" w:rsidP="00EA28F1">
      <w:pPr>
        <w:keepNext/>
        <w:spacing w:before="240" w:after="60"/>
        <w:ind w:right="237"/>
        <w:jc w:val="both"/>
      </w:pPr>
    </w:p>
    <w:sectPr w:rsidR="0000743D"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8C9A3D" w14:textId="77777777" w:rsidR="00C17348" w:rsidRDefault="00C17348">
      <w:r>
        <w:separator/>
      </w:r>
    </w:p>
  </w:endnote>
  <w:endnote w:type="continuationSeparator" w:id="0">
    <w:p w14:paraId="2A73B418" w14:textId="77777777" w:rsidR="00C17348" w:rsidRDefault="00C17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BD72A1" w14:textId="77777777" w:rsidR="00C17348" w:rsidRDefault="00C17348">
      <w:r>
        <w:separator/>
      </w:r>
    </w:p>
  </w:footnote>
  <w:footnote w:type="continuationSeparator" w:id="0">
    <w:p w14:paraId="5A978DA1" w14:textId="77777777" w:rsidR="00C17348" w:rsidRDefault="00C17348">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C2B4FB8E"/>
    <w:lvl w:ilvl="0" w:tplc="2B20F9FE">
      <w:start w:val="1"/>
      <w:numFmt w:val="decimal"/>
      <w:lvlText w:val="%1."/>
      <w:lvlJc w:val="left"/>
      <w:pPr>
        <w:ind w:left="720" w:hanging="360"/>
      </w:pPr>
    </w:lvl>
    <w:lvl w:ilvl="1" w:tplc="529EF94C">
      <w:start w:val="1"/>
      <w:numFmt w:val="lowerLetter"/>
      <w:lvlText w:val="%2."/>
      <w:lvlJc w:val="left"/>
      <w:pPr>
        <w:ind w:left="1440" w:hanging="360"/>
      </w:pPr>
    </w:lvl>
    <w:lvl w:ilvl="2" w:tplc="5AA85256">
      <w:start w:val="1"/>
      <w:numFmt w:val="lowerRoman"/>
      <w:lvlText w:val="%3."/>
      <w:lvlJc w:val="right"/>
      <w:pPr>
        <w:ind w:left="2160" w:hanging="180"/>
      </w:pPr>
    </w:lvl>
    <w:lvl w:ilvl="3" w:tplc="2D14B53E">
      <w:start w:val="1"/>
      <w:numFmt w:val="decimal"/>
      <w:lvlText w:val="%4."/>
      <w:lvlJc w:val="left"/>
      <w:pPr>
        <w:ind w:left="2880" w:hanging="360"/>
      </w:pPr>
    </w:lvl>
    <w:lvl w:ilvl="4" w:tplc="AE849C6E">
      <w:start w:val="1"/>
      <w:numFmt w:val="lowerLetter"/>
      <w:lvlText w:val="%5."/>
      <w:lvlJc w:val="left"/>
      <w:pPr>
        <w:ind w:left="3600" w:hanging="360"/>
      </w:pPr>
    </w:lvl>
    <w:lvl w:ilvl="5" w:tplc="951282B0">
      <w:start w:val="1"/>
      <w:numFmt w:val="lowerRoman"/>
      <w:lvlText w:val="%6."/>
      <w:lvlJc w:val="right"/>
      <w:pPr>
        <w:ind w:left="4320" w:hanging="180"/>
      </w:pPr>
    </w:lvl>
    <w:lvl w:ilvl="6" w:tplc="325EC90E">
      <w:start w:val="1"/>
      <w:numFmt w:val="decimal"/>
      <w:lvlText w:val="%7."/>
      <w:lvlJc w:val="left"/>
      <w:pPr>
        <w:ind w:left="5040" w:hanging="360"/>
      </w:pPr>
    </w:lvl>
    <w:lvl w:ilvl="7" w:tplc="B3EC1840">
      <w:start w:val="1"/>
      <w:numFmt w:val="lowerLetter"/>
      <w:lvlText w:val="%8."/>
      <w:lvlJc w:val="left"/>
      <w:pPr>
        <w:ind w:left="5760" w:hanging="360"/>
      </w:pPr>
    </w:lvl>
    <w:lvl w:ilvl="8" w:tplc="D76E227E">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483197">
    <w:abstractNumId w:val="47"/>
  </w:num>
  <w:num w:numId="2" w16cid:durableId="1938901848">
    <w:abstractNumId w:val="10"/>
  </w:num>
  <w:num w:numId="3" w16cid:durableId="1470124959">
    <w:abstractNumId w:val="1"/>
    <w:lvlOverride w:ilvl="0">
      <w:lvl w:ilvl="0">
        <w:start w:val="1"/>
        <w:numFmt w:val="bullet"/>
        <w:lvlText w:val=""/>
        <w:lvlJc w:val="left"/>
        <w:pPr>
          <w:ind w:left="720" w:hanging="360"/>
        </w:pPr>
        <w:rPr>
          <w:rFonts w:ascii="Symbol" w:hAnsi="Symbol" w:hint="default"/>
        </w:rPr>
      </w:lvl>
    </w:lvlOverride>
  </w:num>
  <w:num w:numId="4" w16cid:durableId="1106581371">
    <w:abstractNumId w:val="22"/>
  </w:num>
  <w:num w:numId="5" w16cid:durableId="681973665">
    <w:abstractNumId w:val="44"/>
  </w:num>
  <w:num w:numId="6" w16cid:durableId="2030257421">
    <w:abstractNumId w:val="46"/>
  </w:num>
  <w:num w:numId="7" w16cid:durableId="1001156350">
    <w:abstractNumId w:val="34"/>
  </w:num>
  <w:num w:numId="8" w16cid:durableId="693071113">
    <w:abstractNumId w:val="32"/>
  </w:num>
  <w:num w:numId="9" w16cid:durableId="1461191123">
    <w:abstractNumId w:val="29"/>
  </w:num>
  <w:num w:numId="10" w16cid:durableId="47804158">
    <w:abstractNumId w:val="30"/>
  </w:num>
  <w:num w:numId="11" w16cid:durableId="1906380597">
    <w:abstractNumId w:val="9"/>
  </w:num>
  <w:num w:numId="12" w16cid:durableId="1916237999">
    <w:abstractNumId w:val="33"/>
  </w:num>
  <w:num w:numId="13" w16cid:durableId="101875315">
    <w:abstractNumId w:val="17"/>
  </w:num>
  <w:num w:numId="14" w16cid:durableId="1284531750">
    <w:abstractNumId w:val="16"/>
  </w:num>
  <w:num w:numId="15" w16cid:durableId="2067952899">
    <w:abstractNumId w:val="26"/>
  </w:num>
  <w:num w:numId="16" w16cid:durableId="1798572232">
    <w:abstractNumId w:val="7"/>
  </w:num>
  <w:num w:numId="17" w16cid:durableId="1574390430">
    <w:abstractNumId w:val="25"/>
  </w:num>
  <w:num w:numId="18" w16cid:durableId="2029672228">
    <w:abstractNumId w:val="15"/>
  </w:num>
  <w:num w:numId="19" w16cid:durableId="1446851564">
    <w:abstractNumId w:val="13"/>
  </w:num>
  <w:num w:numId="20" w16cid:durableId="4444225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88720080">
    <w:abstractNumId w:val="23"/>
  </w:num>
  <w:num w:numId="22" w16cid:durableId="555354352">
    <w:abstractNumId w:val="18"/>
  </w:num>
  <w:num w:numId="23" w16cid:durableId="398673831">
    <w:abstractNumId w:val="14"/>
  </w:num>
  <w:num w:numId="24" w16cid:durableId="182718511">
    <w:abstractNumId w:val="11"/>
  </w:num>
  <w:num w:numId="25" w16cid:durableId="741802029">
    <w:abstractNumId w:val="27"/>
  </w:num>
  <w:num w:numId="26" w16cid:durableId="1650397480">
    <w:abstractNumId w:val="19"/>
  </w:num>
  <w:num w:numId="27" w16cid:durableId="797259064">
    <w:abstractNumId w:val="40"/>
  </w:num>
  <w:num w:numId="28" w16cid:durableId="1722634903">
    <w:abstractNumId w:val="35"/>
  </w:num>
  <w:num w:numId="29" w16cid:durableId="1249390611">
    <w:abstractNumId w:val="39"/>
  </w:num>
  <w:num w:numId="30" w16cid:durableId="1344282584">
    <w:abstractNumId w:val="20"/>
  </w:num>
  <w:num w:numId="31" w16cid:durableId="1746609829">
    <w:abstractNumId w:val="42"/>
  </w:num>
  <w:num w:numId="32" w16cid:durableId="1988586761">
    <w:abstractNumId w:val="31"/>
  </w:num>
  <w:num w:numId="33" w16cid:durableId="1557475669">
    <w:abstractNumId w:val="12"/>
  </w:num>
  <w:num w:numId="34" w16cid:durableId="2114667185">
    <w:abstractNumId w:val="43"/>
  </w:num>
  <w:num w:numId="35" w16cid:durableId="1402630006">
    <w:abstractNumId w:val="38"/>
  </w:num>
  <w:num w:numId="36" w16cid:durableId="2135364684">
    <w:abstractNumId w:val="4"/>
  </w:num>
  <w:num w:numId="37" w16cid:durableId="1523282661">
    <w:abstractNumId w:val="45"/>
  </w:num>
  <w:num w:numId="38" w16cid:durableId="384984533">
    <w:abstractNumId w:val="41"/>
  </w:num>
  <w:num w:numId="39" w16cid:durableId="119036455">
    <w:abstractNumId w:val="36"/>
  </w:num>
  <w:num w:numId="40" w16cid:durableId="186407522">
    <w:abstractNumId w:val="37"/>
  </w:num>
  <w:num w:numId="41" w16cid:durableId="538278770">
    <w:abstractNumId w:val="3"/>
  </w:num>
  <w:num w:numId="42" w16cid:durableId="270403961">
    <w:abstractNumId w:val="5"/>
  </w:num>
  <w:num w:numId="43" w16cid:durableId="375279222">
    <w:abstractNumId w:val="24"/>
  </w:num>
  <w:num w:numId="44" w16cid:durableId="865367823">
    <w:abstractNumId w:val="6"/>
  </w:num>
  <w:num w:numId="45" w16cid:durableId="30696390">
    <w:abstractNumId w:val="2"/>
  </w:num>
  <w:num w:numId="46" w16cid:durableId="2036300638">
    <w:abstractNumId w:val="0"/>
  </w:num>
  <w:num w:numId="47" w16cid:durableId="1663193171">
    <w:abstractNumId w:val="21"/>
  </w:num>
  <w:num w:numId="48" w16cid:durableId="1686589403">
    <w:abstractNumId w:val="28"/>
  </w:num>
  <w:num w:numId="49" w16cid:durableId="339695764">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743D"/>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1F5279"/>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2B67"/>
    <w:rsid w:val="002B443A"/>
    <w:rsid w:val="002B5B35"/>
    <w:rsid w:val="002C256A"/>
    <w:rsid w:val="002C496D"/>
    <w:rsid w:val="002D05EB"/>
    <w:rsid w:val="002D2F29"/>
    <w:rsid w:val="002D2FD3"/>
    <w:rsid w:val="002E7017"/>
    <w:rsid w:val="002F4F6E"/>
    <w:rsid w:val="003015C3"/>
    <w:rsid w:val="003051C7"/>
    <w:rsid w:val="0030698D"/>
    <w:rsid w:val="0031350A"/>
    <w:rsid w:val="00316815"/>
    <w:rsid w:val="003168CA"/>
    <w:rsid w:val="00317523"/>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578E4"/>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0EFF"/>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2EDA"/>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21F9"/>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5265"/>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0DA8"/>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85D97"/>
    <w:rsid w:val="00A906AA"/>
    <w:rsid w:val="00A94C5E"/>
    <w:rsid w:val="00AA241A"/>
    <w:rsid w:val="00AA252C"/>
    <w:rsid w:val="00AA666E"/>
    <w:rsid w:val="00AB5518"/>
    <w:rsid w:val="00AC01D4"/>
    <w:rsid w:val="00AC4A04"/>
    <w:rsid w:val="00AC6756"/>
    <w:rsid w:val="00AD336F"/>
    <w:rsid w:val="00AD3550"/>
    <w:rsid w:val="00AE2564"/>
    <w:rsid w:val="00AE301F"/>
    <w:rsid w:val="00AE3302"/>
    <w:rsid w:val="00AE7077"/>
    <w:rsid w:val="00AF61C2"/>
    <w:rsid w:val="00AF6CC6"/>
    <w:rsid w:val="00B011CD"/>
    <w:rsid w:val="00B0296A"/>
    <w:rsid w:val="00B12295"/>
    <w:rsid w:val="00B137BE"/>
    <w:rsid w:val="00B14BDC"/>
    <w:rsid w:val="00B17FA0"/>
    <w:rsid w:val="00B24344"/>
    <w:rsid w:val="00B26769"/>
    <w:rsid w:val="00B31C91"/>
    <w:rsid w:val="00B3747F"/>
    <w:rsid w:val="00B43194"/>
    <w:rsid w:val="00B47734"/>
    <w:rsid w:val="00B50FBA"/>
    <w:rsid w:val="00B515D9"/>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17348"/>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00743D"/>
    <w:rPr>
      <w:color w:val="605E5C"/>
      <w:shd w:val="clear" w:color="auto" w:fill="E1DFDD"/>
    </w:rPr>
  </w:style>
  <w:style w:type="paragraph" w:styleId="NormalWeb">
    <w:name w:val="Normal (Web)"/>
    <w:basedOn w:val="Normal"/>
    <w:uiPriority w:val="99"/>
    <w:semiHidden/>
    <w:unhideWhenUsed/>
    <w:rsid w:val="0000743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295722616">
      <w:bodyDiv w:val="1"/>
      <w:marLeft w:val="0"/>
      <w:marRight w:val="0"/>
      <w:marTop w:val="0"/>
      <w:marBottom w:val="0"/>
      <w:divBdr>
        <w:top w:val="none" w:sz="0" w:space="0" w:color="auto"/>
        <w:left w:val="none" w:sz="0" w:space="0" w:color="auto"/>
        <w:bottom w:val="none" w:sz="0" w:space="0" w:color="auto"/>
        <w:right w:val="none" w:sz="0" w:space="0" w:color="auto"/>
      </w:divBdr>
    </w:div>
    <w:div w:id="401410204">
      <w:bodyDiv w:val="1"/>
      <w:marLeft w:val="0"/>
      <w:marRight w:val="0"/>
      <w:marTop w:val="0"/>
      <w:marBottom w:val="0"/>
      <w:divBdr>
        <w:top w:val="none" w:sz="0" w:space="0" w:color="auto"/>
        <w:left w:val="none" w:sz="0" w:space="0" w:color="auto"/>
        <w:bottom w:val="none" w:sz="0" w:space="0" w:color="auto"/>
        <w:right w:val="none" w:sz="0" w:space="0" w:color="auto"/>
      </w:divBdr>
    </w:div>
    <w:div w:id="466356430">
      <w:bodyDiv w:val="1"/>
      <w:marLeft w:val="0"/>
      <w:marRight w:val="0"/>
      <w:marTop w:val="0"/>
      <w:marBottom w:val="0"/>
      <w:divBdr>
        <w:top w:val="none" w:sz="0" w:space="0" w:color="auto"/>
        <w:left w:val="none" w:sz="0" w:space="0" w:color="auto"/>
        <w:bottom w:val="none" w:sz="0" w:space="0" w:color="auto"/>
        <w:right w:val="none" w:sz="0" w:space="0" w:color="auto"/>
      </w:divBdr>
    </w:div>
    <w:div w:id="664673342">
      <w:bodyDiv w:val="1"/>
      <w:marLeft w:val="0"/>
      <w:marRight w:val="0"/>
      <w:marTop w:val="0"/>
      <w:marBottom w:val="0"/>
      <w:divBdr>
        <w:top w:val="none" w:sz="0" w:space="0" w:color="auto"/>
        <w:left w:val="none" w:sz="0" w:space="0" w:color="auto"/>
        <w:bottom w:val="none" w:sz="0" w:space="0" w:color="auto"/>
        <w:right w:val="none" w:sz="0" w:space="0" w:color="auto"/>
      </w:divBdr>
    </w:div>
    <w:div w:id="102702859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16158075">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0411687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gov.wales/welsh-index-multiple-deprivation-2019-deprivation-analysis-relating-young-children-html"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southwalesvictimfocus.org.uk/" TargetMode="External"/><Relationship Id="rId2" Type="http://schemas.openxmlformats.org/officeDocument/2006/relationships/customXml" Target="../customXml/item2.xml"/><Relationship Id="rId16" Type="http://schemas.openxmlformats.org/officeDocument/2006/relationships/hyperlink" Target="https://www.college.police.uk/anti-social-behaviou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law.gov.wales/culture/welsh-language/welsh-language-act-199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21</Pages>
  <Words>4164</Words>
  <Characters>23735</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27844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Moares,Matthew swp8537</cp:lastModifiedBy>
  <cp:revision>6</cp:revision>
  <cp:lastPrinted>2014-08-26T08:55:00Z</cp:lastPrinted>
  <dcterms:created xsi:type="dcterms:W3CDTF">2024-03-24T16:50:00Z</dcterms:created>
  <dcterms:modified xsi:type="dcterms:W3CDTF">2024-08-12T19:55:00Z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2024-03-24T16:49:49Z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fc63aedb-9caf-4d1e-bce8-109040ef5302</vt:lpwstr>
  </property>
  <property fmtid="{D5CDD505-2E9C-101B-9397-08002B2CF9AE}" pid="9" name="MSIP_Label_66cf8fe5-b7b7-4df7-b38d-1c61ac2f6639_ContentBits">
    <vt:lpwstr>0</vt:lpwstr>
  </property>
</Properties>
</file>