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intelligence2.xml" ContentType="application/vnd.ms-office.intelligence2+xml"/>
  <Override PartName="/word/numbering.xml" ContentType="application/vnd.openxmlformats-officedocument.wordprocessingml.numbering+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BDEFC7B" w:rsidP="3BDEFC7B" w:rsidRDefault="3BDEFC7B" w14:paraId="44FB795B" w14:textId="424ED499">
      <w:pPr>
        <w:pStyle w:val="Normal"/>
        <w:suppressLineNumbers w:val="0"/>
        <w:bidi w:val="0"/>
        <w:spacing w:before="0" w:beforeAutospacing="off" w:after="160" w:afterAutospacing="off" w:line="279" w:lineRule="auto"/>
        <w:ind w:left="0" w:right="0"/>
        <w:jc w:val="left"/>
      </w:pPr>
    </w:p>
    <w:p w:rsidR="09DB3C35" w:rsidP="09DB3C35" w:rsidRDefault="09DB3C35" w14:paraId="2FA70DC2" w14:textId="53218ECA">
      <w:pPr>
        <w:spacing w:before="240" w:beforeAutospacing="off" w:after="240" w:afterAutospacing="off"/>
        <w:jc w:val="both"/>
        <w:rPr>
          <w:highlight w:val="yellow"/>
        </w:rPr>
      </w:pPr>
      <w:r w:rsidR="4092DCC3">
        <w:drawing>
          <wp:inline wp14:editId="25E1F78F" wp14:anchorId="67261305">
            <wp:extent cx="5724525" cy="2143125"/>
            <wp:effectExtent l="0" t="0" r="0" b="0"/>
            <wp:docPr id="19247010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4701070" name="Picture 1924701070"/>
                    <pic:cNvPicPr/>
                  </pic:nvPicPr>
                  <pic:blipFill>
                    <a:blip xmlns:r="http://schemas.openxmlformats.org/officeDocument/2006/relationships" r:embed="rId1687925674">
                      <a:extLst>
                        <a:ext uri="{28A0092B-C50C-407E-A947-70E740481C1C}">
                          <a14:useLocalDpi xmlns:a14="http://schemas.microsoft.com/office/drawing/2010/main"/>
                        </a:ext>
                      </a:extLst>
                    </a:blip>
                    <a:stretch>
                      <a:fillRect/>
                    </a:stretch>
                  </pic:blipFill>
                  <pic:spPr>
                    <a:xfrm rot="0">
                      <a:off x="0" y="0"/>
                      <a:ext cx="5724525" cy="2143125"/>
                    </a:xfrm>
                    <a:prstGeom prst="rect">
                      <a:avLst/>
                    </a:prstGeom>
                  </pic:spPr>
                </pic:pic>
              </a:graphicData>
            </a:graphic>
          </wp:inline>
        </w:drawing>
      </w:r>
    </w:p>
    <w:sdt>
      <w:sdtPr>
        <w:id w:val="1408547328"/>
        <w:docPartObj>
          <w:docPartGallery w:val="Table of Contents"/>
          <w:docPartUnique/>
        </w:docPartObj>
      </w:sdtPr>
      <w:sdtContent>
        <w:p w:rsidR="66319048" w:rsidP="66319048" w:rsidRDefault="66319048" w14:paraId="4F8E2737" w14:textId="579EF065">
          <w:pPr>
            <w:pStyle w:val="TOC1"/>
            <w:tabs>
              <w:tab w:val="right" w:leader="dot" w:pos="9015"/>
            </w:tabs>
            <w:bidi w:val="0"/>
            <w:rPr>
              <w:rStyle w:val="Hyperlink"/>
            </w:rPr>
          </w:pPr>
          <w:r>
            <w:fldChar w:fldCharType="begin"/>
          </w:r>
          <w:r>
            <w:instrText xml:space="preserve">TOC \o "1-9" \z \u \h</w:instrText>
          </w:r>
          <w:r>
            <w:fldChar w:fldCharType="separate"/>
          </w:r>
          <w:hyperlink w:anchor="_Toc95163952">
            <w:r w:rsidRPr="324F1939" w:rsidR="324F1939">
              <w:rPr>
                <w:rStyle w:val="Hyperlink"/>
              </w:rPr>
              <w:t>Introduction on Legal &amp; General</w:t>
            </w:r>
            <w:r>
              <w:tab/>
            </w:r>
            <w:r>
              <w:fldChar w:fldCharType="begin"/>
            </w:r>
            <w:r>
              <w:instrText xml:space="preserve">PAGEREF _Toc95163952 \h</w:instrText>
            </w:r>
            <w:r>
              <w:fldChar w:fldCharType="separate"/>
            </w:r>
            <w:r w:rsidRPr="324F1939" w:rsidR="324F1939">
              <w:rPr>
                <w:rStyle w:val="Hyperlink"/>
              </w:rPr>
              <w:t>1</w:t>
            </w:r>
            <w:r>
              <w:fldChar w:fldCharType="end"/>
            </w:r>
          </w:hyperlink>
        </w:p>
        <w:p w:rsidR="66319048" w:rsidP="66319048" w:rsidRDefault="66319048" w14:paraId="7FAAC633" w14:textId="0EB7F6CB">
          <w:pPr>
            <w:pStyle w:val="TOC1"/>
            <w:tabs>
              <w:tab w:val="right" w:leader="dot" w:pos="9015"/>
            </w:tabs>
            <w:bidi w:val="0"/>
            <w:rPr>
              <w:rStyle w:val="Hyperlink"/>
            </w:rPr>
          </w:pPr>
          <w:hyperlink w:anchor="_Toc1367444043">
            <w:r w:rsidRPr="324F1939" w:rsidR="324F1939">
              <w:rPr>
                <w:rStyle w:val="Hyperlink"/>
              </w:rPr>
              <w:t>Key consumer and industry trends and data that affect Legal &amp; General</w:t>
            </w:r>
            <w:r>
              <w:tab/>
            </w:r>
            <w:r>
              <w:fldChar w:fldCharType="begin"/>
            </w:r>
            <w:r>
              <w:instrText xml:space="preserve">PAGEREF _Toc1367444043 \h</w:instrText>
            </w:r>
            <w:r>
              <w:fldChar w:fldCharType="separate"/>
            </w:r>
            <w:r w:rsidRPr="324F1939" w:rsidR="324F1939">
              <w:rPr>
                <w:rStyle w:val="Hyperlink"/>
              </w:rPr>
              <w:t>2</w:t>
            </w:r>
            <w:r>
              <w:fldChar w:fldCharType="end"/>
            </w:r>
          </w:hyperlink>
        </w:p>
        <w:p w:rsidR="66319048" w:rsidP="2E8D55B9" w:rsidRDefault="66319048" w14:paraId="5B3BB2C3" w14:textId="579406F9">
          <w:pPr>
            <w:pStyle w:val="TOC1"/>
            <w:tabs>
              <w:tab w:val="right" w:leader="dot" w:pos="9015"/>
            </w:tabs>
            <w:bidi w:val="0"/>
            <w:rPr>
              <w:rStyle w:val="Hyperlink"/>
            </w:rPr>
          </w:pPr>
          <w:hyperlink w:anchor="_Toc195951742">
            <w:r w:rsidRPr="324F1939" w:rsidR="324F1939">
              <w:rPr>
                <w:rStyle w:val="Hyperlink"/>
              </w:rPr>
              <w:t>Part 1: Analysis of Legal &amp; General’s Approach to Innovation</w:t>
            </w:r>
            <w:r>
              <w:tab/>
            </w:r>
            <w:r>
              <w:fldChar w:fldCharType="begin"/>
            </w:r>
            <w:r>
              <w:instrText xml:space="preserve">PAGEREF _Toc195951742 \h</w:instrText>
            </w:r>
            <w:r>
              <w:fldChar w:fldCharType="separate"/>
            </w:r>
            <w:r w:rsidRPr="324F1939" w:rsidR="324F1939">
              <w:rPr>
                <w:rStyle w:val="Hyperlink"/>
              </w:rPr>
              <w:t>5</w:t>
            </w:r>
            <w:r>
              <w:fldChar w:fldCharType="end"/>
            </w:r>
          </w:hyperlink>
        </w:p>
        <w:p w:rsidR="66319048" w:rsidP="66319048" w:rsidRDefault="66319048" w14:paraId="073C22C6" w14:textId="67F6D793">
          <w:pPr>
            <w:pStyle w:val="TOC3"/>
            <w:tabs>
              <w:tab w:val="right" w:leader="dot" w:pos="9015"/>
            </w:tabs>
            <w:bidi w:val="0"/>
            <w:rPr>
              <w:rStyle w:val="Hyperlink"/>
            </w:rPr>
          </w:pPr>
          <w:hyperlink w:anchor="_Toc317963297">
            <w:r w:rsidRPr="324F1939" w:rsidR="324F1939">
              <w:rPr>
                <w:rStyle w:val="Hyperlink"/>
              </w:rPr>
              <w:t>Core Innovation</w:t>
            </w:r>
            <w:r>
              <w:tab/>
            </w:r>
            <w:r>
              <w:fldChar w:fldCharType="begin"/>
            </w:r>
            <w:r>
              <w:instrText xml:space="preserve">PAGEREF _Toc317963297 \h</w:instrText>
            </w:r>
            <w:r>
              <w:fldChar w:fldCharType="separate"/>
            </w:r>
            <w:r w:rsidRPr="324F1939" w:rsidR="324F1939">
              <w:rPr>
                <w:rStyle w:val="Hyperlink"/>
              </w:rPr>
              <w:t>5</w:t>
            </w:r>
            <w:r>
              <w:fldChar w:fldCharType="end"/>
            </w:r>
          </w:hyperlink>
        </w:p>
        <w:p w:rsidR="66319048" w:rsidP="66319048" w:rsidRDefault="66319048" w14:paraId="14B955C0" w14:textId="7D61CFC7">
          <w:pPr>
            <w:pStyle w:val="TOC3"/>
            <w:tabs>
              <w:tab w:val="right" w:leader="dot" w:pos="9015"/>
            </w:tabs>
            <w:bidi w:val="0"/>
            <w:rPr>
              <w:rStyle w:val="Hyperlink"/>
            </w:rPr>
          </w:pPr>
          <w:hyperlink w:anchor="_Toc1099942294">
            <w:r w:rsidRPr="324F1939" w:rsidR="324F1939">
              <w:rPr>
                <w:rStyle w:val="Hyperlink"/>
              </w:rPr>
              <w:t>Adjacent Innovation</w:t>
            </w:r>
            <w:r>
              <w:tab/>
            </w:r>
            <w:r>
              <w:fldChar w:fldCharType="begin"/>
            </w:r>
            <w:r>
              <w:instrText xml:space="preserve">PAGEREF _Toc1099942294 \h</w:instrText>
            </w:r>
            <w:r>
              <w:fldChar w:fldCharType="separate"/>
            </w:r>
            <w:r w:rsidRPr="324F1939" w:rsidR="324F1939">
              <w:rPr>
                <w:rStyle w:val="Hyperlink"/>
              </w:rPr>
              <w:t>6</w:t>
            </w:r>
            <w:r>
              <w:fldChar w:fldCharType="end"/>
            </w:r>
          </w:hyperlink>
        </w:p>
        <w:p w:rsidR="66319048" w:rsidP="66319048" w:rsidRDefault="66319048" w14:paraId="168D5B5C" w14:textId="2BD28765">
          <w:pPr>
            <w:pStyle w:val="TOC3"/>
            <w:tabs>
              <w:tab w:val="right" w:leader="dot" w:pos="9015"/>
            </w:tabs>
            <w:bidi w:val="0"/>
            <w:rPr>
              <w:rStyle w:val="Hyperlink"/>
            </w:rPr>
          </w:pPr>
          <w:hyperlink w:anchor="_Toc903483887">
            <w:r w:rsidRPr="324F1939" w:rsidR="324F1939">
              <w:rPr>
                <w:rStyle w:val="Hyperlink"/>
              </w:rPr>
              <w:t>Transformational Innovation</w:t>
            </w:r>
            <w:r>
              <w:tab/>
            </w:r>
            <w:r>
              <w:fldChar w:fldCharType="begin"/>
            </w:r>
            <w:r>
              <w:instrText xml:space="preserve">PAGEREF _Toc903483887 \h</w:instrText>
            </w:r>
            <w:r>
              <w:fldChar w:fldCharType="separate"/>
            </w:r>
            <w:r w:rsidRPr="324F1939" w:rsidR="324F1939">
              <w:rPr>
                <w:rStyle w:val="Hyperlink"/>
              </w:rPr>
              <w:t>7</w:t>
            </w:r>
            <w:r>
              <w:fldChar w:fldCharType="end"/>
            </w:r>
          </w:hyperlink>
        </w:p>
        <w:p w:rsidR="66319048" w:rsidP="2E8D55B9" w:rsidRDefault="66319048" w14:paraId="38440CA4" w14:textId="3ED3BDFF">
          <w:pPr>
            <w:pStyle w:val="TOC2"/>
            <w:tabs>
              <w:tab w:val="right" w:leader="dot" w:pos="9015"/>
            </w:tabs>
            <w:bidi w:val="0"/>
            <w:rPr>
              <w:rStyle w:val="Hyperlink"/>
            </w:rPr>
          </w:pPr>
          <w:hyperlink w:anchor="_Toc1549092230">
            <w:r w:rsidRPr="324F1939" w:rsidR="324F1939">
              <w:rPr>
                <w:rStyle w:val="Hyperlink"/>
              </w:rPr>
              <w:t>Customer Journey Mapping</w:t>
            </w:r>
            <w:r>
              <w:tab/>
            </w:r>
            <w:r>
              <w:fldChar w:fldCharType="begin"/>
            </w:r>
            <w:r>
              <w:instrText xml:space="preserve">PAGEREF _Toc1549092230 \h</w:instrText>
            </w:r>
            <w:r>
              <w:fldChar w:fldCharType="separate"/>
            </w:r>
            <w:r w:rsidRPr="324F1939" w:rsidR="324F1939">
              <w:rPr>
                <w:rStyle w:val="Hyperlink"/>
              </w:rPr>
              <w:t>8</w:t>
            </w:r>
            <w:r>
              <w:fldChar w:fldCharType="end"/>
            </w:r>
          </w:hyperlink>
        </w:p>
        <w:p w:rsidR="66319048" w:rsidP="2E8D55B9" w:rsidRDefault="66319048" w14:paraId="725CBEA1" w14:textId="0685E148">
          <w:pPr>
            <w:pStyle w:val="TOC1"/>
            <w:tabs>
              <w:tab w:val="right" w:leader="dot" w:pos="9015"/>
            </w:tabs>
            <w:bidi w:val="0"/>
            <w:rPr>
              <w:rStyle w:val="Hyperlink"/>
            </w:rPr>
          </w:pPr>
          <w:hyperlink w:anchor="_Toc1842218529">
            <w:r w:rsidRPr="324F1939" w:rsidR="324F1939">
              <w:rPr>
                <w:rStyle w:val="Hyperlink"/>
              </w:rPr>
              <w:t>Causal Loop Diagram – customer engagement problem</w:t>
            </w:r>
            <w:r>
              <w:tab/>
            </w:r>
            <w:r>
              <w:fldChar w:fldCharType="begin"/>
            </w:r>
            <w:r>
              <w:instrText xml:space="preserve">PAGEREF _Toc1842218529 \h</w:instrText>
            </w:r>
            <w:r>
              <w:fldChar w:fldCharType="separate"/>
            </w:r>
            <w:r w:rsidRPr="324F1939" w:rsidR="324F1939">
              <w:rPr>
                <w:rStyle w:val="Hyperlink"/>
              </w:rPr>
              <w:t>9</w:t>
            </w:r>
            <w:r>
              <w:fldChar w:fldCharType="end"/>
            </w:r>
          </w:hyperlink>
        </w:p>
        <w:p w:rsidR="66319048" w:rsidP="2E8D55B9" w:rsidRDefault="66319048" w14:paraId="73AAE776" w14:textId="0414B9CC">
          <w:pPr>
            <w:pStyle w:val="TOC1"/>
            <w:tabs>
              <w:tab w:val="right" w:leader="dot" w:pos="9015"/>
            </w:tabs>
            <w:bidi w:val="0"/>
            <w:rPr>
              <w:rStyle w:val="Hyperlink"/>
            </w:rPr>
          </w:pPr>
          <w:hyperlink w:anchor="_Toc2079049898">
            <w:r w:rsidRPr="324F1939" w:rsidR="324F1939">
              <w:rPr>
                <w:rStyle w:val="Hyperlink"/>
              </w:rPr>
              <w:t>Part 2: Proposed Digital Transformation Initiative for Legal &amp; General</w:t>
            </w:r>
            <w:r>
              <w:tab/>
            </w:r>
            <w:r>
              <w:fldChar w:fldCharType="begin"/>
            </w:r>
            <w:r>
              <w:instrText xml:space="preserve">PAGEREF _Toc2079049898 \h</w:instrText>
            </w:r>
            <w:r>
              <w:fldChar w:fldCharType="separate"/>
            </w:r>
            <w:r w:rsidRPr="324F1939" w:rsidR="324F1939">
              <w:rPr>
                <w:rStyle w:val="Hyperlink"/>
              </w:rPr>
              <w:t>10</w:t>
            </w:r>
            <w:r>
              <w:fldChar w:fldCharType="end"/>
            </w:r>
          </w:hyperlink>
        </w:p>
        <w:p w:rsidR="66319048" w:rsidP="2E8D55B9" w:rsidRDefault="66319048" w14:paraId="3EA61087" w14:textId="54D263CC">
          <w:pPr>
            <w:pStyle w:val="TOC2"/>
            <w:tabs>
              <w:tab w:val="right" w:leader="dot" w:pos="9015"/>
            </w:tabs>
            <w:bidi w:val="0"/>
            <w:rPr>
              <w:rStyle w:val="Hyperlink"/>
            </w:rPr>
          </w:pPr>
          <w:hyperlink w:anchor="_Toc728412862">
            <w:r w:rsidRPr="324F1939" w:rsidR="324F1939">
              <w:rPr>
                <w:rStyle w:val="Hyperlink"/>
              </w:rPr>
              <w:t>AI-Driven Personalised Retirement Ecosystem</w:t>
            </w:r>
            <w:r>
              <w:tab/>
            </w:r>
            <w:r>
              <w:fldChar w:fldCharType="begin"/>
            </w:r>
            <w:r>
              <w:instrText xml:space="preserve">PAGEREF _Toc728412862 \h</w:instrText>
            </w:r>
            <w:r>
              <w:fldChar w:fldCharType="separate"/>
            </w:r>
            <w:r w:rsidRPr="324F1939" w:rsidR="324F1939">
              <w:rPr>
                <w:rStyle w:val="Hyperlink"/>
              </w:rPr>
              <w:t>10</w:t>
            </w:r>
            <w:r>
              <w:fldChar w:fldCharType="end"/>
            </w:r>
          </w:hyperlink>
        </w:p>
        <w:p w:rsidR="66319048" w:rsidP="2E8D55B9" w:rsidRDefault="66319048" w14:paraId="51907C00" w14:textId="0B4732C9">
          <w:pPr>
            <w:pStyle w:val="TOC1"/>
            <w:tabs>
              <w:tab w:val="right" w:leader="dot" w:pos="9015"/>
            </w:tabs>
            <w:bidi w:val="0"/>
            <w:rPr>
              <w:rStyle w:val="Hyperlink"/>
            </w:rPr>
          </w:pPr>
          <w:hyperlink w:anchor="_Toc1602188157">
            <w:r w:rsidRPr="324F1939" w:rsidR="324F1939">
              <w:rPr>
                <w:rStyle w:val="Hyperlink"/>
              </w:rPr>
              <w:t>Key Features of the Proposed Platform</w:t>
            </w:r>
            <w:r>
              <w:tab/>
            </w:r>
            <w:r>
              <w:fldChar w:fldCharType="begin"/>
            </w:r>
            <w:r>
              <w:instrText xml:space="preserve">PAGEREF _Toc1602188157 \h</w:instrText>
            </w:r>
            <w:r>
              <w:fldChar w:fldCharType="separate"/>
            </w:r>
            <w:r w:rsidRPr="324F1939" w:rsidR="324F1939">
              <w:rPr>
                <w:rStyle w:val="Hyperlink"/>
              </w:rPr>
              <w:t>12</w:t>
            </w:r>
            <w:r>
              <w:fldChar w:fldCharType="end"/>
            </w:r>
          </w:hyperlink>
        </w:p>
        <w:p w:rsidR="66319048" w:rsidP="2E8D55B9" w:rsidRDefault="66319048" w14:paraId="4607BA0E" w14:textId="22346853">
          <w:pPr>
            <w:pStyle w:val="TOC1"/>
            <w:tabs>
              <w:tab w:val="right" w:leader="dot" w:pos="9015"/>
            </w:tabs>
            <w:bidi w:val="0"/>
            <w:rPr>
              <w:rStyle w:val="Hyperlink"/>
            </w:rPr>
          </w:pPr>
          <w:hyperlink w:anchor="_Toc549510701">
            <w:r w:rsidRPr="324F1939" w:rsidR="324F1939">
              <w:rPr>
                <w:rStyle w:val="Hyperlink"/>
              </w:rPr>
              <w:t>Causal loop diagram – AI- driven retirement ecosystem</w:t>
            </w:r>
            <w:r>
              <w:tab/>
            </w:r>
            <w:r>
              <w:fldChar w:fldCharType="begin"/>
            </w:r>
            <w:r>
              <w:instrText xml:space="preserve">PAGEREF _Toc549510701 \h</w:instrText>
            </w:r>
            <w:r>
              <w:fldChar w:fldCharType="separate"/>
            </w:r>
            <w:r w:rsidRPr="324F1939" w:rsidR="324F1939">
              <w:rPr>
                <w:rStyle w:val="Hyperlink"/>
              </w:rPr>
              <w:t>13</w:t>
            </w:r>
            <w:r>
              <w:fldChar w:fldCharType="end"/>
            </w:r>
          </w:hyperlink>
        </w:p>
        <w:p w:rsidR="66319048" w:rsidP="2E8D55B9" w:rsidRDefault="66319048" w14:paraId="09893A0B" w14:textId="470B73DC">
          <w:pPr>
            <w:pStyle w:val="TOC1"/>
            <w:tabs>
              <w:tab w:val="right" w:leader="dot" w:pos="9015"/>
            </w:tabs>
            <w:bidi w:val="0"/>
            <w:rPr>
              <w:rStyle w:val="Hyperlink"/>
            </w:rPr>
          </w:pPr>
          <w:hyperlink w:anchor="_Toc690008839">
            <w:r w:rsidRPr="324F1939" w:rsidR="324F1939">
              <w:rPr>
                <w:rStyle w:val="Hyperlink"/>
              </w:rPr>
              <w:t>Enhanced Customer Journey</w:t>
            </w:r>
            <w:r>
              <w:tab/>
            </w:r>
            <w:r>
              <w:fldChar w:fldCharType="begin"/>
            </w:r>
            <w:r>
              <w:instrText xml:space="preserve">PAGEREF _Toc690008839 \h</w:instrText>
            </w:r>
            <w:r>
              <w:fldChar w:fldCharType="separate"/>
            </w:r>
            <w:r w:rsidRPr="324F1939" w:rsidR="324F1939">
              <w:rPr>
                <w:rStyle w:val="Hyperlink"/>
              </w:rPr>
              <w:t>14</w:t>
            </w:r>
            <w:r>
              <w:fldChar w:fldCharType="end"/>
            </w:r>
          </w:hyperlink>
        </w:p>
        <w:p w:rsidR="66319048" w:rsidP="2E8D55B9" w:rsidRDefault="66319048" w14:paraId="3D87E245" w14:textId="6B5AB7B7">
          <w:pPr>
            <w:pStyle w:val="TOC1"/>
            <w:tabs>
              <w:tab w:val="right" w:leader="dot" w:pos="9015"/>
            </w:tabs>
            <w:bidi w:val="0"/>
            <w:rPr>
              <w:rStyle w:val="Hyperlink"/>
            </w:rPr>
          </w:pPr>
          <w:hyperlink w:anchor="_Toc571453890">
            <w:r w:rsidRPr="324F1939" w:rsidR="324F1939">
              <w:rPr>
                <w:rStyle w:val="Hyperlink"/>
              </w:rPr>
              <w:t>Strategic Value for Legal &amp; General</w:t>
            </w:r>
            <w:r>
              <w:tab/>
            </w:r>
            <w:r>
              <w:fldChar w:fldCharType="begin"/>
            </w:r>
            <w:r>
              <w:instrText xml:space="preserve">PAGEREF _Toc571453890 \h</w:instrText>
            </w:r>
            <w:r>
              <w:fldChar w:fldCharType="separate"/>
            </w:r>
            <w:r w:rsidRPr="324F1939" w:rsidR="324F1939">
              <w:rPr>
                <w:rStyle w:val="Hyperlink"/>
              </w:rPr>
              <w:t>15</w:t>
            </w:r>
            <w:r>
              <w:fldChar w:fldCharType="end"/>
            </w:r>
          </w:hyperlink>
        </w:p>
        <w:p w:rsidR="66319048" w:rsidP="66319048" w:rsidRDefault="66319048" w14:paraId="5B9E7C38" w14:textId="29BA8561">
          <w:pPr>
            <w:pStyle w:val="TOC1"/>
            <w:tabs>
              <w:tab w:val="right" w:leader="dot" w:pos="9015"/>
            </w:tabs>
            <w:bidi w:val="0"/>
            <w:rPr>
              <w:rStyle w:val="Hyperlink"/>
            </w:rPr>
          </w:pPr>
          <w:hyperlink w:anchor="_Toc1465844537">
            <w:r w:rsidRPr="324F1939" w:rsidR="324F1939">
              <w:rPr>
                <w:rStyle w:val="Hyperlink"/>
              </w:rPr>
              <w:t>Measuring the Impact and Success of the Initiative</w:t>
            </w:r>
            <w:r>
              <w:tab/>
            </w:r>
            <w:r>
              <w:fldChar w:fldCharType="begin"/>
            </w:r>
            <w:r>
              <w:instrText xml:space="preserve">PAGEREF _Toc1465844537 \h</w:instrText>
            </w:r>
            <w:r>
              <w:fldChar w:fldCharType="separate"/>
            </w:r>
            <w:r w:rsidRPr="324F1939" w:rsidR="324F1939">
              <w:rPr>
                <w:rStyle w:val="Hyperlink"/>
              </w:rPr>
              <w:t>16</w:t>
            </w:r>
            <w:r>
              <w:fldChar w:fldCharType="end"/>
            </w:r>
          </w:hyperlink>
        </w:p>
        <w:p w:rsidR="66319048" w:rsidP="66319048" w:rsidRDefault="66319048" w14:paraId="57C55E0C" w14:textId="591F4061">
          <w:pPr>
            <w:pStyle w:val="TOC1"/>
            <w:tabs>
              <w:tab w:val="right" w:leader="dot" w:pos="9015"/>
            </w:tabs>
            <w:bidi w:val="0"/>
            <w:rPr>
              <w:rStyle w:val="Hyperlink"/>
            </w:rPr>
          </w:pPr>
          <w:hyperlink w:anchor="_Toc1172820748">
            <w:r w:rsidRPr="324F1939" w:rsidR="324F1939">
              <w:rPr>
                <w:rStyle w:val="Hyperlink"/>
              </w:rPr>
              <w:t>Conclusion</w:t>
            </w:r>
            <w:r>
              <w:tab/>
            </w:r>
            <w:r>
              <w:fldChar w:fldCharType="begin"/>
            </w:r>
            <w:r>
              <w:instrText xml:space="preserve">PAGEREF _Toc1172820748 \h</w:instrText>
            </w:r>
            <w:r>
              <w:fldChar w:fldCharType="separate"/>
            </w:r>
            <w:r w:rsidRPr="324F1939" w:rsidR="324F1939">
              <w:rPr>
                <w:rStyle w:val="Hyperlink"/>
              </w:rPr>
              <w:t>16</w:t>
            </w:r>
            <w:r>
              <w:fldChar w:fldCharType="end"/>
            </w:r>
          </w:hyperlink>
        </w:p>
        <w:p w:rsidR="66319048" w:rsidP="2E8D55B9" w:rsidRDefault="66319048" w14:paraId="777AC689" w14:textId="03831E3F">
          <w:pPr>
            <w:pStyle w:val="TOC1"/>
            <w:tabs>
              <w:tab w:val="right" w:leader="dot" w:pos="9015"/>
            </w:tabs>
            <w:bidi w:val="0"/>
            <w:rPr>
              <w:rStyle w:val="Hyperlink"/>
            </w:rPr>
          </w:pPr>
          <w:hyperlink w:anchor="_Toc1527344297">
            <w:r w:rsidRPr="324F1939" w:rsidR="324F1939">
              <w:rPr>
                <w:rStyle w:val="Hyperlink"/>
              </w:rPr>
              <w:t>Reference</w:t>
            </w:r>
            <w:r>
              <w:tab/>
            </w:r>
            <w:r>
              <w:fldChar w:fldCharType="begin"/>
            </w:r>
            <w:r>
              <w:instrText xml:space="preserve">PAGEREF _Toc1527344297 \h</w:instrText>
            </w:r>
            <w:r>
              <w:fldChar w:fldCharType="separate"/>
            </w:r>
            <w:r w:rsidRPr="324F1939" w:rsidR="324F1939">
              <w:rPr>
                <w:rStyle w:val="Hyperlink"/>
              </w:rPr>
              <w:t>17</w:t>
            </w:r>
            <w:r>
              <w:fldChar w:fldCharType="end"/>
            </w:r>
          </w:hyperlink>
          <w:r>
            <w:fldChar w:fldCharType="end"/>
          </w:r>
        </w:p>
      </w:sdtContent>
    </w:sdt>
    <w:p w:rsidR="09DB3C35" w:rsidP="2E8D55B9" w:rsidRDefault="09DB3C35" w14:paraId="20EC0299" w14:textId="5A68A328">
      <w:pPr>
        <w:spacing w:before="240" w:beforeAutospacing="off" w:after="240" w:afterAutospacing="off" w:line="360" w:lineRule="auto"/>
        <w:jc w:val="both"/>
        <w:rPr>
          <w:rFonts w:ascii="Arial" w:hAnsi="Arial" w:eastAsia="Arial" w:cs="Arial"/>
          <w:color w:val="auto"/>
          <w:sz w:val="22"/>
          <w:szCs w:val="22"/>
          <w:highlight w:val="yellow"/>
        </w:rPr>
      </w:pPr>
    </w:p>
    <w:p w:rsidR="3BDEFC7B" w:rsidP="276A68DE" w:rsidRDefault="3BDEFC7B" w14:paraId="1677BA44" w14:textId="29D88ADB">
      <w:pPr>
        <w:pStyle w:val="Heading1"/>
        <w:rPr>
          <w:rFonts w:ascii="Arial" w:hAnsi="Arial" w:eastAsia="Arial" w:cs="Arial"/>
          <w:color w:val="auto"/>
          <w:sz w:val="22"/>
          <w:szCs w:val="22"/>
        </w:rPr>
      </w:pPr>
      <w:bookmarkStart w:name="_Toc95163952" w:id="1910801414"/>
      <w:r w:rsidRPr="324F1939" w:rsidR="699BDCAB">
        <w:rPr>
          <w:rFonts w:ascii="Arial" w:hAnsi="Arial" w:eastAsia="Arial" w:cs="Arial"/>
          <w:sz w:val="22"/>
          <w:szCs w:val="22"/>
        </w:rPr>
        <w:t>Introduction</w:t>
      </w:r>
      <w:r w:rsidRPr="324F1939" w:rsidR="1664AB09">
        <w:rPr>
          <w:rFonts w:ascii="Arial" w:hAnsi="Arial" w:eastAsia="Arial" w:cs="Arial"/>
          <w:sz w:val="22"/>
          <w:szCs w:val="22"/>
        </w:rPr>
        <w:t xml:space="preserve"> on Legal &amp; General</w:t>
      </w:r>
      <w:bookmarkEnd w:id="1910801414"/>
    </w:p>
    <w:p w:rsidR="472748E3" w:rsidP="2E8D55B9" w:rsidRDefault="472748E3" w14:paraId="31ECF355" w14:textId="161461D9">
      <w:pPr>
        <w:spacing w:before="240" w:beforeAutospacing="off" w:after="240" w:afterAutospacing="off" w:line="360" w:lineRule="auto"/>
        <w:rPr>
          <w:rFonts w:ascii="Arial" w:hAnsi="Arial" w:eastAsia="Arial" w:cs="Arial"/>
          <w:b w:val="0"/>
          <w:bCs w:val="0"/>
          <w:noProof w:val="0"/>
          <w:color w:val="auto"/>
          <w:sz w:val="22"/>
          <w:szCs w:val="22"/>
          <w:lang w:val="en-GB"/>
        </w:rPr>
      </w:pPr>
      <w:r w:rsidRPr="276A68DE" w:rsidR="472748E3">
        <w:rPr>
          <w:rFonts w:ascii="Arial" w:hAnsi="Arial" w:eastAsia="Arial" w:cs="Arial"/>
          <w:b w:val="0"/>
          <w:bCs w:val="0"/>
          <w:noProof w:val="0"/>
          <w:color w:val="auto"/>
          <w:sz w:val="22"/>
          <w:szCs w:val="22"/>
          <w:lang w:val="en-GB"/>
        </w:rPr>
        <w:t>L</w:t>
      </w:r>
      <w:r w:rsidRPr="276A68DE" w:rsidR="472748E3">
        <w:rPr>
          <w:rFonts w:ascii="Arial" w:hAnsi="Arial" w:eastAsia="Arial" w:cs="Arial"/>
          <w:b w:val="0"/>
          <w:bCs w:val="0"/>
          <w:noProof w:val="0"/>
          <w:color w:val="auto"/>
          <w:sz w:val="22"/>
          <w:szCs w:val="22"/>
          <w:lang w:val="en-GB"/>
        </w:rPr>
        <w:t xml:space="preserve">egal &amp; General is one of the UK’s largest and most established financial services providers, founded in 1836. Today, it offers a wide range of services including pensions, life insurance, retirement </w:t>
      </w:r>
      <w:r w:rsidRPr="276A68DE" w:rsidR="472748E3">
        <w:rPr>
          <w:rFonts w:ascii="Arial" w:hAnsi="Arial" w:eastAsia="Arial" w:cs="Arial"/>
          <w:b w:val="0"/>
          <w:bCs w:val="0"/>
          <w:noProof w:val="0"/>
          <w:color w:val="auto"/>
          <w:sz w:val="22"/>
          <w:szCs w:val="22"/>
          <w:lang w:val="en-GB"/>
        </w:rPr>
        <w:t>planning</w:t>
      </w:r>
      <w:r w:rsidRPr="276A68DE" w:rsidR="472748E3">
        <w:rPr>
          <w:rFonts w:ascii="Arial" w:hAnsi="Arial" w:eastAsia="Arial" w:cs="Arial"/>
          <w:b w:val="0"/>
          <w:bCs w:val="0"/>
          <w:noProof w:val="0"/>
          <w:color w:val="auto"/>
          <w:sz w:val="22"/>
          <w:szCs w:val="22"/>
          <w:lang w:val="en-GB"/>
        </w:rPr>
        <w:t xml:space="preserve"> and asset management. While its main operations are in the UK, the company also manages global investments. According to its </w:t>
      </w:r>
      <w:r w:rsidRPr="276A68DE" w:rsidR="4095D1FF">
        <w:rPr>
          <w:rFonts w:ascii="Arial" w:hAnsi="Arial" w:eastAsia="Arial" w:cs="Arial"/>
          <w:b w:val="0"/>
          <w:bCs w:val="0"/>
          <w:noProof w:val="0"/>
          <w:color w:val="auto"/>
          <w:sz w:val="22"/>
          <w:szCs w:val="22"/>
          <w:lang w:val="en-GB"/>
        </w:rPr>
        <w:t>L&amp;G,</w:t>
      </w:r>
      <w:r w:rsidRPr="276A68DE" w:rsidR="472748E3">
        <w:rPr>
          <w:rFonts w:ascii="Arial" w:hAnsi="Arial" w:eastAsia="Arial" w:cs="Arial"/>
          <w:b w:val="0"/>
          <w:bCs w:val="0"/>
          <w:noProof w:val="0"/>
          <w:color w:val="auto"/>
          <w:sz w:val="22"/>
          <w:szCs w:val="22"/>
          <w:lang w:val="en-GB"/>
        </w:rPr>
        <w:t xml:space="preserve"> (202</w:t>
      </w:r>
      <w:r w:rsidRPr="276A68DE" w:rsidR="08EC3AB2">
        <w:rPr>
          <w:rFonts w:ascii="Arial" w:hAnsi="Arial" w:eastAsia="Arial" w:cs="Arial"/>
          <w:b w:val="0"/>
          <w:bCs w:val="0"/>
          <w:noProof w:val="0"/>
          <w:color w:val="auto"/>
          <w:sz w:val="22"/>
          <w:szCs w:val="22"/>
          <w:lang w:val="en-GB"/>
        </w:rPr>
        <w:t>6</w:t>
      </w:r>
      <w:r w:rsidRPr="276A68DE" w:rsidR="472748E3">
        <w:rPr>
          <w:rFonts w:ascii="Arial" w:hAnsi="Arial" w:eastAsia="Arial" w:cs="Arial"/>
          <w:b w:val="0"/>
          <w:bCs w:val="0"/>
          <w:noProof w:val="0"/>
          <w:color w:val="auto"/>
          <w:sz w:val="22"/>
          <w:szCs w:val="22"/>
          <w:lang w:val="en-GB"/>
        </w:rPr>
        <w:t>)</w:t>
      </w:r>
      <w:r w:rsidRPr="276A68DE" w:rsidR="472748E3">
        <w:rPr>
          <w:rFonts w:ascii="Arial" w:hAnsi="Arial" w:eastAsia="Arial" w:cs="Arial"/>
          <w:b w:val="0"/>
          <w:bCs w:val="0"/>
          <w:noProof w:val="0"/>
          <w:color w:val="auto"/>
          <w:sz w:val="22"/>
          <w:szCs w:val="22"/>
          <w:lang w:val="en-GB"/>
        </w:rPr>
        <w:t>, Legal &amp; General manages over £1.2 trillion in assets and serves millions of customers, making it a key player in the UK’s retirement and long-term savings market.</w:t>
      </w:r>
    </w:p>
    <w:p w:rsidR="472748E3" w:rsidP="2E8D55B9" w:rsidRDefault="472748E3" w14:paraId="16EDF1CE" w14:textId="1307A6E7">
      <w:pPr>
        <w:spacing w:before="240" w:beforeAutospacing="off" w:after="240" w:afterAutospacing="off" w:line="360" w:lineRule="auto"/>
        <w:rPr>
          <w:rFonts w:ascii="Arial" w:hAnsi="Arial" w:eastAsia="Arial" w:cs="Arial"/>
          <w:b w:val="0"/>
          <w:bCs w:val="0"/>
          <w:noProof w:val="0"/>
          <w:color w:val="auto"/>
          <w:sz w:val="22"/>
          <w:szCs w:val="22"/>
          <w:lang w:val="en-GB"/>
        </w:rPr>
      </w:pPr>
      <w:r w:rsidRPr="276A68DE" w:rsidR="472748E3">
        <w:rPr>
          <w:rFonts w:ascii="Arial" w:hAnsi="Arial" w:eastAsia="Arial" w:cs="Arial"/>
          <w:b w:val="0"/>
          <w:bCs w:val="0"/>
          <w:noProof w:val="0"/>
          <w:color w:val="auto"/>
          <w:sz w:val="22"/>
          <w:szCs w:val="22"/>
          <w:lang w:val="en-GB"/>
        </w:rPr>
        <w:t xml:space="preserve">The financial services industry is currently changing rapidly, </w:t>
      </w:r>
      <w:r w:rsidRPr="276A68DE" w:rsidR="5FFD7440">
        <w:rPr>
          <w:rFonts w:ascii="Arial" w:hAnsi="Arial" w:eastAsia="Arial" w:cs="Arial"/>
          <w:b w:val="0"/>
          <w:bCs w:val="0"/>
          <w:noProof w:val="0"/>
          <w:color w:val="auto"/>
          <w:sz w:val="22"/>
          <w:szCs w:val="22"/>
          <w:lang w:val="en-GB"/>
        </w:rPr>
        <w:t>due to</w:t>
      </w:r>
      <w:r w:rsidRPr="276A68DE" w:rsidR="472748E3">
        <w:rPr>
          <w:rFonts w:ascii="Arial" w:hAnsi="Arial" w:eastAsia="Arial" w:cs="Arial"/>
          <w:b w:val="0"/>
          <w:bCs w:val="0"/>
          <w:noProof w:val="0"/>
          <w:color w:val="auto"/>
          <w:sz w:val="22"/>
          <w:szCs w:val="22"/>
          <w:lang w:val="en-GB"/>
        </w:rPr>
        <w:t xml:space="preserve"> digital technology and shifting customer expectations. More customers now expect to manage their finances online through simple, user-friendly platforms. Research</w:t>
      </w:r>
      <w:r w:rsidRPr="276A68DE" w:rsidR="472748E3">
        <w:rPr>
          <w:rFonts w:ascii="Arial" w:hAnsi="Arial" w:eastAsia="Arial" w:cs="Arial"/>
          <w:b w:val="0"/>
          <w:bCs w:val="0"/>
          <w:noProof w:val="0"/>
          <w:color w:val="auto"/>
          <w:sz w:val="22"/>
          <w:szCs w:val="22"/>
          <w:lang w:val="en-GB"/>
        </w:rPr>
        <w:t xml:space="preserve"> </w:t>
      </w:r>
      <w:r w:rsidRPr="276A68DE" w:rsidR="472748E3">
        <w:rPr>
          <w:rFonts w:ascii="Arial" w:hAnsi="Arial" w:eastAsia="Arial" w:cs="Arial"/>
          <w:b w:val="0"/>
          <w:bCs w:val="0"/>
          <w:noProof w:val="0"/>
          <w:color w:val="auto"/>
          <w:sz w:val="22"/>
          <w:szCs w:val="22"/>
          <w:lang w:val="en-GB"/>
        </w:rPr>
        <w:t>shows tha</w:t>
      </w:r>
      <w:r w:rsidRPr="276A68DE" w:rsidR="072437EE">
        <w:rPr>
          <w:rFonts w:ascii="Arial" w:hAnsi="Arial" w:eastAsia="Arial" w:cs="Arial"/>
          <w:b w:val="0"/>
          <w:bCs w:val="0"/>
          <w:noProof w:val="0"/>
          <w:color w:val="auto"/>
          <w:sz w:val="22"/>
          <w:szCs w:val="22"/>
          <w:lang w:val="en-GB"/>
        </w:rPr>
        <w:t xml:space="preserve">t </w:t>
      </w:r>
      <w:r w:rsidRPr="276A68DE" w:rsidR="472748E3">
        <w:rPr>
          <w:rFonts w:ascii="Arial" w:hAnsi="Arial" w:eastAsia="Arial" w:cs="Arial"/>
          <w:b w:val="0"/>
          <w:bCs w:val="0"/>
          <w:noProof w:val="0"/>
          <w:color w:val="auto"/>
          <w:sz w:val="22"/>
          <w:szCs w:val="22"/>
          <w:lang w:val="en-GB"/>
        </w:rPr>
        <w:t>digital engagement in financial services has increased significantly, as people prioritise convenience and accessibility. In response, organisations are investing heavily in digital solutions to improve customer experience and stay competitive</w:t>
      </w:r>
      <w:r w:rsidRPr="276A68DE" w:rsidR="4C624DB9">
        <w:rPr>
          <w:rFonts w:ascii="Arial" w:hAnsi="Arial" w:eastAsia="Arial" w:cs="Arial"/>
          <w:b w:val="0"/>
          <w:bCs w:val="0"/>
          <w:noProof w:val="0"/>
          <w:color w:val="auto"/>
          <w:sz w:val="22"/>
          <w:szCs w:val="22"/>
          <w:lang w:val="en-GB"/>
        </w:rPr>
        <w:t xml:space="preserve"> Gomber, et al, (2018)</w:t>
      </w:r>
      <w:r w:rsidRPr="276A68DE" w:rsidR="472748E3">
        <w:rPr>
          <w:rFonts w:ascii="Arial" w:hAnsi="Arial" w:eastAsia="Arial" w:cs="Arial"/>
          <w:b w:val="0"/>
          <w:bCs w:val="0"/>
          <w:noProof w:val="0"/>
          <w:color w:val="auto"/>
          <w:sz w:val="22"/>
          <w:szCs w:val="22"/>
          <w:lang w:val="en-GB"/>
        </w:rPr>
        <w:t>.</w:t>
      </w:r>
    </w:p>
    <w:p w:rsidR="472748E3" w:rsidP="2E8D55B9" w:rsidRDefault="472748E3" w14:paraId="4011386D" w14:textId="5E4F8E1E">
      <w:pPr>
        <w:pStyle w:val="Normal"/>
        <w:suppressLineNumbers w:val="0"/>
        <w:bidi w:val="0"/>
        <w:spacing w:before="240" w:beforeAutospacing="off" w:after="240" w:afterAutospacing="off" w:line="360" w:lineRule="auto"/>
        <w:ind w:left="0" w:right="0"/>
        <w:jc w:val="left"/>
        <w:rPr>
          <w:rFonts w:ascii="Arial" w:hAnsi="Arial" w:eastAsia="Arial" w:cs="Arial"/>
          <w:b w:val="0"/>
          <w:bCs w:val="0"/>
          <w:noProof w:val="0"/>
          <w:color w:val="auto"/>
          <w:sz w:val="22"/>
          <w:szCs w:val="22"/>
          <w:lang w:val="en-GB"/>
        </w:rPr>
      </w:pPr>
      <w:r w:rsidRPr="276A68DE" w:rsidR="472748E3">
        <w:rPr>
          <w:rFonts w:ascii="Arial" w:hAnsi="Arial" w:eastAsia="Arial" w:cs="Arial"/>
          <w:b w:val="0"/>
          <w:bCs w:val="0"/>
          <w:noProof w:val="0"/>
          <w:color w:val="auto"/>
          <w:sz w:val="22"/>
          <w:szCs w:val="22"/>
          <w:lang w:val="en-GB"/>
        </w:rPr>
        <w:t xml:space="preserve">At the same time, demographic changes are increasing demand for financial services. The UK’s ageing population means more people need support with retirement planning and long-term savings. </w:t>
      </w:r>
      <w:r w:rsidRPr="276A68DE" w:rsidR="456B5430">
        <w:rPr>
          <w:rFonts w:ascii="Arial" w:hAnsi="Arial" w:eastAsia="Arial" w:cs="Arial"/>
          <w:b w:val="0"/>
          <w:bCs w:val="0"/>
          <w:noProof w:val="0"/>
          <w:color w:val="auto"/>
          <w:sz w:val="22"/>
          <w:szCs w:val="22"/>
          <w:lang w:val="en-GB"/>
        </w:rPr>
        <w:t xml:space="preserve">Industry data indicates that </w:t>
      </w:r>
      <w:r w:rsidRPr="276A68DE" w:rsidR="456B5430">
        <w:rPr>
          <w:rFonts w:ascii="Arial" w:hAnsi="Arial" w:eastAsia="Arial" w:cs="Arial"/>
          <w:b w:val="0"/>
          <w:bCs w:val="0"/>
          <w:noProof w:val="0"/>
          <w:color w:val="auto"/>
          <w:sz w:val="22"/>
          <w:szCs w:val="22"/>
          <w:lang w:val="en-GB"/>
        </w:rPr>
        <w:t>UK pension assets are valued at approximately £2.9–£3.2 trillion</w:t>
      </w:r>
      <w:r w:rsidRPr="276A68DE" w:rsidR="456B5430">
        <w:rPr>
          <w:rFonts w:ascii="Arial" w:hAnsi="Arial" w:eastAsia="Arial" w:cs="Arial"/>
          <w:b w:val="0"/>
          <w:bCs w:val="0"/>
          <w:noProof w:val="0"/>
          <w:color w:val="auto"/>
          <w:sz w:val="22"/>
          <w:szCs w:val="22"/>
          <w:lang w:val="en-GB"/>
        </w:rPr>
        <w:t xml:space="preserve">, highlighting the scale and importance of the retirement market Pensions Policy Institute, (2024) </w:t>
      </w:r>
      <w:r w:rsidRPr="276A68DE" w:rsidR="472748E3">
        <w:rPr>
          <w:rFonts w:ascii="Arial" w:hAnsi="Arial" w:eastAsia="Arial" w:cs="Arial"/>
          <w:b w:val="0"/>
          <w:bCs w:val="0"/>
          <w:noProof w:val="0"/>
          <w:color w:val="auto"/>
          <w:sz w:val="22"/>
          <w:szCs w:val="22"/>
          <w:lang w:val="en-GB"/>
        </w:rPr>
        <w:t>However, growing competition from fintech companies is pushing traditional providers like Legal &amp; General to innovate and strengthen their digital capabilities</w:t>
      </w:r>
      <w:r w:rsidRPr="276A68DE" w:rsidR="533ECC31">
        <w:rPr>
          <w:rFonts w:ascii="Arial" w:hAnsi="Arial" w:eastAsia="Arial" w:cs="Arial"/>
          <w:b w:val="0"/>
          <w:bCs w:val="0"/>
          <w:noProof w:val="0"/>
          <w:color w:val="auto"/>
          <w:sz w:val="22"/>
          <w:szCs w:val="22"/>
          <w:lang w:val="en-GB"/>
        </w:rPr>
        <w:t xml:space="preserve"> </w:t>
      </w:r>
      <w:r w:rsidRPr="276A68DE" w:rsidR="533ECC31">
        <w:rPr>
          <w:rFonts w:ascii="Arial" w:hAnsi="Arial" w:eastAsia="Arial" w:cs="Arial"/>
          <w:b w:val="0"/>
          <w:bCs w:val="0"/>
          <w:i w:val="0"/>
          <w:iCs w:val="0"/>
          <w:caps w:val="0"/>
          <w:smallCaps w:val="0"/>
          <w:noProof w:val="0"/>
          <w:color w:val="auto"/>
          <w:sz w:val="22"/>
          <w:szCs w:val="22"/>
          <w:lang w:val="en-GB"/>
        </w:rPr>
        <w:t xml:space="preserve">Lekhi, (2024). </w:t>
      </w:r>
    </w:p>
    <w:p w:rsidR="3BDEFC7B" w:rsidP="5BD3C420" w:rsidRDefault="3BDEFC7B" w14:paraId="29EDC807" w14:textId="7F50281F">
      <w:pPr>
        <w:spacing w:before="240" w:beforeAutospacing="off" w:after="240" w:afterAutospacing="off" w:line="360" w:lineRule="auto"/>
        <w:rPr>
          <w:rFonts w:ascii="Arial" w:hAnsi="Arial" w:eastAsia="Arial" w:cs="Arial"/>
          <w:b w:val="1"/>
          <w:bCs w:val="1"/>
          <w:noProof w:val="0"/>
          <w:color w:val="auto"/>
          <w:sz w:val="22"/>
          <w:szCs w:val="22"/>
          <w:lang w:val="en-GB"/>
        </w:rPr>
      </w:pPr>
      <w:r w:rsidRPr="5BD3C420" w:rsidR="472748E3">
        <w:rPr>
          <w:rFonts w:ascii="Arial" w:hAnsi="Arial" w:eastAsia="Arial" w:cs="Arial"/>
          <w:b w:val="0"/>
          <w:bCs w:val="0"/>
          <w:noProof w:val="0"/>
          <w:color w:val="auto"/>
          <w:sz w:val="22"/>
          <w:szCs w:val="22"/>
          <w:lang w:val="en-GB"/>
        </w:rPr>
        <w:t>I</w:t>
      </w:r>
      <w:r w:rsidRPr="5BD3C420" w:rsidR="472748E3">
        <w:rPr>
          <w:rFonts w:ascii="Arial" w:hAnsi="Arial" w:eastAsia="Arial" w:cs="Arial"/>
          <w:b w:val="1"/>
          <w:bCs w:val="1"/>
          <w:noProof w:val="0"/>
          <w:color w:val="auto"/>
          <w:sz w:val="22"/>
          <w:szCs w:val="22"/>
          <w:lang w:val="en-GB"/>
        </w:rPr>
        <w:t xml:space="preserve">n response to these changes, this report examines Legal &amp; General’s approach to innovation and customer experience using the Innovation Ambition Matrix and customer journey mapping. It then proposes a digital transformation initiative aimed at improving customer engagement and creating </w:t>
      </w:r>
      <w:r w:rsidRPr="5BD3C420" w:rsidR="472748E3">
        <w:rPr>
          <w:rFonts w:ascii="Arial" w:hAnsi="Arial" w:eastAsia="Arial" w:cs="Arial"/>
          <w:b w:val="1"/>
          <w:bCs w:val="1"/>
          <w:noProof w:val="0"/>
          <w:color w:val="auto"/>
          <w:sz w:val="22"/>
          <w:szCs w:val="22"/>
          <w:lang w:val="en-GB"/>
        </w:rPr>
        <w:t>additional</w:t>
      </w:r>
      <w:r w:rsidRPr="5BD3C420" w:rsidR="472748E3">
        <w:rPr>
          <w:rFonts w:ascii="Arial" w:hAnsi="Arial" w:eastAsia="Arial" w:cs="Arial"/>
          <w:b w:val="1"/>
          <w:bCs w:val="1"/>
          <w:noProof w:val="0"/>
          <w:color w:val="auto"/>
          <w:sz w:val="22"/>
          <w:szCs w:val="22"/>
          <w:lang w:val="en-GB"/>
        </w:rPr>
        <w:t xml:space="preserve"> value for the organisation.</w:t>
      </w:r>
    </w:p>
    <w:p w:rsidR="3BDEFC7B" w:rsidP="276A68DE" w:rsidRDefault="3BDEFC7B" w14:paraId="24123A30" w14:textId="589860A4">
      <w:pPr>
        <w:pStyle w:val="Heading1"/>
        <w:rPr>
          <w:rFonts w:ascii="Arial" w:hAnsi="Arial" w:eastAsia="Arial" w:cs="Arial"/>
          <w:noProof w:val="0"/>
          <w:color w:val="auto"/>
          <w:sz w:val="22"/>
          <w:szCs w:val="22"/>
          <w:lang w:val="en-GB"/>
        </w:rPr>
      </w:pPr>
      <w:bookmarkStart w:name="_Toc1367444043" w:id="1689650569"/>
      <w:r w:rsidRPr="324F1939" w:rsidR="31EFB285">
        <w:rPr>
          <w:rFonts w:ascii="Arial" w:hAnsi="Arial" w:eastAsia="Arial" w:cs="Arial"/>
          <w:noProof w:val="0"/>
          <w:sz w:val="22"/>
          <w:szCs w:val="22"/>
          <w:lang w:val="en-GB"/>
        </w:rPr>
        <w:t>Key consumer and industry trends and data that affect Legal &amp; General</w:t>
      </w:r>
      <w:bookmarkEnd w:id="1689650569"/>
      <w:r w:rsidRPr="324F1939" w:rsidR="31EFB285">
        <w:rPr>
          <w:rFonts w:ascii="Arial" w:hAnsi="Arial" w:eastAsia="Arial" w:cs="Arial"/>
          <w:noProof w:val="0"/>
          <w:sz w:val="22"/>
          <w:szCs w:val="22"/>
          <w:lang w:val="en-GB"/>
        </w:rPr>
        <w:t xml:space="preserve"> </w:t>
      </w:r>
    </w:p>
    <w:p w:rsidR="55AF75AE" w:rsidP="2E8D55B9" w:rsidRDefault="55AF75AE" w14:paraId="03AACFE4" w14:textId="5ADE65FD">
      <w:pPr>
        <w:spacing w:before="240" w:beforeAutospacing="off" w:after="240" w:afterAutospacing="off" w:line="360" w:lineRule="auto"/>
        <w:rPr>
          <w:rFonts w:ascii="Arial" w:hAnsi="Arial" w:eastAsia="Arial" w:cs="Arial"/>
          <w:b w:val="0"/>
          <w:bCs w:val="0"/>
          <w:noProof w:val="0"/>
          <w:color w:val="auto"/>
          <w:sz w:val="22"/>
          <w:szCs w:val="22"/>
          <w:lang w:val="en-GB"/>
        </w:rPr>
      </w:pPr>
      <w:r w:rsidRPr="276A68DE" w:rsidR="55AF75AE">
        <w:rPr>
          <w:rFonts w:ascii="Arial" w:hAnsi="Arial" w:eastAsia="Arial" w:cs="Arial"/>
          <w:b w:val="0"/>
          <w:bCs w:val="0"/>
          <w:noProof w:val="0"/>
          <w:color w:val="auto"/>
          <w:sz w:val="22"/>
          <w:szCs w:val="22"/>
          <w:lang w:val="en-GB"/>
        </w:rPr>
        <w:t xml:space="preserve">The UK financial services industry has undergone rapid transformation in recent years, </w:t>
      </w:r>
      <w:r w:rsidRPr="276A68DE" w:rsidR="65CB14B3">
        <w:rPr>
          <w:rFonts w:ascii="Arial" w:hAnsi="Arial" w:eastAsia="Arial" w:cs="Arial"/>
          <w:b w:val="0"/>
          <w:bCs w:val="0"/>
          <w:noProof w:val="0"/>
          <w:color w:val="auto"/>
          <w:sz w:val="22"/>
          <w:szCs w:val="22"/>
          <w:lang w:val="en-GB"/>
        </w:rPr>
        <w:t>driven</w:t>
      </w:r>
      <w:r w:rsidRPr="276A68DE" w:rsidR="55AF75AE">
        <w:rPr>
          <w:rFonts w:ascii="Arial" w:hAnsi="Arial" w:eastAsia="Arial" w:cs="Arial"/>
          <w:b w:val="0"/>
          <w:bCs w:val="0"/>
          <w:noProof w:val="0"/>
          <w:color w:val="auto"/>
          <w:sz w:val="22"/>
          <w:szCs w:val="22"/>
          <w:lang w:val="en-GB"/>
        </w:rPr>
        <w:t xml:space="preserve"> by digital technology, changing customer expectations and an ageing population. Financial services are no longer delivered </w:t>
      </w:r>
      <w:r w:rsidRPr="276A68DE" w:rsidR="558DBBD9">
        <w:rPr>
          <w:rFonts w:ascii="Arial" w:hAnsi="Arial" w:eastAsia="Arial" w:cs="Arial"/>
          <w:b w:val="0"/>
          <w:bCs w:val="0"/>
          <w:noProof w:val="0"/>
          <w:color w:val="auto"/>
          <w:sz w:val="22"/>
          <w:szCs w:val="22"/>
          <w:lang w:val="en-GB"/>
        </w:rPr>
        <w:t>through</w:t>
      </w:r>
      <w:r w:rsidRPr="276A68DE" w:rsidR="55AF75AE">
        <w:rPr>
          <w:rFonts w:ascii="Arial" w:hAnsi="Arial" w:eastAsia="Arial" w:cs="Arial"/>
          <w:b w:val="0"/>
          <w:bCs w:val="0"/>
          <w:noProof w:val="0"/>
          <w:color w:val="auto"/>
          <w:sz w:val="22"/>
          <w:szCs w:val="22"/>
          <w:lang w:val="en-GB"/>
        </w:rPr>
        <w:t xml:space="preserve"> traditional channels, as customers now expect quick, </w:t>
      </w:r>
      <w:r w:rsidRPr="276A68DE" w:rsidR="37D2E7C1">
        <w:rPr>
          <w:rFonts w:ascii="Arial" w:hAnsi="Arial" w:eastAsia="Arial" w:cs="Arial"/>
          <w:b w:val="0"/>
          <w:bCs w:val="0"/>
          <w:noProof w:val="0"/>
          <w:color w:val="auto"/>
          <w:sz w:val="22"/>
          <w:szCs w:val="22"/>
          <w:lang w:val="en-GB"/>
        </w:rPr>
        <w:t>personalised,</w:t>
      </w:r>
      <w:r w:rsidRPr="276A68DE" w:rsidR="55AF75AE">
        <w:rPr>
          <w:rFonts w:ascii="Arial" w:hAnsi="Arial" w:eastAsia="Arial" w:cs="Arial"/>
          <w:b w:val="0"/>
          <w:bCs w:val="0"/>
          <w:noProof w:val="0"/>
          <w:color w:val="auto"/>
          <w:sz w:val="22"/>
          <w:szCs w:val="22"/>
          <w:lang w:val="en-GB"/>
        </w:rPr>
        <w:t xml:space="preserve"> and easy-to-use digital experiences. This shift is particularly important for large or</w:t>
      </w:r>
      <w:r w:rsidRPr="276A68DE" w:rsidR="55AF75AE">
        <w:rPr>
          <w:rFonts w:ascii="Arial" w:hAnsi="Arial" w:eastAsia="Arial" w:cs="Arial"/>
          <w:b w:val="0"/>
          <w:bCs w:val="0"/>
          <w:noProof w:val="0"/>
          <w:color w:val="auto"/>
          <w:sz w:val="22"/>
          <w:szCs w:val="22"/>
          <w:lang w:val="en-GB"/>
        </w:rPr>
        <w:t xml:space="preserve">ganisations such as Legal &amp; General, which </w:t>
      </w:r>
      <w:r w:rsidRPr="276A68DE" w:rsidR="55AF75AE">
        <w:rPr>
          <w:rFonts w:ascii="Arial" w:hAnsi="Arial" w:eastAsia="Arial" w:cs="Arial"/>
          <w:b w:val="0"/>
          <w:bCs w:val="0"/>
          <w:noProof w:val="0"/>
          <w:color w:val="auto"/>
          <w:sz w:val="22"/>
          <w:szCs w:val="22"/>
          <w:lang w:val="en-GB"/>
        </w:rPr>
        <w:t>operates</w:t>
      </w:r>
      <w:r w:rsidRPr="276A68DE" w:rsidR="55AF75AE">
        <w:rPr>
          <w:rFonts w:ascii="Arial" w:hAnsi="Arial" w:eastAsia="Arial" w:cs="Arial"/>
          <w:b w:val="0"/>
          <w:bCs w:val="0"/>
          <w:noProof w:val="0"/>
          <w:color w:val="auto"/>
          <w:sz w:val="22"/>
          <w:szCs w:val="22"/>
          <w:lang w:val="en-GB"/>
        </w:rPr>
        <w:t xml:space="preserve"> at significant scale. According to its</w:t>
      </w:r>
      <w:r w:rsidRPr="276A68DE" w:rsidR="55AF75AE">
        <w:rPr>
          <w:rFonts w:ascii="Arial" w:hAnsi="Arial" w:eastAsia="Arial" w:cs="Arial"/>
          <w:b w:val="0"/>
          <w:bCs w:val="0"/>
          <w:noProof w:val="0"/>
          <w:color w:val="auto"/>
          <w:sz w:val="22"/>
          <w:szCs w:val="22"/>
          <w:lang w:val="en-GB"/>
        </w:rPr>
        <w:t xml:space="preserve"> Annual Report</w:t>
      </w:r>
      <w:r w:rsidRPr="276A68DE" w:rsidR="0519A2EE">
        <w:rPr>
          <w:rFonts w:ascii="Arial" w:hAnsi="Arial" w:eastAsia="Arial" w:cs="Arial"/>
          <w:b w:val="0"/>
          <w:bCs w:val="0"/>
          <w:noProof w:val="0"/>
          <w:color w:val="auto"/>
          <w:sz w:val="22"/>
          <w:szCs w:val="22"/>
          <w:lang w:val="en-GB"/>
        </w:rPr>
        <w:t>,</w:t>
      </w:r>
      <w:r w:rsidRPr="276A68DE" w:rsidR="55AF75AE">
        <w:rPr>
          <w:rFonts w:ascii="Arial" w:hAnsi="Arial" w:eastAsia="Arial" w:cs="Arial"/>
          <w:b w:val="0"/>
          <w:bCs w:val="0"/>
          <w:noProof w:val="0"/>
          <w:color w:val="auto"/>
          <w:sz w:val="22"/>
          <w:szCs w:val="22"/>
          <w:lang w:val="en-GB"/>
        </w:rPr>
        <w:t xml:space="preserve"> (2024)</w:t>
      </w:r>
      <w:r w:rsidRPr="276A68DE" w:rsidR="55AF75AE">
        <w:rPr>
          <w:rFonts w:ascii="Arial" w:hAnsi="Arial" w:eastAsia="Arial" w:cs="Arial"/>
          <w:b w:val="0"/>
          <w:bCs w:val="0"/>
          <w:noProof w:val="0"/>
          <w:color w:val="auto"/>
          <w:sz w:val="22"/>
          <w:szCs w:val="22"/>
          <w:lang w:val="en-GB"/>
        </w:rPr>
        <w:t xml:space="preserve">, the company manages over </w:t>
      </w:r>
      <w:r w:rsidRPr="276A68DE" w:rsidR="55AF75AE">
        <w:rPr>
          <w:rFonts w:ascii="Arial" w:hAnsi="Arial" w:eastAsia="Arial" w:cs="Arial"/>
          <w:b w:val="0"/>
          <w:bCs w:val="0"/>
          <w:noProof w:val="0"/>
          <w:color w:val="auto"/>
          <w:sz w:val="22"/>
          <w:szCs w:val="22"/>
          <w:lang w:val="en-GB"/>
        </w:rPr>
        <w:t>£1.2 trillion in assets</w:t>
      </w:r>
      <w:r w:rsidRPr="276A68DE" w:rsidR="55AF75AE">
        <w:rPr>
          <w:rFonts w:ascii="Arial" w:hAnsi="Arial" w:eastAsia="Arial" w:cs="Arial"/>
          <w:b w:val="0"/>
          <w:bCs w:val="0"/>
          <w:noProof w:val="0"/>
          <w:color w:val="auto"/>
          <w:sz w:val="22"/>
          <w:szCs w:val="22"/>
          <w:lang w:val="en-GB"/>
        </w:rPr>
        <w:t xml:space="preserve"> and serves millions of customers worldwide, highlighting the need for efficient, </w:t>
      </w:r>
      <w:r w:rsidRPr="276A68DE" w:rsidR="6847A452">
        <w:rPr>
          <w:rFonts w:ascii="Arial" w:hAnsi="Arial" w:eastAsia="Arial" w:cs="Arial"/>
          <w:b w:val="0"/>
          <w:bCs w:val="0"/>
          <w:noProof w:val="0"/>
          <w:color w:val="auto"/>
          <w:sz w:val="22"/>
          <w:szCs w:val="22"/>
          <w:lang w:val="en-GB"/>
        </w:rPr>
        <w:t>scalable,</w:t>
      </w:r>
      <w:r w:rsidRPr="276A68DE" w:rsidR="55AF75AE">
        <w:rPr>
          <w:rFonts w:ascii="Arial" w:hAnsi="Arial" w:eastAsia="Arial" w:cs="Arial"/>
          <w:b w:val="0"/>
          <w:bCs w:val="0"/>
          <w:noProof w:val="0"/>
          <w:color w:val="auto"/>
          <w:sz w:val="22"/>
          <w:szCs w:val="22"/>
          <w:lang w:val="en-GB"/>
        </w:rPr>
        <w:t xml:space="preserve"> and data-driven digital platforms. These developments reinforce the view that financial technology is reshaping how services are delivered, improving efficiency while enabling new digital business models</w:t>
      </w:r>
      <w:r w:rsidRPr="276A68DE" w:rsidR="55AF75AE">
        <w:rPr>
          <w:rFonts w:ascii="Arial" w:hAnsi="Arial" w:eastAsia="Arial" w:cs="Arial"/>
          <w:b w:val="0"/>
          <w:bCs w:val="0"/>
          <w:noProof w:val="0"/>
          <w:color w:val="auto"/>
          <w:sz w:val="22"/>
          <w:szCs w:val="22"/>
          <w:lang w:val="en-GB"/>
        </w:rPr>
        <w:t xml:space="preserve"> </w:t>
      </w:r>
      <w:r w:rsidRPr="276A68DE" w:rsidR="55AF75AE">
        <w:rPr>
          <w:rFonts w:ascii="Arial" w:hAnsi="Arial" w:eastAsia="Arial" w:cs="Arial"/>
          <w:b w:val="0"/>
          <w:bCs w:val="0"/>
          <w:noProof w:val="0"/>
          <w:color w:val="auto"/>
          <w:sz w:val="22"/>
          <w:szCs w:val="22"/>
          <w:lang w:val="en-GB"/>
        </w:rPr>
        <w:t xml:space="preserve">Gomber et al., </w:t>
      </w:r>
      <w:r w:rsidRPr="276A68DE" w:rsidR="2D0E7F0C">
        <w:rPr>
          <w:rFonts w:ascii="Arial" w:hAnsi="Arial" w:eastAsia="Arial" w:cs="Arial"/>
          <w:b w:val="0"/>
          <w:bCs w:val="0"/>
          <w:noProof w:val="0"/>
          <w:color w:val="auto"/>
          <w:sz w:val="22"/>
          <w:szCs w:val="22"/>
          <w:lang w:val="en-GB"/>
        </w:rPr>
        <w:t>(</w:t>
      </w:r>
      <w:r w:rsidRPr="276A68DE" w:rsidR="55AF75AE">
        <w:rPr>
          <w:rFonts w:ascii="Arial" w:hAnsi="Arial" w:eastAsia="Arial" w:cs="Arial"/>
          <w:b w:val="0"/>
          <w:bCs w:val="0"/>
          <w:noProof w:val="0"/>
          <w:color w:val="auto"/>
          <w:sz w:val="22"/>
          <w:szCs w:val="22"/>
          <w:lang w:val="en-GB"/>
        </w:rPr>
        <w:t>201</w:t>
      </w:r>
      <w:r w:rsidRPr="276A68DE" w:rsidR="51AF1A0E">
        <w:rPr>
          <w:rFonts w:ascii="Arial" w:hAnsi="Arial" w:eastAsia="Arial" w:cs="Arial"/>
          <w:b w:val="0"/>
          <w:bCs w:val="0"/>
          <w:noProof w:val="0"/>
          <w:color w:val="auto"/>
          <w:sz w:val="22"/>
          <w:szCs w:val="22"/>
          <w:lang w:val="en-GB"/>
        </w:rPr>
        <w:t>7)</w:t>
      </w:r>
      <w:r w:rsidRPr="276A68DE" w:rsidR="00D011A8">
        <w:rPr>
          <w:rFonts w:ascii="Arial" w:hAnsi="Arial" w:eastAsia="Arial" w:cs="Arial"/>
          <w:b w:val="0"/>
          <w:bCs w:val="0"/>
          <w:noProof w:val="0"/>
          <w:color w:val="auto"/>
          <w:sz w:val="22"/>
          <w:szCs w:val="22"/>
          <w:lang w:val="en-GB"/>
        </w:rPr>
        <w:t>.</w:t>
      </w:r>
    </w:p>
    <w:p w:rsidR="55AF75AE" w:rsidP="2E8D55B9" w:rsidRDefault="55AF75AE" w14:paraId="4B78AB89" w14:textId="5124AF9B">
      <w:pPr>
        <w:spacing w:before="240" w:beforeAutospacing="off" w:after="240" w:afterAutospacing="off" w:line="360" w:lineRule="auto"/>
        <w:rPr>
          <w:rFonts w:ascii="Arial" w:hAnsi="Arial" w:eastAsia="Arial" w:cs="Arial"/>
          <w:noProof w:val="0"/>
          <w:color w:val="auto"/>
          <w:sz w:val="22"/>
          <w:szCs w:val="22"/>
          <w:lang w:val="en-GB"/>
        </w:rPr>
      </w:pPr>
      <w:r w:rsidRPr="2E8D55B9" w:rsidR="55AF75AE">
        <w:rPr>
          <w:rFonts w:ascii="Arial" w:hAnsi="Arial" w:eastAsia="Arial" w:cs="Arial"/>
          <w:noProof w:val="0"/>
          <w:color w:val="auto"/>
          <w:sz w:val="22"/>
          <w:szCs w:val="22"/>
          <w:lang w:val="en-GB"/>
        </w:rPr>
        <w:t xml:space="preserve">This scale of operation is illustrated in </w:t>
      </w:r>
      <w:r w:rsidRPr="2E8D55B9" w:rsidR="55AF75AE">
        <w:rPr>
          <w:rFonts w:ascii="Arial" w:hAnsi="Arial" w:eastAsia="Arial" w:cs="Arial"/>
          <w:b w:val="1"/>
          <w:bCs w:val="1"/>
          <w:noProof w:val="0"/>
          <w:color w:val="auto"/>
          <w:sz w:val="22"/>
          <w:szCs w:val="22"/>
          <w:lang w:val="en-GB"/>
        </w:rPr>
        <w:t>Figure 1</w:t>
      </w:r>
      <w:r w:rsidRPr="2E8D55B9" w:rsidR="55AF75AE">
        <w:rPr>
          <w:rFonts w:ascii="Arial" w:hAnsi="Arial" w:eastAsia="Arial" w:cs="Arial"/>
          <w:noProof w:val="0"/>
          <w:color w:val="auto"/>
          <w:sz w:val="22"/>
          <w:szCs w:val="22"/>
          <w:lang w:val="en-GB"/>
        </w:rPr>
        <w:t>, which shows the consistent growth of Legal &amp; General’s assets under management.</w:t>
      </w:r>
    </w:p>
    <w:p w:rsidR="55AF75AE" w:rsidP="2E8D55B9" w:rsidRDefault="55AF75AE" w14:paraId="06F6E67D" w14:textId="3340F743">
      <w:pPr>
        <w:pStyle w:val="Normal"/>
        <w:spacing w:line="360" w:lineRule="auto"/>
        <w:rPr>
          <w:rFonts w:ascii="Arial" w:hAnsi="Arial" w:eastAsia="Arial" w:cs="Arial"/>
          <w:b w:val="1"/>
          <w:bCs w:val="1"/>
          <w:noProof w:val="0"/>
          <w:color w:val="auto"/>
          <w:sz w:val="22"/>
          <w:szCs w:val="22"/>
          <w:lang w:val="en-GB"/>
        </w:rPr>
      </w:pPr>
      <w:r w:rsidRPr="2E8D55B9" w:rsidR="1F1FDB5C">
        <w:rPr>
          <w:rFonts w:ascii="Arial" w:hAnsi="Arial" w:eastAsia="Arial" w:cs="Arial"/>
          <w:noProof w:val="0"/>
          <w:color w:val="auto"/>
          <w:sz w:val="22"/>
          <w:szCs w:val="22"/>
          <w:lang w:val="en-GB"/>
        </w:rPr>
        <w:t>Figure 1: Legal &amp; General Assets Under Management</w:t>
      </w:r>
    </w:p>
    <w:tbl>
      <w:tblPr>
        <w:tblStyle w:val="TableNormal"/>
        <w:bidiVisual w:val="0"/>
        <w:tblW w:w="0" w:type="auto"/>
        <w:tblLook w:val="06A0" w:firstRow="1" w:lastRow="0" w:firstColumn="1" w:lastColumn="0" w:noHBand="1" w:noVBand="1"/>
      </w:tblPr>
      <w:tblGrid>
        <w:gridCol w:w="780"/>
        <w:gridCol w:w="4110"/>
      </w:tblGrid>
      <w:tr w:rsidR="4B04B31A" w:rsidTr="2E8D55B9" w14:paraId="01692526">
        <w:trPr>
          <w:trHeight w:val="300"/>
        </w:trPr>
        <w:tc>
          <w:tcPr>
            <w:tcW w:w="780" w:type="dxa"/>
            <w:tcMar/>
            <w:vAlign w:val="center"/>
          </w:tcPr>
          <w:p w:rsidR="4B04B31A" w:rsidP="2E8D55B9" w:rsidRDefault="4B04B31A" w14:paraId="643E47E7" w14:textId="1C93D64F">
            <w:pPr>
              <w:spacing w:before="0" w:beforeAutospacing="off" w:after="0" w:afterAutospacing="off" w:line="360" w:lineRule="auto"/>
              <w:jc w:val="center"/>
              <w:rPr>
                <w:rFonts w:ascii="Arial" w:hAnsi="Arial" w:eastAsia="Arial" w:cs="Arial"/>
                <w:b w:val="1"/>
                <w:bCs w:val="1"/>
                <w:color w:val="auto"/>
                <w:sz w:val="22"/>
                <w:szCs w:val="22"/>
              </w:rPr>
            </w:pPr>
            <w:r w:rsidRPr="2E8D55B9" w:rsidR="17C0C223">
              <w:rPr>
                <w:rFonts w:ascii="Arial" w:hAnsi="Arial" w:eastAsia="Arial" w:cs="Arial"/>
                <w:b w:val="1"/>
                <w:bCs w:val="1"/>
                <w:color w:val="auto"/>
                <w:sz w:val="22"/>
                <w:szCs w:val="22"/>
              </w:rPr>
              <w:t>Year</w:t>
            </w:r>
          </w:p>
        </w:tc>
        <w:tc>
          <w:tcPr>
            <w:tcW w:w="4110" w:type="dxa"/>
            <w:tcMar/>
            <w:vAlign w:val="center"/>
          </w:tcPr>
          <w:p w:rsidR="4B04B31A" w:rsidP="2E8D55B9" w:rsidRDefault="4B04B31A" w14:paraId="3B2C1E46" w14:textId="530BCEF9">
            <w:pPr>
              <w:spacing w:before="0" w:beforeAutospacing="off" w:after="0" w:afterAutospacing="off" w:line="360" w:lineRule="auto"/>
              <w:jc w:val="center"/>
              <w:rPr>
                <w:rFonts w:ascii="Arial" w:hAnsi="Arial" w:eastAsia="Arial" w:cs="Arial"/>
                <w:b w:val="1"/>
                <w:bCs w:val="1"/>
                <w:color w:val="auto"/>
                <w:sz w:val="22"/>
                <w:szCs w:val="22"/>
              </w:rPr>
            </w:pPr>
            <w:r w:rsidRPr="2E8D55B9" w:rsidR="17C0C223">
              <w:rPr>
                <w:rFonts w:ascii="Arial" w:hAnsi="Arial" w:eastAsia="Arial" w:cs="Arial"/>
                <w:b w:val="1"/>
                <w:bCs w:val="1"/>
                <w:color w:val="auto"/>
                <w:sz w:val="22"/>
                <w:szCs w:val="22"/>
              </w:rPr>
              <w:t>Assets Under Management (£ trillion)</w:t>
            </w:r>
          </w:p>
        </w:tc>
      </w:tr>
      <w:tr w:rsidR="4B04B31A" w:rsidTr="2E8D55B9" w14:paraId="46C7944D">
        <w:trPr>
          <w:trHeight w:val="300"/>
        </w:trPr>
        <w:tc>
          <w:tcPr>
            <w:tcW w:w="780" w:type="dxa"/>
            <w:tcMar/>
            <w:vAlign w:val="center"/>
          </w:tcPr>
          <w:p w:rsidR="4B04B31A" w:rsidP="2E8D55B9" w:rsidRDefault="4B04B31A" w14:paraId="3283DC31" w14:textId="65FA6645">
            <w:pPr>
              <w:spacing w:before="0" w:beforeAutospacing="off" w:after="0" w:afterAutospacing="off" w:line="360" w:lineRule="auto"/>
              <w:rPr>
                <w:rFonts w:ascii="Arial" w:hAnsi="Arial" w:eastAsia="Arial" w:cs="Arial"/>
                <w:color w:val="auto"/>
                <w:sz w:val="22"/>
                <w:szCs w:val="22"/>
              </w:rPr>
            </w:pPr>
            <w:r w:rsidRPr="2E8D55B9" w:rsidR="17C0C223">
              <w:rPr>
                <w:rFonts w:ascii="Arial" w:hAnsi="Arial" w:eastAsia="Arial" w:cs="Arial"/>
                <w:color w:val="auto"/>
                <w:sz w:val="22"/>
                <w:szCs w:val="22"/>
              </w:rPr>
              <w:t>2020</w:t>
            </w:r>
          </w:p>
        </w:tc>
        <w:tc>
          <w:tcPr>
            <w:tcW w:w="4110" w:type="dxa"/>
            <w:tcMar/>
            <w:vAlign w:val="center"/>
          </w:tcPr>
          <w:p w:rsidR="4B04B31A" w:rsidP="2E8D55B9" w:rsidRDefault="4B04B31A" w14:paraId="6317E0F7" w14:textId="72D35979">
            <w:pPr>
              <w:spacing w:before="0" w:beforeAutospacing="off" w:after="0" w:afterAutospacing="off" w:line="360" w:lineRule="auto"/>
              <w:rPr>
                <w:rFonts w:ascii="Arial" w:hAnsi="Arial" w:eastAsia="Arial" w:cs="Arial"/>
                <w:color w:val="auto"/>
                <w:sz w:val="22"/>
                <w:szCs w:val="22"/>
              </w:rPr>
            </w:pPr>
            <w:r w:rsidRPr="2E8D55B9" w:rsidR="17C0C223">
              <w:rPr>
                <w:rFonts w:ascii="Arial" w:hAnsi="Arial" w:eastAsia="Arial" w:cs="Arial"/>
                <w:color w:val="auto"/>
                <w:sz w:val="22"/>
                <w:szCs w:val="22"/>
              </w:rPr>
              <w:t>1.1</w:t>
            </w:r>
          </w:p>
        </w:tc>
      </w:tr>
      <w:tr w:rsidR="4B04B31A" w:rsidTr="2E8D55B9" w14:paraId="2D8085D5">
        <w:trPr>
          <w:trHeight w:val="300"/>
        </w:trPr>
        <w:tc>
          <w:tcPr>
            <w:tcW w:w="780" w:type="dxa"/>
            <w:tcMar/>
            <w:vAlign w:val="center"/>
          </w:tcPr>
          <w:p w:rsidR="4B04B31A" w:rsidP="2E8D55B9" w:rsidRDefault="4B04B31A" w14:paraId="1E36C63B" w14:textId="4F72993F">
            <w:pPr>
              <w:spacing w:before="0" w:beforeAutospacing="off" w:after="0" w:afterAutospacing="off" w:line="360" w:lineRule="auto"/>
              <w:rPr>
                <w:rFonts w:ascii="Arial" w:hAnsi="Arial" w:eastAsia="Arial" w:cs="Arial"/>
                <w:color w:val="auto"/>
                <w:sz w:val="22"/>
                <w:szCs w:val="22"/>
              </w:rPr>
            </w:pPr>
            <w:r w:rsidRPr="2E8D55B9" w:rsidR="17C0C223">
              <w:rPr>
                <w:rFonts w:ascii="Arial" w:hAnsi="Arial" w:eastAsia="Arial" w:cs="Arial"/>
                <w:color w:val="auto"/>
                <w:sz w:val="22"/>
                <w:szCs w:val="22"/>
              </w:rPr>
              <w:t>2022</w:t>
            </w:r>
          </w:p>
        </w:tc>
        <w:tc>
          <w:tcPr>
            <w:tcW w:w="4110" w:type="dxa"/>
            <w:tcMar/>
            <w:vAlign w:val="center"/>
          </w:tcPr>
          <w:p w:rsidR="4B04B31A" w:rsidP="2E8D55B9" w:rsidRDefault="4B04B31A" w14:paraId="61435BB9" w14:textId="76F4AA85">
            <w:pPr>
              <w:spacing w:before="0" w:beforeAutospacing="off" w:after="0" w:afterAutospacing="off" w:line="360" w:lineRule="auto"/>
              <w:rPr>
                <w:rFonts w:ascii="Arial" w:hAnsi="Arial" w:eastAsia="Arial" w:cs="Arial"/>
                <w:color w:val="auto"/>
                <w:sz w:val="22"/>
                <w:szCs w:val="22"/>
              </w:rPr>
            </w:pPr>
            <w:r w:rsidRPr="2E8D55B9" w:rsidR="17C0C223">
              <w:rPr>
                <w:rFonts w:ascii="Arial" w:hAnsi="Arial" w:eastAsia="Arial" w:cs="Arial"/>
                <w:color w:val="auto"/>
                <w:sz w:val="22"/>
                <w:szCs w:val="22"/>
              </w:rPr>
              <w:t>1.2</w:t>
            </w:r>
          </w:p>
        </w:tc>
      </w:tr>
      <w:tr w:rsidR="4B04B31A" w:rsidTr="2E8D55B9" w14:paraId="528C8A73">
        <w:trPr>
          <w:trHeight w:val="300"/>
        </w:trPr>
        <w:tc>
          <w:tcPr>
            <w:tcW w:w="780" w:type="dxa"/>
            <w:tcMar/>
            <w:vAlign w:val="center"/>
          </w:tcPr>
          <w:p w:rsidR="4B04B31A" w:rsidP="2E8D55B9" w:rsidRDefault="4B04B31A" w14:paraId="64830CFD" w14:textId="6EFF23F4">
            <w:pPr>
              <w:spacing w:before="0" w:beforeAutospacing="off" w:after="0" w:afterAutospacing="off" w:line="360" w:lineRule="auto"/>
              <w:rPr>
                <w:rFonts w:ascii="Arial" w:hAnsi="Arial" w:eastAsia="Arial" w:cs="Arial"/>
                <w:color w:val="auto"/>
                <w:sz w:val="22"/>
                <w:szCs w:val="22"/>
              </w:rPr>
            </w:pPr>
            <w:r w:rsidRPr="2E8D55B9" w:rsidR="17C0C223">
              <w:rPr>
                <w:rFonts w:ascii="Arial" w:hAnsi="Arial" w:eastAsia="Arial" w:cs="Arial"/>
                <w:color w:val="auto"/>
                <w:sz w:val="22"/>
                <w:szCs w:val="22"/>
              </w:rPr>
              <w:t>2024</w:t>
            </w:r>
          </w:p>
        </w:tc>
        <w:tc>
          <w:tcPr>
            <w:tcW w:w="4110" w:type="dxa"/>
            <w:tcMar/>
            <w:vAlign w:val="center"/>
          </w:tcPr>
          <w:p w:rsidR="4B04B31A" w:rsidP="2E8D55B9" w:rsidRDefault="4B04B31A" w14:paraId="48BC3014" w14:textId="46E559D8">
            <w:pPr>
              <w:spacing w:before="0" w:beforeAutospacing="off" w:after="0" w:afterAutospacing="off" w:line="360" w:lineRule="auto"/>
              <w:rPr>
                <w:rFonts w:ascii="Arial" w:hAnsi="Arial" w:eastAsia="Arial" w:cs="Arial"/>
                <w:color w:val="auto"/>
                <w:sz w:val="22"/>
                <w:szCs w:val="22"/>
              </w:rPr>
            </w:pPr>
            <w:r w:rsidRPr="2E8D55B9" w:rsidR="17C0C223">
              <w:rPr>
                <w:rFonts w:ascii="Arial" w:hAnsi="Arial" w:eastAsia="Arial" w:cs="Arial"/>
                <w:color w:val="auto"/>
                <w:sz w:val="22"/>
                <w:szCs w:val="22"/>
              </w:rPr>
              <w:t>1.1–1.2</w:t>
            </w:r>
          </w:p>
        </w:tc>
      </w:tr>
    </w:tbl>
    <w:p w:rsidR="4B04B31A" w:rsidP="2E8D55B9" w:rsidRDefault="4B04B31A" w14:paraId="5ACFB9D6" w14:textId="42D1DE84">
      <w:pPr>
        <w:pStyle w:val="Normal"/>
        <w:spacing w:line="360" w:lineRule="auto"/>
        <w:rPr>
          <w:rFonts w:ascii="Arial" w:hAnsi="Arial" w:eastAsia="Arial" w:cs="Arial"/>
          <w:noProof w:val="0"/>
          <w:color w:val="auto"/>
          <w:sz w:val="22"/>
          <w:szCs w:val="22"/>
          <w:lang w:val="en-GB"/>
        </w:rPr>
      </w:pPr>
    </w:p>
    <w:p w:rsidR="55AF75AE" w:rsidP="2E8D55B9" w:rsidRDefault="55AF75AE" w14:paraId="3EB1BB4B" w14:textId="796658C6">
      <w:pPr>
        <w:bidi w:val="0"/>
        <w:spacing w:before="240" w:beforeAutospacing="off" w:after="240" w:afterAutospacing="off" w:line="360" w:lineRule="auto"/>
        <w:rPr>
          <w:rFonts w:ascii="Arial" w:hAnsi="Arial" w:eastAsia="Arial" w:cs="Arial"/>
          <w:noProof w:val="0"/>
          <w:color w:val="auto"/>
          <w:sz w:val="22"/>
          <w:szCs w:val="22"/>
          <w:lang w:val="en-GB"/>
        </w:rPr>
      </w:pPr>
      <w:r w:rsidRPr="2E8D55B9" w:rsidR="1A49A42C">
        <w:rPr>
          <w:rFonts w:ascii="Arial" w:hAnsi="Arial" w:eastAsia="Arial" w:cs="Arial"/>
          <w:b w:val="1"/>
          <w:bCs w:val="1"/>
          <w:noProof w:val="0"/>
          <w:color w:val="auto"/>
          <w:sz w:val="22"/>
          <w:szCs w:val="22"/>
          <w:lang w:val="en-GB"/>
        </w:rPr>
        <w:t>Source:</w:t>
      </w:r>
      <w:r w:rsidRPr="2E8D55B9" w:rsidR="1A49A42C">
        <w:rPr>
          <w:rFonts w:ascii="Arial" w:hAnsi="Arial" w:eastAsia="Arial" w:cs="Arial"/>
          <w:noProof w:val="0"/>
          <w:color w:val="auto"/>
          <w:sz w:val="22"/>
          <w:szCs w:val="22"/>
          <w:lang w:val="en-GB"/>
        </w:rPr>
        <w:t xml:space="preserve"> </w:t>
      </w:r>
      <w:hyperlink r:id="R3f645a69e6204190">
        <w:r w:rsidRPr="2E8D55B9" w:rsidR="31E15E57">
          <w:rPr>
            <w:rStyle w:val="Hyperlink"/>
            <w:rFonts w:ascii="Arial" w:hAnsi="Arial" w:eastAsia="Arial" w:cs="Arial"/>
            <w:noProof w:val="0"/>
            <w:color w:val="auto"/>
            <w:sz w:val="22"/>
            <w:szCs w:val="22"/>
            <w:lang w:val="en-GB"/>
          </w:rPr>
          <w:t>L&amp;GAnnualreport.(2024).</w:t>
        </w:r>
      </w:hyperlink>
      <w:r w:rsidRPr="2E8D55B9" w:rsidR="31E15E57">
        <w:rPr>
          <w:rFonts w:ascii="Arial" w:hAnsi="Arial" w:eastAsia="Arial" w:cs="Arial"/>
          <w:noProof w:val="0"/>
          <w:color w:val="auto"/>
          <w:sz w:val="22"/>
          <w:szCs w:val="22"/>
          <w:lang w:val="en-GB"/>
        </w:rPr>
        <w:t xml:space="preserve"> </w:t>
      </w:r>
    </w:p>
    <w:p w:rsidR="55AF75AE" w:rsidP="2E8D55B9" w:rsidRDefault="55AF75AE" w14:paraId="2C17B53A" w14:textId="5FAEA367">
      <w:pPr>
        <w:bidi w:val="0"/>
        <w:spacing w:before="240" w:beforeAutospacing="off" w:after="240" w:afterAutospacing="off" w:line="360" w:lineRule="auto"/>
        <w:rPr>
          <w:rFonts w:ascii="Arial" w:hAnsi="Arial" w:eastAsia="Arial" w:cs="Arial"/>
          <w:b w:val="0"/>
          <w:bCs w:val="0"/>
          <w:noProof w:val="0"/>
          <w:color w:val="auto"/>
          <w:sz w:val="22"/>
          <w:szCs w:val="22"/>
          <w:lang w:val="en-GB"/>
        </w:rPr>
      </w:pPr>
      <w:r w:rsidRPr="6ED1C0C3" w:rsidR="55AF75AE">
        <w:rPr>
          <w:rFonts w:ascii="Arial" w:hAnsi="Arial" w:eastAsia="Arial" w:cs="Arial"/>
          <w:noProof w:val="0"/>
          <w:color w:val="auto"/>
          <w:sz w:val="22"/>
          <w:szCs w:val="22"/>
          <w:lang w:val="en-GB"/>
        </w:rPr>
        <w:t xml:space="preserve">The data </w:t>
      </w:r>
      <w:r w:rsidRPr="6ED1C0C3" w:rsidR="55AF75AE">
        <w:rPr>
          <w:rFonts w:ascii="Arial" w:hAnsi="Arial" w:eastAsia="Arial" w:cs="Arial"/>
          <w:noProof w:val="0"/>
          <w:color w:val="auto"/>
          <w:sz w:val="22"/>
          <w:szCs w:val="22"/>
          <w:lang w:val="en-GB"/>
        </w:rPr>
        <w:t>demonstrates</w:t>
      </w:r>
      <w:r w:rsidRPr="6ED1C0C3" w:rsidR="55AF75AE">
        <w:rPr>
          <w:rFonts w:ascii="Arial" w:hAnsi="Arial" w:eastAsia="Arial" w:cs="Arial"/>
          <w:noProof w:val="0"/>
          <w:color w:val="auto"/>
          <w:sz w:val="22"/>
          <w:szCs w:val="22"/>
          <w:lang w:val="en-GB"/>
        </w:rPr>
        <w:t xml:space="preserve"> that Legal &amp; General manages over </w:t>
      </w:r>
      <w:r w:rsidRPr="6ED1C0C3" w:rsidR="55AF75AE">
        <w:rPr>
          <w:rFonts w:ascii="Arial" w:hAnsi="Arial" w:eastAsia="Arial" w:cs="Arial"/>
          <w:b w:val="0"/>
          <w:bCs w:val="0"/>
          <w:noProof w:val="0"/>
          <w:color w:val="auto"/>
          <w:sz w:val="22"/>
          <w:szCs w:val="22"/>
          <w:lang w:val="en-GB"/>
        </w:rPr>
        <w:t>£1 trillion in assets</w:t>
      </w:r>
      <w:r w:rsidRPr="6ED1C0C3" w:rsidR="55AF75AE">
        <w:rPr>
          <w:rFonts w:ascii="Arial" w:hAnsi="Arial" w:eastAsia="Arial" w:cs="Arial"/>
          <w:b w:val="0"/>
          <w:bCs w:val="0"/>
          <w:noProof w:val="0"/>
          <w:color w:val="auto"/>
          <w:sz w:val="22"/>
          <w:szCs w:val="22"/>
          <w:lang w:val="en-GB"/>
        </w:rPr>
        <w:t>,</w:t>
      </w:r>
      <w:r w:rsidRPr="6ED1C0C3" w:rsidR="55AF75AE">
        <w:rPr>
          <w:rFonts w:ascii="Arial" w:hAnsi="Arial" w:eastAsia="Arial" w:cs="Arial"/>
          <w:noProof w:val="0"/>
          <w:color w:val="auto"/>
          <w:sz w:val="22"/>
          <w:szCs w:val="22"/>
          <w:lang w:val="en-GB"/>
        </w:rPr>
        <w:t xml:space="preserve"> confirming </w:t>
      </w:r>
      <w:r w:rsidRPr="6ED1C0C3" w:rsidR="55AF75AE">
        <w:rPr>
          <w:rFonts w:ascii="Arial" w:hAnsi="Arial" w:eastAsia="Arial" w:cs="Arial"/>
          <w:b w:val="0"/>
          <w:bCs w:val="0"/>
          <w:noProof w:val="0"/>
          <w:color w:val="auto"/>
          <w:sz w:val="22"/>
          <w:szCs w:val="22"/>
          <w:lang w:val="en-GB"/>
        </w:rPr>
        <w:t>its position as one of the UK’s largest global investors. Operating at this scale requires advanced digital infrastructure to manage investments efficiently while supporting a large and diverse customer base.</w:t>
      </w:r>
    </w:p>
    <w:p w:rsidR="55AF75AE" w:rsidP="2E8D55B9" w:rsidRDefault="55AF75AE" w14:paraId="26538A90" w14:textId="02743ECA">
      <w:pPr>
        <w:spacing w:before="240" w:beforeAutospacing="off" w:after="240" w:afterAutospacing="off" w:line="360" w:lineRule="auto"/>
        <w:rPr>
          <w:rFonts w:ascii="Arial" w:hAnsi="Arial" w:eastAsia="Arial" w:cs="Arial"/>
          <w:b w:val="0"/>
          <w:bCs w:val="0"/>
          <w:noProof w:val="0"/>
          <w:color w:val="auto"/>
          <w:sz w:val="22"/>
          <w:szCs w:val="22"/>
          <w:lang w:val="en-GB"/>
        </w:rPr>
      </w:pPr>
      <w:r w:rsidRPr="2E8D55B9" w:rsidR="55AF75AE">
        <w:rPr>
          <w:rFonts w:ascii="Arial" w:hAnsi="Arial" w:eastAsia="Arial" w:cs="Arial"/>
          <w:b w:val="0"/>
          <w:bCs w:val="0"/>
          <w:noProof w:val="0"/>
          <w:color w:val="auto"/>
          <w:sz w:val="22"/>
          <w:szCs w:val="22"/>
          <w:lang w:val="en-GB"/>
        </w:rPr>
        <w:t xml:space="preserve">One of the most important trends shaping the industry is the rapid </w:t>
      </w:r>
      <w:r w:rsidRPr="2E8D55B9" w:rsidR="55AF75AE">
        <w:rPr>
          <w:rFonts w:ascii="Arial" w:hAnsi="Arial" w:eastAsia="Arial" w:cs="Arial"/>
          <w:b w:val="0"/>
          <w:bCs w:val="0"/>
          <w:noProof w:val="0"/>
          <w:color w:val="auto"/>
          <w:sz w:val="22"/>
          <w:szCs w:val="22"/>
          <w:lang w:val="en-GB"/>
        </w:rPr>
        <w:t>digitalisation of financial services</w:t>
      </w:r>
      <w:r w:rsidRPr="2E8D55B9" w:rsidR="55AF75AE">
        <w:rPr>
          <w:rFonts w:ascii="Arial" w:hAnsi="Arial" w:eastAsia="Arial" w:cs="Arial"/>
          <w:b w:val="0"/>
          <w:bCs w:val="0"/>
          <w:noProof w:val="0"/>
          <w:color w:val="auto"/>
          <w:sz w:val="22"/>
          <w:szCs w:val="22"/>
          <w:lang w:val="en-GB"/>
        </w:rPr>
        <w:t xml:space="preserve">. Customers increasingly expect to manage pensions, </w:t>
      </w:r>
      <w:r w:rsidRPr="2E8D55B9" w:rsidR="38D620DD">
        <w:rPr>
          <w:rFonts w:ascii="Arial" w:hAnsi="Arial" w:eastAsia="Arial" w:cs="Arial"/>
          <w:b w:val="0"/>
          <w:bCs w:val="0"/>
          <w:noProof w:val="0"/>
          <w:color w:val="auto"/>
          <w:sz w:val="22"/>
          <w:szCs w:val="22"/>
          <w:lang w:val="en-GB"/>
        </w:rPr>
        <w:t>investments,</w:t>
      </w:r>
      <w:r w:rsidRPr="2E8D55B9" w:rsidR="55AF75AE">
        <w:rPr>
          <w:rFonts w:ascii="Arial" w:hAnsi="Arial" w:eastAsia="Arial" w:cs="Arial"/>
          <w:b w:val="0"/>
          <w:bCs w:val="0"/>
          <w:noProof w:val="0"/>
          <w:color w:val="auto"/>
          <w:sz w:val="22"/>
          <w:szCs w:val="22"/>
          <w:lang w:val="en-GB"/>
        </w:rPr>
        <w:t xml:space="preserve"> and insurance products online, with real-time access to financial information</w:t>
      </w:r>
      <w:r w:rsidRPr="2E8D55B9" w:rsidR="55848B04">
        <w:rPr>
          <w:rFonts w:ascii="Arial" w:hAnsi="Arial" w:eastAsia="Arial" w:cs="Arial"/>
          <w:b w:val="0"/>
          <w:bCs w:val="0"/>
          <w:noProof w:val="0"/>
          <w:color w:val="auto"/>
          <w:sz w:val="22"/>
          <w:szCs w:val="22"/>
          <w:lang w:val="en-GB"/>
        </w:rPr>
        <w:t xml:space="preserve"> Kumar, (2025).</w:t>
      </w:r>
      <w:r w:rsidRPr="2E8D55B9" w:rsidR="55AF75AE">
        <w:rPr>
          <w:rFonts w:ascii="Arial" w:hAnsi="Arial" w:eastAsia="Arial" w:cs="Arial"/>
          <w:b w:val="0"/>
          <w:bCs w:val="0"/>
          <w:noProof w:val="0"/>
          <w:color w:val="auto"/>
          <w:sz w:val="22"/>
          <w:szCs w:val="22"/>
          <w:lang w:val="en-GB"/>
        </w:rPr>
        <w:t xml:space="preserve"> This is reflected in Legal &amp; General’s operations, where digital platforms support over </w:t>
      </w:r>
      <w:r w:rsidRPr="2E8D55B9" w:rsidR="55AF75AE">
        <w:rPr>
          <w:rFonts w:ascii="Arial" w:hAnsi="Arial" w:eastAsia="Arial" w:cs="Arial"/>
          <w:b w:val="0"/>
          <w:bCs w:val="0"/>
          <w:noProof w:val="0"/>
          <w:color w:val="auto"/>
          <w:sz w:val="22"/>
          <w:szCs w:val="22"/>
          <w:lang w:val="en-GB"/>
        </w:rPr>
        <w:t>5.6 million defined contribution pension members</w:t>
      </w:r>
      <w:r w:rsidRPr="2E8D55B9" w:rsidR="55AF75AE">
        <w:rPr>
          <w:rFonts w:ascii="Arial" w:hAnsi="Arial" w:eastAsia="Arial" w:cs="Arial"/>
          <w:b w:val="0"/>
          <w:bCs w:val="0"/>
          <w:noProof w:val="0"/>
          <w:color w:val="auto"/>
          <w:sz w:val="22"/>
          <w:szCs w:val="22"/>
          <w:lang w:val="en-GB"/>
        </w:rPr>
        <w:t xml:space="preserve">. The size of this customer base highlights the growing reliance on digital systems to deliver efficient and accessible financial services. </w:t>
      </w:r>
      <w:r w:rsidRPr="2E8D55B9" w:rsidR="0144DC6A">
        <w:rPr>
          <w:rFonts w:ascii="Arial" w:hAnsi="Arial" w:eastAsia="Arial" w:cs="Arial"/>
          <w:b w:val="0"/>
          <w:bCs w:val="0"/>
          <w:noProof w:val="0"/>
          <w:color w:val="auto"/>
          <w:sz w:val="22"/>
          <w:szCs w:val="22"/>
          <w:lang w:val="en-GB"/>
        </w:rPr>
        <w:t xml:space="preserve">This aligns with wider industry trends, where around 76% of UK adults use online banking services, </w:t>
      </w:r>
      <w:r w:rsidRPr="2E8D55B9" w:rsidR="0144DC6A">
        <w:rPr>
          <w:rFonts w:ascii="Arial" w:hAnsi="Arial" w:eastAsia="Arial" w:cs="Arial"/>
          <w:b w:val="0"/>
          <w:bCs w:val="0"/>
          <w:noProof w:val="0"/>
          <w:color w:val="auto"/>
          <w:sz w:val="22"/>
          <w:szCs w:val="22"/>
          <w:lang w:val="en-GB"/>
        </w:rPr>
        <w:t>demonstrating</w:t>
      </w:r>
      <w:r w:rsidRPr="2E8D55B9" w:rsidR="0144DC6A">
        <w:rPr>
          <w:rFonts w:ascii="Arial" w:hAnsi="Arial" w:eastAsia="Arial" w:cs="Arial"/>
          <w:b w:val="0"/>
          <w:bCs w:val="0"/>
          <w:noProof w:val="0"/>
          <w:color w:val="auto"/>
          <w:sz w:val="22"/>
          <w:szCs w:val="22"/>
          <w:lang w:val="en-GB"/>
        </w:rPr>
        <w:t xml:space="preserve"> the widespread adoption of digital financial platforms ONS, (2023). </w:t>
      </w:r>
    </w:p>
    <w:p w:rsidR="55AF75AE" w:rsidP="2E8D55B9" w:rsidRDefault="55AF75AE" w14:paraId="041E6A3E" w14:textId="07654A38">
      <w:pPr>
        <w:bidi w:val="0"/>
        <w:spacing w:before="240" w:beforeAutospacing="off" w:after="240" w:afterAutospacing="off" w:line="360" w:lineRule="auto"/>
        <w:rPr>
          <w:rFonts w:ascii="Arial" w:hAnsi="Arial" w:eastAsia="Arial" w:cs="Arial"/>
          <w:noProof w:val="0"/>
          <w:color w:val="auto"/>
          <w:sz w:val="22"/>
          <w:szCs w:val="22"/>
          <w:lang w:val="en-GB"/>
        </w:rPr>
      </w:pPr>
      <w:r w:rsidRPr="324F1939" w:rsidR="55AF75AE">
        <w:rPr>
          <w:rFonts w:ascii="Arial" w:hAnsi="Arial" w:eastAsia="Arial" w:cs="Arial"/>
          <w:noProof w:val="0"/>
          <w:color w:val="auto"/>
          <w:sz w:val="22"/>
          <w:szCs w:val="22"/>
          <w:lang w:val="en-GB"/>
        </w:rPr>
        <w:t xml:space="preserve">This growing customer base is further illustrated in </w:t>
      </w:r>
      <w:r w:rsidRPr="324F1939" w:rsidR="55AF75AE">
        <w:rPr>
          <w:rFonts w:ascii="Arial" w:hAnsi="Arial" w:eastAsia="Arial" w:cs="Arial"/>
          <w:b w:val="1"/>
          <w:bCs w:val="1"/>
          <w:noProof w:val="0"/>
          <w:color w:val="auto"/>
          <w:sz w:val="22"/>
          <w:szCs w:val="22"/>
          <w:lang w:val="en-GB"/>
        </w:rPr>
        <w:t>Table 2</w:t>
      </w:r>
      <w:r w:rsidRPr="324F1939" w:rsidR="55AF75AE">
        <w:rPr>
          <w:rFonts w:ascii="Arial" w:hAnsi="Arial" w:eastAsia="Arial" w:cs="Arial"/>
          <w:noProof w:val="0"/>
          <w:color w:val="auto"/>
          <w:sz w:val="22"/>
          <w:szCs w:val="22"/>
          <w:lang w:val="en-GB"/>
        </w:rPr>
        <w:t>, which highlights the scale of Legal &amp; General’s customer and pension operations.</w:t>
      </w:r>
    </w:p>
    <w:p w:rsidR="324F1939" w:rsidP="324F1939" w:rsidRDefault="324F1939" w14:paraId="625C0FEF" w14:textId="76F81D60">
      <w:pPr>
        <w:bidi w:val="0"/>
        <w:spacing w:before="240" w:beforeAutospacing="off" w:after="240" w:afterAutospacing="off" w:line="360" w:lineRule="auto"/>
        <w:rPr>
          <w:rFonts w:ascii="Arial" w:hAnsi="Arial" w:eastAsia="Arial" w:cs="Arial"/>
          <w:noProof w:val="0"/>
          <w:color w:val="auto"/>
          <w:sz w:val="22"/>
          <w:szCs w:val="22"/>
          <w:lang w:val="en-GB"/>
        </w:rPr>
      </w:pPr>
    </w:p>
    <w:p w:rsidR="324F1939" w:rsidP="324F1939" w:rsidRDefault="324F1939" w14:paraId="4F6757AC" w14:textId="080D6834">
      <w:pPr>
        <w:bidi w:val="0"/>
        <w:spacing w:before="240" w:beforeAutospacing="off" w:after="240" w:afterAutospacing="off" w:line="360" w:lineRule="auto"/>
        <w:rPr>
          <w:rFonts w:ascii="Arial" w:hAnsi="Arial" w:eastAsia="Arial" w:cs="Arial"/>
          <w:noProof w:val="0"/>
          <w:color w:val="auto"/>
          <w:sz w:val="22"/>
          <w:szCs w:val="22"/>
          <w:lang w:val="en-GB"/>
        </w:rPr>
      </w:pPr>
    </w:p>
    <w:p w:rsidR="324F1939" w:rsidP="324F1939" w:rsidRDefault="324F1939" w14:paraId="41D1E2FD" w14:textId="6BC70FA0">
      <w:pPr>
        <w:bidi w:val="0"/>
        <w:spacing w:before="240" w:beforeAutospacing="off" w:after="240" w:afterAutospacing="off" w:line="360" w:lineRule="auto"/>
        <w:rPr>
          <w:rFonts w:ascii="Arial" w:hAnsi="Arial" w:eastAsia="Arial" w:cs="Arial"/>
          <w:noProof w:val="0"/>
          <w:color w:val="auto"/>
          <w:sz w:val="22"/>
          <w:szCs w:val="22"/>
          <w:lang w:val="en-GB"/>
        </w:rPr>
      </w:pPr>
    </w:p>
    <w:p w:rsidR="55AF75AE" w:rsidP="2E8D55B9" w:rsidRDefault="55AF75AE" w14:paraId="532D01D2" w14:textId="38A69F89">
      <w:pPr>
        <w:pStyle w:val="Normal"/>
        <w:spacing w:line="360" w:lineRule="auto"/>
        <w:rPr>
          <w:rFonts w:ascii="Arial" w:hAnsi="Arial" w:eastAsia="Arial" w:cs="Arial"/>
          <w:b w:val="1"/>
          <w:bCs w:val="1"/>
          <w:noProof w:val="0"/>
          <w:color w:val="auto"/>
          <w:sz w:val="22"/>
          <w:szCs w:val="22"/>
          <w:lang w:val="en-GB"/>
        </w:rPr>
      </w:pPr>
      <w:r w:rsidRPr="2E8D55B9" w:rsidR="09F2C0E3">
        <w:rPr>
          <w:rFonts w:ascii="Arial" w:hAnsi="Arial" w:eastAsia="Arial" w:cs="Arial"/>
          <w:noProof w:val="0"/>
          <w:color w:val="auto"/>
          <w:sz w:val="22"/>
          <w:szCs w:val="22"/>
          <w:lang w:val="en-GB"/>
        </w:rPr>
        <w:t>Table 2: Legal &amp; General Customer and Pension Scale</w:t>
      </w:r>
    </w:p>
    <w:tbl>
      <w:tblPr>
        <w:tblStyle w:val="TableNormal"/>
        <w:bidiVisual w:val="0"/>
        <w:tblW w:w="0" w:type="auto"/>
        <w:tblLook w:val="06A0" w:firstRow="1" w:lastRow="0" w:firstColumn="1" w:lastColumn="0" w:noHBand="1" w:noVBand="1"/>
      </w:tblPr>
      <w:tblGrid>
        <w:gridCol w:w="3270"/>
        <w:gridCol w:w="1740"/>
      </w:tblGrid>
      <w:tr w:rsidR="064C2393" w:rsidTr="2E8D55B9" w14:paraId="383B8260">
        <w:trPr>
          <w:trHeight w:val="300"/>
        </w:trPr>
        <w:tc>
          <w:tcPr>
            <w:tcW w:w="3270" w:type="dxa"/>
            <w:tcMar/>
            <w:vAlign w:val="center"/>
          </w:tcPr>
          <w:p w:rsidR="064C2393" w:rsidP="2E8D55B9" w:rsidRDefault="064C2393" w14:paraId="62B69347" w14:textId="06666796">
            <w:pPr>
              <w:bidi w:val="0"/>
              <w:spacing w:before="0" w:beforeAutospacing="off" w:after="0" w:afterAutospacing="off" w:line="360" w:lineRule="auto"/>
              <w:jc w:val="center"/>
              <w:rPr>
                <w:rFonts w:ascii="Arial" w:hAnsi="Arial" w:eastAsia="Arial" w:cs="Arial"/>
                <w:b w:val="1"/>
                <w:bCs w:val="1"/>
                <w:color w:val="auto"/>
                <w:sz w:val="22"/>
                <w:szCs w:val="22"/>
              </w:rPr>
            </w:pPr>
            <w:r w:rsidRPr="2E8D55B9" w:rsidR="2F8B0130">
              <w:rPr>
                <w:rFonts w:ascii="Arial" w:hAnsi="Arial" w:eastAsia="Arial" w:cs="Arial"/>
                <w:b w:val="1"/>
                <w:bCs w:val="1"/>
                <w:color w:val="auto"/>
                <w:sz w:val="22"/>
                <w:szCs w:val="22"/>
              </w:rPr>
              <w:t>Metric</w:t>
            </w:r>
          </w:p>
        </w:tc>
        <w:tc>
          <w:tcPr>
            <w:tcW w:w="1740" w:type="dxa"/>
            <w:tcMar/>
            <w:vAlign w:val="center"/>
          </w:tcPr>
          <w:p w:rsidR="064C2393" w:rsidP="2E8D55B9" w:rsidRDefault="064C2393" w14:paraId="14838D25" w14:textId="5DA77A02">
            <w:pPr>
              <w:bidi w:val="0"/>
              <w:spacing w:before="0" w:beforeAutospacing="off" w:after="0" w:afterAutospacing="off" w:line="360" w:lineRule="auto"/>
              <w:jc w:val="center"/>
              <w:rPr>
                <w:rFonts w:ascii="Arial" w:hAnsi="Arial" w:eastAsia="Arial" w:cs="Arial"/>
                <w:b w:val="1"/>
                <w:bCs w:val="1"/>
                <w:color w:val="auto"/>
                <w:sz w:val="22"/>
                <w:szCs w:val="22"/>
              </w:rPr>
            </w:pPr>
            <w:r w:rsidRPr="2E8D55B9" w:rsidR="2F8B0130">
              <w:rPr>
                <w:rFonts w:ascii="Arial" w:hAnsi="Arial" w:eastAsia="Arial" w:cs="Arial"/>
                <w:b w:val="1"/>
                <w:bCs w:val="1"/>
                <w:color w:val="auto"/>
                <w:sz w:val="22"/>
                <w:szCs w:val="22"/>
              </w:rPr>
              <w:t>Value</w:t>
            </w:r>
          </w:p>
        </w:tc>
      </w:tr>
      <w:tr w:rsidR="064C2393" w:rsidTr="2E8D55B9" w14:paraId="731DFBE7">
        <w:trPr>
          <w:trHeight w:val="300"/>
        </w:trPr>
        <w:tc>
          <w:tcPr>
            <w:tcW w:w="3270" w:type="dxa"/>
            <w:tcMar/>
            <w:vAlign w:val="center"/>
          </w:tcPr>
          <w:p w:rsidR="064C2393" w:rsidP="2E8D55B9" w:rsidRDefault="064C2393" w14:paraId="0C1BD109" w14:textId="42757CD3">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Total Customers</w:t>
            </w:r>
          </w:p>
        </w:tc>
        <w:tc>
          <w:tcPr>
            <w:tcW w:w="1740" w:type="dxa"/>
            <w:tcMar/>
            <w:vAlign w:val="center"/>
          </w:tcPr>
          <w:p w:rsidR="064C2393" w:rsidP="2E8D55B9" w:rsidRDefault="064C2393" w14:paraId="6B3241E3" w14:textId="7D096C38">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12.4 million</w:t>
            </w:r>
          </w:p>
        </w:tc>
      </w:tr>
      <w:tr w:rsidR="064C2393" w:rsidTr="2E8D55B9" w14:paraId="0608D49B">
        <w:trPr>
          <w:trHeight w:val="300"/>
        </w:trPr>
        <w:tc>
          <w:tcPr>
            <w:tcW w:w="3270" w:type="dxa"/>
            <w:tcMar/>
            <w:vAlign w:val="center"/>
          </w:tcPr>
          <w:p w:rsidR="064C2393" w:rsidP="2E8D55B9" w:rsidRDefault="064C2393" w14:paraId="56068227" w14:textId="257EC8C5">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Defined Contribution Members</w:t>
            </w:r>
          </w:p>
        </w:tc>
        <w:tc>
          <w:tcPr>
            <w:tcW w:w="1740" w:type="dxa"/>
            <w:tcMar/>
            <w:vAlign w:val="center"/>
          </w:tcPr>
          <w:p w:rsidR="064C2393" w:rsidP="2E8D55B9" w:rsidRDefault="064C2393" w14:paraId="185938A6" w14:textId="027E76EE">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5.6–5.7 million</w:t>
            </w:r>
          </w:p>
        </w:tc>
      </w:tr>
      <w:tr w:rsidR="064C2393" w:rsidTr="2E8D55B9" w14:paraId="63F43C2D">
        <w:trPr>
          <w:trHeight w:val="300"/>
        </w:trPr>
        <w:tc>
          <w:tcPr>
            <w:tcW w:w="3270" w:type="dxa"/>
            <w:tcMar/>
            <w:vAlign w:val="center"/>
          </w:tcPr>
          <w:p w:rsidR="064C2393" w:rsidP="2E8D55B9" w:rsidRDefault="064C2393" w14:paraId="6E061EF0" w14:textId="077E0077">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Workplace Pension Assets</w:t>
            </w:r>
          </w:p>
        </w:tc>
        <w:tc>
          <w:tcPr>
            <w:tcW w:w="1740" w:type="dxa"/>
            <w:tcMar/>
            <w:vAlign w:val="center"/>
          </w:tcPr>
          <w:p w:rsidR="064C2393" w:rsidP="2E8D55B9" w:rsidRDefault="064C2393" w14:paraId="3F438DAE" w14:textId="354249D0">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£100+ billion</w:t>
            </w:r>
          </w:p>
        </w:tc>
      </w:tr>
    </w:tbl>
    <w:p w:rsidR="55AF75AE" w:rsidP="2E8D55B9" w:rsidRDefault="55AF75AE" w14:paraId="10FDF974" w14:textId="73B78E9F">
      <w:pPr>
        <w:bidi w:val="0"/>
        <w:spacing w:before="240" w:beforeAutospacing="off" w:after="240" w:afterAutospacing="off" w:line="360" w:lineRule="auto"/>
        <w:rPr>
          <w:rFonts w:ascii="Arial" w:hAnsi="Arial" w:eastAsia="Arial" w:cs="Arial"/>
          <w:noProof w:val="0"/>
          <w:color w:val="auto"/>
          <w:sz w:val="22"/>
          <w:szCs w:val="22"/>
          <w:lang w:val="en-GB"/>
        </w:rPr>
      </w:pPr>
      <w:r w:rsidRPr="2E8D55B9" w:rsidR="1A49A42C">
        <w:rPr>
          <w:rFonts w:ascii="Arial" w:hAnsi="Arial" w:eastAsia="Arial" w:cs="Arial"/>
          <w:b w:val="1"/>
          <w:bCs w:val="1"/>
          <w:noProof w:val="0"/>
          <w:color w:val="auto"/>
          <w:sz w:val="22"/>
          <w:szCs w:val="22"/>
          <w:lang w:val="en-GB"/>
        </w:rPr>
        <w:t>Source:</w:t>
      </w:r>
      <w:r w:rsidRPr="2E8D55B9" w:rsidR="1A49A42C">
        <w:rPr>
          <w:rFonts w:ascii="Arial" w:hAnsi="Arial" w:eastAsia="Arial" w:cs="Arial"/>
          <w:noProof w:val="0"/>
          <w:color w:val="auto"/>
          <w:sz w:val="22"/>
          <w:szCs w:val="22"/>
          <w:lang w:val="en-GB"/>
        </w:rPr>
        <w:t xml:space="preserve"> </w:t>
      </w:r>
      <w:hyperlink r:id="R1874094fbbf2428b">
        <w:r w:rsidRPr="2E8D55B9" w:rsidR="2A711EE6">
          <w:rPr>
            <w:rStyle w:val="Hyperlink"/>
            <w:rFonts w:ascii="Arial" w:hAnsi="Arial" w:eastAsia="Arial" w:cs="Arial"/>
            <w:noProof w:val="0"/>
            <w:color w:val="auto"/>
            <w:sz w:val="22"/>
            <w:szCs w:val="22"/>
            <w:lang w:val="en-GB"/>
          </w:rPr>
          <w:t>L&amp;GAnnualreport.(2024).</w:t>
        </w:r>
      </w:hyperlink>
      <w:r w:rsidRPr="2E8D55B9" w:rsidR="2A711EE6">
        <w:rPr>
          <w:rFonts w:ascii="Arial" w:hAnsi="Arial" w:eastAsia="Arial" w:cs="Arial"/>
          <w:noProof w:val="0"/>
          <w:color w:val="auto"/>
          <w:sz w:val="22"/>
          <w:szCs w:val="22"/>
          <w:lang w:val="en-GB"/>
        </w:rPr>
        <w:t xml:space="preserve"> </w:t>
      </w:r>
    </w:p>
    <w:p w:rsidR="55AF75AE" w:rsidP="2E8D55B9" w:rsidRDefault="55AF75AE" w14:paraId="412D1C22" w14:textId="3FCA4118">
      <w:pPr>
        <w:bidi w:val="0"/>
        <w:spacing w:before="240" w:beforeAutospacing="off" w:after="240" w:afterAutospacing="off" w:line="360" w:lineRule="auto"/>
        <w:rPr>
          <w:rFonts w:ascii="Arial" w:hAnsi="Arial" w:eastAsia="Arial" w:cs="Arial"/>
          <w:b w:val="0"/>
          <w:bCs w:val="0"/>
          <w:noProof w:val="0"/>
          <w:color w:val="auto"/>
          <w:sz w:val="22"/>
          <w:szCs w:val="22"/>
          <w:lang w:val="en-GB"/>
        </w:rPr>
      </w:pPr>
      <w:r w:rsidRPr="276A68DE" w:rsidR="55AF75AE">
        <w:rPr>
          <w:rFonts w:ascii="Arial" w:hAnsi="Arial" w:eastAsia="Arial" w:cs="Arial"/>
          <w:b w:val="0"/>
          <w:bCs w:val="0"/>
          <w:noProof w:val="0"/>
          <w:color w:val="auto"/>
          <w:sz w:val="22"/>
          <w:szCs w:val="22"/>
          <w:lang w:val="en-GB"/>
        </w:rPr>
        <w:t xml:space="preserve">The data shows that Legal &amp; General serves over </w:t>
      </w:r>
      <w:r w:rsidRPr="276A68DE" w:rsidR="55AF75AE">
        <w:rPr>
          <w:rFonts w:ascii="Arial" w:hAnsi="Arial" w:eastAsia="Arial" w:cs="Arial"/>
          <w:b w:val="0"/>
          <w:bCs w:val="0"/>
          <w:noProof w:val="0"/>
          <w:color w:val="auto"/>
          <w:sz w:val="22"/>
          <w:szCs w:val="22"/>
          <w:lang w:val="en-GB"/>
        </w:rPr>
        <w:t>12.4 million customers</w:t>
      </w:r>
      <w:r w:rsidRPr="276A68DE" w:rsidR="55AF75AE">
        <w:rPr>
          <w:rFonts w:ascii="Arial" w:hAnsi="Arial" w:eastAsia="Arial" w:cs="Arial"/>
          <w:b w:val="0"/>
          <w:bCs w:val="0"/>
          <w:noProof w:val="0"/>
          <w:color w:val="auto"/>
          <w:sz w:val="22"/>
          <w:szCs w:val="22"/>
          <w:lang w:val="en-GB"/>
        </w:rPr>
        <w:t xml:space="preserve">, </w:t>
      </w:r>
      <w:r w:rsidRPr="276A68DE" w:rsidR="55AF75AE">
        <w:rPr>
          <w:rFonts w:ascii="Arial" w:hAnsi="Arial" w:eastAsia="Arial" w:cs="Arial"/>
          <w:b w:val="0"/>
          <w:bCs w:val="0"/>
          <w:noProof w:val="0"/>
          <w:color w:val="auto"/>
          <w:sz w:val="22"/>
          <w:szCs w:val="22"/>
          <w:lang w:val="en-GB"/>
        </w:rPr>
        <w:t>demonstrating</w:t>
      </w:r>
      <w:r w:rsidRPr="276A68DE" w:rsidR="55AF75AE">
        <w:rPr>
          <w:rFonts w:ascii="Arial" w:hAnsi="Arial" w:eastAsia="Arial" w:cs="Arial"/>
          <w:b w:val="0"/>
          <w:bCs w:val="0"/>
          <w:noProof w:val="0"/>
          <w:color w:val="auto"/>
          <w:sz w:val="22"/>
          <w:szCs w:val="22"/>
          <w:lang w:val="en-GB"/>
        </w:rPr>
        <w:t xml:space="preserve"> the importance of digital platforms in managing large-scale pension schemes and delivering accessible financial services.</w:t>
      </w:r>
    </w:p>
    <w:p w:rsidR="55AF75AE" w:rsidP="2E8D55B9" w:rsidRDefault="55AF75AE" w14:paraId="5D7189C9" w14:textId="5141A473">
      <w:pPr>
        <w:bidi w:val="0"/>
        <w:spacing w:before="240" w:beforeAutospacing="off" w:after="240" w:afterAutospacing="off" w:line="360" w:lineRule="auto"/>
        <w:rPr>
          <w:rFonts w:ascii="Arial" w:hAnsi="Arial" w:eastAsia="Arial" w:cs="Arial"/>
          <w:b w:val="0"/>
          <w:bCs w:val="0"/>
          <w:noProof w:val="0"/>
          <w:color w:val="auto"/>
          <w:sz w:val="22"/>
          <w:szCs w:val="22"/>
          <w:lang w:val="en-GB"/>
        </w:rPr>
      </w:pPr>
      <w:r w:rsidRPr="276A68DE" w:rsidR="55AF75AE">
        <w:rPr>
          <w:rFonts w:ascii="Arial" w:hAnsi="Arial" w:eastAsia="Arial" w:cs="Arial"/>
          <w:b w:val="0"/>
          <w:bCs w:val="0"/>
          <w:noProof w:val="0"/>
          <w:color w:val="auto"/>
          <w:sz w:val="22"/>
          <w:szCs w:val="22"/>
          <w:lang w:val="en-GB"/>
        </w:rPr>
        <w:t xml:space="preserve">Alongside digitalisation, </w:t>
      </w:r>
      <w:r w:rsidRPr="276A68DE" w:rsidR="55AF75AE">
        <w:rPr>
          <w:rFonts w:ascii="Arial" w:hAnsi="Arial" w:eastAsia="Arial" w:cs="Arial"/>
          <w:b w:val="0"/>
          <w:bCs w:val="0"/>
          <w:noProof w:val="0"/>
          <w:color w:val="auto"/>
          <w:sz w:val="22"/>
          <w:szCs w:val="22"/>
          <w:lang w:val="en-GB"/>
        </w:rPr>
        <w:t>demographic change</w:t>
      </w:r>
      <w:r w:rsidRPr="276A68DE" w:rsidR="55AF75AE">
        <w:rPr>
          <w:rFonts w:ascii="Arial" w:hAnsi="Arial" w:eastAsia="Arial" w:cs="Arial"/>
          <w:b w:val="0"/>
          <w:bCs w:val="0"/>
          <w:noProof w:val="0"/>
          <w:color w:val="auto"/>
          <w:sz w:val="22"/>
          <w:szCs w:val="22"/>
          <w:lang w:val="en-GB"/>
        </w:rPr>
        <w:t xml:space="preserve"> is also increasing demand for financial services. The UK population is ageing, with around </w:t>
      </w:r>
      <w:r w:rsidRPr="276A68DE" w:rsidR="55AF75AE">
        <w:rPr>
          <w:rFonts w:ascii="Arial" w:hAnsi="Arial" w:eastAsia="Arial" w:cs="Arial"/>
          <w:b w:val="0"/>
          <w:bCs w:val="0"/>
          <w:noProof w:val="0"/>
          <w:color w:val="auto"/>
          <w:sz w:val="22"/>
          <w:szCs w:val="22"/>
          <w:lang w:val="en-GB"/>
        </w:rPr>
        <w:t>19% aged 65 and over</w:t>
      </w:r>
      <w:r w:rsidRPr="276A68DE" w:rsidR="55AF75AE">
        <w:rPr>
          <w:rFonts w:ascii="Arial" w:hAnsi="Arial" w:eastAsia="Arial" w:cs="Arial"/>
          <w:b w:val="0"/>
          <w:bCs w:val="0"/>
          <w:noProof w:val="0"/>
          <w:color w:val="auto"/>
          <w:sz w:val="22"/>
          <w:szCs w:val="22"/>
          <w:lang w:val="en-GB"/>
        </w:rPr>
        <w:t xml:space="preserve">, which is increasing the need for retirement planning and long-term savings solutions. Legal &amp; General plays a key role in this market, managing over </w:t>
      </w:r>
      <w:r w:rsidRPr="276A68DE" w:rsidR="55AF75AE">
        <w:rPr>
          <w:rFonts w:ascii="Arial" w:hAnsi="Arial" w:eastAsia="Arial" w:cs="Arial"/>
          <w:b w:val="0"/>
          <w:bCs w:val="0"/>
          <w:noProof w:val="0"/>
          <w:color w:val="auto"/>
          <w:sz w:val="22"/>
          <w:szCs w:val="22"/>
          <w:lang w:val="en-GB"/>
        </w:rPr>
        <w:t>£180 billion in defined contribution pension assets</w:t>
      </w:r>
      <w:r w:rsidRPr="276A68DE" w:rsidR="55AF75AE">
        <w:rPr>
          <w:rFonts w:ascii="Arial" w:hAnsi="Arial" w:eastAsia="Arial" w:cs="Arial"/>
          <w:b w:val="0"/>
          <w:bCs w:val="0"/>
          <w:noProof w:val="0"/>
          <w:color w:val="auto"/>
          <w:sz w:val="22"/>
          <w:szCs w:val="22"/>
          <w:lang w:val="en-GB"/>
        </w:rPr>
        <w:t xml:space="preserve">, reflecting strong and growing demand for retirement services. As life expectancy rises, customers </w:t>
      </w:r>
      <w:r w:rsidRPr="276A68DE" w:rsidR="55AF75AE">
        <w:rPr>
          <w:rFonts w:ascii="Arial" w:hAnsi="Arial" w:eastAsia="Arial" w:cs="Arial"/>
          <w:b w:val="0"/>
          <w:bCs w:val="0"/>
          <w:noProof w:val="0"/>
          <w:color w:val="auto"/>
          <w:sz w:val="22"/>
          <w:szCs w:val="22"/>
          <w:lang w:val="en-GB"/>
        </w:rPr>
        <w:t>require</w:t>
      </w:r>
      <w:r w:rsidRPr="276A68DE" w:rsidR="55AF75AE">
        <w:rPr>
          <w:rFonts w:ascii="Arial" w:hAnsi="Arial" w:eastAsia="Arial" w:cs="Arial"/>
          <w:b w:val="0"/>
          <w:bCs w:val="0"/>
          <w:noProof w:val="0"/>
          <w:color w:val="auto"/>
          <w:sz w:val="22"/>
          <w:szCs w:val="22"/>
          <w:lang w:val="en-GB"/>
        </w:rPr>
        <w:t xml:space="preserve"> more support in planning and managing their finances over longer retirement periods.</w:t>
      </w:r>
    </w:p>
    <w:p w:rsidR="55AF75AE" w:rsidP="2E8D55B9" w:rsidRDefault="55AF75AE" w14:paraId="312971B9" w14:textId="29578844">
      <w:pPr>
        <w:bidi w:val="0"/>
        <w:spacing w:before="240" w:beforeAutospacing="off" w:after="240" w:afterAutospacing="off" w:line="360" w:lineRule="auto"/>
        <w:rPr>
          <w:rFonts w:ascii="Arial" w:hAnsi="Arial" w:eastAsia="Arial" w:cs="Arial"/>
          <w:noProof w:val="0"/>
          <w:color w:val="auto"/>
          <w:sz w:val="22"/>
          <w:szCs w:val="22"/>
          <w:lang w:val="en-GB"/>
        </w:rPr>
      </w:pPr>
      <w:r w:rsidRPr="2E8D55B9" w:rsidR="55AF75AE">
        <w:rPr>
          <w:rFonts w:ascii="Arial" w:hAnsi="Arial" w:eastAsia="Arial" w:cs="Arial"/>
          <w:noProof w:val="0"/>
          <w:color w:val="auto"/>
          <w:sz w:val="22"/>
          <w:szCs w:val="22"/>
          <w:lang w:val="en-GB"/>
        </w:rPr>
        <w:t xml:space="preserve">This is supported by </w:t>
      </w:r>
      <w:r w:rsidRPr="2E8D55B9" w:rsidR="55AF75AE">
        <w:rPr>
          <w:rFonts w:ascii="Arial" w:hAnsi="Arial" w:eastAsia="Arial" w:cs="Arial"/>
          <w:b w:val="1"/>
          <w:bCs w:val="1"/>
          <w:noProof w:val="0"/>
          <w:color w:val="auto"/>
          <w:sz w:val="22"/>
          <w:szCs w:val="22"/>
          <w:lang w:val="en-GB"/>
        </w:rPr>
        <w:t>Table 3</w:t>
      </w:r>
      <w:r w:rsidRPr="2E8D55B9" w:rsidR="55AF75AE">
        <w:rPr>
          <w:rFonts w:ascii="Arial" w:hAnsi="Arial" w:eastAsia="Arial" w:cs="Arial"/>
          <w:noProof w:val="0"/>
          <w:color w:val="auto"/>
          <w:sz w:val="22"/>
          <w:szCs w:val="22"/>
          <w:lang w:val="en-GB"/>
        </w:rPr>
        <w:t>, which highlights the scale of Legal &amp; General’s retirement and pension assets.</w:t>
      </w:r>
    </w:p>
    <w:p w:rsidR="55AF75AE" w:rsidP="2E8D55B9" w:rsidRDefault="55AF75AE" w14:paraId="65640834" w14:textId="048DD6C0">
      <w:pPr>
        <w:pStyle w:val="Normal"/>
        <w:spacing w:line="360" w:lineRule="auto"/>
        <w:rPr>
          <w:rFonts w:ascii="Arial" w:hAnsi="Arial" w:eastAsia="Arial" w:cs="Arial"/>
          <w:b w:val="1"/>
          <w:bCs w:val="1"/>
          <w:noProof w:val="0"/>
          <w:color w:val="auto"/>
          <w:sz w:val="22"/>
          <w:szCs w:val="22"/>
          <w:lang w:val="en-GB"/>
        </w:rPr>
      </w:pPr>
      <w:r w:rsidRPr="2E8D55B9" w:rsidR="09F2C0E3">
        <w:rPr>
          <w:rFonts w:ascii="Arial" w:hAnsi="Arial" w:eastAsia="Arial" w:cs="Arial"/>
          <w:noProof w:val="0"/>
          <w:color w:val="auto"/>
          <w:sz w:val="22"/>
          <w:szCs w:val="22"/>
          <w:lang w:val="en-GB"/>
        </w:rPr>
        <w:t>Table 3: Legal &amp; General Retirement &amp; Pension Assets</w:t>
      </w:r>
    </w:p>
    <w:tbl>
      <w:tblPr>
        <w:tblStyle w:val="TableNormal"/>
        <w:bidiVisual w:val="0"/>
        <w:tblW w:w="0" w:type="auto"/>
        <w:tblLook w:val="06A0" w:firstRow="1" w:lastRow="0" w:firstColumn="1" w:lastColumn="0" w:noHBand="1" w:noVBand="1"/>
      </w:tblPr>
      <w:tblGrid>
        <w:gridCol w:w="2985"/>
        <w:gridCol w:w="1575"/>
      </w:tblGrid>
      <w:tr w:rsidR="064C2393" w:rsidTr="2E8D55B9" w14:paraId="34182EB1">
        <w:trPr>
          <w:trHeight w:val="300"/>
        </w:trPr>
        <w:tc>
          <w:tcPr>
            <w:tcW w:w="2985" w:type="dxa"/>
            <w:tcMar/>
            <w:vAlign w:val="center"/>
          </w:tcPr>
          <w:p w:rsidR="064C2393" w:rsidP="2E8D55B9" w:rsidRDefault="064C2393" w14:paraId="262CEB0C" w14:textId="1B97F4FF">
            <w:pPr>
              <w:bidi w:val="0"/>
              <w:spacing w:before="0" w:beforeAutospacing="off" w:after="0" w:afterAutospacing="off" w:line="360" w:lineRule="auto"/>
              <w:jc w:val="center"/>
              <w:rPr>
                <w:rFonts w:ascii="Arial" w:hAnsi="Arial" w:eastAsia="Arial" w:cs="Arial"/>
                <w:b w:val="1"/>
                <w:bCs w:val="1"/>
                <w:color w:val="auto"/>
                <w:sz w:val="22"/>
                <w:szCs w:val="22"/>
              </w:rPr>
            </w:pPr>
            <w:r w:rsidRPr="2E8D55B9" w:rsidR="2F8B0130">
              <w:rPr>
                <w:rFonts w:ascii="Arial" w:hAnsi="Arial" w:eastAsia="Arial" w:cs="Arial"/>
                <w:b w:val="1"/>
                <w:bCs w:val="1"/>
                <w:color w:val="auto"/>
                <w:sz w:val="22"/>
                <w:szCs w:val="22"/>
              </w:rPr>
              <w:t>Metric</w:t>
            </w:r>
          </w:p>
        </w:tc>
        <w:tc>
          <w:tcPr>
            <w:tcW w:w="1575" w:type="dxa"/>
            <w:tcMar/>
            <w:vAlign w:val="center"/>
          </w:tcPr>
          <w:p w:rsidR="064C2393" w:rsidP="2E8D55B9" w:rsidRDefault="064C2393" w14:paraId="3311AE60" w14:textId="64C2757A">
            <w:pPr>
              <w:bidi w:val="0"/>
              <w:spacing w:before="0" w:beforeAutospacing="off" w:after="0" w:afterAutospacing="off" w:line="360" w:lineRule="auto"/>
              <w:jc w:val="center"/>
              <w:rPr>
                <w:rFonts w:ascii="Arial" w:hAnsi="Arial" w:eastAsia="Arial" w:cs="Arial"/>
                <w:b w:val="1"/>
                <w:bCs w:val="1"/>
                <w:color w:val="auto"/>
                <w:sz w:val="22"/>
                <w:szCs w:val="22"/>
              </w:rPr>
            </w:pPr>
            <w:r w:rsidRPr="2E8D55B9" w:rsidR="2F8B0130">
              <w:rPr>
                <w:rFonts w:ascii="Arial" w:hAnsi="Arial" w:eastAsia="Arial" w:cs="Arial"/>
                <w:b w:val="1"/>
                <w:bCs w:val="1"/>
                <w:color w:val="auto"/>
                <w:sz w:val="22"/>
                <w:szCs w:val="22"/>
              </w:rPr>
              <w:t>Value</w:t>
            </w:r>
          </w:p>
        </w:tc>
      </w:tr>
      <w:tr w:rsidR="064C2393" w:rsidTr="2E8D55B9" w14:paraId="0EE6347D">
        <w:trPr>
          <w:trHeight w:val="300"/>
        </w:trPr>
        <w:tc>
          <w:tcPr>
            <w:tcW w:w="2985" w:type="dxa"/>
            <w:tcMar/>
            <w:vAlign w:val="center"/>
          </w:tcPr>
          <w:p w:rsidR="064C2393" w:rsidP="2E8D55B9" w:rsidRDefault="064C2393" w14:paraId="73A84B6E" w14:textId="4BE9995B">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Defined Contribution Assets</w:t>
            </w:r>
          </w:p>
        </w:tc>
        <w:tc>
          <w:tcPr>
            <w:tcW w:w="1575" w:type="dxa"/>
            <w:tcMar/>
            <w:vAlign w:val="center"/>
          </w:tcPr>
          <w:p w:rsidR="064C2393" w:rsidP="2E8D55B9" w:rsidRDefault="064C2393" w14:paraId="063D94BD" w14:textId="20E9A56F">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£180+ billion</w:t>
            </w:r>
          </w:p>
        </w:tc>
      </w:tr>
      <w:tr w:rsidR="064C2393" w:rsidTr="2E8D55B9" w14:paraId="0B545B64">
        <w:trPr>
          <w:trHeight w:val="300"/>
        </w:trPr>
        <w:tc>
          <w:tcPr>
            <w:tcW w:w="2985" w:type="dxa"/>
            <w:tcMar/>
            <w:vAlign w:val="center"/>
          </w:tcPr>
          <w:p w:rsidR="064C2393" w:rsidP="2E8D55B9" w:rsidRDefault="064C2393" w14:paraId="7D8C66F6" w14:textId="678490E6">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Total DC Assets (recent)</w:t>
            </w:r>
          </w:p>
        </w:tc>
        <w:tc>
          <w:tcPr>
            <w:tcW w:w="1575" w:type="dxa"/>
            <w:tcMar/>
            <w:vAlign w:val="center"/>
          </w:tcPr>
          <w:p w:rsidR="064C2393" w:rsidP="2E8D55B9" w:rsidRDefault="064C2393" w14:paraId="5C01DCD8" w14:textId="226E1AC4">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£200+ billion</w:t>
            </w:r>
          </w:p>
        </w:tc>
      </w:tr>
      <w:tr w:rsidR="064C2393" w:rsidTr="2E8D55B9" w14:paraId="282A5F5B">
        <w:trPr>
          <w:trHeight w:val="300"/>
        </w:trPr>
        <w:tc>
          <w:tcPr>
            <w:tcW w:w="2985" w:type="dxa"/>
            <w:tcMar/>
            <w:vAlign w:val="center"/>
          </w:tcPr>
          <w:p w:rsidR="064C2393" w:rsidP="2E8D55B9" w:rsidRDefault="064C2393" w14:paraId="6B028870" w14:textId="68674B9B">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Retail Wealth Assets</w:t>
            </w:r>
          </w:p>
        </w:tc>
        <w:tc>
          <w:tcPr>
            <w:tcW w:w="1575" w:type="dxa"/>
            <w:tcMar/>
            <w:vAlign w:val="center"/>
          </w:tcPr>
          <w:p w:rsidR="064C2393" w:rsidP="2E8D55B9" w:rsidRDefault="064C2393" w14:paraId="1ED5BA45" w14:textId="4243F824">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£300+ billion</w:t>
            </w:r>
          </w:p>
        </w:tc>
      </w:tr>
    </w:tbl>
    <w:p w:rsidR="55AF75AE" w:rsidP="2E8D55B9" w:rsidRDefault="55AF75AE" w14:paraId="5344C970" w14:textId="3C37A53B">
      <w:pPr>
        <w:bidi w:val="0"/>
        <w:spacing w:before="240" w:beforeAutospacing="off" w:after="240" w:afterAutospacing="off" w:line="360" w:lineRule="auto"/>
        <w:rPr>
          <w:rFonts w:ascii="Arial" w:hAnsi="Arial" w:eastAsia="Arial" w:cs="Arial"/>
          <w:noProof w:val="0"/>
          <w:color w:val="auto"/>
          <w:sz w:val="22"/>
          <w:szCs w:val="22"/>
          <w:lang w:val="en-GB"/>
        </w:rPr>
      </w:pPr>
      <w:r w:rsidRPr="2E8D55B9" w:rsidR="1A49A42C">
        <w:rPr>
          <w:rFonts w:ascii="Arial" w:hAnsi="Arial" w:eastAsia="Arial" w:cs="Arial"/>
          <w:b w:val="1"/>
          <w:bCs w:val="1"/>
          <w:noProof w:val="0"/>
          <w:color w:val="auto"/>
          <w:sz w:val="22"/>
          <w:szCs w:val="22"/>
          <w:lang w:val="en-GB"/>
        </w:rPr>
        <w:t>Source:</w:t>
      </w:r>
      <w:r w:rsidRPr="2E8D55B9" w:rsidR="1A49A42C">
        <w:rPr>
          <w:rFonts w:ascii="Arial" w:hAnsi="Arial" w:eastAsia="Arial" w:cs="Arial"/>
          <w:noProof w:val="0"/>
          <w:color w:val="auto"/>
          <w:sz w:val="22"/>
          <w:szCs w:val="22"/>
          <w:lang w:val="en-GB"/>
        </w:rPr>
        <w:t xml:space="preserve"> </w:t>
      </w:r>
      <w:hyperlink r:id="Rbfd4b1c7159d4524">
        <w:r w:rsidRPr="2E8D55B9" w:rsidR="5F6C3CD7">
          <w:rPr>
            <w:rStyle w:val="Hyperlink"/>
            <w:rFonts w:ascii="Arial" w:hAnsi="Arial" w:eastAsia="Arial" w:cs="Arial"/>
            <w:noProof w:val="0"/>
            <w:color w:val="auto"/>
            <w:sz w:val="22"/>
            <w:szCs w:val="22"/>
            <w:lang w:val="en-GB"/>
          </w:rPr>
          <w:t>L&amp;GAnnualreport.(2024).</w:t>
        </w:r>
      </w:hyperlink>
      <w:r w:rsidRPr="2E8D55B9" w:rsidR="5F6C3CD7">
        <w:rPr>
          <w:rFonts w:ascii="Arial" w:hAnsi="Arial" w:eastAsia="Arial" w:cs="Arial"/>
          <w:noProof w:val="0"/>
          <w:color w:val="auto"/>
          <w:sz w:val="22"/>
          <w:szCs w:val="22"/>
          <w:lang w:val="en-GB"/>
        </w:rPr>
        <w:t xml:space="preserve"> </w:t>
      </w:r>
    </w:p>
    <w:p w:rsidR="55AF75AE" w:rsidP="2E8D55B9" w:rsidRDefault="55AF75AE" w14:paraId="475BE8F1" w14:textId="65E59900">
      <w:pPr>
        <w:bidi w:val="0"/>
        <w:spacing w:before="240" w:beforeAutospacing="off" w:after="240" w:afterAutospacing="off" w:line="360" w:lineRule="auto"/>
        <w:rPr>
          <w:rFonts w:ascii="Arial" w:hAnsi="Arial" w:eastAsia="Arial" w:cs="Arial"/>
          <w:noProof w:val="0"/>
          <w:color w:val="auto"/>
          <w:sz w:val="22"/>
          <w:szCs w:val="22"/>
          <w:lang w:val="en-GB"/>
        </w:rPr>
      </w:pPr>
      <w:r w:rsidRPr="2E8D55B9" w:rsidR="55AF75AE">
        <w:rPr>
          <w:rFonts w:ascii="Arial" w:hAnsi="Arial" w:eastAsia="Arial" w:cs="Arial"/>
          <w:noProof w:val="0"/>
          <w:color w:val="auto"/>
          <w:sz w:val="22"/>
          <w:szCs w:val="22"/>
          <w:lang w:val="en-GB"/>
        </w:rPr>
        <w:t>These figures confirm Legal &amp; General’s strong position within the UK retirement market and highlight the increasing importance of long-term savings and pension management services.</w:t>
      </w:r>
    </w:p>
    <w:p w:rsidR="55AF75AE" w:rsidP="2E8D55B9" w:rsidRDefault="55AF75AE" w14:paraId="5511D91F" w14:textId="49E5495C">
      <w:pPr>
        <w:bidi w:val="0"/>
        <w:spacing w:before="240" w:beforeAutospacing="off" w:after="240" w:afterAutospacing="off" w:line="360" w:lineRule="auto"/>
        <w:rPr>
          <w:rFonts w:ascii="Arial" w:hAnsi="Arial" w:eastAsia="Arial" w:cs="Arial"/>
          <w:noProof w:val="0"/>
          <w:color w:val="auto"/>
          <w:sz w:val="22"/>
          <w:szCs w:val="22"/>
          <w:lang w:val="en-GB"/>
        </w:rPr>
      </w:pPr>
      <w:r w:rsidRPr="2E8D55B9" w:rsidR="55AF75AE">
        <w:rPr>
          <w:rFonts w:ascii="Arial" w:hAnsi="Arial" w:eastAsia="Arial" w:cs="Arial"/>
          <w:noProof w:val="0"/>
          <w:color w:val="auto"/>
          <w:sz w:val="22"/>
          <w:szCs w:val="22"/>
          <w:lang w:val="en-GB"/>
        </w:rPr>
        <w:t xml:space="preserve">Further evidence of growth can be seen in </w:t>
      </w:r>
      <w:r w:rsidRPr="2E8D55B9" w:rsidR="55AF75AE">
        <w:rPr>
          <w:rFonts w:ascii="Arial" w:hAnsi="Arial" w:eastAsia="Arial" w:cs="Arial"/>
          <w:b w:val="1"/>
          <w:bCs w:val="1"/>
          <w:noProof w:val="0"/>
          <w:color w:val="auto"/>
          <w:sz w:val="22"/>
          <w:szCs w:val="22"/>
          <w:lang w:val="en-GB"/>
        </w:rPr>
        <w:t>Figure 4</w:t>
      </w:r>
      <w:r w:rsidRPr="2E8D55B9" w:rsidR="55AF75AE">
        <w:rPr>
          <w:rFonts w:ascii="Arial" w:hAnsi="Arial" w:eastAsia="Arial" w:cs="Arial"/>
          <w:noProof w:val="0"/>
          <w:color w:val="auto"/>
          <w:sz w:val="22"/>
          <w:szCs w:val="22"/>
          <w:lang w:val="en-GB"/>
        </w:rPr>
        <w:t xml:space="preserve">, which </w:t>
      </w:r>
      <w:r w:rsidRPr="2E8D55B9" w:rsidR="55AF75AE">
        <w:rPr>
          <w:rFonts w:ascii="Arial" w:hAnsi="Arial" w:eastAsia="Arial" w:cs="Arial"/>
          <w:noProof w:val="0"/>
          <w:color w:val="auto"/>
          <w:sz w:val="22"/>
          <w:szCs w:val="22"/>
          <w:lang w:val="en-GB"/>
        </w:rPr>
        <w:t>demonstrates</w:t>
      </w:r>
      <w:r w:rsidRPr="2E8D55B9" w:rsidR="55AF75AE">
        <w:rPr>
          <w:rFonts w:ascii="Arial" w:hAnsi="Arial" w:eastAsia="Arial" w:cs="Arial"/>
          <w:noProof w:val="0"/>
          <w:color w:val="auto"/>
          <w:sz w:val="22"/>
          <w:szCs w:val="22"/>
          <w:lang w:val="en-GB"/>
        </w:rPr>
        <w:t xml:space="preserve"> the expansion of workplace pensions and investment activity.</w:t>
      </w:r>
    </w:p>
    <w:p w:rsidR="55AF75AE" w:rsidP="2E8D55B9" w:rsidRDefault="55AF75AE" w14:paraId="22590254" w14:textId="14DE86ED">
      <w:pPr>
        <w:pStyle w:val="Normal"/>
        <w:spacing w:line="360" w:lineRule="auto"/>
        <w:rPr>
          <w:rFonts w:ascii="Arial" w:hAnsi="Arial" w:eastAsia="Arial" w:cs="Arial"/>
          <w:b w:val="1"/>
          <w:bCs w:val="1"/>
          <w:noProof w:val="0"/>
          <w:color w:val="auto"/>
          <w:sz w:val="22"/>
          <w:szCs w:val="22"/>
          <w:lang w:val="en-GB"/>
        </w:rPr>
      </w:pPr>
      <w:r w:rsidRPr="2E8D55B9" w:rsidR="09F2C0E3">
        <w:rPr>
          <w:rFonts w:ascii="Arial" w:hAnsi="Arial" w:eastAsia="Arial" w:cs="Arial"/>
          <w:noProof w:val="0"/>
          <w:color w:val="auto"/>
          <w:sz w:val="22"/>
          <w:szCs w:val="22"/>
          <w:lang w:val="en-GB"/>
        </w:rPr>
        <w:t>Figure 4: Legal &amp; General Growth in Pension &amp; Workplace Assets</w:t>
      </w:r>
    </w:p>
    <w:tbl>
      <w:tblPr>
        <w:tblStyle w:val="TableNormal"/>
        <w:bidiVisual w:val="0"/>
        <w:tblW w:w="0" w:type="auto"/>
        <w:tblLook w:val="06A0" w:firstRow="1" w:lastRow="0" w:firstColumn="1" w:lastColumn="0" w:noHBand="1" w:noVBand="1"/>
      </w:tblPr>
      <w:tblGrid>
        <w:gridCol w:w="3555"/>
        <w:gridCol w:w="2325"/>
      </w:tblGrid>
      <w:tr w:rsidR="064C2393" w:rsidTr="2E8D55B9" w14:paraId="3B6D1BD6">
        <w:trPr>
          <w:trHeight w:val="300"/>
        </w:trPr>
        <w:tc>
          <w:tcPr>
            <w:tcW w:w="3555" w:type="dxa"/>
            <w:tcMar/>
            <w:vAlign w:val="center"/>
          </w:tcPr>
          <w:p w:rsidR="064C2393" w:rsidP="2E8D55B9" w:rsidRDefault="064C2393" w14:paraId="22586AA3" w14:textId="02147763">
            <w:pPr>
              <w:bidi w:val="0"/>
              <w:spacing w:before="0" w:beforeAutospacing="off" w:after="0" w:afterAutospacing="off" w:line="360" w:lineRule="auto"/>
              <w:jc w:val="center"/>
              <w:rPr>
                <w:rFonts w:ascii="Arial" w:hAnsi="Arial" w:eastAsia="Arial" w:cs="Arial"/>
                <w:b w:val="1"/>
                <w:bCs w:val="1"/>
                <w:color w:val="auto"/>
                <w:sz w:val="22"/>
                <w:szCs w:val="22"/>
              </w:rPr>
            </w:pPr>
            <w:r w:rsidRPr="2E8D55B9" w:rsidR="2F8B0130">
              <w:rPr>
                <w:rFonts w:ascii="Arial" w:hAnsi="Arial" w:eastAsia="Arial" w:cs="Arial"/>
                <w:b w:val="1"/>
                <w:bCs w:val="1"/>
                <w:color w:val="auto"/>
                <w:sz w:val="22"/>
                <w:szCs w:val="22"/>
              </w:rPr>
              <w:t>Metric</w:t>
            </w:r>
          </w:p>
        </w:tc>
        <w:tc>
          <w:tcPr>
            <w:tcW w:w="2325" w:type="dxa"/>
            <w:tcMar/>
            <w:vAlign w:val="center"/>
          </w:tcPr>
          <w:p w:rsidR="064C2393" w:rsidP="2E8D55B9" w:rsidRDefault="064C2393" w14:paraId="4DBB2014" w14:textId="3E28F48D">
            <w:pPr>
              <w:bidi w:val="0"/>
              <w:spacing w:before="0" w:beforeAutospacing="off" w:after="0" w:afterAutospacing="off" w:line="360" w:lineRule="auto"/>
              <w:jc w:val="center"/>
              <w:rPr>
                <w:rFonts w:ascii="Arial" w:hAnsi="Arial" w:eastAsia="Arial" w:cs="Arial"/>
                <w:b w:val="1"/>
                <w:bCs w:val="1"/>
                <w:color w:val="auto"/>
                <w:sz w:val="22"/>
                <w:szCs w:val="22"/>
              </w:rPr>
            </w:pPr>
            <w:r w:rsidRPr="2E8D55B9" w:rsidR="2F8B0130">
              <w:rPr>
                <w:rFonts w:ascii="Arial" w:hAnsi="Arial" w:eastAsia="Arial" w:cs="Arial"/>
                <w:b w:val="1"/>
                <w:bCs w:val="1"/>
                <w:color w:val="auto"/>
                <w:sz w:val="22"/>
                <w:szCs w:val="22"/>
              </w:rPr>
              <w:t>Value</w:t>
            </w:r>
          </w:p>
        </w:tc>
      </w:tr>
      <w:tr w:rsidR="064C2393" w:rsidTr="2E8D55B9" w14:paraId="46607BD4">
        <w:trPr>
          <w:trHeight w:val="300"/>
        </w:trPr>
        <w:tc>
          <w:tcPr>
            <w:tcW w:w="3555" w:type="dxa"/>
            <w:tcMar/>
            <w:vAlign w:val="center"/>
          </w:tcPr>
          <w:p w:rsidR="064C2393" w:rsidP="2E8D55B9" w:rsidRDefault="064C2393" w14:paraId="4D5DB603" w14:textId="1E9B4863">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Workplace Pension Assets</w:t>
            </w:r>
          </w:p>
        </w:tc>
        <w:tc>
          <w:tcPr>
            <w:tcW w:w="2325" w:type="dxa"/>
            <w:tcMar/>
            <w:vAlign w:val="center"/>
          </w:tcPr>
          <w:p w:rsidR="064C2393" w:rsidP="2E8D55B9" w:rsidRDefault="064C2393" w14:paraId="54C9F4E2" w14:textId="05FE705F">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£100+ billion</w:t>
            </w:r>
          </w:p>
        </w:tc>
      </w:tr>
      <w:tr w:rsidR="064C2393" w:rsidTr="2E8D55B9" w14:paraId="018E8CFA">
        <w:trPr>
          <w:trHeight w:val="300"/>
        </w:trPr>
        <w:tc>
          <w:tcPr>
            <w:tcW w:w="3555" w:type="dxa"/>
            <w:tcMar/>
            <w:vAlign w:val="center"/>
          </w:tcPr>
          <w:p w:rsidR="064C2393" w:rsidP="2E8D55B9" w:rsidRDefault="064C2393" w14:paraId="2A8354AE" w14:textId="2022DA11">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Private Market Assets</w:t>
            </w:r>
          </w:p>
        </w:tc>
        <w:tc>
          <w:tcPr>
            <w:tcW w:w="2325" w:type="dxa"/>
            <w:tcMar/>
            <w:vAlign w:val="center"/>
          </w:tcPr>
          <w:p w:rsidR="064C2393" w:rsidP="2E8D55B9" w:rsidRDefault="064C2393" w14:paraId="0579F1A7" w14:textId="7ACB82BF">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£70+ billion</w:t>
            </w:r>
          </w:p>
        </w:tc>
      </w:tr>
      <w:tr w:rsidR="064C2393" w:rsidTr="2E8D55B9" w14:paraId="792C317D">
        <w:trPr>
          <w:trHeight w:val="300"/>
        </w:trPr>
        <w:tc>
          <w:tcPr>
            <w:tcW w:w="3555" w:type="dxa"/>
            <w:tcMar/>
            <w:vAlign w:val="center"/>
          </w:tcPr>
          <w:p w:rsidR="064C2393" w:rsidP="2E8D55B9" w:rsidRDefault="064C2393" w14:paraId="45AB499D" w14:textId="1976906D">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Pension Risk Transfer Deals (UK)</w:t>
            </w:r>
          </w:p>
        </w:tc>
        <w:tc>
          <w:tcPr>
            <w:tcW w:w="2325" w:type="dxa"/>
            <w:tcMar/>
            <w:vAlign w:val="center"/>
          </w:tcPr>
          <w:p w:rsidR="064C2393" w:rsidP="2E8D55B9" w:rsidRDefault="064C2393" w14:paraId="4BAF1CBA" w14:textId="202EB86E">
            <w:pPr>
              <w:bidi w:val="0"/>
              <w:spacing w:before="0" w:beforeAutospacing="off" w:after="0" w:afterAutospacing="off" w:line="360" w:lineRule="auto"/>
              <w:rPr>
                <w:rFonts w:ascii="Arial" w:hAnsi="Arial" w:eastAsia="Arial" w:cs="Arial"/>
                <w:color w:val="auto"/>
                <w:sz w:val="22"/>
                <w:szCs w:val="22"/>
              </w:rPr>
            </w:pPr>
            <w:r w:rsidRPr="2E8D55B9" w:rsidR="2F8B0130">
              <w:rPr>
                <w:rFonts w:ascii="Arial" w:hAnsi="Arial" w:eastAsia="Arial" w:cs="Arial"/>
                <w:color w:val="auto"/>
                <w:sz w:val="22"/>
                <w:szCs w:val="22"/>
              </w:rPr>
              <w:t>£10+ billion annually</w:t>
            </w:r>
          </w:p>
        </w:tc>
      </w:tr>
    </w:tbl>
    <w:p w:rsidR="55AF75AE" w:rsidP="2E8D55B9" w:rsidRDefault="55AF75AE" w14:paraId="71167A74" w14:textId="3AE2070C">
      <w:pPr>
        <w:bidi w:val="0"/>
        <w:spacing w:before="240" w:beforeAutospacing="off" w:after="240" w:afterAutospacing="off" w:line="360" w:lineRule="auto"/>
        <w:rPr>
          <w:rFonts w:ascii="Arial" w:hAnsi="Arial" w:eastAsia="Arial" w:cs="Arial"/>
          <w:noProof w:val="0"/>
          <w:color w:val="auto"/>
          <w:sz w:val="22"/>
          <w:szCs w:val="22"/>
          <w:lang w:val="en-GB"/>
        </w:rPr>
      </w:pPr>
      <w:r w:rsidRPr="2E8D55B9" w:rsidR="1A49A42C">
        <w:rPr>
          <w:rFonts w:ascii="Arial" w:hAnsi="Arial" w:eastAsia="Arial" w:cs="Arial"/>
          <w:b w:val="1"/>
          <w:bCs w:val="1"/>
          <w:noProof w:val="0"/>
          <w:color w:val="auto"/>
          <w:sz w:val="22"/>
          <w:szCs w:val="22"/>
          <w:lang w:val="en-GB"/>
        </w:rPr>
        <w:t>Source:</w:t>
      </w:r>
      <w:r w:rsidRPr="2E8D55B9" w:rsidR="1A49A42C">
        <w:rPr>
          <w:rFonts w:ascii="Arial" w:hAnsi="Arial" w:eastAsia="Arial" w:cs="Arial"/>
          <w:noProof w:val="0"/>
          <w:color w:val="auto"/>
          <w:sz w:val="22"/>
          <w:szCs w:val="22"/>
          <w:lang w:val="en-GB"/>
        </w:rPr>
        <w:t xml:space="preserve"> </w:t>
      </w:r>
      <w:hyperlink r:id="R0ae9de20f8cf4305">
        <w:r w:rsidRPr="2E8D55B9" w:rsidR="1289382D">
          <w:rPr>
            <w:rStyle w:val="Hyperlink"/>
            <w:rFonts w:ascii="Arial" w:hAnsi="Arial" w:eastAsia="Arial" w:cs="Arial"/>
            <w:noProof w:val="0"/>
            <w:color w:val="auto"/>
            <w:sz w:val="22"/>
            <w:szCs w:val="22"/>
            <w:lang w:val="en-GB"/>
          </w:rPr>
          <w:t>L&amp;GAnnualreport.(2024).</w:t>
        </w:r>
      </w:hyperlink>
      <w:r w:rsidRPr="2E8D55B9" w:rsidR="1289382D">
        <w:rPr>
          <w:rFonts w:ascii="Arial" w:hAnsi="Arial" w:eastAsia="Arial" w:cs="Arial"/>
          <w:noProof w:val="0"/>
          <w:color w:val="auto"/>
          <w:sz w:val="22"/>
          <w:szCs w:val="22"/>
          <w:lang w:val="en-GB"/>
        </w:rPr>
        <w:t xml:space="preserve"> </w:t>
      </w:r>
    </w:p>
    <w:p w:rsidR="55AF75AE" w:rsidP="2E8D55B9" w:rsidRDefault="55AF75AE" w14:paraId="05F9D862" w14:textId="283C6F70">
      <w:pPr>
        <w:bidi w:val="0"/>
        <w:spacing w:before="240" w:beforeAutospacing="off" w:after="240" w:afterAutospacing="off" w:line="360" w:lineRule="auto"/>
        <w:rPr>
          <w:rFonts w:ascii="Arial" w:hAnsi="Arial" w:eastAsia="Arial" w:cs="Arial"/>
          <w:noProof w:val="0"/>
          <w:color w:val="auto"/>
          <w:sz w:val="22"/>
          <w:szCs w:val="22"/>
          <w:lang w:val="en-GB"/>
        </w:rPr>
      </w:pPr>
      <w:r w:rsidRPr="2E8D55B9" w:rsidR="55AF75AE">
        <w:rPr>
          <w:rFonts w:ascii="Arial" w:hAnsi="Arial" w:eastAsia="Arial" w:cs="Arial"/>
          <w:noProof w:val="0"/>
          <w:color w:val="auto"/>
          <w:sz w:val="22"/>
          <w:szCs w:val="22"/>
          <w:lang w:val="en-GB"/>
        </w:rPr>
        <w:t>This growth reflects the organisation’s continued investment in retirement-focused services and long-term investment strategies, positioning it strongly within the evolving financial services landscape.</w:t>
      </w:r>
    </w:p>
    <w:p w:rsidR="55AF75AE" w:rsidP="2E8D55B9" w:rsidRDefault="55AF75AE" w14:paraId="01D19A80" w14:textId="77811D01">
      <w:pPr>
        <w:bidi w:val="0"/>
        <w:spacing w:before="240" w:beforeAutospacing="off" w:after="240" w:afterAutospacing="off" w:line="360" w:lineRule="auto"/>
        <w:rPr>
          <w:rFonts w:ascii="Arial" w:hAnsi="Arial" w:eastAsia="Arial" w:cs="Arial"/>
          <w:noProof w:val="0"/>
          <w:color w:val="auto"/>
          <w:sz w:val="22"/>
          <w:szCs w:val="22"/>
          <w:lang w:val="en-GB"/>
        </w:rPr>
      </w:pPr>
      <w:r w:rsidRPr="2E8D55B9" w:rsidR="55AF75AE">
        <w:rPr>
          <w:rFonts w:ascii="Arial" w:hAnsi="Arial" w:eastAsia="Arial" w:cs="Arial"/>
          <w:noProof w:val="0"/>
          <w:color w:val="auto"/>
          <w:sz w:val="22"/>
          <w:szCs w:val="22"/>
          <w:lang w:val="en-GB"/>
        </w:rPr>
        <w:t xml:space="preserve">At the same time, competition is intensifying due to the rise of fintech companies offering simple, digital-first services. These firms prioritise user experience and personalisation, raising customer expectations across the industry </w:t>
      </w:r>
      <w:r w:rsidRPr="2E8D55B9" w:rsidR="55AF75AE">
        <w:rPr>
          <w:rFonts w:ascii="Arial" w:hAnsi="Arial" w:eastAsia="Arial" w:cs="Arial"/>
          <w:noProof w:val="0"/>
          <w:color w:val="auto"/>
          <w:sz w:val="22"/>
          <w:szCs w:val="22"/>
          <w:lang w:val="en-GB"/>
        </w:rPr>
        <w:t>Lee</w:t>
      </w:r>
      <w:r w:rsidRPr="2E8D55B9" w:rsidR="09DBC986">
        <w:rPr>
          <w:rFonts w:ascii="Arial" w:hAnsi="Arial" w:eastAsia="Arial" w:cs="Arial"/>
          <w:noProof w:val="0"/>
          <w:color w:val="auto"/>
          <w:sz w:val="22"/>
          <w:szCs w:val="22"/>
          <w:lang w:val="en-GB"/>
        </w:rPr>
        <w:t>,</w:t>
      </w:r>
      <w:r w:rsidRPr="2E8D55B9" w:rsidR="55AF75AE">
        <w:rPr>
          <w:rFonts w:ascii="Arial" w:hAnsi="Arial" w:eastAsia="Arial" w:cs="Arial"/>
          <w:noProof w:val="0"/>
          <w:color w:val="auto"/>
          <w:sz w:val="22"/>
          <w:szCs w:val="22"/>
          <w:lang w:val="en-GB"/>
        </w:rPr>
        <w:t xml:space="preserve"> </w:t>
      </w:r>
      <w:r w:rsidRPr="2E8D55B9" w:rsidR="7DF5FB50">
        <w:rPr>
          <w:rFonts w:ascii="Arial" w:hAnsi="Arial" w:eastAsia="Arial" w:cs="Arial"/>
          <w:noProof w:val="0"/>
          <w:color w:val="auto"/>
          <w:sz w:val="22"/>
          <w:szCs w:val="22"/>
          <w:lang w:val="en-GB"/>
        </w:rPr>
        <w:t>&amp;</w:t>
      </w:r>
      <w:r w:rsidRPr="2E8D55B9" w:rsidR="55AF75AE">
        <w:rPr>
          <w:rFonts w:ascii="Arial" w:hAnsi="Arial" w:eastAsia="Arial" w:cs="Arial"/>
          <w:noProof w:val="0"/>
          <w:color w:val="auto"/>
          <w:sz w:val="22"/>
          <w:szCs w:val="22"/>
          <w:lang w:val="en-GB"/>
        </w:rPr>
        <w:t xml:space="preserve"> Shin, </w:t>
      </w:r>
      <w:r w:rsidRPr="2E8D55B9" w:rsidR="75F00EC5">
        <w:rPr>
          <w:rFonts w:ascii="Arial" w:hAnsi="Arial" w:eastAsia="Arial" w:cs="Arial"/>
          <w:noProof w:val="0"/>
          <w:color w:val="auto"/>
          <w:sz w:val="22"/>
          <w:szCs w:val="22"/>
          <w:lang w:val="en-GB"/>
        </w:rPr>
        <w:t>(</w:t>
      </w:r>
      <w:r w:rsidRPr="2E8D55B9" w:rsidR="55AF75AE">
        <w:rPr>
          <w:rFonts w:ascii="Arial" w:hAnsi="Arial" w:eastAsia="Arial" w:cs="Arial"/>
          <w:noProof w:val="0"/>
          <w:color w:val="auto"/>
          <w:sz w:val="22"/>
          <w:szCs w:val="22"/>
          <w:lang w:val="en-GB"/>
        </w:rPr>
        <w:t>2018</w:t>
      </w:r>
      <w:r w:rsidRPr="2E8D55B9" w:rsidR="55AF75AE">
        <w:rPr>
          <w:rFonts w:ascii="Arial" w:hAnsi="Arial" w:eastAsia="Arial" w:cs="Arial"/>
          <w:noProof w:val="0"/>
          <w:color w:val="auto"/>
          <w:sz w:val="22"/>
          <w:szCs w:val="22"/>
          <w:lang w:val="en-GB"/>
        </w:rPr>
        <w:t>). In response, Legal &amp; General continues to invest in digital innovation and platform development to remain competitive. Additionally, regulatory changes such as the F</w:t>
      </w:r>
      <w:r w:rsidRPr="2E8D55B9" w:rsidR="55AF75AE">
        <w:rPr>
          <w:rFonts w:ascii="Arial" w:hAnsi="Arial" w:eastAsia="Arial" w:cs="Arial"/>
          <w:noProof w:val="0"/>
          <w:color w:val="auto"/>
          <w:sz w:val="22"/>
          <w:szCs w:val="22"/>
          <w:lang w:val="en-GB"/>
        </w:rPr>
        <w:t>CA</w:t>
      </w:r>
      <w:r w:rsidRPr="2E8D55B9" w:rsidR="213DA25F">
        <w:rPr>
          <w:rFonts w:ascii="Arial" w:hAnsi="Arial" w:eastAsia="Arial" w:cs="Arial"/>
          <w:noProof w:val="0"/>
          <w:color w:val="auto"/>
          <w:sz w:val="22"/>
          <w:szCs w:val="22"/>
          <w:lang w:val="en-GB"/>
        </w:rPr>
        <w:t>.org</w:t>
      </w:r>
      <w:r w:rsidRPr="2E8D55B9" w:rsidR="54F8A0B6">
        <w:rPr>
          <w:rFonts w:ascii="Arial" w:hAnsi="Arial" w:eastAsia="Arial" w:cs="Arial"/>
          <w:noProof w:val="0"/>
          <w:color w:val="auto"/>
          <w:sz w:val="22"/>
          <w:szCs w:val="22"/>
          <w:lang w:val="en-GB"/>
        </w:rPr>
        <w:t>,</w:t>
      </w:r>
      <w:r w:rsidRPr="2E8D55B9" w:rsidR="55AF75AE">
        <w:rPr>
          <w:rFonts w:ascii="Arial" w:hAnsi="Arial" w:eastAsia="Arial" w:cs="Arial"/>
          <w:noProof w:val="0"/>
          <w:color w:val="auto"/>
          <w:sz w:val="22"/>
          <w:szCs w:val="22"/>
          <w:lang w:val="en-GB"/>
        </w:rPr>
        <w:t xml:space="preserve"> (202</w:t>
      </w:r>
      <w:r w:rsidRPr="2E8D55B9" w:rsidR="218D583F">
        <w:rPr>
          <w:rFonts w:ascii="Arial" w:hAnsi="Arial" w:eastAsia="Arial" w:cs="Arial"/>
          <w:noProof w:val="0"/>
          <w:color w:val="auto"/>
          <w:sz w:val="22"/>
          <w:szCs w:val="22"/>
          <w:lang w:val="en-GB"/>
        </w:rPr>
        <w:t>5</w:t>
      </w:r>
      <w:r w:rsidRPr="2E8D55B9" w:rsidR="55AF75AE">
        <w:rPr>
          <w:rFonts w:ascii="Arial" w:hAnsi="Arial" w:eastAsia="Arial" w:cs="Arial"/>
          <w:noProof w:val="0"/>
          <w:color w:val="auto"/>
          <w:sz w:val="22"/>
          <w:szCs w:val="22"/>
          <w:lang w:val="en-GB"/>
        </w:rPr>
        <w:t>)</w:t>
      </w:r>
      <w:r w:rsidRPr="2E8D55B9" w:rsidR="56890E28">
        <w:rPr>
          <w:rFonts w:ascii="Arial" w:hAnsi="Arial" w:eastAsia="Arial" w:cs="Arial"/>
          <w:noProof w:val="0"/>
          <w:color w:val="auto"/>
          <w:sz w:val="22"/>
          <w:szCs w:val="22"/>
          <w:lang w:val="en-GB"/>
        </w:rPr>
        <w:t>,</w:t>
      </w:r>
      <w:r w:rsidRPr="2E8D55B9" w:rsidR="55AF75AE">
        <w:rPr>
          <w:rFonts w:ascii="Arial" w:hAnsi="Arial" w:eastAsia="Arial" w:cs="Arial"/>
          <w:noProof w:val="0"/>
          <w:color w:val="auto"/>
          <w:sz w:val="22"/>
          <w:szCs w:val="22"/>
          <w:lang w:val="en-GB"/>
        </w:rPr>
        <w:t xml:space="preserve"> are increasing the need for transparency and customer-focused service design.</w:t>
      </w:r>
    </w:p>
    <w:p w:rsidR="3BDEFC7B" w:rsidP="2E8D55B9" w:rsidRDefault="3BDEFC7B" w14:paraId="6E25DA63" w14:textId="2FAB9589">
      <w:pPr>
        <w:spacing w:before="240" w:beforeAutospacing="off" w:after="240" w:afterAutospacing="off" w:line="360" w:lineRule="auto"/>
        <w:rPr>
          <w:rFonts w:ascii="Arial" w:hAnsi="Arial" w:eastAsia="Arial" w:cs="Arial"/>
          <w:noProof w:val="0"/>
          <w:color w:val="auto"/>
          <w:sz w:val="22"/>
          <w:szCs w:val="22"/>
          <w:lang w:val="en-GB"/>
        </w:rPr>
      </w:pPr>
      <w:r w:rsidRPr="2E8D55B9" w:rsidR="1F1FDB5C">
        <w:rPr>
          <w:rFonts w:ascii="Arial" w:hAnsi="Arial" w:eastAsia="Arial" w:cs="Arial"/>
          <w:noProof w:val="0"/>
          <w:color w:val="auto"/>
          <w:sz w:val="22"/>
          <w:szCs w:val="22"/>
          <w:lang w:val="en-GB"/>
        </w:rPr>
        <w:t xml:space="preserve">Overall, these trends </w:t>
      </w:r>
      <w:r w:rsidRPr="2E8D55B9" w:rsidR="1F1FDB5C">
        <w:rPr>
          <w:rFonts w:ascii="Arial" w:hAnsi="Arial" w:eastAsia="Arial" w:cs="Arial"/>
          <w:noProof w:val="0"/>
          <w:color w:val="auto"/>
          <w:sz w:val="22"/>
          <w:szCs w:val="22"/>
          <w:lang w:val="en-GB"/>
        </w:rPr>
        <w:t>demonstrate</w:t>
      </w:r>
      <w:r w:rsidRPr="2E8D55B9" w:rsidR="1F1FDB5C">
        <w:rPr>
          <w:rFonts w:ascii="Arial" w:hAnsi="Arial" w:eastAsia="Arial" w:cs="Arial"/>
          <w:noProof w:val="0"/>
          <w:color w:val="auto"/>
          <w:sz w:val="22"/>
          <w:szCs w:val="22"/>
          <w:lang w:val="en-GB"/>
        </w:rPr>
        <w:t xml:space="preserve"> that the financial services industry is becoming increasingly digital, competitive and </w:t>
      </w:r>
      <w:r w:rsidRPr="2E8D55B9" w:rsidR="32893144">
        <w:rPr>
          <w:rFonts w:ascii="Arial" w:hAnsi="Arial" w:eastAsia="Arial" w:cs="Arial"/>
          <w:noProof w:val="0"/>
          <w:color w:val="auto"/>
          <w:sz w:val="22"/>
          <w:szCs w:val="22"/>
          <w:lang w:val="en-GB"/>
        </w:rPr>
        <w:t>customer driven</w:t>
      </w:r>
      <w:r w:rsidRPr="2E8D55B9" w:rsidR="1F1FDB5C">
        <w:rPr>
          <w:rFonts w:ascii="Arial" w:hAnsi="Arial" w:eastAsia="Arial" w:cs="Arial"/>
          <w:noProof w:val="0"/>
          <w:color w:val="auto"/>
          <w:sz w:val="22"/>
          <w:szCs w:val="22"/>
          <w:lang w:val="en-GB"/>
        </w:rPr>
        <w:t xml:space="preserve">. For Legal &amp; General, </w:t>
      </w:r>
      <w:r w:rsidRPr="2E8D55B9" w:rsidR="1F1FDB5C">
        <w:rPr>
          <w:rFonts w:ascii="Arial" w:hAnsi="Arial" w:eastAsia="Arial" w:cs="Arial"/>
          <w:noProof w:val="0"/>
          <w:color w:val="auto"/>
          <w:sz w:val="22"/>
          <w:szCs w:val="22"/>
          <w:lang w:val="en-GB"/>
        </w:rPr>
        <w:t>maintaining</w:t>
      </w:r>
      <w:r w:rsidRPr="2E8D55B9" w:rsidR="1F1FDB5C">
        <w:rPr>
          <w:rFonts w:ascii="Arial" w:hAnsi="Arial" w:eastAsia="Arial" w:cs="Arial"/>
          <w:noProof w:val="0"/>
          <w:color w:val="auto"/>
          <w:sz w:val="22"/>
          <w:szCs w:val="22"/>
          <w:lang w:val="en-GB"/>
        </w:rPr>
        <w:t xml:space="preserve"> its position at scale requires continued investment in digital innovation, improved customer </w:t>
      </w:r>
      <w:r w:rsidRPr="2E8D55B9" w:rsidR="4F660502">
        <w:rPr>
          <w:rFonts w:ascii="Arial" w:hAnsi="Arial" w:eastAsia="Arial" w:cs="Arial"/>
          <w:noProof w:val="0"/>
          <w:color w:val="auto"/>
          <w:sz w:val="22"/>
          <w:szCs w:val="22"/>
          <w:lang w:val="en-GB"/>
        </w:rPr>
        <w:t>experience,</w:t>
      </w:r>
      <w:r w:rsidRPr="2E8D55B9" w:rsidR="1F1FDB5C">
        <w:rPr>
          <w:rFonts w:ascii="Arial" w:hAnsi="Arial" w:eastAsia="Arial" w:cs="Arial"/>
          <w:noProof w:val="0"/>
          <w:color w:val="auto"/>
          <w:sz w:val="22"/>
          <w:szCs w:val="22"/>
          <w:lang w:val="en-GB"/>
        </w:rPr>
        <w:t xml:space="preserve"> and more personalised financial services.</w:t>
      </w:r>
    </w:p>
    <w:p w:rsidR="3BDEFC7B" w:rsidP="276A68DE" w:rsidRDefault="3BDEFC7B" w14:paraId="5CA0F40B" w14:textId="3EBCDC7D">
      <w:pPr>
        <w:pStyle w:val="Heading1"/>
        <w:rPr>
          <w:rFonts w:ascii="Arial" w:hAnsi="Arial" w:eastAsia="Arial" w:cs="Arial"/>
          <w:noProof w:val="0"/>
          <w:color w:val="auto"/>
          <w:sz w:val="22"/>
          <w:szCs w:val="22"/>
          <w:u w:val="none"/>
          <w:lang w:val="en-GB"/>
        </w:rPr>
      </w:pPr>
      <w:bookmarkStart w:name="_Toc195951742" w:id="153411021"/>
      <w:r w:rsidRPr="5BD3C420" w:rsidR="076F6C2F">
        <w:rPr>
          <w:rFonts w:ascii="Arial" w:hAnsi="Arial" w:eastAsia="Arial" w:cs="Arial"/>
          <w:noProof w:val="0"/>
          <w:sz w:val="22"/>
          <w:szCs w:val="22"/>
          <w:u w:val="none"/>
          <w:lang w:val="en-GB"/>
        </w:rPr>
        <w:t>Part 1: Analysis of Legal &amp; General’s Approach to Innovation</w:t>
      </w:r>
      <w:bookmarkEnd w:id="153411021"/>
    </w:p>
    <w:p w:rsidR="1A7FE213" w:rsidP="5BD3C420" w:rsidRDefault="1A7FE213" w14:paraId="47BA834B" w14:textId="0E3248FC">
      <w:pPr>
        <w:pStyle w:val="Normal"/>
        <w:bidi w:val="0"/>
        <w:spacing w:before="240" w:beforeAutospacing="off" w:after="240" w:afterAutospacing="off" w:line="360" w:lineRule="auto"/>
        <w:jc w:val="both"/>
      </w:pPr>
      <w:r w:rsidRPr="5BD3C420" w:rsidR="1A7FE213">
        <w:rPr>
          <w:rFonts w:ascii="Arial" w:hAnsi="Arial" w:eastAsia="Arial" w:cs="Arial"/>
          <w:noProof w:val="0"/>
          <w:sz w:val="22"/>
          <w:szCs w:val="22"/>
          <w:lang w:val="en-GB"/>
        </w:rPr>
        <w:t xml:space="preserve">The Innovation Ambition Matrix is a strategic tool used to assess how organisations distribute their resources across </w:t>
      </w:r>
      <w:r w:rsidRPr="5BD3C420" w:rsidR="1A7FE213">
        <w:rPr>
          <w:rFonts w:ascii="Arial" w:hAnsi="Arial" w:eastAsia="Arial" w:cs="Arial"/>
          <w:noProof w:val="0"/>
          <w:sz w:val="22"/>
          <w:szCs w:val="22"/>
          <w:lang w:val="en-GB"/>
        </w:rPr>
        <w:t>different types</w:t>
      </w:r>
      <w:r w:rsidRPr="5BD3C420" w:rsidR="1A7FE213">
        <w:rPr>
          <w:rFonts w:ascii="Arial" w:hAnsi="Arial" w:eastAsia="Arial" w:cs="Arial"/>
          <w:noProof w:val="0"/>
          <w:sz w:val="22"/>
          <w:szCs w:val="22"/>
          <w:lang w:val="en-GB"/>
        </w:rPr>
        <w:t xml:space="preserve"> of innovation. It divides innovation into three key categories: core, adjacent, and transformational. Core innovation focuses on enhancing existing products, services, or processes to improve efficiency and customer experience. Adjacent innovation involves extending current capabilities into new markets, technologies, or services. In contrast, transformational innovation refers to the creation of entirely new products, services, or business models that can significantly alter an organisation’s competitive position. </w:t>
      </w:r>
      <w:r w:rsidRPr="5BD3C420" w:rsidR="1A7FE213">
        <w:rPr>
          <w:rFonts w:ascii="Arial" w:hAnsi="Arial" w:eastAsia="Arial" w:cs="Arial"/>
          <w:noProof w:val="0"/>
          <w:sz w:val="22"/>
          <w:szCs w:val="22"/>
          <w:lang w:val="en-GB"/>
        </w:rPr>
        <w:t>Nagji</w:t>
      </w:r>
      <w:r w:rsidRPr="5BD3C420" w:rsidR="1A7FE213">
        <w:rPr>
          <w:rFonts w:ascii="Arial" w:hAnsi="Arial" w:eastAsia="Arial" w:cs="Arial"/>
          <w:noProof w:val="0"/>
          <w:sz w:val="22"/>
          <w:szCs w:val="22"/>
          <w:lang w:val="en-GB"/>
        </w:rPr>
        <w:t xml:space="preserve">, &amp; Tuff, (2012), suggest that successful organisations typically </w:t>
      </w:r>
      <w:r w:rsidRPr="5BD3C420" w:rsidR="1A7FE213">
        <w:rPr>
          <w:rFonts w:ascii="Arial" w:hAnsi="Arial" w:eastAsia="Arial" w:cs="Arial"/>
          <w:noProof w:val="0"/>
          <w:sz w:val="22"/>
          <w:szCs w:val="22"/>
          <w:lang w:val="en-GB"/>
        </w:rPr>
        <w:t>allocate</w:t>
      </w:r>
      <w:r w:rsidRPr="5BD3C420" w:rsidR="1A7FE213">
        <w:rPr>
          <w:rFonts w:ascii="Arial" w:hAnsi="Arial" w:eastAsia="Arial" w:cs="Arial"/>
          <w:noProof w:val="0"/>
          <w:sz w:val="22"/>
          <w:szCs w:val="22"/>
          <w:lang w:val="en-GB"/>
        </w:rPr>
        <w:t xml:space="preserve"> around 70% of their innovation efforts to core activities, 20% to adjacent initiatives, and 10% to transformational innovation, ensuring a balanced portfolio that supports both short-term performance and long-term growth.</w:t>
      </w:r>
    </w:p>
    <w:p w:rsidR="4B04B31A" w:rsidP="2E8D55B9" w:rsidRDefault="4B04B31A" w14:paraId="7857C831" w14:textId="3716EA58">
      <w:pPr>
        <w:pStyle w:val="Normal"/>
        <w:spacing w:line="360" w:lineRule="auto"/>
        <w:rPr>
          <w:rFonts w:ascii="Arial" w:hAnsi="Arial" w:eastAsia="Arial" w:cs="Arial"/>
          <w:b w:val="0"/>
          <w:bCs w:val="0"/>
          <w:noProof w:val="0"/>
          <w:color w:val="auto"/>
          <w:sz w:val="22"/>
          <w:szCs w:val="22"/>
          <w:lang w:val="en-GB"/>
        </w:rPr>
      </w:pPr>
      <w:r w:rsidRPr="276A68DE" w:rsidR="4796D28C">
        <w:rPr>
          <w:rFonts w:ascii="Arial" w:hAnsi="Arial" w:eastAsia="Arial" w:cs="Arial"/>
          <w:noProof w:val="0"/>
          <w:color w:val="auto"/>
          <w:sz w:val="22"/>
          <w:szCs w:val="22"/>
          <w:lang w:val="en-GB"/>
        </w:rPr>
        <w:t xml:space="preserve">Applying this framework to Legal &amp; General provides insight into how the organisation approaches innovation within the rapidly evolving financial services industry. In recent </w:t>
      </w:r>
      <w:r w:rsidRPr="276A68DE" w:rsidR="0505A5B4">
        <w:rPr>
          <w:rFonts w:ascii="Arial" w:hAnsi="Arial" w:eastAsia="Arial" w:cs="Arial"/>
          <w:noProof w:val="0"/>
          <w:color w:val="auto"/>
          <w:sz w:val="22"/>
          <w:szCs w:val="22"/>
          <w:lang w:val="en-GB"/>
        </w:rPr>
        <w:t>years,</w:t>
      </w:r>
      <w:r w:rsidRPr="276A68DE" w:rsidR="4796D28C">
        <w:rPr>
          <w:rFonts w:ascii="Arial" w:hAnsi="Arial" w:eastAsia="Arial" w:cs="Arial"/>
          <w:noProof w:val="0"/>
          <w:color w:val="auto"/>
          <w:sz w:val="22"/>
          <w:szCs w:val="22"/>
          <w:lang w:val="en-GB"/>
        </w:rPr>
        <w:t xml:space="preserve"> the financial services sector has experienced significant disruption driven by digital technology, regulatory change and increasing competition from fintech companies.</w:t>
      </w:r>
      <w:r w:rsidRPr="276A68DE" w:rsidR="4796D28C">
        <w:rPr>
          <w:rFonts w:ascii="Arial" w:hAnsi="Arial" w:eastAsia="Arial" w:cs="Arial"/>
          <w:noProof w:val="0"/>
          <w:color w:val="auto"/>
          <w:sz w:val="22"/>
          <w:szCs w:val="22"/>
          <w:lang w:val="en-GB"/>
        </w:rPr>
        <w:t xml:space="preserve"> </w:t>
      </w:r>
      <w:r w:rsidRPr="276A68DE" w:rsidR="4796D28C">
        <w:rPr>
          <w:rFonts w:ascii="Arial" w:hAnsi="Arial" w:eastAsia="Arial" w:cs="Arial"/>
          <w:noProof w:val="0"/>
          <w:color w:val="auto"/>
          <w:sz w:val="22"/>
          <w:szCs w:val="22"/>
          <w:lang w:val="en-GB"/>
        </w:rPr>
        <w:t xml:space="preserve">Industry research by </w:t>
      </w:r>
      <w:r w:rsidRPr="276A68DE" w:rsidR="4796D28C">
        <w:rPr>
          <w:rFonts w:ascii="Arial" w:hAnsi="Arial" w:eastAsia="Arial" w:cs="Arial"/>
          <w:noProof w:val="0"/>
          <w:color w:val="auto"/>
          <w:sz w:val="22"/>
          <w:szCs w:val="22"/>
          <w:lang w:val="en-GB"/>
        </w:rPr>
        <w:t>Euromonitor</w:t>
      </w:r>
      <w:r w:rsidRPr="276A68DE" w:rsidR="20547F65">
        <w:rPr>
          <w:rFonts w:ascii="Arial" w:hAnsi="Arial" w:eastAsia="Arial" w:cs="Arial"/>
          <w:noProof w:val="0"/>
          <w:color w:val="auto"/>
          <w:sz w:val="22"/>
          <w:szCs w:val="22"/>
          <w:lang w:val="en-GB"/>
        </w:rPr>
        <w:t xml:space="preserve">, </w:t>
      </w:r>
      <w:r w:rsidRPr="276A68DE" w:rsidR="4796D28C">
        <w:rPr>
          <w:rFonts w:ascii="Arial" w:hAnsi="Arial" w:eastAsia="Arial" w:cs="Arial"/>
          <w:noProof w:val="0"/>
          <w:color w:val="auto"/>
          <w:sz w:val="22"/>
          <w:szCs w:val="22"/>
          <w:lang w:val="en-GB"/>
        </w:rPr>
        <w:t>(2024)</w:t>
      </w:r>
      <w:r w:rsidRPr="276A68DE" w:rsidR="4796D28C">
        <w:rPr>
          <w:rFonts w:ascii="Arial" w:hAnsi="Arial" w:eastAsia="Arial" w:cs="Arial"/>
          <w:noProof w:val="0"/>
          <w:color w:val="auto"/>
          <w:sz w:val="22"/>
          <w:szCs w:val="22"/>
          <w:lang w:val="en-GB"/>
        </w:rPr>
        <w:t xml:space="preserve"> suggests that digital transformation has become one of the most important strategic priorities for financial institutions seeking to improve efficiency and deliver more personalised customer services. As a result, organisations such as Legal &amp; General must continually adapt their innovation strategies to remain competitive within an increasingly digital financial ecosystem.</w:t>
      </w:r>
    </w:p>
    <w:p w:rsidR="3BDEFC7B" w:rsidP="276A68DE" w:rsidRDefault="3BDEFC7B" w14:paraId="7887F8F9" w14:textId="184B958A">
      <w:pPr>
        <w:pStyle w:val="Heading3"/>
        <w:rPr>
          <w:rFonts w:ascii="Arial" w:hAnsi="Arial" w:eastAsia="Arial" w:cs="Arial"/>
          <w:b w:val="1"/>
          <w:bCs w:val="1"/>
          <w:noProof w:val="0"/>
          <w:color w:val="auto"/>
          <w:sz w:val="22"/>
          <w:szCs w:val="22"/>
          <w:lang w:val="en-GB"/>
        </w:rPr>
      </w:pPr>
      <w:bookmarkStart w:name="_Toc317963297" w:id="409326600"/>
      <w:r w:rsidRPr="324F1939" w:rsidR="4796D28C">
        <w:rPr>
          <w:rFonts w:ascii="Arial" w:hAnsi="Arial" w:eastAsia="Arial" w:cs="Arial"/>
          <w:b w:val="1"/>
          <w:bCs w:val="1"/>
          <w:noProof w:val="0"/>
          <w:color w:val="auto"/>
          <w:sz w:val="22"/>
          <w:szCs w:val="22"/>
          <w:lang w:val="en-GB"/>
        </w:rPr>
        <w:t>Core Innovation</w:t>
      </w:r>
      <w:bookmarkEnd w:id="409326600"/>
    </w:p>
    <w:p w:rsidR="3BDEFC7B" w:rsidP="2E8D55B9" w:rsidRDefault="3BDEFC7B" w14:paraId="6F1B590A" w14:textId="2A16831B">
      <w:pPr>
        <w:bidi w:val="0"/>
        <w:spacing w:before="240" w:beforeAutospacing="off" w:after="240" w:afterAutospacing="off" w:line="360" w:lineRule="auto"/>
        <w:jc w:val="both"/>
        <w:rPr>
          <w:rFonts w:ascii="Arial" w:hAnsi="Arial" w:eastAsia="Arial" w:cs="Arial"/>
          <w:noProof w:val="0"/>
          <w:color w:val="auto"/>
          <w:sz w:val="22"/>
          <w:szCs w:val="22"/>
          <w:lang w:val="en-GB"/>
        </w:rPr>
      </w:pPr>
      <w:r w:rsidRPr="2E8D55B9" w:rsidR="30F39300">
        <w:rPr>
          <w:rFonts w:ascii="Arial" w:hAnsi="Arial" w:eastAsia="Arial" w:cs="Arial"/>
          <w:noProof w:val="0"/>
          <w:color w:val="auto"/>
          <w:sz w:val="22"/>
          <w:szCs w:val="22"/>
          <w:lang w:val="en-GB"/>
        </w:rPr>
        <w:t>A considerable proportion</w:t>
      </w:r>
      <w:r w:rsidRPr="2E8D55B9" w:rsidR="51CDE31F">
        <w:rPr>
          <w:rFonts w:ascii="Arial" w:hAnsi="Arial" w:eastAsia="Arial" w:cs="Arial"/>
          <w:noProof w:val="0"/>
          <w:color w:val="auto"/>
          <w:sz w:val="22"/>
          <w:szCs w:val="22"/>
          <w:lang w:val="en-GB"/>
        </w:rPr>
        <w:t xml:space="preserve"> of Legal &amp; General’s innovation activity can be categorised as core innovation, which focuses on improving existing financial services and operational processes. The organisation has invested heavily in developing digital platforms that enable customers to manage pensions, </w:t>
      </w:r>
      <w:r w:rsidRPr="2E8D55B9" w:rsidR="5E9A8314">
        <w:rPr>
          <w:rFonts w:ascii="Arial" w:hAnsi="Arial" w:eastAsia="Arial" w:cs="Arial"/>
          <w:noProof w:val="0"/>
          <w:color w:val="auto"/>
          <w:sz w:val="22"/>
          <w:szCs w:val="22"/>
          <w:lang w:val="en-GB"/>
        </w:rPr>
        <w:t>investments,</w:t>
      </w:r>
      <w:r w:rsidRPr="2E8D55B9" w:rsidR="51CDE31F">
        <w:rPr>
          <w:rFonts w:ascii="Arial" w:hAnsi="Arial" w:eastAsia="Arial" w:cs="Arial"/>
          <w:noProof w:val="0"/>
          <w:color w:val="auto"/>
          <w:sz w:val="22"/>
          <w:szCs w:val="22"/>
          <w:lang w:val="en-GB"/>
        </w:rPr>
        <w:t xml:space="preserve"> and insurance products online. These digital platforms provide customers with access to financial information, </w:t>
      </w:r>
      <w:r w:rsidRPr="2E8D55B9" w:rsidR="51CDE31F">
        <w:rPr>
          <w:rFonts w:ascii="Arial" w:hAnsi="Arial" w:eastAsia="Arial" w:cs="Arial"/>
          <w:noProof w:val="0"/>
          <w:color w:val="auto"/>
          <w:sz w:val="22"/>
          <w:szCs w:val="22"/>
          <w:lang w:val="en-GB"/>
        </w:rPr>
        <w:t xml:space="preserve">allowing them to </w:t>
      </w:r>
      <w:r w:rsidRPr="2E8D55B9" w:rsidR="51CDE31F">
        <w:rPr>
          <w:rFonts w:ascii="Arial" w:hAnsi="Arial" w:eastAsia="Arial" w:cs="Arial"/>
          <w:noProof w:val="0"/>
          <w:color w:val="auto"/>
          <w:sz w:val="22"/>
          <w:szCs w:val="22"/>
          <w:lang w:val="en-GB"/>
        </w:rPr>
        <w:t>monitor</w:t>
      </w:r>
      <w:r w:rsidRPr="2E8D55B9" w:rsidR="51CDE31F">
        <w:rPr>
          <w:rFonts w:ascii="Arial" w:hAnsi="Arial" w:eastAsia="Arial" w:cs="Arial"/>
          <w:noProof w:val="0"/>
          <w:color w:val="auto"/>
          <w:sz w:val="22"/>
          <w:szCs w:val="22"/>
          <w:lang w:val="en-GB"/>
        </w:rPr>
        <w:t xml:space="preserve"> pension contribution</w:t>
      </w:r>
      <w:r w:rsidRPr="2E8D55B9" w:rsidR="51CDE31F">
        <w:rPr>
          <w:rFonts w:ascii="Arial" w:hAnsi="Arial" w:eastAsia="Arial" w:cs="Arial"/>
          <w:b w:val="0"/>
          <w:bCs w:val="0"/>
          <w:noProof w:val="0"/>
          <w:color w:val="auto"/>
          <w:sz w:val="22"/>
          <w:szCs w:val="22"/>
          <w:lang w:val="en-GB"/>
        </w:rPr>
        <w:t>s, track investment performance and update personal account details through secure online portals. According to the</w:t>
      </w:r>
      <w:r w:rsidRPr="2E8D55B9" w:rsidR="51CDE31F">
        <w:rPr>
          <w:rFonts w:ascii="Arial" w:hAnsi="Arial" w:eastAsia="Arial" w:cs="Arial"/>
          <w:b w:val="0"/>
          <w:bCs w:val="0"/>
          <w:noProof w:val="0"/>
          <w:color w:val="auto"/>
          <w:sz w:val="22"/>
          <w:szCs w:val="22"/>
          <w:lang w:val="en-GB"/>
        </w:rPr>
        <w:t xml:space="preserve"> </w:t>
      </w:r>
      <w:r w:rsidRPr="2E8D55B9" w:rsidR="51CDE31F">
        <w:rPr>
          <w:rFonts w:ascii="Arial" w:hAnsi="Arial" w:eastAsia="Arial" w:cs="Arial"/>
          <w:b w:val="0"/>
          <w:bCs w:val="0"/>
          <w:noProof w:val="0"/>
          <w:color w:val="auto"/>
          <w:sz w:val="22"/>
          <w:szCs w:val="22"/>
          <w:lang w:val="en-GB"/>
        </w:rPr>
        <w:t>L&amp;G</w:t>
      </w:r>
      <w:r w:rsidRPr="2E8D55B9" w:rsidR="09A2E5E1">
        <w:rPr>
          <w:rFonts w:ascii="Arial" w:hAnsi="Arial" w:eastAsia="Arial" w:cs="Arial"/>
          <w:b w:val="0"/>
          <w:bCs w:val="0"/>
          <w:noProof w:val="0"/>
          <w:color w:val="auto"/>
          <w:sz w:val="22"/>
          <w:szCs w:val="22"/>
          <w:lang w:val="en-GB"/>
        </w:rPr>
        <w:t>,</w:t>
      </w:r>
      <w:r w:rsidRPr="2E8D55B9" w:rsidR="51CDE31F">
        <w:rPr>
          <w:rFonts w:ascii="Arial" w:hAnsi="Arial" w:eastAsia="Arial" w:cs="Arial"/>
          <w:b w:val="0"/>
          <w:bCs w:val="0"/>
          <w:noProof w:val="0"/>
          <w:color w:val="auto"/>
          <w:sz w:val="22"/>
          <w:szCs w:val="22"/>
          <w:lang w:val="en-GB"/>
        </w:rPr>
        <w:t xml:space="preserve"> (2024)</w:t>
      </w:r>
      <w:r w:rsidRPr="2E8D55B9" w:rsidR="51CDE31F">
        <w:rPr>
          <w:rFonts w:ascii="Arial" w:hAnsi="Arial" w:eastAsia="Arial" w:cs="Arial"/>
          <w:b w:val="0"/>
          <w:bCs w:val="0"/>
          <w:noProof w:val="0"/>
          <w:color w:val="auto"/>
          <w:sz w:val="22"/>
          <w:szCs w:val="22"/>
          <w:lang w:val="en-GB"/>
        </w:rPr>
        <w:t>,</w:t>
      </w:r>
      <w:r w:rsidRPr="2E8D55B9" w:rsidR="51CDE31F">
        <w:rPr>
          <w:rFonts w:ascii="Arial" w:hAnsi="Arial" w:eastAsia="Arial" w:cs="Arial"/>
          <w:b w:val="0"/>
          <w:bCs w:val="0"/>
          <w:noProof w:val="0"/>
          <w:color w:val="auto"/>
          <w:sz w:val="22"/>
          <w:szCs w:val="22"/>
          <w:lang w:val="en-GB"/>
        </w:rPr>
        <w:t xml:space="preserve"> digital services have become an increa</w:t>
      </w:r>
      <w:r w:rsidRPr="2E8D55B9" w:rsidR="51CDE31F">
        <w:rPr>
          <w:rFonts w:ascii="Arial" w:hAnsi="Arial" w:eastAsia="Arial" w:cs="Arial"/>
          <w:b w:val="0"/>
          <w:bCs w:val="0"/>
          <w:noProof w:val="0"/>
          <w:color w:val="auto"/>
          <w:sz w:val="22"/>
          <w:szCs w:val="22"/>
          <w:lang w:val="en-GB"/>
        </w:rPr>
        <w:t xml:space="preserve">singly </w:t>
      </w:r>
      <w:r w:rsidRPr="2E8D55B9" w:rsidR="1823E11E">
        <w:rPr>
          <w:rFonts w:ascii="Arial" w:hAnsi="Arial" w:eastAsia="Arial" w:cs="Arial"/>
          <w:b w:val="0"/>
          <w:bCs w:val="0"/>
          <w:noProof w:val="0"/>
          <w:color w:val="auto"/>
          <w:sz w:val="22"/>
          <w:szCs w:val="22"/>
          <w:lang w:val="en-GB"/>
        </w:rPr>
        <w:t xml:space="preserve">key </w:t>
      </w:r>
      <w:r w:rsidRPr="2E8D55B9" w:rsidR="1823E11E">
        <w:rPr>
          <w:rFonts w:ascii="Arial" w:hAnsi="Arial" w:eastAsia="Arial" w:cs="Arial"/>
          <w:b w:val="0"/>
          <w:bCs w:val="0"/>
          <w:noProof w:val="0"/>
          <w:color w:val="auto"/>
          <w:sz w:val="22"/>
          <w:szCs w:val="22"/>
          <w:lang w:val="en-GB"/>
        </w:rPr>
        <w:t>component</w:t>
      </w:r>
      <w:r w:rsidRPr="2E8D55B9" w:rsidR="51CDE31F">
        <w:rPr>
          <w:rFonts w:ascii="Arial" w:hAnsi="Arial" w:eastAsia="Arial" w:cs="Arial"/>
          <w:b w:val="0"/>
          <w:bCs w:val="0"/>
          <w:noProof w:val="0"/>
          <w:color w:val="auto"/>
          <w:sz w:val="22"/>
          <w:szCs w:val="22"/>
          <w:lang w:val="en-GB"/>
        </w:rPr>
        <w:t xml:space="preserve"> of</w:t>
      </w:r>
      <w:r w:rsidRPr="2E8D55B9" w:rsidR="51CDE31F">
        <w:rPr>
          <w:rFonts w:ascii="Arial" w:hAnsi="Arial" w:eastAsia="Arial" w:cs="Arial"/>
          <w:b w:val="0"/>
          <w:bCs w:val="0"/>
          <w:noProof w:val="0"/>
          <w:color w:val="auto"/>
          <w:sz w:val="22"/>
          <w:szCs w:val="22"/>
          <w:lang w:val="en-GB"/>
        </w:rPr>
        <w:t xml:space="preserve"> the company’s strategy, as customers incre</w:t>
      </w:r>
      <w:r w:rsidRPr="2E8D55B9" w:rsidR="51CDE31F">
        <w:rPr>
          <w:rFonts w:ascii="Arial" w:hAnsi="Arial" w:eastAsia="Arial" w:cs="Arial"/>
          <w:noProof w:val="0"/>
          <w:color w:val="auto"/>
          <w:sz w:val="22"/>
          <w:szCs w:val="22"/>
          <w:lang w:val="en-GB"/>
        </w:rPr>
        <w:t>asingly expect to manage financial services through digital channels.</w:t>
      </w:r>
    </w:p>
    <w:p w:rsidR="3BDEFC7B" w:rsidP="2E8D55B9" w:rsidRDefault="3BDEFC7B" w14:paraId="44FFE5E9" w14:textId="4BA51726">
      <w:pPr>
        <w:bidi w:val="0"/>
        <w:spacing w:before="240" w:beforeAutospacing="off" w:after="240" w:afterAutospacing="off" w:line="360" w:lineRule="auto"/>
        <w:jc w:val="both"/>
        <w:rPr>
          <w:rFonts w:ascii="Arial" w:hAnsi="Arial" w:eastAsia="Arial" w:cs="Arial"/>
          <w:noProof w:val="0"/>
          <w:color w:val="auto"/>
          <w:sz w:val="22"/>
          <w:szCs w:val="22"/>
          <w:lang w:val="en-GB"/>
        </w:rPr>
      </w:pPr>
      <w:r w:rsidRPr="2E8D55B9" w:rsidR="51CDE31F">
        <w:rPr>
          <w:rFonts w:ascii="Arial" w:hAnsi="Arial" w:eastAsia="Arial" w:cs="Arial"/>
          <w:noProof w:val="0"/>
          <w:color w:val="auto"/>
          <w:sz w:val="22"/>
          <w:szCs w:val="22"/>
          <w:lang w:val="en-GB"/>
        </w:rPr>
        <w:t xml:space="preserve">Core innovation also includes improvements to operational efficiency </w:t>
      </w:r>
      <w:r w:rsidRPr="2E8D55B9" w:rsidR="6D868E15">
        <w:rPr>
          <w:rFonts w:ascii="Arial" w:hAnsi="Arial" w:eastAsia="Arial" w:cs="Arial"/>
          <w:noProof w:val="0"/>
          <w:color w:val="auto"/>
          <w:sz w:val="22"/>
          <w:szCs w:val="22"/>
          <w:lang w:val="en-GB"/>
        </w:rPr>
        <w:t>using</w:t>
      </w:r>
      <w:r w:rsidRPr="2E8D55B9" w:rsidR="51CDE31F">
        <w:rPr>
          <w:rFonts w:ascii="Arial" w:hAnsi="Arial" w:eastAsia="Arial" w:cs="Arial"/>
          <w:noProof w:val="0"/>
          <w:color w:val="auto"/>
          <w:sz w:val="22"/>
          <w:szCs w:val="22"/>
          <w:lang w:val="en-GB"/>
        </w:rPr>
        <w:t xml:space="preserve"> data analytics and automated systems. Digital transformation initiatives have allowed Legal &amp; General to streamline administrative processes, reduce reliance on manual paperwork and improve the overall efficiency of financial service delivery</w:t>
      </w:r>
      <w:r w:rsidRPr="2E8D55B9" w:rsidR="5A357DB1">
        <w:rPr>
          <w:rFonts w:ascii="Arial" w:hAnsi="Arial" w:eastAsia="Arial" w:cs="Arial"/>
          <w:noProof w:val="0"/>
          <w:color w:val="auto"/>
          <w:sz w:val="22"/>
          <w:szCs w:val="22"/>
          <w:lang w:val="en-GB"/>
        </w:rPr>
        <w:t xml:space="preserve">. </w:t>
      </w:r>
      <w:r w:rsidRPr="2E8D55B9" w:rsidR="51CDE31F">
        <w:rPr>
          <w:rFonts w:ascii="Arial" w:hAnsi="Arial" w:eastAsia="Arial" w:cs="Arial"/>
          <w:b w:val="0"/>
          <w:bCs w:val="0"/>
          <w:noProof w:val="0"/>
          <w:color w:val="auto"/>
          <w:sz w:val="22"/>
          <w:szCs w:val="22"/>
          <w:lang w:val="en-GB"/>
        </w:rPr>
        <w:t xml:space="preserve">Westerman, </w:t>
      </w:r>
      <w:r w:rsidRPr="2E8D55B9" w:rsidR="5F00A35C">
        <w:rPr>
          <w:rFonts w:ascii="Arial" w:hAnsi="Arial" w:eastAsia="Arial" w:cs="Arial"/>
          <w:b w:val="0"/>
          <w:bCs w:val="0"/>
          <w:noProof w:val="0"/>
          <w:color w:val="auto"/>
          <w:sz w:val="22"/>
          <w:szCs w:val="22"/>
          <w:lang w:val="en-GB"/>
        </w:rPr>
        <w:t xml:space="preserve">et al, </w:t>
      </w:r>
      <w:r w:rsidRPr="2E8D55B9" w:rsidR="51CDE31F">
        <w:rPr>
          <w:rFonts w:ascii="Arial" w:hAnsi="Arial" w:eastAsia="Arial" w:cs="Arial"/>
          <w:b w:val="0"/>
          <w:bCs w:val="0"/>
          <w:noProof w:val="0"/>
          <w:color w:val="auto"/>
          <w:sz w:val="22"/>
          <w:szCs w:val="22"/>
          <w:lang w:val="en-GB"/>
        </w:rPr>
        <w:t>(2014)</w:t>
      </w:r>
      <w:r w:rsidRPr="2E8D55B9" w:rsidR="51CDE31F">
        <w:rPr>
          <w:rFonts w:ascii="Arial" w:hAnsi="Arial" w:eastAsia="Arial" w:cs="Arial"/>
          <w:b w:val="0"/>
          <w:bCs w:val="0"/>
          <w:noProof w:val="0"/>
          <w:color w:val="auto"/>
          <w:sz w:val="22"/>
          <w:szCs w:val="22"/>
          <w:lang w:val="en-GB"/>
        </w:rPr>
        <w:t xml:space="preserve"> </w:t>
      </w:r>
      <w:r w:rsidRPr="2E8D55B9" w:rsidR="51CDE31F">
        <w:rPr>
          <w:rFonts w:ascii="Arial" w:hAnsi="Arial" w:eastAsia="Arial" w:cs="Arial"/>
          <w:noProof w:val="0"/>
          <w:color w:val="auto"/>
          <w:sz w:val="22"/>
          <w:szCs w:val="22"/>
          <w:lang w:val="en-GB"/>
        </w:rPr>
        <w:t>suggests that organisations that successfully integrate digital technologies into their core business operations often achieve improvements in productivit</w:t>
      </w:r>
      <w:r w:rsidRPr="2E8D55B9" w:rsidR="51CDE31F">
        <w:rPr>
          <w:rFonts w:ascii="Arial" w:hAnsi="Arial" w:eastAsia="Arial" w:cs="Arial"/>
          <w:noProof w:val="0"/>
          <w:color w:val="auto"/>
          <w:sz w:val="22"/>
          <w:szCs w:val="22"/>
          <w:lang w:val="en-GB"/>
        </w:rPr>
        <w:t xml:space="preserve">y, customer </w:t>
      </w:r>
      <w:r w:rsidRPr="2E8D55B9" w:rsidR="6CDA3612">
        <w:rPr>
          <w:rFonts w:ascii="Arial" w:hAnsi="Arial" w:eastAsia="Arial" w:cs="Arial"/>
          <w:noProof w:val="0"/>
          <w:color w:val="auto"/>
          <w:sz w:val="22"/>
          <w:szCs w:val="22"/>
          <w:lang w:val="en-GB"/>
        </w:rPr>
        <w:t>engagement,</w:t>
      </w:r>
      <w:r w:rsidRPr="2E8D55B9" w:rsidR="51CDE31F">
        <w:rPr>
          <w:rFonts w:ascii="Arial" w:hAnsi="Arial" w:eastAsia="Arial" w:cs="Arial"/>
          <w:noProof w:val="0"/>
          <w:color w:val="auto"/>
          <w:sz w:val="22"/>
          <w:szCs w:val="22"/>
          <w:lang w:val="en-GB"/>
        </w:rPr>
        <w:t xml:space="preserve"> and service efficiency.</w:t>
      </w:r>
    </w:p>
    <w:p w:rsidR="5D0BA9EE" w:rsidP="5D0BA9EE" w:rsidRDefault="5D0BA9EE" w14:paraId="0C037294" w14:textId="1AE5D995">
      <w:pPr>
        <w:spacing w:before="240" w:beforeAutospacing="off" w:after="240" w:afterAutospacing="off" w:line="360" w:lineRule="auto"/>
        <w:jc w:val="both"/>
        <w:rPr>
          <w:rFonts w:ascii="Arial" w:hAnsi="Arial" w:eastAsia="Arial" w:cs="Arial"/>
          <w:noProof w:val="0"/>
          <w:color w:val="auto"/>
          <w:sz w:val="22"/>
          <w:szCs w:val="22"/>
          <w:lang w:val="en-GB"/>
        </w:rPr>
      </w:pPr>
      <w:r w:rsidRPr="324F1939" w:rsidR="4796D28C">
        <w:rPr>
          <w:rFonts w:ascii="Arial" w:hAnsi="Arial" w:eastAsia="Arial" w:cs="Arial"/>
          <w:noProof w:val="0"/>
          <w:color w:val="auto"/>
          <w:sz w:val="22"/>
          <w:szCs w:val="22"/>
          <w:lang w:val="en-GB"/>
        </w:rPr>
        <w:t>Furthermore, digital engagement among financial services customers has increased significantly in recent years. According to</w:t>
      </w:r>
      <w:r w:rsidRPr="324F1939" w:rsidR="4796D28C">
        <w:rPr>
          <w:rFonts w:ascii="Arial" w:hAnsi="Arial" w:eastAsia="Arial" w:cs="Arial"/>
          <w:noProof w:val="0"/>
          <w:color w:val="auto"/>
          <w:sz w:val="22"/>
          <w:szCs w:val="22"/>
          <w:lang w:val="en-GB"/>
        </w:rPr>
        <w:t xml:space="preserve"> </w:t>
      </w:r>
      <w:r w:rsidRPr="324F1939" w:rsidR="318C149B">
        <w:rPr>
          <w:rFonts w:ascii="Arial" w:hAnsi="Arial" w:eastAsia="Arial" w:cs="Arial"/>
          <w:noProof w:val="0"/>
          <w:color w:val="auto"/>
          <w:sz w:val="22"/>
          <w:szCs w:val="22"/>
          <w:lang w:val="en-GB"/>
        </w:rPr>
        <w:t>Vention</w:t>
      </w:r>
      <w:r w:rsidRPr="324F1939" w:rsidR="0CA7DD2F">
        <w:rPr>
          <w:rFonts w:ascii="Arial" w:hAnsi="Arial" w:eastAsia="Arial" w:cs="Arial"/>
          <w:b w:val="0"/>
          <w:bCs w:val="0"/>
          <w:noProof w:val="0"/>
          <w:color w:val="auto"/>
          <w:sz w:val="22"/>
          <w:szCs w:val="22"/>
          <w:lang w:val="en-GB"/>
        </w:rPr>
        <w:t>,</w:t>
      </w:r>
      <w:r w:rsidRPr="324F1939" w:rsidR="4796D28C">
        <w:rPr>
          <w:rFonts w:ascii="Arial" w:hAnsi="Arial" w:eastAsia="Arial" w:cs="Arial"/>
          <w:b w:val="0"/>
          <w:bCs w:val="0"/>
          <w:noProof w:val="0"/>
          <w:color w:val="auto"/>
          <w:sz w:val="22"/>
          <w:szCs w:val="22"/>
          <w:lang w:val="en-GB"/>
        </w:rPr>
        <w:t xml:space="preserve"> (202</w:t>
      </w:r>
      <w:r w:rsidRPr="324F1939" w:rsidR="743B52E5">
        <w:rPr>
          <w:rFonts w:ascii="Arial" w:hAnsi="Arial" w:eastAsia="Arial" w:cs="Arial"/>
          <w:b w:val="0"/>
          <w:bCs w:val="0"/>
          <w:noProof w:val="0"/>
          <w:color w:val="auto"/>
          <w:sz w:val="22"/>
          <w:szCs w:val="22"/>
          <w:lang w:val="en-GB"/>
        </w:rPr>
        <w:t>5</w:t>
      </w:r>
      <w:r w:rsidRPr="324F1939" w:rsidR="4796D28C">
        <w:rPr>
          <w:rFonts w:ascii="Arial" w:hAnsi="Arial" w:eastAsia="Arial" w:cs="Arial"/>
          <w:b w:val="0"/>
          <w:bCs w:val="0"/>
          <w:noProof w:val="0"/>
          <w:color w:val="auto"/>
          <w:sz w:val="22"/>
          <w:szCs w:val="22"/>
          <w:lang w:val="en-GB"/>
        </w:rPr>
        <w:t>)</w:t>
      </w:r>
      <w:r w:rsidRPr="324F1939" w:rsidR="4796D28C">
        <w:rPr>
          <w:rFonts w:ascii="Arial" w:hAnsi="Arial" w:eastAsia="Arial" w:cs="Arial"/>
          <w:b w:val="0"/>
          <w:bCs w:val="0"/>
          <w:noProof w:val="0"/>
          <w:color w:val="auto"/>
          <w:sz w:val="22"/>
          <w:szCs w:val="22"/>
          <w:lang w:val="en-GB"/>
        </w:rPr>
        <w:t>,</w:t>
      </w:r>
      <w:r w:rsidRPr="324F1939" w:rsidR="4796D28C">
        <w:rPr>
          <w:rFonts w:ascii="Arial" w:hAnsi="Arial" w:eastAsia="Arial" w:cs="Arial"/>
          <w:noProof w:val="0"/>
          <w:color w:val="auto"/>
          <w:sz w:val="22"/>
          <w:szCs w:val="22"/>
          <w:lang w:val="en-GB"/>
        </w:rPr>
        <w:t xml:space="preserve"> more than </w:t>
      </w:r>
      <w:r w:rsidRPr="324F1939" w:rsidR="0E3AEA82">
        <w:rPr>
          <w:rFonts w:ascii="Arial" w:hAnsi="Arial" w:eastAsia="Arial" w:cs="Arial"/>
          <w:noProof w:val="0"/>
          <w:color w:val="auto"/>
          <w:sz w:val="22"/>
          <w:szCs w:val="22"/>
          <w:lang w:val="en-GB"/>
        </w:rPr>
        <w:t>7</w:t>
      </w:r>
      <w:r w:rsidRPr="324F1939" w:rsidR="4796D28C">
        <w:rPr>
          <w:rFonts w:ascii="Arial" w:hAnsi="Arial" w:eastAsia="Arial" w:cs="Arial"/>
          <w:noProof w:val="0"/>
          <w:color w:val="auto"/>
          <w:sz w:val="22"/>
          <w:szCs w:val="22"/>
          <w:lang w:val="en-GB"/>
        </w:rPr>
        <w:t>0% of UK cons</w:t>
      </w:r>
      <w:r w:rsidRPr="324F1939" w:rsidR="4796D28C">
        <w:rPr>
          <w:rFonts w:ascii="Arial" w:hAnsi="Arial" w:eastAsia="Arial" w:cs="Arial"/>
          <w:noProof w:val="0"/>
          <w:color w:val="auto"/>
          <w:sz w:val="22"/>
          <w:szCs w:val="22"/>
          <w:lang w:val="en-GB"/>
        </w:rPr>
        <w:t xml:space="preserve">umers </w:t>
      </w:r>
      <w:r w:rsidRPr="324F1939" w:rsidR="1258DBA3">
        <w:rPr>
          <w:rFonts w:ascii="Arial" w:hAnsi="Arial" w:eastAsia="Arial" w:cs="Arial"/>
          <w:b w:val="0"/>
          <w:bCs w:val="0"/>
          <w:noProof w:val="0"/>
          <w:color w:val="auto"/>
          <w:sz w:val="22"/>
          <w:szCs w:val="22"/>
          <w:lang w:val="en-GB"/>
        </w:rPr>
        <w:t>extensively use</w:t>
      </w:r>
      <w:r w:rsidRPr="324F1939" w:rsidR="4796D28C">
        <w:rPr>
          <w:rFonts w:ascii="Arial" w:hAnsi="Arial" w:eastAsia="Arial" w:cs="Arial"/>
          <w:b w:val="0"/>
          <w:bCs w:val="0"/>
          <w:noProof w:val="0"/>
          <w:color w:val="auto"/>
          <w:sz w:val="22"/>
          <w:szCs w:val="22"/>
          <w:lang w:val="en-GB"/>
        </w:rPr>
        <w:t xml:space="preserve"> digital financial services, highlighting the i</w:t>
      </w:r>
      <w:r w:rsidRPr="324F1939" w:rsidR="4796D28C">
        <w:rPr>
          <w:rFonts w:ascii="Arial" w:hAnsi="Arial" w:eastAsia="Arial" w:cs="Arial"/>
          <w:b w:val="0"/>
          <w:bCs w:val="0"/>
          <w:noProof w:val="0"/>
          <w:color w:val="auto"/>
          <w:sz w:val="22"/>
          <w:szCs w:val="22"/>
          <w:lang w:val="en-GB"/>
        </w:rPr>
        <w:t xml:space="preserve">mportance of digital platforms for financial institutions. By improving digital pension management platforms and online account services, Legal &amp; General strengthens its ability to meet evolving customer expectations while </w:t>
      </w:r>
      <w:r w:rsidRPr="324F1939" w:rsidR="4796D28C">
        <w:rPr>
          <w:rFonts w:ascii="Arial" w:hAnsi="Arial" w:eastAsia="Arial" w:cs="Arial"/>
          <w:noProof w:val="0"/>
          <w:color w:val="auto"/>
          <w:sz w:val="22"/>
          <w:szCs w:val="22"/>
          <w:lang w:val="en-GB"/>
        </w:rPr>
        <w:t>maintaining</w:t>
      </w:r>
      <w:r w:rsidRPr="324F1939" w:rsidR="4796D28C">
        <w:rPr>
          <w:rFonts w:ascii="Arial" w:hAnsi="Arial" w:eastAsia="Arial" w:cs="Arial"/>
          <w:noProof w:val="0"/>
          <w:color w:val="auto"/>
          <w:sz w:val="22"/>
          <w:szCs w:val="22"/>
          <w:lang w:val="en-GB"/>
        </w:rPr>
        <w:t xml:space="preserve"> operational efficiency.</w:t>
      </w:r>
    </w:p>
    <w:p w:rsidR="08C23CF7" w:rsidP="276A68DE" w:rsidRDefault="08C23CF7" w14:paraId="28FB97C1" w14:textId="220F5E7F">
      <w:pPr>
        <w:bidi w:val="0"/>
        <w:spacing w:before="240" w:beforeAutospacing="off" w:after="240" w:afterAutospacing="off" w:line="360" w:lineRule="auto"/>
        <w:jc w:val="both"/>
        <w:rPr>
          <w:rFonts w:ascii="Arial" w:hAnsi="Arial" w:eastAsia="Arial" w:cs="Arial"/>
          <w:noProof w:val="0"/>
          <w:color w:val="auto"/>
          <w:sz w:val="22"/>
          <w:szCs w:val="22"/>
          <w:lang w:val="en-GB"/>
        </w:rPr>
      </w:pPr>
      <w:r w:rsidRPr="276A68DE" w:rsidR="08C23CF7">
        <w:rPr>
          <w:rFonts w:ascii="Arial" w:hAnsi="Arial" w:eastAsia="Arial" w:cs="Arial"/>
          <w:noProof w:val="0"/>
          <w:color w:val="auto"/>
          <w:sz w:val="22"/>
          <w:szCs w:val="22"/>
          <w:lang w:val="en-GB"/>
        </w:rPr>
        <w:t>Figure 5: percentage using online bankin</w:t>
      </w:r>
      <w:r w:rsidRPr="276A68DE" w:rsidR="525261D5">
        <w:rPr>
          <w:rFonts w:ascii="Arial" w:hAnsi="Arial" w:eastAsia="Arial" w:cs="Arial"/>
          <w:noProof w:val="0"/>
          <w:color w:val="auto"/>
          <w:sz w:val="22"/>
          <w:szCs w:val="22"/>
          <w:lang w:val="en-GB"/>
        </w:rPr>
        <w:t>g</w:t>
      </w:r>
    </w:p>
    <w:p w:rsidR="7B68A93E" w:rsidP="2E8D55B9" w:rsidRDefault="7B68A93E" w14:paraId="13038940" w14:textId="47BE3411">
      <w:pPr>
        <w:pStyle w:val="Normal"/>
        <w:bidi w:val="0"/>
        <w:spacing w:before="240" w:beforeAutospacing="off" w:after="240" w:afterAutospacing="off" w:line="360" w:lineRule="auto"/>
        <w:jc w:val="both"/>
        <w:rPr>
          <w:rFonts w:ascii="Arial" w:hAnsi="Arial" w:eastAsia="Arial" w:cs="Arial"/>
          <w:noProof w:val="0"/>
          <w:color w:val="auto"/>
          <w:sz w:val="22"/>
          <w:szCs w:val="22"/>
          <w:lang w:val="en-GB"/>
        </w:rPr>
      </w:pPr>
      <w:r w:rsidR="7B68A93E">
        <w:drawing>
          <wp:inline wp14:editId="0B0F24C7" wp14:anchorId="2A5DFC1D">
            <wp:extent cx="2984227" cy="1133975"/>
            <wp:effectExtent l="0" t="0" r="0" b="0"/>
            <wp:docPr id="8456523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45652303" name="Picture 845652303"/>
                    <pic:cNvPicPr/>
                  </pic:nvPicPr>
                  <pic:blipFill>
                    <a:blip xmlns:r="http://schemas.openxmlformats.org/officeDocument/2006/relationships" r:embed="rId1564387101">
                      <a:extLst>
                        <a:ext uri="{28A0092B-C50C-407E-A947-70E740481C1C}">
                          <a14:useLocalDpi xmlns:a14="http://schemas.microsoft.com/office/drawing/2010/main"/>
                        </a:ext>
                      </a:extLst>
                    </a:blip>
                    <a:stretch>
                      <a:fillRect/>
                    </a:stretch>
                  </pic:blipFill>
                  <pic:spPr>
                    <a:xfrm rot="0">
                      <a:off x="0" y="0"/>
                      <a:ext cx="2984227" cy="1133975"/>
                    </a:xfrm>
                    <a:prstGeom prst="rect">
                      <a:avLst/>
                    </a:prstGeom>
                  </pic:spPr>
                </pic:pic>
              </a:graphicData>
            </a:graphic>
          </wp:inline>
        </w:drawing>
      </w:r>
    </w:p>
    <w:p w:rsidR="3BDEFC7B" w:rsidP="2E8D55B9" w:rsidRDefault="3BDEFC7B" w14:paraId="07368422" w14:textId="4CB68BFC">
      <w:pPr>
        <w:pStyle w:val="Heading3"/>
        <w:bidi w:val="0"/>
        <w:spacing w:before="281" w:beforeAutospacing="off" w:after="281" w:afterAutospacing="off" w:line="360" w:lineRule="auto"/>
        <w:jc w:val="both"/>
        <w:rPr>
          <w:rFonts w:ascii="Arial" w:hAnsi="Arial" w:eastAsia="Arial" w:cs="Arial"/>
          <w:b w:val="1"/>
          <w:bCs w:val="1"/>
          <w:noProof w:val="0"/>
          <w:color w:val="auto"/>
          <w:sz w:val="22"/>
          <w:szCs w:val="22"/>
          <w:lang w:val="en-GB"/>
        </w:rPr>
      </w:pPr>
      <w:bookmarkStart w:name="_Toc1099942294" w:id="50702774"/>
      <w:r w:rsidRPr="324F1939" w:rsidR="079B48F3">
        <w:rPr>
          <w:rFonts w:ascii="Arial" w:hAnsi="Arial" w:eastAsia="Arial" w:cs="Arial"/>
          <w:b w:val="1"/>
          <w:bCs w:val="1"/>
          <w:noProof w:val="0"/>
          <w:color w:val="auto"/>
          <w:sz w:val="22"/>
          <w:szCs w:val="22"/>
          <w:lang w:val="en-GB"/>
        </w:rPr>
        <w:t>Adjacent Innovation</w:t>
      </w:r>
      <w:bookmarkEnd w:id="50702774"/>
    </w:p>
    <w:p w:rsidR="3BDEFC7B" w:rsidP="2E8D55B9" w:rsidRDefault="3BDEFC7B" w14:paraId="53EAB145" w14:textId="06D35FAC">
      <w:pPr>
        <w:bidi w:val="0"/>
        <w:spacing w:before="240" w:beforeAutospacing="off" w:after="240" w:afterAutospacing="off" w:line="360" w:lineRule="auto"/>
        <w:jc w:val="both"/>
        <w:rPr>
          <w:rFonts w:ascii="Arial" w:hAnsi="Arial" w:eastAsia="Arial" w:cs="Arial"/>
          <w:noProof w:val="0"/>
          <w:color w:val="auto"/>
          <w:sz w:val="22"/>
          <w:szCs w:val="22"/>
          <w:lang w:val="en-GB"/>
        </w:rPr>
      </w:pPr>
      <w:r w:rsidRPr="2E8D55B9" w:rsidR="51CDE31F">
        <w:rPr>
          <w:rFonts w:ascii="Arial" w:hAnsi="Arial" w:eastAsia="Arial" w:cs="Arial"/>
          <w:b w:val="0"/>
          <w:bCs w:val="0"/>
          <w:noProof w:val="0"/>
          <w:color w:val="auto"/>
          <w:sz w:val="22"/>
          <w:szCs w:val="22"/>
          <w:lang w:val="en-GB"/>
        </w:rPr>
        <w:t xml:space="preserve">In addition to core innovation, Legal &amp; General has also engaged in </w:t>
      </w:r>
      <w:r w:rsidRPr="2E8D55B9" w:rsidR="51CDE31F">
        <w:rPr>
          <w:rFonts w:ascii="Arial" w:hAnsi="Arial" w:eastAsia="Arial" w:cs="Arial"/>
          <w:b w:val="0"/>
          <w:bCs w:val="0"/>
          <w:noProof w:val="0"/>
          <w:color w:val="auto"/>
          <w:sz w:val="22"/>
          <w:szCs w:val="22"/>
          <w:lang w:val="en-GB"/>
        </w:rPr>
        <w:t>adjacent innovation</w:t>
      </w:r>
      <w:r w:rsidRPr="2E8D55B9" w:rsidR="51CDE31F">
        <w:rPr>
          <w:rFonts w:ascii="Arial" w:hAnsi="Arial" w:eastAsia="Arial" w:cs="Arial"/>
          <w:b w:val="0"/>
          <w:bCs w:val="0"/>
          <w:noProof w:val="0"/>
          <w:color w:val="auto"/>
          <w:sz w:val="22"/>
          <w:szCs w:val="22"/>
          <w:lang w:val="en-GB"/>
        </w:rPr>
        <w:t>, which involves</w:t>
      </w:r>
      <w:r w:rsidRPr="2E8D55B9" w:rsidR="51CDE31F">
        <w:rPr>
          <w:rFonts w:ascii="Arial" w:hAnsi="Arial" w:eastAsia="Arial" w:cs="Arial"/>
          <w:noProof w:val="0"/>
          <w:color w:val="auto"/>
          <w:sz w:val="22"/>
          <w:szCs w:val="22"/>
          <w:lang w:val="en-GB"/>
        </w:rPr>
        <w:t xml:space="preserve"> expanding existing capabilities into new areas that complement its traditional services. Adjacent innovation allows organisations to </w:t>
      </w:r>
      <w:r w:rsidRPr="2E8D55B9" w:rsidR="51CDE31F">
        <w:rPr>
          <w:rFonts w:ascii="Arial" w:hAnsi="Arial" w:eastAsia="Arial" w:cs="Arial"/>
          <w:noProof w:val="0"/>
          <w:color w:val="auto"/>
          <w:sz w:val="22"/>
          <w:szCs w:val="22"/>
          <w:lang w:val="en-GB"/>
        </w:rPr>
        <w:t>leverage</w:t>
      </w:r>
      <w:r w:rsidRPr="2E8D55B9" w:rsidR="51CDE31F">
        <w:rPr>
          <w:rFonts w:ascii="Arial" w:hAnsi="Arial" w:eastAsia="Arial" w:cs="Arial"/>
          <w:noProof w:val="0"/>
          <w:color w:val="auto"/>
          <w:sz w:val="22"/>
          <w:szCs w:val="22"/>
          <w:lang w:val="en-GB"/>
        </w:rPr>
        <w:t xml:space="preserve"> existing </w:t>
      </w:r>
      <w:r w:rsidRPr="2E8D55B9" w:rsidR="51CDE31F">
        <w:rPr>
          <w:rFonts w:ascii="Arial" w:hAnsi="Arial" w:eastAsia="Arial" w:cs="Arial"/>
          <w:noProof w:val="0"/>
          <w:color w:val="auto"/>
          <w:sz w:val="22"/>
          <w:szCs w:val="22"/>
          <w:lang w:val="en-GB"/>
        </w:rPr>
        <w:t>expertise</w:t>
      </w:r>
      <w:r w:rsidRPr="2E8D55B9" w:rsidR="51CDE31F">
        <w:rPr>
          <w:rFonts w:ascii="Arial" w:hAnsi="Arial" w:eastAsia="Arial" w:cs="Arial"/>
          <w:noProof w:val="0"/>
          <w:color w:val="auto"/>
          <w:sz w:val="22"/>
          <w:szCs w:val="22"/>
          <w:lang w:val="en-GB"/>
        </w:rPr>
        <w:t xml:space="preserve"> while exploring new opportunities for growth.</w:t>
      </w:r>
    </w:p>
    <w:p w:rsidR="3BDEFC7B" w:rsidP="2E8D55B9" w:rsidRDefault="3BDEFC7B" w14:paraId="45D23917" w14:textId="4FB1FAFE">
      <w:pPr>
        <w:bidi w:val="0"/>
        <w:spacing w:before="240" w:beforeAutospacing="off" w:after="240" w:afterAutospacing="off" w:line="360" w:lineRule="auto"/>
        <w:jc w:val="both"/>
        <w:rPr>
          <w:rFonts w:ascii="Arial" w:hAnsi="Arial" w:eastAsia="Arial" w:cs="Arial"/>
          <w:noProof w:val="0"/>
          <w:color w:val="auto"/>
          <w:sz w:val="22"/>
          <w:szCs w:val="22"/>
          <w:lang w:val="en-GB"/>
        </w:rPr>
      </w:pPr>
      <w:r w:rsidRPr="2E8D55B9" w:rsidR="079B48F3">
        <w:rPr>
          <w:rFonts w:ascii="Arial" w:hAnsi="Arial" w:eastAsia="Arial" w:cs="Arial"/>
          <w:noProof w:val="0"/>
          <w:color w:val="auto"/>
          <w:sz w:val="22"/>
          <w:szCs w:val="22"/>
          <w:lang w:val="en-GB"/>
        </w:rPr>
        <w:t xml:space="preserve">One example of adjacent innovation is the development of digital retirement planning tools and financial wellbeing services. These tools provide customers with interactive retirement calculators, investment projections and educational resources designed to help individuals understand their financial position and plan effectively for retirement. </w:t>
      </w:r>
      <w:r w:rsidRPr="2E8D55B9" w:rsidR="20D7115C">
        <w:rPr>
          <w:rFonts w:ascii="Arial" w:hAnsi="Arial" w:eastAsia="Arial" w:cs="Arial"/>
          <w:noProof w:val="0"/>
          <w:color w:val="auto"/>
          <w:sz w:val="22"/>
          <w:szCs w:val="22"/>
          <w:lang w:val="en-GB"/>
        </w:rPr>
        <w:t>F</w:t>
      </w:r>
      <w:r w:rsidRPr="2E8D55B9" w:rsidR="079B48F3">
        <w:rPr>
          <w:rFonts w:ascii="Arial" w:hAnsi="Arial" w:eastAsia="Arial" w:cs="Arial"/>
          <w:noProof w:val="0"/>
          <w:color w:val="auto"/>
          <w:sz w:val="22"/>
          <w:szCs w:val="22"/>
          <w:lang w:val="en-GB"/>
        </w:rPr>
        <w:t>inancial institutions are increasingly investing in financial wellbeing platforms as customers seek greater support in managing long-term financial planning.</w:t>
      </w:r>
    </w:p>
    <w:p w:rsidR="3BDEFC7B" w:rsidP="2E8D55B9" w:rsidRDefault="3BDEFC7B" w14:paraId="44577AF0" w14:textId="7DC7DC51">
      <w:pPr>
        <w:bidi w:val="0"/>
        <w:spacing w:before="240" w:beforeAutospacing="off" w:after="240" w:afterAutospacing="off" w:line="360" w:lineRule="auto"/>
        <w:jc w:val="both"/>
        <w:rPr>
          <w:rFonts w:ascii="Arial" w:hAnsi="Arial" w:eastAsia="Arial" w:cs="Arial"/>
          <w:noProof w:val="0"/>
          <w:color w:val="auto"/>
          <w:sz w:val="22"/>
          <w:szCs w:val="22"/>
          <w:lang w:val="en-GB"/>
        </w:rPr>
      </w:pPr>
      <w:r w:rsidRPr="2E8D55B9" w:rsidR="51CDE31F">
        <w:rPr>
          <w:rFonts w:ascii="Arial" w:hAnsi="Arial" w:eastAsia="Arial" w:cs="Arial"/>
          <w:noProof w:val="0"/>
          <w:color w:val="auto"/>
          <w:sz w:val="22"/>
          <w:szCs w:val="22"/>
          <w:lang w:val="en-GB"/>
        </w:rPr>
        <w:t>The expansion of financial education and retirement planning services also reflects broader changes in consumer behaviour</w:t>
      </w:r>
      <w:r w:rsidRPr="2E8D55B9" w:rsidR="51CDE31F">
        <w:rPr>
          <w:rFonts w:ascii="Arial" w:hAnsi="Arial" w:eastAsia="Arial" w:cs="Arial"/>
          <w:noProof w:val="0"/>
          <w:color w:val="auto"/>
          <w:sz w:val="22"/>
          <w:szCs w:val="22"/>
          <w:lang w:val="en-GB"/>
        </w:rPr>
        <w:t xml:space="preserve">. </w:t>
      </w:r>
      <w:r w:rsidRPr="2E8D55B9" w:rsidR="51CDE31F">
        <w:rPr>
          <w:rFonts w:ascii="Arial" w:hAnsi="Arial" w:eastAsia="Arial" w:cs="Arial"/>
          <w:b w:val="0"/>
          <w:bCs w:val="0"/>
          <w:noProof w:val="0"/>
          <w:color w:val="auto"/>
          <w:sz w:val="22"/>
          <w:szCs w:val="22"/>
          <w:lang w:val="en-GB"/>
        </w:rPr>
        <w:t>Lusardi</w:t>
      </w:r>
      <w:r w:rsidRPr="2E8D55B9" w:rsidR="35354304">
        <w:rPr>
          <w:rFonts w:ascii="Arial" w:hAnsi="Arial" w:eastAsia="Arial" w:cs="Arial"/>
          <w:b w:val="0"/>
          <w:bCs w:val="0"/>
          <w:noProof w:val="0"/>
          <w:color w:val="auto"/>
          <w:sz w:val="22"/>
          <w:szCs w:val="22"/>
          <w:lang w:val="en-GB"/>
        </w:rPr>
        <w:t xml:space="preserve">, &amp; </w:t>
      </w:r>
      <w:r w:rsidRPr="2E8D55B9" w:rsidR="51CDE31F">
        <w:rPr>
          <w:rFonts w:ascii="Arial" w:hAnsi="Arial" w:eastAsia="Arial" w:cs="Arial"/>
          <w:b w:val="0"/>
          <w:bCs w:val="0"/>
          <w:noProof w:val="0"/>
          <w:color w:val="auto"/>
          <w:sz w:val="22"/>
          <w:szCs w:val="22"/>
          <w:lang w:val="en-GB"/>
        </w:rPr>
        <w:t>Mitchell</w:t>
      </w:r>
      <w:r w:rsidRPr="2E8D55B9" w:rsidR="07D3B2E0">
        <w:rPr>
          <w:rFonts w:ascii="Arial" w:hAnsi="Arial" w:eastAsia="Arial" w:cs="Arial"/>
          <w:b w:val="0"/>
          <w:bCs w:val="0"/>
          <w:noProof w:val="0"/>
          <w:color w:val="auto"/>
          <w:sz w:val="22"/>
          <w:szCs w:val="22"/>
          <w:lang w:val="en-GB"/>
        </w:rPr>
        <w:t xml:space="preserve">, </w:t>
      </w:r>
      <w:r w:rsidRPr="2E8D55B9" w:rsidR="51CDE31F">
        <w:rPr>
          <w:rFonts w:ascii="Arial" w:hAnsi="Arial" w:eastAsia="Arial" w:cs="Arial"/>
          <w:b w:val="0"/>
          <w:bCs w:val="0"/>
          <w:noProof w:val="0"/>
          <w:color w:val="auto"/>
          <w:sz w:val="22"/>
          <w:szCs w:val="22"/>
          <w:lang w:val="en-GB"/>
        </w:rPr>
        <w:t>(2017)</w:t>
      </w:r>
      <w:r w:rsidRPr="2E8D55B9" w:rsidR="51CDE31F">
        <w:rPr>
          <w:rFonts w:ascii="Arial" w:hAnsi="Arial" w:eastAsia="Arial" w:cs="Arial"/>
          <w:b w:val="0"/>
          <w:bCs w:val="0"/>
          <w:noProof w:val="0"/>
          <w:color w:val="auto"/>
          <w:sz w:val="22"/>
          <w:szCs w:val="22"/>
          <w:lang w:val="en-GB"/>
        </w:rPr>
        <w:t xml:space="preserve"> </w:t>
      </w:r>
      <w:r w:rsidRPr="2E8D55B9" w:rsidR="1FF9D208">
        <w:rPr>
          <w:rFonts w:ascii="Arial" w:hAnsi="Arial" w:eastAsia="Arial" w:cs="Arial"/>
          <w:b w:val="0"/>
          <w:bCs w:val="0"/>
          <w:noProof w:val="0"/>
          <w:color w:val="auto"/>
          <w:sz w:val="22"/>
          <w:szCs w:val="22"/>
          <w:lang w:val="en-GB"/>
        </w:rPr>
        <w:t>states</w:t>
      </w:r>
      <w:r w:rsidRPr="2E8D55B9" w:rsidR="51CDE31F">
        <w:rPr>
          <w:rFonts w:ascii="Arial" w:hAnsi="Arial" w:eastAsia="Arial" w:cs="Arial"/>
          <w:b w:val="0"/>
          <w:bCs w:val="0"/>
          <w:noProof w:val="0"/>
          <w:color w:val="auto"/>
          <w:sz w:val="22"/>
          <w:szCs w:val="22"/>
          <w:lang w:val="en-GB"/>
        </w:rPr>
        <w:t xml:space="preserve"> </w:t>
      </w:r>
      <w:r w:rsidRPr="2E8D55B9" w:rsidR="51CDE31F">
        <w:rPr>
          <w:rFonts w:ascii="Arial" w:hAnsi="Arial" w:eastAsia="Arial" w:cs="Arial"/>
          <w:b w:val="0"/>
          <w:bCs w:val="0"/>
          <w:noProof w:val="0"/>
          <w:color w:val="auto"/>
          <w:sz w:val="22"/>
          <w:szCs w:val="22"/>
          <w:lang w:val="en-GB"/>
        </w:rPr>
        <w:t>that many individuals struggle with long-term financial planning due to limited financial literacy. As a result, financial institutions are increasingly providing digital tools that simplify financial information and support better financial decision-making.</w:t>
      </w:r>
    </w:p>
    <w:p w:rsidR="3BDEFC7B" w:rsidP="2E8D55B9" w:rsidRDefault="3BDEFC7B" w14:paraId="61D6C564" w14:textId="17A39213">
      <w:pPr>
        <w:bidi w:val="0"/>
        <w:spacing w:before="240" w:beforeAutospacing="off" w:after="240" w:afterAutospacing="off" w:line="360" w:lineRule="auto"/>
        <w:jc w:val="both"/>
        <w:rPr>
          <w:rFonts w:ascii="Arial" w:hAnsi="Arial" w:eastAsia="Arial" w:cs="Arial"/>
          <w:noProof w:val="0"/>
          <w:color w:val="auto"/>
          <w:sz w:val="22"/>
          <w:szCs w:val="22"/>
          <w:lang w:val="en-GB"/>
        </w:rPr>
      </w:pPr>
      <w:r w:rsidRPr="2E8D55B9" w:rsidR="079B48F3">
        <w:rPr>
          <w:rFonts w:ascii="Arial" w:hAnsi="Arial" w:eastAsia="Arial" w:cs="Arial"/>
          <w:b w:val="0"/>
          <w:bCs w:val="0"/>
          <w:noProof w:val="0"/>
          <w:color w:val="auto"/>
          <w:sz w:val="22"/>
          <w:szCs w:val="22"/>
          <w:lang w:val="en-GB"/>
        </w:rPr>
        <w:t xml:space="preserve">Legal &amp; General has also expanded its services into institutional investment and sustainable investment strategies, which represent </w:t>
      </w:r>
      <w:r w:rsidRPr="2E8D55B9" w:rsidR="079B48F3">
        <w:rPr>
          <w:rFonts w:ascii="Arial" w:hAnsi="Arial" w:eastAsia="Arial" w:cs="Arial"/>
          <w:noProof w:val="0"/>
          <w:color w:val="auto"/>
          <w:sz w:val="22"/>
          <w:szCs w:val="22"/>
          <w:lang w:val="en-GB"/>
        </w:rPr>
        <w:t>additional</w:t>
      </w:r>
      <w:r w:rsidRPr="2E8D55B9" w:rsidR="079B48F3">
        <w:rPr>
          <w:rFonts w:ascii="Arial" w:hAnsi="Arial" w:eastAsia="Arial" w:cs="Arial"/>
          <w:noProof w:val="0"/>
          <w:color w:val="auto"/>
          <w:sz w:val="22"/>
          <w:szCs w:val="22"/>
          <w:lang w:val="en-GB"/>
        </w:rPr>
        <w:t xml:space="preserve"> areas of adjacent innovation. The organisation has increasingly focused on responsible investment strategies and environmental, social and governance (ESG) initiatives</w:t>
      </w:r>
      <w:r w:rsidRPr="2E8D55B9" w:rsidR="7FAA840A">
        <w:rPr>
          <w:rFonts w:ascii="Arial" w:hAnsi="Arial" w:eastAsia="Arial" w:cs="Arial"/>
          <w:noProof w:val="0"/>
          <w:color w:val="auto"/>
          <w:sz w:val="22"/>
          <w:szCs w:val="22"/>
          <w:lang w:val="en-GB"/>
        </w:rPr>
        <w:t>.</w:t>
      </w:r>
      <w:r w:rsidRPr="2E8D55B9" w:rsidR="079B48F3">
        <w:rPr>
          <w:rFonts w:ascii="Arial" w:hAnsi="Arial" w:eastAsia="Arial" w:cs="Arial"/>
          <w:noProof w:val="0"/>
          <w:color w:val="auto"/>
          <w:sz w:val="22"/>
          <w:szCs w:val="22"/>
          <w:lang w:val="en-GB"/>
        </w:rPr>
        <w:t xml:space="preserve"> According to the </w:t>
      </w:r>
      <w:r w:rsidRPr="2E8D55B9" w:rsidR="079B48F3">
        <w:rPr>
          <w:rFonts w:ascii="Arial" w:hAnsi="Arial" w:eastAsia="Arial" w:cs="Arial"/>
          <w:noProof w:val="0"/>
          <w:color w:val="auto"/>
          <w:sz w:val="22"/>
          <w:szCs w:val="22"/>
          <w:lang w:val="en-GB"/>
        </w:rPr>
        <w:t>L&amp;G</w:t>
      </w:r>
      <w:r w:rsidRPr="2E8D55B9" w:rsidR="17433DF7">
        <w:rPr>
          <w:rFonts w:ascii="Arial" w:hAnsi="Arial" w:eastAsia="Arial" w:cs="Arial"/>
          <w:noProof w:val="0"/>
          <w:color w:val="auto"/>
          <w:sz w:val="22"/>
          <w:szCs w:val="22"/>
          <w:lang w:val="en-GB"/>
        </w:rPr>
        <w:t>,</w:t>
      </w:r>
      <w:r w:rsidRPr="2E8D55B9" w:rsidR="079B48F3">
        <w:rPr>
          <w:rFonts w:ascii="Arial" w:hAnsi="Arial" w:eastAsia="Arial" w:cs="Arial"/>
          <w:noProof w:val="0"/>
          <w:color w:val="auto"/>
          <w:sz w:val="22"/>
          <w:szCs w:val="22"/>
          <w:lang w:val="en-GB"/>
        </w:rPr>
        <w:t xml:space="preserve"> (202</w:t>
      </w:r>
      <w:r w:rsidRPr="2E8D55B9" w:rsidR="079B48F3">
        <w:rPr>
          <w:rFonts w:ascii="Arial" w:hAnsi="Arial" w:eastAsia="Arial" w:cs="Arial"/>
          <w:noProof w:val="0"/>
          <w:color w:val="auto"/>
          <w:sz w:val="22"/>
          <w:szCs w:val="22"/>
          <w:lang w:val="en-GB"/>
        </w:rPr>
        <w:t>4)</w:t>
      </w:r>
      <w:r w:rsidRPr="2E8D55B9" w:rsidR="079B48F3">
        <w:rPr>
          <w:rFonts w:ascii="Arial" w:hAnsi="Arial" w:eastAsia="Arial" w:cs="Arial"/>
          <w:noProof w:val="0"/>
          <w:color w:val="auto"/>
          <w:sz w:val="22"/>
          <w:szCs w:val="22"/>
          <w:lang w:val="en-GB"/>
        </w:rPr>
        <w:t>,</w:t>
      </w:r>
      <w:r w:rsidRPr="2E8D55B9" w:rsidR="079B48F3">
        <w:rPr>
          <w:rFonts w:ascii="Arial" w:hAnsi="Arial" w:eastAsia="Arial" w:cs="Arial"/>
          <w:noProof w:val="0"/>
          <w:color w:val="auto"/>
          <w:sz w:val="22"/>
          <w:szCs w:val="22"/>
          <w:lang w:val="en-GB"/>
        </w:rPr>
        <w:t xml:space="preserve"> sustainable investment strategies are becoming increasingly important for institutional investors, reflecting growing demand for responsible financial products.</w:t>
      </w:r>
    </w:p>
    <w:p w:rsidR="3BDEFC7B" w:rsidP="2E8D55B9" w:rsidRDefault="3BDEFC7B" w14:paraId="29248880" w14:textId="760E36D2">
      <w:pPr>
        <w:pStyle w:val="Heading3"/>
        <w:bidi w:val="0"/>
        <w:spacing w:before="281" w:beforeAutospacing="off" w:after="281" w:afterAutospacing="off" w:line="360" w:lineRule="auto"/>
        <w:jc w:val="both"/>
        <w:rPr>
          <w:rFonts w:ascii="Arial" w:hAnsi="Arial" w:eastAsia="Arial" w:cs="Arial"/>
          <w:b w:val="1"/>
          <w:bCs w:val="1"/>
          <w:noProof w:val="0"/>
          <w:color w:val="auto"/>
          <w:sz w:val="22"/>
          <w:szCs w:val="22"/>
          <w:lang w:val="en-GB"/>
        </w:rPr>
      </w:pPr>
      <w:bookmarkStart w:name="_Toc903483887" w:id="728188732"/>
      <w:r w:rsidRPr="324F1939" w:rsidR="079B48F3">
        <w:rPr>
          <w:rFonts w:ascii="Arial" w:hAnsi="Arial" w:eastAsia="Arial" w:cs="Arial"/>
          <w:b w:val="1"/>
          <w:bCs w:val="1"/>
          <w:noProof w:val="0"/>
          <w:color w:val="auto"/>
          <w:sz w:val="22"/>
          <w:szCs w:val="22"/>
          <w:lang w:val="en-GB"/>
        </w:rPr>
        <w:t>Transformational Innovation</w:t>
      </w:r>
      <w:bookmarkEnd w:id="728188732"/>
    </w:p>
    <w:p w:rsidR="3BDEFC7B" w:rsidP="2E8D55B9" w:rsidRDefault="3BDEFC7B" w14:paraId="402117C0" w14:textId="22FA8B7A">
      <w:pPr>
        <w:bidi w:val="0"/>
        <w:spacing w:before="240" w:beforeAutospacing="off" w:after="240" w:afterAutospacing="off" w:line="360" w:lineRule="auto"/>
        <w:jc w:val="both"/>
        <w:rPr>
          <w:rFonts w:ascii="Arial" w:hAnsi="Arial" w:eastAsia="Arial" w:cs="Arial"/>
          <w:noProof w:val="0"/>
          <w:color w:val="auto"/>
          <w:sz w:val="22"/>
          <w:szCs w:val="22"/>
          <w:lang w:val="en-GB"/>
        </w:rPr>
      </w:pPr>
      <w:r w:rsidRPr="2E8D55B9" w:rsidR="51CDE31F">
        <w:rPr>
          <w:rFonts w:ascii="Arial" w:hAnsi="Arial" w:eastAsia="Arial" w:cs="Arial"/>
          <w:noProof w:val="0"/>
          <w:color w:val="auto"/>
          <w:sz w:val="22"/>
          <w:szCs w:val="22"/>
          <w:lang w:val="en-GB"/>
        </w:rPr>
        <w:t xml:space="preserve">Although Legal &amp; General </w:t>
      </w:r>
      <w:r w:rsidRPr="2E8D55B9" w:rsidR="51CDE31F">
        <w:rPr>
          <w:rFonts w:ascii="Arial" w:hAnsi="Arial" w:eastAsia="Arial" w:cs="Arial"/>
          <w:noProof w:val="0"/>
          <w:color w:val="auto"/>
          <w:sz w:val="22"/>
          <w:szCs w:val="22"/>
          <w:lang w:val="en-GB"/>
        </w:rPr>
        <w:t>demonstrates</w:t>
      </w:r>
      <w:r w:rsidRPr="2E8D55B9" w:rsidR="51CDE31F">
        <w:rPr>
          <w:rFonts w:ascii="Arial" w:hAnsi="Arial" w:eastAsia="Arial" w:cs="Arial"/>
          <w:noProof w:val="0"/>
          <w:color w:val="auto"/>
          <w:sz w:val="22"/>
          <w:szCs w:val="22"/>
          <w:lang w:val="en-GB"/>
        </w:rPr>
        <w:t xml:space="preserve"> </w:t>
      </w:r>
      <w:r w:rsidRPr="2E8D55B9" w:rsidR="244EA288">
        <w:rPr>
          <w:rFonts w:ascii="Arial" w:hAnsi="Arial" w:eastAsia="Arial" w:cs="Arial"/>
          <w:noProof w:val="0"/>
          <w:color w:val="auto"/>
          <w:sz w:val="22"/>
          <w:szCs w:val="22"/>
          <w:lang w:val="en-GB"/>
        </w:rPr>
        <w:t>powerful performance</w:t>
      </w:r>
      <w:r w:rsidRPr="2E8D55B9" w:rsidR="51CDE31F">
        <w:rPr>
          <w:rFonts w:ascii="Arial" w:hAnsi="Arial" w:eastAsia="Arial" w:cs="Arial"/>
          <w:noProof w:val="0"/>
          <w:color w:val="auto"/>
          <w:sz w:val="22"/>
          <w:szCs w:val="22"/>
          <w:lang w:val="en-GB"/>
        </w:rPr>
        <w:t xml:space="preserve"> in core and adjacent innovation, there </w:t>
      </w:r>
      <w:r w:rsidRPr="2E8D55B9" w:rsidR="51CDE31F">
        <w:rPr>
          <w:rFonts w:ascii="Arial" w:hAnsi="Arial" w:eastAsia="Arial" w:cs="Arial"/>
          <w:noProof w:val="0"/>
          <w:color w:val="auto"/>
          <w:sz w:val="22"/>
          <w:szCs w:val="22"/>
          <w:lang w:val="en-GB"/>
        </w:rPr>
        <w:t>remain</w:t>
      </w:r>
      <w:r w:rsidRPr="2E8D55B9" w:rsidR="51CDE31F">
        <w:rPr>
          <w:rFonts w:ascii="Arial" w:hAnsi="Arial" w:eastAsia="Arial" w:cs="Arial"/>
          <w:noProof w:val="0"/>
          <w:color w:val="auto"/>
          <w:sz w:val="22"/>
          <w:szCs w:val="22"/>
          <w:lang w:val="en-GB"/>
        </w:rPr>
        <w:t xml:space="preserve"> significant opportunities fo</w:t>
      </w:r>
      <w:r w:rsidRPr="2E8D55B9" w:rsidR="51CDE31F">
        <w:rPr>
          <w:rFonts w:ascii="Arial" w:hAnsi="Arial" w:eastAsia="Arial" w:cs="Arial"/>
          <w:b w:val="0"/>
          <w:bCs w:val="0"/>
          <w:noProof w:val="0"/>
          <w:color w:val="auto"/>
          <w:sz w:val="22"/>
          <w:szCs w:val="22"/>
          <w:lang w:val="en-GB"/>
        </w:rPr>
        <w:t xml:space="preserve">r </w:t>
      </w:r>
      <w:r w:rsidRPr="2E8D55B9" w:rsidR="51CDE31F">
        <w:rPr>
          <w:rFonts w:ascii="Arial" w:hAnsi="Arial" w:eastAsia="Arial" w:cs="Arial"/>
          <w:b w:val="0"/>
          <w:bCs w:val="0"/>
          <w:noProof w:val="0"/>
          <w:color w:val="auto"/>
          <w:sz w:val="22"/>
          <w:szCs w:val="22"/>
          <w:lang w:val="en-GB"/>
        </w:rPr>
        <w:t>transformational innovation</w:t>
      </w:r>
      <w:r w:rsidRPr="2E8D55B9" w:rsidR="51CDE31F">
        <w:rPr>
          <w:rFonts w:ascii="Arial" w:hAnsi="Arial" w:eastAsia="Arial" w:cs="Arial"/>
          <w:b w:val="0"/>
          <w:bCs w:val="0"/>
          <w:noProof w:val="0"/>
          <w:color w:val="auto"/>
          <w:sz w:val="22"/>
          <w:szCs w:val="22"/>
          <w:lang w:val="en-GB"/>
        </w:rPr>
        <w:t xml:space="preserve"> within the organisation. Transformational innovation involves developing entirely new</w:t>
      </w:r>
      <w:r w:rsidRPr="2E8D55B9" w:rsidR="51CDE31F">
        <w:rPr>
          <w:rFonts w:ascii="Arial" w:hAnsi="Arial" w:eastAsia="Arial" w:cs="Arial"/>
          <w:noProof w:val="0"/>
          <w:color w:val="auto"/>
          <w:sz w:val="22"/>
          <w:szCs w:val="22"/>
          <w:lang w:val="en-GB"/>
        </w:rPr>
        <w:t xml:space="preserve"> digital services or technologies that could fundamentally change how financial services are delivered.</w:t>
      </w:r>
    </w:p>
    <w:p w:rsidR="3BDEFC7B" w:rsidP="2E8D55B9" w:rsidRDefault="3BDEFC7B" w14:paraId="3F2C0052" w14:textId="7F258D51">
      <w:pPr>
        <w:bidi w:val="0"/>
        <w:spacing w:before="240" w:beforeAutospacing="off" w:after="240" w:afterAutospacing="off" w:line="360" w:lineRule="auto"/>
        <w:jc w:val="both"/>
        <w:rPr>
          <w:rFonts w:ascii="Arial" w:hAnsi="Arial" w:eastAsia="Arial" w:cs="Arial"/>
          <w:noProof w:val="0"/>
          <w:color w:val="auto"/>
          <w:sz w:val="22"/>
          <w:szCs w:val="22"/>
          <w:lang w:val="en-GB"/>
        </w:rPr>
      </w:pPr>
      <w:r w:rsidRPr="2E8D55B9" w:rsidR="51CDE31F">
        <w:rPr>
          <w:rFonts w:ascii="Arial" w:hAnsi="Arial" w:eastAsia="Arial" w:cs="Arial"/>
          <w:b w:val="0"/>
          <w:bCs w:val="0"/>
          <w:noProof w:val="0"/>
          <w:color w:val="auto"/>
          <w:sz w:val="22"/>
          <w:szCs w:val="22"/>
          <w:lang w:val="en-GB"/>
        </w:rPr>
        <w:t xml:space="preserve">Within the financial services sector, emerging technologies such as artificial intelligence (AI), machine learning and predictive analytics are increasingly being used to deliver personalised financial advice and automated investment management services. </w:t>
      </w:r>
      <w:r w:rsidRPr="2E8D55B9" w:rsidR="51CDE31F">
        <w:rPr>
          <w:rFonts w:ascii="Arial" w:hAnsi="Arial" w:eastAsia="Arial" w:cs="Arial"/>
          <w:b w:val="0"/>
          <w:bCs w:val="0"/>
          <w:noProof w:val="0"/>
          <w:color w:val="auto"/>
          <w:sz w:val="22"/>
          <w:szCs w:val="22"/>
          <w:lang w:val="en-GB"/>
        </w:rPr>
        <w:t>Davenport</w:t>
      </w:r>
      <w:r w:rsidRPr="2E8D55B9" w:rsidR="377A8DAA">
        <w:rPr>
          <w:rFonts w:ascii="Arial" w:hAnsi="Arial" w:eastAsia="Arial" w:cs="Arial"/>
          <w:b w:val="0"/>
          <w:bCs w:val="0"/>
          <w:noProof w:val="0"/>
          <w:color w:val="auto"/>
          <w:sz w:val="22"/>
          <w:szCs w:val="22"/>
          <w:lang w:val="en-GB"/>
        </w:rPr>
        <w:t>,</w:t>
      </w:r>
      <w:r w:rsidRPr="2E8D55B9" w:rsidR="51CDE31F">
        <w:rPr>
          <w:rFonts w:ascii="Arial" w:hAnsi="Arial" w:eastAsia="Arial" w:cs="Arial"/>
          <w:b w:val="0"/>
          <w:bCs w:val="0"/>
          <w:noProof w:val="0"/>
          <w:color w:val="auto"/>
          <w:sz w:val="22"/>
          <w:szCs w:val="22"/>
          <w:lang w:val="en-GB"/>
        </w:rPr>
        <w:t xml:space="preserve"> </w:t>
      </w:r>
      <w:r w:rsidRPr="2E8D55B9" w:rsidR="7A86AAD8">
        <w:rPr>
          <w:rFonts w:ascii="Arial" w:hAnsi="Arial" w:eastAsia="Arial" w:cs="Arial"/>
          <w:b w:val="0"/>
          <w:bCs w:val="0"/>
          <w:noProof w:val="0"/>
          <w:color w:val="auto"/>
          <w:sz w:val="22"/>
          <w:szCs w:val="22"/>
          <w:lang w:val="en-GB"/>
        </w:rPr>
        <w:t>&amp;</w:t>
      </w:r>
      <w:r w:rsidRPr="2E8D55B9" w:rsidR="51CDE31F">
        <w:rPr>
          <w:rFonts w:ascii="Arial" w:hAnsi="Arial" w:eastAsia="Arial" w:cs="Arial"/>
          <w:b w:val="0"/>
          <w:bCs w:val="0"/>
          <w:noProof w:val="0"/>
          <w:color w:val="auto"/>
          <w:sz w:val="22"/>
          <w:szCs w:val="22"/>
          <w:lang w:val="en-GB"/>
        </w:rPr>
        <w:t xml:space="preserve"> </w:t>
      </w:r>
      <w:r w:rsidRPr="2E8D55B9" w:rsidR="51CDE31F">
        <w:rPr>
          <w:rFonts w:ascii="Arial" w:hAnsi="Arial" w:eastAsia="Arial" w:cs="Arial"/>
          <w:b w:val="0"/>
          <w:bCs w:val="0"/>
          <w:noProof w:val="0"/>
          <w:color w:val="auto"/>
          <w:sz w:val="22"/>
          <w:szCs w:val="22"/>
          <w:lang w:val="en-GB"/>
        </w:rPr>
        <w:t>Rona</w:t>
      </w:r>
      <w:r w:rsidRPr="2E8D55B9" w:rsidR="51CDE31F">
        <w:rPr>
          <w:rFonts w:ascii="Arial" w:hAnsi="Arial" w:eastAsia="Arial" w:cs="Arial"/>
          <w:b w:val="0"/>
          <w:bCs w:val="0"/>
          <w:noProof w:val="0"/>
          <w:color w:val="auto"/>
          <w:sz w:val="22"/>
          <w:szCs w:val="22"/>
          <w:lang w:val="en-GB"/>
        </w:rPr>
        <w:t>nki</w:t>
      </w:r>
      <w:r w:rsidRPr="2E8D55B9" w:rsidR="0B06586D">
        <w:rPr>
          <w:rFonts w:ascii="Arial" w:hAnsi="Arial" w:eastAsia="Arial" w:cs="Arial"/>
          <w:b w:val="0"/>
          <w:bCs w:val="0"/>
          <w:noProof w:val="0"/>
          <w:color w:val="auto"/>
          <w:sz w:val="22"/>
          <w:szCs w:val="22"/>
          <w:lang w:val="en-GB"/>
        </w:rPr>
        <w:t>,</w:t>
      </w:r>
      <w:r w:rsidRPr="2E8D55B9" w:rsidR="51CDE31F">
        <w:rPr>
          <w:rFonts w:ascii="Arial" w:hAnsi="Arial" w:eastAsia="Arial" w:cs="Arial"/>
          <w:b w:val="0"/>
          <w:bCs w:val="0"/>
          <w:noProof w:val="0"/>
          <w:color w:val="auto"/>
          <w:sz w:val="22"/>
          <w:szCs w:val="22"/>
          <w:lang w:val="en-GB"/>
        </w:rPr>
        <w:t xml:space="preserve"> (2</w:t>
      </w:r>
      <w:r w:rsidRPr="2E8D55B9" w:rsidR="51CDE31F">
        <w:rPr>
          <w:rFonts w:ascii="Arial" w:hAnsi="Arial" w:eastAsia="Arial" w:cs="Arial"/>
          <w:b w:val="0"/>
          <w:bCs w:val="0"/>
          <w:noProof w:val="0"/>
          <w:color w:val="auto"/>
          <w:sz w:val="22"/>
          <w:szCs w:val="22"/>
          <w:lang w:val="en-GB"/>
        </w:rPr>
        <w:t>018)</w:t>
      </w:r>
      <w:r w:rsidRPr="2E8D55B9" w:rsidR="73CC5EC3">
        <w:rPr>
          <w:rFonts w:ascii="Arial" w:hAnsi="Arial" w:eastAsia="Arial" w:cs="Arial"/>
          <w:b w:val="0"/>
          <w:bCs w:val="0"/>
          <w:noProof w:val="0"/>
          <w:color w:val="auto"/>
          <w:sz w:val="22"/>
          <w:szCs w:val="22"/>
          <w:lang w:val="en-GB"/>
        </w:rPr>
        <w:t xml:space="preserve"> mentions that</w:t>
      </w:r>
      <w:r w:rsidRPr="2E8D55B9" w:rsidR="51CDE31F">
        <w:rPr>
          <w:rFonts w:ascii="Arial" w:hAnsi="Arial" w:eastAsia="Arial" w:cs="Arial"/>
          <w:b w:val="0"/>
          <w:bCs w:val="0"/>
          <w:noProof w:val="0"/>
          <w:color w:val="auto"/>
          <w:sz w:val="22"/>
          <w:szCs w:val="22"/>
          <w:lang w:val="en-GB"/>
        </w:rPr>
        <w:t xml:space="preserve"> </w:t>
      </w:r>
      <w:r w:rsidRPr="2E8D55B9" w:rsidR="51CDE31F">
        <w:rPr>
          <w:rFonts w:ascii="Arial" w:hAnsi="Arial" w:eastAsia="Arial" w:cs="Arial"/>
          <w:noProof w:val="0"/>
          <w:color w:val="auto"/>
          <w:sz w:val="22"/>
          <w:szCs w:val="22"/>
          <w:lang w:val="en-GB"/>
        </w:rPr>
        <w:t>artificial intelligence allows organisations to analyse large volumes of data to generate personalised insights and improve decision-making processes.</w:t>
      </w:r>
    </w:p>
    <w:p w:rsidR="3BDEFC7B" w:rsidP="2E8D55B9" w:rsidRDefault="3BDEFC7B" w14:paraId="703B628F" w14:textId="584E87AE">
      <w:pPr>
        <w:bidi w:val="0"/>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E8D55B9" w:rsidR="51CDE31F">
        <w:rPr>
          <w:rFonts w:ascii="Arial" w:hAnsi="Arial" w:eastAsia="Arial" w:cs="Arial"/>
          <w:b w:val="0"/>
          <w:bCs w:val="0"/>
          <w:noProof w:val="0"/>
          <w:color w:val="auto"/>
          <w:sz w:val="22"/>
          <w:szCs w:val="22"/>
          <w:lang w:val="en-GB"/>
        </w:rPr>
        <w:t xml:space="preserve">For Legal &amp; General, transformational innovation could involve the development of </w:t>
      </w:r>
      <w:r w:rsidRPr="2E8D55B9" w:rsidR="51CDE31F">
        <w:rPr>
          <w:rFonts w:ascii="Arial" w:hAnsi="Arial" w:eastAsia="Arial" w:cs="Arial"/>
          <w:b w:val="0"/>
          <w:bCs w:val="0"/>
          <w:noProof w:val="0"/>
          <w:color w:val="auto"/>
          <w:sz w:val="22"/>
          <w:szCs w:val="22"/>
          <w:lang w:val="en-GB"/>
        </w:rPr>
        <w:t xml:space="preserve">AI-driven retirement planning platforms, personalised financial </w:t>
      </w:r>
      <w:r w:rsidRPr="2E8D55B9" w:rsidR="4D83DE44">
        <w:rPr>
          <w:rFonts w:ascii="Arial" w:hAnsi="Arial" w:eastAsia="Arial" w:cs="Arial"/>
          <w:b w:val="0"/>
          <w:bCs w:val="0"/>
          <w:noProof w:val="0"/>
          <w:color w:val="auto"/>
          <w:sz w:val="22"/>
          <w:szCs w:val="22"/>
          <w:lang w:val="en-GB"/>
        </w:rPr>
        <w:t>dashboards,</w:t>
      </w:r>
      <w:r w:rsidRPr="2E8D55B9" w:rsidR="51CDE31F">
        <w:rPr>
          <w:rFonts w:ascii="Arial" w:hAnsi="Arial" w:eastAsia="Arial" w:cs="Arial"/>
          <w:b w:val="0"/>
          <w:bCs w:val="0"/>
          <w:noProof w:val="0"/>
          <w:color w:val="auto"/>
          <w:sz w:val="22"/>
          <w:szCs w:val="22"/>
          <w:lang w:val="en-GB"/>
        </w:rPr>
        <w:t xml:space="preserve"> and predictive financial forecasting tools</w:t>
      </w:r>
      <w:r w:rsidRPr="2E8D55B9" w:rsidR="51CDE31F">
        <w:rPr>
          <w:rFonts w:ascii="Arial" w:hAnsi="Arial" w:eastAsia="Arial" w:cs="Arial"/>
          <w:b w:val="0"/>
          <w:bCs w:val="0"/>
          <w:noProof w:val="0"/>
          <w:color w:val="auto"/>
          <w:sz w:val="22"/>
          <w:szCs w:val="22"/>
          <w:lang w:val="en-GB"/>
        </w:rPr>
        <w:t>. These technologies could enable customers to better understand their long-term financial outlook and receive personalised financial recommendations.</w:t>
      </w:r>
    </w:p>
    <w:p w:rsidR="3BDEFC7B" w:rsidP="2E8D55B9" w:rsidRDefault="3BDEFC7B" w14:paraId="52DA34D5" w14:textId="1B84DD46">
      <w:pPr>
        <w:bidi w:val="0"/>
        <w:spacing w:before="240" w:beforeAutospacing="off" w:after="240" w:afterAutospacing="off" w:line="360" w:lineRule="auto"/>
        <w:jc w:val="both"/>
        <w:rPr>
          <w:rFonts w:ascii="Arial" w:hAnsi="Arial" w:eastAsia="Arial" w:cs="Arial"/>
          <w:noProof w:val="0"/>
          <w:color w:val="auto"/>
          <w:sz w:val="22"/>
          <w:szCs w:val="22"/>
          <w:lang w:val="en-GB"/>
        </w:rPr>
      </w:pPr>
      <w:r w:rsidRPr="2E8D55B9" w:rsidR="51CDE31F">
        <w:rPr>
          <w:rFonts w:ascii="Arial" w:hAnsi="Arial" w:eastAsia="Arial" w:cs="Arial"/>
          <w:noProof w:val="0"/>
          <w:color w:val="auto"/>
          <w:sz w:val="22"/>
          <w:szCs w:val="22"/>
          <w:lang w:val="en-GB"/>
        </w:rPr>
        <w:t xml:space="preserve">The growth of fintech companies further emphasises the importance of transformational innovation. Fintech firms often provide highly personalised digital financial services with user-friendly interfaces and automated advisory tools. According to </w:t>
      </w:r>
      <w:r w:rsidRPr="2E8D55B9" w:rsidR="51CDE31F">
        <w:rPr>
          <w:rFonts w:ascii="Arial" w:hAnsi="Arial" w:eastAsia="Arial" w:cs="Arial"/>
          <w:b w:val="0"/>
          <w:bCs w:val="0"/>
          <w:noProof w:val="0"/>
          <w:color w:val="auto"/>
          <w:sz w:val="22"/>
          <w:szCs w:val="22"/>
          <w:lang w:val="en-GB"/>
        </w:rPr>
        <w:t>Lee</w:t>
      </w:r>
      <w:r w:rsidRPr="2E8D55B9" w:rsidR="5677A8E2">
        <w:rPr>
          <w:rFonts w:ascii="Arial" w:hAnsi="Arial" w:eastAsia="Arial" w:cs="Arial"/>
          <w:b w:val="0"/>
          <w:bCs w:val="0"/>
          <w:noProof w:val="0"/>
          <w:color w:val="auto"/>
          <w:sz w:val="22"/>
          <w:szCs w:val="22"/>
          <w:lang w:val="en-GB"/>
        </w:rPr>
        <w:t>, &amp;</w:t>
      </w:r>
      <w:r w:rsidRPr="2E8D55B9" w:rsidR="51CDE31F">
        <w:rPr>
          <w:rFonts w:ascii="Arial" w:hAnsi="Arial" w:eastAsia="Arial" w:cs="Arial"/>
          <w:b w:val="0"/>
          <w:bCs w:val="0"/>
          <w:noProof w:val="0"/>
          <w:color w:val="auto"/>
          <w:sz w:val="22"/>
          <w:szCs w:val="22"/>
          <w:lang w:val="en-GB"/>
        </w:rPr>
        <w:t xml:space="preserve"> Shin</w:t>
      </w:r>
      <w:r w:rsidRPr="2E8D55B9" w:rsidR="77FA051D">
        <w:rPr>
          <w:rFonts w:ascii="Arial" w:hAnsi="Arial" w:eastAsia="Arial" w:cs="Arial"/>
          <w:b w:val="0"/>
          <w:bCs w:val="0"/>
          <w:noProof w:val="0"/>
          <w:color w:val="auto"/>
          <w:sz w:val="22"/>
          <w:szCs w:val="22"/>
          <w:lang w:val="en-GB"/>
        </w:rPr>
        <w:t>,</w:t>
      </w:r>
      <w:r w:rsidRPr="2E8D55B9" w:rsidR="51CDE31F">
        <w:rPr>
          <w:rFonts w:ascii="Arial" w:hAnsi="Arial" w:eastAsia="Arial" w:cs="Arial"/>
          <w:b w:val="0"/>
          <w:bCs w:val="0"/>
          <w:noProof w:val="0"/>
          <w:color w:val="auto"/>
          <w:sz w:val="22"/>
          <w:szCs w:val="22"/>
          <w:lang w:val="en-GB"/>
        </w:rPr>
        <w:t xml:space="preserve"> (2018)</w:t>
      </w:r>
      <w:r w:rsidRPr="2E8D55B9" w:rsidR="51CDE31F">
        <w:rPr>
          <w:rFonts w:ascii="Arial" w:hAnsi="Arial" w:eastAsia="Arial" w:cs="Arial"/>
          <w:b w:val="0"/>
          <w:bCs w:val="0"/>
          <w:noProof w:val="0"/>
          <w:color w:val="auto"/>
          <w:sz w:val="22"/>
          <w:szCs w:val="22"/>
          <w:lang w:val="en-GB"/>
        </w:rPr>
        <w:t>,</w:t>
      </w:r>
      <w:r w:rsidRPr="2E8D55B9" w:rsidR="51CDE31F">
        <w:rPr>
          <w:rFonts w:ascii="Arial" w:hAnsi="Arial" w:eastAsia="Arial" w:cs="Arial"/>
          <w:b w:val="0"/>
          <w:bCs w:val="0"/>
          <w:noProof w:val="0"/>
          <w:color w:val="auto"/>
          <w:sz w:val="22"/>
          <w:szCs w:val="22"/>
          <w:lang w:val="en-GB"/>
        </w:rPr>
        <w:t xml:space="preserve"> </w:t>
      </w:r>
      <w:r w:rsidRPr="2E8D55B9" w:rsidR="51CDE31F">
        <w:rPr>
          <w:rFonts w:ascii="Arial" w:hAnsi="Arial" w:eastAsia="Arial" w:cs="Arial"/>
          <w:noProof w:val="0"/>
          <w:color w:val="auto"/>
          <w:sz w:val="22"/>
          <w:szCs w:val="22"/>
          <w:lang w:val="en-GB"/>
        </w:rPr>
        <w:t>fintech innovations are reshaping the financial services industry by offering more accessible and efficient financial services. As a result, traditional financial institutions must continue investing in digital innovation to remain competitive.</w:t>
      </w:r>
    </w:p>
    <w:p w:rsidR="3BDEFC7B" w:rsidP="2E8D55B9" w:rsidRDefault="3BDEFC7B" w14:paraId="1CFE6945" w14:textId="4296A778">
      <w:pPr>
        <w:pStyle w:val="Normal"/>
        <w:spacing w:line="360" w:lineRule="auto"/>
        <w:rPr>
          <w:rFonts w:ascii="Arial" w:hAnsi="Arial" w:eastAsia="Arial" w:cs="Arial"/>
          <w:b w:val="1"/>
          <w:bCs w:val="1"/>
          <w:noProof w:val="0"/>
          <w:color w:val="auto"/>
          <w:sz w:val="22"/>
          <w:szCs w:val="22"/>
          <w:lang w:val="en-GB"/>
        </w:rPr>
      </w:pPr>
      <w:r w:rsidRPr="2E8D55B9" w:rsidR="5DE5E59F">
        <w:rPr>
          <w:rFonts w:ascii="Arial" w:hAnsi="Arial" w:eastAsia="Arial" w:cs="Arial"/>
          <w:noProof w:val="0"/>
          <w:color w:val="auto"/>
          <w:sz w:val="22"/>
          <w:szCs w:val="22"/>
          <w:lang w:val="en-GB"/>
        </w:rPr>
        <w:t>T</w:t>
      </w:r>
      <w:r w:rsidRPr="2E8D55B9" w:rsidR="05C3E064">
        <w:rPr>
          <w:rFonts w:ascii="Arial" w:hAnsi="Arial" w:eastAsia="Arial" w:cs="Arial"/>
          <w:noProof w:val="0"/>
          <w:color w:val="auto"/>
          <w:sz w:val="22"/>
          <w:szCs w:val="22"/>
          <w:lang w:val="en-GB"/>
        </w:rPr>
        <w:t>able</w:t>
      </w:r>
      <w:r w:rsidRPr="2E8D55B9" w:rsidR="4796D28C">
        <w:rPr>
          <w:rFonts w:ascii="Arial" w:hAnsi="Arial" w:eastAsia="Arial" w:cs="Arial"/>
          <w:noProof w:val="0"/>
          <w:color w:val="auto"/>
          <w:sz w:val="22"/>
          <w:szCs w:val="22"/>
          <w:lang w:val="en-GB"/>
        </w:rPr>
        <w:t>1: Innovation Ambition Matrix Applied to Legal &amp; General</w:t>
      </w:r>
    </w:p>
    <w:p w:rsidR="4B04B31A" w:rsidP="2E8D55B9" w:rsidRDefault="4B04B31A" w14:paraId="4B75219B" w14:textId="49F1B3C7">
      <w:pPr>
        <w:pStyle w:val="Normal"/>
        <w:bidi w:val="0"/>
        <w:spacing w:line="360" w:lineRule="auto"/>
        <w:rPr>
          <w:rFonts w:ascii="Arial" w:hAnsi="Arial" w:eastAsia="Arial" w:cs="Arial"/>
          <w:b w:val="1"/>
          <w:bCs w:val="1"/>
          <w:noProof w:val="0"/>
          <w:color w:val="auto"/>
          <w:sz w:val="22"/>
          <w:szCs w:val="22"/>
          <w:lang w:val="en-GB"/>
        </w:rPr>
      </w:pPr>
      <w:r w:rsidR="69F99892">
        <w:drawing>
          <wp:inline wp14:editId="4E1CAEA1" wp14:anchorId="58E52FBC">
            <wp:extent cx="5626225" cy="2767447"/>
            <wp:effectExtent l="0" t="0" r="0" b="0"/>
            <wp:docPr id="501875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7992431" name="Picture 1577992431"/>
                    <pic:cNvPicPr/>
                  </pic:nvPicPr>
                  <pic:blipFill>
                    <a:blip xmlns:r="http://schemas.openxmlformats.org/officeDocument/2006/relationships" r:embed="rId450363623">
                      <a:extLst>
                        <a:ext uri="{28A0092B-C50C-407E-A947-70E740481C1C}">
                          <a14:useLocalDpi xmlns:a14="http://schemas.microsoft.com/office/drawing/2010/main"/>
                        </a:ext>
                      </a:extLst>
                    </a:blip>
                    <a:stretch>
                      <a:fillRect/>
                    </a:stretch>
                  </pic:blipFill>
                  <pic:spPr>
                    <a:xfrm rot="0">
                      <a:off x="0" y="0"/>
                      <a:ext cx="5626225" cy="2767447"/>
                    </a:xfrm>
                    <a:prstGeom prst="rect">
                      <a:avLst/>
                    </a:prstGeom>
                  </pic:spPr>
                </pic:pic>
              </a:graphicData>
            </a:graphic>
          </wp:inline>
        </w:drawing>
      </w:r>
    </w:p>
    <w:p w:rsidR="3BDEFC7B" w:rsidP="2E8D55B9" w:rsidRDefault="3BDEFC7B" w14:paraId="535AB4A0" w14:textId="2AB0A281">
      <w:pPr>
        <w:pStyle w:val="Heading2"/>
        <w:bidi w:val="0"/>
        <w:spacing w:before="299" w:beforeAutospacing="off" w:after="299" w:afterAutospacing="off" w:line="360" w:lineRule="auto"/>
        <w:jc w:val="both"/>
        <w:rPr>
          <w:rFonts w:ascii="Arial" w:hAnsi="Arial" w:eastAsia="Arial" w:cs="Arial"/>
          <w:b w:val="1"/>
          <w:bCs w:val="1"/>
          <w:noProof w:val="0"/>
          <w:color w:val="auto"/>
          <w:sz w:val="22"/>
          <w:szCs w:val="22"/>
          <w:lang w:val="en-GB"/>
        </w:rPr>
      </w:pPr>
      <w:bookmarkStart w:name="_Toc1549092230" w:id="559056301"/>
      <w:r w:rsidRPr="324F1939" w:rsidR="4796D28C">
        <w:rPr>
          <w:rFonts w:ascii="Arial" w:hAnsi="Arial" w:eastAsia="Arial" w:cs="Arial"/>
          <w:b w:val="1"/>
          <w:bCs w:val="1"/>
          <w:noProof w:val="0"/>
          <w:color w:val="auto"/>
          <w:sz w:val="22"/>
          <w:szCs w:val="22"/>
          <w:lang w:val="en-GB"/>
        </w:rPr>
        <w:t>Customer Journey Mapping</w:t>
      </w:r>
      <w:bookmarkEnd w:id="559056301"/>
    </w:p>
    <w:p w:rsidR="688B649D" w:rsidP="2E8D55B9" w:rsidRDefault="688B649D" w14:paraId="46DC6D1C" w14:textId="21BDBE45">
      <w:pPr>
        <w:bidi w:val="0"/>
        <w:spacing w:before="240" w:beforeAutospacing="off" w:after="240" w:afterAutospacing="off" w:line="360" w:lineRule="auto"/>
        <w:jc w:val="both"/>
        <w:rPr>
          <w:rFonts w:ascii="Arial" w:hAnsi="Arial" w:eastAsia="Arial" w:cs="Arial"/>
          <w:noProof w:val="0"/>
          <w:color w:val="auto"/>
          <w:sz w:val="22"/>
          <w:szCs w:val="22"/>
          <w:lang w:val="en-GB"/>
        </w:rPr>
      </w:pPr>
      <w:r w:rsidRPr="2E8D55B9" w:rsidR="688B649D">
        <w:rPr>
          <w:rFonts w:ascii="Arial" w:hAnsi="Arial" w:eastAsia="Arial" w:cs="Arial"/>
          <w:noProof w:val="0"/>
          <w:color w:val="auto"/>
          <w:sz w:val="22"/>
          <w:szCs w:val="22"/>
          <w:lang w:val="en-GB"/>
        </w:rPr>
        <w:t xml:space="preserve">Customer journey mapping is a valuable tool that helps organisations understand how customers interact with their services across </w:t>
      </w:r>
      <w:r w:rsidRPr="2E8D55B9" w:rsidR="66114897">
        <w:rPr>
          <w:rFonts w:ascii="Arial" w:hAnsi="Arial" w:eastAsia="Arial" w:cs="Arial"/>
          <w:noProof w:val="0"/>
          <w:color w:val="auto"/>
          <w:sz w:val="22"/>
          <w:szCs w:val="22"/>
          <w:lang w:val="en-GB"/>
        </w:rPr>
        <w:t>various stages</w:t>
      </w:r>
      <w:r w:rsidRPr="2E8D55B9" w:rsidR="688B649D">
        <w:rPr>
          <w:rFonts w:ascii="Arial" w:hAnsi="Arial" w:eastAsia="Arial" w:cs="Arial"/>
          <w:noProof w:val="0"/>
          <w:color w:val="auto"/>
          <w:sz w:val="22"/>
          <w:szCs w:val="22"/>
          <w:lang w:val="en-GB"/>
        </w:rPr>
        <w:t xml:space="preserve">. It allows businesses to </w:t>
      </w:r>
      <w:r w:rsidRPr="2E8D55B9" w:rsidR="688B649D">
        <w:rPr>
          <w:rFonts w:ascii="Arial" w:hAnsi="Arial" w:eastAsia="Arial" w:cs="Arial"/>
          <w:noProof w:val="0"/>
          <w:color w:val="auto"/>
          <w:sz w:val="22"/>
          <w:szCs w:val="22"/>
          <w:lang w:val="en-GB"/>
        </w:rPr>
        <w:t>identify</w:t>
      </w:r>
      <w:r w:rsidRPr="2E8D55B9" w:rsidR="688B649D">
        <w:rPr>
          <w:rFonts w:ascii="Arial" w:hAnsi="Arial" w:eastAsia="Arial" w:cs="Arial"/>
          <w:noProof w:val="0"/>
          <w:color w:val="auto"/>
          <w:sz w:val="22"/>
          <w:szCs w:val="22"/>
          <w:lang w:val="en-GB"/>
        </w:rPr>
        <w:t xml:space="preserve"> key touchpoints, highlight pain points, and uncover opportunities to improve the overall customer experience </w:t>
      </w:r>
      <w:r w:rsidRPr="2E8D55B9" w:rsidR="688B649D">
        <w:rPr>
          <w:rFonts w:ascii="Arial" w:hAnsi="Arial" w:eastAsia="Arial" w:cs="Arial"/>
          <w:noProof w:val="0"/>
          <w:color w:val="auto"/>
          <w:sz w:val="22"/>
          <w:szCs w:val="22"/>
          <w:lang w:val="en-GB"/>
        </w:rPr>
        <w:t>Lemon &amp; Verhoef, (2016)</w:t>
      </w:r>
      <w:r w:rsidRPr="2E8D55B9" w:rsidR="688B649D">
        <w:rPr>
          <w:rFonts w:ascii="Arial" w:hAnsi="Arial" w:eastAsia="Arial" w:cs="Arial"/>
          <w:noProof w:val="0"/>
          <w:color w:val="auto"/>
          <w:sz w:val="22"/>
          <w:szCs w:val="22"/>
          <w:lang w:val="en-GB"/>
        </w:rPr>
        <w:t xml:space="preserve">. </w:t>
      </w:r>
      <w:r w:rsidRPr="2E8D55B9" w:rsidR="688B649D">
        <w:rPr>
          <w:rFonts w:ascii="Arial" w:hAnsi="Arial" w:eastAsia="Arial" w:cs="Arial"/>
          <w:noProof w:val="0"/>
          <w:color w:val="auto"/>
          <w:sz w:val="22"/>
          <w:szCs w:val="22"/>
          <w:lang w:val="en-GB"/>
        </w:rPr>
        <w:t xml:space="preserve">By analysing the full journey, organisations can better design services that are more user-friendly, </w:t>
      </w:r>
      <w:r w:rsidRPr="2E8D55B9" w:rsidR="0E528038">
        <w:rPr>
          <w:rFonts w:ascii="Arial" w:hAnsi="Arial" w:eastAsia="Arial" w:cs="Arial"/>
          <w:noProof w:val="0"/>
          <w:color w:val="auto"/>
          <w:sz w:val="22"/>
          <w:szCs w:val="22"/>
          <w:lang w:val="en-GB"/>
        </w:rPr>
        <w:t>personalised,</w:t>
      </w:r>
      <w:r w:rsidRPr="2E8D55B9" w:rsidR="688B649D">
        <w:rPr>
          <w:rFonts w:ascii="Arial" w:hAnsi="Arial" w:eastAsia="Arial" w:cs="Arial"/>
          <w:noProof w:val="0"/>
          <w:color w:val="auto"/>
          <w:sz w:val="22"/>
          <w:szCs w:val="22"/>
          <w:lang w:val="en-GB"/>
        </w:rPr>
        <w:t xml:space="preserve"> and effective.</w:t>
      </w:r>
    </w:p>
    <w:p w:rsidR="688B649D" w:rsidP="2E8D55B9" w:rsidRDefault="688B649D" w14:paraId="7B513F5B" w14:textId="352DC7CC">
      <w:pPr>
        <w:bidi w:val="0"/>
        <w:spacing w:before="240" w:beforeAutospacing="off" w:after="240" w:afterAutospacing="off" w:line="360" w:lineRule="auto"/>
        <w:jc w:val="both"/>
        <w:rPr>
          <w:rFonts w:ascii="Arial" w:hAnsi="Arial" w:eastAsia="Arial" w:cs="Arial"/>
          <w:noProof w:val="0"/>
          <w:color w:val="auto"/>
          <w:sz w:val="22"/>
          <w:szCs w:val="22"/>
          <w:lang w:val="en-GB"/>
        </w:rPr>
      </w:pPr>
      <w:r w:rsidRPr="2E8D55B9" w:rsidR="0D3B7C23">
        <w:rPr>
          <w:rFonts w:ascii="Arial" w:hAnsi="Arial" w:eastAsia="Arial" w:cs="Arial"/>
          <w:noProof w:val="0"/>
          <w:color w:val="auto"/>
          <w:sz w:val="22"/>
          <w:szCs w:val="22"/>
          <w:lang w:val="en-GB"/>
        </w:rPr>
        <w:t>For Legal &amp; General, one of the most important customer journeys is pension and retirement planning. This journey is central to the organisation’s business model but can often feel complex and difficult for customers to navigate. Many individuals lack confidence in financial decision-making, especially when it involves long-term planning, which means their experience can vary significantly at each stage.</w:t>
      </w:r>
    </w:p>
    <w:p w:rsidR="66319048" w:rsidP="276A68DE" w:rsidRDefault="66319048" w14:paraId="33850B11" w14:textId="7B00E3F6">
      <w:pPr>
        <w:pStyle w:val="Normal"/>
        <w:bidi w:val="0"/>
        <w:spacing w:before="240" w:beforeAutospacing="off" w:after="240" w:afterAutospacing="off" w:line="360" w:lineRule="auto"/>
        <w:rPr>
          <w:rFonts w:ascii="Arial" w:hAnsi="Arial" w:eastAsia="Arial" w:cs="Arial"/>
          <w:b w:val="1"/>
          <w:bCs w:val="1"/>
          <w:noProof w:val="0"/>
          <w:color w:val="auto"/>
          <w:sz w:val="22"/>
          <w:szCs w:val="22"/>
          <w:highlight w:val="yellow"/>
          <w:lang w:val="en-GB"/>
        </w:rPr>
      </w:pPr>
      <w:r w:rsidRPr="276A68DE" w:rsidR="787593DD">
        <w:rPr>
          <w:rFonts w:ascii="Arial" w:hAnsi="Arial" w:eastAsia="Arial" w:cs="Arial"/>
          <w:noProof w:val="0"/>
          <w:color w:val="auto"/>
          <w:sz w:val="22"/>
          <w:szCs w:val="22"/>
          <w:lang w:val="en-GB"/>
        </w:rPr>
        <w:t>T</w:t>
      </w:r>
      <w:r w:rsidRPr="276A68DE" w:rsidR="1563E2F5">
        <w:rPr>
          <w:rFonts w:ascii="Arial" w:hAnsi="Arial" w:eastAsia="Arial" w:cs="Arial"/>
          <w:noProof w:val="0"/>
          <w:color w:val="auto"/>
          <w:sz w:val="22"/>
          <w:szCs w:val="22"/>
          <w:lang w:val="en-GB"/>
        </w:rPr>
        <w:t>able 2: Current Customer Journey Map – Pension Customer</w:t>
      </w:r>
      <w:r w:rsidRPr="276A68DE" w:rsidR="1563E2F5">
        <w:rPr>
          <w:rFonts w:ascii="Arial" w:hAnsi="Arial" w:eastAsia="Arial" w:cs="Arial"/>
          <w:noProof w:val="0"/>
          <w:color w:val="auto"/>
          <w:sz w:val="22"/>
          <w:szCs w:val="22"/>
          <w:lang w:val="en-GB"/>
        </w:rPr>
        <w:t xml:space="preserve"> </w:t>
      </w:r>
    </w:p>
    <w:p w:rsidR="4F545BA5" w:rsidP="2E8D55B9" w:rsidRDefault="4F545BA5" w14:paraId="54422E29" w14:textId="62352DE2">
      <w:pPr>
        <w:bidi w:val="0"/>
        <w:spacing w:before="240" w:beforeAutospacing="off" w:after="240" w:afterAutospacing="off" w:line="360" w:lineRule="auto"/>
        <w:jc w:val="both"/>
        <w:rPr>
          <w:rFonts w:ascii="Arial" w:hAnsi="Arial" w:eastAsia="Arial" w:cs="Arial"/>
          <w:noProof w:val="0"/>
          <w:color w:val="auto"/>
          <w:sz w:val="22"/>
          <w:szCs w:val="22"/>
          <w:lang w:val="en-GB"/>
        </w:rPr>
      </w:pPr>
      <w:r w:rsidR="4F545BA5">
        <w:drawing>
          <wp:inline wp14:editId="05F062BE" wp14:anchorId="70C6F035">
            <wp:extent cx="5228063" cy="2696949"/>
            <wp:effectExtent l="0" t="0" r="0" b="0"/>
            <wp:docPr id="3025841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02584169" name="Picture 302584169"/>
                    <pic:cNvPicPr/>
                  </pic:nvPicPr>
                  <pic:blipFill>
                    <a:blip xmlns:r="http://schemas.openxmlformats.org/officeDocument/2006/relationships" r:embed="rId175792775">
                      <a:extLst>
                        <a:ext uri="{28A0092B-C50C-407E-A947-70E740481C1C}">
                          <a14:useLocalDpi xmlns:a14="http://schemas.microsoft.com/office/drawing/2010/main"/>
                        </a:ext>
                      </a:extLst>
                    </a:blip>
                    <a:stretch>
                      <a:fillRect/>
                    </a:stretch>
                  </pic:blipFill>
                  <pic:spPr>
                    <a:xfrm rot="0">
                      <a:off x="0" y="0"/>
                      <a:ext cx="5228063" cy="2696949"/>
                    </a:xfrm>
                    <a:prstGeom prst="rect">
                      <a:avLst/>
                    </a:prstGeom>
                  </pic:spPr>
                </pic:pic>
              </a:graphicData>
            </a:graphic>
          </wp:inline>
        </w:drawing>
      </w:r>
    </w:p>
    <w:p w:rsidR="688B649D" w:rsidP="2E8D55B9" w:rsidRDefault="688B649D" w14:paraId="6F8AF5A0" w14:textId="167EE175">
      <w:pPr>
        <w:bidi w:val="0"/>
        <w:spacing w:before="240" w:beforeAutospacing="off" w:after="240" w:afterAutospacing="off" w:line="360" w:lineRule="auto"/>
        <w:jc w:val="both"/>
        <w:rPr>
          <w:rFonts w:ascii="Arial" w:hAnsi="Arial" w:eastAsia="Arial" w:cs="Arial"/>
          <w:noProof w:val="0"/>
          <w:color w:val="auto"/>
          <w:sz w:val="22"/>
          <w:szCs w:val="22"/>
          <w:lang w:val="en-GB"/>
        </w:rPr>
      </w:pPr>
      <w:r w:rsidRPr="2E8D55B9" w:rsidR="688B649D">
        <w:rPr>
          <w:rFonts w:ascii="Arial" w:hAnsi="Arial" w:eastAsia="Arial" w:cs="Arial"/>
          <w:noProof w:val="0"/>
          <w:color w:val="auto"/>
          <w:sz w:val="22"/>
          <w:szCs w:val="22"/>
          <w:lang w:val="en-GB"/>
        </w:rPr>
        <w:t xml:space="preserve">The journey can be broken down into five key stages: </w:t>
      </w:r>
      <w:r w:rsidRPr="2E8D55B9" w:rsidR="688B649D">
        <w:rPr>
          <w:rFonts w:ascii="Arial" w:hAnsi="Arial" w:eastAsia="Arial" w:cs="Arial"/>
          <w:b w:val="1"/>
          <w:bCs w:val="1"/>
          <w:noProof w:val="0"/>
          <w:color w:val="auto"/>
          <w:sz w:val="22"/>
          <w:szCs w:val="22"/>
          <w:lang w:val="en-GB"/>
        </w:rPr>
        <w:t xml:space="preserve">awareness, consideration, purchase, </w:t>
      </w:r>
      <w:r w:rsidRPr="2E8D55B9" w:rsidR="5EA1D8B2">
        <w:rPr>
          <w:rFonts w:ascii="Arial" w:hAnsi="Arial" w:eastAsia="Arial" w:cs="Arial"/>
          <w:b w:val="1"/>
          <w:bCs w:val="1"/>
          <w:noProof w:val="0"/>
          <w:color w:val="auto"/>
          <w:sz w:val="22"/>
          <w:szCs w:val="22"/>
          <w:lang w:val="en-GB"/>
        </w:rPr>
        <w:t>management,</w:t>
      </w:r>
      <w:r w:rsidRPr="2E8D55B9" w:rsidR="688B649D">
        <w:rPr>
          <w:rFonts w:ascii="Arial" w:hAnsi="Arial" w:eastAsia="Arial" w:cs="Arial"/>
          <w:b w:val="1"/>
          <w:bCs w:val="1"/>
          <w:noProof w:val="0"/>
          <w:color w:val="auto"/>
          <w:sz w:val="22"/>
          <w:szCs w:val="22"/>
          <w:lang w:val="en-GB"/>
        </w:rPr>
        <w:t xml:space="preserve"> and retirement</w:t>
      </w:r>
      <w:r w:rsidRPr="2E8D55B9" w:rsidR="688B649D">
        <w:rPr>
          <w:rFonts w:ascii="Arial" w:hAnsi="Arial" w:eastAsia="Arial" w:cs="Arial"/>
          <w:noProof w:val="0"/>
          <w:color w:val="auto"/>
          <w:sz w:val="22"/>
          <w:szCs w:val="22"/>
          <w:lang w:val="en-GB"/>
        </w:rPr>
        <w:t>, each with different customer needs and satisfaction levels.</w:t>
      </w:r>
    </w:p>
    <w:p w:rsidR="688B649D" w:rsidP="2E8D55B9" w:rsidRDefault="688B649D" w14:paraId="5744EECA" w14:textId="5E716859">
      <w:pPr>
        <w:bidi w:val="0"/>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76A68DE" w:rsidR="0D3B7C23">
        <w:rPr>
          <w:rFonts w:ascii="Arial" w:hAnsi="Arial" w:eastAsia="Arial" w:cs="Arial"/>
          <w:noProof w:val="0"/>
          <w:color w:val="auto"/>
          <w:sz w:val="22"/>
          <w:szCs w:val="22"/>
          <w:lang w:val="en-GB"/>
        </w:rPr>
        <w:t>A</w:t>
      </w:r>
      <w:r w:rsidRPr="276A68DE" w:rsidR="0D3B7C23">
        <w:rPr>
          <w:rFonts w:ascii="Arial" w:hAnsi="Arial" w:eastAsia="Arial" w:cs="Arial"/>
          <w:b w:val="0"/>
          <w:bCs w:val="0"/>
          <w:noProof w:val="0"/>
          <w:color w:val="auto"/>
          <w:sz w:val="22"/>
          <w:szCs w:val="22"/>
          <w:lang w:val="en-GB"/>
        </w:rPr>
        <w:t xml:space="preserve">t the </w:t>
      </w:r>
      <w:r w:rsidRPr="276A68DE" w:rsidR="0D3B7C23">
        <w:rPr>
          <w:rFonts w:ascii="Arial" w:hAnsi="Arial" w:eastAsia="Arial" w:cs="Arial"/>
          <w:b w:val="0"/>
          <w:bCs w:val="0"/>
          <w:noProof w:val="0"/>
          <w:color w:val="auto"/>
          <w:sz w:val="22"/>
          <w:szCs w:val="22"/>
          <w:lang w:val="en-GB"/>
        </w:rPr>
        <w:t>awareness stage</w:t>
      </w:r>
      <w:r w:rsidRPr="276A68DE" w:rsidR="0D3B7C23">
        <w:rPr>
          <w:rFonts w:ascii="Arial" w:hAnsi="Arial" w:eastAsia="Arial" w:cs="Arial"/>
          <w:b w:val="0"/>
          <w:bCs w:val="0"/>
          <w:noProof w:val="0"/>
          <w:color w:val="auto"/>
          <w:sz w:val="22"/>
          <w:szCs w:val="22"/>
          <w:lang w:val="en-GB"/>
        </w:rPr>
        <w:t>, customers begin researching pension providers and exploring their options. While Legal &amp; General benefits from strong brand recognition and trust, customers often feel unsure due to complex financial terminology and too much information. This can make it difficult for them to fully understand their choices early on.</w:t>
      </w:r>
    </w:p>
    <w:p w:rsidR="688B649D" w:rsidP="2E8D55B9" w:rsidRDefault="688B649D" w14:paraId="6D82BC0B" w14:textId="41B72B85">
      <w:pPr>
        <w:bidi w:val="0"/>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76A68DE" w:rsidR="0D3B7C23">
        <w:rPr>
          <w:rFonts w:ascii="Arial" w:hAnsi="Arial" w:eastAsia="Arial" w:cs="Arial"/>
          <w:b w:val="0"/>
          <w:bCs w:val="0"/>
          <w:noProof w:val="0"/>
          <w:color w:val="auto"/>
          <w:sz w:val="22"/>
          <w:szCs w:val="22"/>
          <w:lang w:val="en-GB"/>
        </w:rPr>
        <w:t xml:space="preserve">During the </w:t>
      </w:r>
      <w:r w:rsidRPr="276A68DE" w:rsidR="0D3B7C23">
        <w:rPr>
          <w:rFonts w:ascii="Arial" w:hAnsi="Arial" w:eastAsia="Arial" w:cs="Arial"/>
          <w:b w:val="0"/>
          <w:bCs w:val="0"/>
          <w:noProof w:val="0"/>
          <w:color w:val="auto"/>
          <w:sz w:val="22"/>
          <w:szCs w:val="22"/>
          <w:lang w:val="en-GB"/>
        </w:rPr>
        <w:t>consideration stage</w:t>
      </w:r>
      <w:r w:rsidRPr="276A68DE" w:rsidR="0D3B7C23">
        <w:rPr>
          <w:rFonts w:ascii="Arial" w:hAnsi="Arial" w:eastAsia="Arial" w:cs="Arial"/>
          <w:b w:val="0"/>
          <w:bCs w:val="0"/>
          <w:noProof w:val="0"/>
          <w:color w:val="auto"/>
          <w:sz w:val="22"/>
          <w:szCs w:val="22"/>
          <w:lang w:val="en-GB"/>
        </w:rPr>
        <w:t>, customers compare different pension products and providers. This stage can be frustrating, as financial projections and long-term outcomes are not always easy to interpret. As a result, customers may feel uncertain or lack confidence in making the right decision.</w:t>
      </w:r>
    </w:p>
    <w:p w:rsidR="688B649D" w:rsidP="2E8D55B9" w:rsidRDefault="688B649D" w14:paraId="38E22998" w14:textId="38019B55">
      <w:pPr>
        <w:bidi w:val="0"/>
        <w:spacing w:before="240" w:beforeAutospacing="off" w:after="240" w:afterAutospacing="off" w:line="360" w:lineRule="auto"/>
        <w:jc w:val="both"/>
        <w:rPr>
          <w:rFonts w:ascii="Arial" w:hAnsi="Arial" w:eastAsia="Arial" w:cs="Arial"/>
          <w:noProof w:val="0"/>
          <w:color w:val="auto"/>
          <w:sz w:val="22"/>
          <w:szCs w:val="22"/>
          <w:lang w:val="en-GB"/>
        </w:rPr>
      </w:pPr>
      <w:r w:rsidRPr="276A68DE" w:rsidR="0D3B7C23">
        <w:rPr>
          <w:rFonts w:ascii="Arial" w:hAnsi="Arial" w:eastAsia="Arial" w:cs="Arial"/>
          <w:b w:val="0"/>
          <w:bCs w:val="0"/>
          <w:noProof w:val="0"/>
          <w:color w:val="auto"/>
          <w:sz w:val="22"/>
          <w:szCs w:val="22"/>
          <w:lang w:val="en-GB"/>
        </w:rPr>
        <w:t xml:space="preserve">At the </w:t>
      </w:r>
      <w:r w:rsidRPr="276A68DE" w:rsidR="0D3B7C23">
        <w:rPr>
          <w:rFonts w:ascii="Arial" w:hAnsi="Arial" w:eastAsia="Arial" w:cs="Arial"/>
          <w:b w:val="0"/>
          <w:bCs w:val="0"/>
          <w:noProof w:val="0"/>
          <w:color w:val="auto"/>
          <w:sz w:val="22"/>
          <w:szCs w:val="22"/>
          <w:lang w:val="en-GB"/>
        </w:rPr>
        <w:t>purchase stage</w:t>
      </w:r>
      <w:r w:rsidRPr="276A68DE" w:rsidR="0D3B7C23">
        <w:rPr>
          <w:rFonts w:ascii="Arial" w:hAnsi="Arial" w:eastAsia="Arial" w:cs="Arial"/>
          <w:b w:val="0"/>
          <w:bCs w:val="0"/>
          <w:noProof w:val="0"/>
          <w:color w:val="auto"/>
          <w:sz w:val="22"/>
          <w:szCs w:val="22"/>
          <w:lang w:val="en-GB"/>
        </w:rPr>
        <w:t>, customers open a pension account or be</w:t>
      </w:r>
      <w:r w:rsidRPr="276A68DE" w:rsidR="0D3B7C23">
        <w:rPr>
          <w:rFonts w:ascii="Arial" w:hAnsi="Arial" w:eastAsia="Arial" w:cs="Arial"/>
          <w:noProof w:val="0"/>
          <w:color w:val="auto"/>
          <w:sz w:val="22"/>
          <w:szCs w:val="22"/>
          <w:lang w:val="en-GB"/>
        </w:rPr>
        <w:t>gin contributing. Although digital onboarding has improved accessibility, the process can still feel slightly time-consuming or administrative, which can affect the overall experience.</w:t>
      </w:r>
    </w:p>
    <w:p w:rsidR="688B649D" w:rsidP="2E8D55B9" w:rsidRDefault="688B649D" w14:paraId="7F72A33C" w14:textId="44AD0E03">
      <w:pPr>
        <w:bidi w:val="0"/>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76A68DE" w:rsidR="0D3B7C23">
        <w:rPr>
          <w:rFonts w:ascii="Arial" w:hAnsi="Arial" w:eastAsia="Arial" w:cs="Arial"/>
          <w:noProof w:val="0"/>
          <w:color w:val="auto"/>
          <w:sz w:val="22"/>
          <w:szCs w:val="22"/>
          <w:lang w:val="en-GB"/>
        </w:rPr>
        <w:t xml:space="preserve">In the </w:t>
      </w:r>
      <w:r w:rsidRPr="276A68DE" w:rsidR="0D3B7C23">
        <w:rPr>
          <w:rFonts w:ascii="Arial" w:hAnsi="Arial" w:eastAsia="Arial" w:cs="Arial"/>
          <w:b w:val="0"/>
          <w:bCs w:val="0"/>
          <w:noProof w:val="0"/>
          <w:color w:val="auto"/>
          <w:sz w:val="22"/>
          <w:szCs w:val="22"/>
          <w:lang w:val="en-GB"/>
        </w:rPr>
        <w:t>management stage</w:t>
      </w:r>
      <w:r w:rsidRPr="276A68DE" w:rsidR="0D3B7C23">
        <w:rPr>
          <w:rFonts w:ascii="Arial" w:hAnsi="Arial" w:eastAsia="Arial" w:cs="Arial"/>
          <w:b w:val="0"/>
          <w:bCs w:val="0"/>
          <w:noProof w:val="0"/>
          <w:color w:val="auto"/>
          <w:sz w:val="22"/>
          <w:szCs w:val="22"/>
          <w:lang w:val="en-GB"/>
        </w:rPr>
        <w:t xml:space="preserve">, customers </w:t>
      </w:r>
      <w:r w:rsidRPr="276A68DE" w:rsidR="0D3B7C23">
        <w:rPr>
          <w:rFonts w:ascii="Arial" w:hAnsi="Arial" w:eastAsia="Arial" w:cs="Arial"/>
          <w:b w:val="0"/>
          <w:bCs w:val="0"/>
          <w:noProof w:val="0"/>
          <w:color w:val="auto"/>
          <w:sz w:val="22"/>
          <w:szCs w:val="22"/>
          <w:lang w:val="en-GB"/>
        </w:rPr>
        <w:t>mon</w:t>
      </w:r>
      <w:r w:rsidRPr="276A68DE" w:rsidR="0D3B7C23">
        <w:rPr>
          <w:rFonts w:ascii="Arial" w:hAnsi="Arial" w:eastAsia="Arial" w:cs="Arial"/>
          <w:b w:val="0"/>
          <w:bCs w:val="0"/>
          <w:noProof w:val="0"/>
          <w:color w:val="auto"/>
          <w:sz w:val="22"/>
          <w:szCs w:val="22"/>
          <w:lang w:val="en-GB"/>
        </w:rPr>
        <w:t>itor</w:t>
      </w:r>
      <w:r w:rsidRPr="276A68DE" w:rsidR="0D3B7C23">
        <w:rPr>
          <w:rFonts w:ascii="Arial" w:hAnsi="Arial" w:eastAsia="Arial" w:cs="Arial"/>
          <w:b w:val="0"/>
          <w:bCs w:val="0"/>
          <w:noProof w:val="0"/>
          <w:color w:val="auto"/>
          <w:sz w:val="22"/>
          <w:szCs w:val="22"/>
          <w:lang w:val="en-GB"/>
        </w:rPr>
        <w:t xml:space="preserve"> th</w:t>
      </w:r>
      <w:r w:rsidRPr="276A68DE" w:rsidR="0D3B7C23">
        <w:rPr>
          <w:rFonts w:ascii="Arial" w:hAnsi="Arial" w:eastAsia="Arial" w:cs="Arial"/>
          <w:b w:val="0"/>
          <w:bCs w:val="0"/>
          <w:noProof w:val="0"/>
          <w:color w:val="auto"/>
          <w:sz w:val="22"/>
          <w:szCs w:val="22"/>
          <w:lang w:val="en-GB"/>
        </w:rPr>
        <w:t>eir pension over time through online platforms. While access to information is available, many customers struggle to understand investment performance or what it means for their future, leading to lower engagement.</w:t>
      </w:r>
    </w:p>
    <w:p w:rsidR="4B04B31A" w:rsidP="276A68DE" w:rsidRDefault="4B04B31A" w14:paraId="62A765D6" w14:textId="3CF340A1">
      <w:pPr>
        <w:pStyle w:val="Normal"/>
        <w:bidi w:val="0"/>
        <w:spacing w:before="240" w:beforeAutospacing="off" w:after="240" w:afterAutospacing="off" w:line="360" w:lineRule="auto"/>
        <w:jc w:val="both"/>
        <w:rPr>
          <w:rFonts w:ascii="Arial" w:hAnsi="Arial" w:eastAsia="Arial" w:cs="Arial"/>
          <w:noProof w:val="0"/>
          <w:color w:val="auto"/>
          <w:sz w:val="22"/>
          <w:szCs w:val="22"/>
          <w:lang w:val="en-GB"/>
        </w:rPr>
      </w:pPr>
      <w:r w:rsidRPr="276A68DE" w:rsidR="0D3B7C23">
        <w:rPr>
          <w:rFonts w:ascii="Arial" w:hAnsi="Arial" w:eastAsia="Arial" w:cs="Arial"/>
          <w:b w:val="0"/>
          <w:bCs w:val="0"/>
          <w:noProof w:val="0"/>
          <w:color w:val="auto"/>
          <w:sz w:val="22"/>
          <w:szCs w:val="22"/>
          <w:lang w:val="en-GB"/>
        </w:rPr>
        <w:t xml:space="preserve">Finally, the </w:t>
      </w:r>
      <w:r w:rsidRPr="276A68DE" w:rsidR="0D3B7C23">
        <w:rPr>
          <w:rFonts w:ascii="Arial" w:hAnsi="Arial" w:eastAsia="Arial" w:cs="Arial"/>
          <w:b w:val="0"/>
          <w:bCs w:val="0"/>
          <w:noProof w:val="0"/>
          <w:color w:val="auto"/>
          <w:sz w:val="22"/>
          <w:szCs w:val="22"/>
          <w:lang w:val="en-GB"/>
        </w:rPr>
        <w:t>retirement stage</w:t>
      </w:r>
      <w:r w:rsidRPr="276A68DE" w:rsidR="0D3B7C23">
        <w:rPr>
          <w:rFonts w:ascii="Arial" w:hAnsi="Arial" w:eastAsia="Arial" w:cs="Arial"/>
          <w:b w:val="0"/>
          <w:bCs w:val="0"/>
          <w:noProof w:val="0"/>
          <w:color w:val="auto"/>
          <w:sz w:val="22"/>
          <w:szCs w:val="22"/>
          <w:lang w:val="en-GB"/>
        </w:rPr>
        <w:t xml:space="preserve"> </w:t>
      </w:r>
      <w:r w:rsidRPr="276A68DE" w:rsidR="0D3B7C23">
        <w:rPr>
          <w:rFonts w:ascii="Arial" w:hAnsi="Arial" w:eastAsia="Arial" w:cs="Arial"/>
          <w:b w:val="0"/>
          <w:bCs w:val="0"/>
          <w:noProof w:val="0"/>
          <w:color w:val="auto"/>
          <w:sz w:val="22"/>
          <w:szCs w:val="22"/>
          <w:lang w:val="en-GB"/>
        </w:rPr>
        <w:t xml:space="preserve">is the most critical and often the most stressful part of the journey. Customers begin accessing their pension and making important financial decisions. Without clear guidance or support, this stage can feel overwhelming, which negatively </w:t>
      </w:r>
      <w:r w:rsidRPr="276A68DE" w:rsidR="0D3B7C23">
        <w:rPr>
          <w:rFonts w:ascii="Arial" w:hAnsi="Arial" w:eastAsia="Arial" w:cs="Arial"/>
          <w:noProof w:val="0"/>
          <w:color w:val="auto"/>
          <w:sz w:val="22"/>
          <w:szCs w:val="22"/>
          <w:lang w:val="en-GB"/>
        </w:rPr>
        <w:t>impacts</w:t>
      </w:r>
      <w:r w:rsidRPr="276A68DE" w:rsidR="0D3B7C23">
        <w:rPr>
          <w:rFonts w:ascii="Arial" w:hAnsi="Arial" w:eastAsia="Arial" w:cs="Arial"/>
          <w:noProof w:val="0"/>
          <w:color w:val="auto"/>
          <w:sz w:val="22"/>
          <w:szCs w:val="22"/>
          <w:lang w:val="en-GB"/>
        </w:rPr>
        <w:t xml:space="preserve"> satisfaction</w:t>
      </w:r>
      <w:r w:rsidRPr="276A68DE" w:rsidR="2C4CB948">
        <w:rPr>
          <w:rFonts w:ascii="Arial" w:hAnsi="Arial" w:eastAsia="Arial" w:cs="Arial"/>
          <w:noProof w:val="0"/>
          <w:color w:val="auto"/>
          <w:sz w:val="22"/>
          <w:szCs w:val="22"/>
          <w:lang w:val="en-GB"/>
        </w:rPr>
        <w:t xml:space="preserve"> </w:t>
      </w:r>
      <w:r w:rsidRPr="276A68DE" w:rsidR="2C4CB948">
        <w:rPr>
          <w:rFonts w:ascii="Arial" w:hAnsi="Arial" w:eastAsia="Arial" w:cs="Arial"/>
          <w:b w:val="0"/>
          <w:bCs w:val="0"/>
          <w:i w:val="0"/>
          <w:iCs w:val="0"/>
          <w:caps w:val="0"/>
          <w:smallCaps w:val="0"/>
          <w:noProof w:val="0"/>
          <w:color w:val="auto"/>
          <w:sz w:val="22"/>
          <w:szCs w:val="22"/>
          <w:lang w:val="en-GB"/>
        </w:rPr>
        <w:t xml:space="preserve">Lusardi, &amp; Mitchell, (2017). </w:t>
      </w:r>
    </w:p>
    <w:p w:rsidR="433BD16B" w:rsidP="276A68DE" w:rsidRDefault="433BD16B" w14:paraId="64946AA2" w14:textId="45321F36">
      <w:pPr>
        <w:pStyle w:val="Heading1"/>
        <w:rPr>
          <w:rFonts w:ascii="Arial" w:hAnsi="Arial" w:eastAsia="Arial" w:cs="Arial"/>
          <w:noProof w:val="0"/>
          <w:color w:val="auto"/>
          <w:sz w:val="22"/>
          <w:szCs w:val="22"/>
          <w:lang w:val="en-GB"/>
        </w:rPr>
      </w:pPr>
      <w:bookmarkStart w:name="_Toc1842218529" w:id="1130420000"/>
      <w:r w:rsidRPr="324F1939" w:rsidR="09AF9C7E">
        <w:rPr>
          <w:rFonts w:ascii="Arial" w:hAnsi="Arial" w:eastAsia="Arial" w:cs="Arial"/>
          <w:noProof w:val="0"/>
          <w:sz w:val="22"/>
          <w:szCs w:val="22"/>
          <w:lang w:val="en-GB"/>
        </w:rPr>
        <w:t xml:space="preserve">Causal Loop Diagram – </w:t>
      </w:r>
      <w:r w:rsidRPr="324F1939" w:rsidR="45964EA9">
        <w:rPr>
          <w:rFonts w:ascii="Arial" w:hAnsi="Arial" w:eastAsia="Arial" w:cs="Arial"/>
          <w:noProof w:val="0"/>
          <w:sz w:val="22"/>
          <w:szCs w:val="22"/>
          <w:lang w:val="en-GB"/>
        </w:rPr>
        <w:t>customer engagement problem</w:t>
      </w:r>
      <w:bookmarkEnd w:id="1130420000"/>
    </w:p>
    <w:p w:rsidR="433BD16B" w:rsidP="2E8D55B9" w:rsidRDefault="433BD16B" w14:paraId="7CD2EEE8" w14:textId="0D5F527C">
      <w:p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76A68DE" w:rsidR="4FFE1A46">
        <w:rPr>
          <w:rFonts w:ascii="Arial" w:hAnsi="Arial" w:eastAsia="Arial" w:cs="Arial"/>
          <w:noProof w:val="0"/>
          <w:color w:val="auto"/>
          <w:sz w:val="22"/>
          <w:szCs w:val="22"/>
          <w:lang w:val="en-GB"/>
        </w:rPr>
        <w:t xml:space="preserve">To further understand the challenges </w:t>
      </w:r>
      <w:r w:rsidRPr="276A68DE" w:rsidR="4FFE1A46">
        <w:rPr>
          <w:rFonts w:ascii="Arial" w:hAnsi="Arial" w:eastAsia="Arial" w:cs="Arial"/>
          <w:noProof w:val="0"/>
          <w:color w:val="auto"/>
          <w:sz w:val="22"/>
          <w:szCs w:val="22"/>
          <w:lang w:val="en-GB"/>
        </w:rPr>
        <w:t>identified</w:t>
      </w:r>
      <w:r w:rsidRPr="276A68DE" w:rsidR="4FFE1A46">
        <w:rPr>
          <w:rFonts w:ascii="Arial" w:hAnsi="Arial" w:eastAsia="Arial" w:cs="Arial"/>
          <w:noProof w:val="0"/>
          <w:color w:val="auto"/>
          <w:sz w:val="22"/>
          <w:szCs w:val="22"/>
          <w:lang w:val="en-GB"/>
        </w:rPr>
        <w:t xml:space="preserve"> in the Innovation Ambition Matrix and customer journey analysis, a </w:t>
      </w:r>
      <w:r w:rsidRPr="276A68DE" w:rsidR="4FFE1A46">
        <w:rPr>
          <w:rFonts w:ascii="Arial" w:hAnsi="Arial" w:eastAsia="Arial" w:cs="Arial"/>
          <w:b w:val="1"/>
          <w:bCs w:val="1"/>
          <w:noProof w:val="0"/>
          <w:color w:val="auto"/>
          <w:sz w:val="22"/>
          <w:szCs w:val="22"/>
          <w:lang w:val="en-GB"/>
        </w:rPr>
        <w:t>causal loop diagram (CLD)</w:t>
      </w:r>
      <w:r w:rsidRPr="276A68DE" w:rsidR="4FFE1A46">
        <w:rPr>
          <w:rFonts w:ascii="Arial" w:hAnsi="Arial" w:eastAsia="Arial" w:cs="Arial"/>
          <w:noProof w:val="0"/>
          <w:color w:val="auto"/>
          <w:sz w:val="22"/>
          <w:szCs w:val="22"/>
          <w:lang w:val="en-GB"/>
        </w:rPr>
        <w:t xml:space="preserve"> can be used. This helps explain how different issues are connected and how they reinforce each other over time. In this</w:t>
      </w:r>
      <w:r w:rsidRPr="276A68DE" w:rsidR="4FFE1A46">
        <w:rPr>
          <w:rFonts w:ascii="Arial" w:hAnsi="Arial" w:eastAsia="Arial" w:cs="Arial"/>
          <w:b w:val="0"/>
          <w:bCs w:val="0"/>
          <w:noProof w:val="0"/>
          <w:color w:val="auto"/>
          <w:sz w:val="22"/>
          <w:szCs w:val="22"/>
          <w:lang w:val="en-GB"/>
        </w:rPr>
        <w:t xml:space="preserve"> case, the main problem within Legal &amp; General’s current model is </w:t>
      </w:r>
      <w:r w:rsidRPr="276A68DE" w:rsidR="4FFE1A46">
        <w:rPr>
          <w:rFonts w:ascii="Arial" w:hAnsi="Arial" w:eastAsia="Arial" w:cs="Arial"/>
          <w:b w:val="0"/>
          <w:bCs w:val="0"/>
          <w:noProof w:val="0"/>
          <w:color w:val="auto"/>
          <w:sz w:val="22"/>
          <w:szCs w:val="22"/>
          <w:lang w:val="en-GB"/>
        </w:rPr>
        <w:t>low customer engagement driven by complexity and lack of personalisation</w:t>
      </w:r>
      <w:r w:rsidRPr="276A68DE" w:rsidR="4FFE1A46">
        <w:rPr>
          <w:rFonts w:ascii="Arial" w:hAnsi="Arial" w:eastAsia="Arial" w:cs="Arial"/>
          <w:b w:val="0"/>
          <w:bCs w:val="0"/>
          <w:noProof w:val="0"/>
          <w:color w:val="auto"/>
          <w:sz w:val="22"/>
          <w:szCs w:val="22"/>
          <w:lang w:val="en-GB"/>
        </w:rPr>
        <w:t>.</w:t>
      </w:r>
    </w:p>
    <w:p w:rsidR="433BD16B" w:rsidP="2E8D55B9" w:rsidRDefault="433BD16B" w14:paraId="7C8A328E" w14:textId="63E91840">
      <w:pPr>
        <w:spacing w:before="240" w:beforeAutospacing="off" w:after="240" w:afterAutospacing="off" w:line="360" w:lineRule="auto"/>
        <w:jc w:val="both"/>
        <w:rPr>
          <w:rFonts w:ascii="Arial" w:hAnsi="Arial" w:eastAsia="Arial" w:cs="Arial"/>
          <w:noProof w:val="0"/>
          <w:color w:val="auto"/>
          <w:sz w:val="22"/>
          <w:szCs w:val="22"/>
          <w:lang w:val="en-GB"/>
        </w:rPr>
      </w:pPr>
      <w:r w:rsidR="0DEBB57E">
        <w:drawing>
          <wp:inline wp14:editId="3B84652D" wp14:anchorId="0AF4256A">
            <wp:extent cx="4920836" cy="3062218"/>
            <wp:effectExtent l="0" t="0" r="0" b="0"/>
            <wp:docPr id="3946064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4606447" name="Picture 394606447"/>
                    <pic:cNvPicPr/>
                  </pic:nvPicPr>
                  <pic:blipFill>
                    <a:blip xmlns:r="http://schemas.openxmlformats.org/officeDocument/2006/relationships" r:embed="rId1402612676">
                      <a:extLst>
                        <a:ext uri="{28A0092B-C50C-407E-A947-70E740481C1C}">
                          <a14:useLocalDpi xmlns:a14="http://schemas.microsoft.com/office/drawing/2010/main"/>
                        </a:ext>
                      </a:extLst>
                    </a:blip>
                    <a:stretch>
                      <a:fillRect/>
                    </a:stretch>
                  </pic:blipFill>
                  <pic:spPr>
                    <a:xfrm rot="0">
                      <a:off x="0" y="0"/>
                      <a:ext cx="4920836" cy="3062218"/>
                    </a:xfrm>
                    <a:prstGeom prst="rect">
                      <a:avLst/>
                    </a:prstGeom>
                  </pic:spPr>
                </pic:pic>
              </a:graphicData>
            </a:graphic>
          </wp:inline>
        </w:drawing>
      </w:r>
    </w:p>
    <w:p w:rsidR="433BD16B" w:rsidP="276A68DE" w:rsidRDefault="433BD16B" w14:paraId="5A751F14" w14:textId="39DBAEA2">
      <w:pPr>
        <w:spacing w:before="240" w:beforeAutospacing="off" w:after="240" w:afterAutospacing="off" w:line="360" w:lineRule="auto"/>
        <w:ind/>
        <w:jc w:val="both"/>
        <w:rPr>
          <w:rFonts w:ascii="Arial" w:hAnsi="Arial" w:eastAsia="Arial" w:cs="Arial"/>
          <w:noProof w:val="0"/>
          <w:color w:val="auto"/>
          <w:sz w:val="22"/>
          <w:szCs w:val="22"/>
          <w:lang w:val="en-GB"/>
        </w:rPr>
      </w:pPr>
      <w:r w:rsidRPr="276A68DE" w:rsidR="2539F2BB">
        <w:rPr>
          <w:rFonts w:ascii="Arial" w:hAnsi="Arial" w:eastAsia="Arial" w:cs="Arial"/>
          <w:noProof w:val="0"/>
          <w:color w:val="auto"/>
          <w:sz w:val="22"/>
          <w:szCs w:val="22"/>
          <w:lang w:val="en-GB"/>
        </w:rPr>
        <w:t xml:space="preserve">The causal loop diagram highlights a reinforcing negative cycle within Legal &amp; General’s current customer experience. As shown, complex financial information increases customer confusion, which reduces engagement with pension services. Lower engagement leads to poorer understanding and reduced confidence in financial decision-making, </w:t>
      </w:r>
      <w:r w:rsidRPr="276A68DE" w:rsidR="017C0807">
        <w:rPr>
          <w:rFonts w:ascii="Arial" w:hAnsi="Arial" w:eastAsia="Arial" w:cs="Arial"/>
          <w:noProof w:val="0"/>
          <w:color w:val="auto"/>
          <w:sz w:val="22"/>
          <w:szCs w:val="22"/>
          <w:lang w:val="en-GB"/>
        </w:rPr>
        <w:t>decreasing</w:t>
      </w:r>
      <w:r w:rsidRPr="276A68DE" w:rsidR="2539F2BB">
        <w:rPr>
          <w:rFonts w:ascii="Arial" w:hAnsi="Arial" w:eastAsia="Arial" w:cs="Arial"/>
          <w:noProof w:val="0"/>
          <w:color w:val="auto"/>
          <w:sz w:val="22"/>
          <w:szCs w:val="22"/>
          <w:lang w:val="en-GB"/>
        </w:rPr>
        <w:t xml:space="preserve"> customer satisfaction. As satisfaction declines, customers are less likely to actively use digital platforms, limiting the data available for personalisation. This lack of personalisation further increases the complexity of the experience, reinforcing the cycle. Overall, the diagram </w:t>
      </w:r>
      <w:r w:rsidRPr="276A68DE" w:rsidR="2539F2BB">
        <w:rPr>
          <w:rFonts w:ascii="Arial" w:hAnsi="Arial" w:eastAsia="Arial" w:cs="Arial"/>
          <w:noProof w:val="0"/>
          <w:color w:val="auto"/>
          <w:sz w:val="22"/>
          <w:szCs w:val="22"/>
          <w:lang w:val="en-GB"/>
        </w:rPr>
        <w:t>demonstrates</w:t>
      </w:r>
      <w:r w:rsidRPr="276A68DE" w:rsidR="2539F2BB">
        <w:rPr>
          <w:rFonts w:ascii="Arial" w:hAnsi="Arial" w:eastAsia="Arial" w:cs="Arial"/>
          <w:noProof w:val="0"/>
          <w:color w:val="auto"/>
          <w:sz w:val="22"/>
          <w:szCs w:val="22"/>
          <w:lang w:val="en-GB"/>
        </w:rPr>
        <w:t xml:space="preserve"> how interconnected issues within the customer journey contribute to ongoing low engagement and highlights the need for more personalised and simplified digital solutions.</w:t>
      </w:r>
    </w:p>
    <w:p w:rsidR="2CD3513A" w:rsidP="276A68DE" w:rsidRDefault="2CD3513A" w14:paraId="519B9B90" w14:textId="58420CC3">
      <w:pPr>
        <w:pStyle w:val="Heading1"/>
        <w:rPr>
          <w:rFonts w:ascii="Arial" w:hAnsi="Arial" w:eastAsia="Arial" w:cs="Arial"/>
          <w:b w:val="1"/>
          <w:bCs w:val="1"/>
          <w:noProof w:val="0"/>
          <w:color w:val="auto"/>
          <w:sz w:val="22"/>
          <w:szCs w:val="22"/>
          <w:lang w:val="en-GB"/>
        </w:rPr>
      </w:pPr>
      <w:bookmarkStart w:name="_Toc2079049898" w:id="242253166"/>
      <w:r w:rsidRPr="324F1939" w:rsidR="5C8B4493">
        <w:rPr>
          <w:rFonts w:ascii="Arial" w:hAnsi="Arial" w:eastAsia="Arial" w:cs="Arial"/>
          <w:noProof w:val="0"/>
          <w:sz w:val="22"/>
          <w:szCs w:val="22"/>
          <w:lang w:val="en-GB"/>
        </w:rPr>
        <w:t>Part 2: Proposed Digital Transformation Initiative for Legal &amp; General</w:t>
      </w:r>
      <w:bookmarkEnd w:id="242253166"/>
    </w:p>
    <w:p w:rsidR="338C107B" w:rsidP="2E8D55B9" w:rsidRDefault="338C107B" w14:paraId="0F001E68" w14:textId="6BE0D204">
      <w:pPr>
        <w:pStyle w:val="Heading2"/>
        <w:spacing w:before="299" w:beforeAutospacing="off" w:after="299" w:afterAutospacing="off" w:line="360" w:lineRule="auto"/>
        <w:jc w:val="both"/>
        <w:rPr>
          <w:rFonts w:ascii="Arial" w:hAnsi="Arial" w:eastAsia="Arial" w:cs="Arial"/>
          <w:b w:val="1"/>
          <w:bCs w:val="1"/>
          <w:noProof w:val="0"/>
          <w:color w:val="auto"/>
          <w:sz w:val="22"/>
          <w:szCs w:val="22"/>
          <w:lang w:val="en-GB"/>
        </w:rPr>
      </w:pPr>
      <w:bookmarkStart w:name="_Toc728412862" w:id="1251581407"/>
      <w:r w:rsidRPr="324F1939" w:rsidR="42FAAD29">
        <w:rPr>
          <w:rFonts w:ascii="Arial" w:hAnsi="Arial" w:eastAsia="Arial" w:cs="Arial"/>
          <w:b w:val="1"/>
          <w:bCs w:val="1"/>
          <w:noProof w:val="0"/>
          <w:color w:val="auto"/>
          <w:sz w:val="22"/>
          <w:szCs w:val="22"/>
          <w:lang w:val="en-GB"/>
        </w:rPr>
        <w:t>AI-Driven Personalised Retirement Ecosystem</w:t>
      </w:r>
      <w:bookmarkEnd w:id="1251581407"/>
    </w:p>
    <w:p w:rsidR="5AF3458D" w:rsidP="2E8D55B9" w:rsidRDefault="5AF3458D" w14:paraId="24D36E1F" w14:textId="4437372B">
      <w:pPr>
        <w:spacing w:before="240" w:beforeAutospacing="off" w:after="240" w:afterAutospacing="off" w:line="360" w:lineRule="auto"/>
        <w:rPr>
          <w:rFonts w:ascii="Arial" w:hAnsi="Arial" w:eastAsia="Arial" w:cs="Arial"/>
          <w:noProof w:val="0"/>
          <w:color w:val="auto"/>
          <w:sz w:val="22"/>
          <w:szCs w:val="22"/>
          <w:lang w:val="en-GB"/>
        </w:rPr>
      </w:pPr>
      <w:r w:rsidRPr="2E8D55B9" w:rsidR="5AF3458D">
        <w:rPr>
          <w:rFonts w:ascii="Arial" w:hAnsi="Arial" w:eastAsia="Arial" w:cs="Arial"/>
          <w:noProof w:val="0"/>
          <w:color w:val="auto"/>
          <w:sz w:val="22"/>
          <w:szCs w:val="22"/>
          <w:lang w:val="en-GB"/>
        </w:rPr>
        <w:t xml:space="preserve">The analysis in Part 1 </w:t>
      </w:r>
      <w:r w:rsidRPr="2E8D55B9" w:rsidR="5AF3458D">
        <w:rPr>
          <w:rFonts w:ascii="Arial" w:hAnsi="Arial" w:eastAsia="Arial" w:cs="Arial"/>
          <w:noProof w:val="0"/>
          <w:color w:val="auto"/>
          <w:sz w:val="22"/>
          <w:szCs w:val="22"/>
          <w:lang w:val="en-GB"/>
        </w:rPr>
        <w:t>identified</w:t>
      </w:r>
      <w:r w:rsidRPr="2E8D55B9" w:rsidR="5AF3458D">
        <w:rPr>
          <w:rFonts w:ascii="Arial" w:hAnsi="Arial" w:eastAsia="Arial" w:cs="Arial"/>
          <w:noProof w:val="0"/>
          <w:color w:val="auto"/>
          <w:sz w:val="22"/>
          <w:szCs w:val="22"/>
          <w:lang w:val="en-GB"/>
        </w:rPr>
        <w:t xml:space="preserve"> several key limitations within the current customer journey provided by Legal &amp; General, particularly the complexity of pension information, limited personalised financial guidance and the difficulty customers experience when interpreting long-term retirement projections. These challenges are widely recognised across the financial services sector, where retirement products often involve compl</w:t>
      </w:r>
      <w:r w:rsidRPr="2E8D55B9" w:rsidR="5AF3458D">
        <w:rPr>
          <w:rFonts w:ascii="Arial" w:hAnsi="Arial" w:eastAsia="Arial" w:cs="Arial"/>
          <w:b w:val="0"/>
          <w:bCs w:val="0"/>
          <w:noProof w:val="0"/>
          <w:color w:val="auto"/>
          <w:sz w:val="22"/>
          <w:szCs w:val="22"/>
          <w:lang w:val="en-GB"/>
        </w:rPr>
        <w:t xml:space="preserve">ex terminology, investment </w:t>
      </w:r>
      <w:r w:rsidRPr="2E8D55B9" w:rsidR="267A7C32">
        <w:rPr>
          <w:rFonts w:ascii="Arial" w:hAnsi="Arial" w:eastAsia="Arial" w:cs="Arial"/>
          <w:b w:val="0"/>
          <w:bCs w:val="0"/>
          <w:noProof w:val="0"/>
          <w:color w:val="auto"/>
          <w:sz w:val="22"/>
          <w:szCs w:val="22"/>
          <w:lang w:val="en-GB"/>
        </w:rPr>
        <w:t>risk,</w:t>
      </w:r>
      <w:r w:rsidRPr="2E8D55B9" w:rsidR="5AF3458D">
        <w:rPr>
          <w:rFonts w:ascii="Arial" w:hAnsi="Arial" w:eastAsia="Arial" w:cs="Arial"/>
          <w:b w:val="0"/>
          <w:bCs w:val="0"/>
          <w:noProof w:val="0"/>
          <w:color w:val="auto"/>
          <w:sz w:val="22"/>
          <w:szCs w:val="22"/>
          <w:lang w:val="en-GB"/>
        </w:rPr>
        <w:t xml:space="preserve"> and uncertain future outcomes. </w:t>
      </w:r>
      <w:r w:rsidRPr="2E8D55B9" w:rsidR="5AF3458D">
        <w:rPr>
          <w:rFonts w:ascii="Arial" w:hAnsi="Arial" w:eastAsia="Arial" w:cs="Arial"/>
          <w:b w:val="0"/>
          <w:bCs w:val="0"/>
          <w:noProof w:val="0"/>
          <w:color w:val="auto"/>
          <w:sz w:val="22"/>
          <w:szCs w:val="22"/>
          <w:lang w:val="en-GB"/>
        </w:rPr>
        <w:t>Lusardi</w:t>
      </w:r>
      <w:r w:rsidRPr="2E8D55B9" w:rsidR="6614F575">
        <w:rPr>
          <w:rFonts w:ascii="Arial" w:hAnsi="Arial" w:eastAsia="Arial" w:cs="Arial"/>
          <w:b w:val="0"/>
          <w:bCs w:val="0"/>
          <w:noProof w:val="0"/>
          <w:color w:val="auto"/>
          <w:sz w:val="22"/>
          <w:szCs w:val="22"/>
          <w:lang w:val="en-GB"/>
        </w:rPr>
        <w:t>,</w:t>
      </w:r>
      <w:r w:rsidRPr="2E8D55B9" w:rsidR="5AF3458D">
        <w:rPr>
          <w:rFonts w:ascii="Arial" w:hAnsi="Arial" w:eastAsia="Arial" w:cs="Arial"/>
          <w:b w:val="0"/>
          <w:bCs w:val="0"/>
          <w:noProof w:val="0"/>
          <w:color w:val="auto"/>
          <w:sz w:val="22"/>
          <w:szCs w:val="22"/>
          <w:lang w:val="en-GB"/>
        </w:rPr>
        <w:t xml:space="preserve"> </w:t>
      </w:r>
      <w:r w:rsidRPr="2E8D55B9" w:rsidR="05E457A5">
        <w:rPr>
          <w:rFonts w:ascii="Arial" w:hAnsi="Arial" w:eastAsia="Arial" w:cs="Arial"/>
          <w:b w:val="0"/>
          <w:bCs w:val="0"/>
          <w:noProof w:val="0"/>
          <w:color w:val="auto"/>
          <w:sz w:val="22"/>
          <w:szCs w:val="22"/>
          <w:lang w:val="en-GB"/>
        </w:rPr>
        <w:t>&amp;</w:t>
      </w:r>
      <w:r w:rsidRPr="2E8D55B9" w:rsidR="5AF3458D">
        <w:rPr>
          <w:rFonts w:ascii="Arial" w:hAnsi="Arial" w:eastAsia="Arial" w:cs="Arial"/>
          <w:b w:val="0"/>
          <w:bCs w:val="0"/>
          <w:noProof w:val="0"/>
          <w:color w:val="auto"/>
          <w:sz w:val="22"/>
          <w:szCs w:val="22"/>
          <w:lang w:val="en-GB"/>
        </w:rPr>
        <w:t xml:space="preserve"> Mitchell</w:t>
      </w:r>
      <w:r w:rsidRPr="2E8D55B9" w:rsidR="355F1A55">
        <w:rPr>
          <w:rFonts w:ascii="Arial" w:hAnsi="Arial" w:eastAsia="Arial" w:cs="Arial"/>
          <w:b w:val="0"/>
          <w:bCs w:val="0"/>
          <w:noProof w:val="0"/>
          <w:color w:val="auto"/>
          <w:sz w:val="22"/>
          <w:szCs w:val="22"/>
          <w:lang w:val="en-GB"/>
        </w:rPr>
        <w:t>,</w:t>
      </w:r>
      <w:r w:rsidRPr="2E8D55B9" w:rsidR="5AF3458D">
        <w:rPr>
          <w:rFonts w:ascii="Arial" w:hAnsi="Arial" w:eastAsia="Arial" w:cs="Arial"/>
          <w:b w:val="0"/>
          <w:bCs w:val="0"/>
          <w:noProof w:val="0"/>
          <w:color w:val="auto"/>
          <w:sz w:val="22"/>
          <w:szCs w:val="22"/>
          <w:lang w:val="en-GB"/>
        </w:rPr>
        <w:t xml:space="preserve"> (2017)</w:t>
      </w:r>
      <w:r w:rsidRPr="2E8D55B9" w:rsidR="5AF3458D">
        <w:rPr>
          <w:rFonts w:ascii="Arial" w:hAnsi="Arial" w:eastAsia="Arial" w:cs="Arial"/>
          <w:b w:val="0"/>
          <w:bCs w:val="0"/>
          <w:noProof w:val="0"/>
          <w:color w:val="auto"/>
          <w:sz w:val="22"/>
          <w:szCs w:val="22"/>
          <w:lang w:val="en-GB"/>
        </w:rPr>
        <w:t xml:space="preserve"> highlights that many individuals struggle to make effective financial decisions due to limited financial literacy and uncertainty surrounding long-term savings outcomes. As pension systems increasingly shift responsibility for retirement planning from govern</w:t>
      </w:r>
      <w:r w:rsidRPr="2E8D55B9" w:rsidR="5AF3458D">
        <w:rPr>
          <w:rFonts w:ascii="Arial" w:hAnsi="Arial" w:eastAsia="Arial" w:cs="Arial"/>
          <w:noProof w:val="0"/>
          <w:color w:val="auto"/>
          <w:sz w:val="22"/>
          <w:szCs w:val="22"/>
          <w:lang w:val="en-GB"/>
        </w:rPr>
        <w:t>ments to individuals, the ability to understand financial products and make informed financial decisions has become increasingly important.</w:t>
      </w:r>
    </w:p>
    <w:p w:rsidR="5AF3458D" w:rsidP="2E8D55B9" w:rsidRDefault="5AF3458D" w14:paraId="5522E13D" w14:textId="0375074F">
      <w:pPr>
        <w:spacing w:before="240" w:beforeAutospacing="off" w:after="240" w:afterAutospacing="off" w:line="360" w:lineRule="auto"/>
        <w:rPr>
          <w:rFonts w:ascii="Arial" w:hAnsi="Arial" w:eastAsia="Arial" w:cs="Arial"/>
          <w:noProof w:val="0"/>
          <w:color w:val="auto"/>
          <w:sz w:val="22"/>
          <w:szCs w:val="22"/>
          <w:lang w:val="en-GB"/>
        </w:rPr>
      </w:pPr>
      <w:r w:rsidRPr="19BFEAD1" w:rsidR="5AF3458D">
        <w:rPr>
          <w:rFonts w:ascii="Arial" w:hAnsi="Arial" w:eastAsia="Arial" w:cs="Arial"/>
          <w:b w:val="0"/>
          <w:bCs w:val="0"/>
          <w:noProof w:val="0"/>
          <w:color w:val="auto"/>
          <w:sz w:val="22"/>
          <w:szCs w:val="22"/>
          <w:lang w:val="en-GB"/>
        </w:rPr>
        <w:t xml:space="preserve">In addition to financial literacy challenges, customers often face information overload and fragmented financial data when managing retirement savings. Many pension holders have multiple pension schemes accumulated throughout their careers, making it difficult to </w:t>
      </w:r>
      <w:r w:rsidRPr="19BFEAD1" w:rsidR="5AF3458D">
        <w:rPr>
          <w:rFonts w:ascii="Arial" w:hAnsi="Arial" w:eastAsia="Arial" w:cs="Arial"/>
          <w:noProof w:val="0"/>
          <w:color w:val="auto"/>
          <w:sz w:val="22"/>
          <w:szCs w:val="22"/>
          <w:lang w:val="en-GB"/>
        </w:rPr>
        <w:t>monitor</w:t>
      </w:r>
      <w:r w:rsidRPr="19BFEAD1" w:rsidR="5AF3458D">
        <w:rPr>
          <w:rFonts w:ascii="Arial" w:hAnsi="Arial" w:eastAsia="Arial" w:cs="Arial"/>
          <w:noProof w:val="0"/>
          <w:color w:val="auto"/>
          <w:sz w:val="22"/>
          <w:szCs w:val="22"/>
          <w:lang w:val="en-GB"/>
        </w:rPr>
        <w:t xml:space="preserve"> total retirement savings or understand long-term income projections.</w:t>
      </w:r>
      <w:r w:rsidRPr="19BFEAD1" w:rsidR="4402A783">
        <w:rPr>
          <w:rFonts w:ascii="Arial" w:hAnsi="Arial" w:eastAsia="Arial" w:cs="Arial"/>
          <w:noProof w:val="0"/>
          <w:color w:val="auto"/>
          <w:sz w:val="22"/>
          <w:szCs w:val="22"/>
          <w:lang w:val="en-GB"/>
        </w:rPr>
        <w:t xml:space="preserve"> Industry data from Euromonitor shows that financial institutions are increasingly expected to deliver </w:t>
      </w:r>
      <w:r w:rsidRPr="19BFEAD1" w:rsidR="4402A783">
        <w:rPr>
          <w:rFonts w:ascii="Arial" w:hAnsi="Arial" w:eastAsia="Arial" w:cs="Arial"/>
          <w:b w:val="0"/>
          <w:bCs w:val="0"/>
          <w:noProof w:val="0"/>
          <w:color w:val="auto"/>
          <w:sz w:val="22"/>
          <w:szCs w:val="22"/>
          <w:lang w:val="en-GB"/>
        </w:rPr>
        <w:t>seamless, integrated digital experiences across the customer journey</w:t>
      </w:r>
      <w:r w:rsidRPr="19BFEAD1" w:rsidR="4402A783">
        <w:rPr>
          <w:rFonts w:ascii="Arial" w:hAnsi="Arial" w:eastAsia="Arial" w:cs="Arial"/>
          <w:b w:val="0"/>
          <w:bCs w:val="0"/>
          <w:noProof w:val="0"/>
          <w:color w:val="auto"/>
          <w:sz w:val="22"/>
          <w:szCs w:val="22"/>
          <w:lang w:val="en-GB"/>
        </w:rPr>
        <w:t xml:space="preserve">, with embedded finance and digital platforms playing a critical role in improving accessibility and personalisation Euromonitor International, (2024). Research also emphasises that customer satisfaction is now heavily dependent on the </w:t>
      </w:r>
      <w:r w:rsidRPr="19BFEAD1" w:rsidR="4402A783">
        <w:rPr>
          <w:rFonts w:ascii="Arial" w:hAnsi="Arial" w:eastAsia="Arial" w:cs="Arial"/>
          <w:b w:val="0"/>
          <w:bCs w:val="0"/>
          <w:noProof w:val="0"/>
          <w:color w:val="auto"/>
          <w:sz w:val="22"/>
          <w:szCs w:val="22"/>
          <w:lang w:val="en-GB"/>
        </w:rPr>
        <w:t>quality and integration of financial services within digital ecosystems</w:t>
      </w:r>
      <w:r w:rsidRPr="19BFEAD1" w:rsidR="4402A783">
        <w:rPr>
          <w:rFonts w:ascii="Arial" w:hAnsi="Arial" w:eastAsia="Arial" w:cs="Arial"/>
          <w:b w:val="0"/>
          <w:bCs w:val="0"/>
          <w:noProof w:val="0"/>
          <w:color w:val="auto"/>
          <w:sz w:val="22"/>
          <w:szCs w:val="22"/>
          <w:lang w:val="en-GB"/>
        </w:rPr>
        <w:t>, as consumers p</w:t>
      </w:r>
      <w:r w:rsidRPr="19BFEAD1" w:rsidR="4402A783">
        <w:rPr>
          <w:rFonts w:ascii="Arial" w:hAnsi="Arial" w:eastAsia="Arial" w:cs="Arial"/>
          <w:noProof w:val="0"/>
          <w:color w:val="auto"/>
          <w:sz w:val="22"/>
          <w:szCs w:val="22"/>
          <w:lang w:val="en-GB"/>
        </w:rPr>
        <w:t xml:space="preserve">refer simplified, “one-stop” platforms that </w:t>
      </w:r>
      <w:r w:rsidRPr="19BFEAD1" w:rsidR="4402A783">
        <w:rPr>
          <w:rFonts w:ascii="Arial" w:hAnsi="Arial" w:eastAsia="Arial" w:cs="Arial"/>
          <w:noProof w:val="0"/>
          <w:color w:val="auto"/>
          <w:sz w:val="22"/>
          <w:szCs w:val="22"/>
          <w:lang w:val="en-GB"/>
        </w:rPr>
        <w:t>consolidate</w:t>
      </w:r>
      <w:r w:rsidRPr="19BFEAD1" w:rsidR="4402A783">
        <w:rPr>
          <w:rFonts w:ascii="Arial" w:hAnsi="Arial" w:eastAsia="Arial" w:cs="Arial"/>
          <w:noProof w:val="0"/>
          <w:color w:val="auto"/>
          <w:sz w:val="22"/>
          <w:szCs w:val="22"/>
          <w:lang w:val="en-GB"/>
        </w:rPr>
        <w:t xml:space="preserve"> services and information. However, many traditional financial service providers continue to rely on fragmented legacy systems, limiting customers’ ability to gain a clear and holistic understanding of their financial position, particularly in areas such as retirement planning.</w:t>
      </w:r>
    </w:p>
    <w:p w:rsidR="5AF3458D" w:rsidP="2E8D55B9" w:rsidRDefault="5AF3458D" w14:paraId="0BF30C95" w14:textId="3EB78259">
      <w:pPr>
        <w:spacing w:before="240" w:beforeAutospacing="off" w:after="240" w:afterAutospacing="off" w:line="360" w:lineRule="auto"/>
        <w:rPr>
          <w:rFonts w:ascii="Arial" w:hAnsi="Arial" w:eastAsia="Arial" w:cs="Arial"/>
          <w:b w:val="0"/>
          <w:bCs w:val="0"/>
          <w:noProof w:val="0"/>
          <w:color w:val="auto"/>
          <w:sz w:val="22"/>
          <w:szCs w:val="22"/>
          <w:lang w:val="en-GB"/>
        </w:rPr>
      </w:pPr>
      <w:r w:rsidRPr="2E8D55B9" w:rsidR="5AF3458D">
        <w:rPr>
          <w:rFonts w:ascii="Arial" w:hAnsi="Arial" w:eastAsia="Arial" w:cs="Arial"/>
          <w:b w:val="0"/>
          <w:bCs w:val="0"/>
          <w:noProof w:val="0"/>
          <w:color w:val="auto"/>
          <w:sz w:val="22"/>
          <w:szCs w:val="22"/>
          <w:lang w:val="en-GB"/>
        </w:rPr>
        <w:t xml:space="preserve">Furthermore, behavioural economics research suggests that individuals often delay or avoid long-term financial planning due to psychological biases such as present bias and decision inertia. </w:t>
      </w:r>
      <w:r w:rsidRPr="2E8D55B9" w:rsidR="13C696BB">
        <w:rPr>
          <w:rFonts w:ascii="Arial" w:hAnsi="Arial" w:eastAsia="Arial" w:cs="Arial"/>
          <w:b w:val="0"/>
          <w:bCs w:val="0"/>
          <w:noProof w:val="0"/>
          <w:color w:val="auto"/>
          <w:sz w:val="22"/>
          <w:szCs w:val="22"/>
          <w:lang w:val="en-GB"/>
        </w:rPr>
        <w:t>I</w:t>
      </w:r>
      <w:r w:rsidRPr="2E8D55B9" w:rsidR="5AF3458D">
        <w:rPr>
          <w:rFonts w:ascii="Arial" w:hAnsi="Arial" w:eastAsia="Arial" w:cs="Arial"/>
          <w:b w:val="0"/>
          <w:bCs w:val="0"/>
          <w:noProof w:val="0"/>
          <w:color w:val="auto"/>
          <w:sz w:val="22"/>
          <w:szCs w:val="22"/>
          <w:lang w:val="en-GB"/>
        </w:rPr>
        <w:t>ndi</w:t>
      </w:r>
      <w:r w:rsidRPr="2E8D55B9" w:rsidR="5AF3458D">
        <w:rPr>
          <w:rFonts w:ascii="Arial" w:hAnsi="Arial" w:eastAsia="Arial" w:cs="Arial"/>
          <w:noProof w:val="0"/>
          <w:color w:val="auto"/>
          <w:sz w:val="22"/>
          <w:szCs w:val="22"/>
          <w:lang w:val="en-GB"/>
        </w:rPr>
        <w:t xml:space="preserve">viduals </w:t>
      </w:r>
      <w:r w:rsidRPr="2E8D55B9" w:rsidR="5AF3458D">
        <w:rPr>
          <w:rFonts w:ascii="Arial" w:hAnsi="Arial" w:eastAsia="Arial" w:cs="Arial"/>
          <w:noProof w:val="0"/>
          <w:color w:val="auto"/>
          <w:sz w:val="22"/>
          <w:szCs w:val="22"/>
          <w:lang w:val="en-GB"/>
        </w:rPr>
        <w:t>frequently</w:t>
      </w:r>
      <w:r w:rsidRPr="2E8D55B9" w:rsidR="5AF3458D">
        <w:rPr>
          <w:rFonts w:ascii="Arial" w:hAnsi="Arial" w:eastAsia="Arial" w:cs="Arial"/>
          <w:noProof w:val="0"/>
          <w:color w:val="auto"/>
          <w:sz w:val="22"/>
          <w:szCs w:val="22"/>
          <w:lang w:val="en-GB"/>
        </w:rPr>
        <w:t xml:space="preserve"> prioritise short-term financial needs over long-term savings, resulting in insufficient retirement contributions. These behavioural barriers highlight the need for financial institutions to design digital tools that actively encourage positive financial behaviours and simplify financial decision-making.</w:t>
      </w:r>
    </w:p>
    <w:p w:rsidR="5AF3458D" w:rsidP="2E8D55B9" w:rsidRDefault="5AF3458D" w14:paraId="673E6431" w14:textId="329AAB65">
      <w:pPr>
        <w:spacing w:before="240" w:beforeAutospacing="off" w:after="240" w:afterAutospacing="off" w:line="360" w:lineRule="auto"/>
        <w:rPr>
          <w:rFonts w:ascii="Arial" w:hAnsi="Arial" w:eastAsia="Arial" w:cs="Arial"/>
          <w:noProof w:val="0"/>
          <w:color w:val="auto"/>
          <w:sz w:val="22"/>
          <w:szCs w:val="22"/>
          <w:lang w:val="en-GB"/>
        </w:rPr>
      </w:pPr>
      <w:r w:rsidRPr="2E8D55B9" w:rsidR="5AF3458D">
        <w:rPr>
          <w:rFonts w:ascii="Arial" w:hAnsi="Arial" w:eastAsia="Arial" w:cs="Arial"/>
          <w:b w:val="0"/>
          <w:bCs w:val="0"/>
          <w:noProof w:val="0"/>
          <w:color w:val="auto"/>
          <w:sz w:val="22"/>
          <w:szCs w:val="22"/>
          <w:lang w:val="en-GB"/>
        </w:rPr>
        <w:t xml:space="preserve">To address these challenges, this report proposes the development of an </w:t>
      </w:r>
      <w:r w:rsidRPr="2E8D55B9" w:rsidR="5AF3458D">
        <w:rPr>
          <w:rFonts w:ascii="Arial" w:hAnsi="Arial" w:eastAsia="Arial" w:cs="Arial"/>
          <w:b w:val="0"/>
          <w:bCs w:val="0"/>
          <w:noProof w:val="0"/>
          <w:color w:val="auto"/>
          <w:sz w:val="22"/>
          <w:szCs w:val="22"/>
          <w:lang w:val="en-GB"/>
        </w:rPr>
        <w:t>AI-driven personalised retirement ecosystem</w:t>
      </w:r>
      <w:r w:rsidRPr="2E8D55B9" w:rsidR="5AF3458D">
        <w:rPr>
          <w:rFonts w:ascii="Arial" w:hAnsi="Arial" w:eastAsia="Arial" w:cs="Arial"/>
          <w:b w:val="0"/>
          <w:bCs w:val="0"/>
          <w:noProof w:val="0"/>
          <w:color w:val="auto"/>
          <w:sz w:val="22"/>
          <w:szCs w:val="22"/>
          <w:lang w:val="en-GB"/>
        </w:rPr>
        <w:t xml:space="preserve">, designed to support customers throughout the entire retirement planning journey. The proposed platform would combine artificial intelligence, predictive </w:t>
      </w:r>
      <w:r w:rsidRPr="2E8D55B9" w:rsidR="08707067">
        <w:rPr>
          <w:rFonts w:ascii="Arial" w:hAnsi="Arial" w:eastAsia="Arial" w:cs="Arial"/>
          <w:b w:val="0"/>
          <w:bCs w:val="0"/>
          <w:noProof w:val="0"/>
          <w:color w:val="auto"/>
          <w:sz w:val="22"/>
          <w:szCs w:val="22"/>
          <w:lang w:val="en-GB"/>
        </w:rPr>
        <w:t>analytics,</w:t>
      </w:r>
      <w:r w:rsidRPr="2E8D55B9" w:rsidR="5AF3458D">
        <w:rPr>
          <w:rFonts w:ascii="Arial" w:hAnsi="Arial" w:eastAsia="Arial" w:cs="Arial"/>
          <w:b w:val="0"/>
          <w:bCs w:val="0"/>
          <w:noProof w:val="0"/>
          <w:color w:val="auto"/>
          <w:sz w:val="22"/>
          <w:szCs w:val="22"/>
          <w:lang w:val="en-GB"/>
        </w:rPr>
        <w:t xml:space="preserve"> and behavioural finance insights to deliver personalised retirement projections, automated financial </w:t>
      </w:r>
      <w:r w:rsidRPr="2E8D55B9" w:rsidR="402C7EBC">
        <w:rPr>
          <w:rFonts w:ascii="Arial" w:hAnsi="Arial" w:eastAsia="Arial" w:cs="Arial"/>
          <w:b w:val="0"/>
          <w:bCs w:val="0"/>
          <w:noProof w:val="0"/>
          <w:color w:val="auto"/>
          <w:sz w:val="22"/>
          <w:szCs w:val="22"/>
          <w:lang w:val="en-GB"/>
        </w:rPr>
        <w:t>guidance,</w:t>
      </w:r>
      <w:r w:rsidRPr="2E8D55B9" w:rsidR="5AF3458D">
        <w:rPr>
          <w:rFonts w:ascii="Arial" w:hAnsi="Arial" w:eastAsia="Arial" w:cs="Arial"/>
          <w:b w:val="0"/>
          <w:bCs w:val="0"/>
          <w:noProof w:val="0"/>
          <w:color w:val="auto"/>
          <w:sz w:val="22"/>
          <w:szCs w:val="22"/>
          <w:lang w:val="en-GB"/>
        </w:rPr>
        <w:t xml:space="preserve"> and simplified pension management tools. Rather than acting solely as a passive financial account interface, the platform would function as an </w:t>
      </w:r>
      <w:r w:rsidRPr="2E8D55B9" w:rsidR="5AF3458D">
        <w:rPr>
          <w:rFonts w:ascii="Arial" w:hAnsi="Arial" w:eastAsia="Arial" w:cs="Arial"/>
          <w:b w:val="0"/>
          <w:bCs w:val="0"/>
          <w:noProof w:val="0"/>
          <w:color w:val="auto"/>
          <w:sz w:val="22"/>
          <w:szCs w:val="22"/>
          <w:lang w:val="en-GB"/>
        </w:rPr>
        <w:t>interactive financial planning ecosystem</w:t>
      </w:r>
      <w:r w:rsidRPr="2E8D55B9" w:rsidR="5AF3458D">
        <w:rPr>
          <w:rFonts w:ascii="Arial" w:hAnsi="Arial" w:eastAsia="Arial" w:cs="Arial"/>
          <w:b w:val="0"/>
          <w:bCs w:val="0"/>
          <w:noProof w:val="0"/>
          <w:color w:val="auto"/>
          <w:sz w:val="22"/>
          <w:szCs w:val="22"/>
          <w:lang w:val="en-GB"/>
        </w:rPr>
        <w:t xml:space="preserve"> </w:t>
      </w:r>
      <w:r w:rsidRPr="2E8D55B9" w:rsidR="5AF3458D">
        <w:rPr>
          <w:rFonts w:ascii="Arial" w:hAnsi="Arial" w:eastAsia="Arial" w:cs="Arial"/>
          <w:noProof w:val="0"/>
          <w:color w:val="auto"/>
          <w:sz w:val="22"/>
          <w:szCs w:val="22"/>
          <w:lang w:val="en-GB"/>
        </w:rPr>
        <w:t>that actively supports customers in making informed retirement decisions.</w:t>
      </w:r>
    </w:p>
    <w:p w:rsidR="5AF3458D" w:rsidP="276A68DE" w:rsidRDefault="5AF3458D" w14:paraId="22826359" w14:textId="4B687E62">
      <w:pPr>
        <w:pStyle w:val="Normal"/>
        <w:spacing w:before="240" w:beforeAutospacing="off" w:after="240" w:afterAutospacing="off" w:line="360" w:lineRule="auto"/>
        <w:rPr>
          <w:rFonts w:ascii="Arial" w:hAnsi="Arial" w:eastAsia="Arial" w:cs="Arial"/>
          <w:noProof w:val="0"/>
          <w:color w:val="auto"/>
          <w:sz w:val="22"/>
          <w:szCs w:val="22"/>
          <w:lang w:val="en-GB"/>
        </w:rPr>
      </w:pPr>
      <w:r w:rsidRPr="276A68DE" w:rsidR="444D4EE8">
        <w:rPr>
          <w:rFonts w:ascii="Arial" w:hAnsi="Arial" w:eastAsia="Arial" w:cs="Arial"/>
          <w:noProof w:val="0"/>
          <w:color w:val="auto"/>
          <w:sz w:val="22"/>
          <w:szCs w:val="22"/>
          <w:lang w:val="en-GB"/>
        </w:rPr>
        <w:t>Artificial intelligence is increasingly being adopted across the financial services industry to improv</w:t>
      </w:r>
      <w:r w:rsidRPr="276A68DE" w:rsidR="444D4EE8">
        <w:rPr>
          <w:rFonts w:ascii="Arial" w:hAnsi="Arial" w:eastAsia="Arial" w:cs="Arial"/>
          <w:b w:val="0"/>
          <w:bCs w:val="0"/>
          <w:noProof w:val="0"/>
          <w:color w:val="auto"/>
          <w:sz w:val="22"/>
          <w:szCs w:val="22"/>
          <w:lang w:val="en-GB"/>
        </w:rPr>
        <w:t xml:space="preserve">e operational efficiency, automate decision-making and enhance customer experience. Industry data </w:t>
      </w:r>
      <w:r w:rsidRPr="276A68DE" w:rsidR="444D4EE8">
        <w:rPr>
          <w:rFonts w:ascii="Arial" w:hAnsi="Arial" w:eastAsia="Arial" w:cs="Arial"/>
          <w:b w:val="0"/>
          <w:bCs w:val="0"/>
          <w:noProof w:val="0"/>
          <w:color w:val="auto"/>
          <w:sz w:val="22"/>
          <w:szCs w:val="22"/>
          <w:lang w:val="en-GB"/>
        </w:rPr>
        <w:t>indicates</w:t>
      </w:r>
      <w:r w:rsidRPr="276A68DE" w:rsidR="444D4EE8">
        <w:rPr>
          <w:rFonts w:ascii="Arial" w:hAnsi="Arial" w:eastAsia="Arial" w:cs="Arial"/>
          <w:b w:val="0"/>
          <w:bCs w:val="0"/>
          <w:noProof w:val="0"/>
          <w:color w:val="auto"/>
          <w:sz w:val="22"/>
          <w:szCs w:val="22"/>
          <w:lang w:val="en-GB"/>
        </w:rPr>
        <w:t xml:space="preserve"> that the </w:t>
      </w:r>
      <w:r w:rsidRPr="276A68DE" w:rsidR="444D4EE8">
        <w:rPr>
          <w:rFonts w:ascii="Arial" w:hAnsi="Arial" w:eastAsia="Arial" w:cs="Arial"/>
          <w:b w:val="0"/>
          <w:bCs w:val="0"/>
          <w:noProof w:val="0"/>
          <w:color w:val="auto"/>
          <w:sz w:val="22"/>
          <w:szCs w:val="22"/>
          <w:lang w:val="en-GB"/>
        </w:rPr>
        <w:t>AI market within financial services is valued at approximately $17 billion in 2024 and is expected to grow significantly in the coming years</w:t>
      </w:r>
      <w:r w:rsidRPr="276A68DE" w:rsidR="444D4EE8">
        <w:rPr>
          <w:rFonts w:ascii="Arial" w:hAnsi="Arial" w:eastAsia="Arial" w:cs="Arial"/>
          <w:b w:val="0"/>
          <w:bCs w:val="0"/>
          <w:noProof w:val="0"/>
          <w:color w:val="auto"/>
          <w:sz w:val="22"/>
          <w:szCs w:val="22"/>
          <w:lang w:val="en-GB"/>
        </w:rPr>
        <w:t>,</w:t>
      </w:r>
      <w:r w:rsidRPr="276A68DE" w:rsidR="444D4EE8">
        <w:rPr>
          <w:rFonts w:ascii="Arial" w:hAnsi="Arial" w:eastAsia="Arial" w:cs="Arial"/>
          <w:noProof w:val="0"/>
          <w:color w:val="auto"/>
          <w:sz w:val="22"/>
          <w:szCs w:val="22"/>
          <w:lang w:val="en-GB"/>
        </w:rPr>
        <w:t xml:space="preserve"> reflecting rapid investment in AI-driven technologies such as risk analytics, automation, and personalised financial services. </w:t>
      </w:r>
      <w:r w:rsidRPr="276A68DE" w:rsidR="444D4EE8">
        <w:rPr>
          <w:rFonts w:ascii="Arial" w:hAnsi="Arial" w:eastAsia="Arial" w:cs="Arial"/>
          <w:noProof w:val="0"/>
          <w:color w:val="auto"/>
          <w:sz w:val="22"/>
          <w:szCs w:val="22"/>
          <w:lang w:val="en-GB"/>
        </w:rPr>
        <w:t xml:space="preserve">Financial institutions are increasingly using AI-based tools for fraud detection, customer service automation, and tailored financial advice, </w:t>
      </w:r>
      <w:r w:rsidRPr="276A68DE" w:rsidR="444D4EE8">
        <w:rPr>
          <w:rFonts w:ascii="Arial" w:hAnsi="Arial" w:eastAsia="Arial" w:cs="Arial"/>
          <w:noProof w:val="0"/>
          <w:color w:val="auto"/>
          <w:sz w:val="22"/>
          <w:szCs w:val="22"/>
          <w:lang w:val="en-GB"/>
        </w:rPr>
        <w:t>demonstrating</w:t>
      </w:r>
      <w:r w:rsidRPr="276A68DE" w:rsidR="444D4EE8">
        <w:rPr>
          <w:rFonts w:ascii="Arial" w:hAnsi="Arial" w:eastAsia="Arial" w:cs="Arial"/>
          <w:noProof w:val="0"/>
          <w:color w:val="auto"/>
          <w:sz w:val="22"/>
          <w:szCs w:val="22"/>
          <w:lang w:val="en-GB"/>
        </w:rPr>
        <w:t xml:space="preserve"> the growing strategic importance of AI in the secto</w:t>
      </w:r>
      <w:r w:rsidRPr="276A68DE" w:rsidR="444D4EE8">
        <w:rPr>
          <w:rFonts w:ascii="Arial" w:hAnsi="Arial" w:eastAsia="Arial" w:cs="Arial"/>
          <w:noProof w:val="0"/>
          <w:color w:val="auto"/>
          <w:sz w:val="22"/>
          <w:szCs w:val="22"/>
          <w:lang w:val="en-GB"/>
        </w:rPr>
        <w:t xml:space="preserve">r. </w:t>
      </w:r>
      <w:r w:rsidRPr="276A68DE" w:rsidR="5AF3458D">
        <w:rPr>
          <w:rFonts w:ascii="Arial" w:hAnsi="Arial" w:eastAsia="Arial" w:cs="Arial"/>
          <w:b w:val="0"/>
          <w:bCs w:val="0"/>
          <w:noProof w:val="0"/>
          <w:color w:val="auto"/>
          <w:sz w:val="22"/>
          <w:szCs w:val="22"/>
          <w:lang w:val="en-GB"/>
        </w:rPr>
        <w:t xml:space="preserve">Similarly, research by </w:t>
      </w:r>
      <w:r w:rsidRPr="276A68DE" w:rsidR="5AF3458D">
        <w:rPr>
          <w:rFonts w:ascii="Arial" w:hAnsi="Arial" w:eastAsia="Arial" w:cs="Arial"/>
          <w:b w:val="0"/>
          <w:bCs w:val="0"/>
          <w:noProof w:val="0"/>
          <w:color w:val="auto"/>
          <w:sz w:val="22"/>
          <w:szCs w:val="22"/>
          <w:lang w:val="en-GB"/>
        </w:rPr>
        <w:t>Davenport</w:t>
      </w:r>
      <w:r w:rsidRPr="276A68DE" w:rsidR="74663F21">
        <w:rPr>
          <w:rFonts w:ascii="Arial" w:hAnsi="Arial" w:eastAsia="Arial" w:cs="Arial"/>
          <w:b w:val="0"/>
          <w:bCs w:val="0"/>
          <w:noProof w:val="0"/>
          <w:color w:val="auto"/>
          <w:sz w:val="22"/>
          <w:szCs w:val="22"/>
          <w:lang w:val="en-GB"/>
        </w:rPr>
        <w:t>, &amp;</w:t>
      </w:r>
      <w:r w:rsidRPr="276A68DE" w:rsidR="5AF3458D">
        <w:rPr>
          <w:rFonts w:ascii="Arial" w:hAnsi="Arial" w:eastAsia="Arial" w:cs="Arial"/>
          <w:b w:val="0"/>
          <w:bCs w:val="0"/>
          <w:noProof w:val="0"/>
          <w:color w:val="auto"/>
          <w:sz w:val="22"/>
          <w:szCs w:val="22"/>
          <w:lang w:val="en-GB"/>
        </w:rPr>
        <w:t xml:space="preserve"> </w:t>
      </w:r>
      <w:r w:rsidRPr="276A68DE" w:rsidR="5AF3458D">
        <w:rPr>
          <w:rFonts w:ascii="Arial" w:hAnsi="Arial" w:eastAsia="Arial" w:cs="Arial"/>
          <w:b w:val="0"/>
          <w:bCs w:val="0"/>
          <w:noProof w:val="0"/>
          <w:color w:val="auto"/>
          <w:sz w:val="22"/>
          <w:szCs w:val="22"/>
          <w:lang w:val="en-GB"/>
        </w:rPr>
        <w:t>Ronanki</w:t>
      </w:r>
      <w:r w:rsidRPr="276A68DE" w:rsidR="7D41CA58">
        <w:rPr>
          <w:rFonts w:ascii="Arial" w:hAnsi="Arial" w:eastAsia="Arial" w:cs="Arial"/>
          <w:b w:val="0"/>
          <w:bCs w:val="0"/>
          <w:noProof w:val="0"/>
          <w:color w:val="auto"/>
          <w:sz w:val="22"/>
          <w:szCs w:val="22"/>
          <w:lang w:val="en-GB"/>
        </w:rPr>
        <w:t xml:space="preserve">, </w:t>
      </w:r>
      <w:r w:rsidRPr="276A68DE" w:rsidR="5AF3458D">
        <w:rPr>
          <w:rFonts w:ascii="Arial" w:hAnsi="Arial" w:eastAsia="Arial" w:cs="Arial"/>
          <w:b w:val="0"/>
          <w:bCs w:val="0"/>
          <w:noProof w:val="0"/>
          <w:color w:val="auto"/>
          <w:sz w:val="22"/>
          <w:szCs w:val="22"/>
          <w:lang w:val="en-GB"/>
        </w:rPr>
        <w:t>(2018)</w:t>
      </w:r>
      <w:r w:rsidRPr="276A68DE" w:rsidR="5AF3458D">
        <w:rPr>
          <w:rFonts w:ascii="Arial" w:hAnsi="Arial" w:eastAsia="Arial" w:cs="Arial"/>
          <w:b w:val="0"/>
          <w:bCs w:val="0"/>
          <w:noProof w:val="0"/>
          <w:color w:val="auto"/>
          <w:sz w:val="22"/>
          <w:szCs w:val="22"/>
          <w:lang w:val="en-GB"/>
        </w:rPr>
        <w:t xml:space="preserve"> </w:t>
      </w:r>
      <w:r w:rsidRPr="276A68DE" w:rsidR="5AF3458D">
        <w:rPr>
          <w:rFonts w:ascii="Arial" w:hAnsi="Arial" w:eastAsia="Arial" w:cs="Arial"/>
          <w:noProof w:val="0"/>
          <w:color w:val="auto"/>
          <w:sz w:val="22"/>
          <w:szCs w:val="22"/>
          <w:lang w:val="en-GB"/>
        </w:rPr>
        <w:t xml:space="preserve">suggests that AI technologies enable organisations to analyse large volumes of data </w:t>
      </w:r>
      <w:r w:rsidRPr="276A68DE" w:rsidR="0D4CC2F4">
        <w:rPr>
          <w:rFonts w:ascii="Arial" w:hAnsi="Arial" w:eastAsia="Arial" w:cs="Arial"/>
          <w:noProof w:val="0"/>
          <w:color w:val="auto"/>
          <w:sz w:val="22"/>
          <w:szCs w:val="22"/>
          <w:lang w:val="en-GB"/>
        </w:rPr>
        <w:t>to</w:t>
      </w:r>
      <w:r w:rsidRPr="276A68DE" w:rsidR="5AF3458D">
        <w:rPr>
          <w:rFonts w:ascii="Arial" w:hAnsi="Arial" w:eastAsia="Arial" w:cs="Arial"/>
          <w:noProof w:val="0"/>
          <w:color w:val="auto"/>
          <w:sz w:val="22"/>
          <w:szCs w:val="22"/>
          <w:lang w:val="en-GB"/>
        </w:rPr>
        <w:t xml:space="preserve"> deliver more personalised insights and improve decision-making </w:t>
      </w:r>
      <w:r w:rsidRPr="276A68DE" w:rsidR="6C93683A">
        <w:rPr>
          <w:rFonts w:ascii="Arial" w:hAnsi="Arial" w:eastAsia="Arial" w:cs="Arial"/>
          <w:noProof w:val="0"/>
          <w:color w:val="auto"/>
          <w:sz w:val="22"/>
          <w:szCs w:val="22"/>
          <w:lang w:val="en-GB"/>
        </w:rPr>
        <w:t>processes.</w:t>
      </w:r>
    </w:p>
    <w:p w:rsidR="5AF3458D" w:rsidP="19BFEAD1" w:rsidRDefault="5AF3458D" w14:paraId="24F23D8D" w14:textId="72548DE7">
      <w:pPr>
        <w:pStyle w:val="Normal"/>
        <w:spacing w:before="240" w:beforeAutospacing="off" w:after="240" w:afterAutospacing="off" w:line="360" w:lineRule="auto"/>
        <w:rPr>
          <w:rFonts w:ascii="Arial" w:hAnsi="Arial" w:eastAsia="Arial" w:cs="Arial"/>
          <w:b w:val="1"/>
          <w:bCs w:val="1"/>
          <w:noProof w:val="0"/>
          <w:color w:val="auto"/>
          <w:sz w:val="22"/>
          <w:szCs w:val="22"/>
          <w:lang w:val="en-GB"/>
        </w:rPr>
      </w:pPr>
      <w:r w:rsidRPr="19BFEAD1" w:rsidR="5AF3458D">
        <w:rPr>
          <w:rFonts w:ascii="Arial" w:hAnsi="Arial" w:eastAsia="Arial" w:cs="Arial"/>
          <w:noProof w:val="0"/>
          <w:color w:val="auto"/>
          <w:sz w:val="22"/>
          <w:szCs w:val="22"/>
          <w:lang w:val="en-GB"/>
        </w:rPr>
        <w:t>.</w:t>
      </w:r>
      <w:r w:rsidR="0F1BDBDC">
        <w:drawing>
          <wp:inline wp14:editId="46BF1A5A" wp14:anchorId="085ECB9E">
            <wp:extent cx="3771995" cy="2311018"/>
            <wp:effectExtent l="0" t="0" r="0" b="0"/>
            <wp:docPr id="9831523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62966870" name="Picture 1162966870"/>
                    <pic:cNvPicPr/>
                  </pic:nvPicPr>
                  <pic:blipFill>
                    <a:blip xmlns:r="http://schemas.openxmlformats.org/officeDocument/2006/relationships" r:embed="rId1940121978">
                      <a:extLst>
                        <a:ext uri="{28A0092B-C50C-407E-A947-70E740481C1C}">
                          <a14:useLocalDpi xmlns:a14="http://schemas.microsoft.com/office/drawing/2010/main"/>
                        </a:ext>
                      </a:extLst>
                    </a:blip>
                    <a:stretch>
                      <a:fillRect/>
                    </a:stretch>
                  </pic:blipFill>
                  <pic:spPr>
                    <a:xfrm rot="0">
                      <a:off x="0" y="0"/>
                      <a:ext cx="3771995" cy="2311018"/>
                    </a:xfrm>
                    <a:prstGeom prst="rect">
                      <a:avLst/>
                    </a:prstGeom>
                  </pic:spPr>
                </pic:pic>
              </a:graphicData>
            </a:graphic>
          </wp:inline>
        </w:drawing>
      </w:r>
    </w:p>
    <w:p w:rsidR="5AF3458D" w:rsidP="19BFEAD1" w:rsidRDefault="5AF3458D" w14:paraId="5CA9204D" w14:textId="254D48CB">
      <w:pPr>
        <w:pStyle w:val="Normal"/>
        <w:spacing w:before="240" w:beforeAutospacing="off" w:after="240" w:afterAutospacing="off" w:line="360" w:lineRule="auto"/>
        <w:rPr>
          <w:rFonts w:ascii="Arial" w:hAnsi="Arial" w:eastAsia="Arial" w:cs="Arial"/>
          <w:b w:val="1"/>
          <w:bCs w:val="1"/>
          <w:noProof w:val="0"/>
          <w:color w:val="auto"/>
          <w:sz w:val="22"/>
          <w:szCs w:val="22"/>
          <w:lang w:val="en-GB"/>
        </w:rPr>
      </w:pPr>
      <w:r w:rsidRPr="19BFEAD1" w:rsidR="0F1BDBDC">
        <w:rPr>
          <w:rFonts w:ascii="Arial" w:hAnsi="Arial" w:eastAsia="Arial" w:cs="Arial"/>
          <w:noProof w:val="0"/>
          <w:color w:val="auto"/>
          <w:sz w:val="22"/>
          <w:szCs w:val="22"/>
          <w:lang w:val="en-GB"/>
        </w:rPr>
        <w:t xml:space="preserve">Sourced on: </w:t>
      </w:r>
      <w:hyperlink r:id="Rfcdcdbc553c64d71">
        <w:r w:rsidRPr="19BFEAD1" w:rsidR="0F1BDBDC">
          <w:rPr>
            <w:rStyle w:val="Hyperlink"/>
            <w:rFonts w:ascii="Arial" w:hAnsi="Arial" w:eastAsia="Arial" w:cs="Arial"/>
            <w:noProof w:val="0"/>
            <w:color w:val="auto"/>
            <w:sz w:val="22"/>
            <w:szCs w:val="22"/>
            <w:lang w:val="en-GB"/>
          </w:rPr>
          <w:t>omnium.fintechreport,(2024)</w:t>
        </w:r>
      </w:hyperlink>
    </w:p>
    <w:p w:rsidR="5AF3458D" w:rsidP="2E8D55B9" w:rsidRDefault="5AF3458D" w14:paraId="6C42654B" w14:textId="20481BD3">
      <w:pPr>
        <w:pStyle w:val="Normal"/>
        <w:spacing w:before="240" w:beforeAutospacing="off" w:after="240" w:afterAutospacing="off" w:line="360" w:lineRule="auto"/>
        <w:rPr>
          <w:rFonts w:ascii="Arial" w:hAnsi="Arial" w:eastAsia="Arial" w:cs="Arial"/>
          <w:b w:val="0"/>
          <w:bCs w:val="0"/>
          <w:noProof w:val="0"/>
          <w:color w:val="auto"/>
          <w:sz w:val="22"/>
          <w:szCs w:val="22"/>
          <w:lang w:val="en-GB"/>
        </w:rPr>
      </w:pPr>
      <w:r w:rsidRPr="2E8D55B9" w:rsidR="5AF3458D">
        <w:rPr>
          <w:rFonts w:ascii="Arial" w:hAnsi="Arial" w:eastAsia="Arial" w:cs="Arial"/>
          <w:b w:val="0"/>
          <w:bCs w:val="0"/>
          <w:noProof w:val="0"/>
          <w:color w:val="auto"/>
          <w:sz w:val="22"/>
          <w:szCs w:val="22"/>
          <w:lang w:val="en-GB"/>
        </w:rPr>
        <w:t xml:space="preserve">For Legal &amp; General, implementing an AI-driven retirement ecosystem could enable the organisation to move beyond traditional financial service delivery towards a </w:t>
      </w:r>
      <w:r w:rsidRPr="2E8D55B9" w:rsidR="5AF3458D">
        <w:rPr>
          <w:rFonts w:ascii="Arial" w:hAnsi="Arial" w:eastAsia="Arial" w:cs="Arial"/>
          <w:b w:val="0"/>
          <w:bCs w:val="0"/>
          <w:noProof w:val="0"/>
          <w:color w:val="auto"/>
          <w:sz w:val="22"/>
          <w:szCs w:val="22"/>
          <w:lang w:val="en-GB"/>
        </w:rPr>
        <w:t>more proactive and data-driven customer experience model</w:t>
      </w:r>
      <w:r w:rsidRPr="2E8D55B9" w:rsidR="5AF3458D">
        <w:rPr>
          <w:rFonts w:ascii="Arial" w:hAnsi="Arial" w:eastAsia="Arial" w:cs="Arial"/>
          <w:b w:val="0"/>
          <w:bCs w:val="0"/>
          <w:noProof w:val="0"/>
          <w:color w:val="auto"/>
          <w:sz w:val="22"/>
          <w:szCs w:val="22"/>
          <w:lang w:val="en-GB"/>
        </w:rPr>
        <w:t>. By analysing customer financial behaviour, pension contributions and investment performance, the platform could generate personalised retirement forecasts and tailored financial recommendations that help customers better understand their long-term financial outlook.</w:t>
      </w:r>
    </w:p>
    <w:p w:rsidR="5AF3458D" w:rsidP="276A68DE" w:rsidRDefault="5AF3458D" w14:paraId="7636C41D" w14:textId="2D0EAD7E">
      <w:pPr>
        <w:pStyle w:val="Heading1"/>
        <w:rPr>
          <w:rFonts w:ascii="Arial" w:hAnsi="Arial" w:eastAsia="Arial" w:cs="Arial"/>
          <w:b w:val="1"/>
          <w:bCs w:val="1"/>
          <w:noProof w:val="0"/>
          <w:color w:val="auto"/>
          <w:sz w:val="22"/>
          <w:szCs w:val="22"/>
          <w:lang w:val="en-GB"/>
        </w:rPr>
      </w:pPr>
      <w:bookmarkStart w:name="_Toc1602188157" w:id="1763940345"/>
      <w:r w:rsidRPr="324F1939" w:rsidR="53D41E01">
        <w:rPr>
          <w:rFonts w:ascii="Arial" w:hAnsi="Arial" w:eastAsia="Arial" w:cs="Arial"/>
          <w:noProof w:val="0"/>
          <w:sz w:val="22"/>
          <w:szCs w:val="22"/>
          <w:lang w:val="en-GB"/>
        </w:rPr>
        <w:t>Key Features of the Proposed Platform</w:t>
      </w:r>
      <w:bookmarkEnd w:id="1763940345"/>
    </w:p>
    <w:p w:rsidR="5AF3458D" w:rsidP="2E8D55B9" w:rsidRDefault="5AF3458D" w14:paraId="47C22E3D" w14:textId="1FE57629">
      <w:pPr>
        <w:spacing w:before="240" w:beforeAutospacing="off" w:after="240" w:afterAutospacing="off" w:line="360" w:lineRule="auto"/>
        <w:rPr>
          <w:rFonts w:ascii="Arial" w:hAnsi="Arial" w:eastAsia="Arial" w:cs="Arial"/>
          <w:noProof w:val="0"/>
          <w:color w:val="auto"/>
          <w:sz w:val="22"/>
          <w:szCs w:val="22"/>
          <w:lang w:val="en-GB"/>
        </w:rPr>
      </w:pPr>
      <w:r w:rsidRPr="5D0BA9EE" w:rsidR="5AF3458D">
        <w:rPr>
          <w:rFonts w:ascii="Arial" w:hAnsi="Arial" w:eastAsia="Arial" w:cs="Arial"/>
          <w:noProof w:val="0"/>
          <w:color w:val="auto"/>
          <w:sz w:val="22"/>
          <w:szCs w:val="22"/>
          <w:lang w:val="en-GB"/>
        </w:rPr>
        <w:t xml:space="preserve">The proposed AI-driven retirement ecosystem would introduce several digital features designed to improve financial transparency, customer </w:t>
      </w:r>
      <w:r w:rsidRPr="5D0BA9EE" w:rsidR="67B1EF37">
        <w:rPr>
          <w:rFonts w:ascii="Arial" w:hAnsi="Arial" w:eastAsia="Arial" w:cs="Arial"/>
          <w:noProof w:val="0"/>
          <w:color w:val="auto"/>
          <w:sz w:val="22"/>
          <w:szCs w:val="22"/>
          <w:lang w:val="en-GB"/>
        </w:rPr>
        <w:t>engagement,</w:t>
      </w:r>
      <w:r w:rsidRPr="5D0BA9EE" w:rsidR="5AF3458D">
        <w:rPr>
          <w:rFonts w:ascii="Arial" w:hAnsi="Arial" w:eastAsia="Arial" w:cs="Arial"/>
          <w:noProof w:val="0"/>
          <w:color w:val="auto"/>
          <w:sz w:val="22"/>
          <w:szCs w:val="22"/>
          <w:lang w:val="en-GB"/>
        </w:rPr>
        <w:t xml:space="preserve"> and retirement planning effectiveness.</w:t>
      </w:r>
    </w:p>
    <w:p w:rsidR="5D0BA9EE" w:rsidP="5D0BA9EE" w:rsidRDefault="5D0BA9EE" w14:paraId="1164C627" w14:textId="7C636089">
      <w:pPr>
        <w:spacing w:before="240" w:beforeAutospacing="off" w:after="240" w:afterAutospacing="off" w:line="360" w:lineRule="auto"/>
        <w:rPr>
          <w:rFonts w:ascii="Arial" w:hAnsi="Arial" w:eastAsia="Arial" w:cs="Arial"/>
          <w:noProof w:val="0"/>
          <w:color w:val="auto"/>
          <w:sz w:val="22"/>
          <w:szCs w:val="22"/>
          <w:lang w:val="en-GB"/>
        </w:rPr>
      </w:pPr>
    </w:p>
    <w:p w:rsidR="5D0BA9EE" w:rsidP="5D0BA9EE" w:rsidRDefault="5D0BA9EE" w14:paraId="5D4DCEFB" w14:textId="316A53B7">
      <w:pPr>
        <w:spacing w:before="240" w:beforeAutospacing="off" w:after="240" w:afterAutospacing="off" w:line="360" w:lineRule="auto"/>
        <w:rPr>
          <w:rFonts w:ascii="Arial" w:hAnsi="Arial" w:eastAsia="Arial" w:cs="Arial"/>
          <w:noProof w:val="0"/>
          <w:color w:val="auto"/>
          <w:sz w:val="22"/>
          <w:szCs w:val="22"/>
          <w:lang w:val="en-GB"/>
        </w:rPr>
      </w:pPr>
    </w:p>
    <w:p w:rsidR="66319048" w:rsidP="276A68DE" w:rsidRDefault="66319048" w14:paraId="59296D33" w14:textId="79F18695">
      <w:pPr>
        <w:pStyle w:val="Normal"/>
        <w:bidi w:val="0"/>
        <w:spacing w:before="240" w:beforeAutospacing="off" w:after="240" w:afterAutospacing="off" w:line="360" w:lineRule="auto"/>
        <w:rPr>
          <w:rFonts w:ascii="Arial" w:hAnsi="Arial" w:eastAsia="Arial" w:cs="Arial"/>
          <w:b w:val="1"/>
          <w:bCs w:val="1"/>
          <w:noProof w:val="0"/>
          <w:color w:val="auto"/>
          <w:sz w:val="22"/>
          <w:szCs w:val="22"/>
          <w:lang w:val="en-GB"/>
        </w:rPr>
      </w:pPr>
      <w:r w:rsidRPr="276A68DE" w:rsidR="53D41E01">
        <w:rPr>
          <w:rFonts w:ascii="Arial" w:hAnsi="Arial" w:eastAsia="Arial" w:cs="Arial"/>
          <w:noProof w:val="0"/>
          <w:color w:val="auto"/>
          <w:sz w:val="22"/>
          <w:szCs w:val="22"/>
          <w:lang w:val="en-GB"/>
        </w:rPr>
        <w:t>Figure 3: Platform Features</w:t>
      </w:r>
    </w:p>
    <w:p w:rsidR="65493792" w:rsidP="2E8D55B9" w:rsidRDefault="65493792" w14:paraId="0D363061" w14:textId="0FB5BF6C">
      <w:pPr>
        <w:bidi w:val="0"/>
        <w:spacing w:before="240" w:beforeAutospacing="off" w:after="240" w:afterAutospacing="off" w:line="360" w:lineRule="auto"/>
        <w:rPr>
          <w:rFonts w:ascii="Arial" w:hAnsi="Arial" w:eastAsia="Arial" w:cs="Arial"/>
          <w:noProof w:val="0"/>
          <w:color w:val="auto"/>
          <w:sz w:val="22"/>
          <w:szCs w:val="22"/>
          <w:lang w:val="en-GB"/>
        </w:rPr>
      </w:pPr>
      <w:r w:rsidR="65493792">
        <w:drawing>
          <wp:inline wp14:editId="35086154" wp14:anchorId="5D62B67A">
            <wp:extent cx="5347350" cy="3829738"/>
            <wp:effectExtent l="0" t="0" r="0" b="0"/>
            <wp:docPr id="9999041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99904132" name="Picture 999904132"/>
                    <pic:cNvPicPr/>
                  </pic:nvPicPr>
                  <pic:blipFill>
                    <a:blip xmlns:r="http://schemas.openxmlformats.org/officeDocument/2006/relationships" r:embed="rId1339807416">
                      <a:extLst>
                        <a:ext uri="{28A0092B-C50C-407E-A947-70E740481C1C}">
                          <a14:useLocalDpi xmlns:a14="http://schemas.microsoft.com/office/drawing/2010/main"/>
                        </a:ext>
                      </a:extLst>
                    </a:blip>
                    <a:stretch>
                      <a:fillRect/>
                    </a:stretch>
                  </pic:blipFill>
                  <pic:spPr>
                    <a:xfrm rot="0">
                      <a:off x="0" y="0"/>
                      <a:ext cx="5347350" cy="3829738"/>
                    </a:xfrm>
                    <a:prstGeom prst="rect">
                      <a:avLst/>
                    </a:prstGeom>
                  </pic:spPr>
                </pic:pic>
              </a:graphicData>
            </a:graphic>
          </wp:inline>
        </w:drawing>
      </w:r>
    </w:p>
    <w:p w:rsidR="4275AC7F" w:rsidP="2E8D55B9" w:rsidRDefault="4275AC7F" w14:paraId="741E2734" w14:textId="789BE87C">
      <w:pPr>
        <w:pStyle w:val="Normal"/>
        <w:bidi w:val="0"/>
        <w:spacing w:before="240" w:beforeAutospacing="off" w:after="240" w:afterAutospacing="off" w:line="360" w:lineRule="auto"/>
        <w:rPr>
          <w:rFonts w:ascii="Arial" w:hAnsi="Arial" w:eastAsia="Arial" w:cs="Arial"/>
          <w:noProof w:val="0"/>
          <w:color w:val="auto"/>
          <w:sz w:val="22"/>
          <w:szCs w:val="22"/>
          <w:lang w:val="en-GB"/>
        </w:rPr>
      </w:pPr>
      <w:r w:rsidRPr="19BFEAD1" w:rsidR="4275AC7F">
        <w:rPr>
          <w:rFonts w:ascii="Arial" w:hAnsi="Arial" w:eastAsia="Arial" w:cs="Arial"/>
          <w:noProof w:val="0"/>
          <w:color w:val="auto"/>
          <w:sz w:val="22"/>
          <w:szCs w:val="22"/>
          <w:lang w:val="en-GB"/>
        </w:rPr>
        <w:t xml:space="preserve">The integration of behavioural finance principles is particularly important in improving </w:t>
      </w:r>
      <w:r w:rsidRPr="19BFEAD1" w:rsidR="4275AC7F">
        <w:rPr>
          <w:rFonts w:ascii="Arial" w:hAnsi="Arial" w:eastAsia="Arial" w:cs="Arial"/>
          <w:b w:val="0"/>
          <w:bCs w:val="0"/>
          <w:noProof w:val="0"/>
          <w:color w:val="auto"/>
          <w:sz w:val="22"/>
          <w:szCs w:val="22"/>
          <w:lang w:val="en-GB"/>
        </w:rPr>
        <w:t xml:space="preserve">retirement outcomes. Behavioural research </w:t>
      </w:r>
      <w:r w:rsidRPr="19BFEAD1" w:rsidR="4275AC7F">
        <w:rPr>
          <w:rFonts w:ascii="Arial" w:hAnsi="Arial" w:eastAsia="Arial" w:cs="Arial"/>
          <w:b w:val="0"/>
          <w:bCs w:val="0"/>
          <w:noProof w:val="0"/>
          <w:color w:val="auto"/>
          <w:sz w:val="22"/>
          <w:szCs w:val="22"/>
          <w:lang w:val="en-GB"/>
        </w:rPr>
        <w:t>indicates</w:t>
      </w:r>
      <w:r w:rsidRPr="19BFEAD1" w:rsidR="4275AC7F">
        <w:rPr>
          <w:rFonts w:ascii="Arial" w:hAnsi="Arial" w:eastAsia="Arial" w:cs="Arial"/>
          <w:b w:val="0"/>
          <w:bCs w:val="0"/>
          <w:noProof w:val="0"/>
          <w:color w:val="auto"/>
          <w:sz w:val="22"/>
          <w:szCs w:val="22"/>
          <w:lang w:val="en-GB"/>
        </w:rPr>
        <w:t xml:space="preserve"> that individuals are more likely to save for retirement when provided with </w:t>
      </w:r>
      <w:r w:rsidRPr="19BFEAD1" w:rsidR="4275AC7F">
        <w:rPr>
          <w:rFonts w:ascii="Arial" w:hAnsi="Arial" w:eastAsia="Arial" w:cs="Arial"/>
          <w:b w:val="0"/>
          <w:bCs w:val="0"/>
          <w:noProof w:val="0"/>
          <w:color w:val="auto"/>
          <w:sz w:val="22"/>
          <w:szCs w:val="22"/>
          <w:lang w:val="en-GB"/>
        </w:rPr>
        <w:t>automated enrolment, reminders, and simplified decision-making processes</w:t>
      </w:r>
      <w:r w:rsidRPr="19BFEAD1" w:rsidR="4275AC7F">
        <w:rPr>
          <w:rFonts w:ascii="Arial" w:hAnsi="Arial" w:eastAsia="Arial" w:cs="Arial"/>
          <w:b w:val="0"/>
          <w:bCs w:val="0"/>
          <w:noProof w:val="0"/>
          <w:color w:val="auto"/>
          <w:sz w:val="22"/>
          <w:szCs w:val="22"/>
          <w:lang w:val="en-GB"/>
        </w:rPr>
        <w:t xml:space="preserve">, which reduce inertia and improve participation rates </w:t>
      </w:r>
      <w:r w:rsidRPr="19BFEAD1" w:rsidR="4275AC7F">
        <w:rPr>
          <w:rFonts w:ascii="Arial" w:hAnsi="Arial" w:eastAsia="Arial" w:cs="Arial"/>
          <w:b w:val="0"/>
          <w:bCs w:val="0"/>
          <w:noProof w:val="0"/>
          <w:color w:val="auto"/>
          <w:sz w:val="22"/>
          <w:szCs w:val="22"/>
          <w:lang w:val="en-GB"/>
        </w:rPr>
        <w:t>Madrian</w:t>
      </w:r>
      <w:r w:rsidRPr="19BFEAD1" w:rsidR="4275AC7F">
        <w:rPr>
          <w:rFonts w:ascii="Arial" w:hAnsi="Arial" w:eastAsia="Arial" w:cs="Arial"/>
          <w:b w:val="0"/>
          <w:bCs w:val="0"/>
          <w:noProof w:val="0"/>
          <w:color w:val="auto"/>
          <w:sz w:val="22"/>
          <w:szCs w:val="22"/>
          <w:lang w:val="en-GB"/>
        </w:rPr>
        <w:t xml:space="preserve"> and Shea, </w:t>
      </w:r>
      <w:r w:rsidRPr="19BFEAD1" w:rsidR="30CAC701">
        <w:rPr>
          <w:rFonts w:ascii="Arial" w:hAnsi="Arial" w:eastAsia="Arial" w:cs="Arial"/>
          <w:b w:val="0"/>
          <w:bCs w:val="0"/>
          <w:noProof w:val="0"/>
          <w:color w:val="auto"/>
          <w:sz w:val="22"/>
          <w:szCs w:val="22"/>
          <w:lang w:val="en-GB"/>
        </w:rPr>
        <w:t>(</w:t>
      </w:r>
      <w:r w:rsidRPr="19BFEAD1" w:rsidR="4275AC7F">
        <w:rPr>
          <w:rFonts w:ascii="Arial" w:hAnsi="Arial" w:eastAsia="Arial" w:cs="Arial"/>
          <w:b w:val="0"/>
          <w:bCs w:val="0"/>
          <w:noProof w:val="0"/>
          <w:color w:val="auto"/>
          <w:sz w:val="22"/>
          <w:szCs w:val="22"/>
          <w:lang w:val="en-GB"/>
        </w:rPr>
        <w:t>2001). By incorporating behavi</w:t>
      </w:r>
      <w:r w:rsidRPr="19BFEAD1" w:rsidR="4275AC7F">
        <w:rPr>
          <w:rFonts w:ascii="Arial" w:hAnsi="Arial" w:eastAsia="Arial" w:cs="Arial"/>
          <w:noProof w:val="0"/>
          <w:color w:val="auto"/>
          <w:sz w:val="22"/>
          <w:szCs w:val="22"/>
          <w:lang w:val="en-GB"/>
        </w:rPr>
        <w:t>oural nudges within digital platforms</w:t>
      </w:r>
      <w:r w:rsidRPr="19BFEAD1" w:rsidR="2B0DF384">
        <w:rPr>
          <w:rFonts w:ascii="Arial" w:hAnsi="Arial" w:eastAsia="Arial" w:cs="Arial"/>
          <w:noProof w:val="0"/>
          <w:color w:val="auto"/>
          <w:sz w:val="22"/>
          <w:szCs w:val="22"/>
          <w:lang w:val="en-GB"/>
        </w:rPr>
        <w:t xml:space="preserve"> </w:t>
      </w:r>
      <w:r w:rsidRPr="19BFEAD1" w:rsidR="4275AC7F">
        <w:rPr>
          <w:rFonts w:ascii="Arial" w:hAnsi="Arial" w:eastAsia="Arial" w:cs="Arial"/>
          <w:noProof w:val="0"/>
          <w:color w:val="auto"/>
          <w:sz w:val="22"/>
          <w:szCs w:val="22"/>
          <w:lang w:val="en-GB"/>
        </w:rPr>
        <w:t>such as personalised prompts and clear financial insight</w:t>
      </w:r>
      <w:r w:rsidRPr="19BFEAD1" w:rsidR="0D05961D">
        <w:rPr>
          <w:rFonts w:ascii="Arial" w:hAnsi="Arial" w:eastAsia="Arial" w:cs="Arial"/>
          <w:noProof w:val="0"/>
          <w:color w:val="auto"/>
          <w:sz w:val="22"/>
          <w:szCs w:val="22"/>
          <w:lang w:val="en-GB"/>
        </w:rPr>
        <w:t xml:space="preserve">s </w:t>
      </w:r>
      <w:r w:rsidRPr="19BFEAD1" w:rsidR="4275AC7F">
        <w:rPr>
          <w:rFonts w:ascii="Arial" w:hAnsi="Arial" w:eastAsia="Arial" w:cs="Arial"/>
          <w:noProof w:val="0"/>
          <w:color w:val="auto"/>
          <w:sz w:val="22"/>
          <w:szCs w:val="22"/>
          <w:lang w:val="en-GB"/>
        </w:rPr>
        <w:t>organisations like Legal &amp; General can encourage customers to make more proactive financial decisions while increasing engagement with retirement savings.</w:t>
      </w:r>
    </w:p>
    <w:p w:rsidR="1A0FADCC" w:rsidP="276A68DE" w:rsidRDefault="1A0FADCC" w14:paraId="4D1E52E8" w14:textId="56D8D20D">
      <w:pPr>
        <w:pStyle w:val="Heading1"/>
        <w:rPr>
          <w:rFonts w:ascii="Arial" w:hAnsi="Arial" w:eastAsia="Arial" w:cs="Arial"/>
          <w:color w:val="auto"/>
          <w:sz w:val="22"/>
          <w:szCs w:val="22"/>
        </w:rPr>
      </w:pPr>
      <w:bookmarkStart w:name="_Toc549510701" w:id="175656840"/>
      <w:r w:rsidRPr="324F1939" w:rsidR="4BC640FD">
        <w:rPr>
          <w:rFonts w:ascii="Arial" w:hAnsi="Arial" w:eastAsia="Arial" w:cs="Arial"/>
          <w:sz w:val="22"/>
          <w:szCs w:val="22"/>
        </w:rPr>
        <w:t xml:space="preserve">Causal loop diagram – AI- driven </w:t>
      </w:r>
      <w:r w:rsidRPr="324F1939" w:rsidR="4BC640FD">
        <w:rPr>
          <w:rFonts w:ascii="Arial" w:hAnsi="Arial" w:eastAsia="Arial" w:cs="Arial"/>
          <w:sz w:val="22"/>
          <w:szCs w:val="22"/>
        </w:rPr>
        <w:t>retirement</w:t>
      </w:r>
      <w:r w:rsidRPr="324F1939" w:rsidR="4BC640FD">
        <w:rPr>
          <w:rFonts w:ascii="Arial" w:hAnsi="Arial" w:eastAsia="Arial" w:cs="Arial"/>
          <w:sz w:val="22"/>
          <w:szCs w:val="22"/>
        </w:rPr>
        <w:t xml:space="preserve"> ecosystem</w:t>
      </w:r>
      <w:bookmarkEnd w:id="175656840"/>
    </w:p>
    <w:p w:rsidR="124BCCE0" w:rsidP="2E8D55B9" w:rsidRDefault="124BCCE0" w14:paraId="14647FA3" w14:textId="0799162D">
      <w:pPr>
        <w:pStyle w:val="Normal"/>
        <w:bidi w:val="0"/>
        <w:spacing w:before="240" w:beforeAutospacing="off" w:after="240" w:afterAutospacing="off" w:line="360" w:lineRule="auto"/>
        <w:rPr>
          <w:rFonts w:ascii="Arial" w:hAnsi="Arial" w:eastAsia="Arial" w:cs="Arial"/>
          <w:noProof w:val="0"/>
          <w:color w:val="auto"/>
          <w:sz w:val="22"/>
          <w:szCs w:val="22"/>
          <w:lang w:val="en-GB"/>
        </w:rPr>
      </w:pPr>
      <w:r w:rsidRPr="276A68DE" w:rsidR="124BCCE0">
        <w:rPr>
          <w:rFonts w:ascii="Arial" w:hAnsi="Arial" w:eastAsia="Arial" w:cs="Arial"/>
          <w:noProof w:val="0"/>
          <w:color w:val="auto"/>
          <w:sz w:val="22"/>
          <w:szCs w:val="22"/>
          <w:lang w:val="en-GB"/>
        </w:rPr>
        <w:t>The causal loop diagram shows how the proposed AI-driven retirement ecosystem can create a positive cycle that improves both customer experience and financial outcomes. By using AI to personalise information, customers can better understand their pension and overall financial position. This clearer understanding makes them more likely to engage with the platform, check their progress, and make more informed decisions. As engagement increases, customers are more likely to contribute more and take a more active role in managing their pension, which leads to better financial outcomes over time</w:t>
      </w:r>
      <w:r w:rsidRPr="276A68DE" w:rsidR="6A77ADC9">
        <w:rPr>
          <w:rFonts w:ascii="Arial" w:hAnsi="Arial" w:eastAsia="Arial" w:cs="Arial"/>
          <w:noProof w:val="0"/>
          <w:color w:val="auto"/>
          <w:sz w:val="22"/>
          <w:szCs w:val="22"/>
          <w:lang w:val="en-GB"/>
        </w:rPr>
        <w:t xml:space="preserve"> </w:t>
      </w:r>
      <w:r w:rsidRPr="276A68DE" w:rsidR="6A77ADC9">
        <w:rPr>
          <w:rFonts w:ascii="Arial" w:hAnsi="Arial" w:eastAsia="Arial" w:cs="Arial"/>
          <w:b w:val="0"/>
          <w:bCs w:val="0"/>
          <w:i w:val="0"/>
          <w:iCs w:val="0"/>
          <w:caps w:val="0"/>
          <w:smallCaps w:val="0"/>
          <w:noProof w:val="0"/>
          <w:color w:val="auto"/>
          <w:sz w:val="22"/>
          <w:szCs w:val="22"/>
          <w:lang w:val="en-GB"/>
        </w:rPr>
        <w:t>Lemon, &amp; Verhoef, (2016).</w:t>
      </w:r>
    </w:p>
    <w:p w:rsidR="124BCCE0" w:rsidP="2E8D55B9" w:rsidRDefault="124BCCE0" w14:paraId="2507B944" w14:textId="27F9D221">
      <w:pPr>
        <w:bidi w:val="0"/>
        <w:spacing w:before="240" w:beforeAutospacing="off" w:after="240" w:afterAutospacing="off" w:line="360" w:lineRule="auto"/>
        <w:rPr>
          <w:rFonts w:ascii="Arial" w:hAnsi="Arial" w:eastAsia="Arial" w:cs="Arial"/>
          <w:noProof w:val="0"/>
          <w:color w:val="auto"/>
          <w:sz w:val="22"/>
          <w:szCs w:val="22"/>
          <w:lang w:val="en-GB"/>
        </w:rPr>
      </w:pPr>
      <w:r w:rsidRPr="2E8D55B9" w:rsidR="124BCCE0">
        <w:rPr>
          <w:rFonts w:ascii="Arial" w:hAnsi="Arial" w:eastAsia="Arial" w:cs="Arial"/>
          <w:noProof w:val="0"/>
          <w:color w:val="auto"/>
          <w:sz w:val="22"/>
          <w:szCs w:val="22"/>
          <w:lang w:val="en-GB"/>
        </w:rPr>
        <w:t>As customers begin to see these improvements, their trust and satisfaction grow, making them more likely to continue using the platform regularly. This increased usage also generates more data, allowing the system to offer even more personalised and relevant insights. In this way, the experience continues to improve over time. Overall, the diagram highlights how digital innovation can shift the customer journey from something confusing and passive into a more supportive, engaging and continuously improving experience.</w:t>
      </w:r>
    </w:p>
    <w:p w:rsidR="66319048" w:rsidP="2E8D55B9" w:rsidRDefault="66319048" w14:paraId="1E618DC5" w14:textId="0F24B648">
      <w:pPr>
        <w:pStyle w:val="Normal"/>
        <w:bidi w:val="0"/>
        <w:spacing w:line="360" w:lineRule="auto"/>
        <w:rPr>
          <w:rFonts w:ascii="Arial" w:hAnsi="Arial" w:eastAsia="Arial" w:cs="Arial"/>
          <w:color w:val="auto"/>
          <w:sz w:val="22"/>
          <w:szCs w:val="22"/>
        </w:rPr>
      </w:pPr>
      <w:r w:rsidR="7AF7E3AD">
        <w:drawing>
          <wp:inline wp14:editId="1DABCF8D" wp14:anchorId="00D63948">
            <wp:extent cx="5129886" cy="3652377"/>
            <wp:effectExtent l="0" t="0" r="0" b="0"/>
            <wp:docPr id="2883715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898229" name="Picture 115898229"/>
                    <pic:cNvPicPr/>
                  </pic:nvPicPr>
                  <pic:blipFill>
                    <a:blip xmlns:r="http://schemas.openxmlformats.org/officeDocument/2006/relationships" r:embed="rId1888647584">
                      <a:extLst>
                        <a:ext uri="{28A0092B-C50C-407E-A947-70E740481C1C}">
                          <a14:useLocalDpi xmlns:a14="http://schemas.microsoft.com/office/drawing/2010/main"/>
                        </a:ext>
                      </a:extLst>
                    </a:blip>
                    <a:stretch>
                      <a:fillRect/>
                    </a:stretch>
                  </pic:blipFill>
                  <pic:spPr>
                    <a:xfrm rot="0">
                      <a:off x="0" y="0"/>
                      <a:ext cx="5129886" cy="3652377"/>
                    </a:xfrm>
                    <a:prstGeom prst="rect">
                      <a:avLst/>
                    </a:prstGeom>
                  </pic:spPr>
                </pic:pic>
              </a:graphicData>
            </a:graphic>
          </wp:inline>
        </w:drawing>
      </w:r>
    </w:p>
    <w:p w:rsidR="1A0FADCC" w:rsidP="2E8D55B9" w:rsidRDefault="1A0FADCC" w14:paraId="76C6B7A0" w14:textId="797B49F9">
      <w:pPr>
        <w:pStyle w:val="Heading1"/>
        <w:bidi w:val="0"/>
        <w:spacing w:before="322" w:beforeAutospacing="off" w:after="322" w:afterAutospacing="off" w:line="360" w:lineRule="auto"/>
        <w:rPr>
          <w:rFonts w:ascii="Arial" w:hAnsi="Arial" w:eastAsia="Arial" w:cs="Arial"/>
          <w:b w:val="1"/>
          <w:bCs w:val="1"/>
          <w:noProof w:val="0"/>
          <w:color w:val="auto"/>
          <w:sz w:val="22"/>
          <w:szCs w:val="22"/>
          <w:lang w:val="en-GB"/>
        </w:rPr>
      </w:pPr>
      <w:bookmarkStart w:name="_Toc690008839" w:id="1809131409"/>
      <w:r w:rsidRPr="324F1939" w:rsidR="53D41E01">
        <w:rPr>
          <w:rFonts w:ascii="Arial" w:hAnsi="Arial" w:eastAsia="Arial" w:cs="Arial"/>
          <w:noProof w:val="0"/>
          <w:sz w:val="22"/>
          <w:szCs w:val="22"/>
          <w:lang w:val="en-GB"/>
        </w:rPr>
        <w:t>Enhanced Customer Journey</w:t>
      </w:r>
      <w:bookmarkEnd w:id="1809131409"/>
    </w:p>
    <w:p w:rsidR="1A0FADCC" w:rsidP="276A68DE" w:rsidRDefault="1A0FADCC" w14:paraId="11E467F9" w14:textId="3EA7E6AE">
      <w:pPr>
        <w:bidi w:val="0"/>
        <w:spacing w:before="240" w:beforeAutospacing="off" w:after="240" w:afterAutospacing="off" w:line="360" w:lineRule="auto"/>
        <w:rPr>
          <w:rFonts w:ascii="Arial" w:hAnsi="Arial" w:eastAsia="Arial" w:cs="Arial"/>
          <w:noProof w:val="0"/>
          <w:color w:val="auto"/>
          <w:sz w:val="22"/>
          <w:szCs w:val="22"/>
          <w:lang w:val="en-GB"/>
        </w:rPr>
      </w:pPr>
      <w:r w:rsidRPr="324F1939" w:rsidR="335BF15F">
        <w:rPr>
          <w:rFonts w:ascii="Arial" w:hAnsi="Arial" w:eastAsia="Arial" w:cs="Arial"/>
          <w:noProof w:val="0"/>
          <w:color w:val="auto"/>
          <w:sz w:val="22"/>
          <w:szCs w:val="22"/>
          <w:lang w:val="en-GB"/>
        </w:rPr>
        <w:t xml:space="preserve">The proposed digital platform would significantly improve the current customer journey by making financial services feel more </w:t>
      </w:r>
      <w:r w:rsidRPr="324F1939" w:rsidR="335BF15F">
        <w:rPr>
          <w:rFonts w:ascii="Arial" w:hAnsi="Arial" w:eastAsia="Arial" w:cs="Arial"/>
          <w:b w:val="1"/>
          <w:bCs w:val="1"/>
          <w:noProof w:val="0"/>
          <w:color w:val="auto"/>
          <w:sz w:val="22"/>
          <w:szCs w:val="22"/>
          <w:lang w:val="en-GB"/>
        </w:rPr>
        <w:t xml:space="preserve">personal, </w:t>
      </w:r>
      <w:r w:rsidRPr="324F1939" w:rsidR="36DA91B3">
        <w:rPr>
          <w:rFonts w:ascii="Arial" w:hAnsi="Arial" w:eastAsia="Arial" w:cs="Arial"/>
          <w:b w:val="1"/>
          <w:bCs w:val="1"/>
          <w:noProof w:val="0"/>
          <w:color w:val="auto"/>
          <w:sz w:val="22"/>
          <w:szCs w:val="22"/>
          <w:lang w:val="en-GB"/>
        </w:rPr>
        <w:t>simple,</w:t>
      </w:r>
      <w:r w:rsidRPr="324F1939" w:rsidR="335BF15F">
        <w:rPr>
          <w:rFonts w:ascii="Arial" w:hAnsi="Arial" w:eastAsia="Arial" w:cs="Arial"/>
          <w:b w:val="1"/>
          <w:bCs w:val="1"/>
          <w:noProof w:val="0"/>
          <w:color w:val="auto"/>
          <w:sz w:val="22"/>
          <w:szCs w:val="22"/>
          <w:lang w:val="en-GB"/>
        </w:rPr>
        <w:t xml:space="preserve"> and interactive</w:t>
      </w:r>
      <w:r w:rsidRPr="324F1939" w:rsidR="335BF15F">
        <w:rPr>
          <w:rFonts w:ascii="Arial" w:hAnsi="Arial" w:eastAsia="Arial" w:cs="Arial"/>
          <w:noProof w:val="0"/>
          <w:color w:val="auto"/>
          <w:sz w:val="22"/>
          <w:szCs w:val="22"/>
          <w:lang w:val="en-GB"/>
        </w:rPr>
        <w:t xml:space="preserve">. Instead of customers feeling confused or unsure, the focus is on helping them feel more </w:t>
      </w:r>
      <w:r w:rsidRPr="324F1939" w:rsidR="335BF15F">
        <w:rPr>
          <w:rFonts w:ascii="Arial" w:hAnsi="Arial" w:eastAsia="Arial" w:cs="Arial"/>
          <w:b w:val="1"/>
          <w:bCs w:val="1"/>
          <w:noProof w:val="0"/>
          <w:color w:val="auto"/>
          <w:sz w:val="22"/>
          <w:szCs w:val="22"/>
          <w:lang w:val="en-GB"/>
        </w:rPr>
        <w:t>in</w:t>
      </w:r>
      <w:r w:rsidRPr="324F1939" w:rsidR="335BF15F">
        <w:rPr>
          <w:rFonts w:ascii="Arial" w:hAnsi="Arial" w:eastAsia="Arial" w:cs="Arial"/>
          <w:b w:val="0"/>
          <w:bCs w:val="0"/>
          <w:noProof w:val="0"/>
          <w:color w:val="auto"/>
          <w:sz w:val="22"/>
          <w:szCs w:val="22"/>
          <w:lang w:val="en-GB"/>
        </w:rPr>
        <w:t xml:space="preserve"> control, </w:t>
      </w:r>
      <w:r w:rsidRPr="324F1939" w:rsidR="33108946">
        <w:rPr>
          <w:rFonts w:ascii="Arial" w:hAnsi="Arial" w:eastAsia="Arial" w:cs="Arial"/>
          <w:b w:val="0"/>
          <w:bCs w:val="0"/>
          <w:noProof w:val="0"/>
          <w:color w:val="auto"/>
          <w:sz w:val="22"/>
          <w:szCs w:val="22"/>
          <w:lang w:val="en-GB"/>
        </w:rPr>
        <w:t>informed,</w:t>
      </w:r>
      <w:r w:rsidRPr="324F1939" w:rsidR="335BF15F">
        <w:rPr>
          <w:rFonts w:ascii="Arial" w:hAnsi="Arial" w:eastAsia="Arial" w:cs="Arial"/>
          <w:b w:val="0"/>
          <w:bCs w:val="0"/>
          <w:noProof w:val="0"/>
          <w:color w:val="auto"/>
          <w:sz w:val="22"/>
          <w:szCs w:val="22"/>
          <w:lang w:val="en-GB"/>
        </w:rPr>
        <w:t xml:space="preserve"> and supported</w:t>
      </w:r>
      <w:r w:rsidRPr="324F1939" w:rsidR="335BF15F">
        <w:rPr>
          <w:rFonts w:ascii="Arial" w:hAnsi="Arial" w:eastAsia="Arial" w:cs="Arial"/>
          <w:b w:val="0"/>
          <w:bCs w:val="0"/>
          <w:noProof w:val="0"/>
          <w:color w:val="auto"/>
          <w:sz w:val="22"/>
          <w:szCs w:val="22"/>
          <w:lang w:val="en-GB"/>
        </w:rPr>
        <w:t>. The enhanced journey is designed to reduce complexity, improve transparency and provide guidance at every stage, making retirement planning much easier to understand.</w:t>
      </w:r>
    </w:p>
    <w:p w:rsidR="324F1939" w:rsidP="324F1939" w:rsidRDefault="324F1939" w14:paraId="44747AA0" w14:textId="731AE9FF">
      <w:pPr>
        <w:bidi w:val="0"/>
        <w:spacing w:before="240" w:beforeAutospacing="off" w:after="240" w:afterAutospacing="off" w:line="360" w:lineRule="auto"/>
        <w:rPr>
          <w:rFonts w:ascii="Arial" w:hAnsi="Arial" w:eastAsia="Arial" w:cs="Arial"/>
          <w:b w:val="0"/>
          <w:bCs w:val="0"/>
          <w:noProof w:val="0"/>
          <w:color w:val="auto"/>
          <w:sz w:val="22"/>
          <w:szCs w:val="22"/>
          <w:lang w:val="en-GB"/>
        </w:rPr>
      </w:pPr>
    </w:p>
    <w:p w:rsidR="1A0FADCC" w:rsidP="276A68DE" w:rsidRDefault="1A0FADCC" w14:paraId="26F60590" w14:textId="78EAF816">
      <w:pPr>
        <w:pStyle w:val="Normal"/>
        <w:bidi w:val="0"/>
        <w:spacing w:line="360" w:lineRule="auto"/>
        <w:rPr>
          <w:rFonts w:ascii="Arial" w:hAnsi="Arial" w:eastAsia="Arial" w:cs="Arial"/>
          <w:b w:val="1"/>
          <w:bCs w:val="1"/>
          <w:noProof w:val="0"/>
          <w:color w:val="auto"/>
          <w:sz w:val="22"/>
          <w:szCs w:val="22"/>
          <w:lang w:val="en-GB"/>
        </w:rPr>
      </w:pPr>
      <w:r w:rsidRPr="276A68DE" w:rsidR="335BF15F">
        <w:rPr>
          <w:rFonts w:ascii="Arial" w:hAnsi="Arial" w:eastAsia="Arial" w:cs="Arial"/>
          <w:noProof w:val="0"/>
          <w:color w:val="auto"/>
          <w:sz w:val="22"/>
          <w:szCs w:val="22"/>
          <w:lang w:val="en-GB"/>
        </w:rPr>
        <w:t>Figure 4: Enhanced Customer Journey</w:t>
      </w:r>
    </w:p>
    <w:p w:rsidR="1A0FADCC" w:rsidP="2E8D55B9" w:rsidRDefault="1A0FADCC" w14:paraId="05D91ECD" w14:textId="4CAD2725">
      <w:pPr>
        <w:pStyle w:val="Normal"/>
        <w:bidi w:val="0"/>
        <w:spacing w:line="360" w:lineRule="auto"/>
        <w:rPr>
          <w:rFonts w:ascii="Arial" w:hAnsi="Arial" w:eastAsia="Arial" w:cs="Arial"/>
          <w:noProof w:val="0"/>
          <w:color w:val="auto"/>
          <w:sz w:val="22"/>
          <w:szCs w:val="22"/>
          <w:lang w:val="en-GB"/>
        </w:rPr>
      </w:pPr>
      <w:r w:rsidR="55A2F3E0">
        <w:drawing>
          <wp:inline wp14:editId="23E68217" wp14:anchorId="76737EE6">
            <wp:extent cx="5233481" cy="3057960"/>
            <wp:effectExtent l="0" t="0" r="0" b="0"/>
            <wp:docPr id="12372501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7250121" name="Picture 1237250121"/>
                    <pic:cNvPicPr/>
                  </pic:nvPicPr>
                  <pic:blipFill>
                    <a:blip xmlns:r="http://schemas.openxmlformats.org/officeDocument/2006/relationships" r:embed="rId1947694799">
                      <a:extLst>
                        <a:ext uri="{28A0092B-C50C-407E-A947-70E740481C1C}">
                          <a14:useLocalDpi xmlns:a14="http://schemas.microsoft.com/office/drawing/2010/main"/>
                        </a:ext>
                      </a:extLst>
                    </a:blip>
                    <a:stretch>
                      <a:fillRect/>
                    </a:stretch>
                  </pic:blipFill>
                  <pic:spPr>
                    <a:xfrm rot="0">
                      <a:off x="0" y="0"/>
                      <a:ext cx="5233481" cy="3057960"/>
                    </a:xfrm>
                    <a:prstGeom prst="rect">
                      <a:avLst/>
                    </a:prstGeom>
                  </pic:spPr>
                </pic:pic>
              </a:graphicData>
            </a:graphic>
          </wp:inline>
        </w:drawing>
      </w:r>
    </w:p>
    <w:p w:rsidR="1A0FADCC" w:rsidP="2E8D55B9" w:rsidRDefault="1A0FADCC" w14:paraId="3ECD9CF6" w14:textId="6A527237">
      <w:pPr>
        <w:pStyle w:val="Normal"/>
        <w:bidi w:val="0"/>
        <w:spacing w:before="322" w:beforeAutospacing="off" w:after="322" w:afterAutospacing="off" w:line="360" w:lineRule="auto"/>
        <w:rPr>
          <w:rFonts w:ascii="Arial" w:hAnsi="Arial" w:eastAsia="Arial" w:cs="Arial"/>
          <w:noProof w:val="0"/>
          <w:color w:val="auto"/>
          <w:sz w:val="22"/>
          <w:szCs w:val="22"/>
          <w:lang w:val="en-GB"/>
        </w:rPr>
      </w:pPr>
      <w:r w:rsidRPr="19BFEAD1" w:rsidR="335BF15F">
        <w:rPr>
          <w:rFonts w:ascii="Arial" w:hAnsi="Arial" w:eastAsia="Arial" w:cs="Arial"/>
          <w:noProof w:val="0"/>
          <w:color w:val="auto"/>
          <w:sz w:val="22"/>
          <w:szCs w:val="22"/>
          <w:lang w:val="en-GB"/>
        </w:rPr>
        <w:t>Overall, this improved journey helps customers move from simply checking their pension occasionally t</w:t>
      </w:r>
      <w:r w:rsidRPr="19BFEAD1" w:rsidR="335BF15F">
        <w:rPr>
          <w:rFonts w:ascii="Arial" w:hAnsi="Arial" w:eastAsia="Arial" w:cs="Arial"/>
          <w:b w:val="1"/>
          <w:bCs w:val="1"/>
          <w:noProof w:val="0"/>
          <w:color w:val="auto"/>
          <w:sz w:val="22"/>
          <w:szCs w:val="22"/>
          <w:lang w:val="en-GB"/>
        </w:rPr>
        <w:t xml:space="preserve">o </w:t>
      </w:r>
      <w:r w:rsidRPr="19BFEAD1" w:rsidR="335BF15F">
        <w:rPr>
          <w:rFonts w:ascii="Arial" w:hAnsi="Arial" w:eastAsia="Arial" w:cs="Arial"/>
          <w:b w:val="1"/>
          <w:bCs w:val="1"/>
          <w:noProof w:val="0"/>
          <w:color w:val="auto"/>
          <w:sz w:val="22"/>
          <w:szCs w:val="22"/>
          <w:lang w:val="en-GB"/>
        </w:rPr>
        <w:t>a</w:t>
      </w:r>
      <w:r w:rsidRPr="19BFEAD1" w:rsidR="335BF15F">
        <w:rPr>
          <w:rFonts w:ascii="Arial" w:hAnsi="Arial" w:eastAsia="Arial" w:cs="Arial"/>
          <w:b w:val="0"/>
          <w:bCs w:val="0"/>
          <w:noProof w:val="0"/>
          <w:color w:val="auto"/>
          <w:sz w:val="22"/>
          <w:szCs w:val="22"/>
          <w:lang w:val="en-GB"/>
        </w:rPr>
        <w:t>ctively managing and understanding their finances</w:t>
      </w:r>
      <w:r w:rsidRPr="19BFEAD1" w:rsidR="7BF6EE1E">
        <w:rPr>
          <w:rFonts w:ascii="Arial" w:hAnsi="Arial" w:eastAsia="Arial" w:cs="Arial"/>
          <w:b w:val="0"/>
          <w:bCs w:val="0"/>
          <w:noProof w:val="0"/>
          <w:color w:val="auto"/>
          <w:sz w:val="22"/>
          <w:szCs w:val="22"/>
          <w:lang w:val="en-GB"/>
        </w:rPr>
        <w:t>.</w:t>
      </w:r>
      <w:r w:rsidRPr="19BFEAD1" w:rsidR="335BF15F">
        <w:rPr>
          <w:rFonts w:ascii="Arial" w:hAnsi="Arial" w:eastAsia="Arial" w:cs="Arial"/>
          <w:b w:val="0"/>
          <w:bCs w:val="0"/>
          <w:noProof w:val="0"/>
          <w:color w:val="auto"/>
          <w:sz w:val="22"/>
          <w:szCs w:val="22"/>
          <w:lang w:val="en-GB"/>
        </w:rPr>
        <w:t xml:space="preserve"> </w:t>
      </w:r>
      <w:r w:rsidRPr="19BFEAD1" w:rsidR="335BF15F">
        <w:rPr>
          <w:rFonts w:ascii="Arial" w:hAnsi="Arial" w:eastAsia="Arial" w:cs="Arial"/>
          <w:b w:val="0"/>
          <w:bCs w:val="0"/>
          <w:noProof w:val="0"/>
          <w:color w:val="auto"/>
          <w:sz w:val="22"/>
          <w:szCs w:val="22"/>
          <w:lang w:val="en-GB"/>
        </w:rPr>
        <w:t>It makes the experience feel less overwhelming and more supportive, helpin</w:t>
      </w:r>
      <w:r w:rsidRPr="19BFEAD1" w:rsidR="335BF15F">
        <w:rPr>
          <w:rFonts w:ascii="Arial" w:hAnsi="Arial" w:eastAsia="Arial" w:cs="Arial"/>
          <w:noProof w:val="0"/>
          <w:color w:val="auto"/>
          <w:sz w:val="22"/>
          <w:szCs w:val="22"/>
          <w:lang w:val="en-GB"/>
        </w:rPr>
        <w:t>g customers build confidence and stay engaged throughout their financial journey.</w:t>
      </w:r>
    </w:p>
    <w:p w:rsidR="1A0FADCC" w:rsidP="276A68DE" w:rsidRDefault="1A0FADCC" w14:paraId="44CD4F24" w14:textId="1DAD44D3">
      <w:pPr>
        <w:pStyle w:val="Heading1"/>
        <w:rPr>
          <w:rFonts w:ascii="Arial" w:hAnsi="Arial" w:eastAsia="Arial" w:cs="Arial"/>
          <w:b w:val="1"/>
          <w:bCs w:val="1"/>
          <w:noProof w:val="0"/>
          <w:color w:val="auto"/>
          <w:sz w:val="22"/>
          <w:szCs w:val="22"/>
          <w:lang w:val="en-GB"/>
        </w:rPr>
      </w:pPr>
      <w:bookmarkStart w:name="_Toc571453890" w:id="1771284288"/>
      <w:r w:rsidRPr="324F1939" w:rsidR="53D41E01">
        <w:rPr>
          <w:rFonts w:ascii="Arial" w:hAnsi="Arial" w:eastAsia="Arial" w:cs="Arial"/>
          <w:noProof w:val="0"/>
          <w:sz w:val="22"/>
          <w:szCs w:val="22"/>
          <w:lang w:val="en-GB"/>
        </w:rPr>
        <w:t>Strategic Value for Legal &amp; General</w:t>
      </w:r>
      <w:bookmarkEnd w:id="1771284288"/>
    </w:p>
    <w:p w:rsidR="1A0FADCC" w:rsidP="2E8D55B9" w:rsidRDefault="1A0FADCC" w14:paraId="35338024" w14:textId="35CB6365">
      <w:pPr>
        <w:bidi w:val="0"/>
        <w:spacing w:before="240" w:beforeAutospacing="off" w:after="240" w:afterAutospacing="off" w:line="360" w:lineRule="auto"/>
        <w:rPr>
          <w:rFonts w:ascii="Arial" w:hAnsi="Arial" w:eastAsia="Arial" w:cs="Arial"/>
          <w:noProof w:val="0"/>
          <w:color w:val="auto"/>
          <w:sz w:val="22"/>
          <w:szCs w:val="22"/>
          <w:lang w:val="en-GB"/>
        </w:rPr>
      </w:pPr>
      <w:r w:rsidRPr="2E8D55B9" w:rsidR="5AF3458D">
        <w:rPr>
          <w:rFonts w:ascii="Arial" w:hAnsi="Arial" w:eastAsia="Arial" w:cs="Arial"/>
          <w:noProof w:val="0"/>
          <w:color w:val="auto"/>
          <w:sz w:val="22"/>
          <w:szCs w:val="22"/>
          <w:lang w:val="en-GB"/>
        </w:rPr>
        <w:t>The proposed digital transformation initiative would generate several strategic benefits for Legal &amp; General.</w:t>
      </w:r>
    </w:p>
    <w:p w:rsidR="1A0FADCC" w:rsidP="2E8D55B9" w:rsidRDefault="1A0FADCC" w14:paraId="5ABB27F9" w14:textId="3CD5C49F">
      <w:pPr>
        <w:bidi w:val="0"/>
        <w:spacing w:before="240" w:beforeAutospacing="off" w:after="240" w:afterAutospacing="off" w:line="360" w:lineRule="auto"/>
        <w:rPr>
          <w:rFonts w:ascii="Arial" w:hAnsi="Arial" w:eastAsia="Arial" w:cs="Arial"/>
          <w:noProof w:val="0"/>
          <w:color w:val="auto"/>
          <w:sz w:val="22"/>
          <w:szCs w:val="22"/>
          <w:lang w:val="en-GB"/>
        </w:rPr>
      </w:pPr>
      <w:r w:rsidRPr="2E8D55B9" w:rsidR="5AF3458D">
        <w:rPr>
          <w:rFonts w:ascii="Arial" w:hAnsi="Arial" w:eastAsia="Arial" w:cs="Arial"/>
          <w:noProof w:val="0"/>
          <w:color w:val="auto"/>
          <w:sz w:val="22"/>
          <w:szCs w:val="22"/>
          <w:lang w:val="en-GB"/>
        </w:rPr>
        <w:t xml:space="preserve">Firstly, the platform would significantly enhance the customer experience by simplifying financial information and providing personalised retirement planning tools. According to </w:t>
      </w:r>
      <w:r w:rsidRPr="2E8D55B9" w:rsidR="5AF3458D">
        <w:rPr>
          <w:rFonts w:ascii="Arial" w:hAnsi="Arial" w:eastAsia="Arial" w:cs="Arial"/>
          <w:b w:val="0"/>
          <w:bCs w:val="0"/>
          <w:noProof w:val="0"/>
          <w:color w:val="auto"/>
          <w:sz w:val="22"/>
          <w:szCs w:val="22"/>
          <w:lang w:val="en-GB"/>
        </w:rPr>
        <w:t>Lemon</w:t>
      </w:r>
      <w:r w:rsidRPr="2E8D55B9" w:rsidR="1F7560FB">
        <w:rPr>
          <w:rFonts w:ascii="Arial" w:hAnsi="Arial" w:eastAsia="Arial" w:cs="Arial"/>
          <w:b w:val="0"/>
          <w:bCs w:val="0"/>
          <w:noProof w:val="0"/>
          <w:color w:val="auto"/>
          <w:sz w:val="22"/>
          <w:szCs w:val="22"/>
          <w:lang w:val="en-GB"/>
        </w:rPr>
        <w:t>, &amp;</w:t>
      </w:r>
      <w:r w:rsidRPr="2E8D55B9" w:rsidR="5AF3458D">
        <w:rPr>
          <w:rFonts w:ascii="Arial" w:hAnsi="Arial" w:eastAsia="Arial" w:cs="Arial"/>
          <w:b w:val="0"/>
          <w:bCs w:val="0"/>
          <w:noProof w:val="0"/>
          <w:color w:val="auto"/>
          <w:sz w:val="22"/>
          <w:szCs w:val="22"/>
          <w:lang w:val="en-GB"/>
        </w:rPr>
        <w:t xml:space="preserve"> Verhoef</w:t>
      </w:r>
      <w:r w:rsidRPr="2E8D55B9" w:rsidR="388951DF">
        <w:rPr>
          <w:rFonts w:ascii="Arial" w:hAnsi="Arial" w:eastAsia="Arial" w:cs="Arial"/>
          <w:b w:val="0"/>
          <w:bCs w:val="0"/>
          <w:noProof w:val="0"/>
          <w:color w:val="auto"/>
          <w:sz w:val="22"/>
          <w:szCs w:val="22"/>
          <w:lang w:val="en-GB"/>
        </w:rPr>
        <w:t>,</w:t>
      </w:r>
      <w:r w:rsidRPr="2E8D55B9" w:rsidR="5AF3458D">
        <w:rPr>
          <w:rFonts w:ascii="Arial" w:hAnsi="Arial" w:eastAsia="Arial" w:cs="Arial"/>
          <w:b w:val="0"/>
          <w:bCs w:val="0"/>
          <w:noProof w:val="0"/>
          <w:color w:val="auto"/>
          <w:sz w:val="22"/>
          <w:szCs w:val="22"/>
          <w:lang w:val="en-GB"/>
        </w:rPr>
        <w:t xml:space="preserve"> (2016)</w:t>
      </w:r>
      <w:r w:rsidRPr="2E8D55B9" w:rsidR="5AF3458D">
        <w:rPr>
          <w:rFonts w:ascii="Arial" w:hAnsi="Arial" w:eastAsia="Arial" w:cs="Arial"/>
          <w:b w:val="0"/>
          <w:bCs w:val="0"/>
          <w:noProof w:val="0"/>
          <w:color w:val="auto"/>
          <w:sz w:val="22"/>
          <w:szCs w:val="22"/>
          <w:lang w:val="en-GB"/>
        </w:rPr>
        <w:t>, o</w:t>
      </w:r>
      <w:r w:rsidRPr="2E8D55B9" w:rsidR="5AF3458D">
        <w:rPr>
          <w:rFonts w:ascii="Arial" w:hAnsi="Arial" w:eastAsia="Arial" w:cs="Arial"/>
          <w:noProof w:val="0"/>
          <w:color w:val="auto"/>
          <w:sz w:val="22"/>
          <w:szCs w:val="22"/>
          <w:lang w:val="en-GB"/>
        </w:rPr>
        <w:t>rganisations that design services around customer journeys are more likely to improve cu</w:t>
      </w:r>
      <w:r w:rsidRPr="2E8D55B9" w:rsidR="5AF3458D">
        <w:rPr>
          <w:rFonts w:ascii="Arial" w:hAnsi="Arial" w:eastAsia="Arial" w:cs="Arial"/>
          <w:noProof w:val="0"/>
          <w:color w:val="auto"/>
          <w:sz w:val="22"/>
          <w:szCs w:val="22"/>
          <w:lang w:val="en-GB"/>
        </w:rPr>
        <w:t>stomer satisfaction and long-term loyalty. By providing interactive financial insights and personalised guidance, Legal &amp; General could improve customer engagement and strengthen customer relationships.</w:t>
      </w:r>
    </w:p>
    <w:p w:rsidR="1A0FADCC" w:rsidP="2E8D55B9" w:rsidRDefault="1A0FADCC" w14:paraId="3EAB8182" w14:textId="46C74AB7">
      <w:pPr>
        <w:bidi w:val="0"/>
        <w:spacing w:before="240" w:beforeAutospacing="off" w:after="240" w:afterAutospacing="off" w:line="360" w:lineRule="auto"/>
        <w:rPr>
          <w:rFonts w:ascii="Arial" w:hAnsi="Arial" w:eastAsia="Arial" w:cs="Arial"/>
          <w:b w:val="0"/>
          <w:bCs w:val="0"/>
          <w:noProof w:val="0"/>
          <w:color w:val="auto"/>
          <w:sz w:val="22"/>
          <w:szCs w:val="22"/>
          <w:lang w:val="en-GB"/>
        </w:rPr>
      </w:pPr>
      <w:r w:rsidRPr="2E8D55B9" w:rsidR="5AF3458D">
        <w:rPr>
          <w:rFonts w:ascii="Arial" w:hAnsi="Arial" w:eastAsia="Arial" w:cs="Arial"/>
          <w:noProof w:val="0"/>
          <w:color w:val="auto"/>
          <w:sz w:val="22"/>
          <w:szCs w:val="22"/>
          <w:lang w:val="en-GB"/>
        </w:rPr>
        <w:t>Secondly, the initiative would strengthen Legal &amp; General’s competitive position within the financial services sector. The growth of fintech companies has increased competition within the financial services industry by introducing more agile and technology-driven financial services. According to</w:t>
      </w:r>
      <w:r w:rsidRPr="2E8D55B9" w:rsidR="5AF3458D">
        <w:rPr>
          <w:rFonts w:ascii="Arial" w:hAnsi="Arial" w:eastAsia="Arial" w:cs="Arial"/>
          <w:noProof w:val="0"/>
          <w:color w:val="auto"/>
          <w:sz w:val="22"/>
          <w:szCs w:val="22"/>
          <w:lang w:val="en-GB"/>
        </w:rPr>
        <w:t xml:space="preserve"> </w:t>
      </w:r>
      <w:r w:rsidRPr="2E8D55B9" w:rsidR="5AF3458D">
        <w:rPr>
          <w:rFonts w:ascii="Arial" w:hAnsi="Arial" w:eastAsia="Arial" w:cs="Arial"/>
          <w:b w:val="0"/>
          <w:bCs w:val="0"/>
          <w:noProof w:val="0"/>
          <w:color w:val="auto"/>
          <w:sz w:val="22"/>
          <w:szCs w:val="22"/>
          <w:lang w:val="en-GB"/>
        </w:rPr>
        <w:t>Lee</w:t>
      </w:r>
      <w:r w:rsidRPr="2E8D55B9" w:rsidR="0556649E">
        <w:rPr>
          <w:rFonts w:ascii="Arial" w:hAnsi="Arial" w:eastAsia="Arial" w:cs="Arial"/>
          <w:b w:val="0"/>
          <w:bCs w:val="0"/>
          <w:noProof w:val="0"/>
          <w:color w:val="auto"/>
          <w:sz w:val="22"/>
          <w:szCs w:val="22"/>
          <w:lang w:val="en-GB"/>
        </w:rPr>
        <w:t>, &amp;</w:t>
      </w:r>
      <w:r w:rsidRPr="2E8D55B9" w:rsidR="5AF3458D">
        <w:rPr>
          <w:rFonts w:ascii="Arial" w:hAnsi="Arial" w:eastAsia="Arial" w:cs="Arial"/>
          <w:b w:val="0"/>
          <w:bCs w:val="0"/>
          <w:noProof w:val="0"/>
          <w:color w:val="auto"/>
          <w:sz w:val="22"/>
          <w:szCs w:val="22"/>
          <w:lang w:val="en-GB"/>
        </w:rPr>
        <w:t xml:space="preserve"> Shin</w:t>
      </w:r>
      <w:r w:rsidRPr="2E8D55B9" w:rsidR="4228B5F5">
        <w:rPr>
          <w:rFonts w:ascii="Arial" w:hAnsi="Arial" w:eastAsia="Arial" w:cs="Arial"/>
          <w:b w:val="0"/>
          <w:bCs w:val="0"/>
          <w:noProof w:val="0"/>
          <w:color w:val="auto"/>
          <w:sz w:val="22"/>
          <w:szCs w:val="22"/>
          <w:lang w:val="en-GB"/>
        </w:rPr>
        <w:t>,</w:t>
      </w:r>
      <w:r w:rsidRPr="2E8D55B9" w:rsidR="5AF3458D">
        <w:rPr>
          <w:rFonts w:ascii="Arial" w:hAnsi="Arial" w:eastAsia="Arial" w:cs="Arial"/>
          <w:b w:val="0"/>
          <w:bCs w:val="0"/>
          <w:noProof w:val="0"/>
          <w:color w:val="auto"/>
          <w:sz w:val="22"/>
          <w:szCs w:val="22"/>
          <w:lang w:val="en-GB"/>
        </w:rPr>
        <w:t xml:space="preserve"> (2018)</w:t>
      </w:r>
      <w:r w:rsidRPr="2E8D55B9" w:rsidR="5AF3458D">
        <w:rPr>
          <w:rFonts w:ascii="Arial" w:hAnsi="Arial" w:eastAsia="Arial" w:cs="Arial"/>
          <w:b w:val="0"/>
          <w:bCs w:val="0"/>
          <w:noProof w:val="0"/>
          <w:color w:val="auto"/>
          <w:sz w:val="22"/>
          <w:szCs w:val="22"/>
          <w:lang w:val="en-GB"/>
        </w:rPr>
        <w:t>,</w:t>
      </w:r>
      <w:r w:rsidRPr="2E8D55B9" w:rsidR="5AF3458D">
        <w:rPr>
          <w:rFonts w:ascii="Arial" w:hAnsi="Arial" w:eastAsia="Arial" w:cs="Arial"/>
          <w:b w:val="0"/>
          <w:bCs w:val="0"/>
          <w:noProof w:val="0"/>
          <w:color w:val="auto"/>
          <w:sz w:val="22"/>
          <w:szCs w:val="22"/>
          <w:lang w:val="en-GB"/>
        </w:rPr>
        <w:t xml:space="preserve"> f</w:t>
      </w:r>
      <w:r w:rsidRPr="2E8D55B9" w:rsidR="5AF3458D">
        <w:rPr>
          <w:rFonts w:ascii="Arial" w:hAnsi="Arial" w:eastAsia="Arial" w:cs="Arial"/>
          <w:noProof w:val="0"/>
          <w:color w:val="auto"/>
          <w:sz w:val="22"/>
          <w:szCs w:val="22"/>
          <w:lang w:val="en-GB"/>
        </w:rPr>
        <w:t>i</w:t>
      </w:r>
      <w:r w:rsidRPr="2E8D55B9" w:rsidR="5AF3458D">
        <w:rPr>
          <w:rFonts w:ascii="Arial" w:hAnsi="Arial" w:eastAsia="Arial" w:cs="Arial"/>
          <w:noProof w:val="0"/>
          <w:color w:val="auto"/>
          <w:sz w:val="22"/>
          <w:szCs w:val="22"/>
          <w:lang w:val="en-GB"/>
        </w:rPr>
        <w:t>ntech firms</w:t>
      </w:r>
      <w:r w:rsidRPr="2E8D55B9" w:rsidR="5AF3458D">
        <w:rPr>
          <w:rFonts w:ascii="Arial" w:hAnsi="Arial" w:eastAsia="Arial" w:cs="Arial"/>
          <w:noProof w:val="0"/>
          <w:color w:val="auto"/>
          <w:sz w:val="22"/>
          <w:szCs w:val="22"/>
          <w:lang w:val="en-GB"/>
        </w:rPr>
        <w:t xml:space="preserve"> a</w:t>
      </w:r>
      <w:r w:rsidRPr="2E8D55B9" w:rsidR="5AF3458D">
        <w:rPr>
          <w:rFonts w:ascii="Arial" w:hAnsi="Arial" w:eastAsia="Arial" w:cs="Arial"/>
          <w:b w:val="0"/>
          <w:bCs w:val="0"/>
          <w:noProof w:val="0"/>
          <w:color w:val="auto"/>
          <w:sz w:val="22"/>
          <w:szCs w:val="22"/>
          <w:lang w:val="en-GB"/>
        </w:rPr>
        <w:t xml:space="preserve">re reshaping the financial services landscape by offering user-friendly digital platforms and automated financial advisory services. By adopting advanced digital technologies, Legal &amp; General could compete more effectively with fintech firms while </w:t>
      </w:r>
      <w:r w:rsidRPr="2E8D55B9" w:rsidR="5AF3458D">
        <w:rPr>
          <w:rFonts w:ascii="Arial" w:hAnsi="Arial" w:eastAsia="Arial" w:cs="Arial"/>
          <w:b w:val="0"/>
          <w:bCs w:val="0"/>
          <w:noProof w:val="0"/>
          <w:color w:val="auto"/>
          <w:sz w:val="22"/>
          <w:szCs w:val="22"/>
          <w:lang w:val="en-GB"/>
        </w:rPr>
        <w:t>maintaining</w:t>
      </w:r>
      <w:r w:rsidRPr="2E8D55B9" w:rsidR="5AF3458D">
        <w:rPr>
          <w:rFonts w:ascii="Arial" w:hAnsi="Arial" w:eastAsia="Arial" w:cs="Arial"/>
          <w:b w:val="0"/>
          <w:bCs w:val="0"/>
          <w:noProof w:val="0"/>
          <w:color w:val="auto"/>
          <w:sz w:val="22"/>
          <w:szCs w:val="22"/>
          <w:lang w:val="en-GB"/>
        </w:rPr>
        <w:t xml:space="preserve"> its reputation as a trusted financial provider.</w:t>
      </w:r>
    </w:p>
    <w:p w:rsidR="1A0FADCC" w:rsidP="2E8D55B9" w:rsidRDefault="1A0FADCC" w14:paraId="79318B85" w14:textId="0D4598F1">
      <w:pPr>
        <w:bidi w:val="0"/>
        <w:spacing w:before="240" w:beforeAutospacing="off" w:after="240" w:afterAutospacing="off" w:line="360" w:lineRule="auto"/>
        <w:rPr>
          <w:rFonts w:ascii="Arial" w:hAnsi="Arial" w:eastAsia="Arial" w:cs="Arial"/>
          <w:b w:val="0"/>
          <w:bCs w:val="0"/>
          <w:noProof w:val="0"/>
          <w:color w:val="auto"/>
          <w:sz w:val="22"/>
          <w:szCs w:val="22"/>
          <w:lang w:val="en-GB"/>
        </w:rPr>
      </w:pPr>
      <w:r w:rsidRPr="2E8D55B9" w:rsidR="5AF3458D">
        <w:rPr>
          <w:rFonts w:ascii="Arial" w:hAnsi="Arial" w:eastAsia="Arial" w:cs="Arial"/>
          <w:b w:val="0"/>
          <w:bCs w:val="0"/>
          <w:noProof w:val="0"/>
          <w:color w:val="auto"/>
          <w:sz w:val="22"/>
          <w:szCs w:val="22"/>
          <w:lang w:val="en-GB"/>
        </w:rPr>
        <w:t xml:space="preserve">Thirdly, the platform could improve </w:t>
      </w:r>
      <w:r w:rsidRPr="2E8D55B9" w:rsidR="5AF3458D">
        <w:rPr>
          <w:rFonts w:ascii="Arial" w:hAnsi="Arial" w:eastAsia="Arial" w:cs="Arial"/>
          <w:b w:val="0"/>
          <w:bCs w:val="0"/>
          <w:noProof w:val="0"/>
          <w:color w:val="auto"/>
          <w:sz w:val="22"/>
          <w:szCs w:val="22"/>
          <w:lang w:val="en-GB"/>
        </w:rPr>
        <w:t>operational efficiency</w:t>
      </w:r>
      <w:r w:rsidRPr="2E8D55B9" w:rsidR="5AF3458D">
        <w:rPr>
          <w:rFonts w:ascii="Arial" w:hAnsi="Arial" w:eastAsia="Arial" w:cs="Arial"/>
          <w:b w:val="0"/>
          <w:bCs w:val="0"/>
          <w:noProof w:val="0"/>
          <w:color w:val="auto"/>
          <w:sz w:val="22"/>
          <w:szCs w:val="22"/>
          <w:lang w:val="en-GB"/>
        </w:rPr>
        <w:t xml:space="preserve"> by automating routine customer interactions and reducing the demand for manual customer support. AI-powered chatbots and automated financial insights could reduce the number of routine service enquiries while allowing financial advisors to focus on more complex financial planning cases.</w:t>
      </w:r>
    </w:p>
    <w:p w:rsidR="1A0FADCC" w:rsidP="2E8D55B9" w:rsidRDefault="1A0FADCC" w14:paraId="73E32DD0" w14:textId="44213D08">
      <w:pPr>
        <w:bidi w:val="0"/>
        <w:spacing w:before="240" w:beforeAutospacing="off" w:after="240" w:afterAutospacing="off" w:line="360" w:lineRule="auto"/>
        <w:rPr>
          <w:rFonts w:ascii="Arial" w:hAnsi="Arial" w:eastAsia="Arial" w:cs="Arial"/>
          <w:b w:val="0"/>
          <w:bCs w:val="0"/>
          <w:noProof w:val="0"/>
          <w:color w:val="auto"/>
          <w:sz w:val="22"/>
          <w:szCs w:val="22"/>
          <w:lang w:val="en-GB"/>
        </w:rPr>
      </w:pPr>
      <w:r w:rsidRPr="2E8D55B9" w:rsidR="5AF3458D">
        <w:rPr>
          <w:rFonts w:ascii="Arial" w:hAnsi="Arial" w:eastAsia="Arial" w:cs="Arial"/>
          <w:b w:val="0"/>
          <w:bCs w:val="0"/>
          <w:noProof w:val="0"/>
          <w:color w:val="auto"/>
          <w:sz w:val="22"/>
          <w:szCs w:val="22"/>
          <w:lang w:val="en-GB"/>
        </w:rPr>
        <w:t xml:space="preserve">Finally, the platform could increase </w:t>
      </w:r>
      <w:r w:rsidRPr="2E8D55B9" w:rsidR="5AF3458D">
        <w:rPr>
          <w:rFonts w:ascii="Arial" w:hAnsi="Arial" w:eastAsia="Arial" w:cs="Arial"/>
          <w:b w:val="0"/>
          <w:bCs w:val="0"/>
          <w:noProof w:val="0"/>
          <w:color w:val="auto"/>
          <w:sz w:val="22"/>
          <w:szCs w:val="22"/>
          <w:lang w:val="en-GB"/>
        </w:rPr>
        <w:t>customer engagement and long-term savings behaviour</w:t>
      </w:r>
      <w:r w:rsidRPr="2E8D55B9" w:rsidR="5AF3458D">
        <w:rPr>
          <w:rFonts w:ascii="Arial" w:hAnsi="Arial" w:eastAsia="Arial" w:cs="Arial"/>
          <w:b w:val="0"/>
          <w:bCs w:val="0"/>
          <w:noProof w:val="0"/>
          <w:color w:val="auto"/>
          <w:sz w:val="22"/>
          <w:szCs w:val="22"/>
          <w:lang w:val="en-GB"/>
        </w:rPr>
        <w:t xml:space="preserve">. By providing personalised financial insights and behavioural nudges, the platform may encourage customers to increase pension contributions and engage more actively with retirement planning. This aligns with Legal &amp; General’s broader strategic </w:t>
      </w:r>
      <w:r w:rsidRPr="2E8D55B9" w:rsidR="5AF3458D">
        <w:rPr>
          <w:rFonts w:ascii="Arial" w:hAnsi="Arial" w:eastAsia="Arial" w:cs="Arial"/>
          <w:b w:val="0"/>
          <w:bCs w:val="0"/>
          <w:noProof w:val="0"/>
          <w:color w:val="auto"/>
          <w:sz w:val="22"/>
          <w:szCs w:val="22"/>
          <w:lang w:val="en-GB"/>
        </w:rPr>
        <w:t>objective</w:t>
      </w:r>
      <w:r w:rsidRPr="2E8D55B9" w:rsidR="5AF3458D">
        <w:rPr>
          <w:rFonts w:ascii="Arial" w:hAnsi="Arial" w:eastAsia="Arial" w:cs="Arial"/>
          <w:b w:val="0"/>
          <w:bCs w:val="0"/>
          <w:noProof w:val="0"/>
          <w:color w:val="auto"/>
          <w:sz w:val="22"/>
          <w:szCs w:val="22"/>
          <w:lang w:val="en-GB"/>
        </w:rPr>
        <w:t xml:space="preserve"> of supporting customers in achieving long-term financial security.</w:t>
      </w:r>
    </w:p>
    <w:p w:rsidR="1A0FADCC" w:rsidP="276A68DE" w:rsidRDefault="1A0FADCC" w14:paraId="71C09C3F" w14:textId="659DF3E3">
      <w:pPr>
        <w:pStyle w:val="Heading1"/>
        <w:bidi w:val="0"/>
        <w:spacing w:before="240" w:beforeAutospacing="off" w:after="240" w:afterAutospacing="off" w:line="360" w:lineRule="auto"/>
        <w:rPr>
          <w:rFonts w:ascii="Arial" w:hAnsi="Arial" w:eastAsia="Arial" w:cs="Arial"/>
          <w:b w:val="1"/>
          <w:bCs w:val="1"/>
          <w:noProof w:val="0"/>
          <w:color w:val="auto"/>
          <w:sz w:val="22"/>
          <w:szCs w:val="22"/>
          <w:lang w:val="en-GB"/>
        </w:rPr>
      </w:pPr>
      <w:bookmarkStart w:name="_Toc1465844537" w:id="390536275"/>
      <w:r w:rsidRPr="324F1939" w:rsidR="53D41E01">
        <w:rPr>
          <w:rFonts w:ascii="Arial" w:hAnsi="Arial" w:eastAsia="Arial" w:cs="Arial"/>
          <w:noProof w:val="0"/>
          <w:sz w:val="22"/>
          <w:szCs w:val="22"/>
          <w:lang w:val="en-GB"/>
        </w:rPr>
        <w:t>Measuring the Impact and Success of the Initiative</w:t>
      </w:r>
      <w:bookmarkEnd w:id="390536275"/>
    </w:p>
    <w:p w:rsidR="6C7E1F3E" w:rsidP="6C7E1F3E" w:rsidRDefault="6C7E1F3E" w14:paraId="7FF35275" w14:textId="3188B908">
      <w:pPr>
        <w:bidi w:val="0"/>
        <w:spacing w:before="240" w:beforeAutospacing="off" w:after="240" w:afterAutospacing="off" w:line="360" w:lineRule="auto"/>
        <w:rPr>
          <w:rFonts w:ascii="Arial" w:hAnsi="Arial" w:eastAsia="Arial" w:cs="Arial"/>
          <w:noProof w:val="0"/>
          <w:color w:val="auto"/>
          <w:sz w:val="22"/>
          <w:szCs w:val="22"/>
          <w:lang w:val="en-GB"/>
        </w:rPr>
      </w:pPr>
      <w:r w:rsidRPr="324F1939" w:rsidR="5AF3458D">
        <w:rPr>
          <w:rFonts w:ascii="Arial" w:hAnsi="Arial" w:eastAsia="Arial" w:cs="Arial"/>
          <w:noProof w:val="0"/>
          <w:color w:val="auto"/>
          <w:sz w:val="22"/>
          <w:szCs w:val="22"/>
          <w:lang w:val="en-GB"/>
        </w:rPr>
        <w:t>To ensure that the proposed digital transformation initiative delivers measurable value, several key performance indicators (KPIs) should be used to evaluate its impact.</w:t>
      </w:r>
    </w:p>
    <w:p w:rsidR="1A0FADCC" w:rsidP="276A68DE" w:rsidRDefault="1A0FADCC" w14:paraId="023CED75" w14:textId="25E7E5A3">
      <w:pPr>
        <w:pStyle w:val="Normal"/>
        <w:bidi w:val="0"/>
        <w:spacing w:before="240" w:beforeAutospacing="off" w:after="240" w:afterAutospacing="off" w:line="360" w:lineRule="auto"/>
        <w:rPr>
          <w:rFonts w:ascii="Arial" w:hAnsi="Arial" w:eastAsia="Arial" w:cs="Arial"/>
          <w:b w:val="1"/>
          <w:bCs w:val="1"/>
          <w:noProof w:val="0"/>
          <w:color w:val="auto"/>
          <w:sz w:val="22"/>
          <w:szCs w:val="22"/>
          <w:lang w:val="en-GB"/>
        </w:rPr>
      </w:pPr>
      <w:r w:rsidRPr="276A68DE" w:rsidR="53D41E01">
        <w:rPr>
          <w:rFonts w:ascii="Arial" w:hAnsi="Arial" w:eastAsia="Arial" w:cs="Arial"/>
          <w:noProof w:val="0"/>
          <w:color w:val="auto"/>
          <w:sz w:val="22"/>
          <w:szCs w:val="22"/>
          <w:lang w:val="en-GB"/>
        </w:rPr>
        <w:t>Figure 5: Key Performance Indicators</w:t>
      </w:r>
    </w:p>
    <w:p w:rsidR="123FFC33" w:rsidP="2E8D55B9" w:rsidRDefault="123FFC33" w14:paraId="6002BBDA" w14:textId="481661E8">
      <w:pPr>
        <w:bidi w:val="0"/>
        <w:spacing w:before="240" w:beforeAutospacing="off" w:after="240" w:afterAutospacing="off" w:line="360" w:lineRule="auto"/>
        <w:rPr>
          <w:rFonts w:ascii="Arial" w:hAnsi="Arial" w:eastAsia="Arial" w:cs="Arial"/>
          <w:noProof w:val="0"/>
          <w:color w:val="auto"/>
          <w:sz w:val="22"/>
          <w:szCs w:val="22"/>
          <w:lang w:val="en-GB"/>
        </w:rPr>
      </w:pPr>
      <w:r w:rsidR="123FFC33">
        <w:drawing>
          <wp:inline wp14:editId="5E6C076C" wp14:anchorId="0968D2AC">
            <wp:extent cx="4223655" cy="2680074"/>
            <wp:effectExtent l="0" t="0" r="0" b="0"/>
            <wp:docPr id="5115249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11524959" name="Picture 511524959"/>
                    <pic:cNvPicPr/>
                  </pic:nvPicPr>
                  <pic:blipFill>
                    <a:blip xmlns:r="http://schemas.openxmlformats.org/officeDocument/2006/relationships" r:embed="rId1037441643">
                      <a:extLst>
                        <a:ext uri="{28A0092B-C50C-407E-A947-70E740481C1C}">
                          <a14:useLocalDpi xmlns:a14="http://schemas.microsoft.com/office/drawing/2010/main"/>
                        </a:ext>
                      </a:extLst>
                    </a:blip>
                    <a:stretch>
                      <a:fillRect/>
                    </a:stretch>
                  </pic:blipFill>
                  <pic:spPr>
                    <a:xfrm rot="0">
                      <a:off x="0" y="0"/>
                      <a:ext cx="4223655" cy="2680074"/>
                    </a:xfrm>
                    <a:prstGeom prst="rect">
                      <a:avLst/>
                    </a:prstGeom>
                  </pic:spPr>
                </pic:pic>
              </a:graphicData>
            </a:graphic>
          </wp:inline>
        </w:drawing>
      </w:r>
    </w:p>
    <w:p w:rsidR="1A0FADCC" w:rsidP="2E8D55B9" w:rsidRDefault="1A0FADCC" w14:paraId="6C9D5BB1" w14:textId="1142CB4F">
      <w:pPr>
        <w:bidi w:val="0"/>
        <w:spacing w:before="240" w:beforeAutospacing="off" w:after="240" w:afterAutospacing="off" w:line="360" w:lineRule="auto"/>
        <w:rPr>
          <w:rFonts w:ascii="Arial" w:hAnsi="Arial" w:eastAsia="Arial" w:cs="Arial"/>
          <w:noProof w:val="0"/>
          <w:color w:val="auto"/>
          <w:sz w:val="22"/>
          <w:szCs w:val="22"/>
          <w:lang w:val="en-GB"/>
        </w:rPr>
      </w:pPr>
      <w:r w:rsidRPr="2E8D55B9" w:rsidR="5AF3458D">
        <w:rPr>
          <w:rFonts w:ascii="Arial" w:hAnsi="Arial" w:eastAsia="Arial" w:cs="Arial"/>
          <w:noProof w:val="0"/>
          <w:color w:val="auto"/>
          <w:sz w:val="22"/>
          <w:szCs w:val="22"/>
          <w:lang w:val="en-GB"/>
        </w:rPr>
        <w:t xml:space="preserve">Monitoring these metrics would enable Legal &amp; General to evaluate whether the digital transformation initiative successfully improves customer experience, operational </w:t>
      </w:r>
      <w:r w:rsidRPr="2E8D55B9" w:rsidR="60B9BB54">
        <w:rPr>
          <w:rFonts w:ascii="Arial" w:hAnsi="Arial" w:eastAsia="Arial" w:cs="Arial"/>
          <w:noProof w:val="0"/>
          <w:color w:val="auto"/>
          <w:sz w:val="22"/>
          <w:szCs w:val="22"/>
          <w:lang w:val="en-GB"/>
        </w:rPr>
        <w:t>efficiency,</w:t>
      </w:r>
      <w:r w:rsidRPr="2E8D55B9" w:rsidR="5AF3458D">
        <w:rPr>
          <w:rFonts w:ascii="Arial" w:hAnsi="Arial" w:eastAsia="Arial" w:cs="Arial"/>
          <w:noProof w:val="0"/>
          <w:color w:val="auto"/>
          <w:sz w:val="22"/>
          <w:szCs w:val="22"/>
          <w:lang w:val="en-GB"/>
        </w:rPr>
        <w:t xml:space="preserve"> and long-term financial engagement.</w:t>
      </w:r>
    </w:p>
    <w:p w:rsidR="1A0FADCC" w:rsidP="2E8D55B9" w:rsidRDefault="1A0FADCC" w14:paraId="2421BE16" w14:textId="050A0A47">
      <w:pPr>
        <w:pStyle w:val="Normal"/>
        <w:spacing w:line="360" w:lineRule="auto"/>
        <w:rPr>
          <w:rFonts w:ascii="Arial" w:hAnsi="Arial" w:eastAsia="Arial" w:cs="Arial"/>
          <w:noProof w:val="0"/>
          <w:color w:val="auto"/>
          <w:sz w:val="22"/>
          <w:szCs w:val="22"/>
          <w:lang w:val="en-GB"/>
        </w:rPr>
      </w:pPr>
    </w:p>
    <w:p w:rsidR="1A0FADCC" w:rsidP="2E8D55B9" w:rsidRDefault="1A0FADCC" w14:paraId="206B2641" w14:textId="392F2D00">
      <w:pPr>
        <w:pStyle w:val="Heading1"/>
        <w:bidi w:val="0"/>
        <w:spacing w:before="322" w:beforeAutospacing="off" w:after="322" w:afterAutospacing="off" w:line="360" w:lineRule="auto"/>
        <w:jc w:val="both"/>
        <w:rPr>
          <w:rFonts w:ascii="Arial" w:hAnsi="Arial" w:eastAsia="Arial" w:cs="Arial"/>
          <w:b w:val="1"/>
          <w:bCs w:val="1"/>
          <w:noProof w:val="0"/>
          <w:color w:val="auto"/>
          <w:sz w:val="22"/>
          <w:szCs w:val="22"/>
          <w:lang w:val="en-GB"/>
        </w:rPr>
      </w:pPr>
      <w:bookmarkStart w:name="_Toc1172820748" w:id="1245122865"/>
      <w:r w:rsidRPr="324F1939" w:rsidR="42FAAD29">
        <w:rPr>
          <w:rFonts w:ascii="Arial" w:hAnsi="Arial" w:eastAsia="Arial" w:cs="Arial"/>
          <w:b w:val="1"/>
          <w:bCs w:val="1"/>
          <w:noProof w:val="0"/>
          <w:color w:val="auto"/>
          <w:sz w:val="22"/>
          <w:szCs w:val="22"/>
          <w:lang w:val="en-GB"/>
        </w:rPr>
        <w:t>Conclusion</w:t>
      </w:r>
      <w:bookmarkEnd w:id="1245122865"/>
      <w:r w:rsidRPr="324F1939" w:rsidR="42FAAD29">
        <w:rPr>
          <w:rFonts w:ascii="Arial" w:hAnsi="Arial" w:eastAsia="Arial" w:cs="Arial"/>
          <w:b w:val="1"/>
          <w:bCs w:val="1"/>
          <w:noProof w:val="0"/>
          <w:color w:val="auto"/>
          <w:sz w:val="22"/>
          <w:szCs w:val="22"/>
          <w:lang w:val="en-GB"/>
        </w:rPr>
        <w:t xml:space="preserve"> </w:t>
      </w:r>
    </w:p>
    <w:p w:rsidR="1A0FADCC" w:rsidP="2E8D55B9" w:rsidRDefault="1A0FADCC" w14:paraId="12B0E017" w14:textId="5CDAF316">
      <w:p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E8D55B9" w:rsidR="5D84A642">
        <w:rPr>
          <w:rFonts w:ascii="Arial" w:hAnsi="Arial" w:eastAsia="Arial" w:cs="Arial"/>
          <w:b w:val="0"/>
          <w:bCs w:val="0"/>
          <w:noProof w:val="0"/>
          <w:color w:val="auto"/>
          <w:sz w:val="22"/>
          <w:szCs w:val="22"/>
          <w:lang w:val="en-GB"/>
        </w:rPr>
        <w:t xml:space="preserve">This report has critically examined how innovation and digital transformation can enhance the customer experience and long-term strategic performance of Legal &amp; General within the evolving UK financial services sector. The analysis highlighted that the industry is undergoing significant structural change driven by technological advancement, demographic </w:t>
      </w:r>
      <w:r w:rsidRPr="2E8D55B9" w:rsidR="21B165D0">
        <w:rPr>
          <w:rFonts w:ascii="Arial" w:hAnsi="Arial" w:eastAsia="Arial" w:cs="Arial"/>
          <w:b w:val="0"/>
          <w:bCs w:val="0"/>
          <w:noProof w:val="0"/>
          <w:color w:val="auto"/>
          <w:sz w:val="22"/>
          <w:szCs w:val="22"/>
          <w:lang w:val="en-GB"/>
        </w:rPr>
        <w:t>shifts,</w:t>
      </w:r>
      <w:r w:rsidRPr="2E8D55B9" w:rsidR="5D84A642">
        <w:rPr>
          <w:rFonts w:ascii="Arial" w:hAnsi="Arial" w:eastAsia="Arial" w:cs="Arial"/>
          <w:b w:val="0"/>
          <w:bCs w:val="0"/>
          <w:noProof w:val="0"/>
          <w:color w:val="auto"/>
          <w:sz w:val="22"/>
          <w:szCs w:val="22"/>
          <w:lang w:val="en-GB"/>
        </w:rPr>
        <w:t xml:space="preserve"> and increased competition from fintech organisations. Market data from sources such as Euromonitor and Statista </w:t>
      </w:r>
      <w:r w:rsidRPr="2E8D55B9" w:rsidR="5D84A642">
        <w:rPr>
          <w:rFonts w:ascii="Arial" w:hAnsi="Arial" w:eastAsia="Arial" w:cs="Arial"/>
          <w:b w:val="0"/>
          <w:bCs w:val="0"/>
          <w:noProof w:val="0"/>
          <w:color w:val="auto"/>
          <w:sz w:val="22"/>
          <w:szCs w:val="22"/>
          <w:lang w:val="en-GB"/>
        </w:rPr>
        <w:t>demonstrates</w:t>
      </w:r>
      <w:r w:rsidRPr="2E8D55B9" w:rsidR="5D84A642">
        <w:rPr>
          <w:rFonts w:ascii="Arial" w:hAnsi="Arial" w:eastAsia="Arial" w:cs="Arial"/>
          <w:b w:val="0"/>
          <w:bCs w:val="0"/>
          <w:noProof w:val="0"/>
          <w:color w:val="auto"/>
          <w:sz w:val="22"/>
          <w:szCs w:val="22"/>
          <w:lang w:val="en-GB"/>
        </w:rPr>
        <w:t xml:space="preserve"> that digital financial engagement and demand for retirement planning services are continuing to grow, placing increasing pressure on traditional financial institutions to modernise their service delivery and improve customer engagement.</w:t>
      </w:r>
    </w:p>
    <w:p w:rsidR="1A0FADCC" w:rsidP="2E8D55B9" w:rsidRDefault="1A0FADCC" w14:paraId="011EBF1D" w14:textId="71BB2B46">
      <w:p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E8D55B9" w:rsidR="5D84A642">
        <w:rPr>
          <w:rFonts w:ascii="Arial" w:hAnsi="Arial" w:eastAsia="Arial" w:cs="Arial"/>
          <w:b w:val="0"/>
          <w:bCs w:val="0"/>
          <w:noProof w:val="0"/>
          <w:color w:val="auto"/>
          <w:sz w:val="22"/>
          <w:szCs w:val="22"/>
          <w:lang w:val="en-GB"/>
        </w:rPr>
        <w:t xml:space="preserve">The application of the </w:t>
      </w:r>
      <w:r w:rsidRPr="2E8D55B9" w:rsidR="5D84A642">
        <w:rPr>
          <w:rFonts w:ascii="Arial" w:hAnsi="Arial" w:eastAsia="Arial" w:cs="Arial"/>
          <w:b w:val="0"/>
          <w:bCs w:val="0"/>
          <w:noProof w:val="0"/>
          <w:color w:val="auto"/>
          <w:sz w:val="22"/>
          <w:szCs w:val="22"/>
          <w:lang w:val="en-GB"/>
        </w:rPr>
        <w:t>Innovation Ambition Matrix</w:t>
      </w:r>
      <w:r w:rsidRPr="2E8D55B9" w:rsidR="5D84A642">
        <w:rPr>
          <w:rFonts w:ascii="Arial" w:hAnsi="Arial" w:eastAsia="Arial" w:cs="Arial"/>
          <w:b w:val="0"/>
          <w:bCs w:val="0"/>
          <w:noProof w:val="0"/>
          <w:color w:val="auto"/>
          <w:sz w:val="22"/>
          <w:szCs w:val="22"/>
          <w:lang w:val="en-GB"/>
        </w:rPr>
        <w:t xml:space="preserve"> in Part 1 </w:t>
      </w:r>
      <w:r w:rsidRPr="2E8D55B9" w:rsidR="5D84A642">
        <w:rPr>
          <w:rFonts w:ascii="Arial" w:hAnsi="Arial" w:eastAsia="Arial" w:cs="Arial"/>
          <w:b w:val="0"/>
          <w:bCs w:val="0"/>
          <w:noProof w:val="0"/>
          <w:color w:val="auto"/>
          <w:sz w:val="22"/>
          <w:szCs w:val="22"/>
          <w:lang w:val="en-GB"/>
        </w:rPr>
        <w:t>demonstrated</w:t>
      </w:r>
      <w:r w:rsidRPr="2E8D55B9" w:rsidR="5D84A642">
        <w:rPr>
          <w:rFonts w:ascii="Arial" w:hAnsi="Arial" w:eastAsia="Arial" w:cs="Arial"/>
          <w:b w:val="0"/>
          <w:bCs w:val="0"/>
          <w:noProof w:val="0"/>
          <w:color w:val="auto"/>
          <w:sz w:val="22"/>
          <w:szCs w:val="22"/>
          <w:lang w:val="en-GB"/>
        </w:rPr>
        <w:t xml:space="preserve"> that Legal &amp; General currently places a strong emphasis on </w:t>
      </w:r>
      <w:r w:rsidRPr="2E8D55B9" w:rsidR="5D84A642">
        <w:rPr>
          <w:rFonts w:ascii="Arial" w:hAnsi="Arial" w:eastAsia="Arial" w:cs="Arial"/>
          <w:b w:val="0"/>
          <w:bCs w:val="0"/>
          <w:noProof w:val="0"/>
          <w:color w:val="auto"/>
          <w:sz w:val="22"/>
          <w:szCs w:val="22"/>
          <w:lang w:val="en-GB"/>
        </w:rPr>
        <w:t>core innovation</w:t>
      </w:r>
      <w:r w:rsidRPr="2E8D55B9" w:rsidR="5D84A642">
        <w:rPr>
          <w:rFonts w:ascii="Arial" w:hAnsi="Arial" w:eastAsia="Arial" w:cs="Arial"/>
          <w:b w:val="0"/>
          <w:bCs w:val="0"/>
          <w:noProof w:val="0"/>
          <w:color w:val="auto"/>
          <w:sz w:val="22"/>
          <w:szCs w:val="22"/>
          <w:lang w:val="en-GB"/>
        </w:rPr>
        <w:t xml:space="preserve">, particularly through the improvement of digital pension platforms and online account management services. The organisation has also developed </w:t>
      </w:r>
      <w:r w:rsidRPr="2E8D55B9" w:rsidR="5D84A642">
        <w:rPr>
          <w:rFonts w:ascii="Arial" w:hAnsi="Arial" w:eastAsia="Arial" w:cs="Arial"/>
          <w:b w:val="0"/>
          <w:bCs w:val="0"/>
          <w:noProof w:val="0"/>
          <w:color w:val="auto"/>
          <w:sz w:val="22"/>
          <w:szCs w:val="22"/>
          <w:lang w:val="en-GB"/>
        </w:rPr>
        <w:t>adjacent innovations</w:t>
      </w:r>
      <w:r w:rsidRPr="2E8D55B9" w:rsidR="5D84A642">
        <w:rPr>
          <w:rFonts w:ascii="Arial" w:hAnsi="Arial" w:eastAsia="Arial" w:cs="Arial"/>
          <w:b w:val="0"/>
          <w:bCs w:val="0"/>
          <w:noProof w:val="0"/>
          <w:color w:val="auto"/>
          <w:sz w:val="22"/>
          <w:szCs w:val="22"/>
          <w:lang w:val="en-GB"/>
        </w:rPr>
        <w:t xml:space="preserve">, such as digital retirement planning tools and financial wellbeing resources, which help customers better understand their financial situation. However, the analysis also revealed that there are significant opportunities for </w:t>
      </w:r>
      <w:r w:rsidRPr="2E8D55B9" w:rsidR="5D84A642">
        <w:rPr>
          <w:rFonts w:ascii="Arial" w:hAnsi="Arial" w:eastAsia="Arial" w:cs="Arial"/>
          <w:b w:val="0"/>
          <w:bCs w:val="0"/>
          <w:noProof w:val="0"/>
          <w:color w:val="auto"/>
          <w:sz w:val="22"/>
          <w:szCs w:val="22"/>
          <w:lang w:val="en-GB"/>
        </w:rPr>
        <w:t>transformational innovation</w:t>
      </w:r>
      <w:r w:rsidRPr="2E8D55B9" w:rsidR="5D84A642">
        <w:rPr>
          <w:rFonts w:ascii="Arial" w:hAnsi="Arial" w:eastAsia="Arial" w:cs="Arial"/>
          <w:b w:val="0"/>
          <w:bCs w:val="0"/>
          <w:noProof w:val="0"/>
          <w:color w:val="auto"/>
          <w:sz w:val="22"/>
          <w:szCs w:val="22"/>
          <w:lang w:val="en-GB"/>
        </w:rPr>
        <w:t>, particularly through the integration of advanced technologies such as artificial intelligence and predictive analytics within financial planning services.</w:t>
      </w:r>
    </w:p>
    <w:p w:rsidR="1A0FADCC" w:rsidP="2E8D55B9" w:rsidRDefault="1A0FADCC" w14:paraId="76E2B276" w14:textId="3D2B1063">
      <w:p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E8D55B9" w:rsidR="5D84A642">
        <w:rPr>
          <w:rFonts w:ascii="Arial" w:hAnsi="Arial" w:eastAsia="Arial" w:cs="Arial"/>
          <w:b w:val="0"/>
          <w:bCs w:val="0"/>
          <w:noProof w:val="0"/>
          <w:color w:val="auto"/>
          <w:sz w:val="22"/>
          <w:szCs w:val="22"/>
          <w:lang w:val="en-GB"/>
        </w:rPr>
        <w:t xml:space="preserve">The customer journey mapping analysis further </w:t>
      </w:r>
      <w:r w:rsidRPr="2E8D55B9" w:rsidR="5D84A642">
        <w:rPr>
          <w:rFonts w:ascii="Arial" w:hAnsi="Arial" w:eastAsia="Arial" w:cs="Arial"/>
          <w:b w:val="0"/>
          <w:bCs w:val="0"/>
          <w:noProof w:val="0"/>
          <w:color w:val="auto"/>
          <w:sz w:val="22"/>
          <w:szCs w:val="22"/>
          <w:lang w:val="en-GB"/>
        </w:rPr>
        <w:t>identified</w:t>
      </w:r>
      <w:r w:rsidRPr="2E8D55B9" w:rsidR="5D84A642">
        <w:rPr>
          <w:rFonts w:ascii="Arial" w:hAnsi="Arial" w:eastAsia="Arial" w:cs="Arial"/>
          <w:b w:val="0"/>
          <w:bCs w:val="0"/>
          <w:noProof w:val="0"/>
          <w:color w:val="auto"/>
          <w:sz w:val="22"/>
          <w:szCs w:val="22"/>
          <w:lang w:val="en-GB"/>
        </w:rPr>
        <w:t xml:space="preserve"> several challenges within the existing customer experience, including complex pension information, limited personalised financial guidance and difficulties in understanding long-term retirement projections. These issues reflect broader challenges within the financial services sector, where customers often struggle with financial literacy and long-term financial decision-making.</w:t>
      </w:r>
    </w:p>
    <w:p w:rsidR="1A0FADCC" w:rsidP="2E8D55B9" w:rsidRDefault="1A0FADCC" w14:paraId="7EBD57D0" w14:textId="01C8B8FD">
      <w:p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E8D55B9" w:rsidR="5D84A642">
        <w:rPr>
          <w:rFonts w:ascii="Arial" w:hAnsi="Arial" w:eastAsia="Arial" w:cs="Arial"/>
          <w:b w:val="0"/>
          <w:bCs w:val="0"/>
          <w:noProof w:val="0"/>
          <w:color w:val="auto"/>
          <w:sz w:val="22"/>
          <w:szCs w:val="22"/>
          <w:lang w:val="en-GB"/>
        </w:rPr>
        <w:t xml:space="preserve">To address these challenges, Part 2 proposed the development of an </w:t>
      </w:r>
      <w:r w:rsidRPr="2E8D55B9" w:rsidR="5D84A642">
        <w:rPr>
          <w:rFonts w:ascii="Arial" w:hAnsi="Arial" w:eastAsia="Arial" w:cs="Arial"/>
          <w:b w:val="0"/>
          <w:bCs w:val="0"/>
          <w:noProof w:val="0"/>
          <w:color w:val="auto"/>
          <w:sz w:val="22"/>
          <w:szCs w:val="22"/>
          <w:lang w:val="en-GB"/>
        </w:rPr>
        <w:t>AI-driven personalised retirement ecosystem</w:t>
      </w:r>
      <w:r w:rsidRPr="2E8D55B9" w:rsidR="5D84A642">
        <w:rPr>
          <w:rFonts w:ascii="Arial" w:hAnsi="Arial" w:eastAsia="Arial" w:cs="Arial"/>
          <w:b w:val="0"/>
          <w:bCs w:val="0"/>
          <w:noProof w:val="0"/>
          <w:color w:val="auto"/>
          <w:sz w:val="22"/>
          <w:szCs w:val="22"/>
          <w:lang w:val="en-GB"/>
        </w:rPr>
        <w:t xml:space="preserve">, designed to provide customers with personalised financial insights, predictive retirement </w:t>
      </w:r>
      <w:r w:rsidRPr="2E8D55B9" w:rsidR="5D84A642">
        <w:rPr>
          <w:rFonts w:ascii="Arial" w:hAnsi="Arial" w:eastAsia="Arial" w:cs="Arial"/>
          <w:b w:val="0"/>
          <w:bCs w:val="0"/>
          <w:noProof w:val="0"/>
          <w:color w:val="auto"/>
          <w:sz w:val="22"/>
          <w:szCs w:val="22"/>
          <w:lang w:val="en-GB"/>
        </w:rPr>
        <w:t>forecasting</w:t>
      </w:r>
      <w:r w:rsidRPr="2E8D55B9" w:rsidR="5D84A642">
        <w:rPr>
          <w:rFonts w:ascii="Arial" w:hAnsi="Arial" w:eastAsia="Arial" w:cs="Arial"/>
          <w:b w:val="0"/>
          <w:bCs w:val="0"/>
          <w:noProof w:val="0"/>
          <w:color w:val="auto"/>
          <w:sz w:val="22"/>
          <w:szCs w:val="22"/>
          <w:lang w:val="en-GB"/>
        </w:rPr>
        <w:t xml:space="preserve"> and simplified pension management tools. By integrating artificial intelligence, behavioural finance principles and digital analytics, the proposed initiative has the potential to significantly enhance customer engagement and improve retirement planning outcomes.</w:t>
      </w:r>
    </w:p>
    <w:p w:rsidR="1A0FADCC" w:rsidP="59ECC4A7" w:rsidRDefault="1A0FADCC" w14:paraId="113301E2" w14:textId="504C34AA">
      <w:p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59ECC4A7" w:rsidR="5D84A642">
        <w:rPr>
          <w:rFonts w:ascii="Arial" w:hAnsi="Arial" w:eastAsia="Arial" w:cs="Arial"/>
          <w:b w:val="0"/>
          <w:bCs w:val="0"/>
          <w:noProof w:val="0"/>
          <w:color w:val="auto"/>
          <w:sz w:val="22"/>
          <w:szCs w:val="22"/>
          <w:lang w:val="en-GB"/>
        </w:rPr>
        <w:t>Overall, continued investment in digital innovation and customer-centred design will be essential for Legal &amp; General to remain competitive within the rapidly evolving financial services industry while supporting customers in achieving greater financial security throughout retirement.</w:t>
      </w:r>
    </w:p>
    <w:p w:rsidR="09DB3C35" w:rsidP="2E8D55B9" w:rsidRDefault="09DB3C35" w14:paraId="24CAAE63" w14:textId="08549428">
      <w:pPr>
        <w:pStyle w:val="Heading1"/>
        <w:spacing w:before="240" w:beforeAutospacing="off" w:after="240" w:afterAutospacing="off"/>
        <w:jc w:val="both"/>
        <w:rPr>
          <w:rFonts w:ascii="Arial" w:hAnsi="Arial" w:eastAsia="Arial" w:cs="Arial"/>
          <w:noProof w:val="0"/>
          <w:sz w:val="22"/>
          <w:szCs w:val="22"/>
          <w:lang w:val="en-GB"/>
        </w:rPr>
      </w:pPr>
      <w:bookmarkStart w:name="_Toc1527344297" w:id="1597661852"/>
      <w:r w:rsidRPr="324F1939" w:rsidR="1E9202DB">
        <w:rPr>
          <w:rFonts w:ascii="Arial" w:hAnsi="Arial" w:eastAsia="Arial" w:cs="Arial"/>
          <w:noProof w:val="0"/>
          <w:sz w:val="22"/>
          <w:szCs w:val="22"/>
          <w:lang w:val="en-GB"/>
        </w:rPr>
        <w:t>Reference</w:t>
      </w:r>
      <w:bookmarkEnd w:id="1597661852"/>
    </w:p>
    <w:p w:rsidR="09DB3C35" w:rsidP="2E8D55B9" w:rsidRDefault="09DB3C35" w14:paraId="03800106" w14:textId="08C4AE9F">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 xml:space="preserve">Arner, D.W., Barberis, J. and Buckley, R.P. (2015) ‘The evolution of Fintech: A new post-crisis paradigm’, </w:t>
      </w:r>
      <w:r w:rsidRPr="2E8D55B9" w:rsidR="6CFF3E50">
        <w:rPr>
          <w:rFonts w:ascii="Arial" w:hAnsi="Arial" w:eastAsia="Arial" w:cs="Arial"/>
          <w:noProof w:val="0"/>
          <w:sz w:val="20"/>
          <w:szCs w:val="20"/>
          <w:lang w:val="en-GB"/>
        </w:rPr>
        <w:t>Georgetown Journal of International Law</w:t>
      </w:r>
      <w:r w:rsidRPr="2E8D55B9" w:rsidR="6CFF3E50">
        <w:rPr>
          <w:rFonts w:ascii="Arial" w:hAnsi="Arial" w:eastAsia="Arial" w:cs="Arial"/>
          <w:noProof w:val="0"/>
          <w:sz w:val="20"/>
          <w:szCs w:val="20"/>
          <w:lang w:val="en-GB"/>
        </w:rPr>
        <w:t>, 47, p.1271.</w:t>
      </w:r>
    </w:p>
    <w:p w:rsidR="09DB3C35" w:rsidP="2E8D55B9" w:rsidRDefault="09DB3C35" w14:paraId="2BCA0D4B" w14:textId="1EDA7AEE">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 xml:space="preserve">Davenport, T.H. and </w:t>
      </w:r>
      <w:r w:rsidRPr="2E8D55B9" w:rsidR="6CFF3E50">
        <w:rPr>
          <w:rFonts w:ascii="Arial" w:hAnsi="Arial" w:eastAsia="Arial" w:cs="Arial"/>
          <w:noProof w:val="0"/>
          <w:sz w:val="20"/>
          <w:szCs w:val="20"/>
          <w:lang w:val="en-GB"/>
        </w:rPr>
        <w:t>Ronanki</w:t>
      </w:r>
      <w:r w:rsidRPr="2E8D55B9" w:rsidR="6CFF3E50">
        <w:rPr>
          <w:rFonts w:ascii="Arial" w:hAnsi="Arial" w:eastAsia="Arial" w:cs="Arial"/>
          <w:noProof w:val="0"/>
          <w:sz w:val="20"/>
          <w:szCs w:val="20"/>
          <w:lang w:val="en-GB"/>
        </w:rPr>
        <w:t xml:space="preserve">, R. (2018) ‘Artificial intelligence for the real world’, </w:t>
      </w:r>
      <w:r w:rsidRPr="2E8D55B9" w:rsidR="6CFF3E50">
        <w:rPr>
          <w:rFonts w:ascii="Arial" w:hAnsi="Arial" w:eastAsia="Arial" w:cs="Arial"/>
          <w:noProof w:val="0"/>
          <w:sz w:val="20"/>
          <w:szCs w:val="20"/>
          <w:lang w:val="en-GB"/>
        </w:rPr>
        <w:t>Harvard Business Review</w:t>
      </w:r>
      <w:r w:rsidRPr="2E8D55B9" w:rsidR="6CFF3E50">
        <w:rPr>
          <w:rFonts w:ascii="Arial" w:hAnsi="Arial" w:eastAsia="Arial" w:cs="Arial"/>
          <w:noProof w:val="0"/>
          <w:sz w:val="20"/>
          <w:szCs w:val="20"/>
          <w:lang w:val="en-GB"/>
        </w:rPr>
        <w:t>, 96(1), pp. 108–116.</w:t>
      </w:r>
    </w:p>
    <w:p w:rsidR="09DB3C35" w:rsidP="2E8D55B9" w:rsidRDefault="09DB3C35" w14:paraId="1AA4D5F9" w14:textId="438BEBAE">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 xml:space="preserve">Euromonitor International (2024) </w:t>
      </w:r>
      <w:r w:rsidRPr="2E8D55B9" w:rsidR="6CFF3E50">
        <w:rPr>
          <w:rFonts w:ascii="Arial" w:hAnsi="Arial" w:eastAsia="Arial" w:cs="Arial"/>
          <w:noProof w:val="0"/>
          <w:sz w:val="20"/>
          <w:szCs w:val="20"/>
          <w:lang w:val="en-GB"/>
        </w:rPr>
        <w:t>Embedded Finance Ecosystem: Mapping the Path to Services Industries’ Transformation</w:t>
      </w:r>
      <w:r w:rsidRPr="2E8D55B9" w:rsidR="6CFF3E50">
        <w:rPr>
          <w:rFonts w:ascii="Arial" w:hAnsi="Arial" w:eastAsia="Arial" w:cs="Arial"/>
          <w:noProof w:val="0"/>
          <w:sz w:val="20"/>
          <w:szCs w:val="20"/>
          <w:lang w:val="en-GB"/>
        </w:rPr>
        <w:t xml:space="preserve">. Available at: </w:t>
      </w:r>
      <w:hyperlink r:id="R969021103ca143f5">
        <w:r w:rsidRPr="2E8D55B9" w:rsidR="6CFF3E50">
          <w:rPr>
            <w:rStyle w:val="Hyperlink"/>
            <w:rFonts w:ascii="Arial" w:hAnsi="Arial" w:eastAsia="Arial" w:cs="Arial"/>
            <w:noProof w:val="0"/>
            <w:sz w:val="20"/>
            <w:szCs w:val="20"/>
            <w:lang w:val="en-GB"/>
          </w:rPr>
          <w:t>https://www.euromonitor.com/embedded-finance-ecosystem-mapping-the-path-to-services-industries-transformation/report</w:t>
        </w:r>
      </w:hyperlink>
      <w:r w:rsidRPr="2E8D55B9" w:rsidR="6CFF3E50">
        <w:rPr>
          <w:rFonts w:ascii="Arial" w:hAnsi="Arial" w:eastAsia="Arial" w:cs="Arial"/>
          <w:noProof w:val="0"/>
          <w:sz w:val="20"/>
          <w:szCs w:val="20"/>
          <w:lang w:val="en-GB"/>
        </w:rPr>
        <w:t xml:space="preserve"> (Accessed: </w:t>
      </w:r>
      <w:r w:rsidRPr="2E8D55B9" w:rsidR="0414FED4">
        <w:rPr>
          <w:rFonts w:ascii="Arial" w:hAnsi="Arial" w:eastAsia="Arial" w:cs="Arial"/>
          <w:noProof w:val="0"/>
          <w:sz w:val="20"/>
          <w:szCs w:val="20"/>
          <w:lang w:val="en-GB"/>
        </w:rPr>
        <w:t>3</w:t>
      </w:r>
      <w:r w:rsidRPr="2E8D55B9" w:rsidR="0414FED4">
        <w:rPr>
          <w:rFonts w:ascii="Arial" w:hAnsi="Arial" w:eastAsia="Arial" w:cs="Arial"/>
          <w:noProof w:val="0"/>
          <w:sz w:val="20"/>
          <w:szCs w:val="20"/>
          <w:lang w:val="en-GB"/>
        </w:rPr>
        <w:t>rd</w:t>
      </w:r>
      <w:r w:rsidRPr="2E8D55B9" w:rsidR="0414FED4">
        <w:rPr>
          <w:rFonts w:ascii="Arial" w:hAnsi="Arial" w:eastAsia="Arial" w:cs="Arial"/>
          <w:noProof w:val="0"/>
          <w:sz w:val="20"/>
          <w:szCs w:val="20"/>
          <w:lang w:val="en-GB"/>
        </w:rPr>
        <w:t xml:space="preserve"> </w:t>
      </w:r>
      <w:r w:rsidRPr="2E8D55B9" w:rsidR="6CFF3E50">
        <w:rPr>
          <w:rFonts w:ascii="Arial" w:hAnsi="Arial" w:eastAsia="Arial" w:cs="Arial"/>
          <w:noProof w:val="0"/>
          <w:sz w:val="20"/>
          <w:szCs w:val="20"/>
          <w:lang w:val="en-GB"/>
        </w:rPr>
        <w:t>March 2026).</w:t>
      </w:r>
    </w:p>
    <w:p w:rsidR="09DB3C35" w:rsidP="2E8D55B9" w:rsidRDefault="09DB3C35" w14:paraId="402FE99D" w14:textId="094A522B">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 xml:space="preserve">Euromonitor International (2024) </w:t>
      </w:r>
      <w:r w:rsidRPr="2E8D55B9" w:rsidR="6CFF3E50">
        <w:rPr>
          <w:rFonts w:ascii="Arial" w:hAnsi="Arial" w:eastAsia="Arial" w:cs="Arial"/>
          <w:noProof w:val="0"/>
          <w:sz w:val="20"/>
          <w:szCs w:val="20"/>
          <w:lang w:val="en-GB"/>
        </w:rPr>
        <w:t>Voice of the Industry: Digital Survey Insights 2024</w:t>
      </w:r>
      <w:r w:rsidRPr="2E8D55B9" w:rsidR="6CFF3E50">
        <w:rPr>
          <w:rFonts w:ascii="Arial" w:hAnsi="Arial" w:eastAsia="Arial" w:cs="Arial"/>
          <w:noProof w:val="0"/>
          <w:sz w:val="20"/>
          <w:szCs w:val="20"/>
          <w:lang w:val="en-GB"/>
        </w:rPr>
        <w:t xml:space="preserve">. Available at: </w:t>
      </w:r>
      <w:hyperlink r:id="R0b5360bb214b4567">
        <w:r w:rsidRPr="2E8D55B9" w:rsidR="6CFF3E50">
          <w:rPr>
            <w:rStyle w:val="Hyperlink"/>
            <w:rFonts w:ascii="Arial" w:hAnsi="Arial" w:eastAsia="Arial" w:cs="Arial"/>
            <w:noProof w:val="0"/>
            <w:sz w:val="20"/>
            <w:szCs w:val="20"/>
            <w:lang w:val="en-GB"/>
          </w:rPr>
          <w:t>https://www.euromonitor.com/voice-of-the-industry-digital-survey-insights-2024/report</w:t>
        </w:r>
      </w:hyperlink>
      <w:r w:rsidRPr="2E8D55B9" w:rsidR="6CFF3E50">
        <w:rPr>
          <w:rFonts w:ascii="Arial" w:hAnsi="Arial" w:eastAsia="Arial" w:cs="Arial"/>
          <w:noProof w:val="0"/>
          <w:sz w:val="20"/>
          <w:szCs w:val="20"/>
          <w:lang w:val="en-GB"/>
        </w:rPr>
        <w:t xml:space="preserve"> (Accessed: </w:t>
      </w:r>
      <w:r w:rsidRPr="2E8D55B9" w:rsidR="0669B67A">
        <w:rPr>
          <w:rFonts w:ascii="Arial" w:hAnsi="Arial" w:eastAsia="Arial" w:cs="Arial"/>
          <w:noProof w:val="0"/>
          <w:sz w:val="20"/>
          <w:szCs w:val="20"/>
          <w:lang w:val="en-GB"/>
        </w:rPr>
        <w:t>2nd</w:t>
      </w:r>
      <w:r w:rsidRPr="2E8D55B9" w:rsidR="6CFF3E50">
        <w:rPr>
          <w:rFonts w:ascii="Arial" w:hAnsi="Arial" w:eastAsia="Arial" w:cs="Arial"/>
          <w:noProof w:val="0"/>
          <w:sz w:val="20"/>
          <w:szCs w:val="20"/>
          <w:lang w:val="en-GB"/>
        </w:rPr>
        <w:t xml:space="preserve"> March 2026).</w:t>
      </w:r>
    </w:p>
    <w:p w:rsidR="09DB3C35" w:rsidP="2E8D55B9" w:rsidRDefault="09DB3C35" w14:paraId="6BC7ED94" w14:textId="368E4516">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 xml:space="preserve">FCA (2023) </w:t>
      </w:r>
      <w:r w:rsidRPr="2E8D55B9" w:rsidR="6CFF3E50">
        <w:rPr>
          <w:rFonts w:ascii="Arial" w:hAnsi="Arial" w:eastAsia="Arial" w:cs="Arial"/>
          <w:noProof w:val="0"/>
          <w:sz w:val="20"/>
          <w:szCs w:val="20"/>
          <w:lang w:val="en-GB"/>
        </w:rPr>
        <w:t>Digital design in customers' online journeys: Good practice and areas for improvement</w:t>
      </w:r>
      <w:r w:rsidRPr="2E8D55B9" w:rsidR="6CFF3E50">
        <w:rPr>
          <w:rFonts w:ascii="Arial" w:hAnsi="Arial" w:eastAsia="Arial" w:cs="Arial"/>
          <w:noProof w:val="0"/>
          <w:sz w:val="20"/>
          <w:szCs w:val="20"/>
          <w:lang w:val="en-GB"/>
        </w:rPr>
        <w:t xml:space="preserve">. Available at: </w:t>
      </w:r>
      <w:hyperlink r:id="R100e8eed797e4f2a">
        <w:r w:rsidRPr="2E8D55B9" w:rsidR="6CFF3E50">
          <w:rPr>
            <w:rStyle w:val="Hyperlink"/>
            <w:rFonts w:ascii="Arial" w:hAnsi="Arial" w:eastAsia="Arial" w:cs="Arial"/>
            <w:noProof w:val="0"/>
            <w:sz w:val="20"/>
            <w:szCs w:val="20"/>
            <w:lang w:val="en-GB"/>
          </w:rPr>
          <w:t>https://www.fca.org.uk/publication/regulatory-priorities/consumer-investments-report.pdf</w:t>
        </w:r>
      </w:hyperlink>
      <w:r w:rsidRPr="2E8D55B9" w:rsidR="6CFF3E50">
        <w:rPr>
          <w:rFonts w:ascii="Arial" w:hAnsi="Arial" w:eastAsia="Arial" w:cs="Arial"/>
          <w:noProof w:val="0"/>
          <w:sz w:val="20"/>
          <w:szCs w:val="20"/>
          <w:lang w:val="en-GB"/>
        </w:rPr>
        <w:t xml:space="preserve"> (Accessed: </w:t>
      </w:r>
      <w:r w:rsidRPr="2E8D55B9" w:rsidR="36CCD31B">
        <w:rPr>
          <w:rFonts w:ascii="Arial" w:hAnsi="Arial" w:eastAsia="Arial" w:cs="Arial"/>
          <w:noProof w:val="0"/>
          <w:sz w:val="20"/>
          <w:szCs w:val="20"/>
          <w:lang w:val="en-GB"/>
        </w:rPr>
        <w:t>3rd</w:t>
      </w:r>
      <w:r w:rsidRPr="2E8D55B9" w:rsidR="6CFF3E50">
        <w:rPr>
          <w:rFonts w:ascii="Arial" w:hAnsi="Arial" w:eastAsia="Arial" w:cs="Arial"/>
          <w:noProof w:val="0"/>
          <w:sz w:val="20"/>
          <w:szCs w:val="20"/>
          <w:lang w:val="en-GB"/>
        </w:rPr>
        <w:t xml:space="preserve"> March 2026).</w:t>
      </w:r>
    </w:p>
    <w:p w:rsidR="09DB3C35" w:rsidP="2E8D55B9" w:rsidRDefault="09DB3C35" w14:paraId="52D48505" w14:textId="00C8E414">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 xml:space="preserve">Gomber, P., Koch, J.A. and Siering, M. (2017) ‘Digital finance and FinTech: Current research and future research directions’, </w:t>
      </w:r>
      <w:r w:rsidRPr="2E8D55B9" w:rsidR="6CFF3E50">
        <w:rPr>
          <w:rFonts w:ascii="Arial" w:hAnsi="Arial" w:eastAsia="Arial" w:cs="Arial"/>
          <w:noProof w:val="0"/>
          <w:sz w:val="20"/>
          <w:szCs w:val="20"/>
          <w:lang w:val="en-GB"/>
        </w:rPr>
        <w:t>Journal of Business Economics</w:t>
      </w:r>
      <w:r w:rsidRPr="2E8D55B9" w:rsidR="6CFF3E50">
        <w:rPr>
          <w:rFonts w:ascii="Arial" w:hAnsi="Arial" w:eastAsia="Arial" w:cs="Arial"/>
          <w:noProof w:val="0"/>
          <w:sz w:val="20"/>
          <w:szCs w:val="20"/>
          <w:lang w:val="en-GB"/>
        </w:rPr>
        <w:t>, 87(5), pp. 537–580.</w:t>
      </w:r>
    </w:p>
    <w:p w:rsidR="09DB3C35" w:rsidP="2E8D55B9" w:rsidRDefault="09DB3C35" w14:paraId="6A254931" w14:textId="4DB5254D">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 xml:space="preserve">Gomber, P., Kauffman, R.J., Parker, </w:t>
      </w:r>
      <w:r w:rsidRPr="2E8D55B9" w:rsidR="592EA6F9">
        <w:rPr>
          <w:rFonts w:ascii="Arial" w:hAnsi="Arial" w:eastAsia="Arial" w:cs="Arial"/>
          <w:noProof w:val="0"/>
          <w:sz w:val="20"/>
          <w:szCs w:val="20"/>
          <w:lang w:val="en-GB"/>
        </w:rPr>
        <w:t>C</w:t>
      </w:r>
      <w:r w:rsidRPr="2E8D55B9" w:rsidR="04CC5321">
        <w:rPr>
          <w:rFonts w:ascii="Arial" w:hAnsi="Arial" w:eastAsia="Arial" w:cs="Arial"/>
          <w:noProof w:val="0"/>
          <w:sz w:val="20"/>
          <w:szCs w:val="20"/>
          <w:lang w:val="en-GB"/>
        </w:rPr>
        <w:t>,</w:t>
      </w:r>
      <w:r w:rsidRPr="2E8D55B9" w:rsidR="6CFF3E50">
        <w:rPr>
          <w:rFonts w:ascii="Arial" w:hAnsi="Arial" w:eastAsia="Arial" w:cs="Arial"/>
          <w:noProof w:val="0"/>
          <w:sz w:val="20"/>
          <w:szCs w:val="20"/>
          <w:lang w:val="en-GB"/>
        </w:rPr>
        <w:t xml:space="preserve"> and Weber, B.W. (2018) ‘On the fintech revolution: Interpreting the forces of innovation, disruption, and transformation in financial services’, Journal of Management Information Systems, 35(1), pp. 220–265.</w:t>
      </w:r>
    </w:p>
    <w:p w:rsidR="09DB3C35" w:rsidP="2E8D55B9" w:rsidRDefault="09DB3C35" w14:paraId="3870E78B" w14:textId="0A8D0B33">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 xml:space="preserve">Kumar, V. (2025) ‘Digital modernization and its socio-economic impact on global insurance and financial services’, </w:t>
      </w:r>
      <w:r w:rsidRPr="2E8D55B9" w:rsidR="6CFF3E50">
        <w:rPr>
          <w:rFonts w:ascii="Arial" w:hAnsi="Arial" w:eastAsia="Arial" w:cs="Arial"/>
          <w:noProof w:val="0"/>
          <w:sz w:val="20"/>
          <w:szCs w:val="20"/>
          <w:lang w:val="en-GB"/>
        </w:rPr>
        <w:t>Journal of Computational Analysis &amp; Applications</w:t>
      </w:r>
      <w:r w:rsidRPr="2E8D55B9" w:rsidR="6CFF3E50">
        <w:rPr>
          <w:rFonts w:ascii="Arial" w:hAnsi="Arial" w:eastAsia="Arial" w:cs="Arial"/>
          <w:noProof w:val="0"/>
          <w:sz w:val="20"/>
          <w:szCs w:val="20"/>
          <w:lang w:val="en-GB"/>
        </w:rPr>
        <w:t>, 34(12).</w:t>
      </w:r>
    </w:p>
    <w:p w:rsidR="09DB3C35" w:rsidP="2E8D55B9" w:rsidRDefault="09DB3C35" w14:paraId="5E58255C" w14:textId="105E856D">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 xml:space="preserve">Legal &amp; General (2024) </w:t>
      </w:r>
      <w:r w:rsidRPr="2E8D55B9" w:rsidR="6CFF3E50">
        <w:rPr>
          <w:rFonts w:ascii="Arial" w:hAnsi="Arial" w:eastAsia="Arial" w:cs="Arial"/>
          <w:noProof w:val="0"/>
          <w:sz w:val="20"/>
          <w:szCs w:val="20"/>
          <w:lang w:val="en-GB"/>
        </w:rPr>
        <w:t>Annual Report and Accounts 2024</w:t>
      </w:r>
      <w:r w:rsidRPr="2E8D55B9" w:rsidR="6CFF3E50">
        <w:rPr>
          <w:rFonts w:ascii="Arial" w:hAnsi="Arial" w:eastAsia="Arial" w:cs="Arial"/>
          <w:noProof w:val="0"/>
          <w:sz w:val="20"/>
          <w:szCs w:val="20"/>
          <w:lang w:val="en-GB"/>
        </w:rPr>
        <w:t xml:space="preserve">. London: Legal &amp; General Group. Available at: </w:t>
      </w:r>
      <w:hyperlink r:id="Rea88399a60d54b29">
        <w:r w:rsidRPr="2E8D55B9" w:rsidR="6CFF3E50">
          <w:rPr>
            <w:rStyle w:val="Hyperlink"/>
            <w:rFonts w:ascii="Arial" w:hAnsi="Arial" w:eastAsia="Arial" w:cs="Arial"/>
            <w:noProof w:val="0"/>
            <w:sz w:val="20"/>
            <w:szCs w:val="20"/>
            <w:lang w:val="en-GB"/>
          </w:rPr>
          <w:t>https://www.legalandgeneral.com</w:t>
        </w:r>
      </w:hyperlink>
      <w:r w:rsidRPr="2E8D55B9" w:rsidR="6CFF3E50">
        <w:rPr>
          <w:rFonts w:ascii="Arial" w:hAnsi="Arial" w:eastAsia="Arial" w:cs="Arial"/>
          <w:noProof w:val="0"/>
          <w:sz w:val="20"/>
          <w:szCs w:val="20"/>
          <w:lang w:val="en-GB"/>
        </w:rPr>
        <w:t xml:space="preserve"> (Accessed: 2</w:t>
      </w:r>
      <w:r w:rsidRPr="2E8D55B9" w:rsidR="3F144FE3">
        <w:rPr>
          <w:rFonts w:ascii="Arial" w:hAnsi="Arial" w:eastAsia="Arial" w:cs="Arial"/>
          <w:noProof w:val="0"/>
          <w:sz w:val="20"/>
          <w:szCs w:val="20"/>
          <w:lang w:val="en-GB"/>
        </w:rPr>
        <w:t>nd</w:t>
      </w:r>
      <w:r w:rsidRPr="2E8D55B9" w:rsidR="6CFF3E50">
        <w:rPr>
          <w:rFonts w:ascii="Arial" w:hAnsi="Arial" w:eastAsia="Arial" w:cs="Arial"/>
          <w:noProof w:val="0"/>
          <w:sz w:val="20"/>
          <w:szCs w:val="20"/>
          <w:lang w:val="en-GB"/>
        </w:rPr>
        <w:t xml:space="preserve"> March 2026).</w:t>
      </w:r>
    </w:p>
    <w:p w:rsidR="09DB3C35" w:rsidP="2E8D55B9" w:rsidRDefault="09DB3C35" w14:paraId="2B457E58" w14:textId="2519CDE0">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 xml:space="preserve">Legal &amp; General Group Plc (2024) </w:t>
      </w:r>
      <w:r w:rsidRPr="2E8D55B9" w:rsidR="6CFF3E50">
        <w:rPr>
          <w:rFonts w:ascii="Arial" w:hAnsi="Arial" w:eastAsia="Arial" w:cs="Arial"/>
          <w:noProof w:val="0"/>
          <w:sz w:val="20"/>
          <w:szCs w:val="20"/>
          <w:lang w:val="en-GB"/>
        </w:rPr>
        <w:t>Annual report and accounts 2024: Growing, simpler, better-connected</w:t>
      </w:r>
      <w:r w:rsidRPr="2E8D55B9" w:rsidR="6CFF3E50">
        <w:rPr>
          <w:rFonts w:ascii="Arial" w:hAnsi="Arial" w:eastAsia="Arial" w:cs="Arial"/>
          <w:noProof w:val="0"/>
          <w:sz w:val="20"/>
          <w:szCs w:val="20"/>
          <w:lang w:val="en-GB"/>
        </w:rPr>
        <w:t xml:space="preserve">. Available at: </w:t>
      </w:r>
      <w:hyperlink r:id="R157c7651e8ce4a49">
        <w:r w:rsidRPr="2E8D55B9" w:rsidR="6CFF3E50">
          <w:rPr>
            <w:rStyle w:val="Hyperlink"/>
            <w:rFonts w:ascii="Arial" w:hAnsi="Arial" w:eastAsia="Arial" w:cs="Arial"/>
            <w:noProof w:val="0"/>
            <w:sz w:val="20"/>
            <w:szCs w:val="20"/>
            <w:lang w:val="en-GB"/>
          </w:rPr>
          <w:t>https://group.legalandgeneral.com/media/n55b2iwo/l-g-annual-report-and-accounts-2024.pdf</w:t>
        </w:r>
      </w:hyperlink>
      <w:r w:rsidRPr="2E8D55B9" w:rsidR="6CFF3E50">
        <w:rPr>
          <w:rFonts w:ascii="Arial" w:hAnsi="Arial" w:eastAsia="Arial" w:cs="Arial"/>
          <w:noProof w:val="0"/>
          <w:sz w:val="20"/>
          <w:szCs w:val="20"/>
          <w:lang w:val="en-GB"/>
        </w:rPr>
        <w:t xml:space="preserve"> (Accessed: </w:t>
      </w:r>
      <w:r w:rsidRPr="2E8D55B9" w:rsidR="5553482C">
        <w:rPr>
          <w:rFonts w:ascii="Arial" w:hAnsi="Arial" w:eastAsia="Arial" w:cs="Arial"/>
          <w:noProof w:val="0"/>
          <w:sz w:val="20"/>
          <w:szCs w:val="20"/>
          <w:lang w:val="en-GB"/>
        </w:rPr>
        <w:t>4th</w:t>
      </w:r>
      <w:r w:rsidRPr="2E8D55B9" w:rsidR="6CFF3E50">
        <w:rPr>
          <w:rFonts w:ascii="Arial" w:hAnsi="Arial" w:eastAsia="Arial" w:cs="Arial"/>
          <w:noProof w:val="0"/>
          <w:sz w:val="20"/>
          <w:szCs w:val="20"/>
          <w:lang w:val="en-GB"/>
        </w:rPr>
        <w:t xml:space="preserve"> March 2026).</w:t>
      </w:r>
    </w:p>
    <w:p w:rsidR="09DB3C35" w:rsidP="2E8D55B9" w:rsidRDefault="09DB3C35" w14:paraId="0F453AFA" w14:textId="32B73294">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 xml:space="preserve">Lee, I. and Shin, Y.J. (2018) ‘Fintech: Ecosystem, business models, investment decisions, and challenges’, </w:t>
      </w:r>
      <w:r w:rsidRPr="2E8D55B9" w:rsidR="6CFF3E50">
        <w:rPr>
          <w:rFonts w:ascii="Arial" w:hAnsi="Arial" w:eastAsia="Arial" w:cs="Arial"/>
          <w:noProof w:val="0"/>
          <w:sz w:val="20"/>
          <w:szCs w:val="20"/>
          <w:lang w:val="en-GB"/>
        </w:rPr>
        <w:t>Business Horizons</w:t>
      </w:r>
      <w:r w:rsidRPr="2E8D55B9" w:rsidR="6CFF3E50">
        <w:rPr>
          <w:rFonts w:ascii="Arial" w:hAnsi="Arial" w:eastAsia="Arial" w:cs="Arial"/>
          <w:noProof w:val="0"/>
          <w:sz w:val="20"/>
          <w:szCs w:val="20"/>
          <w:lang w:val="en-GB"/>
        </w:rPr>
        <w:t>, 61(1), pp. 35–46.</w:t>
      </w:r>
    </w:p>
    <w:p w:rsidR="09DB3C35" w:rsidP="2E8D55B9" w:rsidRDefault="09DB3C35" w14:paraId="18C628BE" w14:textId="334722FA">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 xml:space="preserve">Lekhi, P. (2024) ‘Megatrends and innovations shaping the future of finance’, in </w:t>
      </w:r>
      <w:r w:rsidRPr="2E8D55B9" w:rsidR="6CFF3E50">
        <w:rPr>
          <w:rFonts w:ascii="Arial" w:hAnsi="Arial" w:eastAsia="Arial" w:cs="Arial"/>
          <w:noProof w:val="0"/>
          <w:sz w:val="20"/>
          <w:szCs w:val="20"/>
          <w:lang w:val="en-GB"/>
        </w:rPr>
        <w:t>Innovation, sustainability, and technological megatrends in the face of uncertainties</w:t>
      </w:r>
      <w:r w:rsidRPr="2E8D55B9" w:rsidR="6CFF3E50">
        <w:rPr>
          <w:rFonts w:ascii="Arial" w:hAnsi="Arial" w:eastAsia="Arial" w:cs="Arial"/>
          <w:noProof w:val="0"/>
          <w:sz w:val="20"/>
          <w:szCs w:val="20"/>
          <w:lang w:val="en-GB"/>
        </w:rPr>
        <w:t>. Cham: Springer Nature Switzerland, pp. 41–53.</w:t>
      </w:r>
    </w:p>
    <w:p w:rsidR="09DB3C35" w:rsidP="2E8D55B9" w:rsidRDefault="09DB3C35" w14:paraId="47DD4DC9" w14:textId="55ED207D">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 xml:space="preserve">Lemon, K.N. and Verhoef, P.C. (2016) ‘Understanding customer experience throughout the customer journey’, </w:t>
      </w:r>
      <w:r w:rsidRPr="2E8D55B9" w:rsidR="6CFF3E50">
        <w:rPr>
          <w:rFonts w:ascii="Arial" w:hAnsi="Arial" w:eastAsia="Arial" w:cs="Arial"/>
          <w:noProof w:val="0"/>
          <w:sz w:val="20"/>
          <w:szCs w:val="20"/>
          <w:lang w:val="en-GB"/>
        </w:rPr>
        <w:t>Journal of Marketing</w:t>
      </w:r>
      <w:r w:rsidRPr="2E8D55B9" w:rsidR="6CFF3E50">
        <w:rPr>
          <w:rFonts w:ascii="Arial" w:hAnsi="Arial" w:eastAsia="Arial" w:cs="Arial"/>
          <w:noProof w:val="0"/>
          <w:sz w:val="20"/>
          <w:szCs w:val="20"/>
          <w:lang w:val="en-GB"/>
        </w:rPr>
        <w:t>, 80(6), pp. 69–96.</w:t>
      </w:r>
    </w:p>
    <w:p w:rsidR="09DB3C35" w:rsidP="2E8D55B9" w:rsidRDefault="09DB3C35" w14:paraId="3B475366" w14:textId="031311BB">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 xml:space="preserve">Lusardi, A. and Mitchell, O.S. (2017) ‘How ordinary consumers make complex economic decisions: Financial literacy and retirement readiness’, </w:t>
      </w:r>
      <w:r w:rsidRPr="2E8D55B9" w:rsidR="6CFF3E50">
        <w:rPr>
          <w:rFonts w:ascii="Arial" w:hAnsi="Arial" w:eastAsia="Arial" w:cs="Arial"/>
          <w:noProof w:val="0"/>
          <w:sz w:val="20"/>
          <w:szCs w:val="20"/>
          <w:lang w:val="en-GB"/>
        </w:rPr>
        <w:t>Quarterly Journal of Finance</w:t>
      </w:r>
      <w:r w:rsidRPr="2E8D55B9" w:rsidR="6CFF3E50">
        <w:rPr>
          <w:rFonts w:ascii="Arial" w:hAnsi="Arial" w:eastAsia="Arial" w:cs="Arial"/>
          <w:noProof w:val="0"/>
          <w:sz w:val="20"/>
          <w:szCs w:val="20"/>
          <w:lang w:val="en-GB"/>
        </w:rPr>
        <w:t>, 7(03), p. 1750008.</w:t>
      </w:r>
    </w:p>
    <w:p w:rsidR="09DB3C35" w:rsidP="2E8D55B9" w:rsidRDefault="09DB3C35" w14:paraId="36257132" w14:textId="3D97E325">
      <w:pPr>
        <w:pStyle w:val="Normal"/>
        <w:rPr>
          <w:rFonts w:ascii="Arial" w:hAnsi="Arial" w:eastAsia="Arial" w:cs="Arial"/>
          <w:sz w:val="20"/>
          <w:szCs w:val="20"/>
        </w:rPr>
      </w:pPr>
      <w:r w:rsidRPr="2E8D55B9" w:rsidR="5B7804A3">
        <w:rPr>
          <w:rFonts w:ascii="Arial" w:hAnsi="Arial" w:eastAsia="Arial" w:cs="Arial"/>
          <w:noProof w:val="0"/>
          <w:sz w:val="20"/>
          <w:szCs w:val="20"/>
          <w:lang w:val="en-GB"/>
        </w:rPr>
        <w:t>Marian</w:t>
      </w:r>
      <w:r w:rsidRPr="2E8D55B9" w:rsidR="6CFF3E50">
        <w:rPr>
          <w:rFonts w:ascii="Arial" w:hAnsi="Arial" w:eastAsia="Arial" w:cs="Arial"/>
          <w:noProof w:val="0"/>
          <w:sz w:val="20"/>
          <w:szCs w:val="20"/>
          <w:lang w:val="en-GB"/>
        </w:rPr>
        <w:t xml:space="preserve">, </w:t>
      </w:r>
      <w:r w:rsidRPr="2E8D55B9" w:rsidR="08087915">
        <w:rPr>
          <w:rFonts w:ascii="Arial" w:hAnsi="Arial" w:eastAsia="Arial" w:cs="Arial"/>
          <w:noProof w:val="0"/>
          <w:sz w:val="20"/>
          <w:szCs w:val="20"/>
          <w:lang w:val="en-GB"/>
        </w:rPr>
        <w:t>B.C.,</w:t>
      </w:r>
      <w:r w:rsidRPr="2E8D55B9" w:rsidR="6CFF3E50">
        <w:rPr>
          <w:rFonts w:ascii="Arial" w:hAnsi="Arial" w:eastAsia="Arial" w:cs="Arial"/>
          <w:noProof w:val="0"/>
          <w:sz w:val="20"/>
          <w:szCs w:val="20"/>
          <w:lang w:val="en-GB"/>
        </w:rPr>
        <w:t xml:space="preserve"> and Shea, D.F. (2001) ‘The power of suggestion: Inertia in 401(k) participation and savings </w:t>
      </w:r>
      <w:r w:rsidRPr="2E8D55B9" w:rsidR="0E238860">
        <w:rPr>
          <w:rFonts w:ascii="Arial" w:hAnsi="Arial" w:eastAsia="Arial" w:cs="Arial"/>
          <w:noProof w:val="0"/>
          <w:sz w:val="20"/>
          <w:szCs w:val="20"/>
          <w:lang w:val="en-GB"/>
        </w:rPr>
        <w:t>behaviour</w:t>
      </w:r>
      <w:r w:rsidRPr="2E8D55B9" w:rsidR="6CFF3E50">
        <w:rPr>
          <w:rFonts w:ascii="Arial" w:hAnsi="Arial" w:eastAsia="Arial" w:cs="Arial"/>
          <w:noProof w:val="0"/>
          <w:sz w:val="20"/>
          <w:szCs w:val="20"/>
          <w:lang w:val="en-GB"/>
        </w:rPr>
        <w:t xml:space="preserve">, Quarterly Journal of Economics, 116(4), pp. 1149–1187. Available at: </w:t>
      </w:r>
      <w:hyperlink r:id="R2d09be16182a46e2">
        <w:r w:rsidRPr="2E8D55B9" w:rsidR="6CFF3E50">
          <w:rPr>
            <w:rStyle w:val="Hyperlink"/>
            <w:rFonts w:ascii="Arial" w:hAnsi="Arial" w:eastAsia="Arial" w:cs="Arial"/>
            <w:noProof w:val="0"/>
            <w:sz w:val="20"/>
            <w:szCs w:val="20"/>
            <w:lang w:val="en-GB"/>
          </w:rPr>
          <w:t>https://doi.org/10.3386/w7681</w:t>
        </w:r>
      </w:hyperlink>
    </w:p>
    <w:p w:rsidR="09DB3C35" w:rsidP="2E8D55B9" w:rsidRDefault="09DB3C35" w14:paraId="488BE94B" w14:textId="7457401A">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Nagji</w:t>
      </w:r>
      <w:r w:rsidRPr="2E8D55B9" w:rsidR="6CFF3E50">
        <w:rPr>
          <w:rFonts w:ascii="Arial" w:hAnsi="Arial" w:eastAsia="Arial" w:cs="Arial"/>
          <w:noProof w:val="0"/>
          <w:sz w:val="20"/>
          <w:szCs w:val="20"/>
          <w:lang w:val="en-GB"/>
        </w:rPr>
        <w:t xml:space="preserve">, B. and Tuff, G. (2012) ‘Managing your innovation portfolio’, </w:t>
      </w:r>
      <w:r w:rsidRPr="2E8D55B9" w:rsidR="6CFF3E50">
        <w:rPr>
          <w:rFonts w:ascii="Arial" w:hAnsi="Arial" w:eastAsia="Arial" w:cs="Arial"/>
          <w:noProof w:val="0"/>
          <w:sz w:val="20"/>
          <w:szCs w:val="20"/>
          <w:lang w:val="en-GB"/>
        </w:rPr>
        <w:t>Harvard Business Review</w:t>
      </w:r>
      <w:r w:rsidRPr="2E8D55B9" w:rsidR="6CFF3E50">
        <w:rPr>
          <w:rFonts w:ascii="Arial" w:hAnsi="Arial" w:eastAsia="Arial" w:cs="Arial"/>
          <w:noProof w:val="0"/>
          <w:sz w:val="20"/>
          <w:szCs w:val="20"/>
          <w:lang w:val="en-GB"/>
        </w:rPr>
        <w:t>, 90(5), pp. 66–74.</w:t>
      </w:r>
    </w:p>
    <w:p w:rsidR="09DB3C35" w:rsidP="2E8D55B9" w:rsidRDefault="09DB3C35" w14:paraId="79A3A592" w14:textId="6C54A753">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 xml:space="preserve">Office for National Statistics (2023) </w:t>
      </w:r>
      <w:r w:rsidRPr="2E8D55B9" w:rsidR="6CFF3E50">
        <w:rPr>
          <w:rFonts w:ascii="Arial" w:hAnsi="Arial" w:eastAsia="Arial" w:cs="Arial"/>
          <w:noProof w:val="0"/>
          <w:sz w:val="20"/>
          <w:szCs w:val="20"/>
          <w:lang w:val="en-GB"/>
        </w:rPr>
        <w:t>Internet access – households and individuals</w:t>
      </w:r>
      <w:r w:rsidRPr="2E8D55B9" w:rsidR="6CFF3E50">
        <w:rPr>
          <w:rFonts w:ascii="Arial" w:hAnsi="Arial" w:eastAsia="Arial" w:cs="Arial"/>
          <w:noProof w:val="0"/>
          <w:sz w:val="20"/>
          <w:szCs w:val="20"/>
          <w:lang w:val="en-GB"/>
        </w:rPr>
        <w:t xml:space="preserve">. Available at: </w:t>
      </w:r>
      <w:hyperlink r:id="R4e364f80c8914f9b">
        <w:r w:rsidRPr="2E8D55B9" w:rsidR="6CFF3E50">
          <w:rPr>
            <w:rStyle w:val="Hyperlink"/>
            <w:rFonts w:ascii="Arial" w:hAnsi="Arial" w:eastAsia="Arial" w:cs="Arial"/>
            <w:noProof w:val="0"/>
            <w:sz w:val="20"/>
            <w:szCs w:val="20"/>
            <w:lang w:val="en-GB"/>
          </w:rPr>
          <w:t>https://www.ons.gov.uk/peoplepopulationandcommunity/householdcharacteristics/homeinternetandsocialmediausage</w:t>
        </w:r>
      </w:hyperlink>
      <w:r w:rsidRPr="2E8D55B9" w:rsidR="6CFF3E50">
        <w:rPr>
          <w:rFonts w:ascii="Arial" w:hAnsi="Arial" w:eastAsia="Arial" w:cs="Arial"/>
          <w:noProof w:val="0"/>
          <w:sz w:val="20"/>
          <w:szCs w:val="20"/>
          <w:lang w:val="en-GB"/>
        </w:rPr>
        <w:t xml:space="preserve"> (Accessed: </w:t>
      </w:r>
      <w:r w:rsidRPr="2E8D55B9" w:rsidR="4467B029">
        <w:rPr>
          <w:rFonts w:ascii="Arial" w:hAnsi="Arial" w:eastAsia="Arial" w:cs="Arial"/>
          <w:noProof w:val="0"/>
          <w:sz w:val="20"/>
          <w:szCs w:val="20"/>
          <w:lang w:val="en-GB"/>
        </w:rPr>
        <w:t>2</w:t>
      </w:r>
      <w:r w:rsidRPr="2E8D55B9" w:rsidR="4467B029">
        <w:rPr>
          <w:rFonts w:ascii="Arial" w:hAnsi="Arial" w:eastAsia="Arial" w:cs="Arial"/>
          <w:noProof w:val="0"/>
          <w:sz w:val="20"/>
          <w:szCs w:val="20"/>
          <w:lang w:val="en-GB"/>
        </w:rPr>
        <w:t>nd</w:t>
      </w:r>
      <w:r w:rsidRPr="2E8D55B9" w:rsidR="4467B029">
        <w:rPr>
          <w:rFonts w:ascii="Arial" w:hAnsi="Arial" w:eastAsia="Arial" w:cs="Arial"/>
          <w:noProof w:val="0"/>
          <w:sz w:val="20"/>
          <w:szCs w:val="20"/>
          <w:lang w:val="en-GB"/>
        </w:rPr>
        <w:t xml:space="preserve"> March</w:t>
      </w:r>
      <w:r w:rsidRPr="2E8D55B9" w:rsidR="6CFF3E50">
        <w:rPr>
          <w:rFonts w:ascii="Arial" w:hAnsi="Arial" w:eastAsia="Arial" w:cs="Arial"/>
          <w:noProof w:val="0"/>
          <w:sz w:val="20"/>
          <w:szCs w:val="20"/>
          <w:lang w:val="en-GB"/>
        </w:rPr>
        <w:t xml:space="preserve"> 2026).</w:t>
      </w:r>
    </w:p>
    <w:p w:rsidR="09DB3C35" w:rsidP="2E8D55B9" w:rsidRDefault="09DB3C35" w14:paraId="2F01E200" w14:textId="65EF9449">
      <w:pPr>
        <w:pStyle w:val="Normal"/>
        <w:rPr>
          <w:rFonts w:ascii="Arial" w:hAnsi="Arial" w:eastAsia="Arial" w:cs="Arial"/>
          <w:noProof w:val="0"/>
          <w:sz w:val="20"/>
          <w:szCs w:val="20"/>
          <w:lang w:val="en-GB"/>
        </w:rPr>
      </w:pPr>
      <w:r w:rsidRPr="6C7E1F3E" w:rsidR="6CFF3E50">
        <w:rPr>
          <w:rFonts w:ascii="Arial" w:hAnsi="Arial" w:eastAsia="Arial" w:cs="Arial"/>
          <w:noProof w:val="0"/>
          <w:sz w:val="20"/>
          <w:szCs w:val="20"/>
          <w:lang w:val="en-GB"/>
        </w:rPr>
        <w:t>Omnius</w:t>
      </w:r>
      <w:r w:rsidRPr="6C7E1F3E" w:rsidR="6CFF3E50">
        <w:rPr>
          <w:rFonts w:ascii="Arial" w:hAnsi="Arial" w:eastAsia="Arial" w:cs="Arial"/>
          <w:noProof w:val="0"/>
          <w:sz w:val="20"/>
          <w:szCs w:val="20"/>
          <w:lang w:val="en-GB"/>
        </w:rPr>
        <w:t xml:space="preserve"> (2024) </w:t>
      </w:r>
      <w:r w:rsidRPr="6C7E1F3E" w:rsidR="6CFF3E50">
        <w:rPr>
          <w:rFonts w:ascii="Arial" w:hAnsi="Arial" w:eastAsia="Arial" w:cs="Arial"/>
          <w:noProof w:val="0"/>
          <w:sz w:val="20"/>
          <w:szCs w:val="20"/>
          <w:lang w:val="en-GB"/>
        </w:rPr>
        <w:t>Fintech industry report 2024: Trends, insights &amp; market analysis</w:t>
      </w:r>
      <w:r w:rsidRPr="6C7E1F3E" w:rsidR="6CFF3E50">
        <w:rPr>
          <w:rFonts w:ascii="Arial" w:hAnsi="Arial" w:eastAsia="Arial" w:cs="Arial"/>
          <w:noProof w:val="0"/>
          <w:sz w:val="20"/>
          <w:szCs w:val="20"/>
          <w:lang w:val="en-GB"/>
        </w:rPr>
        <w:t xml:space="preserve">. Available at: </w:t>
      </w:r>
      <w:hyperlink r:id="R56b9bcbb3c454c0f">
        <w:r w:rsidRPr="6C7E1F3E" w:rsidR="6CFF3E50">
          <w:rPr>
            <w:rStyle w:val="Hyperlink"/>
            <w:rFonts w:ascii="Arial" w:hAnsi="Arial" w:eastAsia="Arial" w:cs="Arial"/>
            <w:noProof w:val="0"/>
            <w:sz w:val="20"/>
            <w:szCs w:val="20"/>
            <w:lang w:val="en-GB"/>
          </w:rPr>
          <w:t>https://www.omnius.so/blog/fintech-industry-report-2024</w:t>
        </w:r>
      </w:hyperlink>
      <w:r w:rsidRPr="6C7E1F3E" w:rsidR="6CFF3E50">
        <w:rPr>
          <w:rFonts w:ascii="Arial" w:hAnsi="Arial" w:eastAsia="Arial" w:cs="Arial"/>
          <w:noProof w:val="0"/>
          <w:sz w:val="20"/>
          <w:szCs w:val="20"/>
          <w:lang w:val="en-GB"/>
        </w:rPr>
        <w:t xml:space="preserve"> (Accessed: </w:t>
      </w:r>
      <w:r w:rsidRPr="6C7E1F3E" w:rsidR="14349756">
        <w:rPr>
          <w:rFonts w:ascii="Arial" w:hAnsi="Arial" w:eastAsia="Arial" w:cs="Arial"/>
          <w:noProof w:val="0"/>
          <w:sz w:val="20"/>
          <w:szCs w:val="20"/>
          <w:lang w:val="en-GB"/>
        </w:rPr>
        <w:t>6th</w:t>
      </w:r>
      <w:r w:rsidRPr="6C7E1F3E" w:rsidR="6CFF3E50">
        <w:rPr>
          <w:rFonts w:ascii="Arial" w:hAnsi="Arial" w:eastAsia="Arial" w:cs="Arial"/>
          <w:noProof w:val="0"/>
          <w:sz w:val="20"/>
          <w:szCs w:val="20"/>
          <w:lang w:val="en-GB"/>
        </w:rPr>
        <w:t xml:space="preserve"> March 2026).</w:t>
      </w:r>
    </w:p>
    <w:p w:rsidR="09DB3C35" w:rsidP="2E8D55B9" w:rsidRDefault="09DB3C35" w14:paraId="0610FAF3" w14:textId="438A1888">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 xml:space="preserve">Pensions Policy Institute (2024) </w:t>
      </w:r>
      <w:r w:rsidRPr="2E8D55B9" w:rsidR="6CFF3E50">
        <w:rPr>
          <w:rFonts w:ascii="Arial" w:hAnsi="Arial" w:eastAsia="Arial" w:cs="Arial"/>
          <w:noProof w:val="0"/>
          <w:sz w:val="20"/>
          <w:szCs w:val="20"/>
          <w:lang w:val="en-GB"/>
        </w:rPr>
        <w:t>Pension scheme assets: How they are invested and how and why they change over time</w:t>
      </w:r>
      <w:r w:rsidRPr="2E8D55B9" w:rsidR="6CFF3E50">
        <w:rPr>
          <w:rFonts w:ascii="Arial" w:hAnsi="Arial" w:eastAsia="Arial" w:cs="Arial"/>
          <w:noProof w:val="0"/>
          <w:sz w:val="20"/>
          <w:szCs w:val="20"/>
          <w:lang w:val="en-GB"/>
        </w:rPr>
        <w:t xml:space="preserve">. Available at: </w:t>
      </w:r>
      <w:hyperlink r:id="R6e2f7308b26649cf">
        <w:r w:rsidRPr="2E8D55B9" w:rsidR="6CFF3E50">
          <w:rPr>
            <w:rStyle w:val="Hyperlink"/>
            <w:rFonts w:ascii="Arial" w:hAnsi="Arial" w:eastAsia="Arial" w:cs="Arial"/>
            <w:noProof w:val="0"/>
            <w:sz w:val="20"/>
            <w:szCs w:val="20"/>
            <w:lang w:val="en-GB"/>
          </w:rPr>
          <w:t>https://www.pensionspolicyinstitute.org.uk/media/c00dra0k/20240909-ppi-pension-scheme-assets-main-report-final.pdf</w:t>
        </w:r>
      </w:hyperlink>
      <w:r w:rsidRPr="2E8D55B9" w:rsidR="6CFF3E50">
        <w:rPr>
          <w:rFonts w:ascii="Arial" w:hAnsi="Arial" w:eastAsia="Arial" w:cs="Arial"/>
          <w:noProof w:val="0"/>
          <w:sz w:val="20"/>
          <w:szCs w:val="20"/>
          <w:lang w:val="en-GB"/>
        </w:rPr>
        <w:t xml:space="preserve"> (Accessed: </w:t>
      </w:r>
      <w:r w:rsidRPr="2E8D55B9" w:rsidR="2F4F98AF">
        <w:rPr>
          <w:rFonts w:ascii="Arial" w:hAnsi="Arial" w:eastAsia="Arial" w:cs="Arial"/>
          <w:noProof w:val="0"/>
          <w:sz w:val="20"/>
          <w:szCs w:val="20"/>
          <w:lang w:val="en-GB"/>
        </w:rPr>
        <w:t>3</w:t>
      </w:r>
      <w:r w:rsidRPr="2E8D55B9" w:rsidR="2F4F98AF">
        <w:rPr>
          <w:rFonts w:ascii="Arial" w:hAnsi="Arial" w:eastAsia="Arial" w:cs="Arial"/>
          <w:noProof w:val="0"/>
          <w:sz w:val="20"/>
          <w:szCs w:val="20"/>
          <w:lang w:val="en-GB"/>
        </w:rPr>
        <w:t>rd</w:t>
      </w:r>
      <w:r w:rsidRPr="2E8D55B9" w:rsidR="2F4F98AF">
        <w:rPr>
          <w:rFonts w:ascii="Arial" w:hAnsi="Arial" w:eastAsia="Arial" w:cs="Arial"/>
          <w:noProof w:val="0"/>
          <w:sz w:val="20"/>
          <w:szCs w:val="20"/>
          <w:lang w:val="en-GB"/>
        </w:rPr>
        <w:t xml:space="preserve"> </w:t>
      </w:r>
      <w:r w:rsidRPr="2E8D55B9" w:rsidR="6CFF3E50">
        <w:rPr>
          <w:rFonts w:ascii="Arial" w:hAnsi="Arial" w:eastAsia="Arial" w:cs="Arial"/>
          <w:noProof w:val="0"/>
          <w:sz w:val="20"/>
          <w:szCs w:val="20"/>
          <w:lang w:val="en-GB"/>
        </w:rPr>
        <w:t>March 2026).</w:t>
      </w:r>
    </w:p>
    <w:p w:rsidR="09DB3C35" w:rsidP="2E8D55B9" w:rsidRDefault="09DB3C35" w14:paraId="347EFD30" w14:textId="69B5609E">
      <w:pPr>
        <w:pStyle w:val="Normal"/>
        <w:rPr>
          <w:rFonts w:ascii="Arial" w:hAnsi="Arial" w:eastAsia="Arial" w:cs="Arial"/>
          <w:noProof w:val="0"/>
          <w:sz w:val="20"/>
          <w:szCs w:val="20"/>
          <w:lang w:val="en-GB"/>
        </w:rPr>
      </w:pPr>
      <w:r w:rsidRPr="2E8D55B9" w:rsidR="6CFF3E50">
        <w:rPr>
          <w:rFonts w:ascii="Arial" w:hAnsi="Arial" w:eastAsia="Arial" w:cs="Arial"/>
          <w:noProof w:val="0"/>
          <w:sz w:val="20"/>
          <w:szCs w:val="20"/>
          <w:lang w:val="en-GB"/>
        </w:rPr>
        <w:t>Vention</w:t>
      </w:r>
      <w:r w:rsidRPr="2E8D55B9" w:rsidR="6CFF3E50">
        <w:rPr>
          <w:rFonts w:ascii="Arial" w:hAnsi="Arial" w:eastAsia="Arial" w:cs="Arial"/>
          <w:noProof w:val="0"/>
          <w:sz w:val="20"/>
          <w:szCs w:val="20"/>
          <w:lang w:val="en-GB"/>
        </w:rPr>
        <w:t xml:space="preserve"> (2025) </w:t>
      </w:r>
      <w:r w:rsidRPr="2E8D55B9" w:rsidR="6CFF3E50">
        <w:rPr>
          <w:rFonts w:ascii="Arial" w:hAnsi="Arial" w:eastAsia="Arial" w:cs="Arial"/>
          <w:noProof w:val="0"/>
          <w:sz w:val="20"/>
          <w:szCs w:val="20"/>
          <w:lang w:val="en-GB"/>
        </w:rPr>
        <w:t>Digital banking statistics: How digitised UK banking is in 2025</w:t>
      </w:r>
      <w:r w:rsidRPr="2E8D55B9" w:rsidR="6CFF3E50">
        <w:rPr>
          <w:rFonts w:ascii="Arial" w:hAnsi="Arial" w:eastAsia="Arial" w:cs="Arial"/>
          <w:noProof w:val="0"/>
          <w:sz w:val="20"/>
          <w:szCs w:val="20"/>
          <w:lang w:val="en-GB"/>
        </w:rPr>
        <w:t xml:space="preserve">. Available at: </w:t>
      </w:r>
      <w:hyperlink r:id="Rc403eebd770d4a11">
        <w:r w:rsidRPr="2E8D55B9" w:rsidR="6CFF3E50">
          <w:rPr>
            <w:rStyle w:val="Hyperlink"/>
            <w:rFonts w:ascii="Arial" w:hAnsi="Arial" w:eastAsia="Arial" w:cs="Arial"/>
            <w:noProof w:val="0"/>
            <w:sz w:val="20"/>
            <w:szCs w:val="20"/>
            <w:lang w:val="en-GB"/>
          </w:rPr>
          <w:t>https://ventionteams.com/uk/finance/banking/statistics</w:t>
        </w:r>
      </w:hyperlink>
      <w:r w:rsidRPr="2E8D55B9" w:rsidR="6CFF3E50">
        <w:rPr>
          <w:rFonts w:ascii="Arial" w:hAnsi="Arial" w:eastAsia="Arial" w:cs="Arial"/>
          <w:noProof w:val="0"/>
          <w:sz w:val="20"/>
          <w:szCs w:val="20"/>
          <w:lang w:val="en-GB"/>
        </w:rPr>
        <w:t xml:space="preserve"> (Accessed: </w:t>
      </w:r>
      <w:r w:rsidRPr="2E8D55B9" w:rsidR="6821128A">
        <w:rPr>
          <w:rFonts w:ascii="Arial" w:hAnsi="Arial" w:eastAsia="Arial" w:cs="Arial"/>
          <w:noProof w:val="0"/>
          <w:sz w:val="20"/>
          <w:szCs w:val="20"/>
          <w:lang w:val="en-GB"/>
        </w:rPr>
        <w:t>3</w:t>
      </w:r>
      <w:r w:rsidRPr="2E8D55B9" w:rsidR="6821128A">
        <w:rPr>
          <w:rFonts w:ascii="Arial" w:hAnsi="Arial" w:eastAsia="Arial" w:cs="Arial"/>
          <w:noProof w:val="0"/>
          <w:sz w:val="20"/>
          <w:szCs w:val="20"/>
          <w:lang w:val="en-GB"/>
        </w:rPr>
        <w:t>rd</w:t>
      </w:r>
      <w:r w:rsidRPr="2E8D55B9" w:rsidR="6821128A">
        <w:rPr>
          <w:rFonts w:ascii="Arial" w:hAnsi="Arial" w:eastAsia="Arial" w:cs="Arial"/>
          <w:noProof w:val="0"/>
          <w:sz w:val="20"/>
          <w:szCs w:val="20"/>
          <w:lang w:val="en-GB"/>
        </w:rPr>
        <w:t xml:space="preserve"> </w:t>
      </w:r>
      <w:r w:rsidRPr="2E8D55B9" w:rsidR="6CFF3E50">
        <w:rPr>
          <w:rFonts w:ascii="Arial" w:hAnsi="Arial" w:eastAsia="Arial" w:cs="Arial"/>
          <w:noProof w:val="0"/>
          <w:sz w:val="20"/>
          <w:szCs w:val="20"/>
          <w:lang w:val="en-GB"/>
        </w:rPr>
        <w:t>March 2026).</w:t>
      </w:r>
    </w:p>
    <w:p w:rsidR="09DB3C35" w:rsidP="59ECC4A7" w:rsidRDefault="09DB3C35" w14:paraId="46397FFA" w14:textId="6175D097">
      <w:pPr>
        <w:pStyle w:val="Normal"/>
        <w:rPr>
          <w:rStyle w:val="EndnoteReference"/>
          <w:rFonts w:ascii="Arial" w:hAnsi="Arial" w:eastAsia="Arial" w:cs="Arial"/>
          <w:noProof w:val="0"/>
          <w:sz w:val="20"/>
          <w:szCs w:val="20"/>
          <w:lang w:val="en-GB"/>
        </w:rPr>
      </w:pPr>
      <w:r w:rsidRPr="59ECC4A7" w:rsidR="6CFF3E50">
        <w:rPr>
          <w:rFonts w:ascii="Arial" w:hAnsi="Arial" w:eastAsia="Arial" w:cs="Arial"/>
          <w:noProof w:val="0"/>
          <w:sz w:val="20"/>
          <w:szCs w:val="20"/>
          <w:lang w:val="en-GB"/>
        </w:rPr>
        <w:t xml:space="preserve">Westerman, G., Bonnet, </w:t>
      </w:r>
      <w:r w:rsidRPr="59ECC4A7" w:rsidR="10BF6B91">
        <w:rPr>
          <w:rFonts w:ascii="Arial" w:hAnsi="Arial" w:eastAsia="Arial" w:cs="Arial"/>
          <w:noProof w:val="0"/>
          <w:sz w:val="20"/>
          <w:szCs w:val="20"/>
          <w:lang w:val="en-GB"/>
        </w:rPr>
        <w:t>D.,</w:t>
      </w:r>
      <w:r w:rsidRPr="59ECC4A7" w:rsidR="6CFF3E50">
        <w:rPr>
          <w:rFonts w:ascii="Arial" w:hAnsi="Arial" w:eastAsia="Arial" w:cs="Arial"/>
          <w:noProof w:val="0"/>
          <w:sz w:val="20"/>
          <w:szCs w:val="20"/>
          <w:lang w:val="en-GB"/>
        </w:rPr>
        <w:t xml:space="preserve"> and McAfee, A. (2014) Leading digital: Turning technology into business transformation. Boston: Harvard Business Press.</w:t>
      </w:r>
    </w:p>
    <w:p w:rsidR="59ECC4A7" w:rsidP="59ECC4A7" w:rsidRDefault="59ECC4A7" w14:paraId="6C6ABDEE" w14:textId="7C0B993D">
      <w:pPr>
        <w:pStyle w:val="Normal"/>
        <w:rPr>
          <w:rFonts w:ascii="Arial" w:hAnsi="Arial" w:eastAsia="Arial" w:cs="Arial"/>
          <w:noProof w:val="0"/>
          <w:sz w:val="20"/>
          <w:szCs w:val="20"/>
          <w:lang w:val="en-GB"/>
        </w:rPr>
      </w:pPr>
    </w:p>
    <w:p w:rsidR="09DB3C35" w:rsidP="2E8D55B9" w:rsidRDefault="09DB3C35" w14:paraId="7A11F129" w14:textId="72219FE3">
      <w:pPr>
        <w:pStyle w:val="Normal"/>
        <w:rPr>
          <w:noProof w:val="0"/>
          <w:lang w:val="en-GB"/>
        </w:rPr>
      </w:pPr>
    </w:p>
    <w:p w:rsidR="09DB3C35" w:rsidP="2E8D55B9" w:rsidRDefault="09DB3C35" w14:paraId="622BF15D" w14:textId="4CD4DBB2">
      <w:pPr>
        <w:pStyle w:val="Normal"/>
        <w:rPr>
          <w:noProof w:val="0"/>
          <w:lang w:val="en-GB"/>
        </w:rPr>
      </w:pPr>
    </w:p>
    <w:p w:rsidR="3BDEFC7B" w:rsidP="2E8D55B9" w:rsidRDefault="3BDEFC7B" w14:paraId="12D718E3" w14:textId="64FD5A81">
      <w:pPr>
        <w:pStyle w:val="Normal"/>
      </w:pPr>
    </w:p>
    <w:sectPr>
      <w:pgSz w:w="11906" w:h="16838" w:orient="portrait"/>
      <w:pgMar w:top="1440" w:right="1440" w:bottom="1440" w:left="1440" w:header="720" w:footer="720" w:gutter="0"/>
      <w:cols w:space="720"/>
      <w:docGrid w:linePitch="360"/>
      <w:headerReference w:type="default" r:id="R6658be072a3945f9"/>
      <w:footerReference w:type="default" r:id="R02a1df0703c44f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805ADB1" w:rsidTr="2E8D55B9" w14:paraId="2C8EF302">
      <w:trPr>
        <w:trHeight w:val="300"/>
      </w:trPr>
      <w:tc>
        <w:tcPr>
          <w:tcW w:w="3005" w:type="dxa"/>
          <w:tcMar/>
        </w:tcPr>
        <w:p w:rsidR="5805ADB1" w:rsidP="5805ADB1" w:rsidRDefault="5805ADB1" w14:paraId="2AC0A795" w14:textId="0ED03812">
          <w:pPr>
            <w:pStyle w:val="Header"/>
            <w:bidi w:val="0"/>
            <w:ind w:left="-115"/>
            <w:jc w:val="left"/>
          </w:pPr>
        </w:p>
      </w:tc>
      <w:tc>
        <w:tcPr>
          <w:tcW w:w="3005" w:type="dxa"/>
          <w:tcMar/>
        </w:tcPr>
        <w:p w:rsidR="5805ADB1" w:rsidP="5805ADB1" w:rsidRDefault="5805ADB1" w14:paraId="2920DE78" w14:textId="5B3FF083">
          <w:pPr>
            <w:pStyle w:val="Header"/>
            <w:bidi w:val="0"/>
            <w:jc w:val="center"/>
          </w:pPr>
          <w:r>
            <w:fldChar w:fldCharType="begin"/>
          </w:r>
          <w:r>
            <w:instrText xml:space="preserve">PAGE</w:instrText>
          </w:r>
          <w:r>
            <w:fldChar w:fldCharType="separate"/>
          </w:r>
          <w:r>
            <w:fldChar w:fldCharType="end"/>
          </w:r>
        </w:p>
      </w:tc>
      <w:tc>
        <w:tcPr>
          <w:tcW w:w="3005" w:type="dxa"/>
          <w:tcMar/>
        </w:tcPr>
        <w:p w:rsidR="5805ADB1" w:rsidP="5805ADB1" w:rsidRDefault="5805ADB1" w14:paraId="4913ED5F" w14:textId="2B9AFA5E">
          <w:pPr>
            <w:pStyle w:val="Header"/>
            <w:bidi w:val="0"/>
            <w:ind w:right="-115"/>
            <w:jc w:val="right"/>
          </w:pPr>
        </w:p>
      </w:tc>
    </w:tr>
  </w:tbl>
  <w:p w:rsidR="5805ADB1" w:rsidP="5805ADB1" w:rsidRDefault="5805ADB1" w14:paraId="07E7C330" w14:textId="5CADF3C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9DB3C35" w:rsidTr="09DB3C35" w14:paraId="4A510E11">
      <w:trPr>
        <w:trHeight w:val="300"/>
      </w:trPr>
      <w:tc>
        <w:tcPr>
          <w:tcW w:w="3005" w:type="dxa"/>
          <w:tcMar/>
        </w:tcPr>
        <w:p w:rsidR="09DB3C35" w:rsidP="09DB3C35" w:rsidRDefault="09DB3C35" w14:paraId="6743636F" w14:textId="1B351B6D">
          <w:pPr>
            <w:pStyle w:val="Header"/>
            <w:bidi w:val="0"/>
            <w:ind w:left="-115"/>
            <w:jc w:val="left"/>
          </w:pPr>
        </w:p>
      </w:tc>
      <w:tc>
        <w:tcPr>
          <w:tcW w:w="3005" w:type="dxa"/>
          <w:tcMar/>
        </w:tcPr>
        <w:p w:rsidR="09DB3C35" w:rsidP="09DB3C35" w:rsidRDefault="09DB3C35" w14:paraId="32675F89" w14:textId="0E1890A3">
          <w:pPr>
            <w:pStyle w:val="Header"/>
            <w:bidi w:val="0"/>
            <w:jc w:val="center"/>
          </w:pPr>
        </w:p>
      </w:tc>
      <w:tc>
        <w:tcPr>
          <w:tcW w:w="3005" w:type="dxa"/>
          <w:tcMar/>
        </w:tcPr>
        <w:p w:rsidR="09DB3C35" w:rsidP="09DB3C35" w:rsidRDefault="09DB3C35" w14:paraId="62E3485E" w14:textId="51AF83E2">
          <w:pPr>
            <w:pStyle w:val="Header"/>
            <w:bidi w:val="0"/>
            <w:ind w:right="-115"/>
            <w:jc w:val="right"/>
          </w:pPr>
        </w:p>
      </w:tc>
    </w:tr>
  </w:tbl>
  <w:p w:rsidR="09DB3C35" w:rsidP="09DB3C35" w:rsidRDefault="09DB3C35" w14:paraId="1E95DDE5" w14:textId="56BFEDEB">
    <w:pPr>
      <w:pStyle w:val="Header"/>
      <w:bidi w:val="0"/>
    </w:pPr>
  </w:p>
</w:hdr>
</file>

<file path=word/intelligence2.xml><?xml version="1.0" encoding="utf-8"?>
<int2:intelligence xmlns:int2="http://schemas.microsoft.com/office/intelligence/2020/intelligence">
  <int2:observations>
    <int2:textHash int2:hashCode="UEDYqyrmBX7++r" int2:id="XovgMLl3">
      <int2:state int2:type="spell" int2:value="Rejected"/>
    </int2:textHash>
    <int2:textHash int2:hashCode="5vkz+co1JwJM03" int2:id="zuJ4A4Mp">
      <int2:state int2:type="spell" int2:value="Rejected"/>
    </int2:textHash>
    <int2:bookmark int2:bookmarkName="_Int_EHg5LeWP" int2:invalidationBookmarkName="" int2:hashCode="Z4FeTqF5M36agc" int2:id="txIfUiHg">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687f43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5ea65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62cab7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78939D"/>
    <w:rsid w:val="003A9BB6"/>
    <w:rsid w:val="003E136A"/>
    <w:rsid w:val="00584BD3"/>
    <w:rsid w:val="006E15BC"/>
    <w:rsid w:val="00B0721B"/>
    <w:rsid w:val="00B7ADBB"/>
    <w:rsid w:val="00D011A8"/>
    <w:rsid w:val="0133AEB5"/>
    <w:rsid w:val="0144DC6A"/>
    <w:rsid w:val="017C0807"/>
    <w:rsid w:val="0188F5C6"/>
    <w:rsid w:val="01AB6A34"/>
    <w:rsid w:val="01CA8370"/>
    <w:rsid w:val="02483EC4"/>
    <w:rsid w:val="025ADEDC"/>
    <w:rsid w:val="025E1A29"/>
    <w:rsid w:val="026A7E0D"/>
    <w:rsid w:val="035FF971"/>
    <w:rsid w:val="039EC824"/>
    <w:rsid w:val="0414FED4"/>
    <w:rsid w:val="041AD3E0"/>
    <w:rsid w:val="043B703B"/>
    <w:rsid w:val="045AB689"/>
    <w:rsid w:val="04AA7461"/>
    <w:rsid w:val="04C2A108"/>
    <w:rsid w:val="04CC5321"/>
    <w:rsid w:val="04D30418"/>
    <w:rsid w:val="04D30418"/>
    <w:rsid w:val="04F7A791"/>
    <w:rsid w:val="0505A5B4"/>
    <w:rsid w:val="0519A2EE"/>
    <w:rsid w:val="0524B444"/>
    <w:rsid w:val="0537540C"/>
    <w:rsid w:val="0543B337"/>
    <w:rsid w:val="0556649E"/>
    <w:rsid w:val="05903386"/>
    <w:rsid w:val="05A375FD"/>
    <w:rsid w:val="05ABA017"/>
    <w:rsid w:val="05C3E064"/>
    <w:rsid w:val="05DB5FE7"/>
    <w:rsid w:val="05E457A5"/>
    <w:rsid w:val="05E6B2C2"/>
    <w:rsid w:val="064C2393"/>
    <w:rsid w:val="0669B67A"/>
    <w:rsid w:val="0677AC9F"/>
    <w:rsid w:val="067B222E"/>
    <w:rsid w:val="06DC6F37"/>
    <w:rsid w:val="0714AD56"/>
    <w:rsid w:val="072437EE"/>
    <w:rsid w:val="07625A0E"/>
    <w:rsid w:val="076833F1"/>
    <w:rsid w:val="076F6C2F"/>
    <w:rsid w:val="077E3804"/>
    <w:rsid w:val="079B48F3"/>
    <w:rsid w:val="079D225B"/>
    <w:rsid w:val="079D6A05"/>
    <w:rsid w:val="07AF53B9"/>
    <w:rsid w:val="07D3B2E0"/>
    <w:rsid w:val="08087915"/>
    <w:rsid w:val="08707067"/>
    <w:rsid w:val="087FF0BF"/>
    <w:rsid w:val="0897B4E0"/>
    <w:rsid w:val="08BF0F73"/>
    <w:rsid w:val="08C23CF7"/>
    <w:rsid w:val="08D092F9"/>
    <w:rsid w:val="08DB8B4E"/>
    <w:rsid w:val="08EC3AB2"/>
    <w:rsid w:val="090EA2EC"/>
    <w:rsid w:val="0930471A"/>
    <w:rsid w:val="093C3514"/>
    <w:rsid w:val="09A2E5E1"/>
    <w:rsid w:val="09AF9C7E"/>
    <w:rsid w:val="09DB3C35"/>
    <w:rsid w:val="09DBC986"/>
    <w:rsid w:val="09DE81D8"/>
    <w:rsid w:val="09F2C0E3"/>
    <w:rsid w:val="0AC00461"/>
    <w:rsid w:val="0AC20869"/>
    <w:rsid w:val="0AC9BFA0"/>
    <w:rsid w:val="0B06586D"/>
    <w:rsid w:val="0B07E052"/>
    <w:rsid w:val="0B392BA0"/>
    <w:rsid w:val="0B3B12A0"/>
    <w:rsid w:val="0B4FE852"/>
    <w:rsid w:val="0B7EAFDB"/>
    <w:rsid w:val="0BBE4834"/>
    <w:rsid w:val="0BD80673"/>
    <w:rsid w:val="0C06F428"/>
    <w:rsid w:val="0CA3B15F"/>
    <w:rsid w:val="0CA7DD2F"/>
    <w:rsid w:val="0D05961D"/>
    <w:rsid w:val="0D3B7C23"/>
    <w:rsid w:val="0D4CC2F4"/>
    <w:rsid w:val="0D85E375"/>
    <w:rsid w:val="0D85E375"/>
    <w:rsid w:val="0DE2FA3C"/>
    <w:rsid w:val="0DEBB57E"/>
    <w:rsid w:val="0DF76AA8"/>
    <w:rsid w:val="0DF8CA0C"/>
    <w:rsid w:val="0E238860"/>
    <w:rsid w:val="0E3A287C"/>
    <w:rsid w:val="0E3AEA82"/>
    <w:rsid w:val="0E528038"/>
    <w:rsid w:val="0E5FACFD"/>
    <w:rsid w:val="0E853854"/>
    <w:rsid w:val="0EB0CDCD"/>
    <w:rsid w:val="0EB0CDCD"/>
    <w:rsid w:val="0F1BDBDC"/>
    <w:rsid w:val="0F564A0B"/>
    <w:rsid w:val="0FA7FAC1"/>
    <w:rsid w:val="0FBB267A"/>
    <w:rsid w:val="0FE2F373"/>
    <w:rsid w:val="0FF13377"/>
    <w:rsid w:val="100604A1"/>
    <w:rsid w:val="1022BEB5"/>
    <w:rsid w:val="10A646F7"/>
    <w:rsid w:val="10A646F7"/>
    <w:rsid w:val="10BF6B91"/>
    <w:rsid w:val="10C2A5B3"/>
    <w:rsid w:val="114E354A"/>
    <w:rsid w:val="11785BE7"/>
    <w:rsid w:val="119837DB"/>
    <w:rsid w:val="11BB59D3"/>
    <w:rsid w:val="120872DE"/>
    <w:rsid w:val="1229A841"/>
    <w:rsid w:val="123A8891"/>
    <w:rsid w:val="123FFC33"/>
    <w:rsid w:val="124BCCE0"/>
    <w:rsid w:val="1258DBA3"/>
    <w:rsid w:val="127AB4CE"/>
    <w:rsid w:val="127FEF73"/>
    <w:rsid w:val="12892398"/>
    <w:rsid w:val="1289382D"/>
    <w:rsid w:val="128FB280"/>
    <w:rsid w:val="1351E1F6"/>
    <w:rsid w:val="13573CA6"/>
    <w:rsid w:val="1373058B"/>
    <w:rsid w:val="138EBAE9"/>
    <w:rsid w:val="139A2DB4"/>
    <w:rsid w:val="139FC604"/>
    <w:rsid w:val="13AEC265"/>
    <w:rsid w:val="13C696BB"/>
    <w:rsid w:val="13DF34DC"/>
    <w:rsid w:val="140C0E34"/>
    <w:rsid w:val="140DF154"/>
    <w:rsid w:val="14349756"/>
    <w:rsid w:val="147B8DD8"/>
    <w:rsid w:val="14C666AC"/>
    <w:rsid w:val="14C668C5"/>
    <w:rsid w:val="14FE41C7"/>
    <w:rsid w:val="154BDC05"/>
    <w:rsid w:val="154F280F"/>
    <w:rsid w:val="1563E2F5"/>
    <w:rsid w:val="15CC8FB8"/>
    <w:rsid w:val="1664AB09"/>
    <w:rsid w:val="1669E74A"/>
    <w:rsid w:val="172404AD"/>
    <w:rsid w:val="173072AB"/>
    <w:rsid w:val="17433DF7"/>
    <w:rsid w:val="174A4823"/>
    <w:rsid w:val="174BFA7F"/>
    <w:rsid w:val="175E4BCC"/>
    <w:rsid w:val="175F21AA"/>
    <w:rsid w:val="17759BD0"/>
    <w:rsid w:val="17776BEC"/>
    <w:rsid w:val="1787E784"/>
    <w:rsid w:val="179497A3"/>
    <w:rsid w:val="17B327EF"/>
    <w:rsid w:val="17C0C223"/>
    <w:rsid w:val="17E9ECE0"/>
    <w:rsid w:val="17E9ECE0"/>
    <w:rsid w:val="17F352A9"/>
    <w:rsid w:val="180C8E9B"/>
    <w:rsid w:val="1823E11E"/>
    <w:rsid w:val="18254135"/>
    <w:rsid w:val="18568C72"/>
    <w:rsid w:val="18AAD39F"/>
    <w:rsid w:val="1903C32D"/>
    <w:rsid w:val="196983A1"/>
    <w:rsid w:val="19BFEAD1"/>
    <w:rsid w:val="1A0FADCC"/>
    <w:rsid w:val="1A4587F8"/>
    <w:rsid w:val="1A49A42C"/>
    <w:rsid w:val="1A7FE213"/>
    <w:rsid w:val="1A998E99"/>
    <w:rsid w:val="1AA88EAA"/>
    <w:rsid w:val="1AE84C8C"/>
    <w:rsid w:val="1B0E304A"/>
    <w:rsid w:val="1B162A53"/>
    <w:rsid w:val="1B586CDA"/>
    <w:rsid w:val="1B861871"/>
    <w:rsid w:val="1B9C43B6"/>
    <w:rsid w:val="1B9D593D"/>
    <w:rsid w:val="1CADD877"/>
    <w:rsid w:val="1CDE5494"/>
    <w:rsid w:val="1CF20E5C"/>
    <w:rsid w:val="1D1F631C"/>
    <w:rsid w:val="1D4E75E7"/>
    <w:rsid w:val="1D5506D6"/>
    <w:rsid w:val="1DCD17A5"/>
    <w:rsid w:val="1E520247"/>
    <w:rsid w:val="1E78AFB1"/>
    <w:rsid w:val="1E9202DB"/>
    <w:rsid w:val="1EB899FF"/>
    <w:rsid w:val="1EDBE9FD"/>
    <w:rsid w:val="1EF7CC35"/>
    <w:rsid w:val="1F1FDB5C"/>
    <w:rsid w:val="1F25E192"/>
    <w:rsid w:val="1F51DBFF"/>
    <w:rsid w:val="1F5654D5"/>
    <w:rsid w:val="1F621FCE"/>
    <w:rsid w:val="1F7560FB"/>
    <w:rsid w:val="1FB7F331"/>
    <w:rsid w:val="1FF7D5B8"/>
    <w:rsid w:val="1FF9D208"/>
    <w:rsid w:val="20547F65"/>
    <w:rsid w:val="205AD263"/>
    <w:rsid w:val="20D7115C"/>
    <w:rsid w:val="210F2BD5"/>
    <w:rsid w:val="213A8557"/>
    <w:rsid w:val="213DA25F"/>
    <w:rsid w:val="21718AA2"/>
    <w:rsid w:val="21718AA2"/>
    <w:rsid w:val="218D583F"/>
    <w:rsid w:val="218DD39F"/>
    <w:rsid w:val="2190AFCE"/>
    <w:rsid w:val="21B165D0"/>
    <w:rsid w:val="21B53F16"/>
    <w:rsid w:val="21D65575"/>
    <w:rsid w:val="2249494C"/>
    <w:rsid w:val="2274BFBB"/>
    <w:rsid w:val="22A82588"/>
    <w:rsid w:val="2333EA7D"/>
    <w:rsid w:val="239DEA18"/>
    <w:rsid w:val="23B77976"/>
    <w:rsid w:val="23DDE93B"/>
    <w:rsid w:val="23FA9DFE"/>
    <w:rsid w:val="23FA9DFE"/>
    <w:rsid w:val="241C7955"/>
    <w:rsid w:val="242B4787"/>
    <w:rsid w:val="242DD019"/>
    <w:rsid w:val="244EA288"/>
    <w:rsid w:val="24654AAF"/>
    <w:rsid w:val="248B656A"/>
    <w:rsid w:val="24A49928"/>
    <w:rsid w:val="24B20CA8"/>
    <w:rsid w:val="24B44B6B"/>
    <w:rsid w:val="24B44B6B"/>
    <w:rsid w:val="24CAF38A"/>
    <w:rsid w:val="250B4235"/>
    <w:rsid w:val="2539F2BB"/>
    <w:rsid w:val="2555D597"/>
    <w:rsid w:val="2575965B"/>
    <w:rsid w:val="25C0D051"/>
    <w:rsid w:val="25E8F2FA"/>
    <w:rsid w:val="25F1C13A"/>
    <w:rsid w:val="2605751B"/>
    <w:rsid w:val="2651FEDE"/>
    <w:rsid w:val="2651FEDE"/>
    <w:rsid w:val="266A2B95"/>
    <w:rsid w:val="267A7C32"/>
    <w:rsid w:val="269E47B8"/>
    <w:rsid w:val="26BDF536"/>
    <w:rsid w:val="27222961"/>
    <w:rsid w:val="275616EA"/>
    <w:rsid w:val="275E61EA"/>
    <w:rsid w:val="276A68DE"/>
    <w:rsid w:val="27773346"/>
    <w:rsid w:val="277A534D"/>
    <w:rsid w:val="279FE04E"/>
    <w:rsid w:val="28B536B7"/>
    <w:rsid w:val="28B85921"/>
    <w:rsid w:val="2901A719"/>
    <w:rsid w:val="296FBB4A"/>
    <w:rsid w:val="29CC0C9C"/>
    <w:rsid w:val="29F45E1E"/>
    <w:rsid w:val="29F4E1BD"/>
    <w:rsid w:val="2A711EE6"/>
    <w:rsid w:val="2ABC0B61"/>
    <w:rsid w:val="2ABCE941"/>
    <w:rsid w:val="2AD1D5A2"/>
    <w:rsid w:val="2B0DF384"/>
    <w:rsid w:val="2B7CB9F9"/>
    <w:rsid w:val="2B944AC9"/>
    <w:rsid w:val="2BB14187"/>
    <w:rsid w:val="2BC3043C"/>
    <w:rsid w:val="2C4CB948"/>
    <w:rsid w:val="2C90EA42"/>
    <w:rsid w:val="2CD3513A"/>
    <w:rsid w:val="2D0E7F0C"/>
    <w:rsid w:val="2D117716"/>
    <w:rsid w:val="2D5AFC65"/>
    <w:rsid w:val="2D76C9D5"/>
    <w:rsid w:val="2E086088"/>
    <w:rsid w:val="2E58E9E4"/>
    <w:rsid w:val="2E8D55B9"/>
    <w:rsid w:val="2EBDB8F5"/>
    <w:rsid w:val="2F249607"/>
    <w:rsid w:val="2F4F98AF"/>
    <w:rsid w:val="2F8B0130"/>
    <w:rsid w:val="2FAD4032"/>
    <w:rsid w:val="2FB7AA9E"/>
    <w:rsid w:val="2FEA381C"/>
    <w:rsid w:val="30000145"/>
    <w:rsid w:val="300EF290"/>
    <w:rsid w:val="3031D276"/>
    <w:rsid w:val="3046DDE1"/>
    <w:rsid w:val="305E2233"/>
    <w:rsid w:val="3096BABB"/>
    <w:rsid w:val="30BCA9F3"/>
    <w:rsid w:val="30CAC701"/>
    <w:rsid w:val="30D2265C"/>
    <w:rsid w:val="30D343A3"/>
    <w:rsid w:val="30F39300"/>
    <w:rsid w:val="31125F1B"/>
    <w:rsid w:val="311CFD45"/>
    <w:rsid w:val="312D9AB0"/>
    <w:rsid w:val="31406A6D"/>
    <w:rsid w:val="31411EF5"/>
    <w:rsid w:val="318C149B"/>
    <w:rsid w:val="319DCD67"/>
    <w:rsid w:val="31A584A4"/>
    <w:rsid w:val="31B77467"/>
    <w:rsid w:val="31CEB142"/>
    <w:rsid w:val="31D42A02"/>
    <w:rsid w:val="31E15E57"/>
    <w:rsid w:val="31EFB285"/>
    <w:rsid w:val="320C639B"/>
    <w:rsid w:val="324F1939"/>
    <w:rsid w:val="32893144"/>
    <w:rsid w:val="328AE27F"/>
    <w:rsid w:val="329DEC6C"/>
    <w:rsid w:val="32DEF436"/>
    <w:rsid w:val="32E2D1FA"/>
    <w:rsid w:val="33108946"/>
    <w:rsid w:val="331C590D"/>
    <w:rsid w:val="33449663"/>
    <w:rsid w:val="335BF15F"/>
    <w:rsid w:val="338C107B"/>
    <w:rsid w:val="33B15508"/>
    <w:rsid w:val="33B5AE3C"/>
    <w:rsid w:val="342A8ECB"/>
    <w:rsid w:val="34977852"/>
    <w:rsid w:val="34EDD4D9"/>
    <w:rsid w:val="3523D2F9"/>
    <w:rsid w:val="3523D2F9"/>
    <w:rsid w:val="3528620A"/>
    <w:rsid w:val="35354304"/>
    <w:rsid w:val="355F1A55"/>
    <w:rsid w:val="359C2E48"/>
    <w:rsid w:val="359D663E"/>
    <w:rsid w:val="35E15090"/>
    <w:rsid w:val="35F3A27D"/>
    <w:rsid w:val="365A810B"/>
    <w:rsid w:val="367DF7C9"/>
    <w:rsid w:val="36A86E5E"/>
    <w:rsid w:val="36C37352"/>
    <w:rsid w:val="36CCD31B"/>
    <w:rsid w:val="36DA91B3"/>
    <w:rsid w:val="36FD1896"/>
    <w:rsid w:val="377A8DAA"/>
    <w:rsid w:val="377A9FCA"/>
    <w:rsid w:val="37992F0E"/>
    <w:rsid w:val="37B66203"/>
    <w:rsid w:val="37BAF4AD"/>
    <w:rsid w:val="37D2E7C1"/>
    <w:rsid w:val="37DB3E8C"/>
    <w:rsid w:val="37FC9409"/>
    <w:rsid w:val="38220ED2"/>
    <w:rsid w:val="388601B5"/>
    <w:rsid w:val="388951DF"/>
    <w:rsid w:val="38D620DD"/>
    <w:rsid w:val="391F32B6"/>
    <w:rsid w:val="39221453"/>
    <w:rsid w:val="393DF53F"/>
    <w:rsid w:val="398E4992"/>
    <w:rsid w:val="39EB80F6"/>
    <w:rsid w:val="3A71FC17"/>
    <w:rsid w:val="3A852083"/>
    <w:rsid w:val="3AD717A1"/>
    <w:rsid w:val="3B4537F4"/>
    <w:rsid w:val="3B50777A"/>
    <w:rsid w:val="3B74D94B"/>
    <w:rsid w:val="3BC991D7"/>
    <w:rsid w:val="3BDEFC7B"/>
    <w:rsid w:val="3C36904E"/>
    <w:rsid w:val="3C370129"/>
    <w:rsid w:val="3CB44D55"/>
    <w:rsid w:val="3CCF1C17"/>
    <w:rsid w:val="3D131B05"/>
    <w:rsid w:val="3D1F2148"/>
    <w:rsid w:val="3D1F2148"/>
    <w:rsid w:val="3D5CEFD2"/>
    <w:rsid w:val="3D817642"/>
    <w:rsid w:val="3D9300A9"/>
    <w:rsid w:val="3DA951B5"/>
    <w:rsid w:val="3DD52E7C"/>
    <w:rsid w:val="3E3D702A"/>
    <w:rsid w:val="3E7CCD52"/>
    <w:rsid w:val="3EFC6978"/>
    <w:rsid w:val="3F144FE3"/>
    <w:rsid w:val="3F464204"/>
    <w:rsid w:val="3F5FFEAC"/>
    <w:rsid w:val="3F8106AB"/>
    <w:rsid w:val="3F834429"/>
    <w:rsid w:val="3FA15EFB"/>
    <w:rsid w:val="3FA60B1E"/>
    <w:rsid w:val="400AD6A3"/>
    <w:rsid w:val="402C7EBC"/>
    <w:rsid w:val="403B4C5C"/>
    <w:rsid w:val="4092DCC3"/>
    <w:rsid w:val="4094F510"/>
    <w:rsid w:val="4095D1FF"/>
    <w:rsid w:val="40DEC3BA"/>
    <w:rsid w:val="410C59AA"/>
    <w:rsid w:val="4113DE03"/>
    <w:rsid w:val="4129A21F"/>
    <w:rsid w:val="413E424B"/>
    <w:rsid w:val="4148659F"/>
    <w:rsid w:val="4169BADD"/>
    <w:rsid w:val="41D06C0D"/>
    <w:rsid w:val="42273AE2"/>
    <w:rsid w:val="4228B5F5"/>
    <w:rsid w:val="4275AC7F"/>
    <w:rsid w:val="429FAC92"/>
    <w:rsid w:val="42BEB6BF"/>
    <w:rsid w:val="42CA9723"/>
    <w:rsid w:val="42FAAD29"/>
    <w:rsid w:val="433BD16B"/>
    <w:rsid w:val="4342432A"/>
    <w:rsid w:val="4361E879"/>
    <w:rsid w:val="436B51AA"/>
    <w:rsid w:val="43B6CA23"/>
    <w:rsid w:val="43DFFFD6"/>
    <w:rsid w:val="4402A783"/>
    <w:rsid w:val="440DBDA0"/>
    <w:rsid w:val="444D4EE8"/>
    <w:rsid w:val="4452CE30"/>
    <w:rsid w:val="4467B029"/>
    <w:rsid w:val="45080EBD"/>
    <w:rsid w:val="451BF126"/>
    <w:rsid w:val="456B5430"/>
    <w:rsid w:val="4580E345"/>
    <w:rsid w:val="45964EA9"/>
    <w:rsid w:val="459A4618"/>
    <w:rsid w:val="466E9FE8"/>
    <w:rsid w:val="46B684D9"/>
    <w:rsid w:val="46ED2F82"/>
    <w:rsid w:val="470BCAB7"/>
    <w:rsid w:val="472748E3"/>
    <w:rsid w:val="473C4A58"/>
    <w:rsid w:val="476F981E"/>
    <w:rsid w:val="4775E2E9"/>
    <w:rsid w:val="4796D28C"/>
    <w:rsid w:val="47C7AD29"/>
    <w:rsid w:val="47C7AD29"/>
    <w:rsid w:val="480CC9EB"/>
    <w:rsid w:val="48148BBE"/>
    <w:rsid w:val="48148BBE"/>
    <w:rsid w:val="486935CD"/>
    <w:rsid w:val="48A57409"/>
    <w:rsid w:val="48AAFF9D"/>
    <w:rsid w:val="48E98DBE"/>
    <w:rsid w:val="49176F47"/>
    <w:rsid w:val="49CA2E6C"/>
    <w:rsid w:val="49D40DD4"/>
    <w:rsid w:val="4A5C17BF"/>
    <w:rsid w:val="4A75B32B"/>
    <w:rsid w:val="4A929EC8"/>
    <w:rsid w:val="4AA36238"/>
    <w:rsid w:val="4AD943B7"/>
    <w:rsid w:val="4B04B31A"/>
    <w:rsid w:val="4B3B496C"/>
    <w:rsid w:val="4B56AF54"/>
    <w:rsid w:val="4BA9E420"/>
    <w:rsid w:val="4BC640FD"/>
    <w:rsid w:val="4BCE3783"/>
    <w:rsid w:val="4BF6B951"/>
    <w:rsid w:val="4C056E8D"/>
    <w:rsid w:val="4C28C17A"/>
    <w:rsid w:val="4C624DB9"/>
    <w:rsid w:val="4C70304E"/>
    <w:rsid w:val="4C8B5A20"/>
    <w:rsid w:val="4CE285E2"/>
    <w:rsid w:val="4D16EBF7"/>
    <w:rsid w:val="4D37A12C"/>
    <w:rsid w:val="4D615BCF"/>
    <w:rsid w:val="4D83DE44"/>
    <w:rsid w:val="4D8DFAC0"/>
    <w:rsid w:val="4DAFD5E1"/>
    <w:rsid w:val="4DC1B985"/>
    <w:rsid w:val="4DD59D83"/>
    <w:rsid w:val="4DDCF668"/>
    <w:rsid w:val="4E0EDE92"/>
    <w:rsid w:val="4E5CEAAF"/>
    <w:rsid w:val="4E6FE0C2"/>
    <w:rsid w:val="4E8518B1"/>
    <w:rsid w:val="4E87D374"/>
    <w:rsid w:val="4EB99A4A"/>
    <w:rsid w:val="4EB99A4A"/>
    <w:rsid w:val="4EC0024D"/>
    <w:rsid w:val="4F0B6436"/>
    <w:rsid w:val="4F423D6C"/>
    <w:rsid w:val="4F423D6C"/>
    <w:rsid w:val="4F446212"/>
    <w:rsid w:val="4F545BA5"/>
    <w:rsid w:val="4F660502"/>
    <w:rsid w:val="4F7737EC"/>
    <w:rsid w:val="4FFE1A46"/>
    <w:rsid w:val="50814852"/>
    <w:rsid w:val="5097B020"/>
    <w:rsid w:val="511D9D81"/>
    <w:rsid w:val="513D5F81"/>
    <w:rsid w:val="5162243A"/>
    <w:rsid w:val="51927546"/>
    <w:rsid w:val="519BC608"/>
    <w:rsid w:val="51AF1A0E"/>
    <w:rsid w:val="51C4481A"/>
    <w:rsid w:val="51C4481A"/>
    <w:rsid w:val="51CDE31F"/>
    <w:rsid w:val="51F68A6B"/>
    <w:rsid w:val="521EA010"/>
    <w:rsid w:val="525261D5"/>
    <w:rsid w:val="5273F1B0"/>
    <w:rsid w:val="53122D20"/>
    <w:rsid w:val="532E3EB2"/>
    <w:rsid w:val="533ECC31"/>
    <w:rsid w:val="536F878E"/>
    <w:rsid w:val="53C5DE25"/>
    <w:rsid w:val="53C6ECF7"/>
    <w:rsid w:val="53D41E01"/>
    <w:rsid w:val="5456B177"/>
    <w:rsid w:val="545EA661"/>
    <w:rsid w:val="547AB1D2"/>
    <w:rsid w:val="547DE33F"/>
    <w:rsid w:val="54CA809D"/>
    <w:rsid w:val="54F8A0B6"/>
    <w:rsid w:val="55246C29"/>
    <w:rsid w:val="5525AD40"/>
    <w:rsid w:val="5553482C"/>
    <w:rsid w:val="55843893"/>
    <w:rsid w:val="55848B04"/>
    <w:rsid w:val="558DBBD9"/>
    <w:rsid w:val="55A2F3E0"/>
    <w:rsid w:val="55AF75AE"/>
    <w:rsid w:val="55D134EF"/>
    <w:rsid w:val="55EB57D3"/>
    <w:rsid w:val="5611F3B0"/>
    <w:rsid w:val="56745C54"/>
    <w:rsid w:val="56745C54"/>
    <w:rsid w:val="5677A8E2"/>
    <w:rsid w:val="56890E28"/>
    <w:rsid w:val="57497E96"/>
    <w:rsid w:val="5756E668"/>
    <w:rsid w:val="57618C61"/>
    <w:rsid w:val="5786216E"/>
    <w:rsid w:val="57D46892"/>
    <w:rsid w:val="5805ADB1"/>
    <w:rsid w:val="582B292C"/>
    <w:rsid w:val="582B526C"/>
    <w:rsid w:val="583AF06B"/>
    <w:rsid w:val="583F04E9"/>
    <w:rsid w:val="585D75E0"/>
    <w:rsid w:val="58942116"/>
    <w:rsid w:val="5903644F"/>
    <w:rsid w:val="591534A7"/>
    <w:rsid w:val="592EA6F9"/>
    <w:rsid w:val="594FBD3C"/>
    <w:rsid w:val="5973A601"/>
    <w:rsid w:val="5986169B"/>
    <w:rsid w:val="59BF4151"/>
    <w:rsid w:val="59D8AB9A"/>
    <w:rsid w:val="59ECC4A7"/>
    <w:rsid w:val="5A357DB1"/>
    <w:rsid w:val="5A40AAD9"/>
    <w:rsid w:val="5A53AA74"/>
    <w:rsid w:val="5A5445B1"/>
    <w:rsid w:val="5AF3458D"/>
    <w:rsid w:val="5B23E4B1"/>
    <w:rsid w:val="5B71C5C0"/>
    <w:rsid w:val="5B7804A3"/>
    <w:rsid w:val="5BD3C420"/>
    <w:rsid w:val="5BE3D800"/>
    <w:rsid w:val="5C0B09BE"/>
    <w:rsid w:val="5C0B09BE"/>
    <w:rsid w:val="5C0FCE5D"/>
    <w:rsid w:val="5C0FCE5D"/>
    <w:rsid w:val="5C35E67F"/>
    <w:rsid w:val="5C427A5A"/>
    <w:rsid w:val="5C5A345E"/>
    <w:rsid w:val="5C7CDD4C"/>
    <w:rsid w:val="5C7CDD4C"/>
    <w:rsid w:val="5C8B4493"/>
    <w:rsid w:val="5CAFF360"/>
    <w:rsid w:val="5CB29A8B"/>
    <w:rsid w:val="5CC6628E"/>
    <w:rsid w:val="5CC8A53C"/>
    <w:rsid w:val="5CDE0050"/>
    <w:rsid w:val="5CEB980C"/>
    <w:rsid w:val="5D0BA9EE"/>
    <w:rsid w:val="5D20A6D5"/>
    <w:rsid w:val="5D84A642"/>
    <w:rsid w:val="5DA17BC0"/>
    <w:rsid w:val="5DE5E59F"/>
    <w:rsid w:val="5DFAC79C"/>
    <w:rsid w:val="5E3E0363"/>
    <w:rsid w:val="5E5AC05B"/>
    <w:rsid w:val="5E9A8314"/>
    <w:rsid w:val="5EA1D8B2"/>
    <w:rsid w:val="5EFE19E9"/>
    <w:rsid w:val="5F00A35C"/>
    <w:rsid w:val="5F0E87F5"/>
    <w:rsid w:val="5F255EAE"/>
    <w:rsid w:val="5F255EAE"/>
    <w:rsid w:val="5F367EA3"/>
    <w:rsid w:val="5F39D30C"/>
    <w:rsid w:val="5F3EECFF"/>
    <w:rsid w:val="5F56FA17"/>
    <w:rsid w:val="5F6C3CD7"/>
    <w:rsid w:val="5FFD7440"/>
    <w:rsid w:val="60090825"/>
    <w:rsid w:val="600A5F21"/>
    <w:rsid w:val="60569B40"/>
    <w:rsid w:val="607E4158"/>
    <w:rsid w:val="6098282A"/>
    <w:rsid w:val="60B9BB54"/>
    <w:rsid w:val="60C21018"/>
    <w:rsid w:val="60CB1F20"/>
    <w:rsid w:val="60E0AEF1"/>
    <w:rsid w:val="6144FFC6"/>
    <w:rsid w:val="617C4FD1"/>
    <w:rsid w:val="61D4417B"/>
    <w:rsid w:val="620972F2"/>
    <w:rsid w:val="622A4A1D"/>
    <w:rsid w:val="6278939D"/>
    <w:rsid w:val="627B3607"/>
    <w:rsid w:val="62CB6FB3"/>
    <w:rsid w:val="631C258F"/>
    <w:rsid w:val="632CD262"/>
    <w:rsid w:val="63680085"/>
    <w:rsid w:val="63DA5FBD"/>
    <w:rsid w:val="63ED3D63"/>
    <w:rsid w:val="640005D9"/>
    <w:rsid w:val="641E66AE"/>
    <w:rsid w:val="64E24887"/>
    <w:rsid w:val="6516219D"/>
    <w:rsid w:val="65493792"/>
    <w:rsid w:val="654D0841"/>
    <w:rsid w:val="6552D094"/>
    <w:rsid w:val="65830DCC"/>
    <w:rsid w:val="65A0D38A"/>
    <w:rsid w:val="65B710AB"/>
    <w:rsid w:val="65CB14B3"/>
    <w:rsid w:val="66114897"/>
    <w:rsid w:val="6614F575"/>
    <w:rsid w:val="66319048"/>
    <w:rsid w:val="669C737B"/>
    <w:rsid w:val="66B91935"/>
    <w:rsid w:val="66BBD3CF"/>
    <w:rsid w:val="66C483DE"/>
    <w:rsid w:val="66E8482F"/>
    <w:rsid w:val="66E8482F"/>
    <w:rsid w:val="66EEBB30"/>
    <w:rsid w:val="6753B5F5"/>
    <w:rsid w:val="677A0628"/>
    <w:rsid w:val="67A40627"/>
    <w:rsid w:val="67B1EF37"/>
    <w:rsid w:val="67E53BB1"/>
    <w:rsid w:val="6821128A"/>
    <w:rsid w:val="6847A452"/>
    <w:rsid w:val="684D40F4"/>
    <w:rsid w:val="68882D78"/>
    <w:rsid w:val="6888F873"/>
    <w:rsid w:val="688B649D"/>
    <w:rsid w:val="689826F1"/>
    <w:rsid w:val="68989865"/>
    <w:rsid w:val="68AF6970"/>
    <w:rsid w:val="68C868C7"/>
    <w:rsid w:val="68E03B5C"/>
    <w:rsid w:val="692B7CA6"/>
    <w:rsid w:val="697F9955"/>
    <w:rsid w:val="69894D22"/>
    <w:rsid w:val="699738BC"/>
    <w:rsid w:val="699BDCAB"/>
    <w:rsid w:val="69F99892"/>
    <w:rsid w:val="6A5A4CB0"/>
    <w:rsid w:val="6A6E94CE"/>
    <w:rsid w:val="6A70A30E"/>
    <w:rsid w:val="6A77ADC9"/>
    <w:rsid w:val="6AA9FE5C"/>
    <w:rsid w:val="6AEB1409"/>
    <w:rsid w:val="6B589939"/>
    <w:rsid w:val="6B8BCB68"/>
    <w:rsid w:val="6B9EBBDB"/>
    <w:rsid w:val="6BE0A232"/>
    <w:rsid w:val="6BE0A232"/>
    <w:rsid w:val="6C049AE7"/>
    <w:rsid w:val="6C1BFFAF"/>
    <w:rsid w:val="6C37CF77"/>
    <w:rsid w:val="6C6BCAE4"/>
    <w:rsid w:val="6C6F16EE"/>
    <w:rsid w:val="6C76F748"/>
    <w:rsid w:val="6C7E1F3E"/>
    <w:rsid w:val="6C8C7C0D"/>
    <w:rsid w:val="6C93683A"/>
    <w:rsid w:val="6CDA3612"/>
    <w:rsid w:val="6CF0B2AC"/>
    <w:rsid w:val="6CFE420A"/>
    <w:rsid w:val="6CFE57A8"/>
    <w:rsid w:val="6CFF3E50"/>
    <w:rsid w:val="6D01F0D8"/>
    <w:rsid w:val="6D5E0D05"/>
    <w:rsid w:val="6D6C05B2"/>
    <w:rsid w:val="6D868E15"/>
    <w:rsid w:val="6D8EE69B"/>
    <w:rsid w:val="6D9267A0"/>
    <w:rsid w:val="6D9922D6"/>
    <w:rsid w:val="6DA306B3"/>
    <w:rsid w:val="6DA8FEA9"/>
    <w:rsid w:val="6DBBBC64"/>
    <w:rsid w:val="6DC2021F"/>
    <w:rsid w:val="6DE167AF"/>
    <w:rsid w:val="6E40472E"/>
    <w:rsid w:val="6E6293E1"/>
    <w:rsid w:val="6E680A5B"/>
    <w:rsid w:val="6EA0F668"/>
    <w:rsid w:val="6EA7A476"/>
    <w:rsid w:val="6ED1C0C3"/>
    <w:rsid w:val="6EF2B070"/>
    <w:rsid w:val="6EFE8646"/>
    <w:rsid w:val="6F7A0609"/>
    <w:rsid w:val="6FBCAD1B"/>
    <w:rsid w:val="6FCC2707"/>
    <w:rsid w:val="702D6408"/>
    <w:rsid w:val="70A5E875"/>
    <w:rsid w:val="70E19F6A"/>
    <w:rsid w:val="70FAA436"/>
    <w:rsid w:val="710AD222"/>
    <w:rsid w:val="7125B605"/>
    <w:rsid w:val="713D1B26"/>
    <w:rsid w:val="71414A93"/>
    <w:rsid w:val="714BE7D7"/>
    <w:rsid w:val="71B9A7EB"/>
    <w:rsid w:val="723FA0BE"/>
    <w:rsid w:val="72545B33"/>
    <w:rsid w:val="72545B33"/>
    <w:rsid w:val="7274681B"/>
    <w:rsid w:val="7275AB8A"/>
    <w:rsid w:val="7275AB8A"/>
    <w:rsid w:val="7275C897"/>
    <w:rsid w:val="729D3785"/>
    <w:rsid w:val="72E12278"/>
    <w:rsid w:val="7318D313"/>
    <w:rsid w:val="737845F6"/>
    <w:rsid w:val="73CC5EC3"/>
    <w:rsid w:val="73D2F649"/>
    <w:rsid w:val="73FB5253"/>
    <w:rsid w:val="73FBDEA5"/>
    <w:rsid w:val="743B52E5"/>
    <w:rsid w:val="7451CB19"/>
    <w:rsid w:val="7452C77E"/>
    <w:rsid w:val="74663F21"/>
    <w:rsid w:val="74A90898"/>
    <w:rsid w:val="74B16672"/>
    <w:rsid w:val="74D4449C"/>
    <w:rsid w:val="74E41858"/>
    <w:rsid w:val="74E5D8A5"/>
    <w:rsid w:val="74E7C175"/>
    <w:rsid w:val="7507C053"/>
    <w:rsid w:val="750E1067"/>
    <w:rsid w:val="753CDC5A"/>
    <w:rsid w:val="753E2FD2"/>
    <w:rsid w:val="75D9459A"/>
    <w:rsid w:val="75F00EC5"/>
    <w:rsid w:val="765961A9"/>
    <w:rsid w:val="76A01827"/>
    <w:rsid w:val="76C8F251"/>
    <w:rsid w:val="76F6FA70"/>
    <w:rsid w:val="76F95B1D"/>
    <w:rsid w:val="77C036CD"/>
    <w:rsid w:val="77FA051D"/>
    <w:rsid w:val="7821D700"/>
    <w:rsid w:val="784390BB"/>
    <w:rsid w:val="787593DD"/>
    <w:rsid w:val="78F057B3"/>
    <w:rsid w:val="79227F80"/>
    <w:rsid w:val="792ADCA2"/>
    <w:rsid w:val="792C2D71"/>
    <w:rsid w:val="796E4A42"/>
    <w:rsid w:val="7989EF13"/>
    <w:rsid w:val="799AA473"/>
    <w:rsid w:val="799AA473"/>
    <w:rsid w:val="79C9FDD5"/>
    <w:rsid w:val="79DCED06"/>
    <w:rsid w:val="79E1117C"/>
    <w:rsid w:val="7A2CBDAA"/>
    <w:rsid w:val="7A303825"/>
    <w:rsid w:val="7A5C6258"/>
    <w:rsid w:val="7A616D87"/>
    <w:rsid w:val="7A86AAD8"/>
    <w:rsid w:val="7AA04B1E"/>
    <w:rsid w:val="7AC30D62"/>
    <w:rsid w:val="7AD8BABF"/>
    <w:rsid w:val="7AE3C027"/>
    <w:rsid w:val="7AEC9663"/>
    <w:rsid w:val="7AF7E3AD"/>
    <w:rsid w:val="7B0357C9"/>
    <w:rsid w:val="7B383F8B"/>
    <w:rsid w:val="7B3F041A"/>
    <w:rsid w:val="7B46CDA5"/>
    <w:rsid w:val="7B68A93E"/>
    <w:rsid w:val="7BC5AE55"/>
    <w:rsid w:val="7BF6EE1E"/>
    <w:rsid w:val="7C5DE841"/>
    <w:rsid w:val="7CDFD139"/>
    <w:rsid w:val="7CE019D1"/>
    <w:rsid w:val="7D289D90"/>
    <w:rsid w:val="7D3AB520"/>
    <w:rsid w:val="7D41CA58"/>
    <w:rsid w:val="7D4F93EE"/>
    <w:rsid w:val="7DA8E7B3"/>
    <w:rsid w:val="7DDC6303"/>
    <w:rsid w:val="7DF5FB50"/>
    <w:rsid w:val="7DFDF925"/>
    <w:rsid w:val="7E3259D3"/>
    <w:rsid w:val="7E9BC118"/>
    <w:rsid w:val="7ECE1F57"/>
    <w:rsid w:val="7EF6C0F4"/>
    <w:rsid w:val="7FAA840A"/>
    <w:rsid w:val="7FB07F67"/>
    <w:rsid w:val="7FB2B3DF"/>
    <w:rsid w:val="7FEA5033"/>
    <w:rsid w:val="7FEDB6A1"/>
    <w:rsid w:val="7FFE40F8"/>
    <w:rsid w:val="7FFE40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8939D"/>
  <w15:chartTrackingRefBased/>
  <w15:docId w15:val="{22B25604-97CC-4903-ABAE-49BC78C0DC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09DB3C35"/>
    <w:rPr>
      <w:color w:val="467886"/>
      <w:u w:val="single"/>
    </w:rPr>
  </w:style>
  <w:style w:type="paragraph" w:styleId="Heading1">
    <w:uiPriority w:val="9"/>
    <w:name w:val="heading 1"/>
    <w:basedOn w:val="Normal"/>
    <w:next w:val="Normal"/>
    <w:link w:val="Heading1Char"/>
    <w:qFormat/>
    <w:rsid w:val="09DB3C3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1Char" w:customStyle="true">
    <w:uiPriority w:val="9"/>
    <w:name w:val="Heading 1 Char"/>
    <w:basedOn w:val="DefaultParagraphFont"/>
    <w:link w:val="Heading1"/>
    <w:rsid w:val="09DB3C35"/>
    <w:rPr>
      <w:rFonts w:ascii="Aptos Display" w:hAnsi="Aptos Display" w:eastAsia="" w:cs="" w:asciiTheme="majorAscii" w:hAnsiTheme="majorAscii" w:eastAsiaTheme="majorEastAsia" w:cstheme="majorBidi"/>
      <w:color w:val="0F4761" w:themeColor="accent1" w:themeTint="FF" w:themeShade="BF"/>
      <w:sz w:val="40"/>
      <w:szCs w:val="40"/>
    </w:rPr>
  </w:style>
  <w:style w:type="paragraph" w:styleId="Heading2">
    <w:uiPriority w:val="9"/>
    <w:name w:val="heading 2"/>
    <w:basedOn w:val="Normal"/>
    <w:next w:val="Normal"/>
    <w:unhideWhenUsed/>
    <w:qFormat/>
    <w:rsid w:val="09DB3C3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9DB3C3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09DB3C35"/>
    <w:pPr>
      <w:tabs>
        <w:tab w:val="center" w:leader="none" w:pos="4680"/>
        <w:tab w:val="right" w:leader="none" w:pos="9360"/>
      </w:tabs>
      <w:spacing w:after="0" w:line="240" w:lineRule="auto"/>
    </w:pPr>
  </w:style>
  <w:style w:type="paragraph" w:styleId="Footer">
    <w:uiPriority w:val="99"/>
    <w:name w:val="footer"/>
    <w:basedOn w:val="Normal"/>
    <w:unhideWhenUsed/>
    <w:rsid w:val="09DB3C35"/>
    <w:pPr>
      <w:tabs>
        <w:tab w:val="center" w:leader="none" w:pos="4680"/>
        <w:tab w:val="right" w:leader="none" w:pos="9360"/>
      </w:tabs>
      <w:spacing w:after="0" w:line="240" w:lineRule="auto"/>
    </w:pPr>
  </w:style>
  <w:style w:type="paragraph" w:styleId="ListParagraph">
    <w:uiPriority w:val="34"/>
    <w:name w:val="List Paragraph"/>
    <w:basedOn w:val="Normal"/>
    <w:qFormat/>
    <w:rsid w:val="09DB3C35"/>
    <w:pPr>
      <w:spacing/>
      <w:ind w:left="720"/>
      <w:contextualSpacing/>
    </w:pPr>
  </w:style>
  <w:style w:type="paragraph" w:styleId="TOC1">
    <w:uiPriority w:val="39"/>
    <w:name w:val="toc 1"/>
    <w:basedOn w:val="Normal"/>
    <w:next w:val="Normal"/>
    <w:unhideWhenUsed/>
    <w:rsid w:val="09DB3C35"/>
    <w:pPr>
      <w:spacing w:after="100"/>
    </w:pPr>
  </w:style>
  <w:style w:type="paragraph" w:styleId="TOC2">
    <w:uiPriority w:val="39"/>
    <w:name w:val="toc 2"/>
    <w:basedOn w:val="Normal"/>
    <w:next w:val="Normal"/>
    <w:unhideWhenUsed/>
    <w:rsid w:val="09DB3C35"/>
    <w:pPr>
      <w:spacing w:after="100"/>
      <w:ind w:left="220"/>
    </w:pPr>
  </w:style>
  <w:style w:type="paragraph" w:styleId="TOC3">
    <w:uiPriority w:val="39"/>
    <w:name w:val="toc 3"/>
    <w:basedOn w:val="Normal"/>
    <w:next w:val="Normal"/>
    <w:unhideWhenUsed/>
    <w:rsid w:val="09DB3C35"/>
    <w:pPr>
      <w:spacing w:after="100"/>
      <w:ind w:left="440"/>
    </w:pPr>
  </w:style>
  <w:style w:type="paragraph" w:styleId="Heading4">
    <w:uiPriority w:val="9"/>
    <w:name w:val="heading 4"/>
    <w:basedOn w:val="Normal"/>
    <w:next w:val="Normal"/>
    <w:unhideWhenUsed/>
    <w:qFormat/>
    <w:rsid w:val="66319048"/>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TOC4">
    <w:uiPriority w:val="39"/>
    <w:name w:val="toc 4"/>
    <w:basedOn w:val="Normal"/>
    <w:next w:val="Normal"/>
    <w:unhideWhenUsed/>
    <w:rsid w:val="66319048"/>
    <w:pPr>
      <w:spacing w:after="100"/>
      <w:ind w:left="660"/>
    </w:pPr>
  </w:style>
  <w:style w:type="character" w:styleId="IntenseReference">
    <w:uiPriority w:val="32"/>
    <w:name w:val="Intense Reference"/>
    <w:basedOn w:val="DefaultParagraphFont"/>
    <w:qFormat/>
    <w:rsid w:val="6C6F16EE"/>
    <w:rPr>
      <w:b w:val="1"/>
      <w:bCs w:val="1"/>
      <w:smallCaps w:val="1"/>
      <w:color w:val="0F4761" w:themeColor="accent1" w:themeTint="FF" w:themeShade="BF"/>
    </w:rPr>
  </w:style>
  <w:style w:type="character" w:styleId="SubtleReference">
    <w:uiPriority w:val="31"/>
    <w:name w:val="Subtle Reference"/>
    <w:basedOn w:val="DefaultParagraphFont"/>
    <w:qFormat/>
    <w:rsid w:val="6C6F16EE"/>
    <w:rPr>
      <w:smallCaps w:val="1"/>
      <w:color w:val="5A5A5A"/>
    </w:rPr>
  </w:style>
  <w:style w:type="paragraph" w:styleId="NoSpacing">
    <w:uiPriority w:val="1"/>
    <w:name w:val="No Spacing"/>
    <w:qFormat/>
    <w:rsid w:val="2E8D55B9"/>
    <w:pPr>
      <w:spacing w:after="0"/>
    </w:pPr>
  </w:style>
  <w:style w:type="paragraph" w:styleId="EndnoteText">
    <w:uiPriority w:val="99"/>
    <w:name w:val="endnote text"/>
    <w:basedOn w:val="Normal"/>
    <w:semiHidden/>
    <w:unhideWhenUsed/>
    <w:rsid w:val="59ECC4A7"/>
    <w:rPr>
      <w:sz w:val="20"/>
      <w:szCs w:val="20"/>
    </w:rPr>
    <w:pPr>
      <w:spacing w:after="0" w:line="240" w:lineRule="auto"/>
    </w:pPr>
  </w:style>
  <w:style w:type="character" w:styleId="EndnoteReference">
    <w:uiPriority w:val="99"/>
    <w:name w:val="endnote reference"/>
    <w:basedOn w:val="DefaultParagraphFont"/>
    <w:semiHidden/>
    <w:unhideWhenUsed/>
    <w:rsid w:val="59ECC4A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6658be072a3945f9" /><Relationship Type="http://schemas.microsoft.com/office/2020/10/relationships/intelligence" Target="/word/intelligence2.xml" Id="R1646743e1bea412d" /><Relationship Type="http://schemas.openxmlformats.org/officeDocument/2006/relationships/numbering" Target="/word/numbering.xml" Id="R3648dd624ee84f7d" /><Relationship Type="http://schemas.openxmlformats.org/officeDocument/2006/relationships/image" Target="/media/image.png" Id="rId1402612676" /><Relationship Type="http://schemas.openxmlformats.org/officeDocument/2006/relationships/image" Target="/media/image2.png" Id="rId1888647584" /><Relationship Type="http://schemas.openxmlformats.org/officeDocument/2006/relationships/image" Target="/media/image3.png" Id="rId1564387101" /><Relationship Type="http://schemas.openxmlformats.org/officeDocument/2006/relationships/image" Target="/media/image4.png" Id="rId450363623" /><Relationship Type="http://schemas.openxmlformats.org/officeDocument/2006/relationships/image" Target="/media/image5.png" Id="rId175792775" /><Relationship Type="http://schemas.openxmlformats.org/officeDocument/2006/relationships/image" Target="/media/image6.png" Id="rId1339807416" /><Relationship Type="http://schemas.openxmlformats.org/officeDocument/2006/relationships/image" Target="/media/image7.png" Id="rId1947694799" /><Relationship Type="http://schemas.openxmlformats.org/officeDocument/2006/relationships/image" Target="/media/image8.png" Id="rId1037441643" /><Relationship Type="http://schemas.openxmlformats.org/officeDocument/2006/relationships/footer" Target="/word/footer.xml" Id="R02a1df0703c44f08" /><Relationship Type="http://schemas.openxmlformats.org/officeDocument/2006/relationships/image" Target="/media/image9.png" Id="rId1940121978" /><Relationship Type="http://schemas.openxmlformats.org/officeDocument/2006/relationships/hyperlink" Target="https://group.legalandgeneral.com/media/n55b2iwo/l-g-annual-report-and-accounts-2024.pdf" TargetMode="External" Id="R3f645a69e6204190" /><Relationship Type="http://schemas.openxmlformats.org/officeDocument/2006/relationships/hyperlink" Target="https://group.legalandgeneral.com/media/n55b2iwo/l-g-annual-report-and-accounts-2024.pdf" TargetMode="External" Id="R1874094fbbf2428b" /><Relationship Type="http://schemas.openxmlformats.org/officeDocument/2006/relationships/hyperlink" Target="https://group.legalandgeneral.com/media/n55b2iwo/l-g-annual-report-and-accounts-2024.pdf" TargetMode="External" Id="Rbfd4b1c7159d4524" /><Relationship Type="http://schemas.openxmlformats.org/officeDocument/2006/relationships/hyperlink" Target="https://group.legalandgeneral.com/media/n55b2iwo/l-g-annual-report-and-accounts-2024.pdf" TargetMode="External" Id="R0ae9de20f8cf4305" /><Relationship Type="http://schemas.openxmlformats.org/officeDocument/2006/relationships/hyperlink" Target="https://www.euromonitor.com/embedded-finance-ecosystem-mapping-the-path-to-services-industries-transformation/report" TargetMode="External" Id="R969021103ca143f5" /><Relationship Type="http://schemas.openxmlformats.org/officeDocument/2006/relationships/hyperlink" Target="https://www.euromonitor.com/voice-of-the-industry-digital-survey-insights-2024/report" TargetMode="External" Id="R0b5360bb214b4567" /><Relationship Type="http://schemas.openxmlformats.org/officeDocument/2006/relationships/hyperlink" Target="https://www.fca.org.uk/publication/regulatory-priorities/consumer-investments-report.pdf" TargetMode="External" Id="R100e8eed797e4f2a" /><Relationship Type="http://schemas.openxmlformats.org/officeDocument/2006/relationships/hyperlink" Target="https://www.legalandgeneral.com/" TargetMode="External" Id="Rea88399a60d54b29" /><Relationship Type="http://schemas.openxmlformats.org/officeDocument/2006/relationships/hyperlink" Target="https://group.legalandgeneral.com/media/n55b2iwo/l-g-annual-report-and-accounts-2024.pdf" TargetMode="External" Id="R157c7651e8ce4a49" /><Relationship Type="http://schemas.openxmlformats.org/officeDocument/2006/relationships/hyperlink" Target="https://doi.org/10.3386/w7681" TargetMode="External" Id="R2d09be16182a46e2" /><Relationship Type="http://schemas.openxmlformats.org/officeDocument/2006/relationships/hyperlink" Target="https://www.ons.gov.uk/peoplepopulationandcommunity/householdcharacteristics/homeinternetandsocialmediausage" TargetMode="External" Id="R4e364f80c8914f9b" /><Relationship Type="http://schemas.openxmlformats.org/officeDocument/2006/relationships/hyperlink" Target="https://www.pensionspolicyinstitute.org.uk/media/c00dra0k/20240909-ppi-pension-scheme-assets-main-report-final.pdf" TargetMode="External" Id="R6e2f7308b26649cf" /><Relationship Type="http://schemas.openxmlformats.org/officeDocument/2006/relationships/hyperlink" Target="https://ventionteams.com/uk/finance/banking/statistics" TargetMode="External" Id="Rc403eebd770d4a11" /><Relationship Type="http://schemas.openxmlformats.org/officeDocument/2006/relationships/hyperlink" Target="https://www.omnius.so/blog/fintech-industry-report-2024" TargetMode="External" Id="Rfcdcdbc553c64d71" /><Relationship Type="http://schemas.openxmlformats.org/officeDocument/2006/relationships/image" Target="/media/imagea.png" Id="rId1687925674" /><Relationship Type="http://schemas.openxmlformats.org/officeDocument/2006/relationships/hyperlink" Target="https://www.omnius.so/blog/fintech-industry-report-2024" TargetMode="External" Id="R56b9bcbb3c454c0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Chelsea Lee Ward (2322953)</dc:creator>
  <keywords/>
  <dc:description/>
  <lastModifiedBy>Chelsea Lee Ward (2322953)</lastModifiedBy>
  <revision>28</revision>
  <dcterms:created xsi:type="dcterms:W3CDTF">2026-01-16T09:32:02.4942949Z</dcterms:created>
  <dcterms:modified xsi:type="dcterms:W3CDTF">2026-03-23T00:13:38.6997168Z</dcterms:modified>
</coreProperties>
</file>